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4FB3" w14:textId="77777777" w:rsidR="00FB0E88" w:rsidRPr="00FB0E88" w:rsidRDefault="00600C8E" w:rsidP="00FB0E88">
      <w:pPr>
        <w:jc w:val="center"/>
        <w:rPr>
          <w:b/>
          <w:bCs/>
        </w:rPr>
      </w:pPr>
      <w:r>
        <w:rPr>
          <w:b/>
          <w:bCs/>
        </w:rPr>
        <w:t>-*</w:t>
      </w:r>
      <w:smartTag w:uri="schemas-tilde-lv/tildestengine" w:element="veidnes">
        <w:smartTagPr>
          <w:attr w:name="id" w:val="-1"/>
          <w:attr w:name="baseform" w:val="Izziņa"/>
          <w:attr w:name="text" w:val="Izziņa"/>
        </w:smartTagPr>
        <w:r w:rsidR="00FB68BD" w:rsidRPr="005F5C7A">
          <w:rPr>
            <w:b/>
            <w:bCs/>
          </w:rPr>
          <w:t>Izziņa</w:t>
        </w:r>
      </w:smartTag>
      <w:r w:rsidR="00FB68BD" w:rsidRPr="005F5C7A">
        <w:rPr>
          <w:b/>
          <w:bCs/>
        </w:rPr>
        <w:t xml:space="preserve"> par atzinumos sniegtajiem</w:t>
      </w:r>
      <w:r w:rsidR="000E6A5D" w:rsidRPr="005F5C7A">
        <w:rPr>
          <w:b/>
          <w:bCs/>
        </w:rPr>
        <w:t xml:space="preserve"> iebildumiem par </w:t>
      </w:r>
      <w:r w:rsidR="005F5C7A" w:rsidRPr="005F5C7A">
        <w:rPr>
          <w:b/>
          <w:bCs/>
        </w:rPr>
        <w:t>konceptuālā ziņojuma</w:t>
      </w:r>
      <w:r w:rsidR="005F5C7A">
        <w:rPr>
          <w:b/>
          <w:bCs/>
        </w:rPr>
        <w:t xml:space="preserve"> projektu</w:t>
      </w:r>
      <w:r w:rsidR="005F5C7A" w:rsidRPr="005F5C7A">
        <w:rPr>
          <w:b/>
          <w:bCs/>
        </w:rPr>
        <w:t xml:space="preserve"> „</w:t>
      </w:r>
      <w:r w:rsidR="00FB0E88" w:rsidRPr="00FB0E88">
        <w:t xml:space="preserve"> </w:t>
      </w:r>
      <w:r w:rsidR="00FB0E88">
        <w:rPr>
          <w:b/>
          <w:bCs/>
        </w:rPr>
        <w:t>Par studiju un studējošo</w:t>
      </w:r>
    </w:p>
    <w:p w14:paraId="0047705B" w14:textId="77777777" w:rsidR="00F00A89" w:rsidRPr="005F5C7A" w:rsidRDefault="00FB0E88" w:rsidP="00FB0E88">
      <w:pPr>
        <w:jc w:val="center"/>
        <w:rPr>
          <w:b/>
          <w:bCs/>
        </w:rPr>
      </w:pPr>
      <w:r>
        <w:rPr>
          <w:b/>
          <w:bCs/>
        </w:rPr>
        <w:t>kreditēšanas no kredītiestāžu līdzekļiem ar valsts vārdā sniegto galvojumu modeļa maiņu</w:t>
      </w:r>
      <w:r w:rsidR="005F5C7A" w:rsidRPr="005F5C7A">
        <w:rPr>
          <w:b/>
          <w:bCs/>
        </w:rPr>
        <w:t xml:space="preserve">” </w:t>
      </w:r>
    </w:p>
    <w:p w14:paraId="4FADFCF1" w14:textId="77777777" w:rsidR="00FB68BD" w:rsidRPr="00FB036F" w:rsidRDefault="00FB68BD" w:rsidP="0045657B">
      <w:pPr>
        <w:jc w:val="center"/>
        <w:rPr>
          <w:b/>
        </w:rPr>
      </w:pPr>
    </w:p>
    <w:p w14:paraId="60CD97FF" w14:textId="77777777" w:rsidR="00FB68BD" w:rsidRPr="00FB036F" w:rsidRDefault="00FB68BD" w:rsidP="00FB68BD">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14:paraId="4A4CEFD2" w14:textId="77777777" w:rsidR="00FB68BD" w:rsidRPr="00FB036F" w:rsidRDefault="00FB68BD" w:rsidP="00FB68BD">
      <w:pPr>
        <w:pStyle w:val="naisf"/>
        <w:spacing w:before="0" w:after="0"/>
        <w:ind w:firstLine="720"/>
      </w:pPr>
    </w:p>
    <w:tbl>
      <w:tblPr>
        <w:tblW w:w="14147" w:type="dxa"/>
        <w:tblInd w:w="-9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
        <w:gridCol w:w="567"/>
        <w:gridCol w:w="2435"/>
        <w:gridCol w:w="43"/>
        <w:gridCol w:w="1174"/>
        <w:gridCol w:w="2610"/>
        <w:gridCol w:w="1317"/>
        <w:gridCol w:w="1943"/>
        <w:gridCol w:w="674"/>
        <w:gridCol w:w="1259"/>
        <w:gridCol w:w="27"/>
        <w:gridCol w:w="1983"/>
        <w:gridCol w:w="27"/>
      </w:tblGrid>
      <w:tr w:rsidR="000F62FD" w:rsidRPr="00FB036F" w14:paraId="65BDBBD8" w14:textId="77777777" w:rsidTr="003220F9">
        <w:trPr>
          <w:trHeight w:val="1423"/>
        </w:trPr>
        <w:tc>
          <w:tcPr>
            <w:tcW w:w="655" w:type="dxa"/>
            <w:gridSpan w:val="2"/>
            <w:tcBorders>
              <w:top w:val="single" w:sz="6" w:space="0" w:color="000000"/>
              <w:left w:val="single" w:sz="6" w:space="0" w:color="000000"/>
              <w:bottom w:val="single" w:sz="6" w:space="0" w:color="000000"/>
              <w:right w:val="single" w:sz="6" w:space="0" w:color="000000"/>
            </w:tcBorders>
            <w:vAlign w:val="center"/>
          </w:tcPr>
          <w:p w14:paraId="0499317F" w14:textId="77777777" w:rsidR="000F62FD" w:rsidRPr="00FB036F" w:rsidRDefault="000F62FD" w:rsidP="00F51E1A">
            <w:pPr>
              <w:pStyle w:val="naisc"/>
              <w:spacing w:before="0" w:after="0"/>
            </w:pPr>
            <w:r w:rsidRPr="00FB036F">
              <w:t>Nr. P.k.</w:t>
            </w:r>
          </w:p>
        </w:tc>
        <w:tc>
          <w:tcPr>
            <w:tcW w:w="2435" w:type="dxa"/>
            <w:tcBorders>
              <w:top w:val="single" w:sz="6" w:space="0" w:color="000000"/>
              <w:left w:val="single" w:sz="6" w:space="0" w:color="000000"/>
              <w:bottom w:val="single" w:sz="6" w:space="0" w:color="000000"/>
              <w:right w:val="single" w:sz="6" w:space="0" w:color="000000"/>
            </w:tcBorders>
            <w:vAlign w:val="center"/>
          </w:tcPr>
          <w:p w14:paraId="040C7F53" w14:textId="77777777" w:rsidR="000F62FD" w:rsidRPr="00FB036F" w:rsidRDefault="000F62FD" w:rsidP="00F51E1A">
            <w:pPr>
              <w:pStyle w:val="naisc"/>
              <w:spacing w:before="0" w:after="0"/>
              <w:ind w:firstLine="12"/>
            </w:pPr>
            <w:r w:rsidRPr="00FB036F">
              <w:t>Saskaņošanai nosūtītā projekta redakcija (konkrēta punkta (panta) redakcija)</w:t>
            </w:r>
          </w:p>
        </w:tc>
        <w:tc>
          <w:tcPr>
            <w:tcW w:w="3827" w:type="dxa"/>
            <w:gridSpan w:val="3"/>
            <w:tcBorders>
              <w:top w:val="single" w:sz="6" w:space="0" w:color="000000"/>
              <w:left w:val="single" w:sz="6" w:space="0" w:color="000000"/>
              <w:bottom w:val="single" w:sz="6" w:space="0" w:color="000000"/>
              <w:right w:val="single" w:sz="6" w:space="0" w:color="000000"/>
            </w:tcBorders>
            <w:vAlign w:val="center"/>
          </w:tcPr>
          <w:p w14:paraId="6E7D50BE" w14:textId="77777777" w:rsidR="000F62FD" w:rsidRPr="00FB036F" w:rsidRDefault="000F62FD" w:rsidP="00F51E1A">
            <w:pPr>
              <w:pStyle w:val="naisc"/>
              <w:spacing w:before="0" w:after="0"/>
              <w:ind w:right="3"/>
              <w:jc w:val="both"/>
            </w:pPr>
            <w:r w:rsidRPr="00FB036F">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588F6EB3" w14:textId="77777777" w:rsidR="000F62FD" w:rsidRPr="00FB036F" w:rsidRDefault="000F62FD" w:rsidP="00F51E1A">
            <w:pPr>
              <w:pStyle w:val="naisc"/>
              <w:spacing w:before="0" w:after="0"/>
              <w:ind w:firstLine="21"/>
            </w:pPr>
            <w:r w:rsidRPr="00FB036F">
              <w:t>Atbildīgās ministrijas norāde par to, ka iebildums ir ņemts vērā, vai informācija par saskaņošanā panākto alternatīvo risinājumu</w:t>
            </w:r>
          </w:p>
        </w:tc>
        <w:tc>
          <w:tcPr>
            <w:tcW w:w="1933" w:type="dxa"/>
            <w:gridSpan w:val="2"/>
            <w:tcBorders>
              <w:top w:val="single" w:sz="4" w:space="0" w:color="auto"/>
              <w:left w:val="single" w:sz="4" w:space="0" w:color="auto"/>
              <w:bottom w:val="single" w:sz="4" w:space="0" w:color="auto"/>
              <w:right w:val="single" w:sz="4" w:space="0" w:color="auto"/>
            </w:tcBorders>
          </w:tcPr>
          <w:p w14:paraId="1196B59A" w14:textId="77777777" w:rsidR="000F62FD" w:rsidRPr="00FB036F" w:rsidRDefault="000F62FD" w:rsidP="00F51E1A">
            <w:pPr>
              <w:tabs>
                <w:tab w:val="left" w:pos="1877"/>
                <w:tab w:val="left" w:pos="1910"/>
              </w:tabs>
              <w:jc w:val="center"/>
            </w:pPr>
            <w:r w:rsidRPr="000F62FD">
              <w:t>Atzinuma sniedzēja uzturētais iebildums, ja tas atšķiras no atzinumā norādītā iebilduma pamatojuma</w:t>
            </w:r>
          </w:p>
        </w:tc>
        <w:tc>
          <w:tcPr>
            <w:tcW w:w="2037" w:type="dxa"/>
            <w:gridSpan w:val="3"/>
            <w:tcBorders>
              <w:top w:val="single" w:sz="4" w:space="0" w:color="auto"/>
              <w:left w:val="single" w:sz="4" w:space="0" w:color="auto"/>
              <w:bottom w:val="single" w:sz="4" w:space="0" w:color="auto"/>
            </w:tcBorders>
            <w:vAlign w:val="center"/>
          </w:tcPr>
          <w:p w14:paraId="5DC18FFD" w14:textId="77777777" w:rsidR="000F62FD" w:rsidRPr="00FB036F" w:rsidRDefault="000F62FD" w:rsidP="00F51E1A">
            <w:pPr>
              <w:tabs>
                <w:tab w:val="left" w:pos="1877"/>
                <w:tab w:val="left" w:pos="1910"/>
              </w:tabs>
              <w:jc w:val="center"/>
            </w:pPr>
            <w:r w:rsidRPr="00FB036F">
              <w:t>Projekta attiecīgā punkta (panta) galīgā redakcija</w:t>
            </w:r>
          </w:p>
        </w:tc>
      </w:tr>
      <w:tr w:rsidR="000F62FD" w:rsidRPr="00FB036F" w14:paraId="4E1519AB" w14:textId="77777777" w:rsidTr="003220F9">
        <w:trPr>
          <w:trHeight w:val="278"/>
        </w:trPr>
        <w:tc>
          <w:tcPr>
            <w:tcW w:w="655" w:type="dxa"/>
            <w:gridSpan w:val="2"/>
            <w:tcBorders>
              <w:top w:val="single" w:sz="6" w:space="0" w:color="000000"/>
              <w:left w:val="single" w:sz="6" w:space="0" w:color="000000"/>
              <w:bottom w:val="single" w:sz="6" w:space="0" w:color="000000"/>
              <w:right w:val="single" w:sz="6" w:space="0" w:color="000000"/>
            </w:tcBorders>
          </w:tcPr>
          <w:p w14:paraId="3ADC2CA1" w14:textId="77777777" w:rsidR="000F62FD" w:rsidRPr="008A36C9" w:rsidRDefault="000F62FD" w:rsidP="000F62FD">
            <w:pPr>
              <w:pStyle w:val="naisc"/>
              <w:spacing w:before="0" w:after="0"/>
              <w:rPr>
                <w:sz w:val="20"/>
                <w:szCs w:val="20"/>
              </w:rPr>
            </w:pPr>
            <w:r w:rsidRPr="008A36C9">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2BA8EA31" w14:textId="77777777" w:rsidR="000F62FD" w:rsidRPr="008A36C9" w:rsidRDefault="000F62FD" w:rsidP="000F62FD">
            <w:pPr>
              <w:pStyle w:val="naisc"/>
              <w:spacing w:before="0" w:after="0"/>
              <w:ind w:firstLine="720"/>
              <w:rPr>
                <w:sz w:val="20"/>
                <w:szCs w:val="20"/>
              </w:rPr>
            </w:pPr>
            <w:r w:rsidRPr="008A36C9">
              <w:rPr>
                <w:sz w:val="20"/>
                <w:szCs w:val="20"/>
              </w:rPr>
              <w:t>2</w:t>
            </w:r>
          </w:p>
        </w:tc>
        <w:tc>
          <w:tcPr>
            <w:tcW w:w="3827" w:type="dxa"/>
            <w:gridSpan w:val="3"/>
            <w:tcBorders>
              <w:top w:val="single" w:sz="6" w:space="0" w:color="000000"/>
              <w:left w:val="single" w:sz="6" w:space="0" w:color="000000"/>
              <w:bottom w:val="single" w:sz="6" w:space="0" w:color="000000"/>
              <w:right w:val="single" w:sz="6" w:space="0" w:color="000000"/>
            </w:tcBorders>
          </w:tcPr>
          <w:p w14:paraId="0A2D1B24" w14:textId="77777777" w:rsidR="000F62FD" w:rsidRPr="008A36C9" w:rsidRDefault="000F62FD" w:rsidP="000F62FD">
            <w:pPr>
              <w:pStyle w:val="naisc"/>
              <w:spacing w:before="0" w:after="0"/>
              <w:ind w:firstLine="720"/>
              <w:rPr>
                <w:sz w:val="20"/>
                <w:szCs w:val="20"/>
              </w:rPr>
            </w:pPr>
            <w:r w:rsidRPr="008A36C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7F76F689" w14:textId="77777777" w:rsidR="000F62FD" w:rsidRPr="008A36C9" w:rsidRDefault="000F62FD" w:rsidP="000F62FD">
            <w:pPr>
              <w:pStyle w:val="naisc"/>
              <w:spacing w:before="0" w:after="0"/>
              <w:ind w:firstLine="720"/>
              <w:rPr>
                <w:sz w:val="20"/>
                <w:szCs w:val="20"/>
              </w:rPr>
            </w:pPr>
            <w:r w:rsidRPr="008A36C9">
              <w:rPr>
                <w:sz w:val="20"/>
                <w:szCs w:val="20"/>
              </w:rPr>
              <w:t>4</w:t>
            </w:r>
          </w:p>
        </w:tc>
        <w:tc>
          <w:tcPr>
            <w:tcW w:w="1933" w:type="dxa"/>
            <w:gridSpan w:val="2"/>
            <w:tcBorders>
              <w:top w:val="single" w:sz="4" w:space="0" w:color="auto"/>
              <w:left w:val="single" w:sz="4" w:space="0" w:color="auto"/>
              <w:bottom w:val="single" w:sz="4" w:space="0" w:color="auto"/>
              <w:right w:val="single" w:sz="4" w:space="0" w:color="auto"/>
            </w:tcBorders>
          </w:tcPr>
          <w:p w14:paraId="11DCEA65" w14:textId="77777777" w:rsidR="000F62FD" w:rsidRPr="008A36C9" w:rsidRDefault="000F62FD" w:rsidP="000F62FD">
            <w:pPr>
              <w:jc w:val="center"/>
              <w:rPr>
                <w:sz w:val="20"/>
                <w:szCs w:val="20"/>
              </w:rPr>
            </w:pPr>
            <w:r w:rsidRPr="008A36C9">
              <w:rPr>
                <w:sz w:val="20"/>
                <w:szCs w:val="20"/>
              </w:rPr>
              <w:t>5</w:t>
            </w:r>
          </w:p>
        </w:tc>
        <w:tc>
          <w:tcPr>
            <w:tcW w:w="2037" w:type="dxa"/>
            <w:gridSpan w:val="3"/>
            <w:tcBorders>
              <w:top w:val="single" w:sz="4" w:space="0" w:color="auto"/>
              <w:left w:val="single" w:sz="4" w:space="0" w:color="auto"/>
              <w:bottom w:val="single" w:sz="4" w:space="0" w:color="auto"/>
            </w:tcBorders>
          </w:tcPr>
          <w:p w14:paraId="6318EBA6" w14:textId="77777777" w:rsidR="000F62FD" w:rsidRPr="008A36C9" w:rsidRDefault="000F62FD" w:rsidP="000F62FD">
            <w:pPr>
              <w:jc w:val="center"/>
              <w:rPr>
                <w:sz w:val="20"/>
                <w:szCs w:val="20"/>
              </w:rPr>
            </w:pPr>
            <w:r w:rsidRPr="008A36C9">
              <w:rPr>
                <w:sz w:val="20"/>
                <w:szCs w:val="20"/>
              </w:rPr>
              <w:t>6</w:t>
            </w:r>
          </w:p>
        </w:tc>
      </w:tr>
      <w:tr w:rsidR="006253DC" w:rsidRPr="00FB036F" w14:paraId="07E2DC76" w14:textId="77777777" w:rsidTr="003220F9">
        <w:trPr>
          <w:trHeight w:val="278"/>
        </w:trPr>
        <w:tc>
          <w:tcPr>
            <w:tcW w:w="655" w:type="dxa"/>
            <w:gridSpan w:val="2"/>
            <w:tcBorders>
              <w:top w:val="single" w:sz="6" w:space="0" w:color="000000"/>
              <w:left w:val="single" w:sz="6" w:space="0" w:color="000000"/>
              <w:bottom w:val="single" w:sz="6" w:space="0" w:color="000000"/>
              <w:right w:val="single" w:sz="6" w:space="0" w:color="000000"/>
            </w:tcBorders>
          </w:tcPr>
          <w:p w14:paraId="691CD5A3" w14:textId="77777777" w:rsidR="006253DC" w:rsidRPr="008A36C9" w:rsidRDefault="006253DC" w:rsidP="000F62FD">
            <w:pPr>
              <w:pStyle w:val="naisc"/>
              <w:spacing w:before="0" w:after="0"/>
              <w:rPr>
                <w:sz w:val="20"/>
                <w:szCs w:val="20"/>
              </w:rPr>
            </w:pPr>
          </w:p>
        </w:tc>
        <w:tc>
          <w:tcPr>
            <w:tcW w:w="2435" w:type="dxa"/>
            <w:tcBorders>
              <w:top w:val="single" w:sz="6" w:space="0" w:color="000000"/>
              <w:left w:val="single" w:sz="6" w:space="0" w:color="000000"/>
              <w:bottom w:val="single" w:sz="6" w:space="0" w:color="000000"/>
              <w:right w:val="single" w:sz="6" w:space="0" w:color="000000"/>
            </w:tcBorders>
          </w:tcPr>
          <w:p w14:paraId="123CC115" w14:textId="4A7177BB" w:rsidR="002236BA" w:rsidRPr="002236BA" w:rsidRDefault="002236BA" w:rsidP="002236BA">
            <w:pPr>
              <w:pStyle w:val="naisc"/>
              <w:spacing w:before="0" w:after="0"/>
              <w:jc w:val="both"/>
            </w:pPr>
          </w:p>
        </w:tc>
        <w:tc>
          <w:tcPr>
            <w:tcW w:w="3827" w:type="dxa"/>
            <w:gridSpan w:val="3"/>
            <w:tcBorders>
              <w:top w:val="single" w:sz="6" w:space="0" w:color="000000"/>
              <w:left w:val="single" w:sz="6" w:space="0" w:color="000000"/>
              <w:bottom w:val="single" w:sz="6" w:space="0" w:color="000000"/>
              <w:right w:val="single" w:sz="6" w:space="0" w:color="000000"/>
            </w:tcBorders>
          </w:tcPr>
          <w:p w14:paraId="3FC80790" w14:textId="672D2857" w:rsidR="006253DC" w:rsidRPr="006253DC" w:rsidRDefault="006253DC" w:rsidP="006253DC">
            <w:pPr>
              <w:autoSpaceDE w:val="0"/>
              <w:autoSpaceDN w:val="0"/>
              <w:adjustRightInd w:val="0"/>
              <w:jc w:val="both"/>
              <w:rPr>
                <w:rFonts w:ascii="TimesNewRomanPSMT" w:eastAsia="Calibri" w:hAnsi="TimesNewRomanPSMT" w:cs="TimesNewRomanPSMT"/>
              </w:rPr>
            </w:pPr>
          </w:p>
        </w:tc>
        <w:tc>
          <w:tcPr>
            <w:tcW w:w="3260" w:type="dxa"/>
            <w:gridSpan w:val="2"/>
            <w:tcBorders>
              <w:top w:val="single" w:sz="6" w:space="0" w:color="000000"/>
              <w:left w:val="single" w:sz="6" w:space="0" w:color="000000"/>
              <w:bottom w:val="single" w:sz="6" w:space="0" w:color="000000"/>
              <w:right w:val="single" w:sz="6" w:space="0" w:color="000000"/>
            </w:tcBorders>
          </w:tcPr>
          <w:p w14:paraId="77D6FD58" w14:textId="77777777" w:rsidR="006253DC" w:rsidRPr="008A36C9" w:rsidRDefault="006253DC" w:rsidP="000F62FD">
            <w:pPr>
              <w:pStyle w:val="naisc"/>
              <w:spacing w:before="0" w:after="0"/>
              <w:ind w:firstLine="720"/>
              <w:rPr>
                <w:sz w:val="20"/>
                <w:szCs w:val="20"/>
              </w:rPr>
            </w:pPr>
          </w:p>
        </w:tc>
        <w:tc>
          <w:tcPr>
            <w:tcW w:w="1933" w:type="dxa"/>
            <w:gridSpan w:val="2"/>
            <w:tcBorders>
              <w:top w:val="single" w:sz="4" w:space="0" w:color="auto"/>
              <w:left w:val="single" w:sz="4" w:space="0" w:color="auto"/>
              <w:bottom w:val="single" w:sz="4" w:space="0" w:color="auto"/>
              <w:right w:val="single" w:sz="4" w:space="0" w:color="auto"/>
            </w:tcBorders>
          </w:tcPr>
          <w:p w14:paraId="0DC2179A" w14:textId="77777777" w:rsidR="006253DC" w:rsidRPr="008A36C9" w:rsidRDefault="006253DC" w:rsidP="000F62FD">
            <w:pPr>
              <w:jc w:val="center"/>
              <w:rPr>
                <w:sz w:val="20"/>
                <w:szCs w:val="20"/>
              </w:rPr>
            </w:pPr>
          </w:p>
        </w:tc>
        <w:tc>
          <w:tcPr>
            <w:tcW w:w="2037" w:type="dxa"/>
            <w:gridSpan w:val="3"/>
            <w:tcBorders>
              <w:top w:val="single" w:sz="4" w:space="0" w:color="auto"/>
              <w:left w:val="single" w:sz="4" w:space="0" w:color="auto"/>
              <w:bottom w:val="single" w:sz="4" w:space="0" w:color="auto"/>
            </w:tcBorders>
          </w:tcPr>
          <w:p w14:paraId="6A102185" w14:textId="77777777" w:rsidR="006253DC" w:rsidRPr="008A36C9" w:rsidRDefault="006253DC" w:rsidP="000F62FD">
            <w:pPr>
              <w:jc w:val="center"/>
              <w:rPr>
                <w:sz w:val="20"/>
                <w:szCs w:val="20"/>
              </w:rPr>
            </w:pPr>
          </w:p>
        </w:tc>
      </w:tr>
      <w:tr w:rsidR="003F3A93" w:rsidRPr="00FB036F" w14:paraId="7DB32B11" w14:textId="77777777" w:rsidTr="003220F9">
        <w:tc>
          <w:tcPr>
            <w:tcW w:w="655" w:type="dxa"/>
            <w:gridSpan w:val="2"/>
            <w:tcBorders>
              <w:top w:val="single" w:sz="6" w:space="0" w:color="000000"/>
              <w:left w:val="single" w:sz="6" w:space="0" w:color="000000"/>
              <w:bottom w:val="single" w:sz="6" w:space="0" w:color="000000"/>
              <w:right w:val="single" w:sz="6" w:space="0" w:color="000000"/>
            </w:tcBorders>
          </w:tcPr>
          <w:p w14:paraId="1A869136" w14:textId="46CC57E1" w:rsidR="003F3A93" w:rsidRPr="00FB036F" w:rsidRDefault="003F3A93" w:rsidP="003F3A93">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14:paraId="377D8129" w14:textId="6444A147" w:rsidR="003F3A93" w:rsidRDefault="003F3A93" w:rsidP="003F3A93">
            <w:pPr>
              <w:rPr>
                <w:i/>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3A319C7D" w14:textId="5E1B9C36" w:rsidR="003F3A93" w:rsidRPr="00AC02AE" w:rsidRDefault="003F3A93" w:rsidP="003F3A93">
            <w:pPr>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A1ACDF0" w14:textId="07A19D49" w:rsidR="003F3A93" w:rsidRPr="003628B2" w:rsidRDefault="003F3A93" w:rsidP="008A5615">
            <w:pPr>
              <w:jc w:val="both"/>
            </w:pPr>
          </w:p>
        </w:tc>
        <w:tc>
          <w:tcPr>
            <w:tcW w:w="1933" w:type="dxa"/>
            <w:gridSpan w:val="2"/>
            <w:tcBorders>
              <w:left w:val="single" w:sz="4" w:space="0" w:color="auto"/>
              <w:bottom w:val="single" w:sz="4" w:space="0" w:color="auto"/>
              <w:right w:val="single" w:sz="4" w:space="0" w:color="auto"/>
            </w:tcBorders>
          </w:tcPr>
          <w:p w14:paraId="515B62E7" w14:textId="77777777" w:rsidR="003F3A93" w:rsidRPr="00E532FA" w:rsidRDefault="003F3A93" w:rsidP="003F3A93">
            <w:pPr>
              <w:jc w:val="both"/>
              <w:rPr>
                <w:i/>
              </w:rPr>
            </w:pPr>
          </w:p>
        </w:tc>
        <w:tc>
          <w:tcPr>
            <w:tcW w:w="2037" w:type="dxa"/>
            <w:gridSpan w:val="3"/>
            <w:tcBorders>
              <w:left w:val="single" w:sz="4" w:space="0" w:color="auto"/>
              <w:bottom w:val="single" w:sz="4" w:space="0" w:color="auto"/>
            </w:tcBorders>
          </w:tcPr>
          <w:p w14:paraId="39EE1548" w14:textId="77777777" w:rsidR="003F3A93" w:rsidRDefault="003F3A93" w:rsidP="003F3A93">
            <w:pPr>
              <w:rPr>
                <w:i/>
              </w:rPr>
            </w:pPr>
          </w:p>
        </w:tc>
      </w:tr>
      <w:tr w:rsidR="003F3A93" w:rsidRPr="00FB036F" w14:paraId="4D990AE2" w14:textId="77777777" w:rsidTr="003220F9">
        <w:tc>
          <w:tcPr>
            <w:tcW w:w="655" w:type="dxa"/>
            <w:gridSpan w:val="2"/>
            <w:tcBorders>
              <w:top w:val="single" w:sz="6" w:space="0" w:color="000000"/>
              <w:left w:val="single" w:sz="6" w:space="0" w:color="000000"/>
              <w:bottom w:val="single" w:sz="6" w:space="0" w:color="000000"/>
              <w:right w:val="single" w:sz="6" w:space="0" w:color="000000"/>
            </w:tcBorders>
          </w:tcPr>
          <w:p w14:paraId="5D88290E" w14:textId="77777777" w:rsidR="003F3A93" w:rsidRPr="00FB036F" w:rsidRDefault="003F3A93" w:rsidP="003F3A93">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14:paraId="5F3FCFEE" w14:textId="77777777" w:rsidR="003F3A93" w:rsidRDefault="003F3A93" w:rsidP="008F4BE3">
            <w:pPr>
              <w:jc w:val="both"/>
              <w:rPr>
                <w:i/>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5AAA584D" w14:textId="1E842B36" w:rsidR="003F3A93" w:rsidRPr="00AC02AE" w:rsidRDefault="003F3A93" w:rsidP="008F4BE3">
            <w:pPr>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75E705DE" w14:textId="42F079F9" w:rsidR="003F3A93" w:rsidRPr="003628B2" w:rsidRDefault="003F3A93" w:rsidP="00BE6B8C">
            <w:pPr>
              <w:jc w:val="both"/>
            </w:pPr>
          </w:p>
        </w:tc>
        <w:tc>
          <w:tcPr>
            <w:tcW w:w="1933" w:type="dxa"/>
            <w:gridSpan w:val="2"/>
            <w:tcBorders>
              <w:left w:val="single" w:sz="4" w:space="0" w:color="auto"/>
              <w:bottom w:val="single" w:sz="4" w:space="0" w:color="auto"/>
              <w:right w:val="single" w:sz="4" w:space="0" w:color="auto"/>
            </w:tcBorders>
          </w:tcPr>
          <w:p w14:paraId="3AD90C30" w14:textId="77777777" w:rsidR="003F3A93" w:rsidRPr="00E532FA" w:rsidRDefault="003F3A93" w:rsidP="003F3A93">
            <w:pPr>
              <w:jc w:val="both"/>
              <w:rPr>
                <w:i/>
              </w:rPr>
            </w:pPr>
          </w:p>
        </w:tc>
        <w:tc>
          <w:tcPr>
            <w:tcW w:w="2037" w:type="dxa"/>
            <w:gridSpan w:val="3"/>
            <w:tcBorders>
              <w:left w:val="single" w:sz="4" w:space="0" w:color="auto"/>
              <w:bottom w:val="single" w:sz="4" w:space="0" w:color="auto"/>
            </w:tcBorders>
          </w:tcPr>
          <w:p w14:paraId="33B54EB3" w14:textId="2A1C002A" w:rsidR="003F3A93" w:rsidRPr="00016F14" w:rsidRDefault="003F3A93" w:rsidP="00BE6B8C">
            <w:pPr>
              <w:jc w:val="both"/>
            </w:pPr>
          </w:p>
        </w:tc>
      </w:tr>
      <w:tr w:rsidR="003F3A93" w:rsidRPr="00FB036F" w14:paraId="63EBD027" w14:textId="77777777" w:rsidTr="003220F9">
        <w:tc>
          <w:tcPr>
            <w:tcW w:w="655" w:type="dxa"/>
            <w:gridSpan w:val="2"/>
            <w:tcBorders>
              <w:top w:val="single" w:sz="6" w:space="0" w:color="000000"/>
              <w:left w:val="single" w:sz="6" w:space="0" w:color="000000"/>
              <w:bottom w:val="single" w:sz="6" w:space="0" w:color="000000"/>
              <w:right w:val="single" w:sz="6" w:space="0" w:color="000000"/>
            </w:tcBorders>
          </w:tcPr>
          <w:p w14:paraId="0343627D" w14:textId="77777777" w:rsidR="003F3A93" w:rsidRPr="00FB036F" w:rsidRDefault="003F3A93" w:rsidP="003F3A93">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14:paraId="4B25F57B" w14:textId="317DAD40" w:rsidR="003F3A93" w:rsidRDefault="003F3A93" w:rsidP="003F3A93">
            <w:pPr>
              <w:rPr>
                <w:i/>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293313D1" w14:textId="1DDB3CF7" w:rsidR="0074616B" w:rsidRPr="00240088" w:rsidRDefault="0074616B" w:rsidP="00C84E9A">
            <w:pPr>
              <w:widowControl w:val="0"/>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89534B1" w14:textId="2B387F70" w:rsidR="004B016B" w:rsidRPr="00240088" w:rsidRDefault="004B016B" w:rsidP="008A5615">
            <w:pPr>
              <w:jc w:val="both"/>
            </w:pPr>
          </w:p>
        </w:tc>
        <w:tc>
          <w:tcPr>
            <w:tcW w:w="1933" w:type="dxa"/>
            <w:gridSpan w:val="2"/>
            <w:tcBorders>
              <w:left w:val="single" w:sz="4" w:space="0" w:color="auto"/>
              <w:bottom w:val="single" w:sz="4" w:space="0" w:color="auto"/>
              <w:right w:val="single" w:sz="4" w:space="0" w:color="auto"/>
            </w:tcBorders>
          </w:tcPr>
          <w:p w14:paraId="6F133E38" w14:textId="77777777" w:rsidR="003F3A93" w:rsidRPr="00E532FA" w:rsidRDefault="003F3A93" w:rsidP="003F3A93">
            <w:pPr>
              <w:jc w:val="both"/>
              <w:rPr>
                <w:i/>
              </w:rPr>
            </w:pPr>
          </w:p>
        </w:tc>
        <w:tc>
          <w:tcPr>
            <w:tcW w:w="2037" w:type="dxa"/>
            <w:gridSpan w:val="3"/>
            <w:tcBorders>
              <w:left w:val="single" w:sz="4" w:space="0" w:color="auto"/>
              <w:bottom w:val="single" w:sz="4" w:space="0" w:color="auto"/>
            </w:tcBorders>
          </w:tcPr>
          <w:p w14:paraId="4864F3DA" w14:textId="7FA655DA" w:rsidR="003F3A93" w:rsidRDefault="003F3A93" w:rsidP="00BE6B8C">
            <w:pPr>
              <w:jc w:val="both"/>
              <w:rPr>
                <w:i/>
              </w:rPr>
            </w:pPr>
          </w:p>
        </w:tc>
      </w:tr>
      <w:tr w:rsidR="00FC01EB" w:rsidRPr="00FB036F" w14:paraId="0D97B511" w14:textId="77777777" w:rsidTr="003220F9">
        <w:tblPrEx>
          <w:tblBorders>
            <w:top w:val="none" w:sz="0" w:space="0" w:color="auto"/>
            <w:left w:val="none" w:sz="0" w:space="0" w:color="auto"/>
            <w:bottom w:val="none" w:sz="0" w:space="0" w:color="auto"/>
            <w:right w:val="none" w:sz="0" w:space="0" w:color="auto"/>
          </w:tblBorders>
        </w:tblPrEx>
        <w:trPr>
          <w:gridAfter w:val="1"/>
          <w:wAfter w:w="27" w:type="dxa"/>
        </w:trPr>
        <w:tc>
          <w:tcPr>
            <w:tcW w:w="3133" w:type="dxa"/>
            <w:gridSpan w:val="4"/>
          </w:tcPr>
          <w:p w14:paraId="689D5FD4" w14:textId="76C8710F" w:rsidR="00FC01EB" w:rsidRPr="00FB036F" w:rsidRDefault="00FC01EB" w:rsidP="00FC01EB">
            <w:pPr>
              <w:pStyle w:val="naiskr"/>
              <w:spacing w:before="0" w:after="0"/>
              <w:jc w:val="center"/>
            </w:pPr>
          </w:p>
        </w:tc>
        <w:tc>
          <w:tcPr>
            <w:tcW w:w="5101" w:type="dxa"/>
            <w:gridSpan w:val="3"/>
          </w:tcPr>
          <w:p w14:paraId="787224EC" w14:textId="77777777" w:rsidR="00FC01EB" w:rsidRPr="00FB036F" w:rsidRDefault="00FC01EB" w:rsidP="00FC01EB">
            <w:pPr>
              <w:pStyle w:val="naiskr"/>
              <w:spacing w:before="0" w:after="0"/>
              <w:jc w:val="center"/>
            </w:pPr>
          </w:p>
        </w:tc>
        <w:tc>
          <w:tcPr>
            <w:tcW w:w="2617" w:type="dxa"/>
            <w:gridSpan w:val="2"/>
          </w:tcPr>
          <w:p w14:paraId="4DFF7AED" w14:textId="77777777" w:rsidR="00FC01EB" w:rsidRPr="00FB036F" w:rsidRDefault="00FC01EB" w:rsidP="00FC01EB"/>
        </w:tc>
        <w:tc>
          <w:tcPr>
            <w:tcW w:w="3269" w:type="dxa"/>
            <w:gridSpan w:val="3"/>
          </w:tcPr>
          <w:p w14:paraId="5D1BC66A" w14:textId="77777777" w:rsidR="00FC01EB" w:rsidRPr="00FB036F" w:rsidRDefault="00FC01EB" w:rsidP="00FC01EB"/>
        </w:tc>
      </w:tr>
      <w:tr w:rsidR="00FC01EB" w:rsidRPr="00FB036F" w14:paraId="0234E457"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1009F783" w14:textId="77777777" w:rsidR="00FC01EB" w:rsidRPr="00FB036F" w:rsidRDefault="00FC01EB" w:rsidP="00FC01EB">
            <w:pPr>
              <w:pStyle w:val="naisf"/>
              <w:spacing w:before="0" w:after="0"/>
              <w:ind w:firstLine="0"/>
            </w:pPr>
            <w:r>
              <w:t xml:space="preserve">Saskaņošanas sanāksme: </w:t>
            </w:r>
          </w:p>
        </w:tc>
        <w:tc>
          <w:tcPr>
            <w:tcW w:w="7830" w:type="dxa"/>
            <w:gridSpan w:val="6"/>
          </w:tcPr>
          <w:p w14:paraId="6969281E" w14:textId="77777777" w:rsidR="00FC01EB" w:rsidRPr="00E87D7E" w:rsidRDefault="00FC01EB" w:rsidP="00FC01EB">
            <w:pPr>
              <w:pStyle w:val="NormalWeb"/>
              <w:spacing w:before="0" w:beforeAutospacing="0" w:after="0" w:afterAutospacing="0"/>
            </w:pPr>
          </w:p>
        </w:tc>
      </w:tr>
      <w:tr w:rsidR="00FC01EB" w:rsidRPr="00FB036F" w14:paraId="66DF6806"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42287E20" w14:textId="77777777" w:rsidR="00FC01EB" w:rsidRPr="00FB036F" w:rsidRDefault="00FC01EB" w:rsidP="00FC01EB">
            <w:pPr>
              <w:pStyle w:val="naisf"/>
              <w:spacing w:before="0" w:after="0"/>
              <w:ind w:firstLine="0"/>
            </w:pPr>
          </w:p>
        </w:tc>
        <w:tc>
          <w:tcPr>
            <w:tcW w:w="7830" w:type="dxa"/>
            <w:gridSpan w:val="6"/>
          </w:tcPr>
          <w:p w14:paraId="267B6506" w14:textId="77777777" w:rsidR="00FC01EB" w:rsidRPr="00FB036F" w:rsidRDefault="00FC01EB" w:rsidP="00FC01EB">
            <w:pPr>
              <w:pStyle w:val="NormalWeb"/>
              <w:spacing w:before="0" w:beforeAutospacing="0" w:after="0" w:afterAutospacing="0"/>
            </w:pPr>
          </w:p>
        </w:tc>
      </w:tr>
      <w:tr w:rsidR="00FC01EB" w:rsidRPr="00FB036F" w14:paraId="402FC05E"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23A6AE02" w14:textId="77777777" w:rsidR="00FC01EB" w:rsidRPr="00FB036F" w:rsidRDefault="00FC01EB" w:rsidP="00FC01EB">
            <w:pPr>
              <w:pStyle w:val="naiskr"/>
              <w:spacing w:before="0" w:after="0"/>
            </w:pPr>
            <w:r w:rsidRPr="00FB036F">
              <w:t>Saskaņošanas dalībnieki</w:t>
            </w:r>
          </w:p>
        </w:tc>
        <w:tc>
          <w:tcPr>
            <w:tcW w:w="7830" w:type="dxa"/>
            <w:gridSpan w:val="6"/>
          </w:tcPr>
          <w:p w14:paraId="4C6E57EB" w14:textId="77777777" w:rsidR="00FC01EB" w:rsidRPr="00FB036F" w:rsidRDefault="00FC01EB" w:rsidP="00FC01EB">
            <w:pPr>
              <w:pStyle w:val="NormalWeb"/>
              <w:spacing w:before="0" w:beforeAutospacing="0" w:after="0" w:afterAutospacing="0"/>
            </w:pPr>
            <w:r>
              <w:t>Zemkopības ministrija, Ekonomikas ministrija, Latvijas Studentu apvienība, Veselības ministrija, Kultūras ministrija, Zemkopības ministrija, Iekšlietu ministrija, Pārresoru koordinācijas centrs, Augstākās izglītības padome, Labklājības ministrija, Latvijas jauno zinātnieku apvie</w:t>
            </w:r>
            <w:r w:rsidR="00D52758">
              <w:t>nība, Finanšu nozaru asociācija</w:t>
            </w:r>
          </w:p>
        </w:tc>
      </w:tr>
      <w:tr w:rsidR="00FC01EB" w:rsidRPr="00FB036F" w14:paraId="45580F34"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02F3A281" w14:textId="77777777" w:rsidR="00FC01EB" w:rsidRPr="00FB036F" w:rsidRDefault="00FC01EB" w:rsidP="00FC01EB">
            <w:pPr>
              <w:pStyle w:val="naiskr"/>
              <w:spacing w:before="0" w:after="0"/>
              <w:ind w:firstLine="720"/>
            </w:pPr>
          </w:p>
        </w:tc>
        <w:tc>
          <w:tcPr>
            <w:tcW w:w="7830" w:type="dxa"/>
            <w:gridSpan w:val="6"/>
            <w:tcBorders>
              <w:top w:val="single" w:sz="6" w:space="0" w:color="000000"/>
              <w:bottom w:val="single" w:sz="6" w:space="0" w:color="000000"/>
            </w:tcBorders>
          </w:tcPr>
          <w:p w14:paraId="57ADE5DC" w14:textId="77777777" w:rsidR="00FC01EB" w:rsidRPr="00FB036F" w:rsidRDefault="00FC01EB" w:rsidP="00FC01EB">
            <w:pPr>
              <w:pStyle w:val="naiskr"/>
              <w:spacing w:before="0" w:after="0"/>
              <w:jc w:val="both"/>
            </w:pPr>
          </w:p>
        </w:tc>
      </w:tr>
      <w:tr w:rsidR="00FC01EB" w:rsidRPr="00FB036F" w14:paraId="3FB39F80"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5E4C060C" w14:textId="77777777" w:rsidR="00FC01EB" w:rsidRPr="00FB036F" w:rsidRDefault="00FC01EB" w:rsidP="00FC01EB">
            <w:pPr>
              <w:pStyle w:val="naiskr"/>
              <w:spacing w:before="0" w:after="0"/>
              <w:ind w:firstLine="720"/>
            </w:pPr>
          </w:p>
        </w:tc>
        <w:tc>
          <w:tcPr>
            <w:tcW w:w="7830" w:type="dxa"/>
            <w:gridSpan w:val="6"/>
            <w:tcBorders>
              <w:top w:val="single" w:sz="6" w:space="0" w:color="000000"/>
              <w:bottom w:val="single" w:sz="6" w:space="0" w:color="000000"/>
            </w:tcBorders>
          </w:tcPr>
          <w:p w14:paraId="2590D121" w14:textId="77777777" w:rsidR="00FC01EB" w:rsidRPr="00FB036F" w:rsidRDefault="00FC01EB" w:rsidP="00FC01EB">
            <w:pPr>
              <w:pStyle w:val="naiskr"/>
              <w:spacing w:before="0" w:after="0"/>
              <w:jc w:val="both"/>
            </w:pPr>
          </w:p>
        </w:tc>
      </w:tr>
      <w:tr w:rsidR="00FC01EB" w:rsidRPr="00FB036F" w14:paraId="690F9334" w14:textId="77777777"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14:paraId="68FADA66" w14:textId="77777777" w:rsidR="00FC01EB" w:rsidRPr="00FB036F" w:rsidRDefault="00FC01EB" w:rsidP="00FC01EB">
            <w:pPr>
              <w:pStyle w:val="naiskr"/>
              <w:spacing w:before="0" w:after="0"/>
              <w:ind w:firstLine="720"/>
            </w:pPr>
          </w:p>
        </w:tc>
        <w:tc>
          <w:tcPr>
            <w:tcW w:w="7830" w:type="dxa"/>
            <w:gridSpan w:val="6"/>
            <w:tcBorders>
              <w:top w:val="single" w:sz="6" w:space="0" w:color="000000"/>
              <w:bottom w:val="single" w:sz="6" w:space="0" w:color="000000"/>
            </w:tcBorders>
          </w:tcPr>
          <w:p w14:paraId="7A996048" w14:textId="77777777" w:rsidR="00FC01EB" w:rsidRPr="00FB036F" w:rsidRDefault="00FC01EB" w:rsidP="00FC01EB">
            <w:pPr>
              <w:pStyle w:val="naiskr"/>
              <w:spacing w:before="0" w:after="0"/>
              <w:jc w:val="both"/>
            </w:pPr>
          </w:p>
        </w:tc>
      </w:tr>
    </w:tbl>
    <w:p w14:paraId="158F2535" w14:textId="77777777" w:rsidR="00FB68BD" w:rsidRDefault="00FB68BD" w:rsidP="00FB68BD"/>
    <w:tbl>
      <w:tblPr>
        <w:tblW w:w="22539" w:type="dxa"/>
        <w:tblLook w:val="00A0" w:firstRow="1" w:lastRow="0" w:firstColumn="1" w:lastColumn="0" w:noHBand="0" w:noVBand="0"/>
      </w:tblPr>
      <w:tblGrid>
        <w:gridCol w:w="14175"/>
        <w:gridCol w:w="236"/>
        <w:gridCol w:w="8128"/>
      </w:tblGrid>
      <w:tr w:rsidR="00FB036F" w:rsidRPr="00FB036F" w14:paraId="44A2426B" w14:textId="77777777" w:rsidTr="005919A5">
        <w:trPr>
          <w:trHeight w:val="285"/>
        </w:trPr>
        <w:tc>
          <w:tcPr>
            <w:tcW w:w="14175" w:type="dxa"/>
          </w:tcPr>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D9524B" w14:paraId="539E1331" w14:textId="77777777" w:rsidTr="001801C2">
              <w:trPr>
                <w:trHeight w:val="285"/>
              </w:trPr>
              <w:tc>
                <w:tcPr>
                  <w:tcW w:w="6345" w:type="dxa"/>
                </w:tcPr>
                <w:p w14:paraId="2F932AA3" w14:textId="77777777" w:rsidR="0044472B" w:rsidRPr="00D9524B" w:rsidRDefault="0044472B" w:rsidP="0044472B">
                  <w:pPr>
                    <w:pStyle w:val="naisf"/>
                    <w:ind w:firstLine="284"/>
                  </w:pPr>
                  <w:r w:rsidRPr="00D9524B">
                    <w:t>Saskaņošanas dalībnieki izskatīja šādu ministriju (citu institūciju) iebildumus</w:t>
                  </w:r>
                </w:p>
              </w:tc>
              <w:tc>
                <w:tcPr>
                  <w:tcW w:w="6237" w:type="dxa"/>
                  <w:tcBorders>
                    <w:bottom w:val="single" w:sz="4" w:space="0" w:color="auto"/>
                  </w:tcBorders>
                </w:tcPr>
                <w:p w14:paraId="3BD77486" w14:textId="77777777" w:rsidR="0044472B" w:rsidRPr="00D9524B" w:rsidRDefault="0044472B" w:rsidP="0044472B">
                  <w:pPr>
                    <w:pStyle w:val="naisf"/>
                    <w:ind w:firstLine="0"/>
                  </w:pPr>
                </w:p>
              </w:tc>
            </w:tr>
          </w:tbl>
          <w:p w14:paraId="725328D2" w14:textId="77777777" w:rsidR="00FB68BD" w:rsidRPr="00FB036F" w:rsidRDefault="00FB68BD" w:rsidP="005F5C7A">
            <w:pPr>
              <w:pStyle w:val="naiskr"/>
              <w:spacing w:before="0" w:after="0"/>
            </w:pPr>
          </w:p>
        </w:tc>
        <w:tc>
          <w:tcPr>
            <w:tcW w:w="236" w:type="dxa"/>
          </w:tcPr>
          <w:p w14:paraId="7B520150" w14:textId="77777777" w:rsidR="00FB68BD" w:rsidRPr="00FB036F" w:rsidRDefault="00FB68BD" w:rsidP="00EC4985">
            <w:pPr>
              <w:pStyle w:val="naiskr"/>
              <w:spacing w:before="0" w:after="0"/>
              <w:ind w:firstLine="720"/>
            </w:pPr>
          </w:p>
        </w:tc>
        <w:tc>
          <w:tcPr>
            <w:tcW w:w="8128" w:type="dxa"/>
          </w:tcPr>
          <w:p w14:paraId="1409522D" w14:textId="77777777" w:rsidR="00FB68BD" w:rsidRPr="00FB036F" w:rsidRDefault="00FB68BD" w:rsidP="005F36EA">
            <w:pPr>
              <w:pStyle w:val="naiskr"/>
              <w:spacing w:before="0" w:after="0"/>
            </w:pPr>
          </w:p>
        </w:tc>
      </w:tr>
      <w:tr w:rsidR="00FB036F" w:rsidRPr="00FB036F" w14:paraId="2901B2EC" w14:textId="77777777" w:rsidTr="005919A5">
        <w:trPr>
          <w:trHeight w:val="465"/>
        </w:trPr>
        <w:tc>
          <w:tcPr>
            <w:tcW w:w="22539" w:type="dxa"/>
            <w:gridSpan w:val="3"/>
          </w:tcPr>
          <w:p w14:paraId="1FDAD3F2" w14:textId="77777777" w:rsidR="00FB68BD" w:rsidRPr="00FB036F" w:rsidRDefault="00FB68BD" w:rsidP="00EC4985">
            <w:pPr>
              <w:pStyle w:val="naisc"/>
              <w:spacing w:before="0" w:after="0"/>
              <w:ind w:left="4820" w:firstLine="720"/>
            </w:pPr>
          </w:p>
        </w:tc>
      </w:tr>
      <w:tr w:rsidR="00FB68BD" w:rsidRPr="00FB036F" w14:paraId="2B0D4B1D" w14:textId="77777777" w:rsidTr="005919A5">
        <w:tc>
          <w:tcPr>
            <w:tcW w:w="14175" w:type="dxa"/>
          </w:tcPr>
          <w:p w14:paraId="4139D091" w14:textId="77777777" w:rsidR="00FB68BD" w:rsidRPr="00FB036F" w:rsidRDefault="00FB68BD" w:rsidP="00EC4985">
            <w:pPr>
              <w:pStyle w:val="naiskr"/>
              <w:spacing w:before="0" w:after="0"/>
            </w:pPr>
          </w:p>
        </w:tc>
        <w:tc>
          <w:tcPr>
            <w:tcW w:w="8364" w:type="dxa"/>
            <w:gridSpan w:val="2"/>
          </w:tcPr>
          <w:p w14:paraId="6203136E" w14:textId="77777777" w:rsidR="00FB68BD" w:rsidRPr="00FB036F" w:rsidRDefault="00FB68BD" w:rsidP="00B14537">
            <w:pPr>
              <w:pStyle w:val="naiskr"/>
              <w:spacing w:before="0" w:after="0"/>
              <w:jc w:val="center"/>
              <w:rPr>
                <w:highlight w:val="yellow"/>
              </w:rPr>
            </w:pPr>
          </w:p>
        </w:tc>
      </w:tr>
    </w:tbl>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44472B" w14:paraId="33D66A55" w14:textId="77777777" w:rsidTr="0044472B">
        <w:tc>
          <w:tcPr>
            <w:tcW w:w="6345" w:type="dxa"/>
          </w:tcPr>
          <w:p w14:paraId="38075D72" w14:textId="77777777" w:rsidR="0044472B" w:rsidRPr="0044472B" w:rsidRDefault="0044472B" w:rsidP="0044472B">
            <w:pPr>
              <w:spacing w:before="75" w:after="75"/>
              <w:ind w:firstLine="284"/>
              <w:jc w:val="both"/>
            </w:pPr>
            <w:r w:rsidRPr="0044472B">
              <w:t>Ministrijas (citas institūcijas), kuras nav ieradušās uz sanāksmi vai kuras nav atbildējušas uz uzaicinājumu piedalīties elektroniskajā saskaņošanā</w:t>
            </w:r>
          </w:p>
        </w:tc>
        <w:tc>
          <w:tcPr>
            <w:tcW w:w="6237" w:type="dxa"/>
            <w:tcBorders>
              <w:top w:val="single" w:sz="6" w:space="0" w:color="000000"/>
              <w:bottom w:val="single" w:sz="6" w:space="0" w:color="000000"/>
            </w:tcBorders>
          </w:tcPr>
          <w:p w14:paraId="0D98A3F3" w14:textId="77777777" w:rsidR="0044472B" w:rsidRPr="0044472B" w:rsidRDefault="0044472B" w:rsidP="0044472B">
            <w:pPr>
              <w:spacing w:before="75" w:after="75"/>
              <w:jc w:val="both"/>
            </w:pPr>
          </w:p>
        </w:tc>
      </w:tr>
    </w:tbl>
    <w:p w14:paraId="43BA1C8A" w14:textId="77777777" w:rsidR="002900AB" w:rsidRDefault="002900AB" w:rsidP="005F5C7A">
      <w:pPr>
        <w:pStyle w:val="naisf"/>
        <w:spacing w:before="0" w:after="0"/>
        <w:ind w:firstLine="0"/>
        <w:jc w:val="center"/>
        <w:rPr>
          <w:rFonts w:eastAsia="SimSun"/>
          <w:lang w:eastAsia="zh-CN" w:bidi="he-IL"/>
        </w:rPr>
      </w:pPr>
    </w:p>
    <w:p w14:paraId="55E5B5EB" w14:textId="77777777" w:rsidR="001801C2" w:rsidRDefault="001801C2" w:rsidP="005F5C7A">
      <w:pPr>
        <w:pStyle w:val="naisf"/>
        <w:spacing w:before="0" w:after="0"/>
        <w:ind w:firstLine="0"/>
        <w:jc w:val="center"/>
        <w:rPr>
          <w:rFonts w:eastAsia="SimSun"/>
          <w:lang w:eastAsia="zh-CN" w:bidi="he-IL"/>
        </w:rPr>
      </w:pPr>
    </w:p>
    <w:p w14:paraId="6880E5C4" w14:textId="77777777" w:rsidR="001801C2" w:rsidRDefault="001801C2" w:rsidP="005F5C7A">
      <w:pPr>
        <w:pStyle w:val="naisf"/>
        <w:spacing w:before="0" w:after="0"/>
        <w:ind w:firstLine="0"/>
        <w:jc w:val="center"/>
        <w:rPr>
          <w:rFonts w:eastAsia="SimSun"/>
          <w:lang w:eastAsia="zh-CN" w:bidi="he-IL"/>
        </w:rPr>
      </w:pPr>
    </w:p>
    <w:p w14:paraId="33FB7189" w14:textId="77777777" w:rsidR="001801C2" w:rsidRDefault="001801C2" w:rsidP="005F5C7A">
      <w:pPr>
        <w:pStyle w:val="naisf"/>
        <w:spacing w:before="0" w:after="0"/>
        <w:ind w:firstLine="0"/>
        <w:jc w:val="center"/>
        <w:rPr>
          <w:rFonts w:eastAsia="SimSun"/>
          <w:lang w:eastAsia="zh-CN" w:bidi="he-IL"/>
        </w:rPr>
      </w:pPr>
    </w:p>
    <w:p w14:paraId="503F6CBC" w14:textId="77777777" w:rsidR="007113DF" w:rsidRDefault="007113DF" w:rsidP="001801C2">
      <w:pPr>
        <w:jc w:val="center"/>
        <w:rPr>
          <w:b/>
        </w:rPr>
      </w:pPr>
    </w:p>
    <w:p w14:paraId="2C3B4B94" w14:textId="77777777" w:rsidR="001801C2" w:rsidRPr="001801C2" w:rsidRDefault="001801C2" w:rsidP="001801C2">
      <w:pPr>
        <w:jc w:val="center"/>
        <w:rPr>
          <w:b/>
        </w:rPr>
      </w:pPr>
      <w:r w:rsidRPr="001801C2">
        <w:rPr>
          <w:b/>
        </w:rPr>
        <w:t>II. Jautājumi, par kuriem saskaņošanā vienošanās ir panākta</w:t>
      </w:r>
    </w:p>
    <w:p w14:paraId="79CF3A17" w14:textId="77777777" w:rsidR="001801C2" w:rsidRPr="001801C2" w:rsidRDefault="001801C2" w:rsidP="001801C2">
      <w:pPr>
        <w:jc w:val="both"/>
      </w:pPr>
    </w:p>
    <w:tbl>
      <w:tblPr>
        <w:tblW w:w="14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12"/>
        <w:gridCol w:w="3260"/>
        <w:gridCol w:w="4110"/>
        <w:gridCol w:w="2986"/>
      </w:tblGrid>
      <w:tr w:rsidR="001801C2" w:rsidRPr="001801C2" w14:paraId="69103AD3" w14:textId="77777777" w:rsidTr="00C64E73">
        <w:tc>
          <w:tcPr>
            <w:tcW w:w="708" w:type="dxa"/>
            <w:tcBorders>
              <w:top w:val="single" w:sz="6" w:space="0" w:color="000000"/>
              <w:left w:val="single" w:sz="6" w:space="0" w:color="000000"/>
              <w:bottom w:val="single" w:sz="6" w:space="0" w:color="000000"/>
              <w:right w:val="single" w:sz="6" w:space="0" w:color="000000"/>
            </w:tcBorders>
            <w:vAlign w:val="center"/>
          </w:tcPr>
          <w:p w14:paraId="1DF46F95" w14:textId="77777777" w:rsidR="001801C2" w:rsidRPr="001801C2" w:rsidRDefault="001801C2" w:rsidP="001801C2">
            <w:pPr>
              <w:jc w:val="center"/>
            </w:pPr>
            <w:r w:rsidRPr="001801C2">
              <w:t>Nr. p.k.</w:t>
            </w:r>
          </w:p>
        </w:tc>
        <w:tc>
          <w:tcPr>
            <w:tcW w:w="3112" w:type="dxa"/>
            <w:tcBorders>
              <w:top w:val="single" w:sz="6" w:space="0" w:color="000000"/>
              <w:left w:val="single" w:sz="6" w:space="0" w:color="000000"/>
              <w:bottom w:val="single" w:sz="6" w:space="0" w:color="000000"/>
              <w:right w:val="single" w:sz="6" w:space="0" w:color="000000"/>
            </w:tcBorders>
            <w:vAlign w:val="center"/>
          </w:tcPr>
          <w:p w14:paraId="456957E8" w14:textId="77777777" w:rsidR="001801C2" w:rsidRPr="001801C2" w:rsidRDefault="001801C2" w:rsidP="001801C2">
            <w:pPr>
              <w:jc w:val="center"/>
            </w:pPr>
            <w:r w:rsidRPr="001801C2">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755E42A2" w14:textId="77777777" w:rsidR="001801C2" w:rsidRPr="001801C2" w:rsidRDefault="001801C2" w:rsidP="001801C2">
            <w:pPr>
              <w:ind w:right="3"/>
              <w:jc w:val="center"/>
            </w:pPr>
            <w:r w:rsidRPr="001801C2">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3C2F3B82" w14:textId="77777777" w:rsidR="001801C2" w:rsidRPr="001801C2" w:rsidRDefault="001801C2" w:rsidP="001801C2">
            <w:pPr>
              <w:jc w:val="center"/>
            </w:pPr>
            <w:r w:rsidRPr="001801C2">
              <w:t>Atbildīgās ministrijas norāde par to, ka iebildums ir ņemts vērā, vai informācija par saskaņošanā panākto alternatīvo risinājumu</w:t>
            </w:r>
          </w:p>
        </w:tc>
        <w:tc>
          <w:tcPr>
            <w:tcW w:w="2986" w:type="dxa"/>
            <w:tcBorders>
              <w:top w:val="single" w:sz="4" w:space="0" w:color="auto"/>
              <w:left w:val="single" w:sz="4" w:space="0" w:color="auto"/>
              <w:bottom w:val="single" w:sz="4" w:space="0" w:color="auto"/>
            </w:tcBorders>
            <w:vAlign w:val="center"/>
          </w:tcPr>
          <w:p w14:paraId="7B0AD166" w14:textId="77777777" w:rsidR="001801C2" w:rsidRPr="001801C2" w:rsidRDefault="001801C2" w:rsidP="001801C2">
            <w:pPr>
              <w:jc w:val="center"/>
            </w:pPr>
            <w:r w:rsidRPr="001801C2">
              <w:t>Projekta attiecīgā punkta (panta) galīgā redakcija</w:t>
            </w:r>
          </w:p>
        </w:tc>
      </w:tr>
      <w:tr w:rsidR="001801C2" w:rsidRPr="001801C2" w14:paraId="36B9BE1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EADABC3" w14:textId="77777777" w:rsidR="001801C2" w:rsidRPr="001801C2" w:rsidRDefault="001801C2" w:rsidP="001801C2">
            <w:pPr>
              <w:jc w:val="center"/>
            </w:pPr>
            <w:r w:rsidRPr="001801C2">
              <w:t>1</w:t>
            </w:r>
          </w:p>
        </w:tc>
        <w:tc>
          <w:tcPr>
            <w:tcW w:w="3112" w:type="dxa"/>
            <w:tcBorders>
              <w:top w:val="single" w:sz="6" w:space="0" w:color="000000"/>
              <w:left w:val="single" w:sz="6" w:space="0" w:color="000000"/>
              <w:bottom w:val="single" w:sz="6" w:space="0" w:color="000000"/>
              <w:right w:val="single" w:sz="6" w:space="0" w:color="000000"/>
            </w:tcBorders>
          </w:tcPr>
          <w:p w14:paraId="57A31C06" w14:textId="77777777" w:rsidR="001801C2" w:rsidRPr="001801C2" w:rsidRDefault="001801C2" w:rsidP="001801C2">
            <w:pPr>
              <w:jc w:val="center"/>
            </w:pPr>
            <w:r w:rsidRPr="001801C2">
              <w:t>2</w:t>
            </w:r>
          </w:p>
        </w:tc>
        <w:tc>
          <w:tcPr>
            <w:tcW w:w="3260" w:type="dxa"/>
            <w:tcBorders>
              <w:top w:val="single" w:sz="6" w:space="0" w:color="000000"/>
              <w:left w:val="single" w:sz="6" w:space="0" w:color="000000"/>
              <w:bottom w:val="single" w:sz="6" w:space="0" w:color="000000"/>
              <w:right w:val="single" w:sz="6" w:space="0" w:color="000000"/>
            </w:tcBorders>
          </w:tcPr>
          <w:p w14:paraId="2776F743" w14:textId="77777777" w:rsidR="001801C2" w:rsidRPr="001801C2" w:rsidRDefault="001801C2" w:rsidP="001801C2">
            <w:pPr>
              <w:jc w:val="center"/>
            </w:pPr>
            <w:r w:rsidRPr="001801C2">
              <w:t>3</w:t>
            </w:r>
          </w:p>
        </w:tc>
        <w:tc>
          <w:tcPr>
            <w:tcW w:w="4110" w:type="dxa"/>
            <w:tcBorders>
              <w:top w:val="single" w:sz="6" w:space="0" w:color="000000"/>
              <w:left w:val="single" w:sz="6" w:space="0" w:color="000000"/>
              <w:bottom w:val="single" w:sz="6" w:space="0" w:color="000000"/>
              <w:right w:val="single" w:sz="6" w:space="0" w:color="000000"/>
            </w:tcBorders>
          </w:tcPr>
          <w:p w14:paraId="19F87A18" w14:textId="77777777" w:rsidR="001801C2" w:rsidRPr="001801C2" w:rsidRDefault="001801C2" w:rsidP="001801C2">
            <w:pPr>
              <w:jc w:val="center"/>
            </w:pPr>
            <w:r w:rsidRPr="001801C2">
              <w:t>4</w:t>
            </w:r>
          </w:p>
        </w:tc>
        <w:tc>
          <w:tcPr>
            <w:tcW w:w="2986" w:type="dxa"/>
            <w:tcBorders>
              <w:top w:val="single" w:sz="4" w:space="0" w:color="auto"/>
              <w:left w:val="single" w:sz="4" w:space="0" w:color="auto"/>
              <w:bottom w:val="single" w:sz="4" w:space="0" w:color="auto"/>
            </w:tcBorders>
          </w:tcPr>
          <w:p w14:paraId="6C709966" w14:textId="77777777" w:rsidR="001801C2" w:rsidRPr="001801C2" w:rsidRDefault="001801C2" w:rsidP="001801C2">
            <w:pPr>
              <w:jc w:val="center"/>
            </w:pPr>
            <w:r w:rsidRPr="001801C2">
              <w:t>5</w:t>
            </w:r>
          </w:p>
        </w:tc>
      </w:tr>
      <w:tr w:rsidR="008273D6" w:rsidRPr="001801C2" w14:paraId="336D5D8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EBF3348" w14:textId="77777777" w:rsidR="008273D6" w:rsidRDefault="008273D6" w:rsidP="00E879CF">
            <w:pPr>
              <w:pStyle w:val="naisc"/>
              <w:spacing w:before="0" w:after="0"/>
              <w:ind w:left="360"/>
              <w:jc w:val="left"/>
            </w:pPr>
          </w:p>
        </w:tc>
        <w:tc>
          <w:tcPr>
            <w:tcW w:w="3112" w:type="dxa"/>
            <w:tcBorders>
              <w:top w:val="single" w:sz="6" w:space="0" w:color="000000"/>
              <w:left w:val="single" w:sz="6" w:space="0" w:color="000000"/>
              <w:bottom w:val="single" w:sz="6" w:space="0" w:color="000000"/>
              <w:right w:val="single" w:sz="6" w:space="0" w:color="000000"/>
            </w:tcBorders>
          </w:tcPr>
          <w:p w14:paraId="581F1557" w14:textId="77777777" w:rsidR="009D76B1" w:rsidRPr="00611115" w:rsidRDefault="008363DA" w:rsidP="00611115">
            <w:pPr>
              <w:pStyle w:val="naisc"/>
              <w:spacing w:before="0" w:after="0"/>
              <w:jc w:val="both"/>
            </w:pPr>
            <w:r w:rsidRPr="00611115">
              <w:t>Projekts</w:t>
            </w:r>
          </w:p>
        </w:tc>
        <w:tc>
          <w:tcPr>
            <w:tcW w:w="3260" w:type="dxa"/>
            <w:tcBorders>
              <w:top w:val="single" w:sz="6" w:space="0" w:color="000000"/>
              <w:left w:val="single" w:sz="6" w:space="0" w:color="000000"/>
              <w:bottom w:val="single" w:sz="6" w:space="0" w:color="000000"/>
              <w:right w:val="single" w:sz="6" w:space="0" w:color="000000"/>
            </w:tcBorders>
          </w:tcPr>
          <w:p w14:paraId="3B828FAF" w14:textId="77777777" w:rsidR="008363DA" w:rsidRPr="00331D70" w:rsidRDefault="009C03BC" w:rsidP="008363DA">
            <w:pPr>
              <w:jc w:val="both"/>
              <w:rPr>
                <w:rFonts w:ascii="TimesNewRoman" w:eastAsia="Calibri" w:hAnsi="TimesNewRoman" w:cs="TimesNewRoman"/>
                <w:b/>
              </w:rPr>
            </w:pPr>
            <w:r w:rsidRPr="00331D70">
              <w:rPr>
                <w:rFonts w:ascii="TimesNewRoman" w:eastAsia="Calibri" w:hAnsi="TimesNewRoman" w:cs="TimesNewRoman"/>
                <w:b/>
              </w:rPr>
              <w:t xml:space="preserve">Latvijas Studentu apvienība (17.05.2019. vēstule Nr. </w:t>
            </w:r>
            <w:r w:rsidRPr="00331D70">
              <w:rPr>
                <w:rFonts w:ascii="Times-Roman" w:eastAsia="Calibri" w:hAnsi="Times-Roman" w:cs="Times-Roman"/>
                <w:b/>
              </w:rPr>
              <w:t>2019/PV23</w:t>
            </w:r>
            <w:r w:rsidRPr="00331D70">
              <w:rPr>
                <w:rFonts w:ascii="TimesNewRoman" w:eastAsia="Calibri" w:hAnsi="TimesNewRoman" w:cs="TimesNewRoman"/>
                <w:b/>
              </w:rPr>
              <w:t xml:space="preserve">): </w:t>
            </w:r>
          </w:p>
          <w:p w14:paraId="1ACF07B1" w14:textId="77777777" w:rsidR="000A5207" w:rsidRDefault="009C03BC" w:rsidP="009C03BC">
            <w:pPr>
              <w:jc w:val="both"/>
            </w:pPr>
            <w:r w:rsidRPr="00331D70">
              <w:t>LSA viennozīmīgi</w:t>
            </w:r>
            <w:r w:rsidRPr="009C03BC">
              <w:t xml:space="preserve"> pauž atbalstu otrā galvotāja prasības un studiju kredīta līguma</w:t>
            </w:r>
            <w:r>
              <w:t xml:space="preserve"> </w:t>
            </w:r>
            <w:r w:rsidRPr="009C03BC">
              <w:t>summas griestu atcelšanai, rosinājumam valsts vārdā garantiju turpmāk sniegt A/S “Attīstības</w:t>
            </w:r>
            <w:r>
              <w:t xml:space="preserve"> </w:t>
            </w:r>
            <w:r w:rsidRPr="009C03BC">
              <w:t>finanšu institūcijas Altum” portfeļa garantijas instrumenta veidā, iespēju studējošajam izvēlēties</w:t>
            </w:r>
            <w:r>
              <w:t xml:space="preserve"> </w:t>
            </w:r>
            <w:r w:rsidRPr="009C03BC">
              <w:t>sev piemērotāko kredītiestādi, kā arī iespēju pirmā studiju gada laikā mainīt studiju programmu,</w:t>
            </w:r>
            <w:r>
              <w:t xml:space="preserve"> </w:t>
            </w:r>
            <w:r w:rsidRPr="009C03BC">
              <w:t xml:space="preserve">mainot kredīta </w:t>
            </w:r>
            <w:r w:rsidRPr="009C03BC">
              <w:lastRenderedPageBreak/>
              <w:t>summu, ja nepieciešams. Tāpat LSA atbalsta IZM iniciatīvu Ministru kabineta</w:t>
            </w:r>
            <w:r>
              <w:t xml:space="preserve"> </w:t>
            </w:r>
            <w:r w:rsidRPr="009C03BC">
              <w:t>noteikumos paredzēt to, ka piedziņas gadījumā kredītiestādei jāpiedāvā risināt maksātnespējas</w:t>
            </w:r>
            <w:r>
              <w:t xml:space="preserve"> </w:t>
            </w:r>
            <w:r w:rsidRPr="009C03BC">
              <w:t>problēmas p</w:t>
            </w:r>
            <w:r>
              <w:t xml:space="preserve">ārrunu ceļā, pirms stājās spēkā </w:t>
            </w:r>
            <w:r w:rsidRPr="009C03BC">
              <w:t>bezstrīdu piedziņa.</w:t>
            </w:r>
            <w:r>
              <w:t xml:space="preserve"> </w:t>
            </w:r>
          </w:p>
          <w:p w14:paraId="1366BFFC" w14:textId="77777777" w:rsidR="0009209E" w:rsidRDefault="0009209E" w:rsidP="009C03BC">
            <w:pPr>
              <w:jc w:val="both"/>
            </w:pPr>
          </w:p>
          <w:p w14:paraId="67DFE03D" w14:textId="77777777" w:rsidR="000A5207" w:rsidRDefault="000A5207" w:rsidP="000A5207">
            <w:pPr>
              <w:jc w:val="both"/>
              <w:rPr>
                <w:b/>
              </w:rPr>
            </w:pPr>
            <w:r w:rsidRPr="0009209E">
              <w:t xml:space="preserve">Savukārt ziņojuma 9. lapā minētā iespēja studējošajam pašam sevi pieteikami nodrošināt, strādājot paralēli studijām, tiek balstīta uz datiem par šībrīža darba tirgus situāciju augstāko izglītības iestāžu absolventiem un kas sevi un savu ģimeni finansiāli balsta ar atalgotu darbu savā sfērā. LSA vēlas uzsvērt, ka daļa bakalaura un 1. līmeņa augstākās profesionālās izglītības studiju programmās studējošo studiju maksas, sadzīves un ar studijām saistīto tēriņu segšanai slēdz kredītlīgumu, kas, respektīvi, norāda, ka šai daļai kreditēšanas sistēmas mērķauditorijas  augstāko izglītību apliecinoša dokumenta vēl nav, tāpēc arī nav tik augstas iespējas iekļauties darba tirgū un ieņemt labi atalgotu pozīciju. LSA </w:t>
            </w:r>
            <w:r w:rsidRPr="0009209E">
              <w:lastRenderedPageBreak/>
              <w:t>iebilst pret šāda argumenta izmantošanu ziņojumā, jo tas var būt maldinošs un likt nezinātājam pārvērtēt pašreiz bakalaura studiju līmenī studējošo un reflektantu finansiālo situāciju.</w:t>
            </w:r>
          </w:p>
          <w:p w14:paraId="12AA7F1F" w14:textId="77777777" w:rsidR="000A5207" w:rsidRDefault="000A5207" w:rsidP="009C03BC">
            <w:pPr>
              <w:jc w:val="both"/>
            </w:pPr>
          </w:p>
          <w:p w14:paraId="31DB7E83" w14:textId="77777777" w:rsidR="009C03BC" w:rsidRDefault="009C03BC" w:rsidP="009C03BC">
            <w:pPr>
              <w:jc w:val="both"/>
            </w:pPr>
            <w:r w:rsidRPr="0009209E">
              <w:t>Jāņem vērā, ka studējošajam, uzsākot studijas, iestāšanās posmā ir dažādi administratīvie</w:t>
            </w:r>
            <w:r w:rsidR="009D4177" w:rsidRPr="0009209E">
              <w:t xml:space="preserve"> </w:t>
            </w:r>
            <w:r w:rsidRPr="0009209E">
              <w:t>izdevumi, piemēram, 30 EUR</w:t>
            </w:r>
            <w:r w:rsidRPr="009C03BC">
              <w:t xml:space="preserve"> reģistr</w:t>
            </w:r>
            <w:r w:rsidR="003F2587">
              <w:t>ācijas maksa p</w:t>
            </w:r>
            <w:r w:rsidRPr="009C03BC">
              <w:t>o</w:t>
            </w:r>
            <w:r w:rsidR="003F2587">
              <w:t>r</w:t>
            </w:r>
            <w:r w:rsidRPr="009C03BC">
              <w:t>tālā Latvija.lv par pieteikuma noformēšanu,</w:t>
            </w:r>
            <w:r w:rsidR="009D4177">
              <w:t xml:space="preserve"> </w:t>
            </w:r>
            <w:r w:rsidRPr="009C03BC">
              <w:t>pēcāk, slēdzot kredītlīgumu, klāt nāk bankas maksa par līguma slēgšanu. Jaunajā modelī</w:t>
            </w:r>
            <w:r w:rsidR="009D4177">
              <w:t xml:space="preserve"> </w:t>
            </w:r>
            <w:r w:rsidRPr="009C03BC">
              <w:t>paredzētā kredīta līgumu slēgšana notariālā akta kārtība, kas kredītiestādēm atvieglotu kredīta</w:t>
            </w:r>
            <w:r w:rsidR="009D4177">
              <w:t xml:space="preserve"> </w:t>
            </w:r>
            <w:r w:rsidRPr="009C03BC">
              <w:t>piedziņu un studējošajam – ar to saistītās izmaksas –, taču, ja ar studiju uzsākšanu saistītās</w:t>
            </w:r>
            <w:r w:rsidR="009D4177">
              <w:t xml:space="preserve"> </w:t>
            </w:r>
            <w:r w:rsidRPr="009C03BC">
              <w:t>izmaksas pieaugtu par 60 EUR, tas varētu kļūt par nevajadzīgu šķērsli kredīta pieejamībai. LSA</w:t>
            </w:r>
            <w:r w:rsidR="009D4177">
              <w:t xml:space="preserve"> </w:t>
            </w:r>
            <w:r w:rsidRPr="009C03BC">
              <w:t>atbalsta saņemšanas procedūras vienkāršošanu un iespēju līgumu noformēt attālināti. Tomēr,</w:t>
            </w:r>
            <w:r w:rsidR="009D4177">
              <w:t xml:space="preserve"> </w:t>
            </w:r>
            <w:r w:rsidRPr="009C03BC">
              <w:t xml:space="preserve">saprotot, kāda ir valsts galvoto kredītu mērķauditorija, LSA aicina jaunajā modelī </w:t>
            </w:r>
            <w:r w:rsidRPr="009C03BC">
              <w:lastRenderedPageBreak/>
              <w:t>noteikt</w:t>
            </w:r>
            <w:r w:rsidR="009D4177">
              <w:t xml:space="preserve"> </w:t>
            </w:r>
            <w:r w:rsidRPr="009C03BC">
              <w:t>2</w:t>
            </w:r>
            <w:r w:rsidR="009D4177">
              <w:t xml:space="preserve"> </w:t>
            </w:r>
            <w:r w:rsidRPr="009C03BC">
              <w:t>griestus kopējiem ar kredīta saņemšanu saistītajiem izdevumiem, lai finansiālo līdzekļu</w:t>
            </w:r>
            <w:r w:rsidR="009D4177">
              <w:t xml:space="preserve"> </w:t>
            </w:r>
            <w:r w:rsidRPr="009C03BC">
              <w:t>trūkums nebūtu traucēklis studējošā izvēlei uzsākt vai turpināt studijas.</w:t>
            </w:r>
          </w:p>
          <w:p w14:paraId="4C912E8C" w14:textId="77777777" w:rsidR="00444E10" w:rsidRDefault="00444E10" w:rsidP="009C03BC">
            <w:pPr>
              <w:jc w:val="both"/>
            </w:pPr>
          </w:p>
          <w:p w14:paraId="78B38B38" w14:textId="77777777" w:rsidR="00444E10" w:rsidRDefault="00444E10" w:rsidP="009C03BC">
            <w:pPr>
              <w:jc w:val="both"/>
            </w:pPr>
            <w:r w:rsidRPr="009C03BC">
              <w:t>Pastāvošā kredītu dzēšanas sistēma ir necaurredzama un tās darbības principi nav skaidri.</w:t>
            </w:r>
            <w:r>
              <w:t xml:space="preserve"> </w:t>
            </w:r>
            <w:r w:rsidRPr="009C03BC">
              <w:t>LSA ir saņēmusi anonīmas sūdzības par nepaskaidrotu atteikumu kredīta dzēšanai, kā arī par</w:t>
            </w:r>
            <w:r>
              <w:t xml:space="preserve"> </w:t>
            </w:r>
            <w:r w:rsidRPr="009C03BC">
              <w:t>neskaidrībām saistībā ar profesiju sarakstu, kurās strādājošajiem valsts un pašvaldību institūciju</w:t>
            </w:r>
            <w:r>
              <w:t xml:space="preserve"> </w:t>
            </w:r>
            <w:r w:rsidRPr="009C03BC">
              <w:t>darbiniekiem kredīti tiek dzēsti prioritāri. LSA aicina turpināt diskusiju par uzlabotu kredītu</w:t>
            </w:r>
            <w:r>
              <w:t xml:space="preserve"> </w:t>
            </w:r>
            <w:r w:rsidRPr="009C03BC">
              <w:t>dzēšanas modeli vai citiem līdzvērtīgiem finansiālajiem atbalsta mehānismiem gan valstij</w:t>
            </w:r>
            <w:r>
              <w:t xml:space="preserve"> </w:t>
            </w:r>
            <w:r w:rsidRPr="009C03BC">
              <w:t>svarīgajās nozarēs strādājošajiem, gan jaunajiem vecākiem, gan bāreņiem un I un II pakāpes</w:t>
            </w:r>
            <w:r>
              <w:t xml:space="preserve"> </w:t>
            </w:r>
            <w:r w:rsidRPr="009C03BC">
              <w:t>invalīdiem. Tāpat LSA aicina rast nepieciešamo papildu finansējumu dzēšanas mehānisma</w:t>
            </w:r>
            <w:r>
              <w:t xml:space="preserve"> </w:t>
            </w:r>
            <w:r w:rsidRPr="009C03BC">
              <w:t>efektīvai realizēšanai jaunā modeļa ietvaros</w:t>
            </w:r>
          </w:p>
          <w:p w14:paraId="1AF0E5CC" w14:textId="77777777" w:rsidR="003F2587" w:rsidRPr="009C03BC" w:rsidRDefault="003F2587" w:rsidP="009C03BC">
            <w:pPr>
              <w:jc w:val="both"/>
            </w:pPr>
          </w:p>
          <w:p w14:paraId="26AC7FBA" w14:textId="77777777" w:rsidR="009C03BC" w:rsidRDefault="003F2587" w:rsidP="009C03BC">
            <w:pPr>
              <w:jc w:val="both"/>
            </w:pPr>
            <w:r>
              <w:lastRenderedPageBreak/>
              <w:t xml:space="preserve">Kopumā </w:t>
            </w:r>
            <w:r w:rsidR="009C03BC" w:rsidRPr="009C03BC">
              <w:t>LSA konceptuāli pauž atbalstu IZM piedāvātajām izmaiņām valsts galvoto</w:t>
            </w:r>
            <w:r w:rsidR="009D4177">
              <w:t xml:space="preserve"> </w:t>
            </w:r>
            <w:r w:rsidR="009C03BC" w:rsidRPr="009C03BC">
              <w:t xml:space="preserve">studiju un studējošo kreditēšanas sistēmā, un aicina Ministru kabinetu atbalstīt </w:t>
            </w:r>
            <w:r w:rsidR="009C03BC" w:rsidRPr="009D4177">
              <w:rPr>
                <w:b/>
              </w:rPr>
              <w:t>4. rīcības</w:t>
            </w:r>
            <w:r w:rsidR="009D4177" w:rsidRPr="009D4177">
              <w:rPr>
                <w:b/>
              </w:rPr>
              <w:t xml:space="preserve"> </w:t>
            </w:r>
            <w:r w:rsidR="009C03BC" w:rsidRPr="009D4177">
              <w:rPr>
                <w:b/>
              </w:rPr>
              <w:t>variantu,</w:t>
            </w:r>
            <w:r w:rsidR="009C03BC" w:rsidRPr="009C03BC">
              <w:t xml:space="preserve"> rodot tā realizēšanai papildu nepieciešamo finansējumu 2020. gada valsts</w:t>
            </w:r>
            <w:r w:rsidR="009D4177">
              <w:t xml:space="preserve"> </w:t>
            </w:r>
            <w:r w:rsidR="009C03BC" w:rsidRPr="009C03BC">
              <w:t>budžetā, kā arī vidēja termiņa budžeta plānā 2020.-2022. gadā.</w:t>
            </w:r>
          </w:p>
          <w:p w14:paraId="42ACDA63" w14:textId="77777777" w:rsidR="00600C8E" w:rsidRDefault="00600C8E" w:rsidP="009C03BC">
            <w:pPr>
              <w:jc w:val="both"/>
            </w:pPr>
          </w:p>
          <w:p w14:paraId="7C42DD4E" w14:textId="77777777" w:rsidR="00600C8E" w:rsidRPr="00EC2062" w:rsidRDefault="00600C8E" w:rsidP="00600C8E">
            <w:pPr>
              <w:jc w:val="both"/>
              <w:rPr>
                <w:b/>
              </w:rPr>
            </w:pPr>
            <w:r w:rsidRPr="00EC2062">
              <w:rPr>
                <w:b/>
              </w:rPr>
              <w:t xml:space="preserve">(LSA </w:t>
            </w:r>
            <w:r w:rsidRPr="00EC2062">
              <w:rPr>
                <w:rFonts w:ascii="TimesNewRomanPSMT" w:eastAsia="Calibri" w:hAnsi="TimesNewRomanPSMT" w:cs="TimesNewRomanPSMT"/>
                <w:b/>
              </w:rPr>
              <w:t>24.06.2019.</w:t>
            </w:r>
            <w:r w:rsidRPr="00EC2062">
              <w:rPr>
                <w:b/>
              </w:rPr>
              <w:t xml:space="preserve"> atzinums Nr. 2019/PV26):</w:t>
            </w:r>
          </w:p>
          <w:p w14:paraId="2C30F545" w14:textId="77777777" w:rsidR="00600C8E" w:rsidRPr="00EC2062" w:rsidRDefault="00600C8E" w:rsidP="00600C8E">
            <w:pPr>
              <w:jc w:val="both"/>
            </w:pPr>
            <w:r w:rsidRPr="00EC2062">
              <w:t xml:space="preserve">LSA konceptuāli </w:t>
            </w:r>
            <w:r w:rsidRPr="00EC2062">
              <w:rPr>
                <w:bCs/>
              </w:rPr>
              <w:t xml:space="preserve">pauž atbalstu </w:t>
            </w:r>
            <w:r w:rsidRPr="00EC2062">
              <w:t>IZM piedāvātajām izmaiņām valsts galvoto studiju</w:t>
            </w:r>
          </w:p>
          <w:p w14:paraId="6D3E1C53" w14:textId="77777777" w:rsidR="00600C8E" w:rsidRPr="00600C8E" w:rsidRDefault="00600C8E" w:rsidP="00600C8E">
            <w:pPr>
              <w:jc w:val="both"/>
              <w:rPr>
                <w:bCs/>
              </w:rPr>
            </w:pPr>
            <w:r w:rsidRPr="00EC2062">
              <w:t xml:space="preserve">un studējošo kreditēšanas sistēmā, un </w:t>
            </w:r>
            <w:r w:rsidRPr="00EC2062">
              <w:rPr>
                <w:bCs/>
              </w:rPr>
              <w:t xml:space="preserve">rosina Ministru kabinetu atbalstīt 4. rīcības variantu, </w:t>
            </w:r>
            <w:r w:rsidRPr="00EC2062">
              <w:t>kas paredz vismaz 2 000 jauno kredītu izsniegšanu un dzēšanas turpināšanu bērnu piedzimšanas</w:t>
            </w:r>
            <w:r w:rsidRPr="00EC2062">
              <w:rPr>
                <w:bCs/>
              </w:rPr>
              <w:t xml:space="preserve"> </w:t>
            </w:r>
            <w:r w:rsidRPr="00EC2062">
              <w:t xml:space="preserve">gadījumos, attiecinot to uz abiem vecākiem, </w:t>
            </w:r>
            <w:r w:rsidRPr="00EC2062">
              <w:rPr>
                <w:bCs/>
              </w:rPr>
              <w:t>un rodot tā realizēšanai papildu nepieciešamo finansējumu 2020. gada valsts budžetā, kā arī vidēja termiņa budžeta plānā 2020.-2022. gadā.</w:t>
            </w:r>
          </w:p>
        </w:tc>
        <w:tc>
          <w:tcPr>
            <w:tcW w:w="4110" w:type="dxa"/>
            <w:tcBorders>
              <w:top w:val="single" w:sz="6" w:space="0" w:color="000000"/>
              <w:left w:val="single" w:sz="6" w:space="0" w:color="000000"/>
              <w:bottom w:val="single" w:sz="6" w:space="0" w:color="000000"/>
              <w:right w:val="single" w:sz="6" w:space="0" w:color="000000"/>
            </w:tcBorders>
          </w:tcPr>
          <w:p w14:paraId="02D18834" w14:textId="77777777" w:rsidR="000A5207" w:rsidRPr="00033ACD" w:rsidRDefault="00033ACD" w:rsidP="00033ACD">
            <w:pPr>
              <w:ind w:firstLine="284"/>
              <w:jc w:val="center"/>
              <w:rPr>
                <w:b/>
              </w:rPr>
            </w:pPr>
            <w:r w:rsidRPr="00033ACD">
              <w:rPr>
                <w:b/>
              </w:rPr>
              <w:lastRenderedPageBreak/>
              <w:t>Ņemts vērā</w:t>
            </w:r>
            <w:r w:rsidR="005151E8">
              <w:rPr>
                <w:b/>
              </w:rPr>
              <w:t xml:space="preserve"> pēc būtības</w:t>
            </w:r>
          </w:p>
          <w:p w14:paraId="3B62E3AB" w14:textId="77777777" w:rsidR="000A5207" w:rsidRDefault="000A5207" w:rsidP="009C39B6">
            <w:pPr>
              <w:ind w:firstLine="284"/>
              <w:jc w:val="both"/>
            </w:pPr>
          </w:p>
          <w:p w14:paraId="5BC4FA7A" w14:textId="77777777" w:rsidR="000A5207" w:rsidRDefault="000A5207" w:rsidP="009C39B6">
            <w:pPr>
              <w:ind w:firstLine="284"/>
              <w:jc w:val="both"/>
            </w:pPr>
          </w:p>
          <w:p w14:paraId="2ECA059E" w14:textId="77777777" w:rsidR="000A5207" w:rsidRDefault="000A5207" w:rsidP="009C39B6">
            <w:pPr>
              <w:ind w:firstLine="284"/>
              <w:jc w:val="both"/>
            </w:pPr>
          </w:p>
          <w:p w14:paraId="17465C70" w14:textId="77777777" w:rsidR="000A5207" w:rsidRDefault="000A5207" w:rsidP="009C39B6">
            <w:pPr>
              <w:ind w:firstLine="284"/>
              <w:jc w:val="both"/>
            </w:pPr>
          </w:p>
          <w:p w14:paraId="0154E698" w14:textId="77777777" w:rsidR="000A5207" w:rsidRDefault="000A5207" w:rsidP="009C39B6">
            <w:pPr>
              <w:ind w:firstLine="284"/>
              <w:jc w:val="both"/>
            </w:pPr>
          </w:p>
          <w:p w14:paraId="311F07A6" w14:textId="77777777" w:rsidR="000A5207" w:rsidRDefault="000A5207" w:rsidP="009C39B6">
            <w:pPr>
              <w:ind w:firstLine="284"/>
              <w:jc w:val="both"/>
            </w:pPr>
          </w:p>
          <w:p w14:paraId="0E752827" w14:textId="77777777" w:rsidR="000A5207" w:rsidRDefault="000A5207" w:rsidP="009C39B6">
            <w:pPr>
              <w:ind w:firstLine="284"/>
              <w:jc w:val="both"/>
            </w:pPr>
          </w:p>
          <w:p w14:paraId="3F920BAA" w14:textId="77777777" w:rsidR="000A5207" w:rsidRDefault="000A5207" w:rsidP="009C39B6">
            <w:pPr>
              <w:ind w:firstLine="284"/>
              <w:jc w:val="both"/>
            </w:pPr>
          </w:p>
          <w:p w14:paraId="60D65063" w14:textId="77777777" w:rsidR="000A5207" w:rsidRDefault="000A5207" w:rsidP="009C39B6">
            <w:pPr>
              <w:ind w:firstLine="284"/>
              <w:jc w:val="both"/>
            </w:pPr>
          </w:p>
          <w:p w14:paraId="18D6BD09" w14:textId="77777777" w:rsidR="000A5207" w:rsidRDefault="000A5207" w:rsidP="009C39B6">
            <w:pPr>
              <w:ind w:firstLine="284"/>
              <w:jc w:val="both"/>
            </w:pPr>
          </w:p>
          <w:p w14:paraId="011EB84C" w14:textId="77777777" w:rsidR="000A5207" w:rsidRDefault="000A5207" w:rsidP="009C39B6">
            <w:pPr>
              <w:ind w:firstLine="284"/>
              <w:jc w:val="both"/>
            </w:pPr>
          </w:p>
          <w:p w14:paraId="1290EDAA" w14:textId="77777777" w:rsidR="000A5207" w:rsidRDefault="000A5207" w:rsidP="009C39B6">
            <w:pPr>
              <w:ind w:firstLine="284"/>
              <w:jc w:val="both"/>
            </w:pPr>
          </w:p>
          <w:p w14:paraId="5CFA531F" w14:textId="77777777" w:rsidR="000A5207" w:rsidRDefault="000A5207" w:rsidP="009C39B6">
            <w:pPr>
              <w:ind w:firstLine="284"/>
              <w:jc w:val="both"/>
            </w:pPr>
          </w:p>
          <w:p w14:paraId="0A53B2BB" w14:textId="77777777" w:rsidR="000A5207" w:rsidRDefault="000A5207" w:rsidP="009C39B6">
            <w:pPr>
              <w:ind w:firstLine="284"/>
              <w:jc w:val="both"/>
            </w:pPr>
          </w:p>
          <w:p w14:paraId="47FC5F4A" w14:textId="77777777" w:rsidR="000A5207" w:rsidRDefault="000A5207" w:rsidP="009C39B6">
            <w:pPr>
              <w:ind w:firstLine="284"/>
              <w:jc w:val="both"/>
            </w:pPr>
          </w:p>
          <w:p w14:paraId="37E06BEE" w14:textId="77777777" w:rsidR="000A5207" w:rsidRDefault="000A5207" w:rsidP="009C39B6">
            <w:pPr>
              <w:ind w:firstLine="284"/>
              <w:jc w:val="both"/>
            </w:pPr>
          </w:p>
          <w:p w14:paraId="37995F54" w14:textId="77777777" w:rsidR="000A5207" w:rsidRDefault="000A5207" w:rsidP="009C39B6">
            <w:pPr>
              <w:ind w:firstLine="284"/>
              <w:jc w:val="both"/>
            </w:pPr>
          </w:p>
          <w:p w14:paraId="11EAF980" w14:textId="77777777" w:rsidR="000A5207" w:rsidRDefault="000A5207" w:rsidP="009C39B6">
            <w:pPr>
              <w:ind w:firstLine="284"/>
              <w:jc w:val="both"/>
            </w:pPr>
          </w:p>
          <w:p w14:paraId="7E72711F" w14:textId="77777777" w:rsidR="000A5207" w:rsidRDefault="000A5207" w:rsidP="009C39B6">
            <w:pPr>
              <w:ind w:firstLine="284"/>
              <w:jc w:val="both"/>
            </w:pPr>
          </w:p>
          <w:p w14:paraId="076AB95C" w14:textId="77777777" w:rsidR="000A5207" w:rsidRDefault="000A5207" w:rsidP="009C39B6">
            <w:pPr>
              <w:ind w:firstLine="284"/>
              <w:jc w:val="both"/>
            </w:pPr>
          </w:p>
          <w:p w14:paraId="2455C515" w14:textId="77777777" w:rsidR="000A5207" w:rsidRDefault="000A5207" w:rsidP="009C39B6">
            <w:pPr>
              <w:ind w:firstLine="284"/>
              <w:jc w:val="both"/>
            </w:pPr>
          </w:p>
          <w:p w14:paraId="0976751F" w14:textId="77777777" w:rsidR="000A5207" w:rsidRDefault="000A5207" w:rsidP="009C39B6">
            <w:pPr>
              <w:ind w:firstLine="284"/>
              <w:jc w:val="both"/>
            </w:pPr>
          </w:p>
          <w:p w14:paraId="2077EC79" w14:textId="77777777" w:rsidR="000A5207" w:rsidRDefault="000A5207" w:rsidP="009C39B6">
            <w:pPr>
              <w:ind w:firstLine="284"/>
              <w:jc w:val="both"/>
            </w:pPr>
          </w:p>
          <w:p w14:paraId="33B79900" w14:textId="77777777" w:rsidR="00A32F7A" w:rsidRDefault="00A32F7A" w:rsidP="009C39B6">
            <w:pPr>
              <w:ind w:firstLine="284"/>
              <w:jc w:val="both"/>
            </w:pPr>
          </w:p>
          <w:p w14:paraId="257573F0" w14:textId="77777777" w:rsidR="00A32F7A" w:rsidRDefault="00A32F7A" w:rsidP="009C39B6">
            <w:pPr>
              <w:ind w:firstLine="284"/>
              <w:jc w:val="both"/>
            </w:pPr>
          </w:p>
          <w:p w14:paraId="25ED76FC" w14:textId="77777777" w:rsidR="0009209E" w:rsidRDefault="0009209E" w:rsidP="009C39B6">
            <w:pPr>
              <w:ind w:firstLine="284"/>
              <w:jc w:val="both"/>
            </w:pPr>
          </w:p>
          <w:p w14:paraId="21FA6F40" w14:textId="77777777" w:rsidR="000A5207" w:rsidRDefault="000A5207" w:rsidP="000A5207">
            <w:pPr>
              <w:jc w:val="both"/>
            </w:pPr>
            <w:r w:rsidRPr="00756AEE">
              <w:t>Ziņojum</w:t>
            </w:r>
            <w:r>
              <w:t>a</w:t>
            </w:r>
            <w:r w:rsidRPr="00756AEE">
              <w:t xml:space="preserve"> 9.lapā netiek minēta iespēja studējošajam pašam sevi nodrošināt, strādājot paralēli studijām. </w:t>
            </w:r>
          </w:p>
          <w:p w14:paraId="1F8AAB97" w14:textId="77777777" w:rsidR="000A5207" w:rsidRDefault="000A5207" w:rsidP="000A5207">
            <w:pPr>
              <w:jc w:val="both"/>
            </w:pPr>
            <w:r>
              <w:t xml:space="preserve">Ziņojuma </w:t>
            </w:r>
            <w:r w:rsidRPr="00756AEE">
              <w:t>9.lapā</w:t>
            </w:r>
            <w:r>
              <w:t xml:space="preserve"> minētais vidējais mēneša maksājums 25 </w:t>
            </w:r>
            <w:r w:rsidRPr="00A32F7A">
              <w:rPr>
                <w:i/>
              </w:rPr>
              <w:t>euro</w:t>
            </w:r>
            <w:r>
              <w:t xml:space="preserve"> apmērā par kredīta atmaksu un informācija par darba samaksu iedzīvotājiem ar augstāko izglītību (nevis studējo</w:t>
            </w:r>
            <w:r w:rsidR="003F2587">
              <w:t>šiem, kuri</w:t>
            </w:r>
            <w:r>
              <w:t xml:space="preserve"> vēl nav ieg</w:t>
            </w:r>
            <w:r w:rsidR="003F2587">
              <w:t>uvuši</w:t>
            </w:r>
            <w:r>
              <w:t xml:space="preserve"> </w:t>
            </w:r>
            <w:r w:rsidR="003F2587">
              <w:t xml:space="preserve">augstāko </w:t>
            </w:r>
            <w:r>
              <w:t>izglīt</w:t>
            </w:r>
            <w:r w:rsidR="003F2587">
              <w:t>ību</w:t>
            </w:r>
            <w:r>
              <w:t xml:space="preserve">) tiek minēti, atspoguļojot </w:t>
            </w:r>
            <w:r w:rsidR="003B4703">
              <w:t xml:space="preserve">ieguvumus no augstākās izglītības un to, ka atmaksājamo līdzekļu summa mēnesī ir salīdzinoši neliela, kontekstā ar </w:t>
            </w:r>
            <w:r w:rsidRPr="000A5207">
              <w:t xml:space="preserve">darba grupas </w:t>
            </w:r>
            <w:r w:rsidR="003B4703">
              <w:t>diskusijām</w:t>
            </w:r>
            <w:r w:rsidRPr="000A5207">
              <w:t xml:space="preserve"> par </w:t>
            </w:r>
            <w:r w:rsidR="005A126F">
              <w:t>dzēšanas mehānismu efektivitāti</w:t>
            </w:r>
            <w:r>
              <w:t xml:space="preserve">. </w:t>
            </w:r>
          </w:p>
          <w:p w14:paraId="25E58252" w14:textId="77777777" w:rsidR="000A5207" w:rsidRDefault="000A5207" w:rsidP="009C39B6">
            <w:pPr>
              <w:ind w:firstLine="284"/>
              <w:jc w:val="both"/>
            </w:pPr>
          </w:p>
          <w:p w14:paraId="70C53BAF" w14:textId="77777777" w:rsidR="003F2587" w:rsidRDefault="003F2587" w:rsidP="009C39B6">
            <w:pPr>
              <w:ind w:firstLine="284"/>
              <w:jc w:val="both"/>
            </w:pPr>
          </w:p>
          <w:p w14:paraId="598F95BE" w14:textId="77777777" w:rsidR="003F2587" w:rsidRDefault="003F2587" w:rsidP="009C39B6">
            <w:pPr>
              <w:ind w:firstLine="284"/>
              <w:jc w:val="both"/>
            </w:pPr>
          </w:p>
          <w:p w14:paraId="74708CE3" w14:textId="77777777" w:rsidR="003F2587" w:rsidRDefault="003F2587" w:rsidP="009C39B6">
            <w:pPr>
              <w:ind w:firstLine="284"/>
              <w:jc w:val="both"/>
            </w:pPr>
          </w:p>
          <w:p w14:paraId="1CD9CBC4" w14:textId="77777777" w:rsidR="003F2587" w:rsidRDefault="003F2587" w:rsidP="009C39B6">
            <w:pPr>
              <w:ind w:firstLine="284"/>
              <w:jc w:val="both"/>
            </w:pPr>
          </w:p>
          <w:p w14:paraId="6A6AD5DF" w14:textId="77777777" w:rsidR="003F2587" w:rsidRDefault="003F2587" w:rsidP="009C39B6">
            <w:pPr>
              <w:ind w:firstLine="284"/>
              <w:jc w:val="both"/>
            </w:pPr>
          </w:p>
          <w:p w14:paraId="1F9BCAA5" w14:textId="77777777" w:rsidR="003F2587" w:rsidRDefault="003F2587" w:rsidP="009C39B6">
            <w:pPr>
              <w:ind w:firstLine="284"/>
              <w:jc w:val="both"/>
            </w:pPr>
          </w:p>
          <w:p w14:paraId="36B9CE5E" w14:textId="77777777" w:rsidR="003F2587" w:rsidRDefault="003F2587" w:rsidP="009C39B6">
            <w:pPr>
              <w:ind w:firstLine="284"/>
              <w:jc w:val="both"/>
            </w:pPr>
          </w:p>
          <w:p w14:paraId="112ECF5B" w14:textId="77777777" w:rsidR="003F2587" w:rsidRDefault="003F2587" w:rsidP="009C39B6">
            <w:pPr>
              <w:ind w:firstLine="284"/>
              <w:jc w:val="both"/>
            </w:pPr>
          </w:p>
          <w:p w14:paraId="4BD59C6A" w14:textId="77777777" w:rsidR="003F2587" w:rsidRDefault="003F2587" w:rsidP="003F2587">
            <w:pPr>
              <w:jc w:val="both"/>
            </w:pPr>
          </w:p>
          <w:p w14:paraId="5CDE7DDA" w14:textId="77777777" w:rsidR="003F2587" w:rsidRDefault="003F2587" w:rsidP="003F2587">
            <w:pPr>
              <w:jc w:val="both"/>
            </w:pPr>
          </w:p>
          <w:p w14:paraId="5E8EEAE3" w14:textId="77777777" w:rsidR="003F2587" w:rsidRDefault="003F2587" w:rsidP="003F2587">
            <w:pPr>
              <w:jc w:val="both"/>
            </w:pPr>
          </w:p>
          <w:p w14:paraId="2BD5E660" w14:textId="77777777" w:rsidR="001D44FD" w:rsidRDefault="001D44FD" w:rsidP="003F2587">
            <w:pPr>
              <w:jc w:val="both"/>
            </w:pPr>
          </w:p>
          <w:p w14:paraId="47F3B788" w14:textId="77777777" w:rsidR="001D44FD" w:rsidRDefault="001D44FD" w:rsidP="003F2587">
            <w:pPr>
              <w:jc w:val="both"/>
            </w:pPr>
          </w:p>
          <w:p w14:paraId="6BD4C142" w14:textId="77777777" w:rsidR="001D44FD" w:rsidRDefault="001D44FD" w:rsidP="003F2587">
            <w:pPr>
              <w:jc w:val="both"/>
            </w:pPr>
          </w:p>
          <w:p w14:paraId="5C06ED8C" w14:textId="77777777" w:rsidR="001D44FD" w:rsidRDefault="001D44FD" w:rsidP="003F2587">
            <w:pPr>
              <w:jc w:val="both"/>
            </w:pPr>
          </w:p>
          <w:p w14:paraId="10D3F558" w14:textId="77777777" w:rsidR="00033ACD" w:rsidRDefault="00033ACD" w:rsidP="003F2587">
            <w:pPr>
              <w:jc w:val="both"/>
            </w:pPr>
          </w:p>
          <w:p w14:paraId="2E77F082" w14:textId="77777777" w:rsidR="003F2587" w:rsidRDefault="003F2587" w:rsidP="003F2587">
            <w:pPr>
              <w:jc w:val="both"/>
            </w:pPr>
          </w:p>
          <w:p w14:paraId="4A528644" w14:textId="77777777" w:rsidR="003F2587" w:rsidRDefault="003F2587" w:rsidP="00B93248">
            <w:pPr>
              <w:jc w:val="both"/>
            </w:pPr>
            <w:r>
              <w:t xml:space="preserve">Ministrija piekrīt, ka mērķis būtu pēc iespējas samazināt studējošā izmaksas par līguma slēgšanu u.c. un šīs jautājums tiks risināts izstrādājot Ministru kabineta noteikumus </w:t>
            </w:r>
            <w:r w:rsidR="00B93248" w:rsidRPr="00B93248">
              <w:t>par studiju un studējošā kreditēšanu no kredītiestādes līdzekļiem ar valsts vārdā sniegtu galvojumu</w:t>
            </w:r>
            <w:r w:rsidR="00B93248">
              <w:t xml:space="preserve">. Konceptuālā ziņojuma mērķis ir </w:t>
            </w:r>
            <w:r w:rsidR="00B93248" w:rsidRPr="00B93248">
              <w:t>informēt Ministru kabinetu par nepieciešamajām izmaiņām studiju un studējošo kreditēšanas no kredītiestāžu līdzekļiem ar valsts vārdā sniegtu galvojumu modelī</w:t>
            </w:r>
            <w:r w:rsidR="00D7327A">
              <w:t xml:space="preserve">, </w:t>
            </w:r>
            <w:r w:rsidR="00B93248">
              <w:t xml:space="preserve">sniegt informāciju </w:t>
            </w:r>
            <w:r w:rsidR="003628B2">
              <w:t xml:space="preserve">par </w:t>
            </w:r>
            <w:r w:rsidR="00D7327A">
              <w:t>ietekmi uz valsts budžetu un iegūt mandātu normatīvā regulējuma izstrādei.</w:t>
            </w:r>
          </w:p>
          <w:p w14:paraId="5AF5ACC7" w14:textId="77777777" w:rsidR="00444E10" w:rsidRDefault="00444E10" w:rsidP="00B93248">
            <w:pPr>
              <w:jc w:val="both"/>
            </w:pPr>
          </w:p>
          <w:p w14:paraId="1DF23279" w14:textId="77777777" w:rsidR="00444E10" w:rsidRDefault="00444E10" w:rsidP="00B93248">
            <w:pPr>
              <w:jc w:val="both"/>
            </w:pPr>
          </w:p>
          <w:p w14:paraId="6F87202D" w14:textId="77777777" w:rsidR="00444E10" w:rsidRDefault="00444E10" w:rsidP="00B93248">
            <w:pPr>
              <w:jc w:val="both"/>
            </w:pPr>
          </w:p>
          <w:p w14:paraId="2DEA3E7B" w14:textId="77777777" w:rsidR="00444E10" w:rsidRDefault="00444E10" w:rsidP="00B93248">
            <w:pPr>
              <w:jc w:val="both"/>
            </w:pPr>
          </w:p>
          <w:p w14:paraId="0E6BD053" w14:textId="77777777" w:rsidR="00444E10" w:rsidRDefault="00444E10" w:rsidP="00B93248">
            <w:pPr>
              <w:jc w:val="both"/>
            </w:pPr>
          </w:p>
          <w:p w14:paraId="5923B93F" w14:textId="77777777" w:rsidR="00444E10" w:rsidRDefault="00444E10" w:rsidP="00B93248">
            <w:pPr>
              <w:jc w:val="both"/>
            </w:pPr>
          </w:p>
          <w:p w14:paraId="4A868F76" w14:textId="77777777" w:rsidR="00444E10" w:rsidRDefault="00444E10" w:rsidP="00B93248">
            <w:pPr>
              <w:jc w:val="both"/>
            </w:pPr>
          </w:p>
          <w:p w14:paraId="273A7916" w14:textId="77777777" w:rsidR="00444E10" w:rsidRDefault="00444E10" w:rsidP="00B93248">
            <w:pPr>
              <w:jc w:val="both"/>
            </w:pPr>
          </w:p>
          <w:p w14:paraId="094404F5" w14:textId="77777777" w:rsidR="00444E10" w:rsidRDefault="00444E10" w:rsidP="00B93248">
            <w:pPr>
              <w:jc w:val="both"/>
            </w:pPr>
          </w:p>
          <w:p w14:paraId="117ED4D1" w14:textId="77777777" w:rsidR="00444E10" w:rsidRDefault="00444E10" w:rsidP="00B93248">
            <w:pPr>
              <w:jc w:val="both"/>
            </w:pPr>
          </w:p>
          <w:p w14:paraId="49B7170A" w14:textId="77777777" w:rsidR="00444E10" w:rsidRDefault="00444E10" w:rsidP="00B93248">
            <w:pPr>
              <w:jc w:val="both"/>
            </w:pPr>
          </w:p>
          <w:p w14:paraId="0FFBAE8E" w14:textId="77777777" w:rsidR="00444E10" w:rsidRDefault="00444E10" w:rsidP="00B93248">
            <w:pPr>
              <w:jc w:val="both"/>
            </w:pPr>
          </w:p>
          <w:p w14:paraId="456441D8" w14:textId="77777777" w:rsidR="00444E10" w:rsidRDefault="00444E10" w:rsidP="00B93248">
            <w:pPr>
              <w:jc w:val="both"/>
            </w:pPr>
          </w:p>
          <w:p w14:paraId="323EE784" w14:textId="77777777" w:rsidR="00444E10" w:rsidRDefault="00444E10" w:rsidP="00B93248">
            <w:pPr>
              <w:jc w:val="both"/>
            </w:pPr>
          </w:p>
          <w:p w14:paraId="324489F2" w14:textId="77777777" w:rsidR="00444E10" w:rsidRDefault="00444E10" w:rsidP="00B93248">
            <w:pPr>
              <w:jc w:val="both"/>
            </w:pPr>
          </w:p>
          <w:p w14:paraId="0A6CDE56" w14:textId="77777777" w:rsidR="00444E10" w:rsidRDefault="00444E10" w:rsidP="00B93248">
            <w:pPr>
              <w:jc w:val="both"/>
            </w:pPr>
          </w:p>
          <w:p w14:paraId="0D9A3F6B" w14:textId="77777777" w:rsidR="00444E10" w:rsidRDefault="00444E10" w:rsidP="00B93248">
            <w:pPr>
              <w:jc w:val="both"/>
            </w:pPr>
          </w:p>
          <w:p w14:paraId="717FABDB" w14:textId="77777777" w:rsidR="00444E10" w:rsidRPr="005C5BE4" w:rsidRDefault="00444E10" w:rsidP="0009209E">
            <w:pPr>
              <w:jc w:val="both"/>
            </w:pPr>
            <w:r>
              <w:t xml:space="preserve">Ministrija ir iekļāvusi konceptuālajā ziņojumā rīcības variantu, kas paredz turpināt kredītu dzēšanu un turpmākā rīcība ir atkarīga no Ministru kabineta atbalstītā rīcības varianta un lēmumiem budžeta veidošanas procesā. Ministrija piekrīt, ka izšķiroties turpināt dzēšanu par darbu noteiktajās jomās būtu </w:t>
            </w:r>
            <w:r w:rsidR="0009209E">
              <w:t xml:space="preserve">ieviešams jauns, caurspīdīgāks </w:t>
            </w:r>
            <w:r w:rsidR="0009209E" w:rsidRPr="00444E10">
              <w:t>normatīvais regulējums</w:t>
            </w:r>
            <w:r w:rsidR="0009209E">
              <w:t xml:space="preserve"> attiecībā uz </w:t>
            </w:r>
            <w:r>
              <w:t>administrēšanas procedūr</w:t>
            </w:r>
            <w:r w:rsidR="0009209E">
              <w:t xml:space="preserve">u </w:t>
            </w:r>
            <w:r>
              <w:t>un uz profesiju kopu, kas var pretendēt uz kredītu dzēšanu.</w:t>
            </w:r>
            <w:r w:rsidR="00D7327A">
              <w:t xml:space="preserve"> </w:t>
            </w:r>
          </w:p>
        </w:tc>
        <w:tc>
          <w:tcPr>
            <w:tcW w:w="2986" w:type="dxa"/>
            <w:tcBorders>
              <w:top w:val="single" w:sz="6" w:space="0" w:color="000000"/>
              <w:left w:val="single" w:sz="6" w:space="0" w:color="000000"/>
              <w:bottom w:val="single" w:sz="6" w:space="0" w:color="000000"/>
              <w:right w:val="single" w:sz="6" w:space="0" w:color="000000"/>
            </w:tcBorders>
          </w:tcPr>
          <w:p w14:paraId="49F0F568" w14:textId="1A791FF1" w:rsidR="009D76B1" w:rsidRPr="00611115" w:rsidRDefault="00611115" w:rsidP="009D76B1">
            <w:pPr>
              <w:pStyle w:val="ListParagraph"/>
              <w:ind w:left="360"/>
              <w:rPr>
                <w:rFonts w:ascii="Times New Roman" w:hAnsi="Times New Roman"/>
                <w:sz w:val="24"/>
                <w:szCs w:val="24"/>
              </w:rPr>
            </w:pPr>
            <w:r w:rsidRPr="00611115">
              <w:rPr>
                <w:rFonts w:ascii="Times New Roman" w:hAnsi="Times New Roman"/>
                <w:sz w:val="24"/>
                <w:szCs w:val="24"/>
              </w:rPr>
              <w:lastRenderedPageBreak/>
              <w:t>Projekts</w:t>
            </w:r>
          </w:p>
          <w:p w14:paraId="3C037292" w14:textId="77777777" w:rsidR="00444E10" w:rsidRPr="00611115" w:rsidRDefault="00444E10" w:rsidP="009D76B1">
            <w:pPr>
              <w:pStyle w:val="ListParagraph"/>
              <w:ind w:left="360"/>
            </w:pPr>
          </w:p>
          <w:p w14:paraId="6B4F1212" w14:textId="77777777" w:rsidR="00444E10" w:rsidRDefault="00444E10" w:rsidP="009D76B1">
            <w:pPr>
              <w:pStyle w:val="ListParagraph"/>
              <w:ind w:left="360"/>
              <w:rPr>
                <w:i/>
              </w:rPr>
            </w:pPr>
          </w:p>
          <w:p w14:paraId="53751DDF" w14:textId="77777777" w:rsidR="00444E10" w:rsidRDefault="00444E10" w:rsidP="009D76B1">
            <w:pPr>
              <w:pStyle w:val="ListParagraph"/>
              <w:ind w:left="360"/>
              <w:rPr>
                <w:i/>
              </w:rPr>
            </w:pPr>
          </w:p>
          <w:p w14:paraId="4F07CC0D" w14:textId="77777777" w:rsidR="00444E10" w:rsidRDefault="00444E10" w:rsidP="009D76B1">
            <w:pPr>
              <w:pStyle w:val="ListParagraph"/>
              <w:ind w:left="360"/>
              <w:rPr>
                <w:i/>
              </w:rPr>
            </w:pPr>
          </w:p>
          <w:p w14:paraId="792BF8F8" w14:textId="77777777" w:rsidR="00444E10" w:rsidRDefault="00444E10" w:rsidP="009D76B1">
            <w:pPr>
              <w:pStyle w:val="ListParagraph"/>
              <w:ind w:left="360"/>
              <w:rPr>
                <w:i/>
              </w:rPr>
            </w:pPr>
          </w:p>
          <w:p w14:paraId="26FB31AA" w14:textId="77777777" w:rsidR="00444E10" w:rsidRDefault="00444E10" w:rsidP="009D76B1">
            <w:pPr>
              <w:pStyle w:val="ListParagraph"/>
              <w:ind w:left="360"/>
              <w:rPr>
                <w:i/>
              </w:rPr>
            </w:pPr>
          </w:p>
          <w:p w14:paraId="0DAD0C12" w14:textId="77777777" w:rsidR="00444E10" w:rsidRDefault="00444E10" w:rsidP="009D76B1">
            <w:pPr>
              <w:pStyle w:val="ListParagraph"/>
              <w:ind w:left="360"/>
              <w:rPr>
                <w:i/>
              </w:rPr>
            </w:pPr>
          </w:p>
          <w:p w14:paraId="42B4C2B0" w14:textId="77777777" w:rsidR="00444E10" w:rsidRDefault="00444E10" w:rsidP="009D76B1">
            <w:pPr>
              <w:pStyle w:val="ListParagraph"/>
              <w:ind w:left="360"/>
              <w:rPr>
                <w:i/>
              </w:rPr>
            </w:pPr>
          </w:p>
          <w:p w14:paraId="2B9DC3F6" w14:textId="77777777" w:rsidR="00444E10" w:rsidRDefault="00444E10" w:rsidP="009D76B1">
            <w:pPr>
              <w:pStyle w:val="ListParagraph"/>
              <w:ind w:left="360"/>
              <w:rPr>
                <w:i/>
              </w:rPr>
            </w:pPr>
          </w:p>
          <w:p w14:paraId="5E738F07" w14:textId="77777777" w:rsidR="00444E10" w:rsidRDefault="00444E10" w:rsidP="009D76B1">
            <w:pPr>
              <w:pStyle w:val="ListParagraph"/>
              <w:ind w:left="360"/>
              <w:rPr>
                <w:i/>
              </w:rPr>
            </w:pPr>
          </w:p>
          <w:p w14:paraId="1242F782" w14:textId="77777777" w:rsidR="00444E10" w:rsidRDefault="00444E10" w:rsidP="009D76B1">
            <w:pPr>
              <w:pStyle w:val="ListParagraph"/>
              <w:ind w:left="360"/>
              <w:rPr>
                <w:i/>
              </w:rPr>
            </w:pPr>
          </w:p>
          <w:p w14:paraId="2E1DE249" w14:textId="77777777" w:rsidR="00444E10" w:rsidRDefault="00444E10" w:rsidP="009D76B1">
            <w:pPr>
              <w:pStyle w:val="ListParagraph"/>
              <w:ind w:left="360"/>
              <w:rPr>
                <w:i/>
              </w:rPr>
            </w:pPr>
          </w:p>
          <w:p w14:paraId="4B7EDCDE" w14:textId="77777777" w:rsidR="00444E10" w:rsidRDefault="00444E10" w:rsidP="009D76B1">
            <w:pPr>
              <w:pStyle w:val="ListParagraph"/>
              <w:ind w:left="360"/>
              <w:rPr>
                <w:i/>
              </w:rPr>
            </w:pPr>
          </w:p>
          <w:p w14:paraId="5CEBFC06" w14:textId="77777777" w:rsidR="00444E10" w:rsidRDefault="00444E10" w:rsidP="009D76B1">
            <w:pPr>
              <w:pStyle w:val="ListParagraph"/>
              <w:ind w:left="360"/>
              <w:rPr>
                <w:i/>
              </w:rPr>
            </w:pPr>
          </w:p>
          <w:p w14:paraId="6430680A" w14:textId="77777777" w:rsidR="00444E10" w:rsidRDefault="00444E10" w:rsidP="009D76B1">
            <w:pPr>
              <w:pStyle w:val="ListParagraph"/>
              <w:ind w:left="360"/>
              <w:rPr>
                <w:i/>
              </w:rPr>
            </w:pPr>
          </w:p>
          <w:p w14:paraId="30143D1F" w14:textId="77777777" w:rsidR="00444E10" w:rsidRDefault="00444E10" w:rsidP="009D76B1">
            <w:pPr>
              <w:pStyle w:val="ListParagraph"/>
              <w:ind w:left="360"/>
              <w:rPr>
                <w:i/>
              </w:rPr>
            </w:pPr>
          </w:p>
          <w:p w14:paraId="1379A0E9" w14:textId="77777777" w:rsidR="00444E10" w:rsidRDefault="00444E10" w:rsidP="009D76B1">
            <w:pPr>
              <w:pStyle w:val="ListParagraph"/>
              <w:ind w:left="360"/>
              <w:rPr>
                <w:i/>
              </w:rPr>
            </w:pPr>
          </w:p>
          <w:p w14:paraId="3C1ECB88" w14:textId="77777777" w:rsidR="00444E10" w:rsidRDefault="00444E10" w:rsidP="009D76B1">
            <w:pPr>
              <w:pStyle w:val="ListParagraph"/>
              <w:ind w:left="360"/>
              <w:rPr>
                <w:i/>
              </w:rPr>
            </w:pPr>
          </w:p>
          <w:p w14:paraId="047305CA" w14:textId="77777777" w:rsidR="00444E10" w:rsidRDefault="00444E10" w:rsidP="009D76B1">
            <w:pPr>
              <w:pStyle w:val="ListParagraph"/>
              <w:ind w:left="360"/>
              <w:rPr>
                <w:i/>
              </w:rPr>
            </w:pPr>
          </w:p>
          <w:p w14:paraId="4BB1C0A4" w14:textId="77777777" w:rsidR="00444E10" w:rsidRDefault="00444E10" w:rsidP="009D76B1">
            <w:pPr>
              <w:pStyle w:val="ListParagraph"/>
              <w:ind w:left="360"/>
              <w:rPr>
                <w:i/>
              </w:rPr>
            </w:pPr>
          </w:p>
          <w:p w14:paraId="7D383E7F" w14:textId="77777777" w:rsidR="00444E10" w:rsidRDefault="00444E10" w:rsidP="009D76B1">
            <w:pPr>
              <w:pStyle w:val="ListParagraph"/>
              <w:ind w:left="360"/>
              <w:rPr>
                <w:i/>
              </w:rPr>
            </w:pPr>
          </w:p>
          <w:p w14:paraId="71C2960E" w14:textId="77777777" w:rsidR="00444E10" w:rsidRDefault="00444E10" w:rsidP="009D76B1">
            <w:pPr>
              <w:pStyle w:val="ListParagraph"/>
              <w:ind w:left="360"/>
              <w:rPr>
                <w:i/>
              </w:rPr>
            </w:pPr>
          </w:p>
          <w:p w14:paraId="5103841B" w14:textId="77777777" w:rsidR="00444E10" w:rsidRDefault="00444E10" w:rsidP="009D76B1">
            <w:pPr>
              <w:pStyle w:val="ListParagraph"/>
              <w:ind w:left="360"/>
              <w:rPr>
                <w:i/>
              </w:rPr>
            </w:pPr>
          </w:p>
          <w:p w14:paraId="0EEFE4BE" w14:textId="77777777" w:rsidR="00444E10" w:rsidRDefault="00444E10" w:rsidP="009D76B1">
            <w:pPr>
              <w:pStyle w:val="ListParagraph"/>
              <w:ind w:left="360"/>
              <w:rPr>
                <w:i/>
              </w:rPr>
            </w:pPr>
          </w:p>
          <w:p w14:paraId="2426F3D7" w14:textId="77777777" w:rsidR="00444E10" w:rsidRDefault="00444E10" w:rsidP="009D76B1">
            <w:pPr>
              <w:pStyle w:val="ListParagraph"/>
              <w:ind w:left="360"/>
              <w:rPr>
                <w:i/>
              </w:rPr>
            </w:pPr>
          </w:p>
          <w:p w14:paraId="05653608" w14:textId="77777777" w:rsidR="00444E10" w:rsidRDefault="00444E10" w:rsidP="009D76B1">
            <w:pPr>
              <w:pStyle w:val="ListParagraph"/>
              <w:ind w:left="360"/>
              <w:rPr>
                <w:i/>
              </w:rPr>
            </w:pPr>
          </w:p>
          <w:p w14:paraId="16D689DB" w14:textId="77777777" w:rsidR="00444E10" w:rsidRDefault="00444E10" w:rsidP="009D76B1">
            <w:pPr>
              <w:pStyle w:val="ListParagraph"/>
              <w:ind w:left="360"/>
              <w:rPr>
                <w:i/>
              </w:rPr>
            </w:pPr>
          </w:p>
          <w:p w14:paraId="3F734BD5" w14:textId="77777777" w:rsidR="00444E10" w:rsidRDefault="00444E10" w:rsidP="009D76B1">
            <w:pPr>
              <w:pStyle w:val="ListParagraph"/>
              <w:ind w:left="360"/>
              <w:rPr>
                <w:i/>
              </w:rPr>
            </w:pPr>
          </w:p>
          <w:p w14:paraId="453109D6" w14:textId="77777777" w:rsidR="00444E10" w:rsidRDefault="00444E10" w:rsidP="009D76B1">
            <w:pPr>
              <w:pStyle w:val="ListParagraph"/>
              <w:ind w:left="360"/>
              <w:rPr>
                <w:i/>
              </w:rPr>
            </w:pPr>
          </w:p>
          <w:p w14:paraId="05534052" w14:textId="77777777" w:rsidR="00444E10" w:rsidRDefault="00444E10" w:rsidP="009D76B1">
            <w:pPr>
              <w:pStyle w:val="ListParagraph"/>
              <w:ind w:left="360"/>
              <w:rPr>
                <w:i/>
              </w:rPr>
            </w:pPr>
          </w:p>
          <w:p w14:paraId="65D73AA4" w14:textId="77777777" w:rsidR="00444E10" w:rsidRDefault="00444E10" w:rsidP="009D76B1">
            <w:pPr>
              <w:pStyle w:val="ListParagraph"/>
              <w:ind w:left="360"/>
              <w:rPr>
                <w:i/>
              </w:rPr>
            </w:pPr>
          </w:p>
          <w:p w14:paraId="0CF18FE8" w14:textId="77777777" w:rsidR="00444E10" w:rsidRDefault="00444E10" w:rsidP="009D76B1">
            <w:pPr>
              <w:pStyle w:val="ListParagraph"/>
              <w:ind w:left="360"/>
              <w:rPr>
                <w:i/>
              </w:rPr>
            </w:pPr>
          </w:p>
          <w:p w14:paraId="2A2A6118" w14:textId="77777777" w:rsidR="00444E10" w:rsidRDefault="00444E10" w:rsidP="009D76B1">
            <w:pPr>
              <w:pStyle w:val="ListParagraph"/>
              <w:ind w:left="360"/>
              <w:rPr>
                <w:i/>
              </w:rPr>
            </w:pPr>
          </w:p>
          <w:p w14:paraId="36DB96D5" w14:textId="77777777" w:rsidR="00444E10" w:rsidRDefault="00444E10" w:rsidP="009D76B1">
            <w:pPr>
              <w:pStyle w:val="ListParagraph"/>
              <w:ind w:left="360"/>
              <w:rPr>
                <w:i/>
              </w:rPr>
            </w:pPr>
          </w:p>
          <w:p w14:paraId="21363D4D" w14:textId="77777777" w:rsidR="00444E10" w:rsidRDefault="00444E10" w:rsidP="009D76B1">
            <w:pPr>
              <w:pStyle w:val="ListParagraph"/>
              <w:ind w:left="360"/>
              <w:rPr>
                <w:i/>
              </w:rPr>
            </w:pPr>
          </w:p>
          <w:p w14:paraId="38DA773C" w14:textId="77777777" w:rsidR="00444E10" w:rsidRDefault="00444E10" w:rsidP="00BE6B8C">
            <w:pPr>
              <w:pStyle w:val="ListParagraph"/>
              <w:ind w:left="360"/>
              <w:jc w:val="both"/>
              <w:rPr>
                <w:i/>
              </w:rPr>
            </w:pPr>
          </w:p>
          <w:p w14:paraId="301CFE7B" w14:textId="77777777" w:rsidR="00444E10" w:rsidRDefault="00444E10" w:rsidP="00BE6B8C">
            <w:pPr>
              <w:pStyle w:val="ListParagraph"/>
              <w:ind w:left="360"/>
              <w:jc w:val="both"/>
              <w:rPr>
                <w:i/>
              </w:rPr>
            </w:pPr>
          </w:p>
          <w:p w14:paraId="635B8BAC" w14:textId="77777777" w:rsidR="00444E10" w:rsidRDefault="00444E10" w:rsidP="00BE6B8C">
            <w:pPr>
              <w:pStyle w:val="ListParagraph"/>
              <w:ind w:left="360"/>
              <w:jc w:val="both"/>
              <w:rPr>
                <w:i/>
              </w:rPr>
            </w:pPr>
          </w:p>
          <w:p w14:paraId="4A0A4144" w14:textId="77777777" w:rsidR="00444E10" w:rsidRDefault="00444E10" w:rsidP="00BE6B8C">
            <w:pPr>
              <w:pStyle w:val="ListParagraph"/>
              <w:ind w:left="360"/>
              <w:jc w:val="both"/>
              <w:rPr>
                <w:i/>
              </w:rPr>
            </w:pPr>
          </w:p>
          <w:p w14:paraId="0676AA3E" w14:textId="77777777" w:rsidR="00444E10" w:rsidRDefault="00444E10" w:rsidP="00BE6B8C">
            <w:pPr>
              <w:pStyle w:val="ListParagraph"/>
              <w:ind w:left="360"/>
              <w:jc w:val="both"/>
              <w:rPr>
                <w:i/>
              </w:rPr>
            </w:pPr>
          </w:p>
          <w:p w14:paraId="116DCC84" w14:textId="77777777" w:rsidR="00444E10" w:rsidRDefault="00444E10" w:rsidP="00BE6B8C">
            <w:pPr>
              <w:pStyle w:val="ListParagraph"/>
              <w:ind w:left="360"/>
              <w:jc w:val="both"/>
              <w:rPr>
                <w:i/>
              </w:rPr>
            </w:pPr>
          </w:p>
          <w:p w14:paraId="3C4B9C13" w14:textId="77777777" w:rsidR="00444E10" w:rsidRDefault="00444E10" w:rsidP="00BE6B8C">
            <w:pPr>
              <w:pStyle w:val="ListParagraph"/>
              <w:ind w:left="360"/>
              <w:jc w:val="both"/>
              <w:rPr>
                <w:i/>
              </w:rPr>
            </w:pPr>
          </w:p>
          <w:p w14:paraId="3BAF609D" w14:textId="77777777" w:rsidR="00444E10" w:rsidRDefault="00444E10" w:rsidP="00BE6B8C">
            <w:pPr>
              <w:pStyle w:val="ListParagraph"/>
              <w:ind w:left="360"/>
              <w:jc w:val="both"/>
              <w:rPr>
                <w:i/>
              </w:rPr>
            </w:pPr>
          </w:p>
          <w:p w14:paraId="521A4D76" w14:textId="77777777" w:rsidR="00444E10" w:rsidRDefault="00444E10" w:rsidP="00BE6B8C">
            <w:pPr>
              <w:pStyle w:val="ListParagraph"/>
              <w:ind w:left="360"/>
              <w:jc w:val="both"/>
              <w:rPr>
                <w:i/>
              </w:rPr>
            </w:pPr>
          </w:p>
          <w:p w14:paraId="561A8D52" w14:textId="77777777" w:rsidR="00444E10" w:rsidRDefault="00444E10" w:rsidP="00BE6B8C">
            <w:pPr>
              <w:pStyle w:val="ListParagraph"/>
              <w:ind w:left="360"/>
              <w:jc w:val="both"/>
              <w:rPr>
                <w:i/>
              </w:rPr>
            </w:pPr>
          </w:p>
          <w:p w14:paraId="53AC5A61" w14:textId="77777777" w:rsidR="00444E10" w:rsidRDefault="00444E10" w:rsidP="00BE6B8C">
            <w:pPr>
              <w:pStyle w:val="ListParagraph"/>
              <w:ind w:left="360"/>
              <w:jc w:val="both"/>
              <w:rPr>
                <w:i/>
              </w:rPr>
            </w:pPr>
          </w:p>
          <w:p w14:paraId="1614220B" w14:textId="77777777" w:rsidR="00444E10" w:rsidRDefault="00444E10" w:rsidP="00BE6B8C">
            <w:pPr>
              <w:pStyle w:val="ListParagraph"/>
              <w:ind w:left="360"/>
              <w:jc w:val="both"/>
              <w:rPr>
                <w:i/>
              </w:rPr>
            </w:pPr>
          </w:p>
          <w:p w14:paraId="1D6ABB91" w14:textId="77777777" w:rsidR="00444E10" w:rsidRDefault="00444E10" w:rsidP="00BE6B8C">
            <w:pPr>
              <w:pStyle w:val="ListParagraph"/>
              <w:ind w:left="360"/>
              <w:jc w:val="both"/>
              <w:rPr>
                <w:i/>
              </w:rPr>
            </w:pPr>
          </w:p>
          <w:p w14:paraId="22AA6CAA" w14:textId="77777777" w:rsidR="00444E10" w:rsidRDefault="00444E10" w:rsidP="00BE6B8C">
            <w:pPr>
              <w:pStyle w:val="ListParagraph"/>
              <w:ind w:left="360"/>
              <w:jc w:val="both"/>
              <w:rPr>
                <w:i/>
              </w:rPr>
            </w:pPr>
          </w:p>
          <w:p w14:paraId="7F177811" w14:textId="77777777" w:rsidR="00444E10" w:rsidRDefault="00444E10" w:rsidP="00BE6B8C">
            <w:pPr>
              <w:pStyle w:val="ListParagraph"/>
              <w:ind w:left="360"/>
              <w:jc w:val="both"/>
              <w:rPr>
                <w:i/>
              </w:rPr>
            </w:pPr>
          </w:p>
          <w:p w14:paraId="42661ADD" w14:textId="77777777" w:rsidR="00444E10" w:rsidRDefault="00444E10" w:rsidP="00BE6B8C">
            <w:pPr>
              <w:pStyle w:val="ListParagraph"/>
              <w:ind w:left="360"/>
              <w:jc w:val="both"/>
              <w:rPr>
                <w:i/>
              </w:rPr>
            </w:pPr>
          </w:p>
          <w:p w14:paraId="62215F55" w14:textId="77777777" w:rsidR="00444E10" w:rsidRDefault="00444E10" w:rsidP="00BE6B8C">
            <w:pPr>
              <w:pStyle w:val="ListParagraph"/>
              <w:ind w:left="360"/>
              <w:jc w:val="both"/>
              <w:rPr>
                <w:i/>
              </w:rPr>
            </w:pPr>
          </w:p>
          <w:p w14:paraId="355331EC" w14:textId="77777777" w:rsidR="00444E10" w:rsidRDefault="00444E10" w:rsidP="00BE6B8C">
            <w:pPr>
              <w:pStyle w:val="ListParagraph"/>
              <w:ind w:left="360"/>
              <w:jc w:val="both"/>
              <w:rPr>
                <w:i/>
              </w:rPr>
            </w:pPr>
          </w:p>
          <w:p w14:paraId="53AEEFBE" w14:textId="77777777" w:rsidR="00444E10" w:rsidRDefault="00444E10" w:rsidP="00BE6B8C">
            <w:pPr>
              <w:pStyle w:val="ListParagraph"/>
              <w:ind w:left="360"/>
              <w:jc w:val="both"/>
              <w:rPr>
                <w:i/>
              </w:rPr>
            </w:pPr>
          </w:p>
          <w:p w14:paraId="79303106" w14:textId="77777777" w:rsidR="00444E10" w:rsidRDefault="00444E10" w:rsidP="00BE6B8C">
            <w:pPr>
              <w:pStyle w:val="ListParagraph"/>
              <w:ind w:left="360"/>
              <w:jc w:val="both"/>
              <w:rPr>
                <w:i/>
              </w:rPr>
            </w:pPr>
          </w:p>
          <w:p w14:paraId="48D5ADB0" w14:textId="77777777" w:rsidR="00444E10" w:rsidRDefault="00444E10" w:rsidP="00BE6B8C">
            <w:pPr>
              <w:pStyle w:val="ListParagraph"/>
              <w:ind w:left="360"/>
              <w:jc w:val="both"/>
              <w:rPr>
                <w:i/>
              </w:rPr>
            </w:pPr>
          </w:p>
          <w:p w14:paraId="4875122D" w14:textId="77777777" w:rsidR="00444E10" w:rsidRDefault="00444E10" w:rsidP="00BE6B8C">
            <w:pPr>
              <w:pStyle w:val="ListParagraph"/>
              <w:ind w:left="360"/>
              <w:jc w:val="both"/>
              <w:rPr>
                <w:i/>
              </w:rPr>
            </w:pPr>
          </w:p>
          <w:p w14:paraId="4E472F00" w14:textId="77777777" w:rsidR="00444E10" w:rsidRDefault="00444E10" w:rsidP="00BE6B8C">
            <w:pPr>
              <w:pStyle w:val="ListParagraph"/>
              <w:ind w:left="360"/>
              <w:jc w:val="both"/>
              <w:rPr>
                <w:i/>
              </w:rPr>
            </w:pPr>
          </w:p>
          <w:p w14:paraId="1BE2E6FF" w14:textId="77777777" w:rsidR="00444E10" w:rsidRDefault="00444E10" w:rsidP="00BE6B8C">
            <w:pPr>
              <w:pStyle w:val="ListParagraph"/>
              <w:ind w:left="360"/>
              <w:jc w:val="both"/>
              <w:rPr>
                <w:i/>
              </w:rPr>
            </w:pPr>
          </w:p>
          <w:p w14:paraId="6AC48FDD" w14:textId="77777777" w:rsidR="00444E10" w:rsidRDefault="00444E10" w:rsidP="00BE6B8C">
            <w:pPr>
              <w:pStyle w:val="ListParagraph"/>
              <w:ind w:left="360"/>
              <w:jc w:val="both"/>
              <w:rPr>
                <w:i/>
              </w:rPr>
            </w:pPr>
          </w:p>
          <w:p w14:paraId="11CFF937" w14:textId="77777777" w:rsidR="00444E10" w:rsidRDefault="00444E10" w:rsidP="00BE6B8C">
            <w:pPr>
              <w:pStyle w:val="ListParagraph"/>
              <w:ind w:left="360"/>
              <w:jc w:val="both"/>
              <w:rPr>
                <w:i/>
              </w:rPr>
            </w:pPr>
          </w:p>
          <w:p w14:paraId="7298640E" w14:textId="77777777" w:rsidR="00444E10" w:rsidRDefault="00444E10" w:rsidP="00BE6B8C">
            <w:pPr>
              <w:pStyle w:val="ListParagraph"/>
              <w:ind w:left="360"/>
              <w:jc w:val="both"/>
              <w:rPr>
                <w:i/>
              </w:rPr>
            </w:pPr>
          </w:p>
          <w:p w14:paraId="5B436C50" w14:textId="77777777" w:rsidR="00444E10" w:rsidRDefault="00444E10" w:rsidP="00BE6B8C">
            <w:pPr>
              <w:pStyle w:val="ListParagraph"/>
              <w:ind w:left="360"/>
              <w:jc w:val="both"/>
              <w:rPr>
                <w:i/>
              </w:rPr>
            </w:pPr>
          </w:p>
          <w:p w14:paraId="449F2363" w14:textId="77777777" w:rsidR="00444E10" w:rsidRDefault="00444E10" w:rsidP="00BE6B8C">
            <w:pPr>
              <w:pStyle w:val="ListParagraph"/>
              <w:ind w:left="360"/>
              <w:jc w:val="both"/>
              <w:rPr>
                <w:i/>
              </w:rPr>
            </w:pPr>
          </w:p>
          <w:p w14:paraId="281D5D24" w14:textId="77777777" w:rsidR="00444E10" w:rsidRDefault="00444E10" w:rsidP="00BE6B8C">
            <w:pPr>
              <w:pStyle w:val="ListParagraph"/>
              <w:ind w:left="360"/>
              <w:jc w:val="both"/>
              <w:rPr>
                <w:i/>
              </w:rPr>
            </w:pPr>
          </w:p>
          <w:p w14:paraId="098AEF32" w14:textId="77777777" w:rsidR="00444E10" w:rsidRDefault="00444E10" w:rsidP="00BE6B8C">
            <w:pPr>
              <w:pStyle w:val="ListParagraph"/>
              <w:ind w:left="360"/>
              <w:jc w:val="both"/>
              <w:rPr>
                <w:i/>
              </w:rPr>
            </w:pPr>
          </w:p>
          <w:p w14:paraId="3206FEB9" w14:textId="77777777" w:rsidR="00444E10" w:rsidRDefault="00444E10" w:rsidP="00BE6B8C">
            <w:pPr>
              <w:pStyle w:val="ListParagraph"/>
              <w:ind w:left="360"/>
              <w:jc w:val="both"/>
              <w:rPr>
                <w:i/>
              </w:rPr>
            </w:pPr>
          </w:p>
          <w:p w14:paraId="5166C377" w14:textId="77777777" w:rsidR="00444E10" w:rsidRDefault="00444E10" w:rsidP="00BE6B8C">
            <w:pPr>
              <w:pStyle w:val="ListParagraph"/>
              <w:ind w:left="360"/>
              <w:jc w:val="both"/>
              <w:rPr>
                <w:i/>
              </w:rPr>
            </w:pPr>
          </w:p>
          <w:p w14:paraId="6E659846" w14:textId="77777777" w:rsidR="00444E10" w:rsidRDefault="00444E10" w:rsidP="00BE6B8C">
            <w:pPr>
              <w:pStyle w:val="ListParagraph"/>
              <w:ind w:left="360"/>
              <w:jc w:val="both"/>
              <w:rPr>
                <w:i/>
              </w:rPr>
            </w:pPr>
          </w:p>
          <w:p w14:paraId="4A8FB2C9" w14:textId="77777777" w:rsidR="00444E10" w:rsidRDefault="00444E10" w:rsidP="00BE6B8C">
            <w:pPr>
              <w:pStyle w:val="ListParagraph"/>
              <w:ind w:left="360"/>
              <w:jc w:val="both"/>
              <w:rPr>
                <w:i/>
              </w:rPr>
            </w:pPr>
          </w:p>
          <w:p w14:paraId="05CA9E84" w14:textId="77777777" w:rsidR="00444E10" w:rsidRDefault="00444E10" w:rsidP="00BE6B8C">
            <w:pPr>
              <w:pStyle w:val="ListParagraph"/>
              <w:ind w:left="360"/>
              <w:jc w:val="both"/>
              <w:rPr>
                <w:i/>
              </w:rPr>
            </w:pPr>
          </w:p>
          <w:p w14:paraId="492FEB18" w14:textId="77777777" w:rsidR="00444E10" w:rsidRDefault="00444E10" w:rsidP="00BE6B8C">
            <w:pPr>
              <w:pStyle w:val="ListParagraph"/>
              <w:ind w:left="360"/>
              <w:jc w:val="both"/>
              <w:rPr>
                <w:i/>
              </w:rPr>
            </w:pPr>
          </w:p>
          <w:p w14:paraId="4E5AD9F3" w14:textId="77777777" w:rsidR="00444E10" w:rsidRDefault="00444E10" w:rsidP="00BE6B8C">
            <w:pPr>
              <w:pStyle w:val="ListParagraph"/>
              <w:ind w:left="360"/>
              <w:jc w:val="both"/>
              <w:rPr>
                <w:i/>
              </w:rPr>
            </w:pPr>
          </w:p>
          <w:p w14:paraId="0E681E24" w14:textId="77777777" w:rsidR="00444E10" w:rsidRDefault="00444E10" w:rsidP="00BE6B8C">
            <w:pPr>
              <w:pStyle w:val="ListParagraph"/>
              <w:ind w:left="360"/>
              <w:jc w:val="both"/>
              <w:rPr>
                <w:i/>
              </w:rPr>
            </w:pPr>
          </w:p>
          <w:p w14:paraId="4B58FCE8" w14:textId="77777777" w:rsidR="00444E10" w:rsidRDefault="00444E10" w:rsidP="00BE6B8C">
            <w:pPr>
              <w:pStyle w:val="ListParagraph"/>
              <w:ind w:left="360"/>
              <w:jc w:val="both"/>
              <w:rPr>
                <w:i/>
              </w:rPr>
            </w:pPr>
          </w:p>
          <w:p w14:paraId="2FEB221B" w14:textId="77777777" w:rsidR="00444E10" w:rsidRDefault="00444E10" w:rsidP="00BE6B8C">
            <w:pPr>
              <w:pStyle w:val="ListParagraph"/>
              <w:ind w:left="360"/>
              <w:jc w:val="both"/>
              <w:rPr>
                <w:i/>
              </w:rPr>
            </w:pPr>
          </w:p>
          <w:p w14:paraId="6A8826C5" w14:textId="77777777" w:rsidR="0009209E" w:rsidRDefault="0009209E" w:rsidP="00BE6B8C">
            <w:pPr>
              <w:jc w:val="both"/>
              <w:rPr>
                <w:rFonts w:ascii="Calibri" w:eastAsia="Calibri" w:hAnsi="Calibri"/>
                <w:i/>
                <w:sz w:val="22"/>
                <w:szCs w:val="22"/>
                <w:lang w:eastAsia="en-US"/>
              </w:rPr>
            </w:pPr>
          </w:p>
          <w:p w14:paraId="04443FEB" w14:textId="77777777" w:rsidR="0009209E" w:rsidRDefault="0009209E" w:rsidP="00BE6B8C">
            <w:pPr>
              <w:jc w:val="both"/>
              <w:rPr>
                <w:rFonts w:ascii="Calibri" w:eastAsia="Calibri" w:hAnsi="Calibri"/>
                <w:i/>
                <w:sz w:val="22"/>
                <w:szCs w:val="22"/>
                <w:lang w:eastAsia="en-US"/>
              </w:rPr>
            </w:pPr>
          </w:p>
          <w:p w14:paraId="4954C082" w14:textId="77777777" w:rsidR="0009209E" w:rsidRDefault="0009209E" w:rsidP="00BE6B8C">
            <w:pPr>
              <w:jc w:val="both"/>
              <w:rPr>
                <w:rFonts w:ascii="Calibri" w:eastAsia="Calibri" w:hAnsi="Calibri"/>
                <w:i/>
                <w:sz w:val="22"/>
                <w:szCs w:val="22"/>
                <w:lang w:eastAsia="en-US"/>
              </w:rPr>
            </w:pPr>
          </w:p>
          <w:p w14:paraId="536A2686" w14:textId="77777777" w:rsidR="0009209E" w:rsidRDefault="0009209E" w:rsidP="00BE6B8C">
            <w:pPr>
              <w:jc w:val="both"/>
              <w:rPr>
                <w:rFonts w:ascii="Calibri" w:eastAsia="Calibri" w:hAnsi="Calibri"/>
                <w:i/>
                <w:sz w:val="22"/>
                <w:szCs w:val="22"/>
                <w:lang w:eastAsia="en-US"/>
              </w:rPr>
            </w:pPr>
          </w:p>
          <w:p w14:paraId="2A54C0B7" w14:textId="77777777" w:rsidR="0009209E" w:rsidRDefault="0009209E" w:rsidP="00BE6B8C">
            <w:pPr>
              <w:jc w:val="both"/>
              <w:rPr>
                <w:rFonts w:ascii="Calibri" w:eastAsia="Calibri" w:hAnsi="Calibri"/>
                <w:i/>
                <w:sz w:val="22"/>
                <w:szCs w:val="22"/>
                <w:lang w:eastAsia="en-US"/>
              </w:rPr>
            </w:pPr>
          </w:p>
          <w:p w14:paraId="107204C0" w14:textId="77777777" w:rsidR="00775CA2" w:rsidRDefault="00775CA2" w:rsidP="00BE6B8C">
            <w:pPr>
              <w:jc w:val="both"/>
              <w:rPr>
                <w:rFonts w:ascii="Calibri" w:eastAsia="Calibri" w:hAnsi="Calibri"/>
                <w:i/>
                <w:sz w:val="22"/>
                <w:szCs w:val="22"/>
                <w:lang w:eastAsia="en-US"/>
              </w:rPr>
            </w:pPr>
          </w:p>
          <w:p w14:paraId="012CEC2E" w14:textId="77777777" w:rsidR="00444E10" w:rsidRPr="008A5615" w:rsidRDefault="00444E10" w:rsidP="00BE6B8C">
            <w:pPr>
              <w:jc w:val="both"/>
            </w:pPr>
          </w:p>
        </w:tc>
      </w:tr>
      <w:tr w:rsidR="00FD43B9" w:rsidRPr="001801C2" w14:paraId="166D5A6F"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5AAD6F3" w14:textId="77777777" w:rsidR="00FD43B9" w:rsidRDefault="00FD43B9" w:rsidP="00E879CF">
            <w:pPr>
              <w:pStyle w:val="naisc"/>
              <w:spacing w:before="0" w:after="0"/>
              <w:ind w:left="360"/>
              <w:jc w:val="left"/>
            </w:pPr>
          </w:p>
        </w:tc>
        <w:tc>
          <w:tcPr>
            <w:tcW w:w="3112" w:type="dxa"/>
            <w:tcBorders>
              <w:top w:val="single" w:sz="6" w:space="0" w:color="000000"/>
              <w:left w:val="single" w:sz="6" w:space="0" w:color="000000"/>
              <w:bottom w:val="single" w:sz="6" w:space="0" w:color="000000"/>
              <w:right w:val="single" w:sz="6" w:space="0" w:color="000000"/>
            </w:tcBorders>
          </w:tcPr>
          <w:p w14:paraId="0604D666" w14:textId="77777777" w:rsidR="00FD43B9" w:rsidRPr="00100ECA" w:rsidRDefault="001B0580" w:rsidP="00E879CF">
            <w:pPr>
              <w:jc w:val="both"/>
            </w:pPr>
            <w:r w:rsidRPr="00100ECA">
              <w:t>Projekts</w:t>
            </w:r>
          </w:p>
        </w:tc>
        <w:tc>
          <w:tcPr>
            <w:tcW w:w="3260" w:type="dxa"/>
            <w:tcBorders>
              <w:top w:val="single" w:sz="6" w:space="0" w:color="000000"/>
              <w:left w:val="single" w:sz="6" w:space="0" w:color="000000"/>
              <w:bottom w:val="single" w:sz="6" w:space="0" w:color="000000"/>
              <w:right w:val="single" w:sz="6" w:space="0" w:color="000000"/>
            </w:tcBorders>
          </w:tcPr>
          <w:p w14:paraId="02A1C609" w14:textId="34DD376B" w:rsidR="001B0580" w:rsidRDefault="001B0580" w:rsidP="001B0580">
            <w:pPr>
              <w:widowControl w:val="0"/>
              <w:jc w:val="both"/>
              <w:rPr>
                <w:rFonts w:eastAsia="Calibri"/>
                <w:b/>
                <w:lang w:eastAsia="en-US"/>
              </w:rPr>
            </w:pPr>
            <w:r w:rsidRPr="001B0580">
              <w:rPr>
                <w:rFonts w:eastAsia="Calibri"/>
                <w:b/>
                <w:lang w:eastAsia="en-US"/>
              </w:rPr>
              <w:t>Rīgas Tehniskā universitāte</w:t>
            </w:r>
            <w:r>
              <w:rPr>
                <w:rFonts w:eastAsia="Calibri"/>
                <w:b/>
                <w:lang w:eastAsia="en-US"/>
              </w:rPr>
              <w:t xml:space="preserve"> (</w:t>
            </w:r>
            <w:sdt>
              <w:sdtPr>
                <w:rPr>
                  <w:rFonts w:eastAsia="Calibri"/>
                  <w:b/>
                  <w:lang w:eastAsia="en-US"/>
                </w:rPr>
                <w:alias w:val="Dokumenta datums"/>
                <w:tag w:val="document_date"/>
                <w:id w:val="-638804512"/>
                <w:lock w:val="contentLocked"/>
                <w:text/>
              </w:sdtPr>
              <w:sdtEndPr/>
              <w:sdtContent>
                <w:r w:rsidR="00C10107">
                  <w:rPr>
                    <w:rFonts w:eastAsia="Calibri"/>
                    <w:b/>
                    <w:lang w:eastAsia="en-US"/>
                  </w:rPr>
                  <w:t>17.05.2019.</w:t>
                </w:r>
              </w:sdtContent>
            </w:sdt>
            <w:r w:rsidRPr="001B0580">
              <w:rPr>
                <w:rFonts w:eastAsia="Calibri"/>
                <w:b/>
                <w:lang w:eastAsia="en-US"/>
              </w:rPr>
              <w:t xml:space="preserve"> Nr. </w:t>
            </w:r>
            <w:sdt>
              <w:sdtPr>
                <w:rPr>
                  <w:rFonts w:eastAsia="Calibri"/>
                  <w:b/>
                  <w:lang w:eastAsia="en-US"/>
                </w:rPr>
                <w:alias w:val="Dokumenta numurs"/>
                <w:tag w:val="number_rtu"/>
                <w:id w:val="1986116376"/>
                <w:lock w:val="contentLocked"/>
                <w:text/>
              </w:sdtPr>
              <w:sdtEndPr/>
              <w:sdtContent>
                <w:r w:rsidR="00C10107">
                  <w:rPr>
                    <w:rFonts w:eastAsia="Calibri"/>
                    <w:b/>
                    <w:lang w:eastAsia="en-US"/>
                  </w:rPr>
                  <w:t>02000-2.2.1-</w:t>
                </w:r>
                <w:r w:rsidR="00C10107">
                  <w:rPr>
                    <w:rFonts w:eastAsia="Calibri"/>
                    <w:b/>
                    <w:lang w:eastAsia="en-US"/>
                  </w:rPr>
                  <w:lastRenderedPageBreak/>
                  <w:t>e/35</w:t>
                </w:r>
              </w:sdtContent>
            </w:sdt>
            <w:r>
              <w:rPr>
                <w:rFonts w:eastAsia="Calibri"/>
                <w:b/>
                <w:lang w:eastAsia="en-US"/>
              </w:rPr>
              <w:t>):</w:t>
            </w:r>
          </w:p>
          <w:p w14:paraId="1337013B" w14:textId="77777777" w:rsidR="001B0580" w:rsidRPr="001B0580" w:rsidRDefault="001B0580" w:rsidP="001B0580">
            <w:pPr>
              <w:widowControl w:val="0"/>
              <w:jc w:val="both"/>
              <w:rPr>
                <w:rFonts w:eastAsia="Calibri"/>
                <w:lang w:eastAsia="en-US"/>
              </w:rPr>
            </w:pPr>
            <w:r w:rsidRPr="001B0580">
              <w:rPr>
                <w:rFonts w:eastAsia="Calibri"/>
                <w:lang w:eastAsia="en-US"/>
              </w:rPr>
              <w:t>RTU konceptuāli atbalsta un saskaņo IZM konceptuālo ziņojumu "Studiju un studējošo kreditēšanas no kredītiestāžu līdzekļiem ar valsts vārdā sniegto galvojumu modeļa maiņu”.</w:t>
            </w:r>
          </w:p>
          <w:p w14:paraId="4036E7E0" w14:textId="77777777" w:rsidR="00FD43B9" w:rsidRPr="003D7B8F" w:rsidRDefault="001B0580" w:rsidP="001B0580">
            <w:pPr>
              <w:widowControl w:val="0"/>
              <w:jc w:val="both"/>
              <w:rPr>
                <w:rFonts w:eastAsia="Calibri"/>
                <w:b/>
                <w:lang w:eastAsia="en-US"/>
              </w:rPr>
            </w:pPr>
            <w:r w:rsidRPr="001B0580">
              <w:rPr>
                <w:rFonts w:eastAsia="Calibri"/>
                <w:lang w:eastAsia="en-US"/>
              </w:rPr>
              <w:t>Uzskatām, ka konkrēta risinājuma varianta izvēle nav augstākās izglītības institūcijas kompetences jautājums.</w:t>
            </w:r>
          </w:p>
        </w:tc>
        <w:tc>
          <w:tcPr>
            <w:tcW w:w="4110" w:type="dxa"/>
            <w:tcBorders>
              <w:top w:val="single" w:sz="6" w:space="0" w:color="000000"/>
              <w:left w:val="single" w:sz="6" w:space="0" w:color="000000"/>
              <w:bottom w:val="single" w:sz="6" w:space="0" w:color="000000"/>
              <w:right w:val="single" w:sz="6" w:space="0" w:color="000000"/>
            </w:tcBorders>
          </w:tcPr>
          <w:p w14:paraId="156A4E63" w14:textId="77777777" w:rsidR="00033ACD" w:rsidRPr="00033ACD" w:rsidRDefault="00033ACD" w:rsidP="00033ACD">
            <w:pPr>
              <w:ind w:firstLine="284"/>
              <w:jc w:val="center"/>
              <w:rPr>
                <w:b/>
              </w:rPr>
            </w:pPr>
            <w:r w:rsidRPr="00033ACD">
              <w:rPr>
                <w:b/>
              </w:rPr>
              <w:lastRenderedPageBreak/>
              <w:t>Ņemts vērā</w:t>
            </w:r>
          </w:p>
          <w:p w14:paraId="2A4DEB35" w14:textId="77777777" w:rsidR="00FD43B9" w:rsidRPr="00FD43B9" w:rsidRDefault="00FD43B9" w:rsidP="00A75C12">
            <w:pPr>
              <w:ind w:firstLine="284"/>
              <w:jc w:val="both"/>
              <w:rPr>
                <w:b/>
              </w:rPr>
            </w:pPr>
          </w:p>
        </w:tc>
        <w:tc>
          <w:tcPr>
            <w:tcW w:w="2986" w:type="dxa"/>
            <w:tcBorders>
              <w:top w:val="single" w:sz="6" w:space="0" w:color="000000"/>
              <w:left w:val="single" w:sz="6" w:space="0" w:color="000000"/>
              <w:bottom w:val="single" w:sz="6" w:space="0" w:color="000000"/>
              <w:right w:val="single" w:sz="6" w:space="0" w:color="000000"/>
            </w:tcBorders>
          </w:tcPr>
          <w:p w14:paraId="0A450F6C" w14:textId="51290F86" w:rsidR="00FD43B9" w:rsidRPr="005F5C7A" w:rsidRDefault="00100ECA" w:rsidP="00E879CF">
            <w:pPr>
              <w:pStyle w:val="naisc"/>
              <w:spacing w:before="0" w:after="0"/>
              <w:jc w:val="both"/>
              <w:rPr>
                <w:i/>
              </w:rPr>
            </w:pPr>
            <w:r w:rsidRPr="00100ECA">
              <w:t>Projekts</w:t>
            </w:r>
          </w:p>
        </w:tc>
      </w:tr>
      <w:tr w:rsidR="003D7B8F" w:rsidRPr="001801C2" w14:paraId="530BF99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C3310A3" w14:textId="77777777" w:rsidR="003D7B8F" w:rsidRPr="001801C2" w:rsidRDefault="003D7B8F" w:rsidP="00E879CF">
            <w:pPr>
              <w:ind w:left="360"/>
              <w:jc w:val="right"/>
            </w:pPr>
          </w:p>
        </w:tc>
        <w:tc>
          <w:tcPr>
            <w:tcW w:w="3112" w:type="dxa"/>
            <w:tcBorders>
              <w:top w:val="single" w:sz="4" w:space="0" w:color="auto"/>
              <w:left w:val="single" w:sz="6" w:space="0" w:color="000000"/>
              <w:bottom w:val="single" w:sz="4" w:space="0" w:color="auto"/>
              <w:right w:val="single" w:sz="6" w:space="0" w:color="000000"/>
            </w:tcBorders>
          </w:tcPr>
          <w:p w14:paraId="4E1245E2" w14:textId="77777777" w:rsidR="003D7B8F" w:rsidRPr="00100ECA" w:rsidRDefault="00033ACD" w:rsidP="003D7B8F">
            <w:r w:rsidRPr="00100ECA">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E0FD4EE" w14:textId="77777777" w:rsidR="0074760C" w:rsidRDefault="0074760C" w:rsidP="0074760C">
            <w:pPr>
              <w:widowControl w:val="0"/>
              <w:jc w:val="both"/>
              <w:rPr>
                <w:rFonts w:eastAsia="Calibri"/>
                <w:lang w:eastAsia="en-US"/>
              </w:rPr>
            </w:pPr>
            <w:r w:rsidRPr="0074760C">
              <w:rPr>
                <w:rFonts w:eastAsia="Calibri"/>
                <w:b/>
                <w:lang w:eastAsia="en-US"/>
              </w:rPr>
              <w:t>Kultūras ministrija</w:t>
            </w:r>
            <w:r w:rsidRPr="0074760C">
              <w:rPr>
                <w:rFonts w:eastAsia="Calibri"/>
                <w:lang w:eastAsia="en-US"/>
              </w:rPr>
              <w:t xml:space="preserve"> </w:t>
            </w:r>
            <w:r w:rsidRPr="0074760C">
              <w:rPr>
                <w:rFonts w:eastAsia="Calibri"/>
                <w:b/>
                <w:lang w:eastAsia="en-US"/>
              </w:rPr>
              <w:t>(20.05.2019. vēstule Nr. 3.1-1/980):</w:t>
            </w:r>
          </w:p>
          <w:p w14:paraId="30688288" w14:textId="77777777" w:rsidR="0074760C" w:rsidRPr="0074760C" w:rsidRDefault="0074760C" w:rsidP="0074760C">
            <w:pPr>
              <w:widowControl w:val="0"/>
              <w:jc w:val="both"/>
              <w:rPr>
                <w:rFonts w:eastAsia="Calibri"/>
                <w:lang w:eastAsia="en-US"/>
              </w:rPr>
            </w:pPr>
            <w:r>
              <w:rPr>
                <w:rFonts w:eastAsia="Calibri"/>
                <w:lang w:eastAsia="en-US"/>
              </w:rPr>
              <w:t xml:space="preserve">KM </w:t>
            </w:r>
            <w:r w:rsidRPr="0074760C">
              <w:rPr>
                <w:rFonts w:eastAsia="Calibri"/>
                <w:lang w:eastAsia="en-US"/>
              </w:rPr>
              <w:t>savas kompetences ietvaros atbalsta Projekta turpmāku virzību, izsakot šādus iebildumus:</w:t>
            </w:r>
          </w:p>
          <w:p w14:paraId="34646D9B" w14:textId="77777777" w:rsidR="0074760C" w:rsidRPr="0074760C" w:rsidRDefault="0074760C" w:rsidP="0074760C">
            <w:pPr>
              <w:widowControl w:val="0"/>
              <w:jc w:val="both"/>
              <w:rPr>
                <w:rFonts w:eastAsia="Calibri"/>
                <w:lang w:eastAsia="en-US"/>
              </w:rPr>
            </w:pPr>
            <w:r w:rsidRPr="0074760C">
              <w:rPr>
                <w:rFonts w:eastAsia="Calibri"/>
                <w:lang w:eastAsia="en-US"/>
              </w:rPr>
              <w:t>1.Lūdzam saglabāt studiju kredīta un studējošā kredīta dzēšanas mehānismu par darbu noteiktajās jomās. Piekrītam Projektā minētajam, ka atstājot studiju kredīta un studējošā kredīta dzēšanas mehānismu par darbu noteiktajās jomās, ir pārskatāmi noteikumi, pēc kuriem notiek dzēšana (piemēram, kuras profesijas un amati tiek iekļauti).</w:t>
            </w:r>
          </w:p>
          <w:p w14:paraId="0BCD90C1" w14:textId="77777777" w:rsidR="003D7B8F" w:rsidRPr="003D7B8F" w:rsidRDefault="0074760C" w:rsidP="0074760C">
            <w:pPr>
              <w:widowControl w:val="0"/>
              <w:jc w:val="both"/>
              <w:rPr>
                <w:rFonts w:eastAsia="Calibri"/>
                <w:b/>
                <w:lang w:eastAsia="en-US"/>
              </w:rPr>
            </w:pPr>
            <w:r w:rsidRPr="0074760C">
              <w:rPr>
                <w:rFonts w:eastAsia="Calibri"/>
                <w:lang w:eastAsia="en-US"/>
              </w:rPr>
              <w:t xml:space="preserve">2. Kultūras ministrija neatbalsta priekšlikumu, ka tai kā nozares ministrijai jāpiedalās savu </w:t>
            </w:r>
            <w:r w:rsidRPr="0074760C">
              <w:rPr>
                <w:rFonts w:eastAsia="Calibri"/>
                <w:lang w:eastAsia="en-US"/>
              </w:rPr>
              <w:lastRenderedPageBreak/>
              <w:t>nozaru kredītu dzēšanā. Ņemot vērā kultūrizglītības sektorā strādājošo, tostarp profesionālās izglītības skolotāju, kultūras nozarē strādājošo nepietiekamo atalgojumu, studiju kredīta un studējošā kredīta dzēšanas mehānisms kalpo kā atbalsta un motivācijas sistēma šo nozares darbiniekiem, tādēļ studiju kredīta un studējošā kredīta dzēšanas mehānisms ir saglabājams.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836ED7D" w14:textId="77777777" w:rsidR="00033ACD" w:rsidRPr="00033ACD" w:rsidRDefault="00033ACD" w:rsidP="00033ACD">
            <w:pPr>
              <w:ind w:firstLine="284"/>
              <w:jc w:val="center"/>
              <w:rPr>
                <w:b/>
              </w:rPr>
            </w:pPr>
            <w:r w:rsidRPr="00033ACD">
              <w:rPr>
                <w:b/>
              </w:rPr>
              <w:lastRenderedPageBreak/>
              <w:t>Ņemts vērā</w:t>
            </w:r>
          </w:p>
          <w:p w14:paraId="1E41C927" w14:textId="77777777" w:rsidR="00033ACD" w:rsidRDefault="00033ACD" w:rsidP="00775CA2">
            <w:pPr>
              <w:jc w:val="both"/>
            </w:pPr>
          </w:p>
          <w:p w14:paraId="5CCE907E" w14:textId="77777777" w:rsidR="003D7B8F" w:rsidRDefault="00775CA2" w:rsidP="00775CA2">
            <w:pPr>
              <w:jc w:val="both"/>
            </w:pPr>
            <w:r>
              <w:t xml:space="preserve">Ministrija ir iekļāvusi konceptuālajā ziņojumā rīcības variantu, kas paredz turpināt kredītu dzēšanu un turpmākā rīcība ir atkarīga no Ministru kabineta atbalstītā rīcības varianta un lēmumiem budžeta veidošanas procesā. Ministrija piekrīt, ka izšķiroties turpināt dzēšanu par darbu noteiktajās jomās būtu ieviešams jauns, caurspīdīgāks </w:t>
            </w:r>
            <w:r w:rsidRPr="00444E10">
              <w:t>normatīvais regulējums</w:t>
            </w:r>
            <w:r>
              <w:t xml:space="preserve"> attiecībā uz administrēšanas procedūru un uz profesiju kopu, kas var pretendēt uz kredītu dzēšanu.</w:t>
            </w:r>
          </w:p>
          <w:p w14:paraId="7B8A1BDE" w14:textId="77777777" w:rsidR="00775CA2" w:rsidRPr="003D7B8F" w:rsidRDefault="00775CA2" w:rsidP="003D7B8F">
            <w:pPr>
              <w:ind w:firstLine="284"/>
              <w:jc w:val="both"/>
              <w:rPr>
                <w:b/>
              </w:rPr>
            </w:pPr>
          </w:p>
        </w:tc>
        <w:tc>
          <w:tcPr>
            <w:tcW w:w="2986" w:type="dxa"/>
            <w:tcBorders>
              <w:top w:val="single" w:sz="4" w:space="0" w:color="auto"/>
              <w:left w:val="single" w:sz="4" w:space="0" w:color="auto"/>
              <w:bottom w:val="single" w:sz="4" w:space="0" w:color="auto"/>
            </w:tcBorders>
          </w:tcPr>
          <w:p w14:paraId="749D567D" w14:textId="65FD0362" w:rsidR="003D7B8F" w:rsidRPr="00BE6B8C" w:rsidRDefault="00100ECA" w:rsidP="00BE6B8C">
            <w:pPr>
              <w:jc w:val="both"/>
            </w:pPr>
            <w:r w:rsidRPr="00100ECA">
              <w:t>Projekts</w:t>
            </w:r>
          </w:p>
        </w:tc>
      </w:tr>
      <w:tr w:rsidR="008273D6" w:rsidRPr="001801C2" w14:paraId="1015CE9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D73CDC9" w14:textId="77777777" w:rsidR="008273D6" w:rsidRPr="001801C2" w:rsidRDefault="008273D6" w:rsidP="00E879CF">
            <w:pPr>
              <w:ind w:left="426"/>
              <w:jc w:val="right"/>
            </w:pPr>
          </w:p>
        </w:tc>
        <w:tc>
          <w:tcPr>
            <w:tcW w:w="3112" w:type="dxa"/>
            <w:tcBorders>
              <w:top w:val="single" w:sz="4" w:space="0" w:color="auto"/>
              <w:left w:val="single" w:sz="6" w:space="0" w:color="000000"/>
              <w:bottom w:val="single" w:sz="4" w:space="0" w:color="auto"/>
              <w:right w:val="single" w:sz="6" w:space="0" w:color="000000"/>
            </w:tcBorders>
          </w:tcPr>
          <w:p w14:paraId="2EAA5204" w14:textId="77777777" w:rsidR="008273D6" w:rsidRPr="0075280C" w:rsidRDefault="00742B56" w:rsidP="008273D6">
            <w:r w:rsidRPr="0075280C">
              <w:t>Projekts</w:t>
            </w:r>
          </w:p>
          <w:p w14:paraId="57192D8E" w14:textId="77777777" w:rsidR="00775CA2" w:rsidRPr="0075280C" w:rsidRDefault="00775CA2" w:rsidP="008273D6"/>
          <w:p w14:paraId="7BF59313" w14:textId="77777777" w:rsidR="00775CA2" w:rsidRPr="00A16E0F" w:rsidRDefault="00775CA2" w:rsidP="00775CA2">
            <w:pPr>
              <w:jc w:val="both"/>
              <w:rPr>
                <w:i/>
              </w:rPr>
            </w:pPr>
            <w:r w:rsidRPr="0075280C">
              <w:t>Nozaru ministrijām (Veselības ministrijai, Kultūras ministrijai, Labklājības ministrijai, Iekšlietu ministrijai u.c.) būtu jāpiedalās savu nozaru kredītu dzēšanā vai arī alternatīvi budžeta vietu finansēšanā.</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7182EB9" w14:textId="77777777" w:rsidR="00531A23" w:rsidRDefault="00531A23" w:rsidP="00531A23">
            <w:pPr>
              <w:widowControl w:val="0"/>
              <w:jc w:val="both"/>
              <w:rPr>
                <w:rFonts w:eastAsia="Calibri"/>
                <w:lang w:eastAsia="en-US"/>
              </w:rPr>
            </w:pPr>
            <w:r w:rsidRPr="00531A23">
              <w:rPr>
                <w:rFonts w:eastAsia="Calibri"/>
                <w:b/>
                <w:lang w:eastAsia="en-US"/>
              </w:rPr>
              <w:t>Iekšlietu ministrija</w:t>
            </w:r>
            <w:r w:rsidRPr="00531A23">
              <w:rPr>
                <w:rFonts w:eastAsia="Calibri"/>
                <w:lang w:eastAsia="en-US"/>
              </w:rPr>
              <w:t xml:space="preserve"> </w:t>
            </w:r>
            <w:r w:rsidRPr="00531A23">
              <w:rPr>
                <w:rFonts w:eastAsia="Calibri"/>
                <w:b/>
                <w:lang w:eastAsia="en-US"/>
              </w:rPr>
              <w:t>(20.05.2019.</w:t>
            </w:r>
            <w:r w:rsidR="00F066E2">
              <w:rPr>
                <w:rFonts w:eastAsia="Calibri"/>
                <w:b/>
                <w:lang w:eastAsia="en-US"/>
              </w:rPr>
              <w:t xml:space="preserve"> vēstule </w:t>
            </w:r>
            <w:r w:rsidR="00F066E2" w:rsidRPr="00F066E2">
              <w:rPr>
                <w:rFonts w:eastAsia="Calibri"/>
                <w:b/>
                <w:lang w:eastAsia="en-US"/>
              </w:rPr>
              <w:t>Nr.</w:t>
            </w:r>
            <w:r w:rsidR="00F066E2">
              <w:rPr>
                <w:rFonts w:eastAsia="Calibri"/>
                <w:b/>
                <w:lang w:eastAsia="en-US"/>
              </w:rPr>
              <w:t xml:space="preserve"> </w:t>
            </w:r>
            <w:r w:rsidR="00F066E2" w:rsidRPr="00F066E2">
              <w:rPr>
                <w:rFonts w:eastAsia="Calibri"/>
                <w:b/>
                <w:lang w:eastAsia="en-US"/>
              </w:rPr>
              <w:t>1-57/1177</w:t>
            </w:r>
            <w:r w:rsidRPr="00531A23">
              <w:rPr>
                <w:rFonts w:eastAsia="Calibri"/>
                <w:b/>
                <w:lang w:eastAsia="en-US"/>
              </w:rPr>
              <w:t>):</w:t>
            </w:r>
          </w:p>
          <w:p w14:paraId="15C53B90" w14:textId="77777777" w:rsidR="00531A23" w:rsidRPr="00531A23" w:rsidRDefault="00531A23" w:rsidP="00531A23">
            <w:pPr>
              <w:widowControl w:val="0"/>
              <w:jc w:val="both"/>
              <w:rPr>
                <w:rFonts w:eastAsia="Calibri"/>
                <w:lang w:eastAsia="en-US"/>
              </w:rPr>
            </w:pPr>
            <w:r>
              <w:rPr>
                <w:rFonts w:eastAsia="Calibri"/>
                <w:lang w:eastAsia="en-US"/>
              </w:rPr>
              <w:t xml:space="preserve">IeM </w:t>
            </w:r>
            <w:r w:rsidRPr="00531A23">
              <w:rPr>
                <w:rFonts w:eastAsia="Calibri"/>
                <w:lang w:eastAsia="en-US"/>
              </w:rPr>
              <w:t xml:space="preserve">atbalsta ziņojuma </w:t>
            </w:r>
            <w:r w:rsidRPr="00531A23">
              <w:rPr>
                <w:rFonts w:eastAsia="Calibri"/>
                <w:b/>
                <w:lang w:eastAsia="en-US"/>
              </w:rPr>
              <w:t>ceturto rīcības variantu</w:t>
            </w:r>
            <w:r w:rsidRPr="00531A23">
              <w:rPr>
                <w:rFonts w:eastAsia="Calibri"/>
                <w:lang w:eastAsia="en-US"/>
              </w:rPr>
              <w:t>, ja tiek ņemts vērā šāds iebildums:</w:t>
            </w:r>
          </w:p>
          <w:p w14:paraId="4A8ABA4F" w14:textId="77777777" w:rsidR="008273D6" w:rsidRPr="003D7B8F" w:rsidRDefault="00531A23" w:rsidP="00531A23">
            <w:pPr>
              <w:widowControl w:val="0"/>
              <w:jc w:val="both"/>
              <w:rPr>
                <w:rFonts w:eastAsia="Calibri"/>
                <w:b/>
                <w:lang w:eastAsia="en-US"/>
              </w:rPr>
            </w:pPr>
            <w:r w:rsidRPr="00531A23">
              <w:rPr>
                <w:rFonts w:eastAsia="Calibri"/>
                <w:lang w:eastAsia="en-US"/>
              </w:rPr>
              <w:t xml:space="preserve"> svītrot ziņojuma ceturtajā rīcības variantā paredzēto kārtību, ka Iekšlietu ministrijai  būtu jāpiedalās savas nozares kredītu dzēšanā vai arī alternatīvi budžeta vietu finansēšanā. Minētais pamatojams ar to, ka Iekšlietu ministrijas sistēmas nodarbinātie brīvi konkurē ar citiem valsts pārvaldes iestādēs, prokuratūrās un tiesās nodarbinātajiem, lai iekļūtu to speciālistu skaitā, kuriem </w:t>
            </w:r>
            <w:r w:rsidRPr="00531A23">
              <w:rPr>
                <w:rFonts w:eastAsia="Calibri"/>
                <w:lang w:eastAsia="en-US"/>
              </w:rPr>
              <w:lastRenderedPageBreak/>
              <w:t>attiecīgajā gadā piešķirto valsts budžeta līdzekļu ietvaros tiek uzsākta studiju un/vai studējošā kredīta dzēšana no valsts budžeta līdzekļiem.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71A4EFA" w14:textId="77777777" w:rsidR="00033ACD" w:rsidRPr="00033ACD" w:rsidRDefault="00033ACD" w:rsidP="00033ACD">
            <w:pPr>
              <w:ind w:firstLine="284"/>
              <w:jc w:val="center"/>
              <w:rPr>
                <w:b/>
              </w:rPr>
            </w:pPr>
            <w:r w:rsidRPr="00033ACD">
              <w:rPr>
                <w:b/>
              </w:rPr>
              <w:lastRenderedPageBreak/>
              <w:t>Ņemts vērā</w:t>
            </w:r>
          </w:p>
          <w:p w14:paraId="5754A456" w14:textId="77777777" w:rsidR="008273D6" w:rsidRDefault="00775CA2" w:rsidP="008273D6">
            <w:pPr>
              <w:ind w:firstLine="284"/>
              <w:jc w:val="both"/>
            </w:pPr>
            <w:r>
              <w:t>Ministrija ir iekļāvusi konceptuālajā ziņojumā rīcības variantu, kas paredz turpināt kredītu dzēšanu un turpmākā rīcība ir atkarīga no Ministru kabineta atbalstītā rīcības varianta un lēmumiem budžeta veidošanas procesā.</w:t>
            </w:r>
          </w:p>
          <w:p w14:paraId="65315713" w14:textId="77777777" w:rsidR="0023338F" w:rsidRPr="003D7B8F" w:rsidRDefault="0023338F" w:rsidP="001D44FD">
            <w:pPr>
              <w:ind w:firstLine="284"/>
              <w:jc w:val="both"/>
              <w:rPr>
                <w:b/>
              </w:rPr>
            </w:pPr>
            <w:r>
              <w:t xml:space="preserve">Ziņojums neparedz nozaru ministriju obligāto dalību savu nozaru kredītu dzēšanā, tas tika izteiks kā </w:t>
            </w:r>
            <w:r w:rsidR="001D44FD">
              <w:t>priekšlikums</w:t>
            </w:r>
            <w:r>
              <w:t>.</w:t>
            </w:r>
          </w:p>
        </w:tc>
        <w:tc>
          <w:tcPr>
            <w:tcW w:w="2986" w:type="dxa"/>
            <w:tcBorders>
              <w:top w:val="single" w:sz="4" w:space="0" w:color="auto"/>
              <w:left w:val="single" w:sz="4" w:space="0" w:color="auto"/>
              <w:bottom w:val="single" w:sz="4" w:space="0" w:color="auto"/>
            </w:tcBorders>
          </w:tcPr>
          <w:p w14:paraId="30E659F5" w14:textId="77777777" w:rsidR="0023338F" w:rsidRPr="00BE6B8C" w:rsidRDefault="00775CA2" w:rsidP="008A5615">
            <w:pPr>
              <w:jc w:val="both"/>
            </w:pPr>
            <w:r w:rsidRPr="00BE6B8C">
              <w:t xml:space="preserve">Ministrijas ieskatā nozaru ministrijām (Veselības ministrijai, Kultūras ministrijai, Labklājības ministrijai, Iekšlietu ministrijai u.c.) būtu jāpiedalās savu nozaru kredītu dzēšanā vai arī alternatīvi budžeta vietu finansēšanā. Taču ziņojuma saskaņošanas procesā nozaru ministrijas vienlaicīgi pauda uzskatu par to, ka dzēšana par darbu noteiktajās jomās būtu turpināma, taču nav radušas iespējas novirzīt resoru finansējumu attiecīgās jomas strādājošo kredītu dzēšanai. </w:t>
            </w:r>
          </w:p>
        </w:tc>
      </w:tr>
      <w:tr w:rsidR="008273D6" w:rsidRPr="001801C2" w14:paraId="15584BF2"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FA4493C" w14:textId="77777777" w:rsidR="008273D6" w:rsidRPr="001801C2" w:rsidRDefault="008273D6" w:rsidP="00E879CF">
            <w:pPr>
              <w:ind w:left="426"/>
              <w:jc w:val="right"/>
            </w:pPr>
          </w:p>
        </w:tc>
        <w:tc>
          <w:tcPr>
            <w:tcW w:w="3112" w:type="dxa"/>
            <w:tcBorders>
              <w:top w:val="single" w:sz="4" w:space="0" w:color="auto"/>
              <w:left w:val="single" w:sz="6" w:space="0" w:color="000000"/>
              <w:bottom w:val="single" w:sz="4" w:space="0" w:color="auto"/>
              <w:right w:val="single" w:sz="6" w:space="0" w:color="000000"/>
            </w:tcBorders>
          </w:tcPr>
          <w:p w14:paraId="4C9A415D" w14:textId="77777777" w:rsidR="008273D6" w:rsidRPr="005F2E17" w:rsidRDefault="00711AAF" w:rsidP="008273D6">
            <w:r w:rsidRPr="005F2E17">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4CA59F6" w14:textId="77777777" w:rsidR="008273D6" w:rsidRPr="002D016B" w:rsidRDefault="002D016B" w:rsidP="00D45DA3">
            <w:pPr>
              <w:widowControl w:val="0"/>
              <w:jc w:val="both"/>
              <w:rPr>
                <w:b/>
              </w:rPr>
            </w:pPr>
            <w:r w:rsidRPr="002D016B">
              <w:rPr>
                <w:b/>
              </w:rPr>
              <w:t xml:space="preserve">Augstākā izglītības padome (17.05.2019. vēstule nr. 1.12/34): </w:t>
            </w:r>
          </w:p>
          <w:p w14:paraId="5D8FFA5D" w14:textId="77777777" w:rsidR="002D016B" w:rsidRDefault="002D016B" w:rsidP="00D45DA3">
            <w:pPr>
              <w:widowControl w:val="0"/>
              <w:jc w:val="both"/>
              <w:rPr>
                <w:b/>
              </w:rPr>
            </w:pPr>
            <w:r>
              <w:t xml:space="preserve">AIP atbalsta konceptuālajā ziņojumā ietverto </w:t>
            </w:r>
            <w:r w:rsidRPr="00C91C52">
              <w:rPr>
                <w:b/>
              </w:rPr>
              <w:t>4. rīcības</w:t>
            </w:r>
            <w:r>
              <w:t xml:space="preserve"> </w:t>
            </w:r>
            <w:r w:rsidRPr="00C91C52">
              <w:rPr>
                <w:b/>
              </w:rPr>
              <w:t>variantu.</w:t>
            </w:r>
          </w:p>
          <w:p w14:paraId="7784B9BE" w14:textId="77777777" w:rsidR="004F1163" w:rsidRDefault="004F1163" w:rsidP="00D45DA3">
            <w:pPr>
              <w:widowControl w:val="0"/>
              <w:jc w:val="both"/>
              <w:rPr>
                <w:b/>
              </w:rPr>
            </w:pPr>
          </w:p>
          <w:p w14:paraId="137ACCBF" w14:textId="77777777" w:rsidR="004F1163" w:rsidRPr="00EC2062" w:rsidRDefault="004F1163" w:rsidP="004F1163">
            <w:pPr>
              <w:ind w:firstLine="33"/>
              <w:jc w:val="both"/>
              <w:rPr>
                <w:b/>
                <w:szCs w:val="28"/>
              </w:rPr>
            </w:pPr>
            <w:r w:rsidRPr="00EC2062">
              <w:rPr>
                <w:b/>
                <w:szCs w:val="28"/>
              </w:rPr>
              <w:t>AIP (25.06.2019. vēstule Nr. 1.12/41):</w:t>
            </w:r>
          </w:p>
          <w:p w14:paraId="71EA0FA6" w14:textId="690D7D19" w:rsidR="004F1163" w:rsidRPr="00A57118" w:rsidRDefault="004F1163" w:rsidP="004F1163">
            <w:pPr>
              <w:widowControl w:val="0"/>
              <w:jc w:val="both"/>
            </w:pPr>
            <w:r w:rsidRPr="00EC2062">
              <w:rPr>
                <w:szCs w:val="28"/>
              </w:rPr>
              <w:t>AIP ir izskatījusi precizēto konceptuālo ziņojumu un saskaņo to bez iebildumiem.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B6758FA" w14:textId="77777777" w:rsidR="00033ACD" w:rsidRPr="00033ACD" w:rsidRDefault="00033ACD" w:rsidP="00033ACD">
            <w:pPr>
              <w:ind w:firstLine="284"/>
              <w:jc w:val="center"/>
              <w:rPr>
                <w:b/>
              </w:rPr>
            </w:pPr>
            <w:r w:rsidRPr="00033ACD">
              <w:rPr>
                <w:b/>
              </w:rPr>
              <w:t>Ņemts vērā</w:t>
            </w:r>
          </w:p>
          <w:p w14:paraId="06CD4A76" w14:textId="77777777" w:rsidR="008273D6" w:rsidRPr="003D7B8F" w:rsidRDefault="008273D6" w:rsidP="009E3B70">
            <w:pPr>
              <w:ind w:firstLine="34"/>
              <w:jc w:val="both"/>
              <w:rPr>
                <w:b/>
              </w:rPr>
            </w:pPr>
          </w:p>
        </w:tc>
        <w:tc>
          <w:tcPr>
            <w:tcW w:w="2986" w:type="dxa"/>
            <w:tcBorders>
              <w:top w:val="single" w:sz="4" w:space="0" w:color="auto"/>
              <w:left w:val="single" w:sz="4" w:space="0" w:color="auto"/>
              <w:bottom w:val="single" w:sz="4" w:space="0" w:color="auto"/>
            </w:tcBorders>
          </w:tcPr>
          <w:p w14:paraId="0CAE49F7" w14:textId="77777777" w:rsidR="008273D6" w:rsidRPr="00702405" w:rsidRDefault="008273D6" w:rsidP="008273D6">
            <w:pPr>
              <w:rPr>
                <w:i/>
              </w:rPr>
            </w:pPr>
          </w:p>
        </w:tc>
      </w:tr>
      <w:tr w:rsidR="008273D6" w:rsidRPr="001801C2" w14:paraId="744F6F11"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76633C4" w14:textId="77777777" w:rsidR="008273D6" w:rsidRPr="001801C2" w:rsidRDefault="008273D6" w:rsidP="008273D6">
            <w:pPr>
              <w:jc w:val="right"/>
            </w:pPr>
          </w:p>
        </w:tc>
        <w:tc>
          <w:tcPr>
            <w:tcW w:w="3112" w:type="dxa"/>
            <w:tcBorders>
              <w:top w:val="single" w:sz="4" w:space="0" w:color="auto"/>
              <w:left w:val="single" w:sz="6" w:space="0" w:color="000000"/>
              <w:bottom w:val="single" w:sz="4" w:space="0" w:color="auto"/>
              <w:right w:val="single" w:sz="6" w:space="0" w:color="000000"/>
            </w:tcBorders>
          </w:tcPr>
          <w:p w14:paraId="26DCD087" w14:textId="77777777" w:rsidR="008273D6" w:rsidRPr="005F2E17" w:rsidRDefault="009156BD" w:rsidP="008273D6">
            <w:r w:rsidRPr="005F2E17">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0389B4C" w14:textId="77777777" w:rsidR="00137C99" w:rsidRPr="00EC2062" w:rsidRDefault="00137C99" w:rsidP="00137C99">
            <w:pPr>
              <w:widowControl w:val="0"/>
              <w:jc w:val="both"/>
              <w:rPr>
                <w:b/>
              </w:rPr>
            </w:pPr>
            <w:r w:rsidRPr="00EC2062">
              <w:rPr>
                <w:b/>
              </w:rPr>
              <w:t>Latvijas Jauno zinātnieku apvienība (</w:t>
            </w:r>
            <w:r w:rsidR="00955F95" w:rsidRPr="00EC2062">
              <w:rPr>
                <w:b/>
              </w:rPr>
              <w:t>16.05.2019. vēstule</w:t>
            </w:r>
            <w:r w:rsidRPr="00EC2062">
              <w:rPr>
                <w:b/>
              </w:rPr>
              <w:t>):</w:t>
            </w:r>
          </w:p>
          <w:p w14:paraId="16AA5454" w14:textId="77777777" w:rsidR="0023338F" w:rsidRPr="00EC2062" w:rsidRDefault="00137C99" w:rsidP="00137C99">
            <w:pPr>
              <w:widowControl w:val="0"/>
              <w:jc w:val="both"/>
            </w:pPr>
            <w:r w:rsidRPr="00EC2062">
              <w:t xml:space="preserve">LJZA ar to ir iepazinusies un uzskatam, ka tā sastādīšanas darba grupa ir veikusi apjomīgu un kvalitatīvu darbu. Mēs piekrītam, ka ir nepieciešams esošo sistēmu mainīt, bet mums ir radušies vairāki jautājumi un komentāri. LJZA iestājas par pierādījumos balstītu rīcībpolitiku. Tādēļ mums nav skaidrs kāpēc trīs no četriem piedāvātajiem modeļiem paredz turpināt kredītu dzēšanu bērnu dzimšanas gadījumos, ja pēc </w:t>
            </w:r>
            <w:r w:rsidRPr="00EC2062">
              <w:lastRenderedPageBreak/>
              <w:t xml:space="preserve">diviem pētījumiem – Valsts kancelejas “Tautas ataudzi ietekmējošo faktoru izpēte” un Labklājības ministrijas “Ģimenes valsts politikas pamatnostādņu 2011.-2017.gadam ex-post novērtējums” – var secināt, ka studējošā kredīta atlikuma dzēšana 30% apmērā bērna dzimšanas gadījumā nav izšķirošs un pietiekošs demogrāfiskās situācijas uzlabošanai. LJZA uzskata, ka, ja nav pierādījumu par šī atvieglojuma efektivitāti, tad no tā būtu jāatsakās, tādejādi atvieglojot administratīvo slogu un šim mērķim paredzētos līdzekļus novirzot papildu kredītu izsniegšanai. </w:t>
            </w:r>
          </w:p>
          <w:p w14:paraId="1F71EA51" w14:textId="77777777" w:rsidR="0023338F" w:rsidRPr="00EC2062" w:rsidRDefault="0023338F" w:rsidP="00137C99">
            <w:pPr>
              <w:widowControl w:val="0"/>
              <w:jc w:val="both"/>
            </w:pPr>
          </w:p>
          <w:p w14:paraId="7036F86D" w14:textId="77777777" w:rsidR="006D5D2D" w:rsidRPr="00EC2062" w:rsidRDefault="00137C99" w:rsidP="00137C99">
            <w:pPr>
              <w:widowControl w:val="0"/>
              <w:jc w:val="both"/>
            </w:pPr>
            <w:r w:rsidRPr="00EC2062">
              <w:t xml:space="preserve">Ziņojumā nav aprakstīts pēc kāda principa tiks noteikti procentu likmju griesti. 11. lpp minēts, ka tie plānoti ne vairāk kā 3,5% pievienotā likme virs Eiropas starpbanku aizdevumu likmes EURIBOR. Sagaidāmā procentu likme ir svarīgs parametrs jebkuram kredītņēmējam, tāpēc mēs vēlētos redzēt aprēķinus kuri pamatos izvēlētos likmes </w:t>
            </w:r>
            <w:r w:rsidRPr="00EC2062">
              <w:lastRenderedPageBreak/>
              <w:t xml:space="preserve">griestus. Alternatīvi, ir jāapsver iespēja griestus nenoteikt centralizēti, bet ļaut bankām brīva tirgus apstākļos konkurēt savā starpā ar kādām procentu likmēm tās pašas vēlas. </w:t>
            </w:r>
          </w:p>
          <w:p w14:paraId="07E55933" w14:textId="77777777" w:rsidR="006D5D2D" w:rsidRPr="00EC2062" w:rsidRDefault="006D5D2D" w:rsidP="00137C99">
            <w:pPr>
              <w:widowControl w:val="0"/>
              <w:jc w:val="both"/>
            </w:pPr>
          </w:p>
          <w:p w14:paraId="049BA6B7" w14:textId="77777777" w:rsidR="006D5D2D" w:rsidRPr="00EC2062" w:rsidRDefault="00137C99" w:rsidP="00137C99">
            <w:pPr>
              <w:widowControl w:val="0"/>
              <w:jc w:val="both"/>
            </w:pPr>
            <w:r w:rsidRPr="00EC2062">
              <w:t xml:space="preserve">Ir apsveicama ideja, ka pirmā studiju gada laikā studējošais varēs mainīt studiju programmu, attiecīgi mainot arī kredīta summu, ja nepieciešams. Šeit, tiesa, nav skaidrs vai būs atļauta tikai viena šāda nomaiņa. LJZA neredz nepieciešamību ierobežot studentus, atļaujot mainīt studiju programmu tikai vienu reizi un atļaujot maiņu tikai pirmajā studiju gadā. Studenti ir pilngadīgi cilvēki, kuri spēj, rēķinoties ar finansiālajām sekām, izvēlēties tiem piemērotāko studiju ceļu. Mēs </w:t>
            </w:r>
            <w:r w:rsidR="000C64EC" w:rsidRPr="00EC2062">
              <w:t>aicinām</w:t>
            </w:r>
            <w:r w:rsidRPr="00EC2062">
              <w:t xml:space="preserve"> atļaut studiju programmu nomaiņu vairāk kā vienu reizi un arī vēlākos studiju gados. Kreditēšanas sistēmas nelietderīgu izmantošanu būs iespējams novērst, nosakot maksimālo termiņu pēc pirmās studiju programmas uzsākšanas līdz kuram var atlikt pamatsummas </w:t>
            </w:r>
            <w:r w:rsidRPr="00EC2062">
              <w:lastRenderedPageBreak/>
              <w:t xml:space="preserve">atmaksas uzsākšanu. </w:t>
            </w:r>
          </w:p>
          <w:p w14:paraId="62575BE6" w14:textId="77777777" w:rsidR="006D5D2D" w:rsidRPr="00EC2062" w:rsidRDefault="006D5D2D" w:rsidP="00137C99">
            <w:pPr>
              <w:widowControl w:val="0"/>
              <w:jc w:val="both"/>
            </w:pPr>
          </w:p>
          <w:p w14:paraId="4C6D60D8" w14:textId="77777777" w:rsidR="00C90B0B" w:rsidRPr="00EC2062" w:rsidRDefault="00C90B0B" w:rsidP="00C90B0B">
            <w:pPr>
              <w:widowControl w:val="0"/>
              <w:jc w:val="both"/>
            </w:pPr>
            <w:r w:rsidRPr="00EC2062">
              <w:t xml:space="preserve">Mēs diemžēl neatradām pamatojumu kāpēc studējošā kredīta apmērs tiks noteikts kā pašlaik līdz 80% apmērā no valstī noteiktās minimālās mēneša algas apjoma. Mēs piekrītam, ka apjoms varētu būt noteikts kā daļa no minimālās mēnešalgas, taču ir svarīgi izvērtēt vai tieši 80% jeb 344.00 EUR ir tas apjoms kāds šobrīd nepieciešams studentam katru mēnesi. Šādam ierobežojumam jābalstās uz aprēķinu par studentu dzīvošanai nepieciešamo summu, nevis jābūt noteiktam kā ērtam reizinātājam. </w:t>
            </w:r>
          </w:p>
          <w:p w14:paraId="1B291397" w14:textId="77777777" w:rsidR="006D5D2D" w:rsidRPr="00EC2062" w:rsidRDefault="006D5D2D" w:rsidP="00137C99">
            <w:pPr>
              <w:widowControl w:val="0"/>
              <w:jc w:val="both"/>
            </w:pPr>
          </w:p>
          <w:p w14:paraId="11E14886" w14:textId="77777777" w:rsidR="006D5D2D" w:rsidRPr="00EC2062" w:rsidRDefault="00137C99" w:rsidP="00137C99">
            <w:pPr>
              <w:widowControl w:val="0"/>
              <w:jc w:val="both"/>
            </w:pPr>
            <w:r w:rsidRPr="00EC2062">
              <w:t xml:space="preserve">LJZA piekrīt, ka kredītam pielīdzinātās stipendijas zinātniskā grāda ieguvei netiek izsniegtas. Tās reti kalpoja par papildu motivāciju un to apmērs bija nepietiekams, lai sasniegtu mērķi - radītu apstākļus, kas nodrošina doktorantūras studiju pabeigšanu. LJZA ieskatā kredītam pielīdzinātai stipendijai iezīmēto finansējumu būtu jānovirza </w:t>
            </w:r>
            <w:r w:rsidRPr="00EC2062">
              <w:lastRenderedPageBreak/>
              <w:t>doktorantu stipendiju palielināšanai. Uzskatām, ka ilgtermiņā doktorantūras stipendijām ir jāsasniedz apjoms, kas spēj pilnībā nodrošināt doktorantu studiju laikā, ja to jau nenodrošina finansējums no doktoranta pozīcijas pētniecības projektā vai personīgais finansējums. Jā</w:t>
            </w:r>
            <w:r w:rsidR="000C64EC" w:rsidRPr="00EC2062">
              <w:t>a</w:t>
            </w:r>
            <w:r w:rsidRPr="00EC2062">
              <w:t xml:space="preserve">tzīmē, ka atbilstoši Pasaules Bankas ieteikumiem, Latvijā ir jāuzlabo doktorantūras studiju organizācija, tajā skaitā būtiski jāpalielina stipendiju lielums. Mēs </w:t>
            </w:r>
            <w:r w:rsidR="000C64EC" w:rsidRPr="00EC2062">
              <w:t>saskatām</w:t>
            </w:r>
            <w:r w:rsidRPr="00EC2062">
              <w:t>, ka finansējuma mērķtiecīga pārdale no kredītam pielīdzinātās stipendijai iezīmētajiem līdzekļiem uz doktorantūras stipendiju “grozu”, sniegs ieguldījumu šī mērķa sasniegšanā.</w:t>
            </w:r>
          </w:p>
          <w:p w14:paraId="0AA7E6CB" w14:textId="77777777" w:rsidR="006D5D2D" w:rsidRPr="00EC2062" w:rsidRDefault="006D5D2D" w:rsidP="00137C99">
            <w:pPr>
              <w:widowControl w:val="0"/>
              <w:jc w:val="both"/>
            </w:pPr>
          </w:p>
          <w:p w14:paraId="4ED85ABD" w14:textId="77777777" w:rsidR="00496505" w:rsidRPr="00EC2062" w:rsidRDefault="00137C99" w:rsidP="00137C99">
            <w:pPr>
              <w:widowControl w:val="0"/>
              <w:jc w:val="both"/>
            </w:pPr>
            <w:r w:rsidRPr="00EC2062">
              <w:t xml:space="preserve">LJZA uzskata, ka vislabāk būtu attiekties no kredītu dzēšanas bērnu piedzimšanas gadījumos un kredītu dzēšanas par darbu noteiktajās jomās, kā arī izsniegt optimālo skaitu – 2000 kredītus gadā. Diemžēl šāds rīcības variants ziņojumā nav piedāvāts, bet šādu variantu noteikti vajadzētu izvērtēt. Tā </w:t>
            </w:r>
            <w:r w:rsidRPr="00EC2062">
              <w:lastRenderedPageBreak/>
              <w:t xml:space="preserve">kā saņemtajā pavadvēstulē Nr. 4-3.2e/19/1343 bija lūgts norādīt atbalstīto rīcības variantu, tad norādām, ka tuvākais mūsu viedoklim ir </w:t>
            </w:r>
            <w:r w:rsidRPr="00EC2062">
              <w:rPr>
                <w:b/>
              </w:rPr>
              <w:t>trešais rīcības variants</w:t>
            </w:r>
            <w:r w:rsidRPr="00EC2062">
              <w:t>, proti, jaunā modeļa ieviešana, izsniedzot 2 000 jaunu kredītu gadā, sākot ar 2020. gadu, un turpinot kredītu dzēšanu bērnu piedzimšanas gadījumos. LJZA atbalsta izmaiņas kreditēšanas sistēmā un uzskata, ka pārmaiņas būs pozitīvas. Taču atliek vēl iepriekšminētie jautājumi, kuru noslīpēšana, šo sistēmu padarīt kvalitatīvāku, pamatotāku un skaidrāku.</w:t>
            </w:r>
          </w:p>
          <w:p w14:paraId="5D1DEFF5" w14:textId="77777777" w:rsidR="00476B49" w:rsidRPr="00EC2062" w:rsidRDefault="00476B49" w:rsidP="00137C99">
            <w:pPr>
              <w:widowControl w:val="0"/>
              <w:jc w:val="both"/>
            </w:pPr>
          </w:p>
          <w:p w14:paraId="465150FD" w14:textId="77777777" w:rsidR="00476B49" w:rsidRPr="00EC2062" w:rsidRDefault="00476B49" w:rsidP="00476B49">
            <w:pPr>
              <w:widowControl w:val="0"/>
              <w:jc w:val="both"/>
              <w:rPr>
                <w:b/>
              </w:rPr>
            </w:pPr>
            <w:r w:rsidRPr="00EC2062">
              <w:rPr>
                <w:b/>
              </w:rPr>
              <w:t>Latvijas Jauno zinātnieku apvienība (25.06.2019. vēstule):</w:t>
            </w:r>
          </w:p>
          <w:p w14:paraId="745D13F2" w14:textId="77777777" w:rsidR="00476B49" w:rsidRPr="00EC2062" w:rsidRDefault="00476B49" w:rsidP="00476B49">
            <w:pPr>
              <w:widowControl w:val="0"/>
              <w:jc w:val="both"/>
            </w:pPr>
            <w:r w:rsidRPr="00EC2062">
              <w:t>Kāpēc studējošā kredīta apjoms ierobežots tieši līdz 80% no minimālās mēneša algas apjoma? Kā nonākts līdz tam, ka tieši 334.00 EUR ir studentiem mēnesī nepieciešamā summa?</w:t>
            </w:r>
          </w:p>
          <w:p w14:paraId="31D30FC5" w14:textId="77777777" w:rsidR="00476B49" w:rsidRPr="00EC2062" w:rsidRDefault="00476B49" w:rsidP="00476B49">
            <w:pPr>
              <w:widowControl w:val="0"/>
              <w:jc w:val="both"/>
            </w:pPr>
          </w:p>
          <w:p w14:paraId="664DB05E" w14:textId="337BFF42" w:rsidR="00476B49" w:rsidRPr="00EC2062" w:rsidRDefault="00476B49" w:rsidP="00476B49">
            <w:pPr>
              <w:widowControl w:val="0"/>
              <w:jc w:val="both"/>
              <w:rPr>
                <w:b/>
              </w:rPr>
            </w:pPr>
            <w:r w:rsidRPr="00EC2062">
              <w:t xml:space="preserve">Vēlreiz apspriežot kreditēšanas sistēmas izmaiņas, LJZA ir mainījusi savu nostāju un atbalsta Izglītības un zinātnes </w:t>
            </w:r>
            <w:r w:rsidRPr="00EC2062">
              <w:lastRenderedPageBreak/>
              <w:t xml:space="preserve">ministrijas piedāvāto </w:t>
            </w:r>
            <w:r w:rsidRPr="00EC2062">
              <w:rPr>
                <w:b/>
              </w:rPr>
              <w:t>4. rīcības variantu.</w:t>
            </w:r>
            <w:r w:rsidRPr="00EC2062">
              <w:t xml:space="preserve"> Taču stipri iesakām ņemt vērā šajā un mūsu iepriekšējā ziņojumā ietvertos ieteikumus, lai tālāk uzlabot kreditēšanas sistēmu.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D73EFF2" w14:textId="77777777" w:rsidR="00033ACD" w:rsidRPr="00EC2062" w:rsidRDefault="00033ACD" w:rsidP="00033ACD">
            <w:pPr>
              <w:ind w:firstLine="284"/>
              <w:jc w:val="center"/>
              <w:rPr>
                <w:b/>
              </w:rPr>
            </w:pPr>
            <w:r w:rsidRPr="00EC2062">
              <w:rPr>
                <w:b/>
              </w:rPr>
              <w:lastRenderedPageBreak/>
              <w:t>Ņemts vērā</w:t>
            </w:r>
          </w:p>
          <w:p w14:paraId="73C90308" w14:textId="77777777" w:rsidR="00033ACD" w:rsidRPr="00EC2062" w:rsidRDefault="00033ACD" w:rsidP="00A156D3">
            <w:pPr>
              <w:widowControl w:val="0"/>
              <w:jc w:val="both"/>
            </w:pPr>
          </w:p>
          <w:p w14:paraId="01864E3C" w14:textId="77777777" w:rsidR="008273D6" w:rsidRPr="00EC2062" w:rsidRDefault="00A156D3" w:rsidP="00A156D3">
            <w:pPr>
              <w:widowControl w:val="0"/>
              <w:jc w:val="both"/>
            </w:pPr>
            <w:r w:rsidRPr="00EC2062">
              <w:t xml:space="preserve">Ministrija piekrīt LJZA  viedoklim un par prioritāti uzskata nodrošināt riska segumu vismaz 2 000 kredītu izsniegšanai. Tādēļ ziņojums tika papildināts ar rīcības variantu, kas paredz izsniegt orientējoši 2000 jauno kredītu, taču neturpināt kredītu dzēšanu bērnu dzimšanas gadījumos un par darbu noteiktajās jomās (precizētā ziņojuma 3.rīcības variants). </w:t>
            </w:r>
          </w:p>
          <w:p w14:paraId="1873FEE2" w14:textId="77777777" w:rsidR="006D5D2D" w:rsidRPr="00EC2062" w:rsidRDefault="006D5D2D" w:rsidP="00A156D3">
            <w:pPr>
              <w:widowControl w:val="0"/>
              <w:jc w:val="both"/>
            </w:pPr>
          </w:p>
          <w:p w14:paraId="3505E897" w14:textId="77777777" w:rsidR="001D44FD" w:rsidRPr="00EC2062" w:rsidRDefault="00445305" w:rsidP="00A156D3">
            <w:pPr>
              <w:widowControl w:val="0"/>
              <w:jc w:val="both"/>
            </w:pPr>
            <w:r w:rsidRPr="00EC2062">
              <w:t xml:space="preserve">Vienlaicīgi, </w:t>
            </w:r>
            <w:r w:rsidR="008A5615" w:rsidRPr="00EC2062">
              <w:t xml:space="preserve">kredītu atlikumu dzēšana 30% apmērā bērnu piedzimšanas gadījumos </w:t>
            </w:r>
            <w:r w:rsidRPr="00EC2062">
              <w:t xml:space="preserve">ministrijas ieskatā ir jautājums, par kuru ir nepieciešams </w:t>
            </w:r>
            <w:r w:rsidRPr="00EC2062">
              <w:lastRenderedPageBreak/>
              <w:t>Ministru kabineta lēmums, ņemot vērā Valdības rīcības plāna 105.1. pasākumu</w:t>
            </w:r>
            <w:r w:rsidR="00777E76" w:rsidRPr="00EC2062">
              <w:t>,</w:t>
            </w:r>
            <w:r w:rsidR="003B4703" w:rsidRPr="00EC2062">
              <w:t xml:space="preserve"> kā arī sabiedriskajās diskusijās ir izskanējuši dažādi viedokļi par šo jautājumu,</w:t>
            </w:r>
            <w:r w:rsidR="00777E76" w:rsidRPr="00EC2062">
              <w:t xml:space="preserve"> </w:t>
            </w:r>
            <w:r w:rsidR="008A5615" w:rsidRPr="00EC2062">
              <w:t xml:space="preserve">tai skaitā atbalsts šī pasākuma turpināšanai, </w:t>
            </w:r>
            <w:r w:rsidR="00777E76" w:rsidRPr="00EC2062">
              <w:t xml:space="preserve">tādēļ </w:t>
            </w:r>
            <w:r w:rsidR="003B4703" w:rsidRPr="00EC2062">
              <w:t>ziņojumā ir iekļautas</w:t>
            </w:r>
            <w:r w:rsidR="00777E76" w:rsidRPr="00EC2062">
              <w:t xml:space="preserve"> izmaksas </w:t>
            </w:r>
            <w:r w:rsidR="003B4703" w:rsidRPr="00EC2062">
              <w:t>dažādiem</w:t>
            </w:r>
            <w:r w:rsidR="00777E76" w:rsidRPr="00EC2062">
              <w:t xml:space="preserve"> rīcības variantiem</w:t>
            </w:r>
            <w:r w:rsidRPr="00EC2062">
              <w:t>.</w:t>
            </w:r>
          </w:p>
          <w:p w14:paraId="3EB8A895" w14:textId="77777777" w:rsidR="001D44FD" w:rsidRPr="00EC2062" w:rsidRDefault="001D44FD" w:rsidP="00A156D3">
            <w:pPr>
              <w:widowControl w:val="0"/>
              <w:jc w:val="both"/>
            </w:pPr>
          </w:p>
          <w:p w14:paraId="4D283568" w14:textId="77777777" w:rsidR="001D44FD" w:rsidRPr="00EC2062" w:rsidRDefault="001D44FD" w:rsidP="00A156D3">
            <w:pPr>
              <w:widowControl w:val="0"/>
              <w:jc w:val="both"/>
            </w:pPr>
          </w:p>
          <w:p w14:paraId="1A95ADB3" w14:textId="77777777" w:rsidR="001D44FD" w:rsidRPr="00EC2062" w:rsidRDefault="001D44FD" w:rsidP="00A156D3">
            <w:pPr>
              <w:widowControl w:val="0"/>
              <w:jc w:val="both"/>
            </w:pPr>
          </w:p>
          <w:p w14:paraId="7B357A79" w14:textId="77777777" w:rsidR="001D44FD" w:rsidRPr="00EC2062" w:rsidRDefault="001D44FD" w:rsidP="00A156D3">
            <w:pPr>
              <w:widowControl w:val="0"/>
              <w:jc w:val="both"/>
            </w:pPr>
          </w:p>
          <w:p w14:paraId="4DA87AFA" w14:textId="77777777" w:rsidR="001D44FD" w:rsidRPr="00EC2062" w:rsidRDefault="001D44FD" w:rsidP="00A156D3">
            <w:pPr>
              <w:widowControl w:val="0"/>
              <w:jc w:val="both"/>
            </w:pPr>
          </w:p>
          <w:p w14:paraId="5382AEF2" w14:textId="77777777" w:rsidR="001D44FD" w:rsidRPr="00EC2062" w:rsidRDefault="001D44FD" w:rsidP="00A156D3">
            <w:pPr>
              <w:widowControl w:val="0"/>
              <w:jc w:val="both"/>
            </w:pPr>
          </w:p>
          <w:p w14:paraId="577E69DB" w14:textId="77777777" w:rsidR="001D44FD" w:rsidRPr="00EC2062" w:rsidRDefault="001D44FD" w:rsidP="00A156D3">
            <w:pPr>
              <w:widowControl w:val="0"/>
              <w:jc w:val="both"/>
            </w:pPr>
          </w:p>
          <w:p w14:paraId="27AFDEA3" w14:textId="77777777" w:rsidR="001D44FD" w:rsidRPr="00EC2062" w:rsidRDefault="001D44FD" w:rsidP="00A156D3">
            <w:pPr>
              <w:widowControl w:val="0"/>
              <w:jc w:val="both"/>
            </w:pPr>
          </w:p>
          <w:p w14:paraId="20FCD228" w14:textId="77777777" w:rsidR="001D44FD" w:rsidRPr="00EC2062" w:rsidRDefault="001D44FD" w:rsidP="00A156D3">
            <w:pPr>
              <w:widowControl w:val="0"/>
              <w:jc w:val="both"/>
            </w:pPr>
          </w:p>
          <w:p w14:paraId="1E171230" w14:textId="77777777" w:rsidR="001D44FD" w:rsidRPr="00EC2062" w:rsidRDefault="001D44FD" w:rsidP="00A156D3">
            <w:pPr>
              <w:widowControl w:val="0"/>
              <w:jc w:val="both"/>
            </w:pPr>
          </w:p>
          <w:p w14:paraId="7621841D" w14:textId="77777777" w:rsidR="001D44FD" w:rsidRPr="00EC2062" w:rsidRDefault="001D44FD" w:rsidP="00A156D3">
            <w:pPr>
              <w:widowControl w:val="0"/>
              <w:jc w:val="both"/>
            </w:pPr>
          </w:p>
          <w:p w14:paraId="7ED65414" w14:textId="77777777" w:rsidR="001D44FD" w:rsidRPr="00EC2062" w:rsidRDefault="001D44FD" w:rsidP="00A156D3">
            <w:pPr>
              <w:widowControl w:val="0"/>
              <w:jc w:val="both"/>
            </w:pPr>
          </w:p>
          <w:p w14:paraId="7F6473BB" w14:textId="77777777" w:rsidR="001D44FD" w:rsidRPr="00EC2062" w:rsidRDefault="001D44FD" w:rsidP="00A156D3">
            <w:pPr>
              <w:widowControl w:val="0"/>
              <w:jc w:val="both"/>
            </w:pPr>
          </w:p>
          <w:p w14:paraId="4BB8BF80" w14:textId="77777777" w:rsidR="001D44FD" w:rsidRPr="00EC2062" w:rsidRDefault="001D44FD" w:rsidP="00A156D3">
            <w:pPr>
              <w:widowControl w:val="0"/>
              <w:jc w:val="both"/>
            </w:pPr>
          </w:p>
          <w:p w14:paraId="09976101" w14:textId="77777777" w:rsidR="001D44FD" w:rsidRPr="00EC2062" w:rsidRDefault="001D44FD" w:rsidP="00A156D3">
            <w:pPr>
              <w:widowControl w:val="0"/>
              <w:jc w:val="both"/>
            </w:pPr>
          </w:p>
          <w:p w14:paraId="0F710C21" w14:textId="77777777" w:rsidR="001D44FD" w:rsidRPr="00EC2062" w:rsidRDefault="001D44FD" w:rsidP="00A156D3">
            <w:pPr>
              <w:widowControl w:val="0"/>
              <w:jc w:val="both"/>
            </w:pPr>
            <w:r w:rsidRPr="00EC2062">
              <w:t>Ziņojumā minētā orientējošā maksimālā pievienotā li</w:t>
            </w:r>
            <w:r w:rsidR="00F73C0B" w:rsidRPr="00EC2062">
              <w:t>kme 3,5% ir noteikta pārrunās ar Finanšu nozares asociāciju un “Altum”. Precīza maksimālā pievienotā likme un pamatojums tiks noteikti</w:t>
            </w:r>
            <w:r w:rsidR="008F4F43" w:rsidRPr="00EC2062">
              <w:t>, izstrādājot</w:t>
            </w:r>
            <w:r w:rsidR="00F73C0B" w:rsidRPr="00EC2062">
              <w:t xml:space="preserve"> normatīv</w:t>
            </w:r>
            <w:r w:rsidR="008F4F43" w:rsidRPr="00EC2062">
              <w:t>o</w:t>
            </w:r>
            <w:r w:rsidR="00F73C0B" w:rsidRPr="00EC2062">
              <w:t xml:space="preserve"> regulējum</w:t>
            </w:r>
            <w:r w:rsidR="008F4F43" w:rsidRPr="00EC2062">
              <w:t>u</w:t>
            </w:r>
            <w:r w:rsidR="00F73C0B" w:rsidRPr="00EC2062">
              <w:t>. Bankām būs iespēja konkurēt, piedāvājot zemāku pievienoto likmi</w:t>
            </w:r>
            <w:r w:rsidR="003B4703" w:rsidRPr="00EC2062">
              <w:t xml:space="preserve"> nekā normatīvajā regulējumā noteikto</w:t>
            </w:r>
            <w:r w:rsidR="00D7327A" w:rsidRPr="00EC2062">
              <w:t>, taču ne augstāku</w:t>
            </w:r>
            <w:r w:rsidR="00F73C0B" w:rsidRPr="00EC2062">
              <w:t>.</w:t>
            </w:r>
          </w:p>
          <w:p w14:paraId="7EEAFA44" w14:textId="77777777" w:rsidR="00F73C0B" w:rsidRPr="00EC2062" w:rsidRDefault="00F73C0B" w:rsidP="00A156D3">
            <w:pPr>
              <w:widowControl w:val="0"/>
              <w:jc w:val="both"/>
            </w:pPr>
          </w:p>
          <w:p w14:paraId="17901052" w14:textId="77777777" w:rsidR="001D44FD" w:rsidRPr="00EC2062" w:rsidRDefault="001D44FD" w:rsidP="00A156D3">
            <w:pPr>
              <w:widowControl w:val="0"/>
              <w:jc w:val="both"/>
            </w:pPr>
          </w:p>
          <w:p w14:paraId="0CCED8F5" w14:textId="77777777" w:rsidR="00E169DE" w:rsidRPr="00EC2062" w:rsidRDefault="00E169DE" w:rsidP="00A156D3">
            <w:pPr>
              <w:widowControl w:val="0"/>
              <w:jc w:val="both"/>
            </w:pPr>
          </w:p>
          <w:p w14:paraId="7665E732" w14:textId="77777777" w:rsidR="00E169DE" w:rsidRPr="00EC2062" w:rsidRDefault="00E169DE" w:rsidP="00A156D3">
            <w:pPr>
              <w:widowControl w:val="0"/>
              <w:jc w:val="both"/>
            </w:pPr>
          </w:p>
          <w:p w14:paraId="3E637235" w14:textId="77777777" w:rsidR="00033ACD" w:rsidRPr="00EC2062" w:rsidRDefault="00033ACD" w:rsidP="00A156D3">
            <w:pPr>
              <w:widowControl w:val="0"/>
              <w:jc w:val="both"/>
            </w:pPr>
          </w:p>
          <w:p w14:paraId="08213DA3" w14:textId="77777777" w:rsidR="00033ACD" w:rsidRPr="00EC2062" w:rsidRDefault="00033ACD" w:rsidP="00A156D3">
            <w:pPr>
              <w:widowControl w:val="0"/>
              <w:jc w:val="both"/>
            </w:pPr>
          </w:p>
          <w:p w14:paraId="7E465CA5" w14:textId="77777777" w:rsidR="00033ACD" w:rsidRPr="00EC2062" w:rsidRDefault="00033ACD" w:rsidP="00A156D3">
            <w:pPr>
              <w:widowControl w:val="0"/>
              <w:jc w:val="both"/>
            </w:pPr>
          </w:p>
          <w:p w14:paraId="6C5D1C40" w14:textId="77777777" w:rsidR="00033ACD" w:rsidRPr="00EC2062" w:rsidRDefault="00033ACD" w:rsidP="00A156D3">
            <w:pPr>
              <w:widowControl w:val="0"/>
              <w:jc w:val="both"/>
            </w:pPr>
          </w:p>
          <w:p w14:paraId="4B11BC42" w14:textId="77777777" w:rsidR="00033ACD" w:rsidRPr="00EC2062" w:rsidRDefault="00033ACD" w:rsidP="00A156D3">
            <w:pPr>
              <w:widowControl w:val="0"/>
              <w:jc w:val="both"/>
            </w:pPr>
          </w:p>
          <w:p w14:paraId="0270174F" w14:textId="77777777" w:rsidR="00E169DE" w:rsidRPr="00EC2062" w:rsidRDefault="00E169DE" w:rsidP="00A156D3">
            <w:pPr>
              <w:widowControl w:val="0"/>
              <w:jc w:val="both"/>
            </w:pPr>
            <w:r w:rsidRPr="00EC2062">
              <w:t xml:space="preserve">Detalizēts regulējums attiecībā uz šādiem jautājumiem ir izstrādājams sagatavojot Ministru kabineta noteikumus. Konceptuālā ziņojuma mērķis ir vienoties par jauno modeli koncepcijas līmenī un iegūt mandātu sākt izstrādāt </w:t>
            </w:r>
            <w:r w:rsidR="00D7327A" w:rsidRPr="00EC2062">
              <w:t xml:space="preserve">tam </w:t>
            </w:r>
            <w:r w:rsidRPr="00EC2062">
              <w:t>normatīvo regulējumu. Ziņojum</w:t>
            </w:r>
            <w:r w:rsidR="00B41AE4" w:rsidRPr="00EC2062">
              <w:t>a</w:t>
            </w:r>
            <w:r w:rsidR="00B23143" w:rsidRPr="00EC2062">
              <w:t xml:space="preserve"> precizētajā redakcijā</w:t>
            </w:r>
            <w:r w:rsidR="00B41AE4" w:rsidRPr="00EC2062">
              <w:t xml:space="preserve"> 2</w:t>
            </w:r>
            <w:r w:rsidR="00B23143" w:rsidRPr="00EC2062">
              <w:t>7</w:t>
            </w:r>
            <w:r w:rsidR="00B41AE4" w:rsidRPr="00EC2062">
              <w:t>.lp.</w:t>
            </w:r>
            <w:r w:rsidRPr="00EC2062">
              <w:t xml:space="preserve"> ir norādīts, ka </w:t>
            </w:r>
            <w:r w:rsidR="00B41AE4" w:rsidRPr="00EC2062">
              <w:t>lai novērstu nelietderīgu izmantošanu būtu nosakāms maksimālais termiņš pēc pirmās studiju programmas uzsākšanas</w:t>
            </w:r>
            <w:r w:rsidR="00F413DD" w:rsidRPr="00EC2062">
              <w:t>,</w:t>
            </w:r>
            <w:r w:rsidR="00B41AE4" w:rsidRPr="00EC2062">
              <w:t xml:space="preserve"> līdz kuram var atlikt pamatsummas atmaksas uzsākšanu.</w:t>
            </w:r>
          </w:p>
          <w:p w14:paraId="213AD152" w14:textId="77777777" w:rsidR="00E169DE" w:rsidRPr="00EC2062" w:rsidRDefault="00E169DE" w:rsidP="00A156D3">
            <w:pPr>
              <w:widowControl w:val="0"/>
              <w:jc w:val="both"/>
            </w:pPr>
          </w:p>
          <w:p w14:paraId="687D034B" w14:textId="77777777" w:rsidR="00E169DE" w:rsidRPr="00EC2062" w:rsidRDefault="00E169DE" w:rsidP="00A156D3">
            <w:pPr>
              <w:widowControl w:val="0"/>
              <w:jc w:val="both"/>
            </w:pPr>
          </w:p>
          <w:p w14:paraId="1EF4302F" w14:textId="77777777" w:rsidR="00C90B0B" w:rsidRPr="00EC2062" w:rsidRDefault="00C90B0B" w:rsidP="00A156D3">
            <w:pPr>
              <w:widowControl w:val="0"/>
              <w:jc w:val="both"/>
            </w:pPr>
          </w:p>
          <w:p w14:paraId="18E9500C" w14:textId="77777777" w:rsidR="00C90B0B" w:rsidRPr="00EC2062" w:rsidRDefault="00C90B0B" w:rsidP="00A156D3">
            <w:pPr>
              <w:widowControl w:val="0"/>
              <w:jc w:val="both"/>
            </w:pPr>
          </w:p>
          <w:p w14:paraId="49B08F16" w14:textId="77777777" w:rsidR="00C90B0B" w:rsidRPr="00EC2062" w:rsidRDefault="00C90B0B" w:rsidP="00A156D3">
            <w:pPr>
              <w:widowControl w:val="0"/>
              <w:jc w:val="both"/>
            </w:pPr>
          </w:p>
          <w:p w14:paraId="156E17B6" w14:textId="77777777" w:rsidR="00C90B0B" w:rsidRPr="00EC2062" w:rsidRDefault="00C90B0B" w:rsidP="00A156D3">
            <w:pPr>
              <w:widowControl w:val="0"/>
              <w:jc w:val="both"/>
            </w:pPr>
          </w:p>
          <w:p w14:paraId="3B9056FE" w14:textId="77777777" w:rsidR="00C90B0B" w:rsidRPr="00EC2062" w:rsidRDefault="00C90B0B" w:rsidP="00A156D3">
            <w:pPr>
              <w:widowControl w:val="0"/>
              <w:jc w:val="both"/>
            </w:pPr>
          </w:p>
          <w:p w14:paraId="2B6618C1" w14:textId="77777777" w:rsidR="00C90B0B" w:rsidRPr="00EC2062" w:rsidRDefault="00C90B0B" w:rsidP="00A156D3">
            <w:pPr>
              <w:widowControl w:val="0"/>
              <w:jc w:val="both"/>
            </w:pPr>
          </w:p>
          <w:p w14:paraId="06D06CB9" w14:textId="77777777" w:rsidR="00C90B0B" w:rsidRPr="00EC2062" w:rsidRDefault="00C90B0B" w:rsidP="00A156D3">
            <w:pPr>
              <w:widowControl w:val="0"/>
              <w:jc w:val="both"/>
            </w:pPr>
          </w:p>
          <w:p w14:paraId="04E7A910" w14:textId="77777777" w:rsidR="00C90B0B" w:rsidRPr="00EC2062" w:rsidRDefault="00C90B0B" w:rsidP="00A156D3">
            <w:pPr>
              <w:widowControl w:val="0"/>
              <w:jc w:val="both"/>
            </w:pPr>
          </w:p>
          <w:p w14:paraId="464D7299" w14:textId="77777777" w:rsidR="00C90B0B" w:rsidRPr="00EC2062" w:rsidRDefault="00C90B0B" w:rsidP="00A156D3">
            <w:pPr>
              <w:widowControl w:val="0"/>
              <w:jc w:val="both"/>
            </w:pPr>
          </w:p>
          <w:p w14:paraId="243242BB" w14:textId="77777777" w:rsidR="00C90B0B" w:rsidRPr="00EC2062" w:rsidRDefault="00C90B0B" w:rsidP="00A156D3">
            <w:pPr>
              <w:widowControl w:val="0"/>
              <w:jc w:val="both"/>
            </w:pPr>
          </w:p>
          <w:p w14:paraId="3736D008" w14:textId="77777777" w:rsidR="00C90B0B" w:rsidRPr="00EC2062" w:rsidRDefault="00C90B0B" w:rsidP="00A156D3">
            <w:pPr>
              <w:widowControl w:val="0"/>
              <w:jc w:val="both"/>
            </w:pPr>
          </w:p>
          <w:p w14:paraId="4CD7A36A" w14:textId="77777777" w:rsidR="00C90B0B" w:rsidRPr="00EC2062" w:rsidRDefault="00C90B0B" w:rsidP="00A156D3">
            <w:pPr>
              <w:widowControl w:val="0"/>
              <w:jc w:val="both"/>
            </w:pPr>
          </w:p>
          <w:p w14:paraId="07A4F18D" w14:textId="77777777" w:rsidR="00C90B0B" w:rsidRPr="00EC2062" w:rsidRDefault="00C90B0B" w:rsidP="00A156D3">
            <w:pPr>
              <w:widowControl w:val="0"/>
              <w:jc w:val="both"/>
            </w:pPr>
          </w:p>
          <w:p w14:paraId="5DD3721B" w14:textId="77777777" w:rsidR="00C90B0B" w:rsidRPr="00EC2062" w:rsidRDefault="00C90B0B" w:rsidP="00A156D3">
            <w:pPr>
              <w:widowControl w:val="0"/>
              <w:jc w:val="both"/>
            </w:pPr>
          </w:p>
          <w:p w14:paraId="13CD6561" w14:textId="77777777" w:rsidR="00F13DFB" w:rsidRPr="00EC2062" w:rsidRDefault="00C90B0B" w:rsidP="00C90B0B">
            <w:pPr>
              <w:jc w:val="both"/>
            </w:pPr>
            <w:r w:rsidRPr="00EC2062">
              <w:t xml:space="preserve">Minimālais atalgojums </w:t>
            </w:r>
            <w:r w:rsidR="00D7327A" w:rsidRPr="00EC2062">
              <w:t xml:space="preserve">valstī </w:t>
            </w:r>
            <w:r w:rsidRPr="00EC2062">
              <w:t xml:space="preserve">ir noteiks kā </w:t>
            </w:r>
            <w:r w:rsidRPr="00EC2062">
              <w:rPr>
                <w:u w:val="single"/>
              </w:rPr>
              <w:t>bruto</w:t>
            </w:r>
            <w:r w:rsidRPr="00EC2062">
              <w:t xml:space="preserve"> summa</w:t>
            </w:r>
            <w:r w:rsidR="00D7327A" w:rsidRPr="00EC2062">
              <w:t>. Ņemot vērā neapliekamo minimumu, iedzīvotāju ienākuma nodokli un darba ņēmēja sociālās iemaksas,</w:t>
            </w:r>
            <w:r w:rsidR="00F13DFB" w:rsidRPr="00EC2062">
              <w:t xml:space="preserve"> kas tiek ieturētas no tā,</w:t>
            </w:r>
            <w:r w:rsidR="00D7327A" w:rsidRPr="00EC2062">
              <w:t xml:space="preserve"> </w:t>
            </w:r>
            <w:r w:rsidR="00D7327A" w:rsidRPr="00EC2062">
              <w:rPr>
                <w:u w:val="single"/>
              </w:rPr>
              <w:t>neto</w:t>
            </w:r>
            <w:r w:rsidR="00D7327A" w:rsidRPr="00EC2062">
              <w:t xml:space="preserve"> </w:t>
            </w:r>
            <w:r w:rsidR="00CE532E" w:rsidRPr="00EC2062">
              <w:t>minimālais atalgojums</w:t>
            </w:r>
            <w:r w:rsidR="00F13DFB" w:rsidRPr="00EC2062">
              <w:t xml:space="preserve"> ir 80% no noteiktā </w:t>
            </w:r>
            <w:r w:rsidR="00CE532E" w:rsidRPr="00EC2062">
              <w:t xml:space="preserve">bruto </w:t>
            </w:r>
            <w:r w:rsidR="00F13DFB" w:rsidRPr="00EC2062">
              <w:t xml:space="preserve">minimālā atalgojuma. </w:t>
            </w:r>
          </w:p>
          <w:p w14:paraId="49B6FF79" w14:textId="77777777" w:rsidR="00C90B0B" w:rsidRPr="00EC2062" w:rsidRDefault="00F13DFB" w:rsidP="00C90B0B">
            <w:pPr>
              <w:jc w:val="both"/>
            </w:pPr>
            <w:r w:rsidRPr="00EC2062">
              <w:t xml:space="preserve">Ņemot vērā, ka no studējošā kredīta netiek ieturēti nodokļi, </w:t>
            </w:r>
            <w:r w:rsidR="00C90B0B" w:rsidRPr="00EC2062">
              <w:t xml:space="preserve">studējošā kredīta summa mēnesī ir pielīdzināta neto minimālajam atalgojumam. </w:t>
            </w:r>
          </w:p>
          <w:p w14:paraId="0C739881" w14:textId="77777777" w:rsidR="00C90B0B" w:rsidRPr="00EC2062" w:rsidRDefault="00C90B0B" w:rsidP="00A156D3">
            <w:pPr>
              <w:widowControl w:val="0"/>
              <w:jc w:val="both"/>
            </w:pPr>
          </w:p>
          <w:p w14:paraId="49AE54A5" w14:textId="77777777" w:rsidR="00E02CC4" w:rsidRPr="00EC2062" w:rsidRDefault="00E02CC4" w:rsidP="00A156D3">
            <w:pPr>
              <w:widowControl w:val="0"/>
              <w:jc w:val="both"/>
            </w:pPr>
          </w:p>
          <w:p w14:paraId="3FF2183B" w14:textId="77777777" w:rsidR="00E02CC4" w:rsidRPr="00EC2062" w:rsidRDefault="00E02CC4" w:rsidP="00A156D3">
            <w:pPr>
              <w:widowControl w:val="0"/>
              <w:jc w:val="both"/>
            </w:pPr>
          </w:p>
          <w:p w14:paraId="4598648D" w14:textId="77777777" w:rsidR="00E02CC4" w:rsidRPr="00EC2062" w:rsidRDefault="00E02CC4" w:rsidP="00A156D3">
            <w:pPr>
              <w:widowControl w:val="0"/>
              <w:jc w:val="both"/>
            </w:pPr>
          </w:p>
          <w:p w14:paraId="02565C41" w14:textId="77777777" w:rsidR="00033ACD" w:rsidRPr="00EC2062" w:rsidRDefault="00033ACD" w:rsidP="00A156D3">
            <w:pPr>
              <w:widowControl w:val="0"/>
              <w:jc w:val="both"/>
            </w:pPr>
          </w:p>
          <w:p w14:paraId="461DD3B9" w14:textId="77777777" w:rsidR="00033ACD" w:rsidRPr="00EC2062" w:rsidRDefault="00033ACD" w:rsidP="00A156D3">
            <w:pPr>
              <w:widowControl w:val="0"/>
              <w:jc w:val="both"/>
            </w:pPr>
          </w:p>
          <w:p w14:paraId="01503D33" w14:textId="77777777" w:rsidR="00033ACD" w:rsidRPr="00EC2062" w:rsidRDefault="00033ACD" w:rsidP="00A156D3">
            <w:pPr>
              <w:widowControl w:val="0"/>
              <w:jc w:val="both"/>
            </w:pPr>
          </w:p>
          <w:p w14:paraId="7E488199" w14:textId="77777777" w:rsidR="00496505" w:rsidRPr="00EC2062" w:rsidRDefault="00CC33B8" w:rsidP="00A156D3">
            <w:pPr>
              <w:widowControl w:val="0"/>
              <w:jc w:val="both"/>
            </w:pPr>
            <w:r w:rsidRPr="00EC2062">
              <w:t>Ministrija piekrīt, ka doktorantu stipendijas apmērs ir jāpalielina</w:t>
            </w:r>
            <w:r w:rsidR="008A7510" w:rsidRPr="00EC2062">
              <w:t xml:space="preserve">, taču tas nav šī ziņojuma jautājums un ziņojumā minētā summa nav pietiekoša jautājuma </w:t>
            </w:r>
            <w:r w:rsidR="00F413DD" w:rsidRPr="00EC2062">
              <w:t>atrisināšanai</w:t>
            </w:r>
            <w:r w:rsidRPr="00EC2062">
              <w:t xml:space="preserve">. Jautājums tiks risināts, pilnveidojot doktora līmeņa studiju un promocijas sistēmu. Saskaņā ar ministrijas 27.04.2019. rīkojumu Nr. 1-2e/19/125 “Par doktora līmeņa studiju un promocijas sistēmas pilnveides darba grupas izveidi” ir uzsākts darbs pie priekšlikumu izstrādes jaunam doktora līmeņu studiju un promocijas sistēmas </w:t>
            </w:r>
            <w:r w:rsidRPr="00EC2062">
              <w:lastRenderedPageBreak/>
              <w:t xml:space="preserve">modelim, ņemot vērā Pasaules Bankas rekomendācijas ziņojumos “Doktora līmeņa studijas un promocijas sistēma Latvijā” (2016) un “Akadēmiskā karjera Latvijā: ieteikumi” (2018). Darba grupas uzdevums ir līdz 2019. gada beigām izstrādāt priekšlikumus jaunam modelim, piedalīties informatīvā ziņojuma sagatavošanā, kā arī izstrādāt priekšlikumus grozījumiem saistītajos normatīvajos aktos. Strādājot pie nepieciešamajiem sistēmas uzlabojumiem, darba grupa izstrādās priekšlikumus arī doktorantūras </w:t>
            </w:r>
            <w:r w:rsidR="00F413DD" w:rsidRPr="00EC2062">
              <w:t>finansēšanas pilnveidei, t. sk.</w:t>
            </w:r>
            <w:r w:rsidRPr="00EC2062">
              <w:t xml:space="preserve"> </w:t>
            </w:r>
            <w:r w:rsidR="00F413DD" w:rsidRPr="00EC2062">
              <w:t>par</w:t>
            </w:r>
            <w:r w:rsidRPr="00EC2062">
              <w:t xml:space="preserve"> doktorantu stipendiju palielināšan</w:t>
            </w:r>
            <w:r w:rsidR="00F413DD" w:rsidRPr="00EC2062">
              <w:t>u</w:t>
            </w:r>
            <w:r w:rsidRPr="00EC2062">
              <w:t>. Darba grupā ietilpst pārstāvji no ministrijas, lielākajām universitātēm, Latvijas Zinātnes padomes, Latvijas Jauno zinātnieku apvienības, Rektoru padomes un Latvijas Studentu apvienības.</w:t>
            </w:r>
          </w:p>
          <w:p w14:paraId="3EA0D401" w14:textId="77777777" w:rsidR="00496505" w:rsidRPr="00EC2062" w:rsidRDefault="00496505" w:rsidP="00A156D3">
            <w:pPr>
              <w:widowControl w:val="0"/>
              <w:jc w:val="both"/>
            </w:pPr>
          </w:p>
          <w:p w14:paraId="3AF1EE53" w14:textId="77777777" w:rsidR="00496505" w:rsidRPr="00EC2062" w:rsidRDefault="00496505" w:rsidP="00A156D3">
            <w:pPr>
              <w:widowControl w:val="0"/>
              <w:jc w:val="both"/>
            </w:pPr>
          </w:p>
          <w:p w14:paraId="6E50B653" w14:textId="77777777" w:rsidR="00B51B6D" w:rsidRPr="00EC2062" w:rsidRDefault="00496505" w:rsidP="00B51B6D">
            <w:pPr>
              <w:widowControl w:val="0"/>
              <w:jc w:val="both"/>
            </w:pPr>
            <w:r w:rsidRPr="00EC2062">
              <w:t xml:space="preserve">Ministrija piekrīt LJZA  viedoklim un par prioritāti uzskata nodrošināt riska segumu vismaz 2 000 kredītu izsniegšanai. Tādēļ ziņojums tika papildināts ar rīcības variantu, kas paredz izsniegt orientējoši 2000 jauno kredītu, taču neturpināt kredītu dzēšanu bērnu dzimšanas gadījumos un par darbu noteiktajās jomās (precizētā ziņojuma 3.rīcības variants). </w:t>
            </w:r>
            <w:r w:rsidR="00B51B6D" w:rsidRPr="00EC2062">
              <w:t xml:space="preserve"> Vienlaicīgi, kredītu </w:t>
            </w:r>
            <w:r w:rsidR="00B51B6D" w:rsidRPr="00EC2062">
              <w:lastRenderedPageBreak/>
              <w:t>atlikumu dzēšana 30% apmērā bērnu piedzimšanas gadījumos ministrijas ieskatā ir jautājums, par kuru ir nepieciešams Ministru kabineta lēmums, ņemot vērā Valdības rīcības plāna 105.1. pasākumu, kā arī sabiedriskajās diskusijās ir izskanējuši dažādi viedokļi par šo jautājumu, tai skaitā atbalsts šī pasākuma turpināšanai, tādēļ ziņojumā ir iekļautas izmaksas dažādiem rīcības variantiem.</w:t>
            </w:r>
          </w:p>
          <w:p w14:paraId="2EEC86AB" w14:textId="77777777" w:rsidR="006D5D2D" w:rsidRPr="00EC2062" w:rsidRDefault="006D5D2D" w:rsidP="00496505">
            <w:pPr>
              <w:widowControl w:val="0"/>
              <w:jc w:val="both"/>
            </w:pPr>
          </w:p>
          <w:p w14:paraId="42F71035" w14:textId="77777777" w:rsidR="007D3CFA" w:rsidRPr="00EC2062" w:rsidRDefault="007D3CFA" w:rsidP="00496505">
            <w:pPr>
              <w:widowControl w:val="0"/>
              <w:jc w:val="both"/>
            </w:pPr>
          </w:p>
          <w:p w14:paraId="1B35A30A" w14:textId="77777777" w:rsidR="007D3CFA" w:rsidRPr="00EC2062" w:rsidRDefault="007D3CFA" w:rsidP="00496505">
            <w:pPr>
              <w:widowControl w:val="0"/>
              <w:jc w:val="both"/>
            </w:pPr>
          </w:p>
          <w:p w14:paraId="73BC6BAE" w14:textId="77777777" w:rsidR="007D3CFA" w:rsidRPr="00EC2062" w:rsidRDefault="007D3CFA" w:rsidP="00496505">
            <w:pPr>
              <w:widowControl w:val="0"/>
              <w:jc w:val="both"/>
            </w:pPr>
          </w:p>
          <w:p w14:paraId="1E7BE321" w14:textId="77777777" w:rsidR="007D3CFA" w:rsidRPr="00EC2062" w:rsidRDefault="007D3CFA" w:rsidP="00496505">
            <w:pPr>
              <w:widowControl w:val="0"/>
              <w:jc w:val="both"/>
            </w:pPr>
          </w:p>
          <w:p w14:paraId="11C538A4" w14:textId="77777777" w:rsidR="007D3CFA" w:rsidRPr="00EC2062" w:rsidRDefault="007D3CFA" w:rsidP="00496505">
            <w:pPr>
              <w:widowControl w:val="0"/>
              <w:jc w:val="both"/>
            </w:pPr>
          </w:p>
          <w:p w14:paraId="561AA246" w14:textId="77777777" w:rsidR="007D3CFA" w:rsidRPr="00EC2062" w:rsidRDefault="007D3CFA" w:rsidP="00496505">
            <w:pPr>
              <w:widowControl w:val="0"/>
              <w:jc w:val="both"/>
            </w:pPr>
          </w:p>
          <w:p w14:paraId="56D04832" w14:textId="77777777" w:rsidR="007D3CFA" w:rsidRPr="00EC2062" w:rsidRDefault="007D3CFA" w:rsidP="00496505">
            <w:pPr>
              <w:widowControl w:val="0"/>
              <w:jc w:val="both"/>
            </w:pPr>
          </w:p>
          <w:p w14:paraId="0F6E8E2B" w14:textId="77777777" w:rsidR="007D3CFA" w:rsidRPr="00EC2062" w:rsidRDefault="007D3CFA" w:rsidP="00496505">
            <w:pPr>
              <w:widowControl w:val="0"/>
              <w:jc w:val="both"/>
            </w:pPr>
          </w:p>
          <w:p w14:paraId="1F50BF98" w14:textId="77777777" w:rsidR="007D3CFA" w:rsidRPr="00EC2062" w:rsidRDefault="007D3CFA" w:rsidP="00496505">
            <w:pPr>
              <w:widowControl w:val="0"/>
              <w:jc w:val="both"/>
            </w:pPr>
          </w:p>
          <w:p w14:paraId="77D2F7FE" w14:textId="77777777" w:rsidR="007D3CFA" w:rsidRPr="00EC2062" w:rsidRDefault="007D3CFA" w:rsidP="00496505">
            <w:pPr>
              <w:widowControl w:val="0"/>
              <w:jc w:val="both"/>
            </w:pPr>
          </w:p>
          <w:p w14:paraId="296F75A1" w14:textId="42909C6C" w:rsidR="007D3CFA" w:rsidRPr="00EC2062" w:rsidRDefault="007D3CFA" w:rsidP="007D3CFA">
            <w:pPr>
              <w:widowControl w:val="0"/>
              <w:jc w:val="both"/>
            </w:pPr>
            <w:r w:rsidRPr="00EC2062">
              <w:t>Minētā summa ir neto minimālais atalgojums valstī.</w:t>
            </w:r>
          </w:p>
        </w:tc>
        <w:tc>
          <w:tcPr>
            <w:tcW w:w="2986" w:type="dxa"/>
            <w:tcBorders>
              <w:top w:val="single" w:sz="4" w:space="0" w:color="auto"/>
              <w:left w:val="single" w:sz="4" w:space="0" w:color="auto"/>
              <w:bottom w:val="single" w:sz="4" w:space="0" w:color="auto"/>
            </w:tcBorders>
          </w:tcPr>
          <w:p w14:paraId="3400757C" w14:textId="77777777" w:rsidR="00A32F7A" w:rsidRPr="00BE6B8C" w:rsidRDefault="00A32F7A" w:rsidP="00BE6B8C">
            <w:pPr>
              <w:jc w:val="both"/>
            </w:pPr>
          </w:p>
          <w:p w14:paraId="10A7E147" w14:textId="77777777" w:rsidR="00A32F7A" w:rsidRPr="00BE6B8C" w:rsidRDefault="00A32F7A" w:rsidP="00BE6B8C">
            <w:pPr>
              <w:jc w:val="both"/>
            </w:pPr>
          </w:p>
          <w:p w14:paraId="137A225C" w14:textId="77777777" w:rsidR="008273D6" w:rsidRPr="00BE6B8C" w:rsidRDefault="00A156D3" w:rsidP="00BE6B8C">
            <w:pPr>
              <w:jc w:val="both"/>
            </w:pPr>
            <w:r w:rsidRPr="00BE6B8C">
              <w:t>Ziņojuma sadaļa “Jaunā kreditēšanas modeļa ieviešanas varianti un to ietekme uz valsts un pašvaldību budžetu” papildināta ar sekojošu jaunu punktu:</w:t>
            </w:r>
          </w:p>
          <w:p w14:paraId="4F84D46D" w14:textId="77777777" w:rsidR="00A156D3" w:rsidRPr="00BE6B8C" w:rsidRDefault="00A156D3" w:rsidP="00BE6B8C">
            <w:pPr>
              <w:jc w:val="both"/>
            </w:pPr>
          </w:p>
          <w:p w14:paraId="35D62B7F" w14:textId="77777777" w:rsidR="00A156D3" w:rsidRPr="00702405" w:rsidRDefault="00A156D3" w:rsidP="00BE6B8C">
            <w:pPr>
              <w:jc w:val="both"/>
              <w:rPr>
                <w:i/>
              </w:rPr>
            </w:pPr>
            <w:r w:rsidRPr="00BE6B8C">
              <w:t xml:space="preserve">3) jaunā modeļa ieviešana, izsniedzot 2 000 jaunu kredītu gadā, sākot ar 2020. gadu. Tiks turpināta dzēšana nāves un invaliditātes gadījumos, un tā ir iekļauta aprēķinos par “Altum” </w:t>
            </w:r>
            <w:r w:rsidRPr="00BE6B8C">
              <w:lastRenderedPageBreak/>
              <w:t xml:space="preserve">portfeļgarantijas izmaksām. </w:t>
            </w:r>
            <w:r w:rsidR="008A5615">
              <w:t>Netiks turpināta kredītu dzēšana</w:t>
            </w:r>
            <w:r w:rsidRPr="00BE6B8C">
              <w:t xml:space="preserve"> bērnu dzimšanas gadījumos, kā arī par darbu noteiktajās jomās. Šim variantam nepieciešamais papildu finansējums būtu sekojošs (…).</w:t>
            </w:r>
            <w:r>
              <w:rPr>
                <w:i/>
              </w:rPr>
              <w:t xml:space="preserve"> </w:t>
            </w:r>
          </w:p>
        </w:tc>
      </w:tr>
      <w:tr w:rsidR="008273D6" w:rsidRPr="001801C2" w14:paraId="396D5BE0"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664C767" w14:textId="77777777" w:rsidR="008273D6" w:rsidRPr="001801C2" w:rsidRDefault="008273D6" w:rsidP="008273D6">
            <w:pPr>
              <w:jc w:val="right"/>
            </w:pPr>
          </w:p>
        </w:tc>
        <w:tc>
          <w:tcPr>
            <w:tcW w:w="3112" w:type="dxa"/>
            <w:tcBorders>
              <w:top w:val="single" w:sz="4" w:space="0" w:color="auto"/>
              <w:left w:val="single" w:sz="6" w:space="0" w:color="000000"/>
              <w:bottom w:val="single" w:sz="4" w:space="0" w:color="auto"/>
              <w:right w:val="single" w:sz="6" w:space="0" w:color="000000"/>
            </w:tcBorders>
          </w:tcPr>
          <w:p w14:paraId="03428760" w14:textId="77777777" w:rsidR="008273D6" w:rsidRPr="005F2E17" w:rsidRDefault="000E47ED" w:rsidP="008273D6">
            <w:r w:rsidRPr="005F2E17">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A500FE5" w14:textId="77777777" w:rsidR="000E47ED" w:rsidRPr="000E47ED" w:rsidRDefault="000E47ED" w:rsidP="000E47ED">
            <w:pPr>
              <w:widowControl w:val="0"/>
              <w:jc w:val="both"/>
              <w:rPr>
                <w:b/>
              </w:rPr>
            </w:pPr>
            <w:r w:rsidRPr="000E47ED">
              <w:rPr>
                <w:b/>
              </w:rPr>
              <w:t>Veselības ministrija (21.05.2019. vēstule nr. 01-09/2109 ):</w:t>
            </w:r>
          </w:p>
          <w:p w14:paraId="5C7E8980" w14:textId="71050367" w:rsidR="000E47ED" w:rsidRPr="000E47ED" w:rsidRDefault="000E47ED" w:rsidP="000E47ED">
            <w:pPr>
              <w:widowControl w:val="0"/>
              <w:jc w:val="both"/>
            </w:pPr>
            <w:r w:rsidRPr="000E47ED">
              <w:t xml:space="preserve">Veselības ministrijas ieskatā ir atbalstāma iniciatīva pārskatīt studiju un studējošā kredīta izsniegšanas kārtību, vienlaikus saglabājot studiju kredīta dzēšanas iespēju par darbu noteiktā jomā (ziņojumā piedāvātais </w:t>
            </w:r>
            <w:r w:rsidRPr="000E47ED">
              <w:rPr>
                <w:b/>
              </w:rPr>
              <w:t>4.variants</w:t>
            </w:r>
            <w:r w:rsidRPr="000E47ED">
              <w:t xml:space="preserve">). Veselības jomā kredīta dzēšana, ja persona strādā profesijā valsts vai pašvaldības institūcijā ir labs instruments, kā var piesaistīt un atbalstīt jaunos speciālistus darbam valsts un pašvaldību ārstniecības iestādēs, līdz ar to Veselības ministrija ir ieinteresēta, lai studiju kredīta dzēšana tiktu nodrošināta līdzšinējā kārtībā. Vienlaikus, ierobežota finansējuma apstākļos, aicinām papildus vērtēt studējošā kredīta izsniegšanas un dzēšanas nosacījumus konkrētajā jomā </w:t>
            </w:r>
            <w:r w:rsidRPr="000E47ED">
              <w:lastRenderedPageBreak/>
              <w:t>nodarbinātajām personām.</w:t>
            </w:r>
          </w:p>
          <w:p w14:paraId="7D6DE503" w14:textId="77777777" w:rsidR="000E47ED" w:rsidRPr="000E47ED" w:rsidRDefault="000E47ED" w:rsidP="000E47ED">
            <w:pPr>
              <w:widowControl w:val="0"/>
              <w:jc w:val="both"/>
            </w:pPr>
            <w:r w:rsidRPr="000E47ED">
              <w:tab/>
              <w:t>Tā kā valsts finansētu studiju vietu palielināšana medicīnas studiju programmās negarantē nepieciešamo speciālistu nonākšanu darba tirgū, uzskatām, ka no valsts budžeta līdzekļiem būtu jārod iespēja segt studiju kredītu jau nozarē strādājošajiem, tādējādi veicinot motivētāku studentu uzņemšanu studiju programmās un mazinātu atbirumu.</w:t>
            </w:r>
          </w:p>
          <w:p w14:paraId="7BF7AB68" w14:textId="77777777" w:rsidR="008273D6" w:rsidRPr="00A57118" w:rsidRDefault="000E47ED" w:rsidP="00A57118">
            <w:pPr>
              <w:widowControl w:val="0"/>
              <w:jc w:val="both"/>
            </w:pPr>
            <w:r w:rsidRPr="000E47ED">
              <w:tab/>
              <w:t>Informējam, ka no veselības nozares budžeta līdzekļiem nepastāv iespēja novirzīt papildus finansējumu studējošo vietu skaita palielināšanai vai kredītu dzēšanai.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777B6C8" w14:textId="77777777" w:rsidR="00033ACD" w:rsidRPr="00033ACD" w:rsidRDefault="00033ACD" w:rsidP="00033ACD">
            <w:pPr>
              <w:ind w:firstLine="284"/>
              <w:jc w:val="center"/>
              <w:rPr>
                <w:b/>
              </w:rPr>
            </w:pPr>
            <w:r w:rsidRPr="00033ACD">
              <w:rPr>
                <w:b/>
              </w:rPr>
              <w:lastRenderedPageBreak/>
              <w:t>Ņemts vērā</w:t>
            </w:r>
          </w:p>
          <w:p w14:paraId="76ABF630" w14:textId="77777777" w:rsidR="003C255E" w:rsidRDefault="003C255E" w:rsidP="009F4BA2">
            <w:pPr>
              <w:ind w:firstLine="284"/>
              <w:jc w:val="both"/>
            </w:pPr>
          </w:p>
          <w:p w14:paraId="3E107FFB" w14:textId="77777777" w:rsidR="003C255E" w:rsidRDefault="003C255E" w:rsidP="009F4BA2">
            <w:pPr>
              <w:ind w:firstLine="284"/>
              <w:jc w:val="both"/>
            </w:pPr>
          </w:p>
          <w:p w14:paraId="1A0A936E" w14:textId="77777777" w:rsidR="009F4BA2" w:rsidRDefault="009F4BA2" w:rsidP="009F4BA2">
            <w:pPr>
              <w:ind w:firstLine="284"/>
              <w:jc w:val="both"/>
            </w:pPr>
            <w:r>
              <w:t>Ministrija ir iekļāvusi konceptuālajā ziņojumā rīcības variantu, kas paredz turpināt kredītu dzēšanu un turpmākā rīcība ir atkarīga no Ministru kabineta atbalstītā rīcības varianta un lēmumiem budžeta veidošanas procesā.</w:t>
            </w:r>
            <w:r w:rsidR="00266594">
              <w:t xml:space="preserve"> </w:t>
            </w:r>
          </w:p>
          <w:p w14:paraId="22C6B53C" w14:textId="77777777" w:rsidR="008273D6" w:rsidRPr="003D7B8F" w:rsidRDefault="008273D6" w:rsidP="008273D6">
            <w:pPr>
              <w:ind w:firstLine="284"/>
              <w:jc w:val="both"/>
              <w:rPr>
                <w:b/>
              </w:rPr>
            </w:pPr>
          </w:p>
        </w:tc>
        <w:tc>
          <w:tcPr>
            <w:tcW w:w="2986" w:type="dxa"/>
            <w:tcBorders>
              <w:top w:val="single" w:sz="4" w:space="0" w:color="auto"/>
              <w:left w:val="single" w:sz="4" w:space="0" w:color="auto"/>
              <w:bottom w:val="single" w:sz="4" w:space="0" w:color="auto"/>
            </w:tcBorders>
          </w:tcPr>
          <w:p w14:paraId="3C238335" w14:textId="77777777" w:rsidR="008273D6" w:rsidRPr="00702405" w:rsidRDefault="008273D6" w:rsidP="008273D6">
            <w:pPr>
              <w:rPr>
                <w:i/>
              </w:rPr>
            </w:pPr>
          </w:p>
        </w:tc>
      </w:tr>
      <w:tr w:rsidR="00556E83" w:rsidRPr="001801C2" w14:paraId="407AEF5B"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36A6F20" w14:textId="77777777" w:rsidR="00556E83" w:rsidRPr="001801C2" w:rsidRDefault="00556E83" w:rsidP="008273D6">
            <w:pPr>
              <w:jc w:val="right"/>
            </w:pPr>
          </w:p>
        </w:tc>
        <w:tc>
          <w:tcPr>
            <w:tcW w:w="3112" w:type="dxa"/>
            <w:tcBorders>
              <w:top w:val="single" w:sz="4" w:space="0" w:color="auto"/>
              <w:left w:val="single" w:sz="6" w:space="0" w:color="000000"/>
              <w:bottom w:val="single" w:sz="4" w:space="0" w:color="auto"/>
              <w:right w:val="single" w:sz="6" w:space="0" w:color="000000"/>
            </w:tcBorders>
          </w:tcPr>
          <w:p w14:paraId="1535F4CC" w14:textId="77777777" w:rsidR="00556E83" w:rsidRPr="000B19D6" w:rsidRDefault="00552933" w:rsidP="008273D6">
            <w:r w:rsidRPr="000B19D6">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1FCE53D" w14:textId="77777777" w:rsidR="00552933" w:rsidRDefault="00552933" w:rsidP="00552933">
            <w:pPr>
              <w:jc w:val="both"/>
              <w:rPr>
                <w:b/>
              </w:rPr>
            </w:pPr>
            <w:r>
              <w:rPr>
                <w:b/>
              </w:rPr>
              <w:t>Ekonomikas ministrija (</w:t>
            </w:r>
            <w:r w:rsidRPr="008363DA">
              <w:rPr>
                <w:b/>
              </w:rPr>
              <w:t>17.05.2019</w:t>
            </w:r>
            <w:r>
              <w:rPr>
                <w:b/>
              </w:rPr>
              <w:t xml:space="preserve"> vēstule nr. </w:t>
            </w:r>
            <w:r w:rsidRPr="008363DA">
              <w:rPr>
                <w:b/>
              </w:rPr>
              <w:t>3.3-2/2019/2640</w:t>
            </w:r>
            <w:r>
              <w:rPr>
                <w:b/>
              </w:rPr>
              <w:t>):</w:t>
            </w:r>
          </w:p>
          <w:p w14:paraId="6DF338AA" w14:textId="77777777" w:rsidR="00552933" w:rsidRPr="008363DA" w:rsidRDefault="00552933" w:rsidP="00552933">
            <w:pPr>
              <w:jc w:val="both"/>
            </w:pPr>
            <w:r w:rsidRPr="008363DA">
              <w:t xml:space="preserve">Ekonomikas ministrija atzinīgi vērtē iespēju, ka nav nepieciešams otrs galvotājs vai cits papildus nodrošinājums studiju un studējošā kredīta saņemšanai, jo plašāka kredītu pieejamība atstāj pozitīvu ietekmi uz cilvēkresursu attīstību, tādējādi veicinot arī ilgtspējīgu un produktivitātes </w:t>
            </w:r>
            <w:r w:rsidRPr="008363DA">
              <w:lastRenderedPageBreak/>
              <w:t>pieaugumā balstītu tautsaimniecības izaugsmi.</w:t>
            </w:r>
          </w:p>
          <w:p w14:paraId="26D1B3FE" w14:textId="77777777" w:rsidR="00552933" w:rsidRDefault="00552933" w:rsidP="00552933">
            <w:pPr>
              <w:jc w:val="both"/>
            </w:pPr>
            <w:r w:rsidRPr="008363DA">
              <w:t>Uzskatām, ka finanšu resursi primāri būtu jānovirza tieši kredītu pieejamībai nevis to dzēšanai bērnu dzimšanas gadījumos vai par darbu noteiktās jomās/profesijās.</w:t>
            </w:r>
          </w:p>
          <w:p w14:paraId="55F2CFD8" w14:textId="77777777" w:rsidR="00AC018A" w:rsidRPr="008363DA" w:rsidRDefault="00AC018A" w:rsidP="00552933">
            <w:pPr>
              <w:jc w:val="both"/>
            </w:pPr>
          </w:p>
          <w:p w14:paraId="60CCDD6F" w14:textId="77777777" w:rsidR="00556E83" w:rsidRDefault="00552933" w:rsidP="00340CA8">
            <w:pPr>
              <w:jc w:val="both"/>
            </w:pPr>
            <w:r w:rsidRPr="008363DA">
              <w:t>Aicinām izvērtēt iespēju piešķirt kredītus arī ārzemēs studējošiem Latvijas valstspiederīgajiem, tādējādi dodot iespēju Latvijas cilvēkiem gūt pasaules līmeņa izglītību.</w:t>
            </w:r>
          </w:p>
          <w:p w14:paraId="2E57DEB7" w14:textId="77777777" w:rsidR="00340CA8" w:rsidRDefault="00340CA8" w:rsidP="00340CA8">
            <w:pPr>
              <w:jc w:val="both"/>
            </w:pPr>
          </w:p>
          <w:p w14:paraId="44D4CC8E" w14:textId="47BDD2B6" w:rsidR="00340CA8" w:rsidRPr="00EC2062" w:rsidRDefault="00340CA8" w:rsidP="00340CA8">
            <w:pPr>
              <w:jc w:val="both"/>
              <w:rPr>
                <w:b/>
              </w:rPr>
            </w:pPr>
            <w:r w:rsidRPr="00EC2062">
              <w:rPr>
                <w:b/>
              </w:rPr>
              <w:t>Ekonomikas ministrija (26.06.2019. e-pasta vēstule):</w:t>
            </w:r>
          </w:p>
          <w:p w14:paraId="61199E30" w14:textId="6605A6E3" w:rsidR="00340CA8" w:rsidRPr="00340CA8" w:rsidRDefault="00340CA8" w:rsidP="00340CA8">
            <w:pPr>
              <w:jc w:val="both"/>
            </w:pPr>
            <w:r w:rsidRPr="00EC2062">
              <w:t>Par konceptuālo ziņojumu “Studiju un studējošo kreditēšanas no kredītiestāžu līdzekļiem ar valsts vārdā sniegto galvojumu modeļa maiņu” Ekonomikas ministrija informē, ka saskaņo bez iebildumiem un priekšlikumiem.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ED67F24" w14:textId="77777777" w:rsidR="00552933" w:rsidRPr="00552933" w:rsidRDefault="00552933" w:rsidP="00552933">
            <w:pPr>
              <w:ind w:firstLine="284"/>
              <w:jc w:val="center"/>
              <w:rPr>
                <w:b/>
              </w:rPr>
            </w:pPr>
            <w:r w:rsidRPr="00552933">
              <w:rPr>
                <w:b/>
              </w:rPr>
              <w:lastRenderedPageBreak/>
              <w:t>Ņ</w:t>
            </w:r>
            <w:r>
              <w:rPr>
                <w:b/>
              </w:rPr>
              <w:t>e</w:t>
            </w:r>
            <w:r w:rsidRPr="00552933">
              <w:rPr>
                <w:b/>
              </w:rPr>
              <w:t>mts vērā</w:t>
            </w:r>
          </w:p>
          <w:p w14:paraId="75D84A89" w14:textId="77777777" w:rsidR="00AC018A" w:rsidRDefault="00AC018A" w:rsidP="00445305">
            <w:pPr>
              <w:jc w:val="both"/>
            </w:pPr>
          </w:p>
          <w:p w14:paraId="05B06E66" w14:textId="77777777" w:rsidR="00AC018A" w:rsidRDefault="00AC018A" w:rsidP="00445305">
            <w:pPr>
              <w:jc w:val="both"/>
            </w:pPr>
          </w:p>
          <w:p w14:paraId="5C87DFA6" w14:textId="77777777" w:rsidR="00556E83" w:rsidRDefault="00552933" w:rsidP="00445305">
            <w:pPr>
              <w:jc w:val="both"/>
            </w:pPr>
            <w:r>
              <w:t>Ziņojums tika papildināts ar vēl vienu izmaksu variantu, kas paredz orientējoši jauni 2 000 kredītu izsniegšanu, taču neparedz dzēšanas turpināšanu izņemot nāves un invaliditātes gadījumus (ziņojuma gala redakcijas 3. rīcības variants no pieciem variantiem).</w:t>
            </w:r>
          </w:p>
          <w:p w14:paraId="639BBDAB" w14:textId="77777777" w:rsidR="002454B7" w:rsidRDefault="002454B7" w:rsidP="00556E83">
            <w:pPr>
              <w:ind w:firstLine="284"/>
              <w:jc w:val="both"/>
            </w:pPr>
          </w:p>
          <w:p w14:paraId="68C82535" w14:textId="77777777" w:rsidR="002454B7" w:rsidRDefault="002454B7" w:rsidP="00556E83">
            <w:pPr>
              <w:ind w:firstLine="284"/>
              <w:jc w:val="both"/>
            </w:pPr>
          </w:p>
          <w:p w14:paraId="61484528" w14:textId="77777777" w:rsidR="002454B7" w:rsidRDefault="002454B7" w:rsidP="002454B7">
            <w:pPr>
              <w:jc w:val="both"/>
            </w:pPr>
          </w:p>
          <w:p w14:paraId="2C9206BE" w14:textId="77777777" w:rsidR="002454B7" w:rsidRDefault="002454B7" w:rsidP="002454B7">
            <w:pPr>
              <w:jc w:val="both"/>
            </w:pPr>
          </w:p>
          <w:p w14:paraId="7919807C" w14:textId="77777777" w:rsidR="002454B7" w:rsidRDefault="002454B7" w:rsidP="002454B7">
            <w:pPr>
              <w:jc w:val="both"/>
            </w:pPr>
          </w:p>
          <w:p w14:paraId="6263109A" w14:textId="77777777" w:rsidR="002454B7" w:rsidRDefault="002454B7" w:rsidP="002454B7">
            <w:pPr>
              <w:jc w:val="both"/>
            </w:pPr>
          </w:p>
          <w:p w14:paraId="0D80D205" w14:textId="77777777" w:rsidR="002454B7" w:rsidRDefault="002454B7" w:rsidP="002454B7">
            <w:pPr>
              <w:jc w:val="both"/>
            </w:pPr>
          </w:p>
          <w:p w14:paraId="2205B6C7" w14:textId="77777777" w:rsidR="003B4703" w:rsidRDefault="003B4703" w:rsidP="002454B7">
            <w:pPr>
              <w:jc w:val="both"/>
            </w:pPr>
          </w:p>
          <w:p w14:paraId="5041A32B" w14:textId="77777777" w:rsidR="002454B7" w:rsidRDefault="002454B7" w:rsidP="002454B7">
            <w:pPr>
              <w:jc w:val="both"/>
            </w:pPr>
          </w:p>
          <w:p w14:paraId="011D8F47" w14:textId="77777777" w:rsidR="002454B7" w:rsidRDefault="002454B7" w:rsidP="002454B7">
            <w:pPr>
              <w:jc w:val="both"/>
            </w:pPr>
          </w:p>
          <w:p w14:paraId="660E446C" w14:textId="77777777" w:rsidR="002454B7" w:rsidRDefault="002454B7" w:rsidP="002454B7">
            <w:pPr>
              <w:jc w:val="both"/>
            </w:pPr>
          </w:p>
          <w:p w14:paraId="4C63D4D4" w14:textId="77777777" w:rsidR="00AC018A" w:rsidRDefault="00AC018A" w:rsidP="002454B7">
            <w:pPr>
              <w:jc w:val="both"/>
            </w:pPr>
          </w:p>
          <w:p w14:paraId="2CE8960B" w14:textId="77777777" w:rsidR="002454B7" w:rsidRPr="00705522" w:rsidRDefault="002454B7" w:rsidP="002454B7">
            <w:pPr>
              <w:jc w:val="both"/>
            </w:pPr>
            <w:r>
              <w:t xml:space="preserve">Galvojumus par studijām ārzemēs </w:t>
            </w:r>
            <w:r w:rsidR="000C64EC">
              <w:t xml:space="preserve">būs </w:t>
            </w:r>
            <w:r>
              <w:t xml:space="preserve">iespējams sniegt, ja būs pieejams finansējums riska segumam no citiem resursiem, piemēram, izvērtējama sadarbība ar Eiropas Investīciju fondu programmā </w:t>
            </w:r>
            <w:r w:rsidRPr="00173C73">
              <w:rPr>
                <w:i/>
              </w:rPr>
              <w:t>“Erasmus+”</w:t>
            </w:r>
            <w:r>
              <w:rPr>
                <w:i/>
              </w:rPr>
              <w:t xml:space="preserve"> </w:t>
            </w:r>
            <w:r w:rsidRPr="003604C5">
              <w:t>vai komercprodukta izstrāde</w:t>
            </w:r>
            <w:r>
              <w:t>. Tādā gadījumā tam tiks izstrādāts atsevišķ</w:t>
            </w:r>
            <w:r w:rsidR="00A32F7A">
              <w:t>ai</w:t>
            </w:r>
            <w:r>
              <w:t xml:space="preserve">s normatīvais regulējums. </w:t>
            </w:r>
          </w:p>
          <w:p w14:paraId="71D0F358" w14:textId="77777777" w:rsidR="002454B7" w:rsidRDefault="002454B7" w:rsidP="00556E83">
            <w:pPr>
              <w:ind w:firstLine="284"/>
              <w:jc w:val="both"/>
              <w:rPr>
                <w:b/>
              </w:rPr>
            </w:pPr>
          </w:p>
        </w:tc>
        <w:tc>
          <w:tcPr>
            <w:tcW w:w="2986" w:type="dxa"/>
            <w:tcBorders>
              <w:top w:val="single" w:sz="4" w:space="0" w:color="auto"/>
              <w:left w:val="single" w:sz="4" w:space="0" w:color="auto"/>
              <w:bottom w:val="single" w:sz="4" w:space="0" w:color="auto"/>
            </w:tcBorders>
          </w:tcPr>
          <w:p w14:paraId="78145E84" w14:textId="77777777" w:rsidR="00556E83" w:rsidRPr="00BE6B8C" w:rsidRDefault="00552933" w:rsidP="00BE6B8C">
            <w:pPr>
              <w:jc w:val="both"/>
            </w:pPr>
            <w:r w:rsidRPr="00BE6B8C">
              <w:lastRenderedPageBreak/>
              <w:t xml:space="preserve">3) jaunā modeļa ieviešana, izsniedzot 2 000 jaunu kredītu gadā, sākot ar 2020. gadu. Tiks turpināta dzēšana nāves un invaliditātes gadījumos, un tā ir iekļauta aprēķinos par “Altum” portfeļgarantijas izmaksām. Netiks turpināta kredītu dzēšanu bērnu dzimšanas gadījumos, kā arī par darbu noteiktajās jomās. Šim variantam nepieciešamais </w:t>
            </w:r>
            <w:r w:rsidRPr="00BE6B8C">
              <w:lastRenderedPageBreak/>
              <w:t>papildu finansējums būtu sekojošs (…).</w:t>
            </w:r>
          </w:p>
        </w:tc>
      </w:tr>
      <w:tr w:rsidR="00552933" w:rsidRPr="00EC2062" w14:paraId="1E582CCA" w14:textId="77777777" w:rsidTr="00F51E1A">
        <w:tc>
          <w:tcPr>
            <w:tcW w:w="708" w:type="dxa"/>
            <w:tcBorders>
              <w:top w:val="single" w:sz="6" w:space="0" w:color="000000"/>
              <w:left w:val="single" w:sz="6" w:space="0" w:color="000000"/>
              <w:bottom w:val="single" w:sz="6" w:space="0" w:color="000000"/>
              <w:right w:val="single" w:sz="6" w:space="0" w:color="000000"/>
            </w:tcBorders>
          </w:tcPr>
          <w:p w14:paraId="473D4435" w14:textId="32B847C4" w:rsidR="00552933" w:rsidRPr="001801C2" w:rsidRDefault="00552933" w:rsidP="00552933">
            <w:pPr>
              <w:jc w:val="right"/>
            </w:pPr>
          </w:p>
        </w:tc>
        <w:tc>
          <w:tcPr>
            <w:tcW w:w="3112" w:type="dxa"/>
            <w:tcBorders>
              <w:left w:val="single" w:sz="6" w:space="0" w:color="000000"/>
              <w:bottom w:val="single" w:sz="6" w:space="0" w:color="000000"/>
              <w:right w:val="single" w:sz="6" w:space="0" w:color="000000"/>
            </w:tcBorders>
          </w:tcPr>
          <w:p w14:paraId="70A68F83" w14:textId="6782B4AC" w:rsidR="00D0249E" w:rsidRPr="00BE6B8C" w:rsidRDefault="00321A7A" w:rsidP="00BE6B8C">
            <w:pPr>
              <w:jc w:val="both"/>
            </w:pPr>
            <w:r>
              <w:t>Projekts.</w:t>
            </w:r>
          </w:p>
          <w:p w14:paraId="40DC9B76" w14:textId="77777777" w:rsidR="00D0249E" w:rsidRPr="00BE6B8C" w:rsidRDefault="00D0249E" w:rsidP="00BE6B8C">
            <w:pPr>
              <w:jc w:val="both"/>
            </w:pPr>
          </w:p>
          <w:p w14:paraId="6A44D5E8" w14:textId="77777777" w:rsidR="00552933" w:rsidRPr="00E532FA" w:rsidRDefault="00445305" w:rsidP="00BE6B8C">
            <w:pPr>
              <w:jc w:val="both"/>
              <w:rPr>
                <w:i/>
              </w:rPr>
            </w:pPr>
            <w:r w:rsidRPr="00BE6B8C">
              <w:t xml:space="preserve">Nozaru ministrijām (Veselības ministrijai, Kultūras ministrijai, Labklājības ministrijai, </w:t>
            </w:r>
            <w:r w:rsidRPr="00BE6B8C">
              <w:lastRenderedPageBreak/>
              <w:t>Iekšlietu ministrijai u.c.) būtu jāpiedalās savu nozaru kredītu dzēšanā vai arī alternatīvi budžeta vietu finansēšanā.</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DCF0F87" w14:textId="77777777" w:rsidR="00552933" w:rsidRPr="003C731F" w:rsidRDefault="00552933" w:rsidP="00552933">
            <w:pPr>
              <w:widowControl w:val="0"/>
              <w:jc w:val="both"/>
              <w:rPr>
                <w:rFonts w:eastAsia="Calibri"/>
                <w:b/>
                <w:szCs w:val="22"/>
                <w:lang w:eastAsia="en-US"/>
              </w:rPr>
            </w:pPr>
            <w:r w:rsidRPr="003C731F">
              <w:rPr>
                <w:rFonts w:eastAsia="Calibri"/>
                <w:b/>
                <w:szCs w:val="22"/>
                <w:lang w:eastAsia="en-US"/>
              </w:rPr>
              <w:lastRenderedPageBreak/>
              <w:t>Zemkopības ministrija (</w:t>
            </w:r>
            <w:r w:rsidRPr="003C731F">
              <w:rPr>
                <w:b/>
                <w:noProof/>
              </w:rPr>
              <w:t xml:space="preserve">20.05.2019 vēstule Nr. </w:t>
            </w:r>
            <w:r w:rsidRPr="003C731F">
              <w:rPr>
                <w:rFonts w:eastAsia="Calibri"/>
                <w:b/>
                <w:noProof/>
                <w:szCs w:val="22"/>
                <w:lang w:val="en-US" w:eastAsia="en-US"/>
              </w:rPr>
              <w:t>8-2e/1127/2019</w:t>
            </w:r>
            <w:r w:rsidRPr="003C731F">
              <w:rPr>
                <w:rFonts w:eastAsia="Calibri"/>
                <w:b/>
                <w:szCs w:val="22"/>
                <w:lang w:eastAsia="en-US"/>
              </w:rPr>
              <w:t xml:space="preserve">): </w:t>
            </w:r>
          </w:p>
          <w:p w14:paraId="3B939D9D" w14:textId="77777777" w:rsidR="00552933" w:rsidRPr="003C731F" w:rsidRDefault="00552933" w:rsidP="00552933">
            <w:pPr>
              <w:widowControl w:val="0"/>
              <w:ind w:firstLine="9"/>
              <w:jc w:val="both"/>
              <w:rPr>
                <w:rFonts w:eastAsia="Calibri"/>
                <w:szCs w:val="22"/>
                <w:lang w:eastAsia="en-US"/>
              </w:rPr>
            </w:pPr>
            <w:r w:rsidRPr="003C731F">
              <w:rPr>
                <w:rFonts w:eastAsia="Calibri"/>
                <w:szCs w:val="22"/>
                <w:lang w:eastAsia="en-US"/>
              </w:rPr>
              <w:t xml:space="preserve">Neatbalstām decentralizētas studiju kredītu dzēšanas sistēmas izveidi (nevienu no </w:t>
            </w:r>
            <w:r w:rsidRPr="003C731F">
              <w:rPr>
                <w:rFonts w:eastAsia="Calibri"/>
                <w:szCs w:val="22"/>
                <w:lang w:eastAsia="en-US"/>
              </w:rPr>
              <w:lastRenderedPageBreak/>
              <w:t>minētajiem variantiem), laikā, kad visas valsts funkcijas tiek pārskatītas un optimizētas.</w:t>
            </w:r>
          </w:p>
          <w:p w14:paraId="29125558" w14:textId="77777777" w:rsidR="00552933" w:rsidRPr="007339AC" w:rsidRDefault="00552933" w:rsidP="00552933">
            <w:pPr>
              <w:jc w:val="both"/>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F60EB7C" w14:textId="77777777" w:rsidR="00033ACD" w:rsidRPr="00033ACD" w:rsidRDefault="00033ACD" w:rsidP="00033ACD">
            <w:pPr>
              <w:ind w:firstLine="284"/>
              <w:jc w:val="center"/>
              <w:rPr>
                <w:b/>
              </w:rPr>
            </w:pPr>
            <w:r w:rsidRPr="00033ACD">
              <w:rPr>
                <w:b/>
              </w:rPr>
              <w:lastRenderedPageBreak/>
              <w:t>Ņemts vērā</w:t>
            </w:r>
            <w:r w:rsidR="00F46A2F">
              <w:rPr>
                <w:b/>
              </w:rPr>
              <w:t xml:space="preserve"> pēc būtības</w:t>
            </w:r>
          </w:p>
          <w:p w14:paraId="0436B7B6" w14:textId="77777777" w:rsidR="00033ACD" w:rsidRDefault="00033ACD" w:rsidP="00552933">
            <w:pPr>
              <w:pStyle w:val="tv213tvp"/>
              <w:spacing w:before="0" w:beforeAutospacing="0" w:after="0" w:afterAutospacing="0"/>
              <w:jc w:val="both"/>
              <w:rPr>
                <w:rFonts w:eastAsia="Times New Roman"/>
                <w:lang w:val="lv-LV" w:eastAsia="lv-LV"/>
              </w:rPr>
            </w:pPr>
          </w:p>
          <w:p w14:paraId="4232756B" w14:textId="77777777" w:rsidR="00552933" w:rsidRDefault="00552933" w:rsidP="00552933">
            <w:pPr>
              <w:pStyle w:val="tv213tvp"/>
              <w:spacing w:before="0" w:beforeAutospacing="0" w:after="0" w:afterAutospacing="0"/>
              <w:jc w:val="both"/>
              <w:rPr>
                <w:rFonts w:eastAsia="Times New Roman"/>
                <w:lang w:val="lv-LV" w:eastAsia="lv-LV"/>
              </w:rPr>
            </w:pPr>
            <w:r w:rsidRPr="00871916">
              <w:rPr>
                <w:rFonts w:eastAsia="Times New Roman"/>
                <w:lang w:val="lv-LV" w:eastAsia="lv-LV"/>
              </w:rPr>
              <w:t>Ziņojumā nav paredzēta decentralizētas studiju kredītu dzēšanas sistēmas izveide. Ziņojumā un pavadvēstulē nozaru ministrijām tika vaicāts</w:t>
            </w:r>
            <w:r w:rsidR="00F46A2F">
              <w:rPr>
                <w:rFonts w:eastAsia="Times New Roman"/>
                <w:lang w:val="lv-LV" w:eastAsia="lv-LV"/>
              </w:rPr>
              <w:t xml:space="preserve"> </w:t>
            </w:r>
            <w:r w:rsidR="00F46A2F">
              <w:rPr>
                <w:rFonts w:eastAsia="Times New Roman"/>
                <w:lang w:val="lv-LV" w:eastAsia="lv-LV"/>
              </w:rPr>
              <w:lastRenderedPageBreak/>
              <w:t>viedoklis</w:t>
            </w:r>
            <w:r w:rsidRPr="00871916">
              <w:rPr>
                <w:rFonts w:eastAsia="Times New Roman"/>
                <w:lang w:val="lv-LV" w:eastAsia="lv-LV"/>
              </w:rPr>
              <w:t>, vai tās būtu gatavas piedalīties savu nozaru strādājošo kredītu dzēšan</w:t>
            </w:r>
            <w:r>
              <w:rPr>
                <w:rFonts w:eastAsia="Times New Roman"/>
                <w:lang w:val="lv-LV" w:eastAsia="lv-LV"/>
              </w:rPr>
              <w:t xml:space="preserve">ā finansiāli. </w:t>
            </w:r>
            <w:r w:rsidRPr="00871916">
              <w:rPr>
                <w:rFonts w:eastAsia="Times New Roman"/>
                <w:lang w:val="lv-LV" w:eastAsia="lv-LV"/>
              </w:rPr>
              <w:t>Sistēma paliks centralizēta.</w:t>
            </w:r>
            <w:r>
              <w:rPr>
                <w:rFonts w:eastAsia="Times New Roman"/>
                <w:lang w:val="lv-LV" w:eastAsia="lv-LV"/>
              </w:rPr>
              <w:t xml:space="preserve"> </w:t>
            </w:r>
          </w:p>
          <w:p w14:paraId="24CF5B78" w14:textId="77777777" w:rsidR="00552933" w:rsidRPr="00871916" w:rsidRDefault="003C255E" w:rsidP="00552933">
            <w:pPr>
              <w:pStyle w:val="tv213tvp"/>
              <w:spacing w:before="0" w:beforeAutospacing="0" w:after="0" w:afterAutospacing="0"/>
              <w:jc w:val="both"/>
              <w:rPr>
                <w:rFonts w:eastAsia="Times New Roman"/>
                <w:lang w:val="lv-LV" w:eastAsia="lv-LV"/>
              </w:rPr>
            </w:pPr>
            <w:r w:rsidRPr="003C255E">
              <w:rPr>
                <w:rFonts w:eastAsia="Times New Roman"/>
                <w:lang w:val="lv-LV" w:eastAsia="lv-LV"/>
              </w:rPr>
              <w:t>Ziņojums neparedz nozaru ministriju obligāto dalību savu nozaru kredītu dzēšanā, tas tika izteiks kā priekšlikums.</w:t>
            </w:r>
          </w:p>
        </w:tc>
        <w:tc>
          <w:tcPr>
            <w:tcW w:w="2986" w:type="dxa"/>
            <w:tcBorders>
              <w:top w:val="single" w:sz="4" w:space="0" w:color="auto"/>
              <w:left w:val="single" w:sz="4" w:space="0" w:color="auto"/>
              <w:bottom w:val="single" w:sz="4" w:space="0" w:color="auto"/>
            </w:tcBorders>
          </w:tcPr>
          <w:p w14:paraId="69CFB4CC" w14:textId="330305EB" w:rsidR="00D0249E" w:rsidRPr="00EC2062" w:rsidRDefault="00781E8D" w:rsidP="00BE6B8C">
            <w:pPr>
              <w:jc w:val="both"/>
            </w:pPr>
            <w:r w:rsidRPr="00EC2062">
              <w:lastRenderedPageBreak/>
              <w:t>Projekts:</w:t>
            </w:r>
          </w:p>
          <w:p w14:paraId="6057E7D9" w14:textId="60FD0BEE" w:rsidR="00445305" w:rsidRPr="00EC2062" w:rsidRDefault="00781E8D" w:rsidP="001D6540">
            <w:pPr>
              <w:jc w:val="both"/>
            </w:pPr>
            <w:r w:rsidRPr="00EC2062">
              <w:t>“</w:t>
            </w:r>
            <w:r w:rsidR="00445305" w:rsidRPr="00EC2062">
              <w:t xml:space="preserve">Ministrijas ieskatā nozaru ministrijām (Veselības ministrijai, Kultūras ministrijai, Labklājības ministrijai, Iekšlietu </w:t>
            </w:r>
            <w:r w:rsidR="00445305" w:rsidRPr="00EC2062">
              <w:lastRenderedPageBreak/>
              <w:t xml:space="preserve">ministrijai u.c.) būtu jāpiedalās savu nozaru kredītu dzēšanā vai arī alternatīvi budžeta vietu finansēšanā. Taču ziņojuma saskaņošanas procesā nozaru ministrijas vienlaicīgi pauda uzskatu par to, ka dzēšana par darbu noteiktajās jomās būtu turpināma, taču nav radušas iespējas novirzīt resoru finansējumu attiecīgās jomas strādājošo kredītu dzēšanai. </w:t>
            </w:r>
            <w:r w:rsidR="00BC711A" w:rsidRPr="00EC2062">
              <w:t>Tādēļ gadījumā, ja Ministru kabinets atbalstīs rīcības variantu, kas paredz turpmāko kredītu dzēšanu par darbu noteiktajās jomās, ministrija budžeta sagatavošanas laikā sagatavos horizontālo prioritāro pasākumu šīs rīcības finansēšanai, kā arī nodrošinās, ka kredītu dzēšanas par darbu noteiktajās jomās administrēšana notiks centralizēti.</w:t>
            </w:r>
            <w:r w:rsidRPr="00EC2062">
              <w:t>”</w:t>
            </w:r>
          </w:p>
          <w:p w14:paraId="276665B2" w14:textId="77777777" w:rsidR="00552933" w:rsidRPr="00EC2062" w:rsidRDefault="00552933" w:rsidP="00BE6B8C">
            <w:pPr>
              <w:jc w:val="both"/>
            </w:pPr>
          </w:p>
        </w:tc>
      </w:tr>
      <w:tr w:rsidR="00552933" w:rsidRPr="00EC2062" w14:paraId="64D9757F" w14:textId="77777777" w:rsidTr="00F51E1A">
        <w:tc>
          <w:tcPr>
            <w:tcW w:w="708" w:type="dxa"/>
            <w:tcBorders>
              <w:top w:val="single" w:sz="6" w:space="0" w:color="000000"/>
              <w:left w:val="single" w:sz="6" w:space="0" w:color="000000"/>
              <w:bottom w:val="single" w:sz="6" w:space="0" w:color="000000"/>
              <w:right w:val="single" w:sz="6" w:space="0" w:color="000000"/>
            </w:tcBorders>
          </w:tcPr>
          <w:p w14:paraId="37BB1408" w14:textId="77777777" w:rsidR="00552933" w:rsidRPr="001801C2" w:rsidRDefault="00552933" w:rsidP="00552933">
            <w:pPr>
              <w:jc w:val="right"/>
            </w:pPr>
          </w:p>
        </w:tc>
        <w:tc>
          <w:tcPr>
            <w:tcW w:w="3112" w:type="dxa"/>
            <w:tcBorders>
              <w:left w:val="single" w:sz="6" w:space="0" w:color="000000"/>
              <w:bottom w:val="single" w:sz="6" w:space="0" w:color="000000"/>
              <w:right w:val="single" w:sz="6" w:space="0" w:color="000000"/>
            </w:tcBorders>
          </w:tcPr>
          <w:p w14:paraId="1EFC37CC" w14:textId="77777777" w:rsidR="00552933" w:rsidRPr="00911671" w:rsidRDefault="00552933" w:rsidP="00552933">
            <w:r w:rsidRPr="00911671">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CF54C20" w14:textId="77777777" w:rsidR="00552933" w:rsidRPr="00EC2062" w:rsidRDefault="00552933" w:rsidP="00552933">
            <w:pPr>
              <w:jc w:val="both"/>
              <w:rPr>
                <w:b/>
              </w:rPr>
            </w:pPr>
            <w:r w:rsidRPr="00EC2062">
              <w:rPr>
                <w:b/>
              </w:rPr>
              <w:t>Projekts</w:t>
            </w:r>
            <w:r w:rsidRPr="00EC2062">
              <w:rPr>
                <w:b/>
              </w:rPr>
              <w:tab/>
              <w:t>Pārresoru koordinācijas centrs (20.05.2019. vēstule Nr. 1.2–7/54):</w:t>
            </w:r>
          </w:p>
          <w:p w14:paraId="7976383F" w14:textId="77777777" w:rsidR="00552933" w:rsidRPr="00EC2062" w:rsidRDefault="00552933" w:rsidP="00552933">
            <w:pPr>
              <w:jc w:val="both"/>
            </w:pPr>
            <w:r w:rsidRPr="00EC2062">
              <w:lastRenderedPageBreak/>
              <w:t>PKC izsaka šādus iebildumus.</w:t>
            </w:r>
          </w:p>
          <w:p w14:paraId="4758B3CF" w14:textId="77777777" w:rsidR="00552933" w:rsidRPr="00EC2062" w:rsidRDefault="00552933" w:rsidP="00552933">
            <w:pPr>
              <w:jc w:val="both"/>
            </w:pPr>
            <w:r w:rsidRPr="00EC2062">
              <w:t>1. Koncepcijas projekta 10. lpp. minēts secinājums, ka atbalsta veids bērna dzimšanas gadījumā (studējošā kredīta atlikuma dzēšana 30% apmērā) nav izšķirošs un pietiekošs demogrāfiskās situācijas uzlabošanai. Lūdzam skaidrot, kāpēc trīs no četriem koncepcijas projektā iekļautajiem piedāvājumiem paredz turpināt šādu atbalsta veidu.</w:t>
            </w:r>
          </w:p>
          <w:p w14:paraId="30F6EDD5" w14:textId="77777777" w:rsidR="00552933" w:rsidRPr="00EC2062" w:rsidRDefault="00552933" w:rsidP="00552933">
            <w:pPr>
              <w:jc w:val="both"/>
            </w:pPr>
            <w:r w:rsidRPr="00EC2062">
              <w:t xml:space="preserve">2. Trešajā un ceturtajā piedāvātā risinājumā variantā lūdzam skaidrot, vai tiks turpināta dzēšana nāves un invaliditātes gadījumos, no patreizējās redakcijas nevar noprast plānoto kreditēšanas politiku šajā jomā. </w:t>
            </w:r>
          </w:p>
          <w:p w14:paraId="0C0ED1DC" w14:textId="77777777" w:rsidR="00552933" w:rsidRPr="00EC2062" w:rsidRDefault="00552933" w:rsidP="00552933">
            <w:pPr>
              <w:jc w:val="both"/>
            </w:pPr>
            <w:r w:rsidRPr="00EC2062">
              <w:t xml:space="preserve">3. Ņemot vērā, ka ceturtais piedāvātais risinājuma variants paredz gadījumus, kad kredītu dzēšana tiek piemērota par darbu noteiktās jomās, aicinām konceptuālo ziņojumu papildināt ar informāciju par to, kā šāda pieeja praktiski tiktu īstenota un, kādi instrumentāriji tiktu izmantoti, lai nodefinētu noteiktā laika posmā to profesiju kopu, kurai šāds </w:t>
            </w:r>
            <w:r w:rsidRPr="00EC2062">
              <w:lastRenderedPageBreak/>
              <w:t>atvieglojums būtu piemērojams.</w:t>
            </w:r>
          </w:p>
          <w:p w14:paraId="2F95915B" w14:textId="77777777" w:rsidR="00552933" w:rsidRPr="00EC2062" w:rsidRDefault="00552933" w:rsidP="00552933">
            <w:pPr>
              <w:jc w:val="both"/>
            </w:pPr>
          </w:p>
          <w:p w14:paraId="17F61EE3" w14:textId="77777777" w:rsidR="00552933" w:rsidRPr="00EC2062" w:rsidRDefault="00552933" w:rsidP="00552933">
            <w:pPr>
              <w:jc w:val="both"/>
            </w:pPr>
            <w:r w:rsidRPr="00EC2062">
              <w:t xml:space="preserve">Papildus izsakām šādu priekšlikumu – aicinām koncepcijas projekta sadaļā “Turpmākā rīcība jaunās sistēmas ieviešanai” (30.lpp.) iekļautajām darbībām noteikt to īstenošanas termiņus. </w:t>
            </w:r>
          </w:p>
          <w:p w14:paraId="6C4DD573" w14:textId="77777777" w:rsidR="003D7997" w:rsidRPr="00EC2062" w:rsidRDefault="003D7997" w:rsidP="00552933">
            <w:pPr>
              <w:jc w:val="both"/>
            </w:pPr>
          </w:p>
          <w:p w14:paraId="01027F16" w14:textId="35E289A4" w:rsidR="003D7997" w:rsidRPr="00EC2062" w:rsidRDefault="003D7997" w:rsidP="00552933">
            <w:pPr>
              <w:jc w:val="both"/>
              <w:rPr>
                <w:b/>
              </w:rPr>
            </w:pPr>
            <w:r w:rsidRPr="00EC2062">
              <w:rPr>
                <w:b/>
              </w:rPr>
              <w:t>Pārresoru koordinācijas centrs (26.06.2019. e-pasta vēstule):</w:t>
            </w:r>
          </w:p>
          <w:p w14:paraId="52879499" w14:textId="0B55D3AE" w:rsidR="003D7997" w:rsidRPr="00EC2062" w:rsidRDefault="003D7997" w:rsidP="00552933">
            <w:pPr>
              <w:jc w:val="both"/>
            </w:pPr>
            <w:r w:rsidRPr="00EC2062">
              <w:t xml:space="preserve">Pārresoru koordinācijas centrs ir izskatījis Izglītības un zinātnes ministrijas precizēto konceptuālo ziņojumu “Studiju un studējošo kreditēšanas no kredītiestāžu līdzekļiem ar valsts vārdā sniegto galvojumu modeļa maiņu” ar tam pievienotajiem dokumentiem un izsaka šādu priekšlikumu – ņemot vērā, ka ministrijas virzītais kreditēšanas modelis (4.variants) vairs neparedz kredītu dzēšanu par darbu noteiktajās jomās un fokusējas uz kredītu dzēšanu bērna dzimšanas gadījumos abiem vecākiem, aicinām tomēr izvērtēt iespēju iekļaut kreditēšanas modelī iekļaut </w:t>
            </w:r>
            <w:r w:rsidRPr="00EC2062">
              <w:lastRenderedPageBreak/>
              <w:t>kredītu dzēšana par darbu noteiktajās jomās, attiecinot to uz studējušajiem tajās studiju programmās, kuras ir dārgas, ilgas vai tādas, kurās jau pašlaik ir vai nākotnē ir paredzams ievērojams darbaspēka deficīts.</w:t>
            </w:r>
          </w:p>
          <w:p w14:paraId="580BA13C" w14:textId="77777777" w:rsidR="00552933" w:rsidRPr="00EC2062" w:rsidRDefault="00552933" w:rsidP="00552933">
            <w:pPr>
              <w:jc w:val="both"/>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1357288" w14:textId="77777777" w:rsidR="00033ACD" w:rsidRPr="00EC2062" w:rsidRDefault="00033ACD" w:rsidP="00033ACD">
            <w:pPr>
              <w:ind w:firstLine="284"/>
              <w:jc w:val="center"/>
              <w:rPr>
                <w:b/>
              </w:rPr>
            </w:pPr>
            <w:r w:rsidRPr="00EC2062">
              <w:rPr>
                <w:b/>
              </w:rPr>
              <w:lastRenderedPageBreak/>
              <w:t>Ņemts vērā</w:t>
            </w:r>
          </w:p>
          <w:p w14:paraId="0A77AF4A" w14:textId="77777777" w:rsidR="00033ACD" w:rsidRPr="00EC2062" w:rsidRDefault="00033ACD" w:rsidP="00552933">
            <w:pPr>
              <w:pStyle w:val="tv213tvp"/>
              <w:spacing w:before="0" w:beforeAutospacing="0" w:after="0" w:afterAutospacing="0"/>
              <w:jc w:val="both"/>
              <w:rPr>
                <w:rFonts w:eastAsia="Times New Roman"/>
                <w:lang w:val="lv-LV" w:eastAsia="lv-LV"/>
              </w:rPr>
            </w:pPr>
          </w:p>
          <w:p w14:paraId="2C8C623B" w14:textId="77777777" w:rsidR="00552933" w:rsidRPr="00EC2062" w:rsidRDefault="00552933" w:rsidP="00552933">
            <w:pPr>
              <w:pStyle w:val="tv213tvp"/>
              <w:spacing w:before="0" w:beforeAutospacing="0" w:after="0" w:afterAutospacing="0"/>
              <w:jc w:val="both"/>
              <w:rPr>
                <w:rFonts w:eastAsia="Times New Roman"/>
                <w:lang w:val="lv-LV" w:eastAsia="lv-LV"/>
              </w:rPr>
            </w:pPr>
            <w:r w:rsidRPr="00EC2062">
              <w:rPr>
                <w:rFonts w:eastAsia="Times New Roman"/>
                <w:lang w:val="lv-LV" w:eastAsia="lv-LV"/>
              </w:rPr>
              <w:t xml:space="preserve">1) Ministrijas ieskatā šīs ir jautājums, par kuru ir nepieciešams Ministru kabineta </w:t>
            </w:r>
            <w:r w:rsidRPr="00EC2062">
              <w:rPr>
                <w:rFonts w:eastAsia="Times New Roman"/>
                <w:lang w:val="lv-LV" w:eastAsia="lv-LV"/>
              </w:rPr>
              <w:lastRenderedPageBreak/>
              <w:t xml:space="preserve">lēmums, ņemot vērā Valdības rīcības plāna 105.1. pasākumu. 2) visos variantos tiks turpināta dzēšana nāves un invaliditātes gadījumos. Papildināti 3., 4., 5., </w:t>
            </w:r>
            <w:r w:rsidR="008D6CDC" w:rsidRPr="00EC2062">
              <w:rPr>
                <w:rFonts w:eastAsia="Times New Roman"/>
                <w:lang w:val="lv-LV" w:eastAsia="lv-LV"/>
              </w:rPr>
              <w:t xml:space="preserve">variantu apraksti; </w:t>
            </w:r>
            <w:r w:rsidRPr="00EC2062">
              <w:rPr>
                <w:rFonts w:eastAsia="Times New Roman"/>
                <w:lang w:val="lv-LV" w:eastAsia="lv-LV"/>
              </w:rPr>
              <w:t>3) papildināts</w:t>
            </w:r>
            <w:r w:rsidR="008D6CDC" w:rsidRPr="00EC2062">
              <w:rPr>
                <w:rFonts w:eastAsia="Times New Roman"/>
                <w:lang w:val="lv-LV" w:eastAsia="lv-LV"/>
              </w:rPr>
              <w:t>; 4) Ministru kabineta rīkojuma projekts papildināts ar termiņu jauno Ministru kabineta noteikumu iesni</w:t>
            </w:r>
            <w:r w:rsidR="009A3E7A" w:rsidRPr="00EC2062">
              <w:rPr>
                <w:rFonts w:eastAsia="Times New Roman"/>
                <w:lang w:val="lv-LV" w:eastAsia="lv-LV"/>
              </w:rPr>
              <w:t>egšanai Ministru kabinetā (31.10</w:t>
            </w:r>
            <w:r w:rsidR="008D6CDC" w:rsidRPr="00EC2062">
              <w:rPr>
                <w:rFonts w:eastAsia="Times New Roman"/>
                <w:lang w:val="lv-LV" w:eastAsia="lv-LV"/>
              </w:rPr>
              <w:t xml:space="preserve">.2019.); termiņš prioritāro pasākumu iesniegšanai ir noteikts normatīvajā regulējumā par valsts budžeta izstrādi (15.07.2019). </w:t>
            </w:r>
          </w:p>
          <w:p w14:paraId="20A13BB1" w14:textId="77777777" w:rsidR="00F46A2F" w:rsidRPr="00EC2062" w:rsidRDefault="00F46A2F" w:rsidP="00552933">
            <w:pPr>
              <w:pStyle w:val="tv213tvp"/>
              <w:spacing w:before="0" w:beforeAutospacing="0" w:after="0" w:afterAutospacing="0"/>
              <w:jc w:val="both"/>
              <w:rPr>
                <w:rFonts w:eastAsia="Times New Roman"/>
                <w:lang w:val="lv-LV" w:eastAsia="lv-LV"/>
              </w:rPr>
            </w:pPr>
          </w:p>
          <w:p w14:paraId="647BA900" w14:textId="77777777" w:rsidR="00F46A2F" w:rsidRPr="00EC2062" w:rsidRDefault="00F46A2F" w:rsidP="00552933">
            <w:pPr>
              <w:pStyle w:val="tv213tvp"/>
              <w:spacing w:before="0" w:beforeAutospacing="0" w:after="0" w:afterAutospacing="0"/>
              <w:jc w:val="both"/>
              <w:rPr>
                <w:lang w:val="lv-LV"/>
              </w:rPr>
            </w:pPr>
            <w:r w:rsidRPr="00EC2062">
              <w:rPr>
                <w:lang w:val="lv-LV"/>
              </w:rPr>
              <w:t>Ja nākotnē tiks turpināta studiju kredītu dzēšana par darbu noteiktajās jomās, tad ministrijas ieskatā būtu jāpārskata dzēšanas administratīvās procedūras un attiecīgi arī normatīvais regulējums kopumā jaunās sistēmas ietvaros. Lai to īstenotu, ministrijai būtu jāizveido darba grupa, iekļaujot tajā relevantus dalībniekus un jāizstrādā normatīvais regulējums attiecībā uz turpmāko dzēšanas mehānismu un profesiju kopu.</w:t>
            </w:r>
          </w:p>
          <w:p w14:paraId="74A76C21" w14:textId="77777777" w:rsidR="00A14D19" w:rsidRPr="00EC2062" w:rsidRDefault="00A14D19" w:rsidP="00552933">
            <w:pPr>
              <w:pStyle w:val="tv213tvp"/>
              <w:spacing w:before="0" w:beforeAutospacing="0" w:after="0" w:afterAutospacing="0"/>
              <w:jc w:val="both"/>
              <w:rPr>
                <w:lang w:val="lv-LV"/>
              </w:rPr>
            </w:pPr>
          </w:p>
          <w:p w14:paraId="4CB4A194" w14:textId="77777777" w:rsidR="00A14D19" w:rsidRPr="00EC2062" w:rsidRDefault="00A14D19" w:rsidP="00552933">
            <w:pPr>
              <w:pStyle w:val="tv213tvp"/>
              <w:spacing w:before="0" w:beforeAutospacing="0" w:after="0" w:afterAutospacing="0"/>
              <w:jc w:val="both"/>
              <w:rPr>
                <w:lang w:val="lv-LV"/>
              </w:rPr>
            </w:pPr>
          </w:p>
          <w:p w14:paraId="48A79B62" w14:textId="77777777" w:rsidR="00A14D19" w:rsidRPr="00EC2062" w:rsidRDefault="00A14D19" w:rsidP="00552933">
            <w:pPr>
              <w:pStyle w:val="tv213tvp"/>
              <w:spacing w:before="0" w:beforeAutospacing="0" w:after="0" w:afterAutospacing="0"/>
              <w:jc w:val="both"/>
              <w:rPr>
                <w:lang w:val="lv-LV"/>
              </w:rPr>
            </w:pPr>
          </w:p>
          <w:p w14:paraId="6100D8AA" w14:textId="77777777" w:rsidR="00A14D19" w:rsidRPr="00EC2062" w:rsidRDefault="00A14D19" w:rsidP="00552933">
            <w:pPr>
              <w:pStyle w:val="tv213tvp"/>
              <w:spacing w:before="0" w:beforeAutospacing="0" w:after="0" w:afterAutospacing="0"/>
              <w:jc w:val="both"/>
              <w:rPr>
                <w:lang w:val="lv-LV"/>
              </w:rPr>
            </w:pPr>
          </w:p>
          <w:p w14:paraId="7884D855" w14:textId="77777777" w:rsidR="00A14D19" w:rsidRPr="00EC2062" w:rsidRDefault="00A14D19" w:rsidP="00552933">
            <w:pPr>
              <w:pStyle w:val="tv213tvp"/>
              <w:spacing w:before="0" w:beforeAutospacing="0" w:after="0" w:afterAutospacing="0"/>
              <w:jc w:val="both"/>
              <w:rPr>
                <w:lang w:val="lv-LV"/>
              </w:rPr>
            </w:pPr>
          </w:p>
          <w:p w14:paraId="1B6C2845" w14:textId="77777777" w:rsidR="00A14D19" w:rsidRPr="00EC2062" w:rsidRDefault="00A14D19" w:rsidP="00552933">
            <w:pPr>
              <w:pStyle w:val="tv213tvp"/>
              <w:spacing w:before="0" w:beforeAutospacing="0" w:after="0" w:afterAutospacing="0"/>
              <w:jc w:val="both"/>
              <w:rPr>
                <w:lang w:val="lv-LV"/>
              </w:rPr>
            </w:pPr>
          </w:p>
          <w:p w14:paraId="1F51AE6B" w14:textId="77777777" w:rsidR="00A14D19" w:rsidRPr="00EC2062" w:rsidRDefault="00A14D19" w:rsidP="00552933">
            <w:pPr>
              <w:pStyle w:val="tv213tvp"/>
              <w:spacing w:before="0" w:beforeAutospacing="0" w:after="0" w:afterAutospacing="0"/>
              <w:jc w:val="both"/>
              <w:rPr>
                <w:lang w:val="lv-LV"/>
              </w:rPr>
            </w:pPr>
          </w:p>
          <w:p w14:paraId="1B9D0010" w14:textId="77777777" w:rsidR="00A14D19" w:rsidRPr="00EC2062" w:rsidRDefault="00A14D19" w:rsidP="00552933">
            <w:pPr>
              <w:pStyle w:val="tv213tvp"/>
              <w:spacing w:before="0" w:beforeAutospacing="0" w:after="0" w:afterAutospacing="0"/>
              <w:jc w:val="both"/>
              <w:rPr>
                <w:lang w:val="lv-LV"/>
              </w:rPr>
            </w:pPr>
          </w:p>
          <w:p w14:paraId="71181A56" w14:textId="77777777" w:rsidR="00A14D19" w:rsidRPr="00EC2062" w:rsidRDefault="00A14D19" w:rsidP="00552933">
            <w:pPr>
              <w:pStyle w:val="tv213tvp"/>
              <w:spacing w:before="0" w:beforeAutospacing="0" w:after="0" w:afterAutospacing="0"/>
              <w:jc w:val="both"/>
              <w:rPr>
                <w:lang w:val="lv-LV"/>
              </w:rPr>
            </w:pPr>
          </w:p>
          <w:p w14:paraId="44B73BBE" w14:textId="77777777" w:rsidR="00A14D19" w:rsidRPr="00EC2062" w:rsidRDefault="00A14D19" w:rsidP="00552933">
            <w:pPr>
              <w:pStyle w:val="tv213tvp"/>
              <w:spacing w:before="0" w:beforeAutospacing="0" w:after="0" w:afterAutospacing="0"/>
              <w:jc w:val="both"/>
              <w:rPr>
                <w:lang w:val="lv-LV"/>
              </w:rPr>
            </w:pPr>
          </w:p>
          <w:p w14:paraId="447BD472" w14:textId="77777777" w:rsidR="00A14D19" w:rsidRPr="00EC2062" w:rsidRDefault="00A14D19" w:rsidP="00552933">
            <w:pPr>
              <w:pStyle w:val="tv213tvp"/>
              <w:spacing w:before="0" w:beforeAutospacing="0" w:after="0" w:afterAutospacing="0"/>
              <w:jc w:val="both"/>
              <w:rPr>
                <w:lang w:val="lv-LV"/>
              </w:rPr>
            </w:pPr>
          </w:p>
          <w:p w14:paraId="5D91ECE2" w14:textId="77777777" w:rsidR="00A14D19" w:rsidRPr="00EC2062" w:rsidRDefault="00A14D19" w:rsidP="00552933">
            <w:pPr>
              <w:pStyle w:val="tv213tvp"/>
              <w:spacing w:before="0" w:beforeAutospacing="0" w:after="0" w:afterAutospacing="0"/>
              <w:jc w:val="both"/>
              <w:rPr>
                <w:lang w:val="lv-LV"/>
              </w:rPr>
            </w:pPr>
          </w:p>
          <w:p w14:paraId="42398147" w14:textId="77777777" w:rsidR="00A14D19" w:rsidRPr="00EC2062" w:rsidRDefault="00A14D19" w:rsidP="00552933">
            <w:pPr>
              <w:pStyle w:val="tv213tvp"/>
              <w:spacing w:before="0" w:beforeAutospacing="0" w:after="0" w:afterAutospacing="0"/>
              <w:jc w:val="both"/>
              <w:rPr>
                <w:lang w:val="lv-LV"/>
              </w:rPr>
            </w:pPr>
          </w:p>
          <w:p w14:paraId="33215F34" w14:textId="77777777" w:rsidR="00A14D19" w:rsidRPr="00EC2062" w:rsidRDefault="00A14D19" w:rsidP="00552933">
            <w:pPr>
              <w:pStyle w:val="tv213tvp"/>
              <w:spacing w:before="0" w:beforeAutospacing="0" w:after="0" w:afterAutospacing="0"/>
              <w:jc w:val="both"/>
              <w:rPr>
                <w:lang w:val="lv-LV"/>
              </w:rPr>
            </w:pPr>
          </w:p>
          <w:p w14:paraId="224E22A3" w14:textId="77777777" w:rsidR="00A14D19" w:rsidRPr="00EC2062" w:rsidRDefault="00A14D19" w:rsidP="00552933">
            <w:pPr>
              <w:pStyle w:val="tv213tvp"/>
              <w:spacing w:before="0" w:beforeAutospacing="0" w:after="0" w:afterAutospacing="0"/>
              <w:jc w:val="both"/>
              <w:rPr>
                <w:lang w:val="lv-LV"/>
              </w:rPr>
            </w:pPr>
          </w:p>
          <w:p w14:paraId="2A938B67" w14:textId="77777777" w:rsidR="00A14D19" w:rsidRPr="00EC2062" w:rsidRDefault="00A14D19" w:rsidP="00552933">
            <w:pPr>
              <w:pStyle w:val="tv213tvp"/>
              <w:spacing w:before="0" w:beforeAutospacing="0" w:after="0" w:afterAutospacing="0"/>
              <w:jc w:val="both"/>
              <w:rPr>
                <w:lang w:val="lv-LV"/>
              </w:rPr>
            </w:pPr>
          </w:p>
          <w:p w14:paraId="7957AD21" w14:textId="77777777" w:rsidR="00A14D19" w:rsidRPr="00EC2062" w:rsidRDefault="00A14D19" w:rsidP="00552933">
            <w:pPr>
              <w:pStyle w:val="tv213tvp"/>
              <w:spacing w:before="0" w:beforeAutospacing="0" w:after="0" w:afterAutospacing="0"/>
              <w:jc w:val="both"/>
              <w:rPr>
                <w:lang w:val="lv-LV"/>
              </w:rPr>
            </w:pPr>
          </w:p>
          <w:p w14:paraId="3399CC77" w14:textId="77777777" w:rsidR="00A14D19" w:rsidRPr="00EC2062" w:rsidRDefault="00A14D19" w:rsidP="00552933">
            <w:pPr>
              <w:pStyle w:val="tv213tvp"/>
              <w:spacing w:before="0" w:beforeAutospacing="0" w:after="0" w:afterAutospacing="0"/>
              <w:jc w:val="both"/>
              <w:rPr>
                <w:lang w:val="lv-LV"/>
              </w:rPr>
            </w:pPr>
          </w:p>
          <w:p w14:paraId="2E45C647" w14:textId="77777777" w:rsidR="00A14D19" w:rsidRPr="00EC2062" w:rsidRDefault="00A14D19" w:rsidP="00552933">
            <w:pPr>
              <w:pStyle w:val="tv213tvp"/>
              <w:spacing w:before="0" w:beforeAutospacing="0" w:after="0" w:afterAutospacing="0"/>
              <w:jc w:val="both"/>
              <w:rPr>
                <w:lang w:val="lv-LV"/>
              </w:rPr>
            </w:pPr>
          </w:p>
          <w:p w14:paraId="45D44B7D" w14:textId="77777777" w:rsidR="00A14D19" w:rsidRPr="00EC2062" w:rsidRDefault="00A14D19" w:rsidP="00552933">
            <w:pPr>
              <w:pStyle w:val="tv213tvp"/>
              <w:spacing w:before="0" w:beforeAutospacing="0" w:after="0" w:afterAutospacing="0"/>
              <w:jc w:val="both"/>
              <w:rPr>
                <w:lang w:val="lv-LV"/>
              </w:rPr>
            </w:pPr>
          </w:p>
          <w:p w14:paraId="61634575" w14:textId="77777777" w:rsidR="00BC711A" w:rsidRPr="00EC2062" w:rsidRDefault="00BC711A" w:rsidP="00552933">
            <w:pPr>
              <w:pStyle w:val="tv213tvp"/>
              <w:spacing w:before="0" w:beforeAutospacing="0" w:after="0" w:afterAutospacing="0"/>
              <w:jc w:val="both"/>
              <w:rPr>
                <w:lang w:val="lv-LV"/>
              </w:rPr>
            </w:pPr>
          </w:p>
          <w:p w14:paraId="7C60CF00" w14:textId="42D17BC6" w:rsidR="00A14D19" w:rsidRPr="00EC2062" w:rsidRDefault="00A14D19" w:rsidP="00552933">
            <w:pPr>
              <w:pStyle w:val="tv213tvp"/>
              <w:spacing w:before="0" w:beforeAutospacing="0" w:after="0" w:afterAutospacing="0"/>
              <w:jc w:val="both"/>
              <w:rPr>
                <w:b/>
                <w:lang w:val="lv-LV"/>
              </w:rPr>
            </w:pPr>
            <w:r w:rsidRPr="00EC2062">
              <w:rPr>
                <w:b/>
                <w:lang w:val="lv-LV"/>
              </w:rPr>
              <w:t>Ņemts vērā pēc būtības.</w:t>
            </w:r>
          </w:p>
          <w:p w14:paraId="79863105" w14:textId="77777777" w:rsidR="00A14D19" w:rsidRPr="00EC2062" w:rsidRDefault="00A14D19" w:rsidP="00552933">
            <w:pPr>
              <w:pStyle w:val="tv213tvp"/>
              <w:spacing w:before="0" w:beforeAutospacing="0" w:after="0" w:afterAutospacing="0"/>
              <w:jc w:val="both"/>
              <w:rPr>
                <w:lang w:val="lv-LV"/>
              </w:rPr>
            </w:pPr>
          </w:p>
          <w:p w14:paraId="0363BE05" w14:textId="77777777" w:rsidR="00A14D19" w:rsidRPr="00EC2062" w:rsidRDefault="00A14D19" w:rsidP="00552933">
            <w:pPr>
              <w:pStyle w:val="tv213tvp"/>
              <w:spacing w:before="0" w:beforeAutospacing="0" w:after="0" w:afterAutospacing="0"/>
              <w:jc w:val="both"/>
              <w:rPr>
                <w:lang w:val="lv-LV"/>
              </w:rPr>
            </w:pPr>
          </w:p>
          <w:p w14:paraId="55EC1E3B" w14:textId="4619D3CA" w:rsidR="00A14D19" w:rsidRPr="00EC2062" w:rsidRDefault="00A14D19" w:rsidP="00552933">
            <w:pPr>
              <w:pStyle w:val="tv213tvp"/>
              <w:spacing w:before="0" w:beforeAutospacing="0" w:after="0" w:afterAutospacing="0"/>
              <w:jc w:val="both"/>
              <w:rPr>
                <w:lang w:val="lv-LV"/>
              </w:rPr>
            </w:pPr>
            <w:r w:rsidRPr="00EC2062">
              <w:rPr>
                <w:lang w:val="lv-LV"/>
              </w:rPr>
              <w:t>Viens no rīcības variantiem paredz dzēšanas turpināšanu par darbu noteiktajās jomās. Vienlaicīgi, saskaņā ar koalīcijas padomes lēmumu, šīs variants netiek virzīts MK rīkojuma projektā. Ministrija piemin ziņojumā, ka ja nākotnē būs iespēja atvēlēt tam finansējumu, ir pārskatāms regulējums, saskaņā ar kuru tiek uzsākta dzēšana. Tādā gadījumā ministrijas ieskatā ir veidojama darba grupa, kura varētu izvērtēt un līdzsvarot dažādus viedokļus un intereses. Tai skaitā būtu apverams PKC priekšlikums.</w:t>
            </w:r>
          </w:p>
          <w:p w14:paraId="5E509B2B" w14:textId="77777777" w:rsidR="00A14D19" w:rsidRPr="00EC2062" w:rsidRDefault="00A14D19" w:rsidP="00552933">
            <w:pPr>
              <w:pStyle w:val="tv213tvp"/>
              <w:spacing w:before="0" w:beforeAutospacing="0" w:after="0" w:afterAutospacing="0"/>
              <w:jc w:val="both"/>
              <w:rPr>
                <w:lang w:val="lv-LV"/>
              </w:rPr>
            </w:pPr>
          </w:p>
          <w:p w14:paraId="555DA360" w14:textId="77777777" w:rsidR="00A14D19" w:rsidRPr="00EC2062" w:rsidRDefault="00A14D19" w:rsidP="00552933">
            <w:pPr>
              <w:pStyle w:val="tv213tvp"/>
              <w:spacing w:before="0" w:beforeAutospacing="0" w:after="0" w:afterAutospacing="0"/>
              <w:jc w:val="both"/>
              <w:rPr>
                <w:lang w:val="lv-LV"/>
              </w:rPr>
            </w:pPr>
          </w:p>
          <w:p w14:paraId="04518327" w14:textId="77777777" w:rsidR="00A14D19" w:rsidRPr="00EC2062" w:rsidRDefault="00A14D19" w:rsidP="00552933">
            <w:pPr>
              <w:pStyle w:val="tv213tvp"/>
              <w:spacing w:before="0" w:beforeAutospacing="0" w:after="0" w:afterAutospacing="0"/>
              <w:jc w:val="both"/>
              <w:rPr>
                <w:lang w:val="lv-LV"/>
              </w:rPr>
            </w:pPr>
          </w:p>
          <w:p w14:paraId="46212A83" w14:textId="77777777" w:rsidR="00A14D19" w:rsidRPr="00EC2062" w:rsidRDefault="00A14D19" w:rsidP="00552933">
            <w:pPr>
              <w:pStyle w:val="tv213tvp"/>
              <w:spacing w:before="0" w:beforeAutospacing="0" w:after="0" w:afterAutospacing="0"/>
              <w:jc w:val="both"/>
              <w:rPr>
                <w:lang w:val="lv-LV"/>
              </w:rPr>
            </w:pPr>
          </w:p>
          <w:p w14:paraId="0168B80A" w14:textId="77777777" w:rsidR="00A14D19" w:rsidRPr="00EC2062" w:rsidRDefault="00A14D19" w:rsidP="00552933">
            <w:pPr>
              <w:pStyle w:val="tv213tvp"/>
              <w:spacing w:before="0" w:beforeAutospacing="0" w:after="0" w:afterAutospacing="0"/>
              <w:jc w:val="both"/>
              <w:rPr>
                <w:lang w:val="lv-LV"/>
              </w:rPr>
            </w:pPr>
          </w:p>
          <w:p w14:paraId="2968FFF2" w14:textId="77777777" w:rsidR="00A14D19" w:rsidRPr="00EC2062" w:rsidRDefault="00A14D19" w:rsidP="00552933">
            <w:pPr>
              <w:pStyle w:val="tv213tvp"/>
              <w:spacing w:before="0" w:beforeAutospacing="0" w:after="0" w:afterAutospacing="0"/>
              <w:jc w:val="both"/>
              <w:rPr>
                <w:lang w:val="lv-LV"/>
              </w:rPr>
            </w:pPr>
          </w:p>
          <w:p w14:paraId="3C2FB61D" w14:textId="77777777" w:rsidR="00A14D19" w:rsidRPr="00EC2062" w:rsidRDefault="00A14D19" w:rsidP="00552933">
            <w:pPr>
              <w:pStyle w:val="tv213tvp"/>
              <w:spacing w:before="0" w:beforeAutospacing="0" w:after="0" w:afterAutospacing="0"/>
              <w:jc w:val="both"/>
              <w:rPr>
                <w:lang w:val="lv-LV"/>
              </w:rPr>
            </w:pPr>
          </w:p>
          <w:p w14:paraId="0D6A5BA7" w14:textId="77777777" w:rsidR="00A14D19" w:rsidRPr="00EC2062" w:rsidRDefault="00A14D19" w:rsidP="00552933">
            <w:pPr>
              <w:pStyle w:val="tv213tvp"/>
              <w:spacing w:before="0" w:beforeAutospacing="0" w:after="0" w:afterAutospacing="0"/>
              <w:jc w:val="both"/>
              <w:rPr>
                <w:lang w:val="lv-LV"/>
              </w:rPr>
            </w:pPr>
          </w:p>
          <w:p w14:paraId="444AE10C" w14:textId="77777777" w:rsidR="00A14D19" w:rsidRPr="00EC2062" w:rsidRDefault="00A14D19" w:rsidP="00552933">
            <w:pPr>
              <w:pStyle w:val="tv213tvp"/>
              <w:spacing w:before="0" w:beforeAutospacing="0" w:after="0" w:afterAutospacing="0"/>
              <w:jc w:val="both"/>
              <w:rPr>
                <w:lang w:val="lv-LV"/>
              </w:rPr>
            </w:pPr>
          </w:p>
          <w:p w14:paraId="07A858DD" w14:textId="77777777" w:rsidR="00A14D19" w:rsidRPr="00EC2062" w:rsidRDefault="00A14D19" w:rsidP="00552933">
            <w:pPr>
              <w:pStyle w:val="tv213tvp"/>
              <w:spacing w:before="0" w:beforeAutospacing="0" w:after="0" w:afterAutospacing="0"/>
              <w:jc w:val="both"/>
              <w:rPr>
                <w:lang w:val="lv-LV"/>
              </w:rPr>
            </w:pPr>
          </w:p>
          <w:p w14:paraId="6065BF0B" w14:textId="77777777" w:rsidR="00A14D19" w:rsidRPr="00EC2062" w:rsidRDefault="00A14D19" w:rsidP="00552933">
            <w:pPr>
              <w:pStyle w:val="tv213tvp"/>
              <w:spacing w:before="0" w:beforeAutospacing="0" w:after="0" w:afterAutospacing="0"/>
              <w:jc w:val="both"/>
              <w:rPr>
                <w:lang w:val="lv-LV"/>
              </w:rPr>
            </w:pPr>
          </w:p>
          <w:p w14:paraId="3A5F0202" w14:textId="77777777" w:rsidR="00A14D19" w:rsidRPr="00EC2062" w:rsidRDefault="00A14D19" w:rsidP="00552933">
            <w:pPr>
              <w:pStyle w:val="tv213tvp"/>
              <w:spacing w:before="0" w:beforeAutospacing="0" w:after="0" w:afterAutospacing="0"/>
              <w:jc w:val="both"/>
              <w:rPr>
                <w:lang w:val="lv-LV"/>
              </w:rPr>
            </w:pPr>
          </w:p>
          <w:p w14:paraId="69DCC79D" w14:textId="77777777" w:rsidR="00A14D19" w:rsidRPr="00EC2062" w:rsidRDefault="00A14D19" w:rsidP="00552933">
            <w:pPr>
              <w:pStyle w:val="tv213tvp"/>
              <w:spacing w:before="0" w:beforeAutospacing="0" w:after="0" w:afterAutospacing="0"/>
              <w:jc w:val="both"/>
              <w:rPr>
                <w:lang w:val="lv-LV"/>
              </w:rPr>
            </w:pPr>
          </w:p>
          <w:p w14:paraId="55E2B76A" w14:textId="77777777" w:rsidR="00A14D19" w:rsidRPr="00EC2062" w:rsidRDefault="00A14D19" w:rsidP="00552933">
            <w:pPr>
              <w:pStyle w:val="tv213tvp"/>
              <w:spacing w:before="0" w:beforeAutospacing="0" w:after="0" w:afterAutospacing="0"/>
              <w:jc w:val="both"/>
              <w:rPr>
                <w:lang w:val="lv-LV"/>
              </w:rPr>
            </w:pPr>
          </w:p>
          <w:p w14:paraId="75A32E21" w14:textId="77777777" w:rsidR="00A14D19" w:rsidRPr="00EC2062" w:rsidRDefault="00A14D19" w:rsidP="00552933">
            <w:pPr>
              <w:pStyle w:val="tv213tvp"/>
              <w:spacing w:before="0" w:beforeAutospacing="0" w:after="0" w:afterAutospacing="0"/>
              <w:jc w:val="both"/>
              <w:rPr>
                <w:lang w:val="lv-LV"/>
              </w:rPr>
            </w:pPr>
          </w:p>
          <w:p w14:paraId="102D92EA" w14:textId="77777777" w:rsidR="00A14D19" w:rsidRPr="00EC2062" w:rsidRDefault="00A14D19" w:rsidP="00552933">
            <w:pPr>
              <w:pStyle w:val="tv213tvp"/>
              <w:spacing w:before="0" w:beforeAutospacing="0" w:after="0" w:afterAutospacing="0"/>
              <w:jc w:val="both"/>
              <w:rPr>
                <w:lang w:val="lv-LV"/>
              </w:rPr>
            </w:pPr>
          </w:p>
          <w:p w14:paraId="3F69D647" w14:textId="77777777" w:rsidR="00A14D19" w:rsidRPr="00EC2062" w:rsidRDefault="00A14D19" w:rsidP="00552933">
            <w:pPr>
              <w:pStyle w:val="tv213tvp"/>
              <w:spacing w:before="0" w:beforeAutospacing="0" w:after="0" w:afterAutospacing="0"/>
              <w:jc w:val="both"/>
              <w:rPr>
                <w:lang w:val="lv-LV"/>
              </w:rPr>
            </w:pPr>
          </w:p>
          <w:p w14:paraId="5A4E2F44" w14:textId="77777777" w:rsidR="00A14D19" w:rsidRPr="00EC2062" w:rsidRDefault="00A14D19" w:rsidP="00552933">
            <w:pPr>
              <w:pStyle w:val="tv213tvp"/>
              <w:spacing w:before="0" w:beforeAutospacing="0" w:after="0" w:afterAutospacing="0"/>
              <w:jc w:val="both"/>
              <w:rPr>
                <w:lang w:val="lv-LV"/>
              </w:rPr>
            </w:pPr>
          </w:p>
          <w:p w14:paraId="04783CDE" w14:textId="77777777" w:rsidR="00A14D19" w:rsidRPr="00EC2062" w:rsidRDefault="00A14D19" w:rsidP="00552933">
            <w:pPr>
              <w:pStyle w:val="tv213tvp"/>
              <w:spacing w:before="0" w:beforeAutospacing="0" w:after="0" w:afterAutospacing="0"/>
              <w:jc w:val="both"/>
              <w:rPr>
                <w:lang w:val="lv-LV"/>
              </w:rPr>
            </w:pPr>
          </w:p>
          <w:p w14:paraId="13C3B91D" w14:textId="77777777" w:rsidR="00A14D19" w:rsidRPr="00EC2062" w:rsidRDefault="00A14D19" w:rsidP="00552933">
            <w:pPr>
              <w:pStyle w:val="tv213tvp"/>
              <w:spacing w:before="0" w:beforeAutospacing="0" w:after="0" w:afterAutospacing="0"/>
              <w:jc w:val="both"/>
              <w:rPr>
                <w:lang w:val="lv-LV"/>
              </w:rPr>
            </w:pPr>
          </w:p>
          <w:p w14:paraId="56A1444F" w14:textId="77777777" w:rsidR="00A14D19" w:rsidRPr="00EC2062" w:rsidRDefault="00A14D19" w:rsidP="00552933">
            <w:pPr>
              <w:pStyle w:val="tv213tvp"/>
              <w:spacing w:before="0" w:beforeAutospacing="0" w:after="0" w:afterAutospacing="0"/>
              <w:jc w:val="both"/>
              <w:rPr>
                <w:lang w:val="lv-LV"/>
              </w:rPr>
            </w:pPr>
          </w:p>
          <w:p w14:paraId="03C65C13" w14:textId="77777777" w:rsidR="00A14D19" w:rsidRPr="00EC2062" w:rsidRDefault="00A14D19" w:rsidP="00552933">
            <w:pPr>
              <w:pStyle w:val="tv213tvp"/>
              <w:spacing w:before="0" w:beforeAutospacing="0" w:after="0" w:afterAutospacing="0"/>
              <w:jc w:val="both"/>
              <w:rPr>
                <w:lang w:val="lv-LV"/>
              </w:rPr>
            </w:pPr>
          </w:p>
          <w:p w14:paraId="6BC7026B" w14:textId="77777777" w:rsidR="00A14D19" w:rsidRPr="00EC2062" w:rsidRDefault="00A14D19" w:rsidP="00552933">
            <w:pPr>
              <w:pStyle w:val="tv213tvp"/>
              <w:spacing w:before="0" w:beforeAutospacing="0" w:after="0" w:afterAutospacing="0"/>
              <w:jc w:val="both"/>
              <w:rPr>
                <w:rFonts w:eastAsia="Times New Roman"/>
                <w:lang w:val="lv-LV" w:eastAsia="lv-LV"/>
              </w:rPr>
            </w:pPr>
          </w:p>
          <w:p w14:paraId="770F4B93" w14:textId="77777777" w:rsidR="003C255E" w:rsidRPr="00EC2062" w:rsidRDefault="003C255E" w:rsidP="00552933">
            <w:pPr>
              <w:pStyle w:val="tv213tvp"/>
              <w:spacing w:before="0" w:beforeAutospacing="0" w:after="0" w:afterAutospacing="0"/>
              <w:jc w:val="both"/>
              <w:rPr>
                <w:rFonts w:eastAsia="Times New Roman"/>
                <w:lang w:val="lv-LV" w:eastAsia="lv-LV"/>
              </w:rPr>
            </w:pPr>
          </w:p>
          <w:p w14:paraId="20D339CB" w14:textId="77777777" w:rsidR="003C255E" w:rsidRPr="00EC2062" w:rsidRDefault="003C255E" w:rsidP="00552933">
            <w:pPr>
              <w:pStyle w:val="tv213tvp"/>
              <w:spacing w:before="0" w:beforeAutospacing="0" w:after="0" w:afterAutospacing="0"/>
              <w:jc w:val="both"/>
              <w:rPr>
                <w:rFonts w:eastAsia="Times New Roman"/>
                <w:lang w:val="lv-LV" w:eastAsia="lv-LV"/>
              </w:rPr>
            </w:pPr>
          </w:p>
          <w:p w14:paraId="625CF018" w14:textId="77777777" w:rsidR="003C255E" w:rsidRPr="00EC2062" w:rsidRDefault="003C255E" w:rsidP="00552933">
            <w:pPr>
              <w:pStyle w:val="tv213tvp"/>
              <w:spacing w:before="0" w:beforeAutospacing="0" w:after="0" w:afterAutospacing="0"/>
              <w:jc w:val="both"/>
              <w:rPr>
                <w:rFonts w:eastAsia="Times New Roman"/>
                <w:lang w:val="lv-LV" w:eastAsia="lv-LV"/>
              </w:rPr>
            </w:pPr>
          </w:p>
        </w:tc>
        <w:tc>
          <w:tcPr>
            <w:tcW w:w="2986" w:type="dxa"/>
            <w:tcBorders>
              <w:top w:val="single" w:sz="4" w:space="0" w:color="auto"/>
              <w:left w:val="single" w:sz="4" w:space="0" w:color="auto"/>
              <w:bottom w:val="single" w:sz="4" w:space="0" w:color="auto"/>
            </w:tcBorders>
          </w:tcPr>
          <w:p w14:paraId="2273B046" w14:textId="2C2E70D6" w:rsidR="00D0249E" w:rsidRPr="00EC2062" w:rsidRDefault="00911671" w:rsidP="00BE6B8C">
            <w:pPr>
              <w:jc w:val="both"/>
            </w:pPr>
            <w:r w:rsidRPr="00EC2062">
              <w:lastRenderedPageBreak/>
              <w:t>Projekts</w:t>
            </w:r>
          </w:p>
          <w:p w14:paraId="4B3E21F4" w14:textId="77777777" w:rsidR="00D0249E" w:rsidRPr="00EC2062" w:rsidRDefault="00D0249E" w:rsidP="00BE6B8C">
            <w:pPr>
              <w:jc w:val="both"/>
            </w:pPr>
          </w:p>
          <w:p w14:paraId="29A97425" w14:textId="77777777" w:rsidR="008D6CDC" w:rsidRPr="00EC2062" w:rsidRDefault="008D6CDC" w:rsidP="00BE6B8C">
            <w:pPr>
              <w:jc w:val="both"/>
            </w:pPr>
          </w:p>
        </w:tc>
      </w:tr>
      <w:tr w:rsidR="00552933" w:rsidRPr="001801C2" w14:paraId="27054F7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57D82F9" w14:textId="2C1381B5" w:rsidR="00552933" w:rsidRPr="001801C2" w:rsidRDefault="00552933"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3B164B45" w14:textId="77777777" w:rsidR="00552933" w:rsidRPr="00DE55CB" w:rsidRDefault="000F463B" w:rsidP="00552933">
            <w:r w:rsidRPr="00DE55CB">
              <w:t>Projekts</w:t>
            </w:r>
          </w:p>
          <w:p w14:paraId="61527479" w14:textId="77777777" w:rsidR="00346920" w:rsidRDefault="00346920" w:rsidP="00552933">
            <w:pPr>
              <w:rPr>
                <w:i/>
              </w:rPr>
            </w:pPr>
          </w:p>
          <w:p w14:paraId="334B4111" w14:textId="77777777" w:rsidR="009A432F" w:rsidRDefault="009A432F" w:rsidP="00552933">
            <w:pPr>
              <w:rPr>
                <w:i/>
              </w:rPr>
            </w:pPr>
          </w:p>
          <w:p w14:paraId="690BED5C" w14:textId="77777777" w:rsidR="009A432F" w:rsidRDefault="009A432F" w:rsidP="00552933">
            <w:pPr>
              <w:rPr>
                <w:i/>
              </w:rPr>
            </w:pPr>
          </w:p>
          <w:p w14:paraId="099DC781" w14:textId="77777777" w:rsidR="009A432F" w:rsidRDefault="009A432F" w:rsidP="00552933">
            <w:pPr>
              <w:rPr>
                <w:i/>
              </w:rPr>
            </w:pPr>
          </w:p>
          <w:p w14:paraId="04FB549E" w14:textId="77777777" w:rsidR="009A432F" w:rsidRDefault="009A432F" w:rsidP="00552933">
            <w:pPr>
              <w:rPr>
                <w:i/>
              </w:rPr>
            </w:pPr>
          </w:p>
          <w:p w14:paraId="38E9E014" w14:textId="77777777" w:rsidR="009A432F" w:rsidRDefault="009A432F" w:rsidP="00552933">
            <w:pPr>
              <w:rPr>
                <w:i/>
              </w:rPr>
            </w:pPr>
          </w:p>
          <w:p w14:paraId="7F463F52" w14:textId="77777777" w:rsidR="009A432F" w:rsidRDefault="009A432F" w:rsidP="00552933">
            <w:pPr>
              <w:rPr>
                <w:i/>
              </w:rPr>
            </w:pPr>
          </w:p>
          <w:p w14:paraId="44F827BF" w14:textId="77777777" w:rsidR="009A432F" w:rsidRDefault="009A432F" w:rsidP="00552933">
            <w:pPr>
              <w:rPr>
                <w:i/>
              </w:rPr>
            </w:pPr>
          </w:p>
          <w:p w14:paraId="7F19A712" w14:textId="77777777" w:rsidR="009A432F" w:rsidRDefault="009A432F" w:rsidP="00552933">
            <w:pPr>
              <w:rPr>
                <w:i/>
              </w:rPr>
            </w:pPr>
          </w:p>
          <w:p w14:paraId="162B51D5" w14:textId="77777777" w:rsidR="009A432F" w:rsidRDefault="009A432F" w:rsidP="00552933">
            <w:pPr>
              <w:rPr>
                <w:i/>
              </w:rPr>
            </w:pPr>
          </w:p>
          <w:p w14:paraId="16EF0843" w14:textId="77777777" w:rsidR="009A432F" w:rsidRDefault="009A432F" w:rsidP="00552933">
            <w:pPr>
              <w:rPr>
                <w:i/>
              </w:rPr>
            </w:pPr>
          </w:p>
          <w:p w14:paraId="6B1CA870" w14:textId="77777777" w:rsidR="009A432F" w:rsidRDefault="009A432F" w:rsidP="00552933">
            <w:pPr>
              <w:rPr>
                <w:i/>
              </w:rPr>
            </w:pPr>
          </w:p>
          <w:p w14:paraId="4576B012" w14:textId="77777777" w:rsidR="009A432F" w:rsidRDefault="009A432F" w:rsidP="00552933">
            <w:pPr>
              <w:rPr>
                <w:i/>
              </w:rPr>
            </w:pPr>
          </w:p>
          <w:p w14:paraId="754D8537" w14:textId="77777777" w:rsidR="009A432F" w:rsidRDefault="009A432F" w:rsidP="00552933">
            <w:pPr>
              <w:rPr>
                <w:i/>
              </w:rPr>
            </w:pPr>
          </w:p>
          <w:p w14:paraId="39FC97A6" w14:textId="77777777" w:rsidR="009A432F" w:rsidRDefault="009A432F" w:rsidP="00552933">
            <w:pPr>
              <w:rPr>
                <w:i/>
              </w:rPr>
            </w:pPr>
          </w:p>
          <w:p w14:paraId="2A52A122" w14:textId="77777777" w:rsidR="009A432F" w:rsidRDefault="009A432F" w:rsidP="00552933">
            <w:pPr>
              <w:rPr>
                <w:i/>
              </w:rPr>
            </w:pPr>
          </w:p>
          <w:p w14:paraId="3EFC696C" w14:textId="77777777" w:rsidR="009A432F" w:rsidRDefault="009A432F" w:rsidP="00552933">
            <w:pPr>
              <w:rPr>
                <w:i/>
              </w:rPr>
            </w:pPr>
          </w:p>
          <w:p w14:paraId="7465266E" w14:textId="77777777" w:rsidR="009A432F" w:rsidRDefault="009A432F" w:rsidP="00552933">
            <w:pPr>
              <w:rPr>
                <w:i/>
              </w:rPr>
            </w:pPr>
          </w:p>
          <w:p w14:paraId="67802DC3" w14:textId="77777777" w:rsidR="009A432F" w:rsidRDefault="009A432F" w:rsidP="00552933">
            <w:pPr>
              <w:rPr>
                <w:i/>
              </w:rPr>
            </w:pPr>
          </w:p>
          <w:p w14:paraId="3B688FF2" w14:textId="77777777" w:rsidR="009A432F" w:rsidRDefault="009A432F" w:rsidP="00552933">
            <w:pPr>
              <w:rPr>
                <w:i/>
              </w:rPr>
            </w:pPr>
          </w:p>
          <w:p w14:paraId="3567054A" w14:textId="77777777" w:rsidR="009A432F" w:rsidRPr="00BE6B8C" w:rsidRDefault="009A432F" w:rsidP="00BE6B8C">
            <w:pPr>
              <w:jc w:val="both"/>
            </w:pPr>
          </w:p>
          <w:p w14:paraId="4C42C192" w14:textId="77777777" w:rsidR="009A432F" w:rsidRPr="00BE6B8C" w:rsidRDefault="009A432F" w:rsidP="00BE6B8C">
            <w:pPr>
              <w:jc w:val="both"/>
            </w:pPr>
          </w:p>
          <w:p w14:paraId="3808E823" w14:textId="77777777" w:rsidR="009A432F" w:rsidRPr="00BE6B8C" w:rsidRDefault="009A432F" w:rsidP="00BE6B8C">
            <w:pPr>
              <w:jc w:val="both"/>
            </w:pPr>
          </w:p>
          <w:p w14:paraId="48BE6859" w14:textId="77777777" w:rsidR="009A432F" w:rsidRPr="00BE6B8C" w:rsidRDefault="009A432F" w:rsidP="00BE6B8C">
            <w:pPr>
              <w:jc w:val="both"/>
            </w:pPr>
          </w:p>
          <w:p w14:paraId="4BB5EBCF" w14:textId="77777777" w:rsidR="009A432F" w:rsidRPr="00BE6B8C" w:rsidRDefault="009A432F" w:rsidP="00BE6B8C">
            <w:pPr>
              <w:jc w:val="both"/>
            </w:pPr>
          </w:p>
          <w:p w14:paraId="1D2436FF" w14:textId="77777777" w:rsidR="009A432F" w:rsidRPr="00BE6B8C" w:rsidRDefault="009A432F" w:rsidP="00BE6B8C">
            <w:pPr>
              <w:jc w:val="both"/>
            </w:pPr>
          </w:p>
          <w:p w14:paraId="115EA377" w14:textId="77777777" w:rsidR="009A432F" w:rsidRPr="00BE6B8C" w:rsidRDefault="009A432F" w:rsidP="00BE6B8C">
            <w:pPr>
              <w:jc w:val="both"/>
            </w:pPr>
          </w:p>
          <w:p w14:paraId="76B1C300" w14:textId="77777777" w:rsidR="009A432F" w:rsidRPr="00BE6B8C" w:rsidRDefault="009A432F" w:rsidP="00BE6B8C">
            <w:pPr>
              <w:jc w:val="both"/>
            </w:pPr>
          </w:p>
          <w:p w14:paraId="1C92CEBD" w14:textId="77777777" w:rsidR="009A432F" w:rsidRPr="00BE6B8C" w:rsidRDefault="009A432F" w:rsidP="00BE6B8C">
            <w:pPr>
              <w:jc w:val="both"/>
            </w:pPr>
          </w:p>
          <w:p w14:paraId="4711E653" w14:textId="77777777" w:rsidR="009A432F" w:rsidRPr="00BE6B8C" w:rsidRDefault="009A432F" w:rsidP="00BE6B8C">
            <w:pPr>
              <w:jc w:val="both"/>
            </w:pPr>
          </w:p>
          <w:p w14:paraId="14BDEACD" w14:textId="77777777" w:rsidR="009A432F" w:rsidRPr="00BE6B8C" w:rsidRDefault="009A432F" w:rsidP="00BE6B8C">
            <w:pPr>
              <w:jc w:val="both"/>
            </w:pPr>
          </w:p>
          <w:p w14:paraId="54E57C7C" w14:textId="77777777" w:rsidR="009A432F" w:rsidRPr="00BE6B8C" w:rsidRDefault="009A432F" w:rsidP="00BE6B8C">
            <w:pPr>
              <w:jc w:val="both"/>
            </w:pPr>
          </w:p>
          <w:p w14:paraId="02E57BDD" w14:textId="77777777" w:rsidR="009A432F" w:rsidRPr="00BE6B8C" w:rsidRDefault="009A432F" w:rsidP="00BE6B8C">
            <w:pPr>
              <w:jc w:val="both"/>
            </w:pPr>
          </w:p>
          <w:p w14:paraId="38CD8675" w14:textId="77777777" w:rsidR="009A432F" w:rsidRPr="00BE6B8C" w:rsidRDefault="009A432F" w:rsidP="00BE6B8C">
            <w:pPr>
              <w:jc w:val="both"/>
            </w:pPr>
          </w:p>
          <w:p w14:paraId="3FAC00B0" w14:textId="77777777" w:rsidR="009A432F" w:rsidRPr="00BE6B8C" w:rsidRDefault="009A432F" w:rsidP="00BE6B8C">
            <w:pPr>
              <w:jc w:val="both"/>
            </w:pPr>
          </w:p>
          <w:p w14:paraId="44A323AC" w14:textId="77777777" w:rsidR="009A432F" w:rsidRPr="00BE6B8C" w:rsidRDefault="009A432F" w:rsidP="00BE6B8C">
            <w:pPr>
              <w:jc w:val="both"/>
            </w:pPr>
          </w:p>
          <w:p w14:paraId="419C5F1E" w14:textId="77777777" w:rsidR="009A432F" w:rsidRPr="00BE6B8C" w:rsidRDefault="009A432F" w:rsidP="00BE6B8C">
            <w:pPr>
              <w:jc w:val="both"/>
            </w:pPr>
          </w:p>
          <w:p w14:paraId="26F9CF60" w14:textId="77777777" w:rsidR="009A432F" w:rsidRPr="00BE6B8C" w:rsidRDefault="009A432F" w:rsidP="00BE6B8C">
            <w:pPr>
              <w:jc w:val="both"/>
            </w:pPr>
          </w:p>
          <w:p w14:paraId="589568AB" w14:textId="77777777" w:rsidR="009A432F" w:rsidRPr="00BE6B8C" w:rsidRDefault="009A432F" w:rsidP="00BE6B8C">
            <w:pPr>
              <w:jc w:val="both"/>
            </w:pPr>
          </w:p>
          <w:p w14:paraId="76DD5D4E" w14:textId="77777777" w:rsidR="00346920" w:rsidRPr="00BE6B8C" w:rsidRDefault="00346920" w:rsidP="00BE6B8C">
            <w:pPr>
              <w:jc w:val="both"/>
            </w:pPr>
            <w:r w:rsidRPr="00BE6B8C">
              <w:t xml:space="preserve">3. punkts sadaļā “Studiju un studējošo kreditēšanas nepieciešamība”: </w:t>
            </w:r>
          </w:p>
          <w:p w14:paraId="25517CD6" w14:textId="77777777" w:rsidR="00346920" w:rsidRPr="00BE6B8C" w:rsidRDefault="00346920" w:rsidP="00BE6B8C">
            <w:pPr>
              <w:jc w:val="both"/>
            </w:pPr>
          </w:p>
          <w:p w14:paraId="422EEF30" w14:textId="77777777" w:rsidR="00346920" w:rsidRPr="00A16E0F" w:rsidRDefault="00346920" w:rsidP="00BE6B8C">
            <w:pPr>
              <w:jc w:val="both"/>
              <w:rPr>
                <w:i/>
              </w:rPr>
            </w:pPr>
            <w:r w:rsidRPr="00BE6B8C">
              <w:t>3)</w:t>
            </w:r>
            <w:r w:rsidRPr="00BE6B8C">
              <w:tab/>
              <w:t xml:space="preserve">sistēmas, kurās visi pirmā cikla studējošie sedz daļu no studiju izmaksām. Šis anglosakšu modelis kļūs </w:t>
            </w:r>
            <w:r w:rsidRPr="00BE6B8C">
              <w:lastRenderedPageBreak/>
              <w:t>mazāk tipisks Eiropas Savienībai līdz ar Lielbritānijas izstāšanos. Tāds ir Lielbritānijā, izņemot Skotiju, kā arī Portugālē, Luksemburgā un Nīderlandē. Lielbritānijā (izņemot Skotiju) studējošie sedz ievērojamu daļu no studiju izmaksām, t.sk. ar kredītu sistēmas starpniecību (līdz 9 000 britu mārciņām gadā), tikmēr citās šajā apakšpunktā minētajās valstīs studējošie veic līdzmaksājumu par studijām. Pašmāju un citu ES valstu studenti maksā aptuveni 1 000 euro līdzmaksājumu gadā par bakalaura studijām Portugālē; Nīderlandē – ap 2 000 euro.</w:t>
            </w:r>
            <w:r w:rsidRPr="00346920">
              <w:rPr>
                <w:i/>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D9AEF4A" w14:textId="77777777" w:rsidR="000F463B" w:rsidRDefault="000F463B" w:rsidP="000F463B">
            <w:pPr>
              <w:widowControl w:val="0"/>
              <w:jc w:val="both"/>
              <w:rPr>
                <w:rFonts w:eastAsia="Calibri"/>
                <w:b/>
                <w:lang w:eastAsia="en-US"/>
              </w:rPr>
            </w:pPr>
            <w:r w:rsidRPr="000F463B">
              <w:rPr>
                <w:rFonts w:eastAsia="Calibri"/>
                <w:b/>
                <w:lang w:eastAsia="en-US"/>
              </w:rPr>
              <w:lastRenderedPageBreak/>
              <w:t xml:space="preserve">Latvijas Rektoru padome </w:t>
            </w:r>
            <w:r>
              <w:rPr>
                <w:rFonts w:eastAsia="Calibri"/>
                <w:b/>
                <w:lang w:eastAsia="en-US"/>
              </w:rPr>
              <w:t>(</w:t>
            </w:r>
            <w:r w:rsidRPr="000F463B">
              <w:rPr>
                <w:rFonts w:eastAsia="Calibri"/>
                <w:b/>
                <w:lang w:eastAsia="en-US"/>
              </w:rPr>
              <w:t xml:space="preserve">20.05.2019. </w:t>
            </w:r>
            <w:r>
              <w:rPr>
                <w:rFonts w:eastAsia="Calibri"/>
                <w:b/>
                <w:lang w:eastAsia="en-US"/>
              </w:rPr>
              <w:t xml:space="preserve">vēstule </w:t>
            </w:r>
            <w:r w:rsidRPr="000F463B">
              <w:rPr>
                <w:rFonts w:eastAsia="Calibri"/>
                <w:b/>
                <w:lang w:eastAsia="en-US"/>
              </w:rPr>
              <w:t>Nr.</w:t>
            </w:r>
            <w:r>
              <w:rPr>
                <w:rFonts w:eastAsia="Calibri"/>
                <w:b/>
                <w:lang w:eastAsia="en-US"/>
              </w:rPr>
              <w:t xml:space="preserve"> </w:t>
            </w:r>
            <w:r w:rsidRPr="000F463B">
              <w:rPr>
                <w:rFonts w:eastAsia="Calibri"/>
                <w:b/>
                <w:lang w:eastAsia="en-US"/>
              </w:rPr>
              <w:t>1-8</w:t>
            </w:r>
            <w:r>
              <w:rPr>
                <w:rFonts w:eastAsia="Calibri"/>
                <w:b/>
                <w:lang w:eastAsia="en-US"/>
              </w:rPr>
              <w:t>):</w:t>
            </w:r>
          </w:p>
          <w:p w14:paraId="5BDA9E1B" w14:textId="77777777" w:rsidR="000F463B" w:rsidRPr="000F463B" w:rsidRDefault="000F463B" w:rsidP="000F463B">
            <w:pPr>
              <w:widowControl w:val="0"/>
              <w:jc w:val="both"/>
              <w:rPr>
                <w:rFonts w:eastAsia="Calibri"/>
                <w:lang w:eastAsia="en-US"/>
              </w:rPr>
            </w:pPr>
            <w:r>
              <w:rPr>
                <w:rFonts w:eastAsia="Calibri"/>
                <w:lang w:eastAsia="en-US"/>
              </w:rPr>
              <w:t>I</w:t>
            </w:r>
            <w:r w:rsidRPr="000F463B">
              <w:rPr>
                <w:rFonts w:eastAsia="Calibri"/>
                <w:lang w:eastAsia="en-US"/>
              </w:rPr>
              <w:t xml:space="preserve">zvērtējot Rektoru padomes sēdēs notikušās diskusijas, kā arī izveidojušos situāciju studiju un studējošo kreditēšanas jomā, informēju, ka Rektoru padome atbalsta nepieciešamību veikt ziņojuma projektā aprakstītās pārmaiņas. </w:t>
            </w:r>
          </w:p>
          <w:p w14:paraId="6CF062CC" w14:textId="77777777" w:rsidR="000F463B" w:rsidRPr="000F463B" w:rsidRDefault="000F463B" w:rsidP="000F463B">
            <w:pPr>
              <w:widowControl w:val="0"/>
              <w:jc w:val="both"/>
              <w:rPr>
                <w:rFonts w:eastAsia="Calibri"/>
                <w:lang w:eastAsia="en-US"/>
              </w:rPr>
            </w:pPr>
            <w:r w:rsidRPr="000F463B">
              <w:rPr>
                <w:rFonts w:eastAsia="Calibri"/>
                <w:lang w:eastAsia="en-US"/>
              </w:rPr>
              <w:t xml:space="preserve">Otrkārt, atsaucoties uz ministrijas vēstulē ietverto lūgumu norādīt – kuru no ministrijas piedāvātajiem </w:t>
            </w:r>
            <w:r w:rsidRPr="000F463B">
              <w:rPr>
                <w:rFonts w:eastAsia="Calibri"/>
                <w:lang w:eastAsia="en-US"/>
              </w:rPr>
              <w:lastRenderedPageBreak/>
              <w:t xml:space="preserve">rīcības variantiem Rektoru padome atbalsta, aicinām </w:t>
            </w:r>
            <w:r w:rsidRPr="000F463B">
              <w:rPr>
                <w:rFonts w:eastAsia="Calibri"/>
                <w:b/>
                <w:lang w:eastAsia="en-US"/>
              </w:rPr>
              <w:t>atbalstīt variantu, kurā paredzēts maksimāli iespējamais atbalsts studējošajiem</w:t>
            </w:r>
            <w:r w:rsidRPr="000F463B">
              <w:rPr>
                <w:rFonts w:eastAsia="Calibri"/>
                <w:lang w:eastAsia="en-US"/>
              </w:rPr>
              <w:t>. Šāda pieeja veicinātu augstākās izglītības pieejamību, kā arī ir nepieciešama, ņemot vērā, ka jaunais modelis sola daudz ērtāku kredītu piešķiršanas sistēmu. Līdz ar to, paredzams, ka interese gan par studiju, gan par studējošo kredītiem varētu pieaugt.</w:t>
            </w:r>
          </w:p>
          <w:p w14:paraId="5D0B2903" w14:textId="77777777" w:rsidR="000F463B" w:rsidRPr="000F463B" w:rsidRDefault="000F463B" w:rsidP="000F463B">
            <w:pPr>
              <w:widowControl w:val="0"/>
              <w:jc w:val="both"/>
              <w:rPr>
                <w:rFonts w:eastAsia="Calibri"/>
                <w:lang w:eastAsia="en-US"/>
              </w:rPr>
            </w:pPr>
            <w:r w:rsidRPr="000F463B">
              <w:rPr>
                <w:rFonts w:eastAsia="Calibri"/>
                <w:lang w:eastAsia="en-US"/>
              </w:rPr>
              <w:t xml:space="preserve">Treškārt, jaunajā sistēmā aicinām saglabāt kredītu dzēšanu – kā atbalsta instrumentu jaunajiem speciālistiem. Uzskatām, ka kredītu dzēšanā </w:t>
            </w:r>
            <w:r w:rsidRPr="00795268">
              <w:rPr>
                <w:rFonts w:eastAsia="Calibri"/>
                <w:lang w:eastAsia="en-US"/>
              </w:rPr>
              <w:t>jāiesaista arī finansējums no citām nozarēm, kuras ir atbildīgas par attiecīgo jomu (nozaru ministrijas, iespējams, arī pašvaldības un citas publiskās institūcijas).</w:t>
            </w:r>
          </w:p>
          <w:p w14:paraId="10315081" w14:textId="77777777" w:rsidR="009A432F" w:rsidRDefault="009A432F" w:rsidP="000F463B">
            <w:pPr>
              <w:widowControl w:val="0"/>
              <w:jc w:val="both"/>
              <w:rPr>
                <w:rFonts w:eastAsia="Calibri"/>
                <w:lang w:eastAsia="en-US"/>
              </w:rPr>
            </w:pPr>
          </w:p>
          <w:p w14:paraId="4EEA145E" w14:textId="77777777" w:rsidR="00552933" w:rsidRPr="003D7B8F" w:rsidRDefault="000F463B" w:rsidP="000F463B">
            <w:pPr>
              <w:widowControl w:val="0"/>
              <w:jc w:val="both"/>
              <w:rPr>
                <w:rFonts w:eastAsia="Calibri"/>
                <w:b/>
                <w:lang w:eastAsia="en-US"/>
              </w:rPr>
            </w:pPr>
            <w:r w:rsidRPr="000F463B">
              <w:rPr>
                <w:rFonts w:eastAsia="Calibri"/>
                <w:lang w:eastAsia="en-US"/>
              </w:rPr>
              <w:t>Ceturtkārt, ziņojuma projekta 3.</w:t>
            </w:r>
            <w:r>
              <w:rPr>
                <w:rFonts w:eastAsia="Calibri"/>
                <w:lang w:eastAsia="en-US"/>
              </w:rPr>
              <w:t xml:space="preserve"> </w:t>
            </w:r>
            <w:r w:rsidRPr="000F463B">
              <w:rPr>
                <w:rFonts w:eastAsia="Calibri"/>
                <w:lang w:eastAsia="en-US"/>
              </w:rPr>
              <w:t xml:space="preserve">lapā sniegta informācija par ES valstīs pastāvošajām studiju finansēšanas sistēmām. Kā trešais eksistējošais modelis norādītas sistēmas, kurās studējošie sedz ievērojamu daļu </w:t>
            </w:r>
            <w:r w:rsidRPr="000F463B">
              <w:rPr>
                <w:rFonts w:eastAsia="Calibri"/>
                <w:lang w:eastAsia="en-US"/>
              </w:rPr>
              <w:lastRenderedPageBreak/>
              <w:t xml:space="preserve">no studiju izmaksām (Lielbritānija (izņemot Skotiju), Portugāle, Luksemburga un Nīderlande). Aicinām ziņojuma projektu šajā sadaļā koriģēt, precīzāk atspoguļojot dažādu valstu finansēšanas sistēmas. Saskaņā ar mūsu rīcībā esošo informāciju Lielbritānijā (izņemot Skotiju) studējošie patiešām sedz ievērojamu daļu no studiju izmaksām, t.sk. ar kredītu sistēmas starpniecību (līdz 9000 britu mārciņām </w:t>
            </w:r>
            <w:r w:rsidRPr="009A432F">
              <w:rPr>
                <w:rFonts w:eastAsia="Calibri"/>
                <w:lang w:eastAsia="en-US"/>
              </w:rPr>
              <w:t>gadā), tikmēr citās šajā apakšpunktā minētajās valstīs studējošie apmaksā tikai t.s. līdzmaksājumu par studijām. Pašmāju un citu ES valstu studenti maksā aptuveni 1000 euro līdzmaksājumu gadā par bakalaura studijām Portugālē; Nīderlandē – ap 2000 euro. Jebkurā gadījumā</w:t>
            </w:r>
            <w:r w:rsidRPr="000F463B">
              <w:rPr>
                <w:rFonts w:eastAsia="Calibri"/>
                <w:lang w:eastAsia="en-US"/>
              </w:rPr>
              <w:t xml:space="preserve"> līdzmaksājuma apmērs tomēr nesastāda lielāko daļu no studiju izmaksām – tās finansē attiecīgā valsts.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51C3A23" w14:textId="77777777" w:rsidR="00033ACD" w:rsidRPr="00033ACD" w:rsidRDefault="00033ACD" w:rsidP="00033ACD">
            <w:pPr>
              <w:ind w:firstLine="284"/>
              <w:jc w:val="center"/>
              <w:rPr>
                <w:b/>
              </w:rPr>
            </w:pPr>
            <w:r w:rsidRPr="00033ACD">
              <w:rPr>
                <w:b/>
              </w:rPr>
              <w:lastRenderedPageBreak/>
              <w:t>Ņemts vērā</w:t>
            </w:r>
          </w:p>
          <w:p w14:paraId="26EEF7FB" w14:textId="77777777" w:rsidR="00795268" w:rsidRDefault="00795268" w:rsidP="009D78DC">
            <w:pPr>
              <w:ind w:firstLine="284"/>
              <w:jc w:val="both"/>
            </w:pPr>
          </w:p>
          <w:p w14:paraId="38AC128E" w14:textId="77777777" w:rsidR="00552933" w:rsidRDefault="009D78DC" w:rsidP="009D78DC">
            <w:pPr>
              <w:ind w:firstLine="284"/>
              <w:jc w:val="both"/>
            </w:pPr>
            <w:r>
              <w:t>Ziņojumā tika izteikts priekšlikums nozaru ministrijām rast līdzekļus kredītu dzēšanai savas jomas strādājošiem. Visas nozaru ministrijas izteica atbalstu turpināt dzēšanu par darbu noteiktajās jomās, taču nav radušas iespējas rast tam finansējumu.</w:t>
            </w:r>
          </w:p>
          <w:p w14:paraId="3C50982B" w14:textId="77777777" w:rsidR="00795268" w:rsidRPr="00383ECB" w:rsidRDefault="00795268" w:rsidP="009D78DC">
            <w:pPr>
              <w:ind w:firstLine="284"/>
              <w:jc w:val="both"/>
            </w:pPr>
            <w:r w:rsidRPr="00795268">
              <w:t xml:space="preserve">Ministrija ir iekļāvusi konceptuālajā ziņojumā rīcības variantu, kas paredz turpināt kredītu dzēšanu un turpmākā rīcība ir atkarīga no Ministru kabineta </w:t>
            </w:r>
            <w:r w:rsidRPr="00795268">
              <w:lastRenderedPageBreak/>
              <w:t>atbalstītā rīcības varianta un lēmumiem budžeta veidošanas procesā.</w:t>
            </w:r>
          </w:p>
        </w:tc>
        <w:tc>
          <w:tcPr>
            <w:tcW w:w="2986" w:type="dxa"/>
            <w:tcBorders>
              <w:top w:val="single" w:sz="4" w:space="0" w:color="auto"/>
              <w:left w:val="single" w:sz="4" w:space="0" w:color="auto"/>
              <w:bottom w:val="single" w:sz="4" w:space="0" w:color="auto"/>
            </w:tcBorders>
          </w:tcPr>
          <w:p w14:paraId="7AEA8781" w14:textId="77777777" w:rsidR="001B50F0" w:rsidRPr="00BE6B8C" w:rsidRDefault="001B50F0" w:rsidP="00BE6B8C">
            <w:pPr>
              <w:jc w:val="both"/>
            </w:pPr>
          </w:p>
          <w:p w14:paraId="125D508F" w14:textId="77777777" w:rsidR="009A432F" w:rsidRPr="00BE6B8C" w:rsidRDefault="009A432F" w:rsidP="00BE6B8C">
            <w:pPr>
              <w:jc w:val="both"/>
            </w:pPr>
          </w:p>
          <w:p w14:paraId="20E8389F" w14:textId="77777777" w:rsidR="009A432F" w:rsidRPr="00BE6B8C" w:rsidRDefault="009A432F" w:rsidP="00BE6B8C">
            <w:pPr>
              <w:jc w:val="both"/>
            </w:pPr>
          </w:p>
          <w:p w14:paraId="07D0E7DC" w14:textId="77777777" w:rsidR="009A432F" w:rsidRPr="00BE6B8C" w:rsidRDefault="009A432F" w:rsidP="00BE6B8C">
            <w:pPr>
              <w:jc w:val="both"/>
            </w:pPr>
          </w:p>
          <w:p w14:paraId="745B89F5" w14:textId="77777777" w:rsidR="009A432F" w:rsidRPr="00BE6B8C" w:rsidRDefault="009A432F" w:rsidP="00BE6B8C">
            <w:pPr>
              <w:jc w:val="both"/>
            </w:pPr>
          </w:p>
          <w:p w14:paraId="76C86E31" w14:textId="77777777" w:rsidR="009A432F" w:rsidRPr="00BE6B8C" w:rsidRDefault="009A432F" w:rsidP="00BE6B8C">
            <w:pPr>
              <w:jc w:val="both"/>
            </w:pPr>
          </w:p>
          <w:p w14:paraId="0238471D" w14:textId="77777777" w:rsidR="009A432F" w:rsidRPr="00BE6B8C" w:rsidRDefault="009A432F" w:rsidP="00BE6B8C">
            <w:pPr>
              <w:jc w:val="both"/>
            </w:pPr>
          </w:p>
          <w:p w14:paraId="440CDA02" w14:textId="77777777" w:rsidR="009A432F" w:rsidRPr="00BE6B8C" w:rsidRDefault="009A432F" w:rsidP="00BE6B8C">
            <w:pPr>
              <w:jc w:val="both"/>
            </w:pPr>
          </w:p>
          <w:p w14:paraId="3C145A97" w14:textId="77777777" w:rsidR="009A432F" w:rsidRPr="00BE6B8C" w:rsidRDefault="009A432F" w:rsidP="00BE6B8C">
            <w:pPr>
              <w:jc w:val="both"/>
            </w:pPr>
          </w:p>
          <w:p w14:paraId="73E437DB" w14:textId="77777777" w:rsidR="009A432F" w:rsidRPr="00BE6B8C" w:rsidRDefault="009A432F" w:rsidP="00BE6B8C">
            <w:pPr>
              <w:jc w:val="both"/>
            </w:pPr>
          </w:p>
          <w:p w14:paraId="153FC712" w14:textId="77777777" w:rsidR="009A432F" w:rsidRPr="00BE6B8C" w:rsidRDefault="009A432F" w:rsidP="00BE6B8C">
            <w:pPr>
              <w:jc w:val="both"/>
            </w:pPr>
          </w:p>
          <w:p w14:paraId="4AC4B06A" w14:textId="77777777" w:rsidR="009A432F" w:rsidRPr="00BE6B8C" w:rsidRDefault="009A432F" w:rsidP="00BE6B8C">
            <w:pPr>
              <w:jc w:val="both"/>
            </w:pPr>
          </w:p>
          <w:p w14:paraId="76B0B928" w14:textId="77777777" w:rsidR="009A432F" w:rsidRPr="00BE6B8C" w:rsidRDefault="009A432F" w:rsidP="00BE6B8C">
            <w:pPr>
              <w:jc w:val="both"/>
            </w:pPr>
          </w:p>
          <w:p w14:paraId="74BC2DE3" w14:textId="77777777" w:rsidR="009A432F" w:rsidRPr="00BE6B8C" w:rsidRDefault="009A432F" w:rsidP="00BE6B8C">
            <w:pPr>
              <w:jc w:val="both"/>
            </w:pPr>
          </w:p>
          <w:p w14:paraId="72394F21" w14:textId="77777777" w:rsidR="009A432F" w:rsidRPr="00BE6B8C" w:rsidRDefault="009A432F" w:rsidP="00BE6B8C">
            <w:pPr>
              <w:jc w:val="both"/>
            </w:pPr>
          </w:p>
          <w:p w14:paraId="1B9D93F6" w14:textId="77777777" w:rsidR="009A432F" w:rsidRPr="00BE6B8C" w:rsidRDefault="009A432F" w:rsidP="00BE6B8C">
            <w:pPr>
              <w:jc w:val="both"/>
            </w:pPr>
          </w:p>
          <w:p w14:paraId="0741F84C" w14:textId="77777777" w:rsidR="009A432F" w:rsidRPr="00BE6B8C" w:rsidRDefault="009A432F" w:rsidP="00BE6B8C">
            <w:pPr>
              <w:jc w:val="both"/>
            </w:pPr>
          </w:p>
          <w:p w14:paraId="08DF2A5E" w14:textId="77777777" w:rsidR="009A432F" w:rsidRPr="00BE6B8C" w:rsidRDefault="009A432F" w:rsidP="00BE6B8C">
            <w:pPr>
              <w:jc w:val="both"/>
            </w:pPr>
          </w:p>
          <w:p w14:paraId="746918CF" w14:textId="77777777" w:rsidR="009A432F" w:rsidRPr="00BE6B8C" w:rsidRDefault="009A432F" w:rsidP="00BE6B8C">
            <w:pPr>
              <w:jc w:val="both"/>
            </w:pPr>
          </w:p>
          <w:p w14:paraId="7EE9B408" w14:textId="77777777" w:rsidR="009A432F" w:rsidRPr="00BE6B8C" w:rsidRDefault="009A432F" w:rsidP="00BE6B8C">
            <w:pPr>
              <w:jc w:val="both"/>
            </w:pPr>
          </w:p>
          <w:p w14:paraId="66AC9A67" w14:textId="77777777" w:rsidR="009A432F" w:rsidRPr="00BE6B8C" w:rsidRDefault="009A432F" w:rsidP="00BE6B8C">
            <w:pPr>
              <w:jc w:val="both"/>
            </w:pPr>
          </w:p>
          <w:p w14:paraId="06AC593B" w14:textId="77777777" w:rsidR="009A432F" w:rsidRPr="00BE6B8C" w:rsidRDefault="009A432F" w:rsidP="00BE6B8C">
            <w:pPr>
              <w:jc w:val="both"/>
            </w:pPr>
          </w:p>
          <w:p w14:paraId="1CE7F0EC" w14:textId="77777777" w:rsidR="009A432F" w:rsidRPr="00BE6B8C" w:rsidRDefault="009A432F" w:rsidP="00BE6B8C">
            <w:pPr>
              <w:jc w:val="both"/>
            </w:pPr>
          </w:p>
          <w:p w14:paraId="091241F7" w14:textId="77777777" w:rsidR="009A432F" w:rsidRPr="00BE6B8C" w:rsidRDefault="009A432F" w:rsidP="00BE6B8C">
            <w:pPr>
              <w:jc w:val="both"/>
            </w:pPr>
          </w:p>
          <w:p w14:paraId="1C794500" w14:textId="77777777" w:rsidR="009A432F" w:rsidRPr="00BE6B8C" w:rsidRDefault="009A432F" w:rsidP="00BE6B8C">
            <w:pPr>
              <w:jc w:val="both"/>
            </w:pPr>
          </w:p>
          <w:p w14:paraId="7358C12D" w14:textId="77777777" w:rsidR="009A432F" w:rsidRPr="00BE6B8C" w:rsidRDefault="009A432F" w:rsidP="00BE6B8C">
            <w:pPr>
              <w:jc w:val="both"/>
            </w:pPr>
          </w:p>
          <w:p w14:paraId="2EF7D3AF" w14:textId="77777777" w:rsidR="009A432F" w:rsidRPr="00BE6B8C" w:rsidRDefault="009A432F" w:rsidP="00BE6B8C">
            <w:pPr>
              <w:jc w:val="both"/>
            </w:pPr>
          </w:p>
          <w:p w14:paraId="7480AF9F" w14:textId="77777777" w:rsidR="009A432F" w:rsidRPr="00BE6B8C" w:rsidRDefault="009A432F" w:rsidP="00BE6B8C">
            <w:pPr>
              <w:jc w:val="both"/>
            </w:pPr>
          </w:p>
          <w:p w14:paraId="07DE58CE" w14:textId="77777777" w:rsidR="009A432F" w:rsidRPr="00BE6B8C" w:rsidRDefault="009A432F" w:rsidP="00BE6B8C">
            <w:pPr>
              <w:jc w:val="both"/>
            </w:pPr>
          </w:p>
          <w:p w14:paraId="78019BFE" w14:textId="77777777" w:rsidR="009A432F" w:rsidRPr="00BE6B8C" w:rsidRDefault="009A432F" w:rsidP="00BE6B8C">
            <w:pPr>
              <w:jc w:val="both"/>
            </w:pPr>
          </w:p>
          <w:p w14:paraId="70CA5236" w14:textId="77777777" w:rsidR="009A432F" w:rsidRPr="00BE6B8C" w:rsidRDefault="009A432F" w:rsidP="00BE6B8C">
            <w:pPr>
              <w:jc w:val="both"/>
            </w:pPr>
          </w:p>
          <w:p w14:paraId="1CC0D409" w14:textId="77777777" w:rsidR="009A432F" w:rsidRPr="00BE6B8C" w:rsidRDefault="009A432F" w:rsidP="00BE6B8C">
            <w:pPr>
              <w:jc w:val="both"/>
            </w:pPr>
          </w:p>
          <w:p w14:paraId="2C931ED5" w14:textId="77777777" w:rsidR="009A432F" w:rsidRPr="00BE6B8C" w:rsidRDefault="009A432F" w:rsidP="00BE6B8C">
            <w:pPr>
              <w:jc w:val="both"/>
            </w:pPr>
          </w:p>
          <w:p w14:paraId="2312A8BF" w14:textId="77777777" w:rsidR="009A432F" w:rsidRPr="00BE6B8C" w:rsidRDefault="009A432F" w:rsidP="00BE6B8C">
            <w:pPr>
              <w:jc w:val="both"/>
            </w:pPr>
          </w:p>
          <w:p w14:paraId="1DE07949" w14:textId="77777777" w:rsidR="009A432F" w:rsidRPr="00BE6B8C" w:rsidRDefault="009A432F" w:rsidP="00BE6B8C">
            <w:pPr>
              <w:jc w:val="both"/>
            </w:pPr>
          </w:p>
          <w:p w14:paraId="4799AD73" w14:textId="77777777" w:rsidR="009A432F" w:rsidRPr="00BE6B8C" w:rsidRDefault="009A432F" w:rsidP="00BE6B8C">
            <w:pPr>
              <w:jc w:val="both"/>
            </w:pPr>
          </w:p>
          <w:p w14:paraId="6D9FFD00" w14:textId="77777777" w:rsidR="009A432F" w:rsidRPr="00BE6B8C" w:rsidRDefault="009A432F" w:rsidP="00BE6B8C">
            <w:pPr>
              <w:jc w:val="both"/>
            </w:pPr>
          </w:p>
          <w:p w14:paraId="2DB9DC3E" w14:textId="77777777" w:rsidR="009A432F" w:rsidRPr="00BE6B8C" w:rsidRDefault="009A432F" w:rsidP="00BE6B8C">
            <w:pPr>
              <w:jc w:val="both"/>
            </w:pPr>
          </w:p>
          <w:p w14:paraId="4E42F816" w14:textId="77777777" w:rsidR="009A432F" w:rsidRPr="00BE6B8C" w:rsidRDefault="009A432F" w:rsidP="00BE6B8C">
            <w:pPr>
              <w:jc w:val="both"/>
            </w:pPr>
          </w:p>
          <w:p w14:paraId="7A343B5B" w14:textId="77777777" w:rsidR="003B4703" w:rsidRPr="00BE6B8C" w:rsidRDefault="003B4703" w:rsidP="00BE6B8C">
            <w:pPr>
              <w:jc w:val="both"/>
            </w:pPr>
          </w:p>
          <w:p w14:paraId="40D60A52" w14:textId="77777777" w:rsidR="009A432F" w:rsidRPr="00BE6B8C" w:rsidRDefault="009A432F" w:rsidP="00BE6B8C">
            <w:pPr>
              <w:jc w:val="both"/>
            </w:pPr>
          </w:p>
          <w:p w14:paraId="6E56B3CB" w14:textId="77777777" w:rsidR="001B50F0" w:rsidRPr="00BE6B8C" w:rsidRDefault="00346920" w:rsidP="00BE6B8C">
            <w:pPr>
              <w:jc w:val="both"/>
            </w:pPr>
            <w:r w:rsidRPr="00BE6B8C">
              <w:t xml:space="preserve">Precizēts 3. punkts sadaļā “Studiju un studējošo kreditēšanas nepieciešamība”: </w:t>
            </w:r>
          </w:p>
          <w:p w14:paraId="0F3C61F1" w14:textId="77777777" w:rsidR="001B50F0" w:rsidRPr="00BE6B8C" w:rsidRDefault="001B50F0" w:rsidP="00BE6B8C">
            <w:pPr>
              <w:jc w:val="both"/>
            </w:pPr>
          </w:p>
          <w:p w14:paraId="1A86234F" w14:textId="77777777" w:rsidR="001B50F0" w:rsidRPr="00BE6B8C" w:rsidRDefault="001B50F0" w:rsidP="00BE6B8C">
            <w:pPr>
              <w:jc w:val="both"/>
            </w:pPr>
            <w:r w:rsidRPr="00BE6B8C">
              <w:t>3)</w:t>
            </w:r>
            <w:r w:rsidRPr="00BE6B8C">
              <w:tab/>
              <w:t xml:space="preserve">sistēmas, kurās visi pirmā cikla studējošie sedz </w:t>
            </w:r>
            <w:r w:rsidRPr="00BE6B8C">
              <w:lastRenderedPageBreak/>
              <w:t xml:space="preserve">daļu no studiju izmaksām. Šis anglosakšu modelis kļūs mazāk tipisks Eiropas Savienībai līdz ar Lielbritānijas izstāšanos. Tāds ir Lielbritānijā, izņemot Skotiju, kā arī Portugālē, Luksemburgā un Nīderlandē. Lielbritānijā (izņemot Skotiju) studējošie sedz ievērojamu daļu no studiju izmaksām, t.sk. ar kredītu sistēmas starpniecību (līdz 9 000 britu mārciņām gadā), tikmēr citās šajā apakšpunktā minētajās valstīs studējošie veic līdzmaksājumu par studijām. Pašmāju un citu ES valstu studenti maksā </w:t>
            </w:r>
            <w:r w:rsidR="009A432F" w:rsidRPr="00BE6B8C">
              <w:t>orientējoši</w:t>
            </w:r>
            <w:r w:rsidRPr="00BE6B8C">
              <w:t xml:space="preserve"> 1 000 euro līdzmaksājumu gadā par bakalaura studijām Portugālē; Nīderlandē – </w:t>
            </w:r>
            <w:r w:rsidR="009A432F" w:rsidRPr="00BE6B8C">
              <w:t>orientējoši</w:t>
            </w:r>
            <w:r w:rsidRPr="00BE6B8C">
              <w:t xml:space="preserve"> 2 000 euro.      </w:t>
            </w:r>
          </w:p>
        </w:tc>
      </w:tr>
      <w:tr w:rsidR="000F463B" w:rsidRPr="001801C2" w14:paraId="1E8C743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1C73452" w14:textId="77777777" w:rsidR="000F463B" w:rsidRPr="001801C2" w:rsidRDefault="000F463B"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22EF353" w14:textId="13EBE7FD" w:rsidR="000F463B" w:rsidRPr="00DE55CB" w:rsidRDefault="00DE55CB" w:rsidP="00552933">
            <w:r>
              <w:t>P</w:t>
            </w:r>
            <w:r w:rsidR="00B65C52" w:rsidRPr="00DE55CB">
              <w:t>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E398034" w14:textId="77777777" w:rsidR="00603CC6" w:rsidRDefault="00603CC6" w:rsidP="00603CC6">
            <w:pPr>
              <w:widowControl w:val="0"/>
              <w:jc w:val="both"/>
              <w:rPr>
                <w:rFonts w:eastAsia="Calibri"/>
                <w:lang w:eastAsia="en-US"/>
              </w:rPr>
            </w:pPr>
            <w:r w:rsidRPr="00603CC6">
              <w:rPr>
                <w:rFonts w:eastAsia="Calibri"/>
                <w:b/>
                <w:lang w:eastAsia="en-US"/>
              </w:rPr>
              <w:t xml:space="preserve">Latvijas Darba devēju konfederācija </w:t>
            </w:r>
            <w:r w:rsidR="00EE2A9A">
              <w:rPr>
                <w:rFonts w:eastAsia="Calibri"/>
                <w:b/>
                <w:lang w:eastAsia="en-US"/>
              </w:rPr>
              <w:t>(22.05.2019. vēstule</w:t>
            </w:r>
            <w:r w:rsidR="00EE2A9A" w:rsidRPr="00EE2A9A">
              <w:rPr>
                <w:rFonts w:eastAsia="Calibri"/>
                <w:b/>
                <w:lang w:eastAsia="en-US"/>
              </w:rPr>
              <w:t xml:space="preserve"> Nr.2-10/17</w:t>
            </w:r>
            <w:r w:rsidR="00EE2A9A">
              <w:rPr>
                <w:rFonts w:eastAsia="Calibri"/>
                <w:b/>
                <w:lang w:eastAsia="en-US"/>
              </w:rPr>
              <w:t>):</w:t>
            </w:r>
          </w:p>
          <w:p w14:paraId="7EF84EE9" w14:textId="77777777" w:rsidR="00240995" w:rsidRDefault="00603CC6" w:rsidP="00603CC6">
            <w:pPr>
              <w:widowControl w:val="0"/>
              <w:jc w:val="both"/>
              <w:rPr>
                <w:rFonts w:eastAsia="Calibri"/>
                <w:lang w:eastAsia="en-US"/>
              </w:rPr>
            </w:pPr>
            <w:r w:rsidRPr="00603CC6">
              <w:rPr>
                <w:rFonts w:eastAsia="Calibri"/>
                <w:lang w:eastAsia="en-US"/>
              </w:rPr>
              <w:t>LDD</w:t>
            </w:r>
            <w:r>
              <w:rPr>
                <w:rFonts w:eastAsia="Calibri"/>
                <w:lang w:eastAsia="en-US"/>
              </w:rPr>
              <w:t>K</w:t>
            </w:r>
            <w:r w:rsidRPr="00603CC6">
              <w:rPr>
                <w:rFonts w:eastAsia="Calibri"/>
                <w:lang w:eastAsia="en-US"/>
              </w:rPr>
              <w:t xml:space="preserve"> ir izskatījusi Izglītības un zinātnes ministrijas (IZM) sagatavoto konceptuālo </w:t>
            </w:r>
            <w:r w:rsidRPr="00603CC6">
              <w:rPr>
                <w:rFonts w:eastAsia="Calibri"/>
                <w:lang w:eastAsia="en-US"/>
              </w:rPr>
              <w:lastRenderedPageBreak/>
              <w:t xml:space="preserve">ziņojumu "Studiju un studējošo kreditēšanas no kredītiestāžu līdzekļiem ar valsts vārdā sniegto galvojumu modeļa maiņu" (turpmāk – ziņojums) un informē, ka </w:t>
            </w:r>
            <w:r w:rsidRPr="009A432F">
              <w:rPr>
                <w:rFonts w:eastAsia="Calibri"/>
                <w:b/>
                <w:lang w:eastAsia="en-US"/>
              </w:rPr>
              <w:t>saskaņo to bez iebildumiem.</w:t>
            </w:r>
            <w:r w:rsidRPr="00603CC6">
              <w:rPr>
                <w:rFonts w:eastAsia="Calibri"/>
                <w:lang w:eastAsia="en-US"/>
              </w:rPr>
              <w:t xml:space="preserve"> No ziņojumā piedāvātajiem jaunā studiju un studējošo kreditēšanas modeļa ieviešanas variantiem LDDK atbalsta </w:t>
            </w:r>
            <w:r w:rsidRPr="00B65C52">
              <w:rPr>
                <w:rFonts w:eastAsia="Calibri"/>
                <w:b/>
                <w:lang w:eastAsia="en-US"/>
              </w:rPr>
              <w:t>4.variantu</w:t>
            </w:r>
            <w:r w:rsidRPr="00603CC6">
              <w:rPr>
                <w:rFonts w:eastAsia="Calibri"/>
                <w:lang w:eastAsia="en-US"/>
              </w:rPr>
              <w:t xml:space="preserve"> - jaunā modeļa ieviešanu, izsniedzot 2000 jaunu kredītu gadā, sākot ar 2020. gadu, un turpinot kredītu dzēšanu bērnu dzimšanas gadījumos, kā arī kredītu dzēšanu par darbu noteiktajās jomās vidēji 360 jauno kredītu gadā, kuriem tiek uzsākta dzēšana. </w:t>
            </w:r>
          </w:p>
          <w:p w14:paraId="16F842F3" w14:textId="77777777" w:rsidR="00603CC6" w:rsidRPr="00603CC6" w:rsidRDefault="00603CC6" w:rsidP="00603CC6">
            <w:pPr>
              <w:widowControl w:val="0"/>
              <w:jc w:val="both"/>
              <w:rPr>
                <w:rFonts w:eastAsia="Calibri"/>
                <w:lang w:eastAsia="en-US"/>
              </w:rPr>
            </w:pPr>
            <w:r w:rsidRPr="00603CC6">
              <w:rPr>
                <w:rFonts w:eastAsia="Calibri"/>
                <w:lang w:eastAsia="en-US"/>
              </w:rPr>
              <w:t xml:space="preserve">Vienlaikus aicinām izvērtēt iespēju </w:t>
            </w:r>
            <w:r w:rsidRPr="00B73F46">
              <w:rPr>
                <w:rFonts w:eastAsia="Calibri"/>
                <w:lang w:eastAsia="en-US"/>
              </w:rPr>
              <w:t>dzēst studiju kredītus doktorantūrā studējošajiem,</w:t>
            </w:r>
            <w:r w:rsidRPr="00603CC6">
              <w:rPr>
                <w:rFonts w:eastAsia="Calibri"/>
                <w:lang w:eastAsia="en-US"/>
              </w:rPr>
              <w:t xml:space="preserve"> ja doktora disertācija tiek savlaicīgi aizstāvēta, lai veicinātu lielāku doktorantūrā studējošo un doktora grādu ieguvušo skaitu. </w:t>
            </w:r>
          </w:p>
          <w:p w14:paraId="4D2D12F5" w14:textId="77777777" w:rsidR="000F463B" w:rsidRPr="003D7B8F" w:rsidRDefault="00603CC6" w:rsidP="004F0851">
            <w:pPr>
              <w:widowControl w:val="0"/>
              <w:jc w:val="both"/>
              <w:rPr>
                <w:rFonts w:eastAsia="Calibri"/>
                <w:b/>
                <w:lang w:eastAsia="en-US"/>
              </w:rPr>
            </w:pPr>
            <w:r w:rsidRPr="00603CC6">
              <w:rPr>
                <w:rFonts w:eastAsia="Calibri"/>
                <w:lang w:eastAsia="en-US"/>
              </w:rPr>
              <w:t xml:space="preserve">Vienlaikus arī norādām, ka  </w:t>
            </w:r>
            <w:r w:rsidRPr="004F5527">
              <w:rPr>
                <w:rFonts w:eastAsia="Calibri"/>
                <w:lang w:eastAsia="en-US"/>
              </w:rPr>
              <w:t xml:space="preserve">neviens no piedāvātajiem variantiem nerisina ne augstākās izglītības finansēšanas apjoma, ne resursu racionālas izmantošanas </w:t>
            </w:r>
            <w:r w:rsidRPr="004F5527">
              <w:rPr>
                <w:rFonts w:eastAsia="Calibri"/>
                <w:lang w:eastAsia="en-US"/>
              </w:rPr>
              <w:lastRenderedPageBreak/>
              <w:t>jautājumus,</w:t>
            </w:r>
            <w:r w:rsidRPr="00603CC6">
              <w:rPr>
                <w:rFonts w:eastAsia="Calibri"/>
                <w:lang w:eastAsia="en-US"/>
              </w:rPr>
              <w:t xml:space="preserve"> bet pārdomāta studiju un studējošā kreditēšanas sistēma lielā mērā to varētu darīt. </w:t>
            </w:r>
            <w:r w:rsidRPr="004F5527">
              <w:rPr>
                <w:rFonts w:eastAsia="Calibri"/>
                <w:lang w:eastAsia="en-US"/>
              </w:rPr>
              <w:t>Bažas rada neskaidrība par to, kā tiek nodrošināta atdeve no sabiedrības līdzekļu izlietojuma augstākajā izglītībā. Piemēram, saskaņā ar IZM datiem, 523 jeb 2/3 no fizikas skolotājiem</w:t>
            </w:r>
            <w:r w:rsidRPr="00603CC6">
              <w:rPr>
                <w:rFonts w:eastAsia="Calibri"/>
                <w:lang w:eastAsia="en-US"/>
              </w:rPr>
              <w:t xml:space="preserve"> šobrīd ir vecāki par 50 gadiem, kas nozīmē, ka viņu vienmērīgas pensionēšanās gadījumā nākamo 15 gadu laikā ik gadu darbu skolās beigs 35 fizikas skolotāji. Vienlaikus augstskolas absolvē ievērojami mazāk fizikas skolotāju, kas rada fizikas skolotāju nepietiekamību un attiecīgi negatīvi ietekmē pamata un vidējo izglītību, un, ilgtermiņā - tautsaimniecībā pieprasītu speciālistu pietiekamību un tautsaimniecības attīstību.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53D2110" w14:textId="77777777" w:rsidR="00033ACD" w:rsidRPr="00033ACD" w:rsidRDefault="00033ACD" w:rsidP="00033ACD">
            <w:pPr>
              <w:ind w:firstLine="284"/>
              <w:jc w:val="center"/>
              <w:rPr>
                <w:b/>
              </w:rPr>
            </w:pPr>
            <w:r w:rsidRPr="00033ACD">
              <w:rPr>
                <w:b/>
              </w:rPr>
              <w:lastRenderedPageBreak/>
              <w:t>Ņemts vērā</w:t>
            </w:r>
          </w:p>
          <w:p w14:paraId="252A3769" w14:textId="77777777" w:rsidR="000F463B" w:rsidRDefault="00590036" w:rsidP="00552933">
            <w:pPr>
              <w:ind w:firstLine="284"/>
              <w:jc w:val="both"/>
            </w:pPr>
            <w:r w:rsidRPr="00590036">
              <w:t xml:space="preserve">Ministrija ir iekļāvusi konceptuālajā ziņojumā rīcības variantu, kas paredz turpināt kredītu dzēšanu un turpmākā rīcība ir atkarīga no Ministru kabineta </w:t>
            </w:r>
            <w:r w:rsidRPr="00590036">
              <w:lastRenderedPageBreak/>
              <w:t>atbalstītā rīcības varianta un lēmumiem budžeta veidošanas procesā.</w:t>
            </w:r>
          </w:p>
          <w:p w14:paraId="5F9C6D64" w14:textId="77777777" w:rsidR="00590036" w:rsidRDefault="00B73F46" w:rsidP="00552933">
            <w:pPr>
              <w:ind w:firstLine="284"/>
              <w:jc w:val="both"/>
            </w:pPr>
            <w:r>
              <w:t xml:space="preserve">Ministrija piekrīt, ka būtu nepieciešams lielāks doktora grādu ieguvušo skaits, taču ministrijas ieskatā tas būtu paveicams ar lielāku doktorantūras budžeta vietu skaitu atbilstoši darba tirgus prognozēm un akadēmiskā personāla atjaunotnes vajadzībām. </w:t>
            </w:r>
            <w:r w:rsidR="004F5527" w:rsidRPr="004F5527">
              <w:t xml:space="preserve">Jautājums tiks risināts, pilnveidojot doktora līmeņa studiju un promocijas sistēmu. Saskaņā ar ministrijas 27.04.2019. rīkojumu Nr. 1-2e/19/125 “Par doktora līmeņa studiju un promocijas sistēmas pilnveides darba grupas izveidi” ir uzsākts darbs pie priekšlikumu izstrādes jaunam doktora līmeņu studiju un promocijas sistēmas modelim, ņemot vērā Pasaules Bankas rekomendācijas ziņojumos “Doktora līmeņa studijas un promocijas sistēma Latvijā” (2016) un “Akadēmiskā karjera Latvijā: ieteikumi” (2018). Darba grupas uzdevums ir līdz 2019. gada beigām izstrādāt priekšlikumus jaunam modelim, piedalīties informatīvā ziņojuma sagatavošanā, kā arī izstrādāt priekšlikumus grozījumiem saistītajos normatīvajos aktos. Strādājot pie nepieciešamajiem sistēmas uzlabojumiem, darba grupa izstrādās priekšlikumus arī doktorantūras finansēšanas pilnveidei, t. sk., </w:t>
            </w:r>
            <w:r w:rsidR="00DD3AD6">
              <w:t>piedāvās risinājumus</w:t>
            </w:r>
            <w:r w:rsidR="004F5527" w:rsidRPr="004F5527">
              <w:t xml:space="preserve"> doktorantu stipendiju </w:t>
            </w:r>
            <w:r w:rsidR="004F5527" w:rsidRPr="004F5527">
              <w:lastRenderedPageBreak/>
              <w:t>palielināšana</w:t>
            </w:r>
            <w:r w:rsidR="00DD3AD6">
              <w:t>i</w:t>
            </w:r>
            <w:r w:rsidR="004F5527" w:rsidRPr="004F5527">
              <w:t>. Darba grupā ietilpst pārstāvji no ministrijas, lielākajām universitātēm, Latvijas Zinātnes padomes, Latvijas Jauno zinātnieku apvienības, Rektoru padomes un Latvijas Studentu apvienības.</w:t>
            </w:r>
          </w:p>
          <w:p w14:paraId="0F1D82A7" w14:textId="77777777" w:rsidR="00590036" w:rsidRDefault="0040195E" w:rsidP="00552933">
            <w:pPr>
              <w:ind w:firstLine="284"/>
              <w:jc w:val="both"/>
            </w:pPr>
            <w:r>
              <w:t xml:space="preserve">Atdeve </w:t>
            </w:r>
            <w:r w:rsidRPr="004F5527">
              <w:rPr>
                <w:rFonts w:eastAsia="Calibri"/>
                <w:lang w:eastAsia="en-US"/>
              </w:rPr>
              <w:t>no sabiedrības līdzekļu izlietojuma augstākajā izglītībā</w:t>
            </w:r>
            <w:r>
              <w:t xml:space="preserve"> ir vērojama t.sk. faktā, ka 70% no augstākās izglītības absolventiem pelna vairāk nekā vidējo atalgojumu valstī un attiecīgi ir produktīvāki un nomaksā vairāk nodokļu.</w:t>
            </w:r>
            <w:r w:rsidR="00DD3AD6">
              <w:t xml:space="preserve"> Šobrīd pirmoreiz notiek absolventu datu nodošana Centrālajai Statistikas pārvaldei un 2020. gada sākumā pirmoreiz būs pieejami absolventu darba gaitu monitoringa dati (nodarbinātība, atalgojums), kas ļaus izdarīt detalizētākus analītiskus secinājumus par atdevi augstskolu griezumā un studiju programmu griezumā.</w:t>
            </w:r>
          </w:p>
          <w:p w14:paraId="7A29F4AA" w14:textId="77777777" w:rsidR="0040195E" w:rsidRPr="00383ECB" w:rsidRDefault="0040195E" w:rsidP="005D45F1">
            <w:pPr>
              <w:ind w:firstLine="284"/>
              <w:jc w:val="both"/>
            </w:pPr>
            <w:r>
              <w:t>Lai atrisinātu jautājumu par s</w:t>
            </w:r>
            <w:r w:rsidR="00590036">
              <w:t>kolotājiem</w:t>
            </w:r>
            <w:r>
              <w:t xml:space="preserve">, ministrija ir ierosinājusi un ievieš gan skolu tīkla reformas, gan pedagogu </w:t>
            </w:r>
            <w:r w:rsidR="00DD3AD6">
              <w:t>atalgojuma reformas</w:t>
            </w:r>
            <w:r>
              <w:t>.</w:t>
            </w:r>
            <w:r w:rsidR="00DD3AD6">
              <w:t xml:space="preserve"> Tas nav šī ziņojuma mērķis.  </w:t>
            </w:r>
          </w:p>
        </w:tc>
        <w:tc>
          <w:tcPr>
            <w:tcW w:w="2986" w:type="dxa"/>
            <w:tcBorders>
              <w:top w:val="single" w:sz="4" w:space="0" w:color="auto"/>
              <w:left w:val="single" w:sz="4" w:space="0" w:color="auto"/>
              <w:bottom w:val="single" w:sz="4" w:space="0" w:color="auto"/>
            </w:tcBorders>
          </w:tcPr>
          <w:p w14:paraId="369C2035" w14:textId="28D79563" w:rsidR="000F463B" w:rsidRPr="00BE6B8C" w:rsidRDefault="00DE55CB" w:rsidP="00BE6B8C">
            <w:pPr>
              <w:jc w:val="both"/>
            </w:pPr>
            <w:r>
              <w:lastRenderedPageBreak/>
              <w:t>P</w:t>
            </w:r>
            <w:r w:rsidRPr="00DE55CB">
              <w:t>rojekts</w:t>
            </w:r>
          </w:p>
        </w:tc>
      </w:tr>
      <w:tr w:rsidR="00925C60" w:rsidRPr="001801C2" w14:paraId="1775A888"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D53F99E" w14:textId="77777777" w:rsidR="00925C60" w:rsidRPr="001801C2" w:rsidRDefault="00925C60"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699BD160" w14:textId="77777777" w:rsidR="00925C60" w:rsidRPr="0075280C" w:rsidRDefault="00FC460A" w:rsidP="00552933">
            <w:r w:rsidRPr="0075280C">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9BC4BCF" w14:textId="77777777" w:rsidR="00925C60" w:rsidRPr="009A432F" w:rsidRDefault="00925C60" w:rsidP="00925C60">
            <w:pPr>
              <w:widowControl w:val="0"/>
              <w:jc w:val="both"/>
              <w:rPr>
                <w:rFonts w:eastAsia="Calibri"/>
                <w:b/>
                <w:lang w:eastAsia="en-US"/>
              </w:rPr>
            </w:pPr>
            <w:r w:rsidRPr="009A432F">
              <w:rPr>
                <w:rFonts w:eastAsia="Calibri"/>
                <w:b/>
                <w:lang w:eastAsia="en-US"/>
              </w:rPr>
              <w:t>Labklājības ministrija (</w:t>
            </w:r>
            <w:r w:rsidR="006E6B26" w:rsidRPr="009A432F">
              <w:rPr>
                <w:rFonts w:eastAsia="Calibri"/>
                <w:b/>
                <w:lang w:eastAsia="en-US"/>
              </w:rPr>
              <w:t>24.05.2019. vēstule Nr. 40-1-04/963</w:t>
            </w:r>
            <w:r w:rsidRPr="009A432F">
              <w:rPr>
                <w:rFonts w:eastAsia="Calibri"/>
                <w:b/>
                <w:lang w:eastAsia="en-US"/>
              </w:rPr>
              <w:t xml:space="preserve">): </w:t>
            </w:r>
          </w:p>
          <w:p w14:paraId="67B5084F" w14:textId="77777777" w:rsidR="00925C60" w:rsidRPr="009A432F" w:rsidRDefault="00925C60" w:rsidP="00925C60">
            <w:pPr>
              <w:widowControl w:val="0"/>
              <w:jc w:val="both"/>
              <w:rPr>
                <w:rFonts w:eastAsia="Calibri"/>
                <w:lang w:eastAsia="en-US"/>
              </w:rPr>
            </w:pPr>
            <w:r w:rsidRPr="009A432F">
              <w:rPr>
                <w:rFonts w:eastAsia="Calibri"/>
                <w:lang w:eastAsia="en-US"/>
              </w:rPr>
              <w:t>LM</w:t>
            </w:r>
            <w:r w:rsidRPr="009A432F">
              <w:rPr>
                <w:rFonts w:eastAsia="Calibri"/>
                <w:b/>
                <w:lang w:eastAsia="en-US"/>
              </w:rPr>
              <w:t xml:space="preserve"> </w:t>
            </w:r>
            <w:r w:rsidRPr="009A432F">
              <w:rPr>
                <w:rFonts w:eastAsia="Calibri"/>
                <w:lang w:eastAsia="en-US"/>
              </w:rPr>
              <w:t xml:space="preserve">konceptuāli atbalsta ziņojuma projektu un atbalsta ziņojuma projekta ceturto rīcības variantu, kurā paredzēta </w:t>
            </w:r>
            <w:r w:rsidRPr="009A432F">
              <w:rPr>
                <w:rFonts w:eastAsia="Calibri"/>
                <w:lang w:eastAsia="en-US"/>
              </w:rPr>
              <w:lastRenderedPageBreak/>
              <w:t>kredīta dzēšana bērna piedzimšanas, darba noteiktās jomās un “Altum” portfeļgarantijā ietvertajos (nāves un invaliditātes) gadījumos, vienlaikus izsakot priekšlikumus minētā varianta papildināšanai.</w:t>
            </w:r>
          </w:p>
          <w:p w14:paraId="270C9CD0" w14:textId="77777777" w:rsidR="00925C60" w:rsidRPr="009A432F" w:rsidRDefault="00925C60" w:rsidP="00925C60">
            <w:pPr>
              <w:widowControl w:val="0"/>
              <w:jc w:val="both"/>
              <w:rPr>
                <w:rFonts w:eastAsia="Calibri"/>
                <w:lang w:eastAsia="en-US"/>
              </w:rPr>
            </w:pPr>
            <w:r w:rsidRPr="009A432F">
              <w:rPr>
                <w:rFonts w:eastAsia="Calibri"/>
                <w:lang w:eastAsia="en-US"/>
              </w:rPr>
              <w:tab/>
              <w:t xml:space="preserve">Izglītības un zinātnes ministrija ziņojuma projektā min, ka studiju un studējošā kreditēšana ir viens no augstākās izglītības pieejamības elementiem, taču jaunais kreditēšanas modelis jāveido Izglītības un zinātnes ministrijas budžeta ietvaros, kas ir visai ierobežots, tāpēc nav iespējams kreditēt visus, kuriem līdz šim bija tiesības pieprasīt kredītu dzēšanu. </w:t>
            </w:r>
          </w:p>
          <w:p w14:paraId="29E8906F" w14:textId="77777777" w:rsidR="00925C60" w:rsidRPr="009A432F" w:rsidRDefault="00925C60" w:rsidP="00925C60">
            <w:pPr>
              <w:widowControl w:val="0"/>
              <w:jc w:val="both"/>
              <w:rPr>
                <w:rFonts w:eastAsia="Calibri"/>
                <w:lang w:eastAsia="en-US"/>
              </w:rPr>
            </w:pPr>
            <w:r w:rsidRPr="009A432F">
              <w:rPr>
                <w:rFonts w:eastAsia="Calibri"/>
                <w:lang w:eastAsia="en-US"/>
              </w:rPr>
              <w:tab/>
              <w:t xml:space="preserve">Labklājības ministrija piekrīt, ka jāturpina studiju vai studējošā kredīta dzēšana, ja pēc studiju beigšanas turpina darbu noteiktās jomās, tādējādi motivējot jaunos speciālistus apgūt profesijas, kurās trūkst kvalificēti darbinieki. Tāpat būtu jāturpina studiju vai studējošā kredīta dzēšana bērna piedzimšanas gadījumā ar pašreiz esošajiem nosacījumiem (30% no kredīta </w:t>
            </w:r>
            <w:r w:rsidRPr="009A432F">
              <w:rPr>
                <w:rFonts w:eastAsia="Calibri"/>
                <w:lang w:eastAsia="en-US"/>
              </w:rPr>
              <w:lastRenderedPageBreak/>
              <w:t xml:space="preserve">pamatsummas atlikuma). Tomēr Labklājības ministrija ierosina neturpināt studējošā kredīta dzēšanu personām ar I un II invaliditātes grupu, jo personām ar invaliditāti valsts jau patlaban sniedz monetāru palīdzību dažādu maksājumu un atvieglojumu veidā, piemēram, sociālā nodrošinājuma pabalsts, kuru saņem ikviena persona ar invaliditāti, dažādos apmēros atkarībā no invaliditātes smaguma pakāpes, transporta pabalsts 79,68 euro par katru sešu mēnešu periodu (personām ar invaliditāti, kurām ir apgrūtināta pārvietošanās), īpašas kopšanas pabalsts 213,43 euro/mēn. (personām ar invaliditāti, kurām ir medicīniskās indikācijas īpašas kopšanas nepieciešamībai; no šī gada 1.jūlija pabalsta apmērs būs 313,43 euro/mēn., ja invaliditātes cēlonis ir slimība no bērnības), atbrīvojums no sabiedriskā transporta maksas starppilsētu maršrutos un citi atvieglojumi. Papildu jau minētajam valsts sniegtajam atbalstam arī daudzas pašvaldības ir ieviesušas </w:t>
            </w:r>
            <w:r w:rsidRPr="009A432F">
              <w:rPr>
                <w:rFonts w:eastAsia="Calibri"/>
                <w:lang w:eastAsia="en-US"/>
              </w:rPr>
              <w:lastRenderedPageBreak/>
              <w:t xml:space="preserve">atvieglojums šai mērķa grupai, piemēram, atbrīvojums no pilsētas sabiedriskā transporta maksas, samazināts nekustamā īpašuma nodokļa maksājums utml. Pamatojoties uz iepriekš minēto, Labklājības ministrija uzskata, ka valsts savu iespēju robežās jau sniedz atbalstu personām ar invaliditāti ikdienas vajadzību nodrošināšanai, tāpēc turpmāk ierosina atteikties no studējošā kredīta dzēšanas personām ar invaliditāti.  </w:t>
            </w:r>
          </w:p>
          <w:p w14:paraId="59F9C6FE" w14:textId="77777777" w:rsidR="00925C60" w:rsidRPr="009A432F" w:rsidRDefault="00925C60" w:rsidP="00925C60">
            <w:pPr>
              <w:widowControl w:val="0"/>
              <w:jc w:val="both"/>
              <w:rPr>
                <w:rFonts w:eastAsia="Calibri"/>
                <w:lang w:eastAsia="en-US"/>
              </w:rPr>
            </w:pPr>
            <w:r w:rsidRPr="009A432F">
              <w:rPr>
                <w:rFonts w:eastAsia="Calibri"/>
                <w:lang w:eastAsia="en-US"/>
              </w:rPr>
              <w:tab/>
              <w:t xml:space="preserve">Ikvienam studentam, tai skaitā ar invaliditāti, būtu jāizvēlas studiju virziens atbilstoši savām interesēm un spējām, lai sekmīgi pabeidzot studiju kursu, varētu turpināt darbu izvēlētajā jomā un nopelnīt iztikas līdzekļus sevis un savas ģimenes uzturēšanai. Tāpēc Labklājības ministrija ierosina turpmāk personām ar invaliditāti dzēst tikai daļu no studiju kredīta pamatsummas, piemēram, I invaliditātes grupas gadījumā 30% apmērā no kredīta pamatsummas atlikuma, bet II invaliditātes grupas gadījumā 20% apmērā no kredīta pamatsummas, </w:t>
            </w:r>
            <w:r w:rsidRPr="009A432F">
              <w:rPr>
                <w:rFonts w:eastAsia="Calibri"/>
                <w:lang w:eastAsia="en-US"/>
              </w:rPr>
              <w:lastRenderedPageBreak/>
              <w:t>turklāt tikai vienam studiju kredītam. Tāpat būtu nepieciešams atrunāt, ka, izpildoties vairākiem kredīta dzēšanas nosacījumiem, (piemēram, turpina darbu noteiktā jomā, piedzimst bērns vai ir invaliditāte), personai piemēro tikai vienu no kredīta dzēšanas nosacījumiem, personai labvēlīgāko.</w:t>
            </w:r>
          </w:p>
          <w:p w14:paraId="5E53E1DA" w14:textId="77777777" w:rsidR="00925C60" w:rsidRPr="009A432F" w:rsidRDefault="00925C60" w:rsidP="00925C60">
            <w:pPr>
              <w:widowControl w:val="0"/>
              <w:jc w:val="both"/>
              <w:rPr>
                <w:rFonts w:eastAsia="Calibri"/>
                <w:lang w:eastAsia="en-US"/>
              </w:rPr>
            </w:pPr>
            <w:r w:rsidRPr="009A432F">
              <w:rPr>
                <w:rFonts w:eastAsia="Calibri"/>
                <w:lang w:eastAsia="en-US"/>
              </w:rPr>
              <w:tab/>
              <w:t xml:space="preserve">Saskaņā ar Ministru kabineta 2012.gada 18.decembra noteikumu Nr.911 „Valsts sociālās apdrošināšanas aģentūras nolikums” Valsts sociālās apdrošināšanas aģentūra (turpmāk – VSAA) ir labklājības ministra pārraudzībā esoša tiešās pārvaldes iestāde, kuras darbības mērķis ir īstenot valsts politiku sociālās apdrošināšanas un valsts sociālo pabalstu jomā, kā arī administrēt valsts izdienas pensijas un valsts fondēto pensiju shēmu. Savukārt kredīti un to dzēšana nav VSAA raksturīga funkcija, kā rezultātā Labklājības ministrija iebilst, ka VSAA administrētu studiju kredītu dzēšanu, tādejādi lūdzam svītrot rīkojuma </w:t>
            </w:r>
            <w:r w:rsidRPr="009A432F">
              <w:rPr>
                <w:rFonts w:eastAsia="Calibri"/>
                <w:lang w:eastAsia="en-US"/>
              </w:rPr>
              <w:lastRenderedPageBreak/>
              <w:t xml:space="preserve">projekta 5.punktu. </w:t>
            </w:r>
          </w:p>
          <w:p w14:paraId="530C5165" w14:textId="77777777" w:rsidR="00925C60" w:rsidRDefault="00925C60" w:rsidP="00925C60">
            <w:pPr>
              <w:widowControl w:val="0"/>
              <w:jc w:val="both"/>
              <w:rPr>
                <w:rFonts w:eastAsia="Calibri"/>
                <w:lang w:eastAsia="en-US"/>
              </w:rPr>
            </w:pPr>
            <w:r w:rsidRPr="009A432F">
              <w:rPr>
                <w:rFonts w:eastAsia="Calibri"/>
                <w:lang w:eastAsia="en-US"/>
              </w:rPr>
              <w:tab/>
              <w:t>Atbilstoši apstiprināšanai izvirzītajam variantam lūdzam precizēt rīkojuma projekta 2.punktu.</w:t>
            </w:r>
          </w:p>
          <w:p w14:paraId="09027EE6" w14:textId="77777777" w:rsidR="0075280C" w:rsidRDefault="0075280C" w:rsidP="00925C60">
            <w:pPr>
              <w:widowControl w:val="0"/>
              <w:jc w:val="both"/>
              <w:rPr>
                <w:rFonts w:eastAsia="Calibri"/>
                <w:lang w:eastAsia="en-US"/>
              </w:rPr>
            </w:pPr>
          </w:p>
          <w:p w14:paraId="3CC98193" w14:textId="44352F42" w:rsidR="0075280C" w:rsidRPr="00EC2062" w:rsidRDefault="0075280C" w:rsidP="0075280C">
            <w:pPr>
              <w:widowControl w:val="0"/>
              <w:jc w:val="both"/>
              <w:rPr>
                <w:rFonts w:eastAsia="Calibri"/>
                <w:b/>
                <w:lang w:eastAsia="en-US"/>
              </w:rPr>
            </w:pPr>
            <w:r w:rsidRPr="00EC2062">
              <w:rPr>
                <w:rFonts w:eastAsia="Calibri"/>
                <w:b/>
                <w:lang w:eastAsia="en-US"/>
              </w:rPr>
              <w:t>Labklājības ministrija (25.06.2019. atzinums nr. A-21-09/63):</w:t>
            </w:r>
          </w:p>
          <w:p w14:paraId="1A9B6A6F" w14:textId="1D00A513" w:rsidR="00925C60" w:rsidRPr="0075280C" w:rsidRDefault="0075280C" w:rsidP="0075280C">
            <w:pPr>
              <w:widowControl w:val="0"/>
              <w:jc w:val="both"/>
              <w:rPr>
                <w:rFonts w:eastAsia="Calibri"/>
                <w:lang w:eastAsia="en-US"/>
              </w:rPr>
            </w:pPr>
            <w:r w:rsidRPr="00EC2062">
              <w:rPr>
                <w:rFonts w:eastAsia="Calibri"/>
                <w:lang w:eastAsia="en-US"/>
              </w:rPr>
              <w:t>Labklājības ministrija saskaņo ziņojuma projektu un protokollēmuma projektu bez iebildumiem un priekšlikumiem.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74ED686" w14:textId="77777777" w:rsidR="00033ACD" w:rsidRPr="009A432F" w:rsidRDefault="00033ACD" w:rsidP="00033ACD">
            <w:pPr>
              <w:ind w:firstLine="284"/>
              <w:jc w:val="center"/>
              <w:rPr>
                <w:b/>
              </w:rPr>
            </w:pPr>
            <w:r w:rsidRPr="009A432F">
              <w:rPr>
                <w:b/>
              </w:rPr>
              <w:lastRenderedPageBreak/>
              <w:t>Ņemts vērā</w:t>
            </w:r>
          </w:p>
          <w:p w14:paraId="0688C759" w14:textId="77777777" w:rsidR="00925C60" w:rsidRPr="009A432F" w:rsidRDefault="00925C60" w:rsidP="00552933">
            <w:pPr>
              <w:ind w:firstLine="284"/>
              <w:jc w:val="both"/>
            </w:pPr>
          </w:p>
        </w:tc>
        <w:tc>
          <w:tcPr>
            <w:tcW w:w="2986" w:type="dxa"/>
            <w:tcBorders>
              <w:top w:val="single" w:sz="4" w:space="0" w:color="auto"/>
              <w:left w:val="single" w:sz="4" w:space="0" w:color="auto"/>
              <w:bottom w:val="single" w:sz="4" w:space="0" w:color="auto"/>
            </w:tcBorders>
          </w:tcPr>
          <w:p w14:paraId="48544DB0" w14:textId="35DBE3FC" w:rsidR="009A3E7A" w:rsidRPr="009A432F" w:rsidRDefault="009A3E7A" w:rsidP="009A3E7A">
            <w:pPr>
              <w:widowControl w:val="0"/>
              <w:jc w:val="both"/>
              <w:rPr>
                <w:rFonts w:eastAsia="Calibri"/>
                <w:lang w:eastAsia="en-US"/>
              </w:rPr>
            </w:pPr>
            <w:r>
              <w:rPr>
                <w:rFonts w:eastAsia="Calibri"/>
                <w:lang w:eastAsia="en-US"/>
              </w:rPr>
              <w:t>S</w:t>
            </w:r>
            <w:r w:rsidRPr="009A432F">
              <w:rPr>
                <w:rFonts w:eastAsia="Calibri"/>
                <w:lang w:eastAsia="en-US"/>
              </w:rPr>
              <w:t>vītrot</w:t>
            </w:r>
            <w:r w:rsidR="00DE55CB">
              <w:rPr>
                <w:rFonts w:eastAsia="Calibri"/>
                <w:lang w:eastAsia="en-US"/>
              </w:rPr>
              <w:t>s</w:t>
            </w:r>
            <w:r w:rsidRPr="009A432F">
              <w:rPr>
                <w:rFonts w:eastAsia="Calibri"/>
                <w:lang w:eastAsia="en-US"/>
              </w:rPr>
              <w:t xml:space="preserve"> </w:t>
            </w:r>
            <w:r w:rsidR="00DE55CB">
              <w:rPr>
                <w:rFonts w:eastAsia="Calibri"/>
                <w:lang w:eastAsia="en-US"/>
              </w:rPr>
              <w:t xml:space="preserve">protokollēmuma </w:t>
            </w:r>
            <w:r w:rsidRPr="009A432F">
              <w:rPr>
                <w:rFonts w:eastAsia="Calibri"/>
                <w:lang w:eastAsia="en-US"/>
              </w:rPr>
              <w:t>projekta 5.</w:t>
            </w:r>
            <w:r w:rsidR="00DE55CB">
              <w:rPr>
                <w:rFonts w:eastAsia="Calibri"/>
                <w:lang w:eastAsia="en-US"/>
              </w:rPr>
              <w:t xml:space="preserve"> </w:t>
            </w:r>
            <w:r w:rsidRPr="009A432F">
              <w:rPr>
                <w:rFonts w:eastAsia="Calibri"/>
                <w:lang w:eastAsia="en-US"/>
              </w:rPr>
              <w:t>punkt</w:t>
            </w:r>
            <w:r>
              <w:rPr>
                <w:rFonts w:eastAsia="Calibri"/>
                <w:lang w:eastAsia="en-US"/>
              </w:rPr>
              <w:t>s</w:t>
            </w:r>
            <w:r w:rsidRPr="009A432F">
              <w:rPr>
                <w:rFonts w:eastAsia="Calibri"/>
                <w:lang w:eastAsia="en-US"/>
              </w:rPr>
              <w:t xml:space="preserve">. </w:t>
            </w:r>
          </w:p>
          <w:p w14:paraId="65354728" w14:textId="77777777" w:rsidR="00925C60" w:rsidRDefault="00925C60" w:rsidP="00552933">
            <w:pPr>
              <w:rPr>
                <w:i/>
              </w:rPr>
            </w:pPr>
          </w:p>
          <w:p w14:paraId="035FD862" w14:textId="55672633" w:rsidR="001B50F0" w:rsidRPr="009A3E7A" w:rsidRDefault="00DE55CB" w:rsidP="009A3E7A">
            <w:pPr>
              <w:jc w:val="both"/>
            </w:pPr>
            <w:r>
              <w:t>Papildināta projekta s</w:t>
            </w:r>
            <w:r w:rsidR="001B50F0" w:rsidRPr="009A3E7A">
              <w:t>adaļa “Jaunais kreditēšanas</w:t>
            </w:r>
            <w:r>
              <w:t xml:space="preserve"> modelis”</w:t>
            </w:r>
            <w:r w:rsidR="001B50F0" w:rsidRPr="009A3E7A">
              <w:t>:</w:t>
            </w:r>
          </w:p>
          <w:p w14:paraId="0EFCE8A5" w14:textId="4C5F911B" w:rsidR="001B50F0" w:rsidRPr="00702405" w:rsidRDefault="00DE55CB" w:rsidP="009A3E7A">
            <w:pPr>
              <w:jc w:val="both"/>
              <w:rPr>
                <w:i/>
              </w:rPr>
            </w:pPr>
            <w:r>
              <w:lastRenderedPageBreak/>
              <w:t>“</w:t>
            </w:r>
            <w:r w:rsidR="001B50F0" w:rsidRPr="009A3E7A">
              <w:t xml:space="preserve">Attiecībā uz kredītu dzēšanu invaliditātes gadījumā Labklājības ministrija ierosina turpmāk personām ar invaliditāti dzēst tikai daļu no studiju kredīta pamatsummas, piemēram, I invaliditātes grupas gadījumā 30% apmērā no kredīta pamatsummas atlikuma, bet II invaliditātes grupas gadījumā 20% apmērā no kredīta pamatsummas, turklāt tikai vienam studiju kredītam, jo personām ar invaliditāti valsts jau patlaban sniedz monetāru palīdzību dažādu maksājumu un atvieglojumu veidā. Piemēram, sociālā nodrošinājuma pabalsts, kuru saņem ikviena persona ar invaliditāti, dažādos apmēros atkarībā no invaliditātes smaguma pakāpes, transporta pabalsts 79,68 euro par katru sešu mēnešu periodu (personām ar invaliditāti, kurām ir apgrūtināta pārvietošanās), īpašas kopšanas pabalsts 213,43 euro/mēn. (personām ar invaliditāti, kurām ir </w:t>
            </w:r>
            <w:r w:rsidR="001B50F0" w:rsidRPr="009A3E7A">
              <w:lastRenderedPageBreak/>
              <w:t>medicīniskās indikācijas īpašas kopšanas nepieciešamībai; no šī gada 1.jūlija pabalsta apmērs būs 313,43 euro/mēn., ja invaliditātes cēlonis ir slimība no bērnības), atbrīvojums no sabiedriskā transporta maksas starppilsētu maršrutos un citi atvieglojumi. Pamatojoties uz iepriekš minēto, Labklājības ministrija uzskata, ka valsts savu iespēju robežās jau sniedz atbalstu personām ar invaliditāti ikdienas vajadzību nodrošināšanai, tāpēc turpmāk ierosina atteikties no studējošā kredīta dzēšanas personām ar invaliditāti.  Ministrijas ieskatā par šo jautājumu ir nepieciešamas turpmākas diskusijas normatīvā regulējuma izstrādes laikā.</w:t>
            </w:r>
            <w:r>
              <w:t>”</w:t>
            </w:r>
          </w:p>
        </w:tc>
      </w:tr>
      <w:tr w:rsidR="00035D31" w:rsidRPr="001801C2" w14:paraId="580F710A"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7CF31CA" w14:textId="197CBCAC" w:rsidR="00035D31" w:rsidRPr="001801C2" w:rsidRDefault="00035D31"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2B5D7B2" w14:textId="77777777" w:rsidR="00035D31" w:rsidRPr="004469B5" w:rsidRDefault="006B5FF9" w:rsidP="00552933">
            <w:r w:rsidRPr="004469B5">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5207BD1" w14:textId="77777777" w:rsidR="00A50085" w:rsidRPr="00F85FB7" w:rsidRDefault="00A50085" w:rsidP="003737D8">
            <w:pPr>
              <w:pStyle w:val="NoSpacing"/>
              <w:jc w:val="both"/>
              <w:rPr>
                <w:rFonts w:eastAsia="Calibri"/>
                <w:b/>
                <w:lang w:eastAsia="en-US"/>
              </w:rPr>
            </w:pPr>
            <w:r w:rsidRPr="00F85FB7">
              <w:rPr>
                <w:rFonts w:eastAsia="Calibri"/>
                <w:b/>
                <w:lang w:eastAsia="en-US"/>
              </w:rPr>
              <w:t>Latvijas Finanšu nozares asociācija (turpmāk – Asociācija) (24.05.2019. vēstule Nr.1-23/98_e):</w:t>
            </w:r>
          </w:p>
          <w:p w14:paraId="1A3AC497" w14:textId="77777777" w:rsidR="00A50085" w:rsidRPr="00F85FB7" w:rsidRDefault="00A50085" w:rsidP="003737D8">
            <w:pPr>
              <w:pStyle w:val="NoSpacing"/>
              <w:ind w:firstLine="33"/>
              <w:jc w:val="both"/>
              <w:rPr>
                <w:rFonts w:eastAsia="Calibri"/>
                <w:lang w:eastAsia="en-US"/>
              </w:rPr>
            </w:pPr>
            <w:r w:rsidRPr="00F85FB7">
              <w:rPr>
                <w:rFonts w:eastAsia="Calibri"/>
                <w:lang w:eastAsia="en-US"/>
              </w:rPr>
              <w:t>Asociācija ir iepazinusies ar Izglītības un zinātnes ministrijas (turpmāk – IZM) sagatavoto konceptuālo ziņojumu “Studiju un studējošo kreditēšanas no kredītiestāžu līdzekļiem ar valsts vārdā sniegto galvojumu modeļa maiņu” (turpmāk – Ziņojums).</w:t>
            </w:r>
          </w:p>
          <w:p w14:paraId="5B94A028" w14:textId="77777777" w:rsidR="00A50085" w:rsidRPr="00F85FB7" w:rsidRDefault="00A50085" w:rsidP="00A50085">
            <w:pPr>
              <w:pStyle w:val="NoSpacing"/>
              <w:jc w:val="both"/>
              <w:rPr>
                <w:rFonts w:eastAsia="Calibri"/>
                <w:lang w:eastAsia="en-US"/>
              </w:rPr>
            </w:pPr>
            <w:r w:rsidRPr="00F85FB7">
              <w:rPr>
                <w:rFonts w:eastAsia="Calibri"/>
                <w:lang w:eastAsia="en-US"/>
              </w:rPr>
              <w:tab/>
              <w:t xml:space="preserve">Asociācija izsaka gandarījumu par IZM aktīvo rīcību, atsaucoties uz Asociācijas sākotnējiem priekšlikumiem studiju un studējošo kreditēšanas sistēmas pilnveidošanā, kā arī pateicas </w:t>
            </w:r>
            <w:r w:rsidRPr="00F85FB7">
              <w:rPr>
                <w:rFonts w:eastAsia="Calibri"/>
                <w:lang w:eastAsia="en-US"/>
              </w:rPr>
              <w:lastRenderedPageBreak/>
              <w:t>par ieguldīto darbu pie Ziņojuma sagatavošanas. Kopumā Asociācija atbalsta Ziņojuma tālāku virzību un cer uz turpmāku aktīvu IZM rīcību studiju un studējošo kreditēšanas sistēmas maiņas praktiskajā īstenošanā.</w:t>
            </w:r>
          </w:p>
          <w:p w14:paraId="6FD10D6C" w14:textId="5316B7C4" w:rsidR="00A50085" w:rsidRPr="00F85FB7" w:rsidRDefault="00A50085" w:rsidP="00A50085">
            <w:pPr>
              <w:pStyle w:val="NoSpacing"/>
              <w:jc w:val="both"/>
              <w:rPr>
                <w:rFonts w:eastAsia="Calibri"/>
                <w:lang w:eastAsia="en-US"/>
              </w:rPr>
            </w:pPr>
            <w:r w:rsidRPr="00F85FB7">
              <w:rPr>
                <w:rFonts w:eastAsia="Calibri"/>
                <w:lang w:eastAsia="en-US"/>
              </w:rPr>
              <w:t xml:space="preserve">Attiecībā uz piedāvātajiem četriem programmas ieviešanas variantiem, Asociācija nedod priekšroku nevienam no tiem, jo izšķiršanās ir Ministru Kabineta kompetencē un Asociācijas biedri ir gatavi šīs programmas ieviešanā strādāt ar jebkuru no tiem. Vienlaicīgi vēlamies uzsvērt, ka atbalstām visām pusēm administratīvi vienkāršāku variantu. </w:t>
            </w:r>
          </w:p>
          <w:p w14:paraId="41FCE1D8" w14:textId="2994C2F4" w:rsidR="00A50085" w:rsidRPr="00F85FB7" w:rsidRDefault="00A50085" w:rsidP="00A50085">
            <w:pPr>
              <w:pStyle w:val="NoSpacing"/>
              <w:jc w:val="both"/>
              <w:rPr>
                <w:rFonts w:eastAsia="Calibri"/>
                <w:lang w:eastAsia="en-US"/>
              </w:rPr>
            </w:pPr>
            <w:r w:rsidRPr="00F85FB7">
              <w:rPr>
                <w:rFonts w:eastAsia="Calibri"/>
                <w:lang w:eastAsia="en-US"/>
              </w:rPr>
              <w:t>Jautājumā par studiju un studējošo kredītu līgumu slēgšanu notariālā akta kārtībā, Asociācija vēlas vērst uzmanību uz sekojošiem jautājumiem, kuros būtu nepieciešams panākt vienotu izpratni starp Tieslietu ministriju, Latvijas Zvērinātu notāru padomi, Latvijas Studentu apvienību un Asociāciju:</w:t>
            </w:r>
          </w:p>
          <w:p w14:paraId="1D70EDD1" w14:textId="77777777" w:rsidR="00A50085" w:rsidRPr="00F85FB7" w:rsidRDefault="00A50085" w:rsidP="00214792">
            <w:pPr>
              <w:pStyle w:val="NoSpacing"/>
              <w:numPr>
                <w:ilvl w:val="0"/>
                <w:numId w:val="1"/>
              </w:numPr>
              <w:jc w:val="both"/>
              <w:rPr>
                <w:rFonts w:eastAsia="Calibri"/>
                <w:lang w:eastAsia="en-US"/>
              </w:rPr>
            </w:pPr>
            <w:r w:rsidRPr="00F85FB7">
              <w:rPr>
                <w:rFonts w:eastAsia="Calibri"/>
                <w:lang w:eastAsia="en-US"/>
              </w:rPr>
              <w:t xml:space="preserve">Ņemot vērā līgumu tipveida būtību un </w:t>
            </w:r>
            <w:r w:rsidRPr="00F85FB7">
              <w:rPr>
                <w:rFonts w:eastAsia="Calibri"/>
                <w:lang w:eastAsia="en-US"/>
              </w:rPr>
              <w:lastRenderedPageBreak/>
              <w:t>sociālo jūtīgumu, uzskatām, ka notariālā akta kārtībā slēgto kredīta līgumu komisijas maksām notāru pusē būtu jābūt ievērojami zemākām nekā standarta;</w:t>
            </w:r>
          </w:p>
          <w:p w14:paraId="1060364F" w14:textId="77777777" w:rsidR="00A50085" w:rsidRPr="00F85FB7" w:rsidRDefault="00A50085" w:rsidP="00214792">
            <w:pPr>
              <w:pStyle w:val="NoSpacing"/>
              <w:numPr>
                <w:ilvl w:val="0"/>
                <w:numId w:val="1"/>
              </w:numPr>
              <w:jc w:val="both"/>
              <w:rPr>
                <w:rFonts w:eastAsia="Calibri"/>
                <w:lang w:eastAsia="en-US"/>
              </w:rPr>
            </w:pPr>
            <w:r w:rsidRPr="00F85FB7">
              <w:rPr>
                <w:rFonts w:eastAsia="Calibri"/>
                <w:lang w:eastAsia="en-US"/>
              </w:rPr>
              <w:t xml:space="preserve">Komercbanku pārstāvji notāram iesniegtu līgumus attālināti, izmantojot DigiNotārs kanālu un pievienojot bankas paraksta tiesīgās personas pilnvaru.  </w:t>
            </w:r>
          </w:p>
          <w:p w14:paraId="56101DD5" w14:textId="77777777" w:rsidR="00A50085" w:rsidRPr="00F85FB7" w:rsidRDefault="00A50085" w:rsidP="00214792">
            <w:pPr>
              <w:pStyle w:val="NoSpacing"/>
              <w:numPr>
                <w:ilvl w:val="0"/>
                <w:numId w:val="1"/>
              </w:numPr>
              <w:jc w:val="both"/>
              <w:rPr>
                <w:rFonts w:eastAsia="Calibri"/>
                <w:lang w:eastAsia="en-US"/>
              </w:rPr>
            </w:pPr>
            <w:r w:rsidRPr="00F85FB7">
              <w:rPr>
                <w:rFonts w:eastAsia="Calibri"/>
                <w:lang w:eastAsia="en-US"/>
              </w:rPr>
              <w:t>Līgumu slēgšanas procesam jābūt maksimāli vienkāršam un komercbanku pilnvarotajam un jau iepriekš identificētajam pārstāvim nav katru reizi jādodas pie notāra (arī digitālajā vidē strādājot);</w:t>
            </w:r>
          </w:p>
          <w:p w14:paraId="435569DE" w14:textId="77777777" w:rsidR="00A50085" w:rsidRPr="00F85FB7" w:rsidRDefault="00A50085" w:rsidP="00214792">
            <w:pPr>
              <w:pStyle w:val="NoSpacing"/>
              <w:numPr>
                <w:ilvl w:val="0"/>
                <w:numId w:val="1"/>
              </w:numPr>
              <w:jc w:val="both"/>
              <w:rPr>
                <w:rFonts w:eastAsia="Calibri"/>
                <w:lang w:eastAsia="en-US"/>
              </w:rPr>
            </w:pPr>
            <w:r w:rsidRPr="00F85FB7">
              <w:rPr>
                <w:rFonts w:eastAsia="Calibri"/>
                <w:lang w:eastAsia="en-US"/>
              </w:rPr>
              <w:t xml:space="preserve">Piedziņas procesam jābūt maksimāli vienkāršam, kur komercbankām nebūtu jāmeklē, kurš notārs ir apstiprinājis konkrētā līguma parakstīšanu, bet komercbanka nosūtītu savu piedziņas </w:t>
            </w:r>
            <w:r w:rsidRPr="00F85FB7">
              <w:rPr>
                <w:rFonts w:eastAsia="Calibri"/>
                <w:lang w:eastAsia="en-US"/>
              </w:rPr>
              <w:lastRenderedPageBreak/>
              <w:t>pieprasījumu pa iepriekš noteiktu saziņas kanālu vienam noteiktam saņēmējam, kurš pēc tam notāru pusē sadalītu, kam adresēt šo pieprasījumu;</w:t>
            </w:r>
          </w:p>
          <w:p w14:paraId="3ECB3C4B" w14:textId="77777777" w:rsidR="00A50085" w:rsidRPr="00F85FB7" w:rsidRDefault="00A50085" w:rsidP="00214792">
            <w:pPr>
              <w:pStyle w:val="NoSpacing"/>
              <w:numPr>
                <w:ilvl w:val="0"/>
                <w:numId w:val="1"/>
              </w:numPr>
              <w:jc w:val="both"/>
              <w:rPr>
                <w:rFonts w:eastAsia="Calibri"/>
                <w:lang w:eastAsia="en-US"/>
              </w:rPr>
            </w:pPr>
            <w:r w:rsidRPr="00F85FB7">
              <w:rPr>
                <w:rFonts w:eastAsia="Calibri"/>
                <w:lang w:eastAsia="en-US"/>
              </w:rPr>
              <w:t>Tā kā kredītu līgumu slēgšanai ir kampaņveidīgs raksturs, aicinām Latvijas Zvērinātu notāru padomi apsvērt labākos risinājumus līgumu slēgšanas kapacitātes nodrošināšanai, īpaši uzsākot jaunās sistēmas ieviešanu 2020.gada pavasarī un gada otrajā pusē.</w:t>
            </w:r>
          </w:p>
          <w:p w14:paraId="15D4F080" w14:textId="77777777" w:rsidR="00035D31" w:rsidRPr="00F85FB7" w:rsidRDefault="00A50085" w:rsidP="00F85FB7">
            <w:pPr>
              <w:pStyle w:val="NoSpacing"/>
              <w:jc w:val="both"/>
              <w:rPr>
                <w:rFonts w:eastAsia="Calibri"/>
                <w:lang w:eastAsia="en-US"/>
              </w:rPr>
            </w:pPr>
            <w:r w:rsidRPr="00F85FB7">
              <w:rPr>
                <w:rFonts w:eastAsia="Calibri"/>
                <w:lang w:eastAsia="en-US"/>
              </w:rPr>
              <w:t>Vienlaicīgi vēlamies vērst IZM uzmanību attiecībā uz Valsts Izglītības informācijas sistēmas Studējošo un absolventu reģistra savietojamību. Tā kā komercbankas datu apmaiņai ar valsts iestādēm šobrīd izmanto VISS, tad arī šai datu bāzei būtu jābūt pieejamai, izmantojot VISS.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51B1D84" w14:textId="77777777" w:rsidR="006B5FF9" w:rsidRPr="00033ACD" w:rsidRDefault="006B5FF9" w:rsidP="006B5FF9">
            <w:pPr>
              <w:ind w:firstLine="284"/>
              <w:jc w:val="center"/>
              <w:rPr>
                <w:b/>
              </w:rPr>
            </w:pPr>
            <w:r w:rsidRPr="00D0249E">
              <w:rPr>
                <w:b/>
              </w:rPr>
              <w:lastRenderedPageBreak/>
              <w:t>Ņemts vērā</w:t>
            </w:r>
          </w:p>
          <w:p w14:paraId="1C482194" w14:textId="77777777" w:rsidR="00035D31" w:rsidRDefault="00035D31" w:rsidP="00552933">
            <w:pPr>
              <w:ind w:firstLine="284"/>
              <w:jc w:val="both"/>
            </w:pPr>
          </w:p>
          <w:p w14:paraId="163CEF54" w14:textId="77777777" w:rsidR="0024611D" w:rsidRDefault="0024611D" w:rsidP="0024611D">
            <w:pPr>
              <w:ind w:firstLine="284"/>
              <w:jc w:val="both"/>
            </w:pPr>
            <w:r>
              <w:t>Ministrija piekrīt Asociācijas viedoklim un ņems to vērā, izstrādājot normatīvo regulējumu savas kompetences ietvaros. Kā arī piekrīt, ka ir nepieciešama sadarbība no Tieslietu ministrijas un</w:t>
            </w:r>
            <w:r w:rsidRPr="0024611D">
              <w:t xml:space="preserve"> L</w:t>
            </w:r>
            <w:r>
              <w:t xml:space="preserve">atvijas Zvērinātu notāru padomes, lai maksimāli atvieglotu un modernizētu ar šiem līgumiem saistītas administratīvās procedūras. </w:t>
            </w:r>
          </w:p>
          <w:p w14:paraId="3AB624B6" w14:textId="77777777" w:rsidR="0024611D" w:rsidRPr="00383ECB" w:rsidRDefault="00E02225" w:rsidP="00E02225">
            <w:pPr>
              <w:ind w:firstLine="284"/>
              <w:jc w:val="both"/>
            </w:pPr>
            <w:r>
              <w:t xml:space="preserve">6.06.2019. ir notikusi tikšanās starp ministrijas, </w:t>
            </w:r>
            <w:r w:rsidR="0024611D">
              <w:t xml:space="preserve">Asociācijas un kredītiestāžu pārstāvjiem, lai identificētu jautājumus par kredītiestāžu informācijas sistēmu un </w:t>
            </w:r>
            <w:r w:rsidR="0024611D" w:rsidRPr="0024611D">
              <w:t xml:space="preserve">Valsts Izglītības informācijas sistēmas Studējošo un absolventu reģistra savietojamību. </w:t>
            </w:r>
          </w:p>
        </w:tc>
        <w:tc>
          <w:tcPr>
            <w:tcW w:w="2986" w:type="dxa"/>
            <w:tcBorders>
              <w:top w:val="single" w:sz="4" w:space="0" w:color="auto"/>
              <w:left w:val="single" w:sz="4" w:space="0" w:color="auto"/>
              <w:bottom w:val="single" w:sz="4" w:space="0" w:color="auto"/>
            </w:tcBorders>
          </w:tcPr>
          <w:p w14:paraId="78AB209F" w14:textId="39C2E21A" w:rsidR="00035D31" w:rsidRPr="00702405" w:rsidRDefault="00DE55CB" w:rsidP="00552933">
            <w:pPr>
              <w:rPr>
                <w:i/>
              </w:rPr>
            </w:pPr>
            <w:r w:rsidRPr="004469B5">
              <w:t>Projekts</w:t>
            </w:r>
          </w:p>
        </w:tc>
      </w:tr>
      <w:tr w:rsidR="005D45F1" w:rsidRPr="001801C2" w14:paraId="204BB8B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3708172" w14:textId="77777777" w:rsidR="005D45F1" w:rsidRPr="001801C2" w:rsidRDefault="005D45F1"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6E22D312" w14:textId="3E7BA1D2" w:rsidR="005D45F1" w:rsidRPr="00C07255" w:rsidRDefault="00C935A0" w:rsidP="00552933">
            <w:r w:rsidRPr="004469B5">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9083F84" w14:textId="77777777" w:rsidR="005D45F1" w:rsidRPr="009A432F" w:rsidRDefault="005D45F1" w:rsidP="005D45F1">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3E246331" w14:textId="4B07E1EF" w:rsidR="005D45F1" w:rsidRPr="005D45F1" w:rsidRDefault="005D45F1" w:rsidP="00682803">
            <w:pPr>
              <w:widowControl w:val="0"/>
              <w:jc w:val="both"/>
              <w:rPr>
                <w:rFonts w:eastAsia="Calibri"/>
                <w:lang w:eastAsia="en-US"/>
              </w:rPr>
            </w:pPr>
            <w:r w:rsidRPr="005D45F1">
              <w:rPr>
                <w:rFonts w:eastAsia="Calibri"/>
                <w:lang w:eastAsia="en-US"/>
              </w:rPr>
              <w:t xml:space="preserve">No rīkojuma projektā un </w:t>
            </w:r>
            <w:r w:rsidRPr="005D45F1">
              <w:rPr>
                <w:rFonts w:eastAsia="Calibri"/>
                <w:lang w:eastAsia="en-US"/>
              </w:rPr>
              <w:lastRenderedPageBreak/>
              <w:t>konceptuālajā ziņojumā iekļautās informācijas nav saprotams, kuru no rīcības variantiem Izglītības un zinātnes ministrija plāno ieviest, līdz ar to lūdzam precizēt, kurš no piedāvātajiem risinājumiem atbilstoši ieguvumu un izmaksu analīzei tiek uzskatīts par optimālo, un atbilstoši precizēt rīkojuma projektu.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4FE2F3D" w14:textId="77777777" w:rsidR="005D45F1" w:rsidRPr="00DD3AD6" w:rsidRDefault="005D45F1" w:rsidP="005D45F1">
            <w:pPr>
              <w:jc w:val="center"/>
              <w:rPr>
                <w:rFonts w:eastAsia="Calibri"/>
                <w:b/>
              </w:rPr>
            </w:pPr>
            <w:r w:rsidRPr="00DD3AD6">
              <w:rPr>
                <w:rFonts w:eastAsia="Calibri"/>
                <w:b/>
              </w:rPr>
              <w:lastRenderedPageBreak/>
              <w:t>Ņemts vērā</w:t>
            </w:r>
          </w:p>
          <w:p w14:paraId="7666E1DE" w14:textId="28B72A19" w:rsidR="005D45F1" w:rsidRPr="00DD3AD6" w:rsidRDefault="00C935A0" w:rsidP="00C935A0">
            <w:pPr>
              <w:jc w:val="both"/>
              <w:rPr>
                <w:rFonts w:eastAsia="Calibri"/>
                <w:b/>
              </w:rPr>
            </w:pPr>
            <w:r>
              <w:t>Precizēts protokollēmuma projekts un projekts, kopsavilkumā norādot optimālo variantu ministrijas skatījumā.</w:t>
            </w:r>
          </w:p>
        </w:tc>
        <w:tc>
          <w:tcPr>
            <w:tcW w:w="2986" w:type="dxa"/>
            <w:tcBorders>
              <w:top w:val="single" w:sz="4" w:space="0" w:color="auto"/>
              <w:left w:val="single" w:sz="4" w:space="0" w:color="auto"/>
              <w:bottom w:val="single" w:sz="4" w:space="0" w:color="auto"/>
            </w:tcBorders>
          </w:tcPr>
          <w:p w14:paraId="63F3F004" w14:textId="485A54E7" w:rsidR="005D45F1" w:rsidRPr="00C07255" w:rsidRDefault="00C935A0" w:rsidP="00C935A0">
            <w:r w:rsidRPr="004469B5">
              <w:t>Projekts</w:t>
            </w:r>
          </w:p>
        </w:tc>
      </w:tr>
      <w:tr w:rsidR="00FC01EB" w:rsidRPr="001801C2" w14:paraId="7A91AEB2"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3FA60EF" w14:textId="77777777" w:rsidR="00FC01EB" w:rsidRPr="001801C2" w:rsidRDefault="00FC01EB"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7656E7E" w14:textId="5A8E0A87" w:rsidR="00FC01EB" w:rsidRPr="00C07255" w:rsidRDefault="00C935A0" w:rsidP="00552933">
            <w:r>
              <w:t>Projekta s</w:t>
            </w:r>
            <w:r w:rsidR="00C07255" w:rsidRPr="00C07255">
              <w:t>adaļa “Pašreizējā studiju un studējošo kreditēšanas sistēma”</w:t>
            </w:r>
            <w:r w:rsidR="00C07255">
              <w:t>:</w:t>
            </w:r>
          </w:p>
          <w:p w14:paraId="6B586775" w14:textId="51114271" w:rsidR="00682803" w:rsidRPr="007D52B4" w:rsidRDefault="00C935A0" w:rsidP="00682803">
            <w:pPr>
              <w:jc w:val="both"/>
            </w:pPr>
            <w:r>
              <w:rPr>
                <w:b/>
              </w:rPr>
              <w:t>“</w:t>
            </w:r>
            <w:r w:rsidR="00682803" w:rsidRPr="0058008C">
              <w:rPr>
                <w:b/>
              </w:rPr>
              <w:t>Pašreizējam studiju un studējošo kreditēšanas no kredītiestāžu līdzekļiem ar valsts vārdā sniegtu galvojumu modelim ir sekojoši trūkumi</w:t>
            </w:r>
            <w:r w:rsidR="00682803" w:rsidRPr="007D52B4">
              <w:t>:</w:t>
            </w:r>
          </w:p>
          <w:p w14:paraId="3985F4AE" w14:textId="56351954" w:rsidR="00FC01EB" w:rsidRDefault="00682803" w:rsidP="00C935A0">
            <w:pPr>
              <w:jc w:val="both"/>
              <w:rPr>
                <w:i/>
              </w:rPr>
            </w:pPr>
            <w:r w:rsidRPr="007D52B4">
              <w:t>1)</w:t>
            </w:r>
            <w:r w:rsidRPr="007D52B4">
              <w:tab/>
              <w:t xml:space="preserve">Pārāk sarežģīts un administratīvi smagnējs starpinstitūciju saskaņošanas process valsts pusē, kurā pašreiz ir daudz iesaistīto: augstskolas, Valsts kase, Finanšu ministrija, Studiju un zinātnes administrācija. Tā rezultātā kredītiestāde apstiprinājumu studiju kredīta galvojuma piešķiršanai saņem jau krietni pēc mācību gada sākuma. Kredītiestāžu ieskatā </w:t>
            </w:r>
            <w:r w:rsidRPr="007D52B4">
              <w:lastRenderedPageBreak/>
              <w:t>administratīvais slogs ir pārāk liels, lai attaisnotu ieguvumus no šo kredītu apkalpošanas, tādēļ arī nav intereses piedalīties izsolēs par tiesībām izsniegt valsts galvotos kredītus;</w:t>
            </w:r>
            <w:r w:rsidR="00C935A0">
              <w:t>”</w:t>
            </w:r>
          </w:p>
          <w:p w14:paraId="630896BE" w14:textId="77777777" w:rsidR="00FC01EB" w:rsidRPr="00D0249E" w:rsidRDefault="00FC01EB" w:rsidP="00552933">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8BE790" w14:textId="77777777" w:rsidR="00682803" w:rsidRPr="009A432F" w:rsidRDefault="00682803" w:rsidP="00682803">
            <w:pPr>
              <w:widowControl w:val="0"/>
              <w:jc w:val="both"/>
              <w:rPr>
                <w:rFonts w:eastAsia="Calibri"/>
                <w:b/>
                <w:lang w:eastAsia="en-US"/>
              </w:rPr>
            </w:pPr>
            <w:r>
              <w:rPr>
                <w:rFonts w:eastAsia="Calibri"/>
                <w:b/>
                <w:lang w:eastAsia="en-US"/>
              </w:rPr>
              <w:lastRenderedPageBreak/>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1B090844" w14:textId="087358C2" w:rsidR="00FC01EB" w:rsidRDefault="00682803" w:rsidP="00C07255">
            <w:pPr>
              <w:pStyle w:val="NoSpacing"/>
              <w:jc w:val="both"/>
              <w:rPr>
                <w:rFonts w:ascii="Book Antiqua" w:hAnsi="Book Antiqua"/>
                <w:b/>
                <w:sz w:val="22"/>
                <w:szCs w:val="22"/>
              </w:rPr>
            </w:pPr>
            <w:r w:rsidRPr="007D52B4">
              <w:t xml:space="preserve">Tāpat no konceptuālajā ziņojumā iekļautās informācijas nav saprotams, kādēļ studiju un studējošo kreditēšanas administrēšanas funkciju nevar turpināt nodrošināt Studiju un zinātnes administrācija, ņemot vērā tās pieredzi šajā jomā. Turklāt, ņemot vērā konceptuālajā ziņojumā piedāvātos risinājuma variantus, kā arī 15.lpp. pēdējā rindkopā minēto informāciju, nav saprotams kādas funkcijas pēc jaunā studiju un studējošo kreditēšanas modeļa ieviešanas veiks Studiju un zinātnes administrācija. Uzskatām, ka Studiju un zinātnes </w:t>
            </w:r>
            <w:r w:rsidRPr="007D52B4">
              <w:lastRenderedPageBreak/>
              <w:t>administrācijas valsts budžeta finansējums ir pārskatāms atbilstoši veiktajām funkcijām un uzdevumiem. Līdz ar to konceptuālais ziņojums ir papildināms ar Studiju un zinātnes administrācijas funkciju izvērtējumu pēc jaunā studiju un studējošo kreditēšanas modeļa ieviešanas.</w:t>
            </w:r>
            <w:r w:rsidRPr="007D52B4">
              <w:rPr>
                <w:rFonts w:ascii="Book Antiqua" w:hAnsi="Book Antiqua"/>
                <w:b/>
                <w:sz w:val="22"/>
                <w:szCs w:val="22"/>
              </w:rPr>
              <w:t xml:space="preserve">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48EE55B" w14:textId="77777777" w:rsidR="00DD3AD6" w:rsidRPr="00DD3AD6" w:rsidRDefault="00DD3AD6" w:rsidP="00DD3AD6">
            <w:pPr>
              <w:jc w:val="center"/>
              <w:rPr>
                <w:rFonts w:eastAsia="Calibri"/>
                <w:b/>
              </w:rPr>
            </w:pPr>
            <w:r w:rsidRPr="00DD3AD6">
              <w:rPr>
                <w:rFonts w:eastAsia="Calibri"/>
                <w:b/>
              </w:rPr>
              <w:lastRenderedPageBreak/>
              <w:t>Ņemts vērā</w:t>
            </w:r>
          </w:p>
          <w:p w14:paraId="3901A6EE" w14:textId="77777777" w:rsidR="00A00DC7" w:rsidRDefault="00A00DC7" w:rsidP="00D37078">
            <w:pPr>
              <w:jc w:val="both"/>
            </w:pPr>
            <w:r>
              <w:rPr>
                <w:rFonts w:eastAsia="Calibri"/>
              </w:rPr>
              <w:t>S</w:t>
            </w:r>
            <w:r w:rsidRPr="00A00DC7">
              <w:rPr>
                <w:rFonts w:eastAsia="Calibri"/>
              </w:rPr>
              <w:t>tudiju un studējošo kreditēšanas administrēšanas funkciju nevar turpināt nodrošināt Studiju un zinātnes administrācija</w:t>
            </w:r>
            <w:r>
              <w:rPr>
                <w:rFonts w:eastAsia="Calibri"/>
              </w:rPr>
              <w:t xml:space="preserve">, jo tās darbība esošās sistēmas ietvaros ir būt par starpnieku starp augstskolām un kredītiestādēm </w:t>
            </w:r>
            <w:r w:rsidR="009960B6">
              <w:rPr>
                <w:rFonts w:eastAsia="Calibri"/>
              </w:rPr>
              <w:t xml:space="preserve">sistēmā, kur ir galvots individuāli katrs studiju kredīts, kas arī veido sistēmas administratīvo slogu. Instruments, kas </w:t>
            </w:r>
            <w:r w:rsidR="00D37078">
              <w:rPr>
                <w:rFonts w:eastAsia="Calibri"/>
              </w:rPr>
              <w:t>atcels nepieciešamību pēc smagnējām administratīvām procedūrām ir portfeļgarantija, kas garantē visu kredītu apjomu līdz noteiktai summai</w:t>
            </w:r>
            <w:r w:rsidR="00DD3AD6">
              <w:rPr>
                <w:rFonts w:eastAsia="Calibri"/>
              </w:rPr>
              <w:t xml:space="preserve"> kopumā, nevis individuāli</w:t>
            </w:r>
            <w:r w:rsidR="00D37078">
              <w:rPr>
                <w:rFonts w:eastAsia="Calibri"/>
              </w:rPr>
              <w:t xml:space="preserve">; </w:t>
            </w:r>
            <w:r w:rsidR="00C07255">
              <w:rPr>
                <w:rFonts w:eastAsia="Calibri"/>
              </w:rPr>
              <w:t>šādu finanšu instrumentu administrēšana</w:t>
            </w:r>
            <w:r w:rsidR="00D37078">
              <w:rPr>
                <w:rFonts w:eastAsia="Calibri"/>
              </w:rPr>
              <w:t xml:space="preserve"> nav SZA kompetencē. Papildināts skaidrojums</w:t>
            </w:r>
            <w:r w:rsidR="00C07255">
              <w:rPr>
                <w:rFonts w:eastAsia="Calibri"/>
              </w:rPr>
              <w:t>, skat. galīgo redakciju.</w:t>
            </w:r>
          </w:p>
          <w:p w14:paraId="0F6DCE42" w14:textId="77777777" w:rsidR="00682803" w:rsidRDefault="00682803" w:rsidP="00682803">
            <w:pPr>
              <w:ind w:firstLine="284"/>
              <w:jc w:val="both"/>
            </w:pPr>
          </w:p>
          <w:p w14:paraId="028E6CA2" w14:textId="77777777" w:rsidR="00D37078" w:rsidRDefault="00D37078" w:rsidP="00682803">
            <w:pPr>
              <w:jc w:val="both"/>
            </w:pPr>
          </w:p>
          <w:p w14:paraId="2CEA2E3D" w14:textId="77777777" w:rsidR="00D37078" w:rsidRDefault="00D37078" w:rsidP="00682803">
            <w:pPr>
              <w:jc w:val="both"/>
            </w:pPr>
            <w:r>
              <w:t>Attiecībā uz SZA funkcijām:</w:t>
            </w:r>
          </w:p>
          <w:p w14:paraId="2EFC9429" w14:textId="77777777" w:rsidR="00E05803" w:rsidRDefault="00E005BC" w:rsidP="00682803">
            <w:pPr>
              <w:jc w:val="both"/>
            </w:pPr>
            <w:r>
              <w:lastRenderedPageBreak/>
              <w:t xml:space="preserve">piekrītam, ka ir jāpārskata </w:t>
            </w:r>
            <w:r w:rsidR="00FF2151">
              <w:t xml:space="preserve">SZA </w:t>
            </w:r>
            <w:r>
              <w:t>funkcijas un finansējums un tas notiks saskaņā ar Valdības rīcības plāna 40.1 punktu “</w:t>
            </w:r>
            <w:r w:rsidRPr="00E005BC">
              <w:t xml:space="preserve">Izveidot vienu spēcīgu vienotu zinātnes administrējošo institūciju, apvienojot </w:t>
            </w:r>
            <w:r>
              <w:t xml:space="preserve">esošos institucionālos resursus” ar izpildes termiņu </w:t>
            </w:r>
            <w:r w:rsidRPr="00E005BC">
              <w:t>31.12.2019.</w:t>
            </w:r>
            <w:r w:rsidR="00E05803">
              <w:t xml:space="preserve"> Jo SZA ir iesaistīta arī valsts pētījumu programmu un fundamentā</w:t>
            </w:r>
            <w:r w:rsidR="00FF2151">
              <w:t>l</w:t>
            </w:r>
            <w:r w:rsidR="00E05803">
              <w:t>o un lietišķo pētījumu programmu administrēšanā</w:t>
            </w:r>
            <w:r w:rsidR="00931A7D">
              <w:t>, līdz ar to SZA funkciju pārskatīšana ir veicama kompleksi</w:t>
            </w:r>
            <w:r w:rsidR="00E05803">
              <w:t xml:space="preserve">. </w:t>
            </w:r>
            <w:r w:rsidR="00173381">
              <w:t xml:space="preserve">Kā aprakstīts ziņojumā, saskaņā ar tiesiskās paļāvības principu būs jāturpina līdz 01.04.2020. noslēgto studiju un studējošo līgumu administrēšana saskaņā ar pašlaik spēkā esošo normatīvo regulējumu, kamēr </w:t>
            </w:r>
            <w:r w:rsidR="00FF2151">
              <w:t>šīs kredītu kopums</w:t>
            </w:r>
            <w:r w:rsidR="00173381">
              <w:t xml:space="preserve"> tiks atmaksāt</w:t>
            </w:r>
            <w:r w:rsidR="00FF2151">
              <w:t>s vai dzēsts</w:t>
            </w:r>
            <w:r w:rsidR="00173381">
              <w:t>, kas ilgst līdz 15 gadiem (studiju laiks ieskaitot iespējamos pārtraukumus, vienu gadu pēc absolvēšanas atmaksa tiek atlikta, 10 gadus atmaksas termiņš).</w:t>
            </w:r>
            <w:r w:rsidR="00FF2151">
              <w:t xml:space="preserve"> Līdz ar to šī vecā kredītu portfeļa administrēšanā joprojām būs iesaistīta SZA vai cita IZM pakļautībā esošā institūcija, kas pārņems šīs funkcijas.</w:t>
            </w:r>
            <w:r w:rsidR="00173381">
              <w:t xml:space="preserve"> Saskaņā ar Ministru kabineta 2014. gada 2.decembra noteikumu Nr. 737 1</w:t>
            </w:r>
            <w:r w:rsidR="00173381" w:rsidRPr="00173381">
              <w:t>4.</w:t>
            </w:r>
            <w:r w:rsidR="00173381">
              <w:t xml:space="preserve"> punktu k</w:t>
            </w:r>
            <w:r w:rsidR="00173381" w:rsidRPr="00173381">
              <w:t>onceptuālu ziņojumu izstrādā, ja nepieciešams izšķirties par rīcību iepriekš noteiktu nozaru politiku īstenošanā.</w:t>
            </w:r>
          </w:p>
          <w:p w14:paraId="2ACCA3A4" w14:textId="77777777" w:rsidR="00D37078" w:rsidRDefault="00D37078" w:rsidP="00682803">
            <w:pPr>
              <w:jc w:val="both"/>
            </w:pPr>
          </w:p>
          <w:p w14:paraId="07AE8DA5" w14:textId="77777777" w:rsidR="00D37078" w:rsidRPr="00D0249E" w:rsidRDefault="00D37078" w:rsidP="00682803">
            <w:pPr>
              <w:jc w:val="both"/>
              <w:rPr>
                <w:b/>
              </w:rPr>
            </w:pPr>
          </w:p>
        </w:tc>
        <w:tc>
          <w:tcPr>
            <w:tcW w:w="2986" w:type="dxa"/>
            <w:tcBorders>
              <w:top w:val="single" w:sz="4" w:space="0" w:color="auto"/>
              <w:left w:val="single" w:sz="4" w:space="0" w:color="auto"/>
              <w:bottom w:val="single" w:sz="4" w:space="0" w:color="auto"/>
            </w:tcBorders>
          </w:tcPr>
          <w:p w14:paraId="4E7C95DC" w14:textId="290FE572" w:rsidR="00C07255" w:rsidRPr="00C07255" w:rsidRDefault="00C935A0" w:rsidP="00C07255">
            <w:r>
              <w:lastRenderedPageBreak/>
              <w:t>Projekta s</w:t>
            </w:r>
            <w:r w:rsidR="00C07255" w:rsidRPr="00C07255">
              <w:t>adaļa “Pašreizējā studiju un studējošo kreditēšanas sistēma”</w:t>
            </w:r>
            <w:r w:rsidR="00C07255">
              <w:t xml:space="preserve"> papildināta:</w:t>
            </w:r>
          </w:p>
          <w:p w14:paraId="1C8DE520" w14:textId="77777777" w:rsidR="00C07255" w:rsidRDefault="00C07255" w:rsidP="00552933">
            <w:pPr>
              <w:rPr>
                <w:i/>
              </w:rPr>
            </w:pPr>
          </w:p>
          <w:p w14:paraId="0A9BCC0D" w14:textId="2DA604FB" w:rsidR="00C07255" w:rsidRDefault="00C935A0" w:rsidP="00C07255">
            <w:pPr>
              <w:jc w:val="both"/>
            </w:pPr>
            <w:r>
              <w:rPr>
                <w:b/>
              </w:rPr>
              <w:t>“</w:t>
            </w:r>
            <w:r w:rsidR="00C07255" w:rsidRPr="0058008C">
              <w:rPr>
                <w:b/>
              </w:rPr>
              <w:t>Pašreizējam studiju un studējošo kreditēšanas no kredītiestāžu līdzekļiem ar valsts vārdā sniegtu galvojumu modelim ir sekojoši trūkumi</w:t>
            </w:r>
            <w:r w:rsidR="00C07255" w:rsidRPr="007D52B4">
              <w:t>:</w:t>
            </w:r>
          </w:p>
          <w:p w14:paraId="15EFD6E2" w14:textId="4F05E0C6" w:rsidR="00C07255" w:rsidRDefault="00DD3AD6" w:rsidP="00C07255">
            <w:pPr>
              <w:jc w:val="both"/>
            </w:pPr>
            <w:r>
              <w:t>1)</w:t>
            </w:r>
            <w:r w:rsidRPr="00DD3AD6">
              <w:t xml:space="preserve">Pārāk sarežģīts un administratīvi smagnējs starpinstitūciju saskaņošanas process valsts pusē, kurā pašreiz ir daudz iesaistīto: augstskolas, Valsts kase, Finanšu ministrija, Izglītības un zinātnes ministrija, Studiju un zinātnes administrācija. </w:t>
            </w:r>
            <w:r w:rsidR="00C07255">
              <w:t xml:space="preserve">Pašlaik valsts vārdā ir galvots katrs studiju </w:t>
            </w:r>
            <w:r w:rsidR="00C07255">
              <w:lastRenderedPageBreak/>
              <w:t xml:space="preserve">un studējošā kredīts individuāli. Kad studējošais studiju sākumā vēlētos saņemt kredītu, ir jāveic virkni darbību, kas paildzina un sarežģi kredīta izsniegšanu. Studējošajam </w:t>
            </w:r>
            <w:r w:rsidR="00C07255" w:rsidRPr="00A05721">
              <w:t>savā fakultātē vai augstskolā</w:t>
            </w:r>
            <w:r w:rsidR="00C07255">
              <w:t xml:space="preserve"> </w:t>
            </w:r>
            <w:r w:rsidR="00C07255" w:rsidRPr="00A05721">
              <w:t xml:space="preserve">jāaizpilda un jāiesniedz pieteikuma anketa un </w:t>
            </w:r>
            <w:r w:rsidR="00C07255">
              <w:t>citi</w:t>
            </w:r>
            <w:r w:rsidR="00C07255" w:rsidRPr="00A05721">
              <w:t xml:space="preserve"> dokument</w:t>
            </w:r>
            <w:r w:rsidR="00C07255">
              <w:t xml:space="preserve">i augstskolas kredītu piešķiršanas komisijai. Augstskolas nosūta sarakstus ar individuāliem potenciāliem kredītņēmējiem SZA. Kredītiestādei pirms piešķirt kredītu ir jāpārliecinās, ka studējošais, kas pretendē uz kredītu ir iekļauts SZA Excel datnē izveidotajā sarakstā ar studējošiem, kuriem tiks piešķirts valsts vārdā sniegtais galvojums ja studējošā otrais galvotājs vai nodrošinājums būs atbilstošs normatīvā regulējuma prasībām. Kredītiestādei ir jāveic pārbaude par potenciālā kredītņēmēja nodrošinājuma vai otrā galvotāja atbilstību normatīvā regulējuma prasībām (ienākumi un </w:t>
            </w:r>
            <w:r w:rsidR="00C07255">
              <w:lastRenderedPageBreak/>
              <w:t>esošās saistības). Šo procesu rezultātā p</w:t>
            </w:r>
            <w:r w:rsidR="00C07255" w:rsidRPr="00737C41">
              <w:t>ašlaik uz studiju sākumu kredīts bieži vi</w:t>
            </w:r>
            <w:r w:rsidR="00C07255">
              <w:t>en nav pieejams un studējošajam ir jāmeklē citi pagaidu risinājumi, lai aizņemtos līdzekļus</w:t>
            </w:r>
            <w:r w:rsidR="00C07255" w:rsidRPr="00737C41">
              <w:t xml:space="preserve">. </w:t>
            </w:r>
            <w:r w:rsidR="00C07255">
              <w:t>No kredītiestāžu viedokļa p</w:t>
            </w:r>
            <w:r w:rsidR="00C07255" w:rsidRPr="00A05721">
              <w:t>ašreizējās sistēmas administratīvais slogs neattaisno ieguvumus no šo kredītu apkalpošanas</w:t>
            </w:r>
            <w:r w:rsidR="00C07255">
              <w:t>, kā arī liek piedāvāt klientam neērtu, komplicētu pakalpojumu</w:t>
            </w:r>
            <w:r w:rsidR="00C07255" w:rsidRPr="00A05721">
              <w:t xml:space="preserve">. Kā bizness šīs pakalpojuma veids </w:t>
            </w:r>
            <w:r w:rsidR="00C07255">
              <w:t>kredītiestādēm</w:t>
            </w:r>
            <w:r w:rsidR="00C07255" w:rsidRPr="00A05721">
              <w:t xml:space="preserve"> nav sevišķi interesants- summas ir salīdzinoši nelielas, līgumu skaits arī salīdzinot ar hipotekāriem kredītiem, uzņēmumu kreditēšanu u.c</w:t>
            </w:r>
            <w:r w:rsidR="00C07255">
              <w:t>. finanšu produktiem, tādēļ arī nav intereses piedalīties izsolēs par tiesībām izsniegt valsts vārdā galvotos kredītus</w:t>
            </w:r>
            <w:r w:rsidR="00C07255" w:rsidRPr="00A05721">
              <w:t xml:space="preserve">. Apspriežot šo  problēmu darba grupā, FNA viedoklis bija, ka bankas būtu gatavas izsniegt šos kredītus, ja administratīvais process būtu maksimāli vienkāršs, standartizēts, moderns. Ieviešot </w:t>
            </w:r>
            <w:r w:rsidR="00C07255" w:rsidRPr="00A05721">
              <w:lastRenderedPageBreak/>
              <w:t>portfeļgarantiju katrs individuālais kredīts nav jāsaskaņo ar valsts iestādēm</w:t>
            </w:r>
            <w:r w:rsidR="00C07255">
              <w:t>, kā arī tiek atcelta prasība par papildus nodrošinājumu vai otrā galvotāja ienākumu un saistību pārbaudi. Arī no studējošā viedokļa ir jāvēršas vien kredītiestādē, no augstskolas puses ir jābūt ievadītiem datiem par studējošo Studējošo un absolventu reģistrā</w:t>
            </w:r>
            <w:r w:rsidR="00C07255" w:rsidRPr="00A05721">
              <w:t>.</w:t>
            </w:r>
            <w:r w:rsidR="00C935A0">
              <w:t>”</w:t>
            </w:r>
          </w:p>
          <w:p w14:paraId="2D134C82" w14:textId="77777777" w:rsidR="00C07255" w:rsidRPr="00A53FD3" w:rsidRDefault="00C07255" w:rsidP="00552933"/>
          <w:p w14:paraId="586AD7BD" w14:textId="3A908329" w:rsidR="00A53FD3" w:rsidRPr="00A53FD3" w:rsidRDefault="00C935A0" w:rsidP="00552933">
            <w:r>
              <w:t xml:space="preserve">Papildināta projekta </w:t>
            </w:r>
            <w:r w:rsidR="00A53FD3" w:rsidRPr="00A53FD3">
              <w:t xml:space="preserve">sadaļa </w:t>
            </w:r>
            <w:r w:rsidR="00A53FD3">
              <w:t>“</w:t>
            </w:r>
            <w:r w:rsidR="00A53FD3" w:rsidRPr="00A53FD3">
              <w:t>Jaunais kreditēšanas modelis</w:t>
            </w:r>
            <w:r w:rsidR="00A53FD3">
              <w:t xml:space="preserve">”: </w:t>
            </w:r>
          </w:p>
          <w:p w14:paraId="15E35690" w14:textId="77777777" w:rsidR="00A53FD3" w:rsidRDefault="00A53FD3" w:rsidP="00552933">
            <w:pPr>
              <w:rPr>
                <w:i/>
              </w:rPr>
            </w:pPr>
          </w:p>
          <w:p w14:paraId="4D7C912D" w14:textId="3E1F5D76" w:rsidR="00A53FD3" w:rsidRPr="00A53FD3" w:rsidRDefault="00C935A0" w:rsidP="00A53FD3">
            <w:pPr>
              <w:jc w:val="both"/>
            </w:pPr>
            <w:r>
              <w:t>“</w:t>
            </w:r>
            <w:r w:rsidR="00A53FD3" w:rsidRPr="00A53FD3">
              <w:t xml:space="preserve">Saskaņā ar tiesiskās paļāvības principu būs jāturpina līdz 01.04.2020. noslēgto studiju un studējošo līgumu administrēšana saskaņā ar pašlaik spēkā esošo normatīvo regulējumu, kamēr kredīti tiks atmaksāti vai dzēsti, kas ilgst līdz 15 gadiem (studiju laiks ieskaitot iespējamos pārtraukumus, vienu gadu pēc absolvēšanas atmaksa tiek atlikta, 10 gadus atmaksas termiņš). Tam joprojām būs nepieciešama </w:t>
            </w:r>
            <w:r w:rsidR="00A53FD3" w:rsidRPr="00A53FD3">
              <w:lastRenderedPageBreak/>
              <w:t>to funkciju veikšana, kurus šobrīd veic SZA. Mainot kreditēšanas modeli, ir pārskatāmas SZA funkcijas un tas notiks saskaņā ar Valdības rīcības plāna 40.1 punktu “Izveidot vienu spēcīgu vienotu zinātnes administrējošo institūciju, apvienojot esošos institucionālos resursus” ar izpildes termiņu 31.12.2019, jo SZA ir iesaistīta arī valsts pētījumu programmu un fundamentā</w:t>
            </w:r>
            <w:r>
              <w:t>l</w:t>
            </w:r>
            <w:r w:rsidR="00A53FD3" w:rsidRPr="00A53FD3">
              <w:t>o un lietišķo pētījumu programmu administrēšanā, līdz ar to SZA funkciju pārskatīšana ir veicama kompleksi.</w:t>
            </w:r>
            <w:r>
              <w:t>”</w:t>
            </w:r>
          </w:p>
          <w:p w14:paraId="3EDA5466" w14:textId="77777777" w:rsidR="00A53FD3" w:rsidRDefault="00A53FD3" w:rsidP="00A53FD3">
            <w:pPr>
              <w:jc w:val="both"/>
              <w:rPr>
                <w:i/>
              </w:rPr>
            </w:pPr>
          </w:p>
          <w:p w14:paraId="54EF475D" w14:textId="1CE141A6" w:rsidR="00FC01EB" w:rsidRPr="00C07255" w:rsidRDefault="00C935A0" w:rsidP="00A53FD3">
            <w:pPr>
              <w:jc w:val="both"/>
            </w:pPr>
            <w:r w:rsidRPr="00C935A0">
              <w:t>Protokollēmuma</w:t>
            </w:r>
            <w:r>
              <w:rPr>
                <w:i/>
              </w:rPr>
              <w:t xml:space="preserve"> </w:t>
            </w:r>
            <w:r w:rsidR="00AC3767" w:rsidRPr="00C07255">
              <w:t xml:space="preserve">projekts papildināts ar </w:t>
            </w:r>
            <w:r>
              <w:t xml:space="preserve">6. </w:t>
            </w:r>
            <w:r w:rsidR="00AC3767" w:rsidRPr="00C07255">
              <w:t>punktu: “</w:t>
            </w:r>
            <w:r>
              <w:t xml:space="preserve">6. </w:t>
            </w:r>
            <w:r w:rsidR="00AC3767" w:rsidRPr="00C07255">
              <w:t>Izglītības un zinātnes ministrijai pārskatīt Studiju un zinātnes administrācijas funkcijas saskaņā ar Valdības rīcības plāna 40.1 punktu “Izveidot vienu spēcīgu vienotu zinātnes administrējošo institūciju, apvienojot esošos institucionālos resursus” ar izpildes termiņu 31.12.2019.”</w:t>
            </w:r>
          </w:p>
        </w:tc>
      </w:tr>
      <w:tr w:rsidR="008E6778" w:rsidRPr="001801C2" w14:paraId="0752409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1E7E2CB" w14:textId="77777777" w:rsidR="008E6778" w:rsidRPr="001801C2" w:rsidRDefault="008E677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7F45099" w14:textId="46832F5A" w:rsidR="008962AF" w:rsidRDefault="007A3FC8" w:rsidP="00552933">
            <w:r>
              <w:t xml:space="preserve">Protokollēumuma </w:t>
            </w:r>
            <w:r w:rsidR="008962AF">
              <w:t>projekta 5.</w:t>
            </w:r>
            <w:r>
              <w:t xml:space="preserve"> </w:t>
            </w:r>
            <w:r w:rsidR="008962AF">
              <w:t>punkts:</w:t>
            </w:r>
          </w:p>
          <w:p w14:paraId="72C4E907" w14:textId="77777777" w:rsidR="008962AF" w:rsidRDefault="008962AF" w:rsidP="00552933"/>
          <w:p w14:paraId="072C9DAB" w14:textId="77777777" w:rsidR="008E6778" w:rsidRPr="00C07255" w:rsidRDefault="008962AF" w:rsidP="007A3FC8">
            <w:pPr>
              <w:jc w:val="both"/>
            </w:pPr>
            <w:r w:rsidRPr="008962AF">
              <w:t>5.</w:t>
            </w:r>
            <w:r w:rsidRPr="008962AF">
              <w:tab/>
              <w:t>Labklājības ministrijai sadarbībā ar Izglītības un zinātnes ministriju izvērtēt iespēju studējošo kredītu dzēšanu bērnu piedzimšanas gadījumos par studējošo kredītu līgumiem, kas tiks noslēgti no 2020. gada 1.aprīļa nodot administrēšanai Valsts sociālās apdrošināšanas aģentūrā (turpmāk - VSAA), kas administrē maternitātes pabalstus un bērna piedzimšanas pabalstus, paredzot tam līdzekļus VSAA budžetā.</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A960CB" w14:textId="77777777" w:rsidR="003C310F" w:rsidRPr="009A432F" w:rsidRDefault="003C310F" w:rsidP="003C310F">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3B95FE1" w14:textId="4C20B02A" w:rsidR="003C310F" w:rsidRDefault="003C310F" w:rsidP="00682803">
            <w:pPr>
              <w:widowControl w:val="0"/>
              <w:jc w:val="both"/>
              <w:rPr>
                <w:rFonts w:eastAsia="Calibri"/>
              </w:rPr>
            </w:pPr>
            <w:r w:rsidRPr="00F56601">
              <w:rPr>
                <w:rFonts w:eastAsia="Calibri"/>
              </w:rPr>
              <w:t>Konceptuālajā ziņojumā netiek sniegts skaidrojums, kāpēc studējošo kredītu dzēšanu bērnu dzimšanas gadījumos no 2020.gada 1.aprīļa būtu jāadministrē Valsts sociālās apdrošināšanas aģentūrai (turpmāk - VSAA), līdz ar to nesaskatām nepieciešamību administrēšanas funkciju nodot VSAA. Vienlaikus, ņemot vērā, ka Labklājības ministrija (turpmāk - LM) ir vadošā valsts pārvaldes iestāde bērnu un ģimenes tiesību jomā, tad būtisks ir LM viedoklis par rīkojuma projekta 5.punktā un attiecīgi konceptuālā ziņojuma projektā norādīto.</w:t>
            </w:r>
          </w:p>
          <w:p w14:paraId="09A01DF2" w14:textId="77777777" w:rsidR="003C310F" w:rsidRDefault="003C310F" w:rsidP="00682803">
            <w:pPr>
              <w:widowControl w:val="0"/>
              <w:jc w:val="both"/>
              <w:rPr>
                <w:rFonts w:eastAsia="Calibri"/>
              </w:rPr>
            </w:pPr>
          </w:p>
          <w:p w14:paraId="2A83AD69" w14:textId="1D13231C" w:rsidR="003C310F" w:rsidRPr="003737D8" w:rsidRDefault="003C310F" w:rsidP="00682803">
            <w:pPr>
              <w:widowControl w:val="0"/>
              <w:jc w:val="both"/>
              <w:rPr>
                <w:rFonts w:eastAsia="Calibri"/>
                <w:b/>
                <w:lang w:eastAsia="en-US"/>
              </w:rPr>
            </w:pPr>
            <w:r>
              <w:rPr>
                <w:rFonts w:eastAsia="Calibri"/>
                <w:b/>
                <w:lang w:eastAsia="en-US"/>
              </w:rPr>
              <w:t>Labklājības</w:t>
            </w:r>
            <w:r w:rsidRPr="009A432F">
              <w:rPr>
                <w:rFonts w:eastAsia="Calibri"/>
                <w:b/>
                <w:lang w:eastAsia="en-US"/>
              </w:rPr>
              <w:t xml:space="preserve"> ministrija (</w:t>
            </w:r>
            <w:r>
              <w:rPr>
                <w:rFonts w:eastAsia="Calibri"/>
                <w:b/>
                <w:lang w:eastAsia="en-US"/>
              </w:rPr>
              <w:t>2</w:t>
            </w:r>
            <w:r w:rsidR="008962AF">
              <w:rPr>
                <w:rFonts w:eastAsia="Calibri"/>
                <w:b/>
                <w:lang w:eastAsia="en-US"/>
              </w:rPr>
              <w:t>4</w:t>
            </w:r>
            <w:r w:rsidRPr="009A432F">
              <w:rPr>
                <w:rFonts w:eastAsia="Calibri"/>
                <w:b/>
                <w:lang w:eastAsia="en-US"/>
              </w:rPr>
              <w:t xml:space="preserve">.05.2019. vēstule Nr. </w:t>
            </w:r>
            <w:r w:rsidR="008962AF" w:rsidRPr="008962AF">
              <w:rPr>
                <w:rFonts w:eastAsia="Calibri"/>
                <w:b/>
                <w:lang w:eastAsia="en-US"/>
              </w:rPr>
              <w:t>40-1-04/963</w:t>
            </w:r>
            <w:r w:rsidRPr="009A432F">
              <w:rPr>
                <w:rFonts w:eastAsia="Calibri"/>
                <w:b/>
                <w:lang w:eastAsia="en-US"/>
              </w:rPr>
              <w:t xml:space="preserve">): </w:t>
            </w:r>
          </w:p>
          <w:p w14:paraId="18A06BD7" w14:textId="77777777" w:rsidR="008962AF" w:rsidRDefault="008962AF" w:rsidP="00682803">
            <w:pPr>
              <w:widowControl w:val="0"/>
              <w:jc w:val="both"/>
              <w:rPr>
                <w:rFonts w:eastAsia="Calibri"/>
              </w:rPr>
            </w:pPr>
            <w:r w:rsidRPr="008962AF">
              <w:rPr>
                <w:rFonts w:eastAsia="Calibri"/>
              </w:rPr>
              <w:t xml:space="preserve">Saskaņā ar Ministru kabineta 2012.gada 18.decembra noteikumu Nr.911 „Valsts sociālās apdrošināšanas aģentūras nolikums” Valsts sociālās apdrošināšanas aģentūra (turpmāk – VSAA) ir labklājības ministra </w:t>
            </w:r>
            <w:r w:rsidRPr="008962AF">
              <w:rPr>
                <w:rFonts w:eastAsia="Calibri"/>
              </w:rPr>
              <w:lastRenderedPageBreak/>
              <w:t>pārraudzībā esoša tiešās pārvaldes iestāde, kuras darbības mērķis ir īstenot valsts politiku sociālās apdrošināšanas un valsts sociālo pabalstu jomā, kā arī administrēt valsts izdienas pensijas un valsts fondēto pensiju shēmu. Savukārt kredīti un to dzēšana nav VSAA raksturīga funkcija, kā rezultātā Labklājības ministrija iebilst, ka VSAA administrētu studiju kredītu dzēšanu, tādejādi lūdzam svītrot rīkojuma projekta 5.punktu.</w:t>
            </w:r>
          </w:p>
          <w:p w14:paraId="5D55D0A6" w14:textId="77777777" w:rsidR="003C310F" w:rsidRDefault="003C310F" w:rsidP="00682803">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0325D53" w14:textId="77777777" w:rsidR="008E6778" w:rsidRPr="00E02225" w:rsidRDefault="008962AF" w:rsidP="00E02225">
            <w:pPr>
              <w:jc w:val="center"/>
              <w:rPr>
                <w:rFonts w:eastAsia="Calibri"/>
                <w:b/>
              </w:rPr>
            </w:pPr>
            <w:r w:rsidRPr="00E02225">
              <w:rPr>
                <w:rFonts w:eastAsia="Calibri"/>
                <w:b/>
              </w:rPr>
              <w:lastRenderedPageBreak/>
              <w:t>Ņemts vērā.</w:t>
            </w:r>
          </w:p>
          <w:p w14:paraId="67331E01" w14:textId="77777777" w:rsidR="00E02225" w:rsidRDefault="00E02225" w:rsidP="003B02F0">
            <w:pPr>
              <w:jc w:val="both"/>
              <w:rPr>
                <w:rFonts w:eastAsia="Calibri"/>
              </w:rPr>
            </w:pPr>
          </w:p>
          <w:p w14:paraId="2F12F8F0" w14:textId="77777777" w:rsidR="00E02225" w:rsidRDefault="00773B0E" w:rsidP="003B02F0">
            <w:pPr>
              <w:jc w:val="both"/>
              <w:rPr>
                <w:rFonts w:eastAsia="Calibri"/>
              </w:rPr>
            </w:pPr>
            <w:r>
              <w:rPr>
                <w:rFonts w:eastAsia="Calibri"/>
              </w:rPr>
              <w:t xml:space="preserve">Papildināta ziņojuma sadaļa </w:t>
            </w:r>
            <w:r w:rsidR="00E02225">
              <w:rPr>
                <w:rFonts w:eastAsia="Calibri"/>
              </w:rPr>
              <w:t>“</w:t>
            </w:r>
            <w:r w:rsidR="00E02225" w:rsidRPr="00E02225">
              <w:rPr>
                <w:rFonts w:eastAsia="Calibri"/>
              </w:rPr>
              <w:t>Studējošā kredītu dzēšana bērnu dzimšanas gadījumos</w:t>
            </w:r>
            <w:r w:rsidR="00E02225">
              <w:rPr>
                <w:rFonts w:eastAsia="Calibri"/>
              </w:rPr>
              <w:t xml:space="preserve">”. </w:t>
            </w:r>
          </w:p>
          <w:p w14:paraId="05E4CA3C" w14:textId="77777777" w:rsidR="008962AF" w:rsidRDefault="00E02225" w:rsidP="00057D93">
            <w:pPr>
              <w:jc w:val="both"/>
              <w:rPr>
                <w:rFonts w:eastAsia="Calibri"/>
              </w:rPr>
            </w:pPr>
            <w:r>
              <w:rPr>
                <w:rFonts w:eastAsia="Calibri"/>
              </w:rPr>
              <w:t>Izs</w:t>
            </w:r>
            <w:r w:rsidR="003B02F0" w:rsidRPr="00E02225">
              <w:rPr>
                <w:rFonts w:eastAsia="Calibri"/>
              </w:rPr>
              <w:t>t</w:t>
            </w:r>
            <w:r>
              <w:rPr>
                <w:rFonts w:eastAsia="Calibri"/>
              </w:rPr>
              <w:t>rādājot</w:t>
            </w:r>
            <w:r w:rsidR="003B02F0" w:rsidRPr="00E02225">
              <w:rPr>
                <w:rFonts w:eastAsia="Calibri"/>
              </w:rPr>
              <w:t xml:space="preserve"> normatīvo regulējumu, kā arī pārskatot SZA funkcijas kopumā saskaņā ar </w:t>
            </w:r>
            <w:r w:rsidR="003B02F0" w:rsidRPr="00E02225">
              <w:t xml:space="preserve">Valdības rīcības plāna 40.1 punktu ministrijas ieskatā ir jāizvērtē iespējas vienkāršot dzēšanas procedūru bērnu piedzimšanas gadījumos gan no pakalpojumu saņēmēju, gan no valsts pārvaldes procedūru viedokļa. </w:t>
            </w:r>
            <w:r w:rsidR="00057D93">
              <w:t>Labās pārvaldības princips ir, ka pakalpojumu saņēmējiem nav atkārtoti jāsniedz valsts pārvaldes iestādei informācija, kas jau ir citas valsts pārvaldes iestādes rīcībā. Konsultējoties ar FNA, kā risinājumu redzam PMLP reģistra izmantošanu fakta pārbaudei par jaundzimušo bērnu izziņu vietā vai VSAA vietā; ja šobrīd kredītiestādēm funkcionē datu apmaiņa ar PMLP reģistriem par citiem jautājumiem.</w:t>
            </w:r>
          </w:p>
        </w:tc>
        <w:tc>
          <w:tcPr>
            <w:tcW w:w="2986" w:type="dxa"/>
            <w:tcBorders>
              <w:top w:val="single" w:sz="4" w:space="0" w:color="auto"/>
              <w:left w:val="single" w:sz="4" w:space="0" w:color="auto"/>
              <w:bottom w:val="single" w:sz="4" w:space="0" w:color="auto"/>
            </w:tcBorders>
          </w:tcPr>
          <w:p w14:paraId="6AC6AD4E" w14:textId="77777777" w:rsidR="00057D93" w:rsidRDefault="00057D93" w:rsidP="008962AF"/>
          <w:p w14:paraId="62F37D66" w14:textId="731E43E2" w:rsidR="008962AF" w:rsidRDefault="008962AF" w:rsidP="008962AF">
            <w:r>
              <w:t xml:space="preserve">Svītrots </w:t>
            </w:r>
            <w:r w:rsidR="007A3FC8">
              <w:t xml:space="preserve">protokollēmuma </w:t>
            </w:r>
            <w:r>
              <w:t>projekta 5.punkts.</w:t>
            </w:r>
          </w:p>
          <w:p w14:paraId="321E99D5" w14:textId="77777777" w:rsidR="00E02225" w:rsidRDefault="00E02225" w:rsidP="008962AF"/>
          <w:p w14:paraId="5B0049CF" w14:textId="5D93F7FF" w:rsidR="00E02225" w:rsidRDefault="00E02225" w:rsidP="00E02225">
            <w:pPr>
              <w:jc w:val="both"/>
              <w:rPr>
                <w:rFonts w:eastAsia="Calibri"/>
              </w:rPr>
            </w:pPr>
            <w:r>
              <w:rPr>
                <w:rFonts w:eastAsia="Calibri"/>
              </w:rPr>
              <w:t>Papildināta</w:t>
            </w:r>
            <w:r w:rsidR="007A3FC8" w:rsidRPr="004469B5">
              <w:t xml:space="preserve"> </w:t>
            </w:r>
            <w:r w:rsidR="007A3FC8">
              <w:t>projekta</w:t>
            </w:r>
            <w:r>
              <w:rPr>
                <w:rFonts w:eastAsia="Calibri"/>
              </w:rPr>
              <w:t xml:space="preserve"> sadaļa “</w:t>
            </w:r>
            <w:r w:rsidRPr="00E02225">
              <w:rPr>
                <w:rFonts w:eastAsia="Calibri"/>
              </w:rPr>
              <w:t>Studējošā kredītu dzēšana bērnu dzimšanas gadījumos</w:t>
            </w:r>
            <w:r>
              <w:rPr>
                <w:rFonts w:eastAsia="Calibri"/>
              </w:rPr>
              <w:t>”</w:t>
            </w:r>
            <w:r w:rsidR="00057D93">
              <w:rPr>
                <w:rFonts w:eastAsia="Calibri"/>
              </w:rPr>
              <w:t>:</w:t>
            </w:r>
          </w:p>
          <w:p w14:paraId="21F3C1B9" w14:textId="77777777" w:rsidR="007A3FC8" w:rsidRDefault="007A3FC8" w:rsidP="00E02225">
            <w:pPr>
              <w:jc w:val="both"/>
              <w:rPr>
                <w:rFonts w:eastAsia="Calibri"/>
              </w:rPr>
            </w:pPr>
          </w:p>
          <w:p w14:paraId="351C6457" w14:textId="67F8E81E" w:rsidR="00057D93" w:rsidRDefault="007A3FC8" w:rsidP="00E02225">
            <w:pPr>
              <w:jc w:val="both"/>
              <w:rPr>
                <w:rFonts w:eastAsia="Calibri"/>
              </w:rPr>
            </w:pPr>
            <w:r>
              <w:rPr>
                <w:rFonts w:eastAsia="Calibri"/>
              </w:rPr>
              <w:t>“</w:t>
            </w:r>
            <w:r w:rsidR="00057D93" w:rsidRPr="00057D93">
              <w:rPr>
                <w:rFonts w:eastAsia="Calibri"/>
              </w:rPr>
              <w:t>Jaunajā sistēmā plānota sekojošā kārtība: studējošais vēršas kredītiestādē, kura ir izsniegusi kredītu, caur internetbanku izmantojot standartizēto iesniegumu, norādot bērna personas kodu. Kredītiestādes izmantojot Valsts informācijas sistēmu savietotāju pārbaudīs informāciju Pilsonības un migrācijas lietu pārvaldes (turpmāk- PMLP) reģistros. Reizi mēnesī kredītiestādes informēs SZA par dzēšamajām kredītu summām un SZA pārskaitīs finansējumu kredītiestādēm.</w:t>
            </w:r>
            <w:r>
              <w:rPr>
                <w:rFonts w:eastAsia="Calibri"/>
              </w:rPr>
              <w:t>”</w:t>
            </w:r>
          </w:p>
          <w:p w14:paraId="1D4224CA" w14:textId="77777777" w:rsidR="00E02225" w:rsidRDefault="00E02225" w:rsidP="008962AF"/>
          <w:p w14:paraId="0D8A224B" w14:textId="77777777" w:rsidR="008E6778" w:rsidRPr="00C07255" w:rsidRDefault="008E6778" w:rsidP="00C07255"/>
        </w:tc>
      </w:tr>
      <w:tr w:rsidR="008E6778" w:rsidRPr="001801C2" w14:paraId="1C9E5524"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9855E56" w14:textId="77777777" w:rsidR="008E6778" w:rsidRPr="001801C2" w:rsidRDefault="008E677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C80F5E4" w14:textId="03C4F54B" w:rsidR="008E6778" w:rsidRPr="00C07255" w:rsidRDefault="007A3FC8" w:rsidP="00552933">
            <w:r w:rsidRPr="004469B5">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A65EDFD" w14:textId="77777777" w:rsidR="005458A7" w:rsidRPr="009A432F" w:rsidRDefault="005458A7" w:rsidP="005458A7">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04C889B1" w14:textId="3976B9C1" w:rsidR="005458A7" w:rsidRPr="003737D8" w:rsidRDefault="005458A7" w:rsidP="003737D8">
            <w:pPr>
              <w:widowControl w:val="0"/>
              <w:spacing w:after="120" w:line="276" w:lineRule="auto"/>
              <w:jc w:val="both"/>
              <w:rPr>
                <w:rFonts w:eastAsia="Calibri"/>
              </w:rPr>
            </w:pPr>
            <w:r>
              <w:rPr>
                <w:rFonts w:eastAsia="Calibri"/>
              </w:rPr>
              <w:t>Aicinām izvērtēt, vai jaun</w:t>
            </w:r>
            <w:r w:rsidRPr="00DE0676">
              <w:rPr>
                <w:rFonts w:eastAsia="Calibri"/>
              </w:rPr>
              <w:t xml:space="preserve">ā studiju un studējošo kreditēšanas modeļa ietvaros netiek sniegts valsts atbalsts kredītiestādēm (starpniekiem), par prioritāti izvirzot biznesa </w:t>
            </w:r>
            <w:r w:rsidRPr="005458A7">
              <w:rPr>
                <w:rFonts w:eastAsia="Calibri"/>
              </w:rPr>
              <w:t>mērķus, piemēram, ieviešot tikai kredītu piedziņas bezstrīdus kārtību.</w:t>
            </w:r>
            <w:r w:rsidRPr="00DE0676">
              <w:rPr>
                <w:rFonts w:eastAsia="Calibri"/>
              </w:rPr>
              <w:t xml:space="preserve">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4943B1D" w14:textId="062E993F" w:rsidR="007A3FC8" w:rsidRPr="007A3FC8" w:rsidRDefault="007A3FC8" w:rsidP="007A3FC8">
            <w:pPr>
              <w:jc w:val="center"/>
              <w:rPr>
                <w:rFonts w:eastAsia="Calibri"/>
                <w:b/>
              </w:rPr>
            </w:pPr>
            <w:r w:rsidRPr="007A3FC8">
              <w:rPr>
                <w:rFonts w:eastAsia="Calibri"/>
                <w:b/>
              </w:rPr>
              <w:t>Ņemts vērā</w:t>
            </w:r>
          </w:p>
          <w:p w14:paraId="1C56EFDE" w14:textId="77777777" w:rsidR="008E6778" w:rsidRDefault="0048527A" w:rsidP="00134FCC">
            <w:pPr>
              <w:jc w:val="both"/>
              <w:rPr>
                <w:rFonts w:eastAsia="Calibri"/>
              </w:rPr>
            </w:pPr>
            <w:r w:rsidRPr="0048527A">
              <w:rPr>
                <w:rFonts w:eastAsia="Calibri"/>
              </w:rPr>
              <w:t xml:space="preserve">Ņemot vērā esošo samēro nelielo studiju un studējošā kredītu portfeli, kā arī relatīvi nelielo paredzamo kredītu skaitu, </w:t>
            </w:r>
            <w:r>
              <w:rPr>
                <w:rFonts w:eastAsia="Calibri"/>
              </w:rPr>
              <w:t>ministrijas ieskatā nav pamata apgalvot</w:t>
            </w:r>
            <w:r w:rsidRPr="0048527A">
              <w:rPr>
                <w:rFonts w:eastAsia="Calibri"/>
              </w:rPr>
              <w:t xml:space="preserve">, ka šie kredīti būtu </w:t>
            </w:r>
            <w:r>
              <w:rPr>
                <w:rFonts w:eastAsia="Calibri"/>
              </w:rPr>
              <w:t>kredītiestāžu</w:t>
            </w:r>
            <w:r w:rsidRPr="0048527A">
              <w:rPr>
                <w:rFonts w:eastAsia="Calibri"/>
              </w:rPr>
              <w:t xml:space="preserve"> biznesa mērķis</w:t>
            </w:r>
            <w:r>
              <w:rPr>
                <w:rFonts w:eastAsia="Calibri"/>
              </w:rPr>
              <w:t>. B</w:t>
            </w:r>
            <w:r w:rsidR="005458A7" w:rsidRPr="005458A7">
              <w:rPr>
                <w:rFonts w:eastAsia="Calibri"/>
              </w:rPr>
              <w:t>ezstrīdus kārtība ir paredzēta Civilprocesa likumā ikvienam un nav uzskatāma par kādu īpašu valsts atbalsta veidu.</w:t>
            </w:r>
          </w:p>
          <w:p w14:paraId="4E3CE3B3" w14:textId="77777777" w:rsidR="00134FCC" w:rsidRDefault="00134FCC" w:rsidP="00134FCC">
            <w:pPr>
              <w:jc w:val="both"/>
              <w:rPr>
                <w:rFonts w:eastAsia="Calibri"/>
              </w:rPr>
            </w:pPr>
          </w:p>
        </w:tc>
        <w:tc>
          <w:tcPr>
            <w:tcW w:w="2986" w:type="dxa"/>
            <w:tcBorders>
              <w:top w:val="single" w:sz="4" w:space="0" w:color="auto"/>
              <w:left w:val="single" w:sz="4" w:space="0" w:color="auto"/>
              <w:bottom w:val="single" w:sz="4" w:space="0" w:color="auto"/>
            </w:tcBorders>
          </w:tcPr>
          <w:p w14:paraId="10F831E2" w14:textId="25067A72" w:rsidR="008E6778" w:rsidRPr="00C07255" w:rsidRDefault="007A3FC8" w:rsidP="00C07255">
            <w:r w:rsidRPr="004469B5">
              <w:t>Projekts</w:t>
            </w:r>
          </w:p>
        </w:tc>
      </w:tr>
      <w:tr w:rsidR="005D45F1" w:rsidRPr="001801C2" w14:paraId="281950E9" w14:textId="77777777" w:rsidTr="005846DF">
        <w:tc>
          <w:tcPr>
            <w:tcW w:w="708" w:type="dxa"/>
            <w:tcBorders>
              <w:top w:val="single" w:sz="6" w:space="0" w:color="000000"/>
              <w:left w:val="single" w:sz="6" w:space="0" w:color="000000"/>
              <w:bottom w:val="single" w:sz="6" w:space="0" w:color="000000"/>
              <w:right w:val="single" w:sz="6" w:space="0" w:color="000000"/>
            </w:tcBorders>
          </w:tcPr>
          <w:p w14:paraId="0134F5BD" w14:textId="77777777" w:rsidR="005D45F1" w:rsidRPr="001801C2" w:rsidRDefault="005D45F1" w:rsidP="00552933">
            <w:pPr>
              <w:jc w:val="right"/>
            </w:pPr>
          </w:p>
        </w:tc>
        <w:tc>
          <w:tcPr>
            <w:tcW w:w="3112" w:type="dxa"/>
            <w:tcBorders>
              <w:top w:val="single" w:sz="4" w:space="0" w:color="auto"/>
              <w:left w:val="single" w:sz="6" w:space="0" w:color="000000"/>
              <w:bottom w:val="single" w:sz="4" w:space="0" w:color="auto"/>
              <w:right w:val="single" w:sz="6" w:space="0" w:color="000000"/>
            </w:tcBorders>
            <w:shd w:val="clear" w:color="auto" w:fill="auto"/>
          </w:tcPr>
          <w:p w14:paraId="67C3F4DA" w14:textId="5971AAED" w:rsidR="005D45F1" w:rsidRDefault="007A3FC8" w:rsidP="00607463">
            <w:pPr>
              <w:jc w:val="both"/>
            </w:pPr>
            <w:r w:rsidRPr="004469B5">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3953AF1" w14:textId="77777777" w:rsidR="005D45F1" w:rsidRDefault="005D45F1" w:rsidP="00154752">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w:t>
            </w:r>
          </w:p>
          <w:p w14:paraId="65691205" w14:textId="74D8FD4E" w:rsidR="005D45F1" w:rsidRPr="008E5D75" w:rsidRDefault="005D45F1" w:rsidP="00154752">
            <w:pPr>
              <w:widowControl w:val="0"/>
              <w:jc w:val="both"/>
              <w:rPr>
                <w:rFonts w:eastAsia="Calibri"/>
              </w:rPr>
            </w:pPr>
            <w:r w:rsidRPr="008E5D75">
              <w:rPr>
                <w:rFonts w:eastAsia="Calibri"/>
              </w:rPr>
              <w:lastRenderedPageBreak/>
              <w:t>Gadījumā, ja jaunais modelis tiek īstenots ar AS “Altum” starpniecību, lūdzam sagatavot jaunā modeļa programmas izvērtējumu, norādot visas nepieciešamās izmaksas, uzkrājumus riska administrēšanai, kā arī paredzamos zaudējumus. Ja minētā informācija konceptuālajā ziņojumā netiek sniegta, tad konceptuālais ziņojums nesniedz pilnīgu informāciju par tā reālajām izmaksām. Turklāt lūdzam konceptuālajā ziņojumā skaidrot, kādā veidā Izglītības un zinātnes ministrija nodrošinās AS “Altum” riska segumu. Vai tas tiks pārskaitīts AS “Altum” uzreiz gada sākumā, vai pēc fakta?</w:t>
            </w:r>
          </w:p>
          <w:p w14:paraId="0AE53A96" w14:textId="77777777" w:rsidR="005D45F1" w:rsidRDefault="005D45F1" w:rsidP="00154752">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7054E22" w14:textId="77777777" w:rsidR="005D45F1" w:rsidRDefault="005846DF" w:rsidP="00057D93">
            <w:pPr>
              <w:jc w:val="center"/>
              <w:rPr>
                <w:rFonts w:eastAsia="Calibri"/>
                <w:b/>
              </w:rPr>
            </w:pPr>
            <w:r>
              <w:rPr>
                <w:rFonts w:eastAsia="Calibri"/>
                <w:b/>
              </w:rPr>
              <w:lastRenderedPageBreak/>
              <w:t>Ņemts vērā</w:t>
            </w:r>
            <w:r w:rsidR="0008019D">
              <w:rPr>
                <w:rFonts w:eastAsia="Calibri"/>
                <w:b/>
              </w:rPr>
              <w:t xml:space="preserve"> pēc būtības</w:t>
            </w:r>
          </w:p>
          <w:p w14:paraId="41932653" w14:textId="77777777" w:rsidR="005846DF" w:rsidRDefault="005846DF" w:rsidP="005846DF">
            <w:pPr>
              <w:jc w:val="both"/>
              <w:rPr>
                <w:rFonts w:eastAsia="Calibri"/>
              </w:rPr>
            </w:pPr>
            <w:r w:rsidRPr="005846DF">
              <w:rPr>
                <w:rFonts w:eastAsia="Calibri"/>
              </w:rPr>
              <w:t>Pienākums sagatavot programmas izvērtējumu noteikts A</w:t>
            </w:r>
            <w:r>
              <w:rPr>
                <w:rFonts w:eastAsia="Calibri"/>
              </w:rPr>
              <w:t xml:space="preserve">ttīstības finanšu </w:t>
            </w:r>
            <w:r>
              <w:rPr>
                <w:rFonts w:eastAsia="Calibri"/>
              </w:rPr>
              <w:lastRenderedPageBreak/>
              <w:t>institūcijas</w:t>
            </w:r>
            <w:r w:rsidRPr="005846DF">
              <w:rPr>
                <w:rFonts w:eastAsia="Calibri"/>
              </w:rPr>
              <w:t xml:space="preserve"> likuma 12.panta 3.daļā. Balstoties uz konceptuālo ziņojumu, MK tikai lems par studentu kreditēšanas sistēmas maiņu. Līdz ar to pašreiz nav zināms, kādi būs konkrētie </w:t>
            </w:r>
            <w:r>
              <w:rPr>
                <w:rFonts w:eastAsia="Calibri"/>
              </w:rPr>
              <w:t>“</w:t>
            </w:r>
            <w:r w:rsidRPr="005846DF">
              <w:rPr>
                <w:rFonts w:eastAsia="Calibri"/>
              </w:rPr>
              <w:t>Altum</w:t>
            </w:r>
            <w:r>
              <w:rPr>
                <w:rFonts w:eastAsia="Calibri"/>
              </w:rPr>
              <w:t>”</w:t>
            </w:r>
            <w:r w:rsidRPr="005846DF">
              <w:rPr>
                <w:rFonts w:eastAsia="Calibri"/>
              </w:rPr>
              <w:t xml:space="preserve"> pienākumi (MK noteikumu saturs) un programmas ieviešanas nosacījumi, tādēļ novērtējums nav gatavojams pašreiz, bet tiks izstrādāts pirms MK noteikumu apstiprināšanas.</w:t>
            </w:r>
            <w:r>
              <w:rPr>
                <w:rFonts w:eastAsia="Calibri"/>
              </w:rPr>
              <w:t xml:space="preserve"> Arī līgums starp ministriju un “Altum” tiks izstrādāts pēc MK konceptuālā lēmuma</w:t>
            </w:r>
            <w:r w:rsidR="0008019D">
              <w:rPr>
                <w:rFonts w:eastAsia="Calibri"/>
              </w:rPr>
              <w:t>, tas nav konceptuālā ziņojuma jautājums</w:t>
            </w:r>
            <w:r>
              <w:rPr>
                <w:rFonts w:eastAsia="Calibri"/>
              </w:rPr>
              <w:t>.</w:t>
            </w:r>
            <w:r w:rsidR="008E5D75">
              <w:rPr>
                <w:rFonts w:eastAsia="Calibri"/>
              </w:rPr>
              <w:t xml:space="preserve"> Provizoriski, “Altum” rīcībā jau būtu jābūt riska segumam, kad “Altum” slēdz līgumus ar kredītiestādēm.</w:t>
            </w:r>
          </w:p>
          <w:p w14:paraId="45320BEE" w14:textId="77777777" w:rsidR="008E5D75" w:rsidRPr="005846DF" w:rsidRDefault="008E5D75" w:rsidP="005846DF">
            <w:pPr>
              <w:jc w:val="both"/>
              <w:rPr>
                <w:rFonts w:eastAsia="Calibri"/>
              </w:rPr>
            </w:pPr>
          </w:p>
        </w:tc>
        <w:tc>
          <w:tcPr>
            <w:tcW w:w="2986" w:type="dxa"/>
            <w:tcBorders>
              <w:top w:val="single" w:sz="4" w:space="0" w:color="auto"/>
              <w:left w:val="single" w:sz="4" w:space="0" w:color="auto"/>
              <w:bottom w:val="single" w:sz="4" w:space="0" w:color="auto"/>
            </w:tcBorders>
          </w:tcPr>
          <w:p w14:paraId="2C0071C5" w14:textId="78B7330A" w:rsidR="005D45F1" w:rsidRDefault="007A3FC8" w:rsidP="00417EF4">
            <w:pPr>
              <w:jc w:val="both"/>
            </w:pPr>
            <w:r w:rsidRPr="004469B5">
              <w:lastRenderedPageBreak/>
              <w:t>Projekts</w:t>
            </w:r>
          </w:p>
        </w:tc>
      </w:tr>
      <w:tr w:rsidR="008E6778" w:rsidRPr="001801C2" w14:paraId="34CCA1EF"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E41B2EA" w14:textId="77777777" w:rsidR="008E6778" w:rsidRPr="001801C2" w:rsidRDefault="008E677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6979A4A8" w14:textId="1E8B1EDE" w:rsidR="00607463" w:rsidRDefault="007A3FC8" w:rsidP="00607463">
            <w:pPr>
              <w:jc w:val="both"/>
            </w:pPr>
            <w:r>
              <w:t xml:space="preserve">Protokollēmuma </w:t>
            </w:r>
            <w:r w:rsidR="00607463">
              <w:t>projekts:</w:t>
            </w:r>
          </w:p>
          <w:p w14:paraId="7AAE9F5D" w14:textId="77777777" w:rsidR="00607463" w:rsidRDefault="00607463" w:rsidP="00607463">
            <w:pPr>
              <w:jc w:val="both"/>
            </w:pPr>
          </w:p>
          <w:p w14:paraId="1824A6ED" w14:textId="77777777" w:rsidR="00607463" w:rsidRDefault="00607463" w:rsidP="00607463">
            <w:pPr>
              <w:jc w:val="both"/>
            </w:pPr>
            <w:r>
              <w:t>2.</w:t>
            </w:r>
            <w:r>
              <w:tab/>
              <w:t xml:space="preserve">Izglītības un zinātnes ministrijai 2020. gada un vidējā termiņa budžeta sagatavošanas procesā iesniegt prioritāro pasākumu par 3. variantam nepieciešamo papildus finansējumu, lai nodrošinātu turpmāko studiju kredītu dzēšanu bērnu </w:t>
            </w:r>
            <w:r>
              <w:lastRenderedPageBreak/>
              <w:t>piedzimšanas gadījumos un portfeļgarantijas apmēru, kas ļautu izsniegt vismaz 2 000 jauno kredītu gadā;</w:t>
            </w:r>
          </w:p>
          <w:p w14:paraId="51249A8D" w14:textId="77777777" w:rsidR="00607463" w:rsidRDefault="00607463" w:rsidP="00607463">
            <w:pPr>
              <w:jc w:val="both"/>
            </w:pPr>
          </w:p>
          <w:p w14:paraId="044A05DE" w14:textId="77777777" w:rsidR="008E6778" w:rsidRPr="00C07255" w:rsidRDefault="00607463" w:rsidP="00607463">
            <w:pPr>
              <w:jc w:val="both"/>
            </w:pPr>
            <w:r>
              <w:t>3.</w:t>
            </w:r>
            <w:r>
              <w:tab/>
              <w:t>Izglītības un zinātnes ministrijai 2020. gada un vidējā termiņa budžeta sagatavošanas procesā iesniegt prioritāro pasākumu par turpmāko dzēšanu par darbu noteiktajās jomās;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6CFC5AE" w14:textId="77777777" w:rsidR="00154752" w:rsidRPr="009A432F" w:rsidRDefault="00154752" w:rsidP="00154752">
            <w:pPr>
              <w:widowControl w:val="0"/>
              <w:jc w:val="both"/>
              <w:rPr>
                <w:rFonts w:eastAsia="Calibri"/>
                <w:b/>
                <w:lang w:eastAsia="en-US"/>
              </w:rPr>
            </w:pPr>
            <w:r>
              <w:rPr>
                <w:rFonts w:eastAsia="Calibri"/>
                <w:b/>
                <w:lang w:eastAsia="en-US"/>
              </w:rPr>
              <w:lastRenderedPageBreak/>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14AF1008" w14:textId="51C34224" w:rsidR="008E6778" w:rsidRPr="00726661" w:rsidRDefault="00E35551" w:rsidP="00726661">
            <w:pPr>
              <w:widowControl w:val="0"/>
              <w:spacing w:after="120" w:line="276" w:lineRule="auto"/>
              <w:jc w:val="both"/>
              <w:rPr>
                <w:rFonts w:eastAsia="Calibri"/>
              </w:rPr>
            </w:pPr>
            <w:r w:rsidRPr="00DE0676">
              <w:rPr>
                <w:rFonts w:eastAsia="Calibri"/>
              </w:rPr>
              <w:t xml:space="preserve">Norādām, ka uzdevumu ministrijām iesniegt prioritāro pasākumu pieteikumus jau nosaka Ministru kabineta 2019.gada 20.marta rīkojuma Nr.116 “Par </w:t>
            </w:r>
            <w:r>
              <w:rPr>
                <w:rFonts w:eastAsia="Calibri"/>
              </w:rPr>
              <w:t>likumprojekta “</w:t>
            </w:r>
            <w:r w:rsidRPr="00DE0676">
              <w:rPr>
                <w:rFonts w:eastAsia="Calibri"/>
              </w:rPr>
              <w:t>Par vidēja termiņa budžeta ietv</w:t>
            </w:r>
            <w:r>
              <w:rPr>
                <w:rFonts w:eastAsia="Calibri"/>
              </w:rPr>
              <w:t xml:space="preserve">aru </w:t>
            </w:r>
            <w:r>
              <w:rPr>
                <w:rFonts w:eastAsia="Calibri"/>
              </w:rPr>
              <w:lastRenderedPageBreak/>
              <w:t>2020., 2021. un 2022. gadam” un likumprojekta “Par valsts budžetu 2020. gadam”</w:t>
            </w:r>
            <w:r w:rsidRPr="00DE0676">
              <w:rPr>
                <w:rFonts w:eastAsia="Calibri"/>
              </w:rPr>
              <w:t xml:space="preserve"> sagatavošanas grafiku” pielikuma 4.punkts. Līdz ar to rīkojuma projekta 2. un 3.punkts esošajā redakcijā ir svītrojami, vienlaikus papildinot rīkojuma projektu ar jaunu punktu šādā redakcijā: </w:t>
            </w:r>
            <w:r w:rsidRPr="00DE0676">
              <w:rPr>
                <w:rFonts w:eastAsia="Calibri"/>
                <w:i/>
              </w:rPr>
              <w:t xml:space="preserve">“Jautājumu par papildu valsts budžeta līdzekļu piešķiršanu 2020.gadā un turpmāk šī rīkojuma 1.punktā norādītā risinājuma varianta īstenošanas nodrošināšanai izskatīt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atbilstoši valsts budžeta finansiālajām iespējām.”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9573E3D" w14:textId="77777777" w:rsidR="007A3FC8" w:rsidRDefault="00057D93" w:rsidP="00057D93">
            <w:pPr>
              <w:jc w:val="center"/>
            </w:pPr>
            <w:r>
              <w:rPr>
                <w:rFonts w:eastAsia="Calibri"/>
                <w:b/>
              </w:rPr>
              <w:lastRenderedPageBreak/>
              <w:t>Ņemts vērā</w:t>
            </w:r>
            <w:r w:rsidR="007A3FC8">
              <w:t xml:space="preserve"> </w:t>
            </w:r>
          </w:p>
          <w:p w14:paraId="1B06BFE7" w14:textId="16F27ADF" w:rsidR="008E6778" w:rsidRPr="00057D93" w:rsidRDefault="007A3FC8" w:rsidP="007A3FC8">
            <w:pPr>
              <w:jc w:val="center"/>
              <w:rPr>
                <w:rFonts w:eastAsia="Calibri"/>
                <w:b/>
              </w:rPr>
            </w:pPr>
            <w:r>
              <w:t>Precizēts protokollēmuma projekts atbilstoši virzāmajam risinājumam.</w:t>
            </w:r>
          </w:p>
        </w:tc>
        <w:tc>
          <w:tcPr>
            <w:tcW w:w="2986" w:type="dxa"/>
            <w:tcBorders>
              <w:top w:val="single" w:sz="4" w:space="0" w:color="auto"/>
              <w:left w:val="single" w:sz="4" w:space="0" w:color="auto"/>
              <w:bottom w:val="single" w:sz="4" w:space="0" w:color="auto"/>
            </w:tcBorders>
          </w:tcPr>
          <w:p w14:paraId="6AD0F789" w14:textId="401C5B1E" w:rsidR="008E6778" w:rsidRDefault="007A3FC8" w:rsidP="00417EF4">
            <w:pPr>
              <w:jc w:val="both"/>
            </w:pPr>
            <w:r>
              <w:t>Protokolēmuma projekts</w:t>
            </w:r>
          </w:p>
          <w:p w14:paraId="6CFCAED9" w14:textId="35933124" w:rsidR="007A3FC8" w:rsidRPr="00C07255" w:rsidRDefault="007A3FC8" w:rsidP="00417EF4">
            <w:pPr>
              <w:jc w:val="both"/>
            </w:pPr>
          </w:p>
        </w:tc>
      </w:tr>
      <w:tr w:rsidR="008E6778" w:rsidRPr="001801C2" w14:paraId="3B57F0F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96D2544" w14:textId="6DB52B38" w:rsidR="008E6778" w:rsidRPr="001801C2" w:rsidRDefault="008E677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5B3B7A91" w14:textId="31DFA88F" w:rsidR="00766F52" w:rsidRDefault="00726661" w:rsidP="00766F52">
            <w:pPr>
              <w:jc w:val="both"/>
            </w:pPr>
            <w:r>
              <w:t xml:space="preserve">Protokollēmuma </w:t>
            </w:r>
            <w:r w:rsidR="00766F52">
              <w:t>projekts:</w:t>
            </w:r>
          </w:p>
          <w:p w14:paraId="13D9F6DA" w14:textId="77777777" w:rsidR="008E6778" w:rsidRDefault="008E6778" w:rsidP="00552933"/>
          <w:p w14:paraId="2BDFCB6F" w14:textId="77777777" w:rsidR="00766F52" w:rsidRPr="00C07255" w:rsidRDefault="00766F52" w:rsidP="00766F52">
            <w:pPr>
              <w:jc w:val="both"/>
            </w:pPr>
            <w:r w:rsidRPr="00766F52">
              <w:t>4.</w:t>
            </w:r>
            <w:r w:rsidRPr="00766F52">
              <w:tab/>
              <w:t>Izglītības un zinātnes ministrijai sadarbībā ar darba grupas dalībniekiem sagatavot un iesniegt Ministru kabinetā Ministru kabineta noteikumu projektu par jauno studiju un studējošo kreditēšanas no kredītiestāžu līdzekļiem ar valsts vārdā sniegtu galvojumu modeli;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38C2AAE" w14:textId="77777777" w:rsidR="000B70E2" w:rsidRPr="009A432F" w:rsidRDefault="000B70E2" w:rsidP="000B70E2">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187002E8" w14:textId="519D7217" w:rsidR="00766F52" w:rsidRDefault="00766F52" w:rsidP="00682803">
            <w:pPr>
              <w:widowControl w:val="0"/>
              <w:jc w:val="both"/>
              <w:rPr>
                <w:rFonts w:eastAsia="Calibri"/>
                <w:b/>
                <w:lang w:eastAsia="en-US"/>
              </w:rPr>
            </w:pPr>
            <w:r w:rsidRPr="00DE0676">
              <w:rPr>
                <w:rFonts w:eastAsia="Calibri"/>
              </w:rPr>
              <w:t xml:space="preserve">Saskaņā ar Ministru kabineta 2009.gada 7.aprīļa noteikumu Nr.300 “Ministru kabineta kārtības rullis” 10.punktu, iesniegt Ministru kabinetā izskatīšanai tiesību aktu projektus ir tiesīgas tikai ministrijas un citas valsts pārvaldes iestādes. Līdz ar to lūdzam precizēt rīkojuma projekta 4.punktu, izsakot to šādā redakcijā: </w:t>
            </w:r>
            <w:r w:rsidRPr="00DE0676">
              <w:rPr>
                <w:rFonts w:eastAsia="Calibri"/>
                <w:i/>
              </w:rPr>
              <w:t>“Izglītības un zinātnes ministrijai sagatavot un līdz (datums) iesniegt Ministru kabinetā Ministru kabineta noteikumu projektu par jauno studiju un studējošo kreditēšanas no kredītiestāžu līdzekļiem ar valsts vārdā sniegtu galvojumu modeli”.</w:t>
            </w:r>
          </w:p>
          <w:p w14:paraId="1C2C46E4" w14:textId="77777777" w:rsidR="00766F52" w:rsidRDefault="00766F52" w:rsidP="00682803">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9A84CAD" w14:textId="77777777" w:rsidR="004A5F16" w:rsidRPr="00F85FB7" w:rsidRDefault="00F85FB7" w:rsidP="00F85FB7">
            <w:pPr>
              <w:jc w:val="center"/>
              <w:rPr>
                <w:rFonts w:eastAsia="Calibri"/>
                <w:b/>
              </w:rPr>
            </w:pPr>
            <w:r w:rsidRPr="00F85FB7">
              <w:rPr>
                <w:rFonts w:eastAsia="Calibri"/>
                <w:b/>
              </w:rPr>
              <w:t>Ņemts vērā</w:t>
            </w:r>
          </w:p>
        </w:tc>
        <w:tc>
          <w:tcPr>
            <w:tcW w:w="2986" w:type="dxa"/>
            <w:tcBorders>
              <w:top w:val="single" w:sz="4" w:space="0" w:color="auto"/>
              <w:left w:val="single" w:sz="4" w:space="0" w:color="auto"/>
              <w:bottom w:val="single" w:sz="4" w:space="0" w:color="auto"/>
            </w:tcBorders>
          </w:tcPr>
          <w:p w14:paraId="78927D5C" w14:textId="36F80A2F" w:rsidR="00766F52" w:rsidRPr="005846DF" w:rsidRDefault="00726661" w:rsidP="00766F52">
            <w:pPr>
              <w:jc w:val="both"/>
            </w:pPr>
            <w:r>
              <w:t xml:space="preserve">Protokollēumuma </w:t>
            </w:r>
            <w:r w:rsidR="00766F52" w:rsidRPr="005846DF">
              <w:t>projekts:</w:t>
            </w:r>
          </w:p>
          <w:p w14:paraId="26E01D92" w14:textId="77777777" w:rsidR="004A5F16" w:rsidRPr="00A3145E" w:rsidRDefault="004A5F16" w:rsidP="00766F52">
            <w:pPr>
              <w:jc w:val="both"/>
              <w:rPr>
                <w:highlight w:val="yellow"/>
              </w:rPr>
            </w:pPr>
          </w:p>
          <w:p w14:paraId="7EDB3A49" w14:textId="77777777" w:rsidR="008E6778" w:rsidRPr="00C07255" w:rsidRDefault="005846DF" w:rsidP="004A5F16">
            <w:pPr>
              <w:jc w:val="both"/>
            </w:pPr>
            <w:r w:rsidRPr="005846DF">
              <w:t xml:space="preserve">3. Izglītības un zinātnes ministrijai sagatavot un līdz 2019. gada 31.oktobrim iesniegt Ministru kabinetā Ministru kabineta noteikumu projektu par jauno studiju un studējošo kreditēšanas ar valsts galvojumu no kredītiestāžu līdzekļiem modeli, veikt grozījumus normatīvajos aktos par Valsts izglītības informācijas sistēmu un par kredītam pielīdzinātām stipendijām zinātniskā grāda ieguvei, kā arī iesniegt Ministru kabinetā grozījumus Ministru kabineta 2001. gada 29. maija noteikumos Nr. 220 "Kārtība, kādā tiek piešķirts, atmaksāts un dzēsts studiju kredīts un studējošā kredīts no kredītiestādes līdzekļiem ar valsts vārdā sniegtu galvojumu", paredzot, ka tajos regulētā studiju un studējošo kredītu no kredītiestāžu līdzekļiem ar valsts vārdā sniegtu galvojumu izsniegšanas kārtība attiecas tikai uz </w:t>
            </w:r>
            <w:r w:rsidRPr="005846DF">
              <w:lastRenderedPageBreak/>
              <w:t>kredītiem, kas tiks izsniegti līdz 2020. gada 1. aprīlim;</w:t>
            </w:r>
          </w:p>
        </w:tc>
      </w:tr>
      <w:tr w:rsidR="004A5F16" w:rsidRPr="001801C2" w14:paraId="13F96A6A"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7C403AE" w14:textId="77777777" w:rsidR="004A5F16" w:rsidRPr="001801C2" w:rsidRDefault="004A5F16"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5CDFCC7" w14:textId="64AB8124" w:rsidR="004A5F16" w:rsidRDefault="00726661" w:rsidP="00766F5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A6764F0" w14:textId="77777777" w:rsidR="00C74520" w:rsidRPr="009A432F" w:rsidRDefault="00C74520" w:rsidP="005A22DD">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492CF422" w14:textId="202EABEE" w:rsidR="00C74520" w:rsidRDefault="00C74520" w:rsidP="005A22DD">
            <w:pPr>
              <w:widowControl w:val="0"/>
              <w:jc w:val="both"/>
              <w:rPr>
                <w:rFonts w:eastAsia="Calibri"/>
                <w:b/>
                <w:lang w:eastAsia="en-US"/>
              </w:rPr>
            </w:pPr>
            <w:r w:rsidRPr="00DE0676">
              <w:rPr>
                <w:rFonts w:eastAsia="Calibri"/>
              </w:rPr>
              <w:t>Lūdzam svītrot konceptuālā ziņojuma sadaļas “Pašreizējā studiju un studējošo kreditēšanas sistēma” otrajā rindkopā no beigām teikuma daļu “kas ir visai ierobežoti un neparedzēja jaunā modeļa ieviešanu”.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939272B" w14:textId="77777777" w:rsidR="00726661" w:rsidRDefault="00A3145E" w:rsidP="00726661">
            <w:pPr>
              <w:jc w:val="center"/>
            </w:pPr>
            <w:r w:rsidRPr="00A3145E">
              <w:rPr>
                <w:rFonts w:eastAsia="Calibri"/>
                <w:b/>
              </w:rPr>
              <w:t>Ņemts vērā</w:t>
            </w:r>
            <w:r w:rsidR="00726661">
              <w:t xml:space="preserve"> </w:t>
            </w:r>
          </w:p>
          <w:p w14:paraId="2112DC0D" w14:textId="7B672EAD" w:rsidR="00726661" w:rsidRDefault="003B12E4" w:rsidP="00726661">
            <w:pPr>
              <w:jc w:val="center"/>
            </w:pPr>
            <w:r>
              <w:t>Svītrots</w:t>
            </w:r>
          </w:p>
          <w:p w14:paraId="5C9E875A" w14:textId="77777777" w:rsidR="004A5F16" w:rsidRPr="00A3145E" w:rsidRDefault="004A5F16" w:rsidP="00A3145E">
            <w:pPr>
              <w:jc w:val="center"/>
              <w:rPr>
                <w:rFonts w:eastAsia="Calibri"/>
                <w:b/>
              </w:rPr>
            </w:pPr>
          </w:p>
        </w:tc>
        <w:tc>
          <w:tcPr>
            <w:tcW w:w="2986" w:type="dxa"/>
            <w:tcBorders>
              <w:top w:val="single" w:sz="4" w:space="0" w:color="auto"/>
              <w:left w:val="single" w:sz="4" w:space="0" w:color="auto"/>
              <w:bottom w:val="single" w:sz="4" w:space="0" w:color="auto"/>
            </w:tcBorders>
          </w:tcPr>
          <w:p w14:paraId="5C53BFFE" w14:textId="40769976" w:rsidR="00C74520" w:rsidRDefault="003B12E4" w:rsidP="003B12E4">
            <w:r>
              <w:t>Projekts</w:t>
            </w:r>
          </w:p>
        </w:tc>
      </w:tr>
      <w:tr w:rsidR="0008019D" w:rsidRPr="001801C2" w14:paraId="2687E9F2"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27410A4" w14:textId="77777777" w:rsidR="0008019D" w:rsidRPr="001801C2" w:rsidRDefault="0008019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19AF3CE5" w14:textId="050CC530" w:rsidR="0008019D" w:rsidRDefault="008C099B" w:rsidP="00766F5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2BFE472" w14:textId="77777777" w:rsidR="0008019D" w:rsidRPr="009A432F" w:rsidRDefault="0008019D" w:rsidP="0008019D">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46ABDFA7" w14:textId="39869F8E" w:rsidR="0008019D" w:rsidRPr="0008019D" w:rsidRDefault="0008019D" w:rsidP="005A22DD">
            <w:pPr>
              <w:widowControl w:val="0"/>
              <w:jc w:val="both"/>
              <w:rPr>
                <w:rFonts w:eastAsia="Calibri"/>
                <w:lang w:eastAsia="en-US"/>
              </w:rPr>
            </w:pPr>
            <w:r w:rsidRPr="0008019D">
              <w:rPr>
                <w:rFonts w:eastAsia="Calibri"/>
                <w:lang w:eastAsia="en-US"/>
              </w:rPr>
              <w:t xml:space="preserve">Konceptuālā ziņojuma sadaļā “Jaunais kreditēšanas modelis” (12.lpp) ilustratīvi attēlota situācija, ja garantijas likme ir 90%, ierobežotās garantijas likme ir 25%. Lūdzam precizēt konceptuālo ziņojumu ar aprēķiniem par garantijas apmēru un ierobežoto garantijas likmi, kas balstīti uz plānotajiem nozares datiem, programmas nosacījumiem. Vēršam uzmanību, ka iepriekšējo gadu statistikas dati liecina, ka no valsts budžeta dzēstie kredīti ir ievērojami mazākā apmērā nekā konceptuālajā ziņojumā </w:t>
            </w:r>
            <w:r w:rsidRPr="0008019D">
              <w:rPr>
                <w:rFonts w:eastAsia="Calibri"/>
                <w:lang w:eastAsia="en-US"/>
              </w:rPr>
              <w:lastRenderedPageBreak/>
              <w:t>norādītā, pieņemtā ierobežotās garantijas likme.</w:t>
            </w:r>
          </w:p>
          <w:p w14:paraId="4AAFD56C" w14:textId="77777777" w:rsidR="0008019D" w:rsidRDefault="0008019D" w:rsidP="005A22DD">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69B5C36" w14:textId="77777777" w:rsidR="0008019D" w:rsidRDefault="0008019D" w:rsidP="00A3145E">
            <w:pPr>
              <w:jc w:val="center"/>
              <w:rPr>
                <w:rFonts w:eastAsia="Calibri"/>
                <w:b/>
              </w:rPr>
            </w:pPr>
            <w:r w:rsidRPr="00A3145E">
              <w:rPr>
                <w:rFonts w:eastAsia="Calibri"/>
                <w:b/>
              </w:rPr>
              <w:lastRenderedPageBreak/>
              <w:t>Ņemts vērā</w:t>
            </w:r>
          </w:p>
          <w:p w14:paraId="212D6480" w14:textId="77777777" w:rsidR="0008019D" w:rsidRPr="0008019D" w:rsidRDefault="0008019D" w:rsidP="0008019D">
            <w:pPr>
              <w:jc w:val="both"/>
              <w:rPr>
                <w:rFonts w:eastAsia="Calibri"/>
              </w:rPr>
            </w:pPr>
            <w:r w:rsidRPr="0008019D">
              <w:rPr>
                <w:rFonts w:eastAsia="Calibri"/>
              </w:rPr>
              <w:t xml:space="preserve">Garantijas likme un ierobežotā garantijas likme ir noteikta </w:t>
            </w:r>
            <w:r>
              <w:rPr>
                <w:rFonts w:eastAsia="Calibri"/>
              </w:rPr>
              <w:t>“</w:t>
            </w:r>
            <w:r w:rsidRPr="0008019D">
              <w:rPr>
                <w:rFonts w:eastAsia="Calibri"/>
              </w:rPr>
              <w:t>Altum</w:t>
            </w:r>
            <w:r>
              <w:rPr>
                <w:rFonts w:eastAsia="Calibri"/>
              </w:rPr>
              <w:t>”</w:t>
            </w:r>
            <w:r w:rsidRPr="0008019D">
              <w:rPr>
                <w:rFonts w:eastAsia="Calibri"/>
              </w:rPr>
              <w:t xml:space="preserve"> un FNA banku aptaujas rezultātā un atbilst līdzīgu produktu nosacījumiem citās Eiropas valstīs. Līdzīgi kā komersantu portfeļgarantijās </w:t>
            </w:r>
            <w:r>
              <w:rPr>
                <w:rFonts w:eastAsia="Calibri"/>
              </w:rPr>
              <w:t>“</w:t>
            </w:r>
            <w:r w:rsidRPr="0008019D">
              <w:rPr>
                <w:rFonts w:eastAsia="Calibri"/>
              </w:rPr>
              <w:t>Altum</w:t>
            </w:r>
            <w:r>
              <w:rPr>
                <w:rFonts w:eastAsia="Calibri"/>
              </w:rPr>
              <w:t>”</w:t>
            </w:r>
            <w:r w:rsidRPr="0008019D">
              <w:rPr>
                <w:rFonts w:eastAsia="Calibri"/>
              </w:rPr>
              <w:t xml:space="preserve"> noteiks katrai bankai piemērojamo ierobežoto garantijas likmi, ņemot vērā vēsturiskos zaudējumus salīdzināmiem produktiem, plānoto kredītpolitiku. Ierobežotā garantijas likme sedz tikai daļu no kredītriska, līdz ar to šādā produktā nav iespējams valsts atbalsts bankai, līdzīgi kā šādos Eiropas Investīciju fonda un Eiropas Investīciju bankas īstenotajos produktos. </w:t>
            </w:r>
          </w:p>
          <w:p w14:paraId="65755704" w14:textId="77777777" w:rsidR="0008019D" w:rsidRPr="00A3145E" w:rsidRDefault="0008019D" w:rsidP="0008019D">
            <w:pPr>
              <w:jc w:val="both"/>
              <w:rPr>
                <w:rFonts w:eastAsia="Calibri"/>
                <w:b/>
              </w:rPr>
            </w:pPr>
            <w:r w:rsidRPr="0008019D">
              <w:rPr>
                <w:rFonts w:eastAsia="Calibri"/>
              </w:rPr>
              <w:t xml:space="preserve">Iepriekšējo gadu statistika par kredītu dzēšanu būtiskas atšķiras, jo pašreizējais modelis paredz, ka par studentu kredītu ir galvotājs un vairumā gadījumu tieši </w:t>
            </w:r>
            <w:r w:rsidRPr="0008019D">
              <w:rPr>
                <w:rFonts w:eastAsia="Calibri"/>
              </w:rPr>
              <w:lastRenderedPageBreak/>
              <w:t>galvotājs veica maksājumus kavējumu gadījumos. Valsts budžeta finansējums pašreiz kredīta dzēšanai tiek novirzīts tikai tad, kad veikta piedziņa pret studentu un galvotāju. Jaunajā sistēmā vairs nebūs galvotājs, tādēļ atšķiras aprēķini.</w:t>
            </w:r>
          </w:p>
        </w:tc>
        <w:tc>
          <w:tcPr>
            <w:tcW w:w="2986" w:type="dxa"/>
            <w:tcBorders>
              <w:top w:val="single" w:sz="4" w:space="0" w:color="auto"/>
              <w:left w:val="single" w:sz="4" w:space="0" w:color="auto"/>
              <w:bottom w:val="single" w:sz="4" w:space="0" w:color="auto"/>
            </w:tcBorders>
          </w:tcPr>
          <w:p w14:paraId="61983075" w14:textId="55F5887F" w:rsidR="0008019D" w:rsidRDefault="008C099B" w:rsidP="004C4DE1">
            <w:pPr>
              <w:jc w:val="center"/>
            </w:pPr>
            <w:r>
              <w:lastRenderedPageBreak/>
              <w:t>Projekts</w:t>
            </w:r>
          </w:p>
        </w:tc>
      </w:tr>
      <w:tr w:rsidR="004A5F16" w:rsidRPr="001801C2" w14:paraId="6570740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726C2E7" w14:textId="77777777" w:rsidR="004A5F16" w:rsidRPr="001801C2" w:rsidRDefault="004A5F16"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350FF787" w14:textId="77777777" w:rsidR="004A5F16" w:rsidRDefault="004A5F16" w:rsidP="00766F52">
            <w:pPr>
              <w:jc w:val="both"/>
            </w:pPr>
          </w:p>
          <w:p w14:paraId="4097C731" w14:textId="21E30B75" w:rsidR="0039658D" w:rsidRDefault="008C099B" w:rsidP="00766F52">
            <w:pPr>
              <w:jc w:val="both"/>
            </w:pPr>
            <w:r>
              <w:t>Projekts</w:t>
            </w:r>
          </w:p>
          <w:p w14:paraId="19C171C7" w14:textId="77777777" w:rsidR="0039658D" w:rsidRDefault="0039658D" w:rsidP="00766F52">
            <w:pPr>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36A401" w14:textId="77777777" w:rsidR="005A22DD" w:rsidRPr="009A432F" w:rsidRDefault="005A22DD" w:rsidP="005A22DD">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0D475D68" w14:textId="7CA3D91B" w:rsidR="005A22DD" w:rsidRPr="00DE0676" w:rsidRDefault="005A22DD" w:rsidP="005A22DD">
            <w:pPr>
              <w:widowControl w:val="0"/>
              <w:spacing w:after="120" w:line="276" w:lineRule="auto"/>
              <w:jc w:val="both"/>
              <w:rPr>
                <w:rFonts w:eastAsia="Calibri"/>
              </w:rPr>
            </w:pPr>
            <w:r w:rsidRPr="00DE0676">
              <w:rPr>
                <w:rFonts w:eastAsia="Calibri"/>
              </w:rPr>
              <w:t xml:space="preserve">Vēršam uzmanību, ka, lai izslēgtu ekonomisko priekšrocību un pasākums studiju un studējošo kredītu izsniegšanai nekvalificētos kā valsts atbalsts kredītiestāžu </w:t>
            </w:r>
            <w:r w:rsidRPr="005A22DD">
              <w:rPr>
                <w:rFonts w:eastAsia="Calibri"/>
              </w:rPr>
              <w:t>līmenī, plānotajam pasākumam jābūt atvērtam visām finanšu iestādēm, kas nodarbojas ar kreditēšanu. Lūdzam papildināt konceptuālo ziņojumu ar informāciju par valsts atbalsta esamību/neesamību kredītiestāžu līmenī.</w:t>
            </w:r>
            <w:r w:rsidRPr="00DE0676">
              <w:rPr>
                <w:rFonts w:eastAsia="Calibri"/>
              </w:rPr>
              <w:t xml:space="preserve"> Ja nav iespējams nodrošināt, ka pasākums ir atvērts visām finanšu iestādēm, kas atbilst noteiktiem kritērijiem (līdzīgi kā Ministru kabineta 2017.gada 5.septembra noteikumos Nr. 537 “Noteikumi par </w:t>
            </w:r>
            <w:r w:rsidRPr="00DE0676">
              <w:rPr>
                <w:rFonts w:eastAsia="Calibri"/>
              </w:rPr>
              <w:lastRenderedPageBreak/>
              <w:t>portfeļgarantijām sīko (mikro), mazo un vidējo komersantu kreditēšanas veicināšanai”), aicinām izvērtēt ekonomiskās priekšrocības izslēgšanas alternatīvus variantus vai arī nodrošināt, ka programma tiek sagatavota kā valsts atbalsta programma un tiek ievēroti procesuālie nosacījumi atbalsta likumīguma un saderīguma nodrošināšanai ar Eiropas Savienības iekšējo tirgu.</w:t>
            </w:r>
            <w:r>
              <w:rPr>
                <w:rFonts w:eastAsia="Calibri"/>
              </w:rPr>
              <w:t xml:space="preserve"> </w:t>
            </w:r>
          </w:p>
          <w:p w14:paraId="05D71017" w14:textId="77777777" w:rsidR="005A22DD" w:rsidRDefault="005A22DD" w:rsidP="005A22DD">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690E367" w14:textId="77777777" w:rsidR="0008019D" w:rsidRDefault="0008019D" w:rsidP="0008019D">
            <w:pPr>
              <w:jc w:val="center"/>
              <w:rPr>
                <w:rFonts w:eastAsia="Calibri"/>
                <w:b/>
              </w:rPr>
            </w:pPr>
            <w:r w:rsidRPr="00A3145E">
              <w:rPr>
                <w:rFonts w:eastAsia="Calibri"/>
                <w:b/>
              </w:rPr>
              <w:lastRenderedPageBreak/>
              <w:t>Ņemts vērā</w:t>
            </w:r>
          </w:p>
          <w:p w14:paraId="1F709DDE" w14:textId="77777777" w:rsidR="00C56420" w:rsidRDefault="00C56420" w:rsidP="00D37078">
            <w:pPr>
              <w:jc w:val="both"/>
              <w:rPr>
                <w:rFonts w:eastAsia="Calibri"/>
              </w:rPr>
            </w:pPr>
          </w:p>
          <w:p w14:paraId="3E651102" w14:textId="77777777" w:rsidR="00C56420" w:rsidRDefault="00C56420" w:rsidP="00A93B0C">
            <w:pPr>
              <w:jc w:val="both"/>
              <w:rPr>
                <w:rFonts w:eastAsia="Calibri"/>
              </w:rPr>
            </w:pPr>
            <w:r>
              <w:rPr>
                <w:rFonts w:eastAsia="Calibri"/>
              </w:rPr>
              <w:t>Jaunā modeļa koncepcija neparedz ierobežojumus šajā ziņā</w:t>
            </w:r>
            <w:r w:rsidR="00A93B0C">
              <w:rPr>
                <w:rFonts w:eastAsia="Calibri"/>
              </w:rPr>
              <w:t>.</w:t>
            </w:r>
            <w:r>
              <w:rPr>
                <w:rFonts w:eastAsia="Calibri"/>
              </w:rPr>
              <w:t xml:space="preserve"> </w:t>
            </w:r>
            <w:r w:rsidR="00A93B0C">
              <w:rPr>
                <w:rFonts w:eastAsia="Calibri"/>
              </w:rPr>
              <w:t>P</w:t>
            </w:r>
            <w:r>
              <w:rPr>
                <w:rFonts w:eastAsia="Calibri"/>
              </w:rPr>
              <w:t xml:space="preserve">asākums būs atvērts </w:t>
            </w:r>
            <w:r w:rsidRPr="005A22DD">
              <w:rPr>
                <w:rFonts w:eastAsia="Calibri"/>
              </w:rPr>
              <w:t xml:space="preserve">visām finanšu iestādēm, kas nodarbojas ar kreditēšanu. </w:t>
            </w:r>
          </w:p>
        </w:tc>
        <w:tc>
          <w:tcPr>
            <w:tcW w:w="2986" w:type="dxa"/>
            <w:tcBorders>
              <w:top w:val="single" w:sz="4" w:space="0" w:color="auto"/>
              <w:left w:val="single" w:sz="4" w:space="0" w:color="auto"/>
              <w:bottom w:val="single" w:sz="4" w:space="0" w:color="auto"/>
            </w:tcBorders>
          </w:tcPr>
          <w:p w14:paraId="464A5EE1" w14:textId="073FFA74" w:rsidR="004A5F16" w:rsidRDefault="00A93B0C" w:rsidP="00766F52">
            <w:pPr>
              <w:jc w:val="both"/>
            </w:pPr>
            <w:r>
              <w:t xml:space="preserve">Papildināta </w:t>
            </w:r>
            <w:r w:rsidR="008C099B">
              <w:t xml:space="preserve">Projekts </w:t>
            </w:r>
            <w:r>
              <w:t>sadaļa “Jaunais kreditēšanas modelis”:</w:t>
            </w:r>
          </w:p>
          <w:p w14:paraId="2E26BFD2" w14:textId="77777777" w:rsidR="00A93B0C" w:rsidRDefault="00A93B0C" w:rsidP="00766F52">
            <w:pPr>
              <w:jc w:val="both"/>
            </w:pPr>
          </w:p>
          <w:p w14:paraId="1F99AC37" w14:textId="3BA3DC9A" w:rsidR="00A93B0C" w:rsidRDefault="008C099B" w:rsidP="00A93B0C">
            <w:pPr>
              <w:jc w:val="both"/>
            </w:pPr>
            <w:r>
              <w:t>“</w:t>
            </w:r>
            <w:r w:rsidR="00A93B0C" w:rsidRPr="00A93B0C">
              <w:t>2)</w:t>
            </w:r>
            <w:r w:rsidR="00A93B0C" w:rsidRPr="00A93B0C">
              <w:tab/>
              <w:t>studējošais varēs izvēlēties vienu no vairākām kredītiestādēm. Kredītiestādes savā starpā konkurēs ar pakalpojumu. Ja konkrētajā kredītiestādē studējošajam ir konts, ir vienkāršāk ņemt kredītu šajā kredītiestādē. Jaunais kreditēšanas modelis būs atvērts visām finanšu iestādēm, kas nodarbojas ar kreditēšanu;</w:t>
            </w:r>
            <w:r>
              <w:t>”</w:t>
            </w:r>
          </w:p>
        </w:tc>
      </w:tr>
      <w:tr w:rsidR="0008019D" w:rsidRPr="001801C2" w14:paraId="62FB8AF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620E7CC" w14:textId="77777777" w:rsidR="0008019D" w:rsidRPr="001801C2" w:rsidRDefault="0008019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5769451D" w14:textId="34F1EA0B" w:rsidR="0008019D" w:rsidRDefault="003737D8" w:rsidP="00766F5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C8D58BA" w14:textId="77777777" w:rsidR="0008019D" w:rsidRPr="009A432F" w:rsidRDefault="0008019D" w:rsidP="0008019D">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591C6B0" w14:textId="34CCEECC" w:rsidR="0008019D" w:rsidRDefault="0008019D" w:rsidP="00A93B0C">
            <w:pPr>
              <w:widowControl w:val="0"/>
              <w:jc w:val="both"/>
              <w:rPr>
                <w:rFonts w:eastAsia="Calibri"/>
                <w:lang w:eastAsia="en-US"/>
              </w:rPr>
            </w:pPr>
            <w:r w:rsidRPr="0008019D">
              <w:rPr>
                <w:rFonts w:eastAsia="Calibri"/>
                <w:lang w:eastAsia="en-US"/>
              </w:rPr>
              <w:t xml:space="preserve">AS “Altum” darbojas atbilstoši Eiropas Komisijas 2015.gada 9.jūnija lēmumam Nr.SA.36904 (2014/N) “LHZB attīstības (programmu) daļa un Latvijas vienotās attīstības finanšu institūcijas izveide” (turpmāk - Lēmums  SA.36904). Līdz ar to nepieciešams papildināt konceptuālo ziņojumu ar informāciju, vai plānotā programma ir aptverta ar Lēmuma SA.36904 38.punktā minētajiem AS “Altum” </w:t>
            </w:r>
            <w:r w:rsidRPr="0008019D">
              <w:rPr>
                <w:rFonts w:eastAsia="Calibri"/>
                <w:lang w:eastAsia="en-US"/>
              </w:rPr>
              <w:lastRenderedPageBreak/>
              <w:t>uzdevumiem. Ja no lēmuma SA.36904 neizriet, ka programmu ar šādu mērķi AS “Altum” uzdevumu ietvaros var īstenot vai arī ir šaubas par to, tad  pirms plānotās programmas uzsākšanas ir nepieciešams konsultēties ar Eiropas Komisijas Konkurences ģenerāldirektorātu (t.sk., iesniedzot tirgus nepilnību analīzi par šo pasākumu un pasākuma aprakstu) un nepieciešamības gadījumā virzīt paziņojumu par Lēmuma SA.36904 grozījumiem. Vēršam uzmanību, ka, ja būs nepieciešams veikt grozījumus Lēmumā lietā SA.36904, atbalsta programmu varēs uzsākt tikai pēc Eiropas Komisijas lēmuma saņemšanas. Ņemot vērā minēto, aicinām atbilstoši precizēt konceptuālā ziņojuma sadaļā “Turpmākā rīcība jaunās sistēmas ieviešanai” (30.lpp) 4.punktā ietverto uzdevumu. Nepieciešamības gadījumā lūdzam papildināt arī rīkojuma projektu ar jaunu punktu, nosakot atbilstošu uzdevumu Izglītības un zinātnes ministrijai.</w:t>
            </w:r>
          </w:p>
          <w:p w14:paraId="54803629" w14:textId="77777777" w:rsidR="0087056E" w:rsidRDefault="0087056E" w:rsidP="00A93B0C">
            <w:pPr>
              <w:widowControl w:val="0"/>
              <w:jc w:val="both"/>
              <w:rPr>
                <w:rFonts w:eastAsia="Calibri"/>
                <w:lang w:eastAsia="en-US"/>
              </w:rPr>
            </w:pPr>
            <w:r w:rsidRPr="0087056E">
              <w:rPr>
                <w:rFonts w:eastAsia="Calibri"/>
                <w:lang w:eastAsia="en-US"/>
              </w:rPr>
              <w:lastRenderedPageBreak/>
              <w:t>5.  Pirms konsultāciju uzsākšanas aicinām izvērtēt jautājumu par studentu sociālo statusu, jo Attīstības finanšu institūcijas likuma 2.panta 2.daļā teikts, ka AS “Altum”  īsteno programmas, t.sk., sociāli jutīgo iedzīvotāju grupu nodarbinātības veicināšanai un citu sociālā atbalsta programmu īstenošanai. Saskaņā ar Lēmumu SA.36904 finanšu instrumentu atbalsta pamatā ir ex ante novērtējums, kas sniedz pierādījumus par tirgus nepilnībām vai neoptimāliem investēšanas apstākļiem, līdz ar to aicinām pirms konsultāciju uzsākšanas izstrādāt sākotnējās situācijas izvērtējumu, lai jaunā valsts atbalsta programma tiktu balstīta konkrētos atbalsta mērķos, kas minēti Lēmuma  SA.36904 komunikācijas dokumentos.</w:t>
            </w:r>
          </w:p>
          <w:p w14:paraId="55AAB622" w14:textId="77777777" w:rsidR="0087056E" w:rsidRPr="0008019D" w:rsidRDefault="0087056E" w:rsidP="00A93B0C">
            <w:pPr>
              <w:widowControl w:val="0"/>
              <w:jc w:val="both"/>
              <w:rPr>
                <w:rFonts w:eastAsia="Calibri"/>
                <w:lang w:eastAsia="en-US"/>
              </w:rPr>
            </w:pPr>
            <w:r w:rsidRPr="0087056E">
              <w:rPr>
                <w:rFonts w:eastAsia="Calibri"/>
                <w:lang w:eastAsia="en-US"/>
              </w:rPr>
              <w:t xml:space="preserve">6. Informējam, ka attiecībā uz attiecināmajām izmaksām AS “Altum” darbības nodrošināšanai, ir jāievēro Lēmums  SA.36904 par sabiedrības AS “Altum”  izveidi (71) punkta (b) apakšpunktā norādītais par Eiropas Savienības fondu </w:t>
            </w:r>
            <w:r w:rsidRPr="0087056E">
              <w:rPr>
                <w:rFonts w:eastAsia="Calibri"/>
                <w:lang w:eastAsia="en-US"/>
              </w:rPr>
              <w:lastRenderedPageBreak/>
              <w:t>finansēto programmu pārvaldības nosacījumiem, ja tiek nodrošināts, ka nav pārmērīga kompensācija, tad tā nav uzskatāma par  AS “Altum” saimniecisko darbību. Savukārt 13.zemsvītras atsaucē minēta atsauce uz Riska vadlīnijām, kas norāda, ka, ja AS “Altum”  darbojas tikai kā institūcija finansējuma novirzīšanai, tai skaitā, netiek pārlieku atalgota, tad AS “Altum” nav valsts atbalsta saņēmējs, bet tikai starpnieks. Pamatojoties uz iepriekšminēto, aicinām precizēt konceptuālo ziņojumu ar metodoloģiju par visu finansiālo priekšrocību nodošanu gala saņēmējiem, kas pamatota ar cenu noteikšanas un nodrošinājuma politiku kredītiestādēs.</w:t>
            </w:r>
          </w:p>
          <w:p w14:paraId="111A1E21" w14:textId="77777777" w:rsidR="0008019D" w:rsidRDefault="0008019D" w:rsidP="00A93B0C">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9F76003" w14:textId="1852D2AB" w:rsidR="0008019D" w:rsidRPr="008C099B" w:rsidRDefault="0008019D" w:rsidP="008C099B">
            <w:pPr>
              <w:jc w:val="center"/>
              <w:rPr>
                <w:rFonts w:eastAsia="Calibri"/>
                <w:b/>
              </w:rPr>
            </w:pPr>
            <w:r w:rsidRPr="004C4DE1">
              <w:rPr>
                <w:rFonts w:eastAsia="Calibri"/>
                <w:b/>
              </w:rPr>
              <w:lastRenderedPageBreak/>
              <w:t>Ņemts vērā</w:t>
            </w:r>
          </w:p>
          <w:p w14:paraId="122B1A46" w14:textId="77777777" w:rsidR="0008019D" w:rsidRPr="0008019D" w:rsidRDefault="0008019D" w:rsidP="0087056E">
            <w:pPr>
              <w:jc w:val="both"/>
              <w:rPr>
                <w:rFonts w:eastAsia="Calibri"/>
              </w:rPr>
            </w:pPr>
            <w:r w:rsidRPr="0008019D">
              <w:rPr>
                <w:rFonts w:eastAsia="Calibri"/>
              </w:rPr>
              <w:t>Plānotā programma ir ietverta A</w:t>
            </w:r>
            <w:r w:rsidR="0087056E">
              <w:rPr>
                <w:rFonts w:eastAsia="Calibri"/>
              </w:rPr>
              <w:t>ttīstības finanšu institūcijas</w:t>
            </w:r>
            <w:r w:rsidRPr="0008019D">
              <w:rPr>
                <w:rFonts w:eastAsia="Calibri"/>
              </w:rPr>
              <w:t xml:space="preserve"> likuma 2.panta 2.punkta 10 apakšpunktā: </w:t>
            </w:r>
            <w:r w:rsidR="0087056E">
              <w:rPr>
                <w:rFonts w:eastAsia="Calibri"/>
              </w:rPr>
              <w:t>“</w:t>
            </w:r>
            <w:r w:rsidRPr="0008019D">
              <w:rPr>
                <w:rFonts w:eastAsia="Calibri"/>
              </w:rPr>
              <w:t>Altum</w:t>
            </w:r>
            <w:r w:rsidR="0087056E">
              <w:rPr>
                <w:rFonts w:eastAsia="Calibri"/>
              </w:rPr>
              <w:t>”</w:t>
            </w:r>
            <w:r w:rsidRPr="0008019D">
              <w:rPr>
                <w:rFonts w:eastAsia="Calibri"/>
              </w:rPr>
              <w:t xml:space="preserve"> īsteno programmas “citu sociālā atbalsta programmu īstenošanai”. Atbilstoši minētajam punktam </w:t>
            </w:r>
            <w:r w:rsidR="0087056E">
              <w:rPr>
                <w:rFonts w:eastAsia="Calibri"/>
              </w:rPr>
              <w:t>“</w:t>
            </w:r>
            <w:r w:rsidRPr="0008019D">
              <w:rPr>
                <w:rFonts w:eastAsia="Calibri"/>
              </w:rPr>
              <w:t>Altum</w:t>
            </w:r>
            <w:r w:rsidR="0087056E">
              <w:rPr>
                <w:rFonts w:eastAsia="Calibri"/>
              </w:rPr>
              <w:t>”</w:t>
            </w:r>
            <w:r w:rsidRPr="0008019D">
              <w:rPr>
                <w:rFonts w:eastAsia="Calibri"/>
              </w:rPr>
              <w:t xml:space="preserve"> ievieš arī valsts garantiju programmu ģimenēm ar bērniem un jaunajiem speciālistiem. Līdz ar to lūdzam FM izvērtēt, vai nepieciešams veikt konsultācijas ar EK, ņemot vērā </w:t>
            </w:r>
            <w:r w:rsidR="0087056E" w:rsidRPr="0008019D">
              <w:rPr>
                <w:rFonts w:eastAsia="Calibri"/>
              </w:rPr>
              <w:t>A</w:t>
            </w:r>
            <w:r w:rsidR="0087056E">
              <w:rPr>
                <w:rFonts w:eastAsia="Calibri"/>
              </w:rPr>
              <w:t>ttīstības finanšu institūcijas</w:t>
            </w:r>
            <w:r w:rsidRPr="0008019D">
              <w:rPr>
                <w:rFonts w:eastAsia="Calibri"/>
              </w:rPr>
              <w:t xml:space="preserve"> likuma deleģējumu.</w:t>
            </w:r>
          </w:p>
        </w:tc>
        <w:tc>
          <w:tcPr>
            <w:tcW w:w="2986" w:type="dxa"/>
            <w:tcBorders>
              <w:top w:val="single" w:sz="4" w:space="0" w:color="auto"/>
              <w:left w:val="single" w:sz="4" w:space="0" w:color="auto"/>
              <w:bottom w:val="single" w:sz="4" w:space="0" w:color="auto"/>
            </w:tcBorders>
          </w:tcPr>
          <w:p w14:paraId="1A9BB856" w14:textId="3D49C143" w:rsidR="0008019D" w:rsidRDefault="008C099B" w:rsidP="00766F52">
            <w:pPr>
              <w:jc w:val="both"/>
            </w:pPr>
            <w:r>
              <w:t>Projekts</w:t>
            </w:r>
          </w:p>
        </w:tc>
      </w:tr>
      <w:tr w:rsidR="004A5F16" w:rsidRPr="001801C2" w14:paraId="3524167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70F09C2" w14:textId="77777777" w:rsidR="004A5F16" w:rsidRPr="001801C2" w:rsidRDefault="004A5F16"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46F6441F" w14:textId="3FAC6AFB" w:rsidR="004A5F16" w:rsidRDefault="003737D8" w:rsidP="00766F5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0A041A2" w14:textId="77777777" w:rsidR="00A93B0C" w:rsidRPr="009A432F" w:rsidRDefault="00A93B0C" w:rsidP="00A93B0C">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3D191D14" w14:textId="549107DC" w:rsidR="00A93B0C" w:rsidRPr="003E5B95" w:rsidRDefault="003E5B95" w:rsidP="000B70E2">
            <w:pPr>
              <w:widowControl w:val="0"/>
              <w:jc w:val="both"/>
              <w:rPr>
                <w:rFonts w:eastAsia="Calibri"/>
                <w:lang w:eastAsia="en-US"/>
              </w:rPr>
            </w:pPr>
            <w:r w:rsidRPr="003E5B95">
              <w:rPr>
                <w:rFonts w:eastAsia="Calibri"/>
                <w:lang w:eastAsia="en-US"/>
              </w:rPr>
              <w:t>Lūdzam skaidrot, kā portfeļgarantijas instrumenta veidā tiek plānots nodrošināt valsts galvojumu 100 procentu apmērā studējošiem ar invaliditāti (13.lpp).</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77D5273" w14:textId="77777777" w:rsidR="003E5B95" w:rsidRPr="004C4DE1" w:rsidRDefault="003E5B95" w:rsidP="004C4DE1">
            <w:pPr>
              <w:jc w:val="center"/>
              <w:rPr>
                <w:rFonts w:eastAsia="Calibri"/>
                <w:b/>
              </w:rPr>
            </w:pPr>
            <w:r w:rsidRPr="004C4DE1">
              <w:rPr>
                <w:rFonts w:eastAsia="Calibri"/>
                <w:b/>
              </w:rPr>
              <w:t>Ņe</w:t>
            </w:r>
            <w:r w:rsidR="004C4DE1" w:rsidRPr="004C4DE1">
              <w:rPr>
                <w:rFonts w:eastAsia="Calibri"/>
                <w:b/>
              </w:rPr>
              <w:t>mts vērā</w:t>
            </w:r>
          </w:p>
          <w:p w14:paraId="6DD0B282" w14:textId="77777777" w:rsidR="003E5B95" w:rsidRDefault="003E5B95" w:rsidP="00042539">
            <w:pPr>
              <w:jc w:val="both"/>
              <w:rPr>
                <w:rFonts w:eastAsia="Calibri"/>
              </w:rPr>
            </w:pPr>
            <w:r>
              <w:rPr>
                <w:rFonts w:eastAsia="Calibri"/>
              </w:rPr>
              <w:t>Ministrijas skatījumā detalizētie risinājumi ir ietverami normatīvajā regulējumā</w:t>
            </w:r>
            <w:r w:rsidR="00042539">
              <w:rPr>
                <w:rFonts w:eastAsia="Calibri"/>
              </w:rPr>
              <w:t>, nevis k</w:t>
            </w:r>
            <w:r>
              <w:rPr>
                <w:rFonts w:eastAsia="Calibri"/>
              </w:rPr>
              <w:t>onceptuāla</w:t>
            </w:r>
            <w:r w:rsidR="00042539">
              <w:rPr>
                <w:rFonts w:eastAsia="Calibri"/>
              </w:rPr>
              <w:t>jā</w:t>
            </w:r>
            <w:r>
              <w:rPr>
                <w:rFonts w:eastAsia="Calibri"/>
              </w:rPr>
              <w:t xml:space="preserve"> ziņoj</w:t>
            </w:r>
            <w:r w:rsidR="00042539">
              <w:rPr>
                <w:rFonts w:eastAsia="Calibri"/>
              </w:rPr>
              <w:t xml:space="preserve">umā. </w:t>
            </w:r>
          </w:p>
          <w:p w14:paraId="7A5D0FEC" w14:textId="77777777" w:rsidR="004C4DE1" w:rsidRDefault="004C4DE1" w:rsidP="00042539">
            <w:pPr>
              <w:jc w:val="both"/>
              <w:rPr>
                <w:rFonts w:eastAsia="Calibri"/>
              </w:rPr>
            </w:pPr>
          </w:p>
          <w:p w14:paraId="5A49B803" w14:textId="77777777" w:rsidR="00BD7226" w:rsidRDefault="004C4DE1" w:rsidP="004C4DE1">
            <w:pPr>
              <w:jc w:val="both"/>
              <w:rPr>
                <w:rFonts w:eastAsia="Calibri"/>
              </w:rPr>
            </w:pPr>
            <w:r>
              <w:rPr>
                <w:rFonts w:eastAsia="Calibri"/>
              </w:rPr>
              <w:t xml:space="preserve">Kopumā </w:t>
            </w:r>
            <w:r w:rsidRPr="004C4DE1">
              <w:rPr>
                <w:rFonts w:eastAsia="Calibri"/>
              </w:rPr>
              <w:t>ir iespējams</w:t>
            </w:r>
            <w:r>
              <w:rPr>
                <w:rFonts w:eastAsia="Calibri"/>
              </w:rPr>
              <w:t xml:space="preserve"> </w:t>
            </w:r>
            <w:r w:rsidRPr="004C4DE1">
              <w:rPr>
                <w:rFonts w:eastAsia="Calibri"/>
              </w:rPr>
              <w:t xml:space="preserve"> </w:t>
            </w:r>
            <w:r>
              <w:rPr>
                <w:rFonts w:eastAsia="Calibri"/>
              </w:rPr>
              <w:t>normatīvajā regulējumā un līgumos starp “Altum” un kredītiestādēm paredzēt d</w:t>
            </w:r>
            <w:r w:rsidRPr="004C4DE1">
              <w:rPr>
                <w:rFonts w:eastAsia="Calibri"/>
              </w:rPr>
              <w:t xml:space="preserve">ivas dažādas garantijas: 90% visiem, 100% izņēmuma </w:t>
            </w:r>
            <w:r w:rsidRPr="004C4DE1">
              <w:rPr>
                <w:rFonts w:eastAsia="Calibri"/>
              </w:rPr>
              <w:lastRenderedPageBreak/>
              <w:t>gadījumos. T</w:t>
            </w:r>
            <w:r>
              <w:rPr>
                <w:rFonts w:eastAsia="Calibri"/>
              </w:rPr>
              <w:t xml:space="preserve">aču ir diskutējams </w:t>
            </w:r>
            <w:r w:rsidRPr="004C4DE1">
              <w:rPr>
                <w:rFonts w:eastAsia="Calibri"/>
              </w:rPr>
              <w:t>jautājums, vai šiem dažiem gadījumiem bankām tiešām nepieciešamas izņēmums sistēmās, procesos.</w:t>
            </w:r>
            <w:r>
              <w:rPr>
                <w:rFonts w:eastAsia="Calibri"/>
              </w:rPr>
              <w:t xml:space="preserve"> </w:t>
            </w:r>
            <w:r w:rsidRPr="004C4DE1">
              <w:rPr>
                <w:rFonts w:eastAsia="Calibri"/>
              </w:rPr>
              <w:t xml:space="preserve">Par minēto jautājumu turpināsies diskusijas </w:t>
            </w:r>
            <w:r>
              <w:rPr>
                <w:rFonts w:eastAsia="Calibri"/>
              </w:rPr>
              <w:t>normatīvā regulējuma izstrādes un</w:t>
            </w:r>
            <w:r w:rsidRPr="004C4DE1">
              <w:rPr>
                <w:rFonts w:eastAsia="Calibri"/>
              </w:rPr>
              <w:t xml:space="preserve"> saskaņošanas laikā. </w:t>
            </w:r>
          </w:p>
          <w:p w14:paraId="5F38C3BF" w14:textId="65942207" w:rsidR="004C4DE1" w:rsidRDefault="004C4DE1" w:rsidP="004C4DE1">
            <w:pPr>
              <w:jc w:val="both"/>
              <w:rPr>
                <w:rFonts w:eastAsia="Calibri"/>
              </w:rPr>
            </w:pPr>
          </w:p>
        </w:tc>
        <w:tc>
          <w:tcPr>
            <w:tcW w:w="2986" w:type="dxa"/>
            <w:tcBorders>
              <w:top w:val="single" w:sz="4" w:space="0" w:color="auto"/>
              <w:left w:val="single" w:sz="4" w:space="0" w:color="auto"/>
              <w:bottom w:val="single" w:sz="4" w:space="0" w:color="auto"/>
            </w:tcBorders>
          </w:tcPr>
          <w:p w14:paraId="1FBA6FB3" w14:textId="41609208" w:rsidR="004A5F16" w:rsidRDefault="00BD7226" w:rsidP="00766F52">
            <w:pPr>
              <w:jc w:val="both"/>
            </w:pPr>
            <w:r>
              <w:lastRenderedPageBreak/>
              <w:t>Svītrots no projekta</w:t>
            </w:r>
          </w:p>
          <w:p w14:paraId="4E5BDC6D" w14:textId="39325839" w:rsidR="003E5B95" w:rsidRDefault="003E5B95" w:rsidP="00766F52">
            <w:pPr>
              <w:jc w:val="both"/>
            </w:pPr>
          </w:p>
        </w:tc>
      </w:tr>
      <w:tr w:rsidR="004A5F16" w:rsidRPr="001801C2" w14:paraId="146B952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47FB1E5" w14:textId="77777777" w:rsidR="004A5F16" w:rsidRPr="001801C2" w:rsidRDefault="004A5F16"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77166EF" w14:textId="5486D0DD" w:rsidR="003737D8" w:rsidRDefault="003737D8" w:rsidP="00042539">
            <w:pPr>
              <w:spacing w:after="160" w:line="259" w:lineRule="auto"/>
              <w:jc w:val="both"/>
            </w:pPr>
            <w:r>
              <w:t>Projekts</w:t>
            </w:r>
          </w:p>
          <w:p w14:paraId="71D87B06" w14:textId="1A58042E" w:rsidR="00042539" w:rsidRPr="00042539" w:rsidRDefault="003737D8" w:rsidP="00042539">
            <w:pPr>
              <w:spacing w:after="160" w:line="259" w:lineRule="auto"/>
              <w:jc w:val="both"/>
            </w:pPr>
            <w:r>
              <w:t>“</w:t>
            </w:r>
            <w:r w:rsidR="00042539">
              <w:t xml:space="preserve">6) </w:t>
            </w:r>
            <w:r w:rsidR="00042539" w:rsidRPr="00042539">
              <w:t>kredītu varēs saņemt studējošie Latvijas Republikas pilsoņi un nepilsoņi, kā arī citu ES valstu pilsoņi (saskaņā ar Eiropas Parlamenta un Padomes Direktīvu 2004/38/EK (2004. gada 29. aprīlis) par Savienības pilsoņu un viņu ģimenes locekļu tiesībām brīvi pārvietoties un uzturēties dalībvalstu teritorijā, ar ko groza Regulu (EEK) Nr. 1612/68, 24. pants “Vienlīdzīgā attieksme”). Uz ārzemēs studējošiem un trešo valstu ārvalstu studentiem Latvijā šī programma neattieksies, izņemot, ja tiks rasts papildus riska s</w:t>
            </w:r>
            <w:r>
              <w:t>egums no citiem avotiem.”</w:t>
            </w:r>
          </w:p>
          <w:p w14:paraId="18F49768" w14:textId="77777777" w:rsidR="004A5F16" w:rsidRDefault="004A5F16" w:rsidP="00766F52">
            <w:pPr>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A613EEE" w14:textId="77777777" w:rsidR="00042539" w:rsidRPr="009A432F" w:rsidRDefault="00042539" w:rsidP="00042539">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507FFEB" w14:textId="5AE7533E" w:rsidR="00042539" w:rsidRPr="00042539" w:rsidRDefault="00042539" w:rsidP="000B70E2">
            <w:pPr>
              <w:widowControl w:val="0"/>
              <w:jc w:val="both"/>
              <w:rPr>
                <w:rFonts w:eastAsia="Calibri"/>
                <w:lang w:eastAsia="en-US"/>
              </w:rPr>
            </w:pPr>
            <w:r w:rsidRPr="00042539">
              <w:rPr>
                <w:rFonts w:eastAsia="Calibri"/>
                <w:lang w:eastAsia="en-US"/>
              </w:rPr>
              <w:t>Vēršam uzmanību, ka konceptuālā ziņojuma sadaļas “Jaunais kreditēšanas modelis” 6.punktā (14.lpp) pirmais un pēdējais teikums ir savstarpēji izslēdzoši. Līdz ar to nav skaidrs, vai šī programma attieksies uz Latvijas Republikas pilsoņiem un nepilsoņiem, kuri studē ārvalstīs.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CB4A999" w14:textId="77777777" w:rsidR="004C4DE1" w:rsidRPr="004C4DE1" w:rsidRDefault="00042539" w:rsidP="004C4DE1">
            <w:pPr>
              <w:jc w:val="center"/>
              <w:rPr>
                <w:rFonts w:eastAsia="Calibri"/>
                <w:b/>
              </w:rPr>
            </w:pPr>
            <w:r w:rsidRPr="004C4DE1">
              <w:rPr>
                <w:rFonts w:eastAsia="Calibri"/>
                <w:b/>
              </w:rPr>
              <w:t>Ņemts</w:t>
            </w:r>
            <w:r w:rsidR="004C4DE1" w:rsidRPr="004C4DE1">
              <w:rPr>
                <w:rFonts w:eastAsia="Calibri"/>
                <w:b/>
              </w:rPr>
              <w:t xml:space="preserve"> vērā</w:t>
            </w:r>
          </w:p>
          <w:p w14:paraId="09DB1319" w14:textId="77777777" w:rsidR="00042539" w:rsidRDefault="00042539" w:rsidP="00D37078">
            <w:pPr>
              <w:jc w:val="both"/>
              <w:rPr>
                <w:rFonts w:eastAsia="Calibri"/>
              </w:rPr>
            </w:pPr>
            <w:r>
              <w:rPr>
                <w:rFonts w:eastAsia="Calibri"/>
              </w:rPr>
              <w:t xml:space="preserve">Pirmais teikums ir par studējošo kategorijām, kas varēs pretendēt uz kredītiem studijām </w:t>
            </w:r>
            <w:r w:rsidRPr="0087056E">
              <w:rPr>
                <w:rFonts w:eastAsia="Calibri"/>
                <w:u w:val="single"/>
              </w:rPr>
              <w:t>Latvijā</w:t>
            </w:r>
            <w:r>
              <w:rPr>
                <w:rFonts w:eastAsia="Calibri"/>
              </w:rPr>
              <w:t xml:space="preserve">. </w:t>
            </w:r>
          </w:p>
        </w:tc>
        <w:tc>
          <w:tcPr>
            <w:tcW w:w="2986" w:type="dxa"/>
            <w:tcBorders>
              <w:top w:val="single" w:sz="4" w:space="0" w:color="auto"/>
              <w:left w:val="single" w:sz="4" w:space="0" w:color="auto"/>
              <w:bottom w:val="single" w:sz="4" w:space="0" w:color="auto"/>
            </w:tcBorders>
          </w:tcPr>
          <w:p w14:paraId="3478689F" w14:textId="5F1B351D" w:rsidR="004A5F16" w:rsidRDefault="00EF0C48" w:rsidP="00766F52">
            <w:pPr>
              <w:jc w:val="both"/>
            </w:pPr>
            <w:r>
              <w:t>Projekt</w:t>
            </w:r>
            <w:r w:rsidR="00042539">
              <w:t>s:</w:t>
            </w:r>
          </w:p>
          <w:p w14:paraId="0A525AA1" w14:textId="5D17B6BF" w:rsidR="00042539" w:rsidRDefault="00EF0C48" w:rsidP="00D52758">
            <w:pPr>
              <w:jc w:val="both"/>
            </w:pPr>
            <w:r>
              <w:t>“</w:t>
            </w:r>
            <w:r w:rsidR="004C4DE1">
              <w:t xml:space="preserve">6) </w:t>
            </w:r>
            <w:r w:rsidR="00D52758" w:rsidRPr="00D52758">
              <w:t>kredītu studijām Latvijā varēs saņemt studējošie Latvijas Republikas pilsoņi un nepilsoņi, kā arī citu ES valstu pilsoņi, kas studē Latvijā (saskaņā ar Eiropas Parlamenta un Padomes Direktīvu 2004/38/EK (2004. gada 29. aprīlis) par Savienības pilsoņu un viņu ģimenes locekļu tiesībām brīvi pārvietoties un uzturēties dalībvalstu teritorijā, ar ko groza Regulu (EEK) Nr. 1612/68, 24. pants “Vienlīdzīgā attieksme”). Šī programma neattieksies uz Latvijas studējošiem, kas studēs ārzemēs, izņemot, ja tiks rasts papildus riska segums no citiem avotiem, kā arī uz trešo valstu ārvalstu studentiem Latvijā.</w:t>
            </w:r>
            <w:r>
              <w:t>”</w:t>
            </w:r>
          </w:p>
        </w:tc>
      </w:tr>
      <w:tr w:rsidR="00BA52F3" w:rsidRPr="001801C2" w14:paraId="0F80EE90"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E46AC25" w14:textId="77777777" w:rsidR="00BA52F3" w:rsidRPr="00FB036F" w:rsidRDefault="00BA52F3" w:rsidP="00BA52F3">
            <w:pPr>
              <w:pStyle w:val="naisc"/>
              <w:spacing w:before="0" w:after="0"/>
              <w:ind w:left="446"/>
              <w:jc w:val="left"/>
            </w:pPr>
          </w:p>
        </w:tc>
        <w:tc>
          <w:tcPr>
            <w:tcW w:w="3112" w:type="dxa"/>
            <w:tcBorders>
              <w:top w:val="single" w:sz="4" w:space="0" w:color="auto"/>
              <w:left w:val="single" w:sz="6" w:space="0" w:color="000000"/>
              <w:bottom w:val="single" w:sz="4" w:space="0" w:color="auto"/>
              <w:right w:val="single" w:sz="6" w:space="0" w:color="000000"/>
            </w:tcBorders>
          </w:tcPr>
          <w:p w14:paraId="71CAA6F5" w14:textId="66AF4A50" w:rsidR="00EF0C48" w:rsidRDefault="00EF0C48" w:rsidP="006A4603">
            <w:pPr>
              <w:jc w:val="both"/>
            </w:pPr>
            <w:r>
              <w:t>Projekts</w:t>
            </w:r>
          </w:p>
          <w:p w14:paraId="78470E9C" w14:textId="39B4F4FE" w:rsidR="00BA52F3" w:rsidRDefault="00EF0C48" w:rsidP="006A4603">
            <w:pPr>
              <w:jc w:val="both"/>
              <w:rPr>
                <w:i/>
              </w:rPr>
            </w:pPr>
            <w:r>
              <w:t>“</w:t>
            </w:r>
            <w:r w:rsidR="006A4603">
              <w:t xml:space="preserve">Studiju kredītiem </w:t>
            </w:r>
            <w:r w:rsidR="006A4603" w:rsidRPr="00EC25A0">
              <w:t>tik</w:t>
            </w:r>
            <w:r w:rsidR="006A4603">
              <w:t>s</w:t>
            </w:r>
            <w:r w:rsidR="006A4603" w:rsidRPr="00EC25A0">
              <w:t xml:space="preserve"> saglabāts procentu </w:t>
            </w:r>
            <w:r w:rsidR="006A4603">
              <w:t>segšanas</w:t>
            </w:r>
            <w:r w:rsidR="006A4603" w:rsidRPr="00EC25A0">
              <w:t xml:space="preserve"> mehānisms, valstij apmaksājot procentu maksājumus, kamēr tos nesedz studējošais (studiju laikā un vienu gadu pēc studiju pabeigšanas, kā arī gadījumā, ja procentu likmes pārsniegs noteikto slieksni).</w:t>
            </w:r>
            <w:r>
              <w:t>”</w:t>
            </w:r>
          </w:p>
          <w:p w14:paraId="59086A96" w14:textId="77777777" w:rsidR="00BA52F3" w:rsidRDefault="00BA52F3" w:rsidP="00BA52F3">
            <w:pPr>
              <w:rPr>
                <w:i/>
              </w:rPr>
            </w:pPr>
          </w:p>
          <w:p w14:paraId="32EDD655" w14:textId="77777777" w:rsidR="00BA52F3" w:rsidRDefault="00BA52F3" w:rsidP="00BA52F3">
            <w:pPr>
              <w:rPr>
                <w:i/>
              </w:rPr>
            </w:pPr>
          </w:p>
          <w:p w14:paraId="69444C8C" w14:textId="77777777" w:rsidR="00BA52F3" w:rsidRPr="00E532FA" w:rsidRDefault="00BA52F3" w:rsidP="00BA52F3">
            <w:pPr>
              <w:jc w:val="both"/>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022219C" w14:textId="77777777" w:rsidR="00365443" w:rsidRDefault="00BA52F3" w:rsidP="00365443">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2DC7D17" w14:textId="38701139" w:rsidR="00BA52F3" w:rsidRPr="00365443" w:rsidRDefault="00BA52F3" w:rsidP="00365443">
            <w:pPr>
              <w:widowControl w:val="0"/>
              <w:jc w:val="both"/>
              <w:rPr>
                <w:rFonts w:eastAsia="Calibri"/>
                <w:b/>
                <w:lang w:eastAsia="en-US"/>
              </w:rPr>
            </w:pPr>
            <w:r w:rsidRPr="00D52758">
              <w:t>Tāpat iepriekš minētās sadaļas 7.punktā (14.lpp) ir svītrojama teikuma daļa “kā arī gadījumā, ja procentu likmes pārsniegs noteikto slieksni”, ņemot vērā šīs sadaļas 3.punktā minēto, ka jaunā finansēšanas modeļa ietvaros tiks noteikti procentu likmju griesti.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FB7CDB2" w14:textId="77777777" w:rsidR="00BA52F3" w:rsidRPr="00690308" w:rsidRDefault="00690308" w:rsidP="00690308">
            <w:pPr>
              <w:jc w:val="center"/>
              <w:rPr>
                <w:b/>
              </w:rPr>
            </w:pPr>
            <w:r w:rsidRPr="00690308">
              <w:rPr>
                <w:b/>
              </w:rPr>
              <w:t>Ņ</w:t>
            </w:r>
            <w:r w:rsidR="00BA52F3" w:rsidRPr="00690308">
              <w:rPr>
                <w:b/>
              </w:rPr>
              <w:t>emts vērā</w:t>
            </w:r>
            <w:r w:rsidR="004F529F">
              <w:rPr>
                <w:b/>
              </w:rPr>
              <w:t xml:space="preserve"> pēc būtības</w:t>
            </w:r>
          </w:p>
          <w:p w14:paraId="795B068B" w14:textId="77777777" w:rsidR="00BA52F3" w:rsidRPr="00690308" w:rsidRDefault="00BA52F3" w:rsidP="00690308">
            <w:pPr>
              <w:jc w:val="both"/>
              <w:rPr>
                <w:b/>
              </w:rPr>
            </w:pPr>
          </w:p>
          <w:p w14:paraId="3416FD74" w14:textId="77777777" w:rsidR="00BA52F3" w:rsidRPr="00690308" w:rsidRDefault="00BA52F3" w:rsidP="00690308">
            <w:pPr>
              <w:jc w:val="both"/>
            </w:pPr>
            <w:r w:rsidRPr="00690308">
              <w:t>Tie ir divi dažādi jautājumi. Norm</w:t>
            </w:r>
            <w:r w:rsidR="00D52758">
              <w:t>atīvajā regulējumā tiks noteikta pievienotā likme, kā arī</w:t>
            </w:r>
            <w:r w:rsidRPr="00690308">
              <w:t xml:space="preserve"> procentu likmju griesti</w:t>
            </w:r>
            <w:r w:rsidR="00D52758">
              <w:t xml:space="preserve"> kopējai likmei</w:t>
            </w:r>
            <w:r w:rsidRPr="00690308">
              <w:t>, līdz kuriem studējošajam ir jāmaksā procentu izdevumi. Šāds ierobežojums attiecībā uz studējošo izmaksām pastāv arī pašreizējā normatīvajā regulējumā- Ministru Kabineta noteikumu Nr.220 21. punktā: “Ja minētā likme attiecīgajā laikposmā ir augstāka par pieciem procentiem gadā, kredīta ņēmējs maksā piecu procentu likmi gadā. Starpību starp likmēm sedz no valsts budžeta līdzekļiem.”</w:t>
            </w:r>
          </w:p>
          <w:p w14:paraId="710627D3" w14:textId="77777777" w:rsidR="00BA52F3" w:rsidRPr="00690308" w:rsidRDefault="00BA52F3" w:rsidP="00690308">
            <w:pPr>
              <w:jc w:val="both"/>
            </w:pPr>
            <w:r w:rsidRPr="00690308">
              <w:t xml:space="preserve">Taču Latvijas normatīvais regulējums nevar noteikt griestus EURIBOR </w:t>
            </w:r>
            <w:r w:rsidR="00D52758">
              <w:t>likmei</w:t>
            </w:r>
            <w:r w:rsidRPr="00690308">
              <w:t>, par kuriem ir runa šajā ziņojuma punktā</w:t>
            </w:r>
            <w:r w:rsidR="00D52758">
              <w:t xml:space="preserve"> un kas kopā ar pievienoto likmi veido kopējo likmi</w:t>
            </w:r>
            <w:r w:rsidRPr="00690308">
              <w:t xml:space="preserve">. </w:t>
            </w:r>
          </w:p>
          <w:p w14:paraId="1432BDF2" w14:textId="77777777" w:rsidR="00BA52F3" w:rsidRPr="00690308" w:rsidRDefault="00BA52F3" w:rsidP="00690308">
            <w:pPr>
              <w:jc w:val="both"/>
            </w:pPr>
          </w:p>
          <w:p w14:paraId="79AD9CCA" w14:textId="77777777" w:rsidR="00BA52F3" w:rsidRPr="00690308" w:rsidRDefault="00BA52F3" w:rsidP="00690308">
            <w:pPr>
              <w:jc w:val="both"/>
              <w:rPr>
                <w:b/>
              </w:rPr>
            </w:pPr>
          </w:p>
          <w:p w14:paraId="1464F436" w14:textId="77777777" w:rsidR="00BA52F3" w:rsidRPr="00690308" w:rsidRDefault="00BA52F3" w:rsidP="00690308">
            <w:pPr>
              <w:jc w:val="both"/>
              <w:rPr>
                <w:b/>
              </w:rPr>
            </w:pPr>
          </w:p>
        </w:tc>
        <w:tc>
          <w:tcPr>
            <w:tcW w:w="2986" w:type="dxa"/>
            <w:tcBorders>
              <w:top w:val="single" w:sz="4" w:space="0" w:color="auto"/>
              <w:left w:val="single" w:sz="4" w:space="0" w:color="auto"/>
              <w:bottom w:val="single" w:sz="4" w:space="0" w:color="auto"/>
            </w:tcBorders>
          </w:tcPr>
          <w:p w14:paraId="7FF974C9" w14:textId="2E7F6451" w:rsidR="00BA52F3" w:rsidRPr="00690308" w:rsidRDefault="00EF0C48" w:rsidP="00690308">
            <w:pPr>
              <w:jc w:val="both"/>
            </w:pPr>
            <w:r>
              <w:t>Projekts</w:t>
            </w:r>
            <w:r w:rsidRPr="00690308">
              <w:t xml:space="preserve"> </w:t>
            </w:r>
            <w:r>
              <w:t>p</w:t>
            </w:r>
            <w:r w:rsidR="00690308" w:rsidRPr="00690308">
              <w:t>apildināts</w:t>
            </w:r>
            <w:r w:rsidR="006A4603">
              <w:t xml:space="preserve"> ar skaidrojumu</w:t>
            </w:r>
            <w:r w:rsidR="00690308" w:rsidRPr="00690308">
              <w:t>:</w:t>
            </w:r>
          </w:p>
          <w:p w14:paraId="20023390" w14:textId="7B71808E" w:rsidR="006A4603" w:rsidRPr="00690308" w:rsidRDefault="00EF0C48" w:rsidP="00690308">
            <w:pPr>
              <w:jc w:val="both"/>
            </w:pPr>
            <w:r>
              <w:t>“</w:t>
            </w:r>
            <w:r w:rsidR="00D52758">
              <w:t xml:space="preserve">7) </w:t>
            </w:r>
            <w:r w:rsidR="00D52758" w:rsidRPr="00D52758">
              <w:t xml:space="preserve">Studiju kredītiem tiks saglabāts procentu segšanas mehānisms, valstij apmaksājot procentu maksājumus, kamēr tos nesedz studējošais (studiju laikā un vienu gadu pēc studiju pabeigšanas, kā arī gadījumā, ja kopējā aizdevumu likme ieskaitot EURIBOR un pievienoto likmi pārsniegs noteikto slieksni). Līdzīgs princips pastāv esošajā normatīvajā regulējumā saskaņā ar MK noteikumi Nr. 220 21. punktu: “Ja minētā likme attiecīgajā laikposmā ir augstāka par pieciem procentiem gadā, kredīta ņēmējs maksā piecu procentu likmi gadā. Starpību starp likmēm sedz no valsts budžeta līdzekļiem”. Valsts veiks kredīta procentu maksājumus visu līmeņa programmām (koledžas, bakalaura, maģistra un doktorantūras studiju programmās). Studējošā kredīta procentu </w:t>
            </w:r>
            <w:r w:rsidR="00D52758" w:rsidRPr="00D52758">
              <w:lastRenderedPageBreak/>
              <w:t>maksājumus studējošais pašreiz maksā arī studiju laikā, no kredīta saņemšanas brīža. Pašlaik provizoriskos aprēķinos par jauno kreditēšanas modeli tiek norādītas procentu subsīdijas abiem kredīta veidiem, jo grūti nākotnes prognozēt sadalījumu starp tiem (šobrīd 15% no visiem ir studējošo kredīti). Ņemot vērā ierobežoto līdzekļu apmēru budžeta apakšprogrammā 03.04.00 “Studējošo un studiju kreditēšana”, arī turpmāk tiek plānots no valsts budžeta finansēt procentu maksājumus tikai studiju kredītiem;</w:t>
            </w:r>
            <w:r>
              <w:t>”</w:t>
            </w:r>
          </w:p>
        </w:tc>
      </w:tr>
      <w:tr w:rsidR="004A5F16" w:rsidRPr="001801C2" w14:paraId="23219AB5"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04CB638" w14:textId="77777777" w:rsidR="004A5F16" w:rsidRPr="001801C2" w:rsidRDefault="004A5F16"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338EC5A2" w14:textId="7903CDE9" w:rsidR="00365443" w:rsidRDefault="00365443" w:rsidP="006A4603">
            <w:pPr>
              <w:spacing w:after="160" w:line="259" w:lineRule="auto"/>
              <w:jc w:val="both"/>
            </w:pPr>
            <w:r>
              <w:t>Projekts:</w:t>
            </w:r>
          </w:p>
          <w:p w14:paraId="79F76D1D" w14:textId="30014657" w:rsidR="006A4603" w:rsidRPr="006A4603" w:rsidRDefault="00365443" w:rsidP="006A4603">
            <w:pPr>
              <w:spacing w:after="160" w:line="259" w:lineRule="auto"/>
              <w:jc w:val="both"/>
            </w:pPr>
            <w:r>
              <w:t>“</w:t>
            </w:r>
            <w:r w:rsidR="006A4603" w:rsidRPr="006A4603">
              <w:t>Taču ņemot vērā ierobežotu līdzekļu apmēru budžeta programmā 04.03.00 “Studējošo un studiju kreditēšana” plānots tāpat ka pašlaik subsidēt procentu maksājumus tikai studiju kredītiem;</w:t>
            </w:r>
            <w:r>
              <w:t>”</w:t>
            </w:r>
          </w:p>
          <w:p w14:paraId="2421EB85" w14:textId="77777777" w:rsidR="004A5F16" w:rsidRDefault="004A5F16" w:rsidP="00766F52">
            <w:pPr>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4551C11" w14:textId="77777777" w:rsidR="006A4603" w:rsidRPr="009A432F" w:rsidRDefault="006A4603" w:rsidP="006A4603">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18BB9B77" w14:textId="3E519059" w:rsidR="006A4603" w:rsidRDefault="006A4603" w:rsidP="000B70E2">
            <w:pPr>
              <w:widowControl w:val="0"/>
              <w:jc w:val="both"/>
              <w:rPr>
                <w:rFonts w:eastAsia="Calibri"/>
                <w:b/>
                <w:lang w:eastAsia="en-US"/>
              </w:rPr>
            </w:pPr>
            <w:r w:rsidRPr="00DE0676">
              <w:rPr>
                <w:rFonts w:eastAsia="Calibri"/>
              </w:rPr>
              <w:t xml:space="preserve">Lūdzam redakcionāli precizēt konceptuālā ziņojuma sadaļas “Jaunais kreditēšanas modelis” 7.punkta pēdējo teikumu (14.lpp), izsakot to šādā redakcijā: </w:t>
            </w:r>
            <w:r w:rsidRPr="00DE0676">
              <w:rPr>
                <w:rFonts w:eastAsia="Calibri"/>
                <w:i/>
              </w:rPr>
              <w:t xml:space="preserve">“Ņemot vērā ierobežoto līdzekļu apmēru budžeta apakšprogrammā 03.04.00 “Studējošo un studiju kreditēšana”, arī turpmāk tiek plānots no valsts budžeta </w:t>
            </w:r>
            <w:r w:rsidRPr="00DE0676">
              <w:rPr>
                <w:rFonts w:eastAsia="Calibri"/>
                <w:i/>
              </w:rPr>
              <w:lastRenderedPageBreak/>
              <w:t>finansēt procentu maksājumus tikai studiju kredītiem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047E15F" w14:textId="77777777" w:rsidR="006A4603" w:rsidRPr="00690308" w:rsidRDefault="006A4603" w:rsidP="006A4603">
            <w:pPr>
              <w:jc w:val="center"/>
              <w:rPr>
                <w:b/>
              </w:rPr>
            </w:pPr>
            <w:r w:rsidRPr="00690308">
              <w:rPr>
                <w:b/>
              </w:rPr>
              <w:lastRenderedPageBreak/>
              <w:t>Ņemts vērā</w:t>
            </w:r>
          </w:p>
          <w:p w14:paraId="13C573AE" w14:textId="4E5DEC91" w:rsidR="00EF0C48" w:rsidRDefault="00046864" w:rsidP="00EF0C48">
            <w:pPr>
              <w:jc w:val="both"/>
            </w:pPr>
            <w:r>
              <w:t>Precizēts saskaņā ar komentāru.</w:t>
            </w:r>
          </w:p>
          <w:p w14:paraId="109DDBBF" w14:textId="77777777" w:rsidR="004A5F16" w:rsidRDefault="004A5F16" w:rsidP="00D37078">
            <w:pPr>
              <w:jc w:val="both"/>
              <w:rPr>
                <w:rFonts w:eastAsia="Calibri"/>
              </w:rPr>
            </w:pPr>
          </w:p>
        </w:tc>
        <w:tc>
          <w:tcPr>
            <w:tcW w:w="2986" w:type="dxa"/>
            <w:tcBorders>
              <w:top w:val="single" w:sz="4" w:space="0" w:color="auto"/>
              <w:left w:val="single" w:sz="4" w:space="0" w:color="auto"/>
              <w:bottom w:val="single" w:sz="4" w:space="0" w:color="auto"/>
            </w:tcBorders>
          </w:tcPr>
          <w:p w14:paraId="18F397A8" w14:textId="7CBCAF75" w:rsidR="00EF0C48" w:rsidRDefault="00EF0C48" w:rsidP="006A4603">
            <w:pPr>
              <w:spacing w:after="160" w:line="259" w:lineRule="auto"/>
              <w:jc w:val="both"/>
            </w:pPr>
            <w:r>
              <w:t xml:space="preserve"> Projekts</w:t>
            </w:r>
          </w:p>
          <w:p w14:paraId="17C0242A" w14:textId="540DB968" w:rsidR="006A4603" w:rsidRPr="006A4603" w:rsidRDefault="00365443" w:rsidP="006A4603">
            <w:pPr>
              <w:spacing w:after="160" w:line="259" w:lineRule="auto"/>
              <w:jc w:val="both"/>
            </w:pPr>
            <w:r>
              <w:t>“</w:t>
            </w:r>
            <w:r w:rsidR="006A4603" w:rsidRPr="006A4603">
              <w:t>Ņemot vērā ierobežoto līdzekļu apmēru budžeta apakšprogrammā 03.04.00 “Studējošo un studiju kreditēšana”, arī turpmāk tiek plānots no valsts budžeta finansēt procentu maksājumus tikai studiju kredītiem;</w:t>
            </w:r>
            <w:r>
              <w:t>”</w:t>
            </w:r>
          </w:p>
          <w:p w14:paraId="41382CF5" w14:textId="77777777" w:rsidR="006A4603" w:rsidRDefault="006A4603" w:rsidP="00766F52">
            <w:pPr>
              <w:jc w:val="both"/>
            </w:pPr>
          </w:p>
        </w:tc>
      </w:tr>
      <w:tr w:rsidR="005405E2" w:rsidRPr="001801C2" w14:paraId="79F3582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5B38D437" w14:textId="0740A123"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314000F" w14:textId="5153068E" w:rsidR="00365443" w:rsidRPr="00365443" w:rsidRDefault="00365443" w:rsidP="007A4187">
            <w:r w:rsidRPr="00365443">
              <w:t>Projekts:</w:t>
            </w:r>
          </w:p>
          <w:p w14:paraId="2E32203E" w14:textId="3F6DE2DA" w:rsidR="007A4187" w:rsidRPr="009E67FD" w:rsidRDefault="00365443" w:rsidP="007A4187">
            <w:pPr>
              <w:rPr>
                <w:b/>
              </w:rPr>
            </w:pPr>
            <w:r>
              <w:rPr>
                <w:b/>
              </w:rPr>
              <w:t>“</w:t>
            </w:r>
            <w:r w:rsidR="007A4187" w:rsidRPr="009E67FD">
              <w:rPr>
                <w:b/>
              </w:rPr>
              <w:t>Izmaksas jaunajam modelim</w:t>
            </w:r>
          </w:p>
          <w:p w14:paraId="540BB154" w14:textId="77777777" w:rsidR="007A4187" w:rsidRPr="007A4187" w:rsidRDefault="007A4187" w:rsidP="007A4187">
            <w:pPr>
              <w:spacing w:after="160" w:line="259" w:lineRule="auto"/>
              <w:jc w:val="both"/>
            </w:pPr>
            <w:r>
              <w:t xml:space="preserve">1) </w:t>
            </w:r>
            <w:r w:rsidRPr="007A4187">
              <w:t>Riska segums garantiju izsniegšanai ir atkarīgs no pieņēmumiem par jauno kredītu skaitu un apmēru.</w:t>
            </w:r>
          </w:p>
          <w:p w14:paraId="5F9ED64E" w14:textId="1973647F" w:rsidR="005405E2" w:rsidRPr="006A4603" w:rsidRDefault="007A4187" w:rsidP="007A4187">
            <w:pPr>
              <w:spacing w:after="160" w:line="259" w:lineRule="auto"/>
              <w:jc w:val="both"/>
            </w:pPr>
            <w:r>
              <w:t xml:space="preserve">Sekojošajā tabulā izmaksas ir aprēķinātas ar šādiem pieņēmumiem: 2 000 jauno studiju kredītu līgumu skaits gadā, vidējā summa 6 500 </w:t>
            </w:r>
            <w:r w:rsidRPr="0035261A">
              <w:rPr>
                <w:i/>
              </w:rPr>
              <w:t>euro</w:t>
            </w:r>
            <w:r>
              <w:t>.</w:t>
            </w:r>
            <w:r w:rsidR="00365443">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B9052AA" w14:textId="77777777" w:rsidR="00391ACC" w:rsidRPr="009A432F" w:rsidRDefault="00391ACC" w:rsidP="00391ACC">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87B5A0C" w14:textId="3BF437F8" w:rsidR="00391ACC" w:rsidRPr="00391ACC" w:rsidRDefault="00391ACC" w:rsidP="006A4603">
            <w:pPr>
              <w:widowControl w:val="0"/>
              <w:jc w:val="both"/>
              <w:rPr>
                <w:rFonts w:eastAsia="Calibri"/>
                <w:lang w:eastAsia="en-US"/>
              </w:rPr>
            </w:pPr>
            <w:r w:rsidRPr="00391ACC">
              <w:rPr>
                <w:rFonts w:eastAsia="Calibri"/>
                <w:lang w:eastAsia="en-US"/>
              </w:rPr>
              <w:t xml:space="preserve">Lūdzam skaidrot, vai konceptuālajā ziņojumā norādītais un aprēķinos pielietotais finansējuma apmērs 6 500 euro ir vidējais studējošā kredīta apjoms četru gadu periodā, vai arī vidējais studējošā un studiju kredīta apjoms četru gadu periodā. Atzīmējam, ka konceptuālā ziņojuma tabulā Nr.7 (21.lpp) norādīta studiju kredītiem izmaksājamā summa periodā no 2020. līdz 2026.gadam. Aprēķinā izmantots pieņēmums, ka tiek izsniegti 2000 jauni studiju kredīti ik gadu un to vidējā summa ir 6 500 euro. Ņemot vērā studentu skaita (sevišķi studentu, kas studijas finansē par saviem vai kredītiestāžu līdzekļiem) kritumu, aicinām izvērtēt, vai paredzamais izsniegto kredītu skaits saglabāsies visā tabulā iekļautajā periodā. Vienlaikus aicinām izmantot vienādus izejas datus aprēķinu veikšanai visa konceptuālā ziņojuma </w:t>
            </w:r>
            <w:r w:rsidRPr="00391ACC">
              <w:rPr>
                <w:rFonts w:eastAsia="Calibri"/>
                <w:lang w:eastAsia="en-US"/>
              </w:rPr>
              <w:lastRenderedPageBreak/>
              <w:t>ietvaros, t.sk. arī tabulā Nr.10.</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F3A689C" w14:textId="77777777" w:rsidR="007A4187" w:rsidRPr="007A4187" w:rsidRDefault="007A4187" w:rsidP="007A4187">
            <w:pPr>
              <w:jc w:val="center"/>
              <w:rPr>
                <w:rFonts w:eastAsia="Calibri"/>
                <w:b/>
                <w:lang w:eastAsia="en-US"/>
              </w:rPr>
            </w:pPr>
            <w:r w:rsidRPr="007A4187">
              <w:rPr>
                <w:rFonts w:eastAsia="Calibri"/>
                <w:b/>
                <w:lang w:eastAsia="en-US"/>
              </w:rPr>
              <w:lastRenderedPageBreak/>
              <w:t>Ņemts vērā</w:t>
            </w:r>
          </w:p>
          <w:p w14:paraId="4ECBF1E0" w14:textId="77777777" w:rsidR="003C6CC0" w:rsidRDefault="003C6CC0" w:rsidP="003C6CC0">
            <w:pPr>
              <w:jc w:val="both"/>
              <w:rPr>
                <w:rFonts w:eastAsia="Calibri"/>
                <w:lang w:eastAsia="en-US"/>
              </w:rPr>
            </w:pPr>
            <w:r>
              <w:rPr>
                <w:rFonts w:eastAsia="Calibri"/>
                <w:lang w:eastAsia="en-US"/>
              </w:rPr>
              <w:t xml:space="preserve">Norādītais un aprēķinos pielietotais finansējuma apmērs 6500 euro ir vidējais kredīta apjoms abiem kredīta veidiem (katram, ne kopā). </w:t>
            </w:r>
          </w:p>
          <w:p w14:paraId="010B09FA" w14:textId="77777777" w:rsidR="003C6CC0" w:rsidRDefault="003C6CC0" w:rsidP="003C6CC0">
            <w:pPr>
              <w:jc w:val="both"/>
              <w:rPr>
                <w:rFonts w:eastAsia="Calibri"/>
                <w:lang w:eastAsia="en-US"/>
              </w:rPr>
            </w:pPr>
          </w:p>
          <w:p w14:paraId="1F8A6901" w14:textId="77777777" w:rsidR="005405E2" w:rsidRDefault="007A4187" w:rsidP="009F63E7">
            <w:pPr>
              <w:jc w:val="both"/>
              <w:rPr>
                <w:rFonts w:eastAsia="Calibri"/>
                <w:lang w:eastAsia="en-US"/>
              </w:rPr>
            </w:pPr>
            <w:r>
              <w:rPr>
                <w:rFonts w:eastAsia="Calibri"/>
                <w:lang w:eastAsia="en-US"/>
              </w:rPr>
              <w:t>Tabulās Nr. 7 un Nr. 10 ir izmantoti vienādi izejas dati</w:t>
            </w:r>
            <w:r w:rsidR="003C6CC0" w:rsidRPr="00391ACC">
              <w:rPr>
                <w:rFonts w:eastAsia="Calibri"/>
                <w:lang w:eastAsia="en-US"/>
              </w:rPr>
              <w:t xml:space="preserve"> aprēķinu veikšanai</w:t>
            </w:r>
            <w:r>
              <w:rPr>
                <w:rFonts w:eastAsia="Calibri"/>
                <w:lang w:eastAsia="en-US"/>
              </w:rPr>
              <w:t xml:space="preserve">: tabulā Nr. 7 ir izmantots kopējais kredītu skaits 2 000 gadā (abu veidu kredīti), savukārt tabulā Nr. 10 aprēķini attiecās uz vienu no kredīta veidiem- </w:t>
            </w:r>
            <w:r w:rsidRPr="007A4187">
              <w:rPr>
                <w:rFonts w:eastAsia="Calibri"/>
                <w:u w:val="single"/>
                <w:lang w:eastAsia="en-US"/>
              </w:rPr>
              <w:t>studējošā</w:t>
            </w:r>
            <w:r>
              <w:rPr>
                <w:rFonts w:eastAsia="Calibri"/>
                <w:lang w:eastAsia="en-US"/>
              </w:rPr>
              <w:t xml:space="preserve"> kredītiem, kuri līdz šim veidoja </w:t>
            </w:r>
            <w:r w:rsidR="00B16538">
              <w:rPr>
                <w:rFonts w:eastAsia="Calibri"/>
                <w:lang w:eastAsia="en-US"/>
              </w:rPr>
              <w:t xml:space="preserve">vidēji </w:t>
            </w:r>
            <w:r>
              <w:rPr>
                <w:rFonts w:eastAsia="Calibri"/>
                <w:lang w:eastAsia="en-US"/>
              </w:rPr>
              <w:t xml:space="preserve">15% no visiem izsniegtiem kredītiem (2000*15%=300). Pašreizējais normatīvais regulējums </w:t>
            </w:r>
            <w:r w:rsidR="00B16538">
              <w:rPr>
                <w:rFonts w:eastAsia="Calibri"/>
                <w:lang w:eastAsia="en-US"/>
              </w:rPr>
              <w:t xml:space="preserve">paredz kredīta atlikuma dzēšanu bērnu piedzimšanas gadījumos tikai attiecībā uz vienu kredīta veidu, studējošā kredītu. Ņemot vērā kā pieejamie līdzekļi ir ierobežoti ministrija piedāvā turpināt šādu praksi. </w:t>
            </w:r>
          </w:p>
          <w:p w14:paraId="1BEB1326" w14:textId="77777777" w:rsidR="00B16538" w:rsidRDefault="00B16538" w:rsidP="007A4187">
            <w:pPr>
              <w:jc w:val="both"/>
              <w:rPr>
                <w:b/>
              </w:rPr>
            </w:pPr>
          </w:p>
          <w:p w14:paraId="244A583C" w14:textId="77777777" w:rsidR="00B16538" w:rsidRDefault="00B16538" w:rsidP="00664E7D">
            <w:pPr>
              <w:jc w:val="both"/>
            </w:pPr>
            <w:r w:rsidRPr="00B16538">
              <w:t xml:space="preserve">Pie tā, ka samazinās par maksu studējošo skaits, jāņem vērā, ka pašlaik tikai </w:t>
            </w:r>
            <w:r>
              <w:t xml:space="preserve">daļa no tiem, kas studē par maksu (10,1% 2018. gadā) izmantoja valsts galvotos kredītus dēļ </w:t>
            </w:r>
            <w:r w:rsidR="00664E7D">
              <w:t xml:space="preserve">to ierobežotas pieejamības. Orientējoši 30% no tiem, kas vērsās kredītiestādēs pēc valsts galvotiem kredītiem tos nesaņēma, jo otrais galvotais neatbilda prasībām, kā arī var pieņemt, ka daļa nevērsās otrā galvotāja </w:t>
            </w:r>
            <w:r w:rsidR="00664E7D">
              <w:lastRenderedPageBreak/>
              <w:t>trūkuma dēļ. Padarot sistēmu pieejamāku, ir prognozējams pieprasījuma palielin</w:t>
            </w:r>
            <w:r w:rsidR="00E04783">
              <w:t xml:space="preserve">ājums. </w:t>
            </w:r>
          </w:p>
          <w:p w14:paraId="5327B333" w14:textId="77777777" w:rsidR="00664E7D" w:rsidRPr="00B16538" w:rsidRDefault="00664E7D" w:rsidP="00664E7D">
            <w:pPr>
              <w:jc w:val="both"/>
            </w:pPr>
          </w:p>
        </w:tc>
        <w:tc>
          <w:tcPr>
            <w:tcW w:w="2986" w:type="dxa"/>
            <w:tcBorders>
              <w:top w:val="single" w:sz="4" w:space="0" w:color="auto"/>
              <w:left w:val="single" w:sz="4" w:space="0" w:color="auto"/>
              <w:bottom w:val="single" w:sz="4" w:space="0" w:color="auto"/>
            </w:tcBorders>
          </w:tcPr>
          <w:p w14:paraId="0B3439D8" w14:textId="6BE10499" w:rsidR="00365443" w:rsidRPr="00365443" w:rsidRDefault="00365443" w:rsidP="00365443">
            <w:pPr>
              <w:jc w:val="both"/>
            </w:pPr>
            <w:r w:rsidRPr="00365443">
              <w:lastRenderedPageBreak/>
              <w:t>Projekts:</w:t>
            </w:r>
          </w:p>
          <w:p w14:paraId="351292F8" w14:textId="79757753" w:rsidR="007A4187" w:rsidRPr="009E67FD" w:rsidRDefault="00365443" w:rsidP="00365443">
            <w:pPr>
              <w:jc w:val="both"/>
              <w:rPr>
                <w:b/>
              </w:rPr>
            </w:pPr>
            <w:r>
              <w:rPr>
                <w:b/>
              </w:rPr>
              <w:t>“</w:t>
            </w:r>
            <w:r w:rsidR="007A4187" w:rsidRPr="009E67FD">
              <w:rPr>
                <w:b/>
              </w:rPr>
              <w:t>Izmaksas jaunajam modelim</w:t>
            </w:r>
          </w:p>
          <w:p w14:paraId="249CF163" w14:textId="77777777" w:rsidR="007A4187" w:rsidRPr="007A4187" w:rsidRDefault="007A4187" w:rsidP="007A4187">
            <w:pPr>
              <w:spacing w:after="160" w:line="259" w:lineRule="auto"/>
              <w:jc w:val="both"/>
            </w:pPr>
            <w:r>
              <w:t xml:space="preserve">1) </w:t>
            </w:r>
            <w:r w:rsidRPr="007A4187">
              <w:t>Riska segums garantiju izsniegšanai ir atkarīgs no pieņēmumiem par jauno kredītu skaitu un apmēru.</w:t>
            </w:r>
          </w:p>
          <w:p w14:paraId="33E52CC5" w14:textId="534D788E" w:rsidR="005405E2" w:rsidRDefault="007A4187" w:rsidP="007A4187">
            <w:pPr>
              <w:jc w:val="both"/>
            </w:pPr>
            <w:r>
              <w:t xml:space="preserve">Sekojošajā tabulā izmaksas ir aprēķinātas ar šādiem pieņēmumiem: 2 000 jauno studiju kredītu līgumu skaits gadā, vidējā summa 6 500 </w:t>
            </w:r>
            <w:r w:rsidRPr="0035261A">
              <w:rPr>
                <w:i/>
              </w:rPr>
              <w:t>euro</w:t>
            </w:r>
            <w:r>
              <w:rPr>
                <w:i/>
              </w:rPr>
              <w:t xml:space="preserve"> </w:t>
            </w:r>
            <w:r w:rsidRPr="00615EEC">
              <w:t>abiem kredītu veidiem</w:t>
            </w:r>
            <w:r>
              <w:t>, gan studiju, gan studējošā kredītam</w:t>
            </w:r>
            <w:r w:rsidRPr="00615EEC">
              <w:t>.</w:t>
            </w:r>
            <w:r w:rsidR="00365443">
              <w:t>”</w:t>
            </w:r>
          </w:p>
        </w:tc>
      </w:tr>
      <w:tr w:rsidR="001F1C93" w:rsidRPr="001801C2" w14:paraId="749895F0"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78ADC05" w14:textId="77777777" w:rsidR="001F1C93" w:rsidRPr="001801C2" w:rsidRDefault="001F1C93" w:rsidP="001F1C93">
            <w:pPr>
              <w:jc w:val="right"/>
            </w:pPr>
          </w:p>
        </w:tc>
        <w:tc>
          <w:tcPr>
            <w:tcW w:w="3112" w:type="dxa"/>
            <w:tcBorders>
              <w:top w:val="single" w:sz="4" w:space="0" w:color="auto"/>
              <w:left w:val="single" w:sz="6" w:space="0" w:color="000000"/>
              <w:bottom w:val="single" w:sz="4" w:space="0" w:color="auto"/>
              <w:right w:val="single" w:sz="6" w:space="0" w:color="000000"/>
            </w:tcBorders>
          </w:tcPr>
          <w:p w14:paraId="7527504E" w14:textId="1519AE00" w:rsidR="001F1C93" w:rsidRDefault="00A25DAE" w:rsidP="001F1C93">
            <w:r>
              <w:t>Projekts:</w:t>
            </w:r>
          </w:p>
          <w:p w14:paraId="0040ABCA" w14:textId="04D4EEFC" w:rsidR="001F1C93" w:rsidRPr="001F1C93" w:rsidRDefault="00A25DAE" w:rsidP="00A25DAE">
            <w:pPr>
              <w:jc w:val="both"/>
            </w:pPr>
            <w:r>
              <w:t>“</w:t>
            </w:r>
            <w:r w:rsidR="001F1C93" w:rsidRPr="001F1C93">
              <w:t>Valsts Kases galvojums:</w:t>
            </w:r>
          </w:p>
          <w:p w14:paraId="4C0B03C7" w14:textId="68499686" w:rsidR="001F1C93" w:rsidRPr="00E532FA" w:rsidRDefault="001F1C93" w:rsidP="00A25DAE">
            <w:pPr>
              <w:jc w:val="both"/>
              <w:rPr>
                <w:i/>
              </w:rPr>
            </w:pPr>
            <w:r w:rsidRPr="001F1C93">
              <w:t>vidējā termiņa budžetā ieplānots galvojumu apmērs gadā jaunajiem līgumiem: studējošo kreditēšanai 10 727 649 euro, studiju kreditēšanai 25 200 000 euro 2019. gadā un turpmāk.</w:t>
            </w:r>
            <w:r w:rsidR="00A25DAE">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8BA3BFA" w14:textId="77777777" w:rsidR="00A25DAE" w:rsidRDefault="001F1C93" w:rsidP="001F1C93">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05A083BB" w14:textId="2B9BBA0B" w:rsidR="001F1C93" w:rsidRPr="00A25DAE" w:rsidRDefault="001F1C93" w:rsidP="001F1C93">
            <w:pPr>
              <w:widowControl w:val="0"/>
              <w:jc w:val="both"/>
              <w:rPr>
                <w:rFonts w:eastAsia="Calibri"/>
                <w:b/>
                <w:lang w:eastAsia="en-US"/>
              </w:rPr>
            </w:pPr>
            <w:r w:rsidRPr="001F1C93">
              <w:rPr>
                <w:rFonts w:eastAsia="Calibri"/>
                <w:lang w:eastAsia="en-US"/>
              </w:rPr>
              <w:t>Lūdzam svītrot konceptuālā ziņojuma sadaļas “Izmaksas jaunajam modelim” tabulas Nr.9 13.rindā norādīto informāciju par finansējuma apmēru galvojumu nodrošināšanai, jo likumā “Par valsts budžetu 2019.gadam” šāda pozīcija nav plānota.</w:t>
            </w:r>
            <w:r>
              <w:rPr>
                <w:rFonts w:eastAsia="Calibri"/>
                <w:lang w:eastAsia="en-US"/>
              </w:rPr>
              <w:t xml:space="preserve"> </w:t>
            </w:r>
          </w:p>
          <w:p w14:paraId="79EA416C" w14:textId="77777777" w:rsidR="001F1C93" w:rsidRDefault="001F1C93" w:rsidP="001F1C93">
            <w:pPr>
              <w:widowControl w:val="0"/>
              <w:spacing w:after="120" w:line="276" w:lineRule="auto"/>
              <w:rPr>
                <w:rFonts w:eastAsia="Calibri"/>
              </w:rPr>
            </w:pPr>
          </w:p>
          <w:p w14:paraId="2ADCB7AF" w14:textId="103CF1C5" w:rsidR="001F1C93" w:rsidRPr="00DE0676" w:rsidRDefault="001F1C93" w:rsidP="0087056E">
            <w:pPr>
              <w:widowControl w:val="0"/>
              <w:spacing w:after="120" w:line="276" w:lineRule="auto"/>
              <w:jc w:val="both"/>
              <w:rPr>
                <w:rFonts w:eastAsia="Calibri"/>
              </w:rPr>
            </w:pPr>
            <w:r w:rsidRPr="00DE0676">
              <w:rPr>
                <w:rFonts w:eastAsia="Calibri"/>
              </w:rPr>
              <w:t xml:space="preserve">Konceptuālā ziņojuma 24.lpp tabulas pēdējā rindā abās kolonnās lūdzam aizstāt terminu “Valsts Kases galvojums” ar terminu </w:t>
            </w:r>
            <w:r w:rsidRPr="006E0989">
              <w:rPr>
                <w:rFonts w:eastAsia="Calibri"/>
                <w:u w:val="single"/>
              </w:rPr>
              <w:t>“galvojums valsts vārdā”.</w:t>
            </w:r>
            <w:r>
              <w:rPr>
                <w:rFonts w:eastAsia="Calibri"/>
              </w:rPr>
              <w:t xml:space="preserve"> </w:t>
            </w:r>
          </w:p>
          <w:p w14:paraId="707F7A54" w14:textId="77777777" w:rsidR="001F1C93" w:rsidRPr="001F1C93" w:rsidRDefault="001F1C93" w:rsidP="001F1C93">
            <w:pPr>
              <w:widowControl w:val="0"/>
              <w:jc w:val="both"/>
              <w:rPr>
                <w:rFonts w:eastAsia="Calibri"/>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584ECD6" w14:textId="77777777" w:rsidR="001F1C93" w:rsidRPr="007A4187" w:rsidRDefault="001F1C93" w:rsidP="001F1C93">
            <w:pPr>
              <w:jc w:val="center"/>
              <w:rPr>
                <w:rFonts w:eastAsia="Calibri"/>
                <w:b/>
                <w:lang w:eastAsia="en-US"/>
              </w:rPr>
            </w:pPr>
            <w:r w:rsidRPr="007A4187">
              <w:rPr>
                <w:rFonts w:eastAsia="Calibri"/>
                <w:b/>
                <w:lang w:eastAsia="en-US"/>
              </w:rPr>
              <w:t>Ņemts vērā</w:t>
            </w:r>
          </w:p>
          <w:p w14:paraId="377EC58E" w14:textId="77777777" w:rsidR="001F1C93" w:rsidRPr="001F1C93" w:rsidRDefault="001F1C93" w:rsidP="001F1C93">
            <w:pPr>
              <w:jc w:val="both"/>
            </w:pPr>
          </w:p>
        </w:tc>
        <w:tc>
          <w:tcPr>
            <w:tcW w:w="2986" w:type="dxa"/>
            <w:tcBorders>
              <w:top w:val="single" w:sz="4" w:space="0" w:color="auto"/>
              <w:left w:val="single" w:sz="4" w:space="0" w:color="auto"/>
              <w:bottom w:val="single" w:sz="4" w:space="0" w:color="auto"/>
            </w:tcBorders>
          </w:tcPr>
          <w:p w14:paraId="156D9D13" w14:textId="6A207A01" w:rsidR="001F1C93" w:rsidRDefault="00A25DAE" w:rsidP="001F1C93">
            <w:pPr>
              <w:jc w:val="both"/>
            </w:pPr>
            <w:r>
              <w:t>Projekts</w:t>
            </w:r>
          </w:p>
          <w:p w14:paraId="292F9621" w14:textId="0E11247C" w:rsidR="001F1C93" w:rsidRDefault="00A25DAE" w:rsidP="001F1C93">
            <w:pPr>
              <w:jc w:val="both"/>
            </w:pPr>
            <w:r>
              <w:t>“</w:t>
            </w:r>
            <w:r w:rsidR="001F1C93">
              <w:t>Galvojums valsts vārdā, kuru izsniedz Valsts Kase:</w:t>
            </w:r>
          </w:p>
          <w:p w14:paraId="219F3A9E" w14:textId="28519D2D" w:rsidR="001F1C93" w:rsidRDefault="001F1C93" w:rsidP="001F1C93">
            <w:pPr>
              <w:jc w:val="both"/>
            </w:pPr>
            <w:r>
              <w:t>šobrīd tiek izmantots likumā “Par valsts budžetu 2018. gadam” noteiktais galvojums. AS “SEB banka” ir  tiesības slēgt līgumus par studiju un studējošo kredītu ar valsts galvojumu izsniegšanu līdz 2020. gada 1. aprīlim, nepārsniedzot likumā “Par valsts budžetu 2018. gadam” noteikto galvojuma apmēru: studējošo kreditēšanai 10 727 649 euro, studiju kreditēšanai 25 200 000 euro.</w:t>
            </w:r>
            <w:r w:rsidR="00A25DAE">
              <w:t>”</w:t>
            </w:r>
          </w:p>
        </w:tc>
      </w:tr>
      <w:tr w:rsidR="005405E2" w:rsidRPr="001801C2" w14:paraId="1D76D14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CBD1086"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1C2FB3BB" w14:textId="0E8BB6B4" w:rsidR="005405E2" w:rsidRPr="006A4603" w:rsidRDefault="005A14F0" w:rsidP="006A4603">
            <w:pPr>
              <w:spacing w:after="160" w:line="259" w:lineRule="auto"/>
              <w:jc w:val="both"/>
            </w:pPr>
            <w:r>
              <w:t xml:space="preserve">Projekta </w:t>
            </w:r>
            <w:r w:rsidRPr="00B73C9D">
              <w:rPr>
                <w:rFonts w:eastAsia="Calibri"/>
                <w:lang w:eastAsia="en-US"/>
              </w:rPr>
              <w:t>sadaļa “Studējošā kredītu dzēšana bērnu dzimšanas gadījumos”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D0ED89C" w14:textId="77777777" w:rsidR="009A72FC" w:rsidRPr="009A432F" w:rsidRDefault="009A72FC" w:rsidP="009A72FC">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6D98C40B" w14:textId="2638FB32" w:rsidR="005405E2" w:rsidRDefault="006C6E70" w:rsidP="006A4603">
            <w:pPr>
              <w:widowControl w:val="0"/>
              <w:jc w:val="both"/>
              <w:rPr>
                <w:rFonts w:eastAsia="Calibri"/>
                <w:b/>
                <w:lang w:eastAsia="en-US"/>
              </w:rPr>
            </w:pPr>
            <w:r w:rsidRPr="009A72FC">
              <w:rPr>
                <w:rFonts w:eastAsia="Calibri"/>
              </w:rPr>
              <w:t xml:space="preserve">Lūdzam papildināt konceptuālā ziņojuma sadaļu “Studējošā kredītu dzēšana bērnu dzimšanas gadījumos” (25.lpp) ar aprakstu, kādā veidā un kas </w:t>
            </w:r>
            <w:r w:rsidRPr="009A72FC">
              <w:rPr>
                <w:rFonts w:eastAsia="Calibri"/>
              </w:rPr>
              <w:lastRenderedPageBreak/>
              <w:t>veiks minētās funkcijas nodrošināšanu. Tāpat lūdzam veikt korektus, detalizētus aprēķinus, jo minētajā sadaļā norādītais vārdu salikums “iespējams pietiks” nerada pārliecību par norādītajiem aprēķiniem. Turklāt lūdzam Izglītības un zinātnes ministriju pārliecināties par aprēķinos izmantoto datu pareizību, jo šobrīd no minētajā sadaļā sniegtās informācijas saprotams, ka ikkatra sieviete vecuma amplitūdā no 20 – 34 gadiem, kurai šajā vecuma posmā piedzimst bērns, ir studējošā kredīta kredītņēmēja.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8A5BF14" w14:textId="77777777" w:rsidR="009A72FC" w:rsidRPr="007A4187" w:rsidRDefault="009A72FC" w:rsidP="009A72FC">
            <w:pPr>
              <w:jc w:val="center"/>
              <w:rPr>
                <w:rFonts w:eastAsia="Calibri"/>
                <w:b/>
                <w:lang w:eastAsia="en-US"/>
              </w:rPr>
            </w:pPr>
            <w:r w:rsidRPr="007A4187">
              <w:rPr>
                <w:rFonts w:eastAsia="Calibri"/>
                <w:b/>
                <w:lang w:eastAsia="en-US"/>
              </w:rPr>
              <w:lastRenderedPageBreak/>
              <w:t>Ņemts vērā</w:t>
            </w:r>
            <w:r w:rsidR="00D764E5">
              <w:rPr>
                <w:rFonts w:eastAsia="Calibri"/>
                <w:b/>
                <w:lang w:eastAsia="en-US"/>
              </w:rPr>
              <w:t xml:space="preserve"> pēc būtības</w:t>
            </w:r>
          </w:p>
          <w:p w14:paraId="29A01717" w14:textId="77777777" w:rsidR="009A72FC" w:rsidRDefault="009A72FC" w:rsidP="009A72FC">
            <w:pPr>
              <w:jc w:val="both"/>
              <w:rPr>
                <w:rFonts w:eastAsia="Calibri"/>
                <w:lang w:eastAsia="en-US"/>
              </w:rPr>
            </w:pPr>
          </w:p>
          <w:p w14:paraId="7DA2A95D" w14:textId="77777777" w:rsidR="009A72FC" w:rsidRDefault="009A72FC" w:rsidP="009A72FC">
            <w:pPr>
              <w:jc w:val="both"/>
              <w:rPr>
                <w:rFonts w:eastAsia="Calibri"/>
                <w:lang w:eastAsia="en-US"/>
              </w:rPr>
            </w:pPr>
            <w:r w:rsidRPr="00B73C9D">
              <w:rPr>
                <w:rFonts w:eastAsia="Calibri"/>
                <w:lang w:eastAsia="en-US"/>
              </w:rPr>
              <w:t>Papildināta konceptuālā ziņojuma sadaļa “Studējošā kredītu dzēšana bērnu dzimšanas gadījumos” ar aprakstu, kādā veidā un kas veiks minētās funkcijas nodrošināšanu.</w:t>
            </w:r>
          </w:p>
          <w:p w14:paraId="64485715" w14:textId="77777777" w:rsidR="005A66C5" w:rsidRDefault="005A66C5" w:rsidP="009A72FC">
            <w:pPr>
              <w:jc w:val="both"/>
              <w:rPr>
                <w:rFonts w:eastAsia="Calibri"/>
                <w:lang w:eastAsia="en-US"/>
              </w:rPr>
            </w:pPr>
          </w:p>
          <w:p w14:paraId="4641BC09" w14:textId="77777777" w:rsidR="009A72FC" w:rsidRPr="00D764E5" w:rsidRDefault="005A66C5" w:rsidP="009A72FC">
            <w:pPr>
              <w:jc w:val="both"/>
              <w:rPr>
                <w:rFonts w:eastAsia="Calibri"/>
                <w:lang w:eastAsia="en-US"/>
              </w:rPr>
            </w:pPr>
            <w:r w:rsidRPr="00D764E5">
              <w:rPr>
                <w:rFonts w:eastAsia="Calibri"/>
                <w:lang w:eastAsia="en-US"/>
              </w:rPr>
              <w:lastRenderedPageBreak/>
              <w:t>Vēršam uzmanību, ka aprēķins par nepieciešamo finansējumu ir prog</w:t>
            </w:r>
            <w:r w:rsidR="00D764E5" w:rsidRPr="00D764E5">
              <w:rPr>
                <w:rFonts w:eastAsia="Calibri"/>
                <w:lang w:eastAsia="en-US"/>
              </w:rPr>
              <w:t>noze, kas balstās uz konkrētiem ziņojumā norādītiem</w:t>
            </w:r>
            <w:r w:rsidRPr="00D764E5">
              <w:rPr>
                <w:rFonts w:eastAsia="Calibri"/>
                <w:lang w:eastAsia="en-US"/>
              </w:rPr>
              <w:t xml:space="preserve"> pieņēmumiem. Lūdzam atkārtoti pārlasīt minēto sadaļu, t.sk tabulā Nr. 10  veikto aprēķinu, jo tajā nav iekļauts „ka ikkatra sieviete vecuma amplitūdā no 20 – 34 gadiem, kurai šajā vecuma posmā piedzimst bērns, ir studējošā kredīta k</w:t>
            </w:r>
            <w:r w:rsidR="00D764E5" w:rsidRPr="00D764E5">
              <w:rPr>
                <w:rFonts w:eastAsia="Calibri"/>
                <w:lang w:eastAsia="en-US"/>
              </w:rPr>
              <w:t>redītņēmēja”. Kā redzams tabulā</w:t>
            </w:r>
            <w:r w:rsidRPr="00D764E5">
              <w:rPr>
                <w:rFonts w:eastAsia="Calibri"/>
                <w:lang w:eastAsia="en-US"/>
              </w:rPr>
              <w:t xml:space="preserve"> Nr.10, aprēķins par nepieciešamajiem līdzekļiem kredīta dzēšanai aprēķināts pēc pieņēmuma, ka  8,58 % no studijas pabeigušo kredīta ņē</w:t>
            </w:r>
            <w:r w:rsidR="00D764E5" w:rsidRPr="00D764E5">
              <w:rPr>
                <w:rFonts w:eastAsia="Calibri"/>
                <w:lang w:eastAsia="en-US"/>
              </w:rPr>
              <w:t xml:space="preserve">mēju skaita būs nepieciešamība </w:t>
            </w:r>
            <w:r w:rsidRPr="00D764E5">
              <w:rPr>
                <w:rFonts w:eastAsia="Calibri"/>
                <w:lang w:eastAsia="en-US"/>
              </w:rPr>
              <w:t>dzēst kredītu 30% apmērā bērnu piedzimšanas gadījumos.</w:t>
            </w:r>
          </w:p>
          <w:p w14:paraId="62D78553" w14:textId="77777777" w:rsidR="009A72FC" w:rsidRPr="0087056E" w:rsidRDefault="009A72FC" w:rsidP="00F841E6">
            <w:pPr>
              <w:jc w:val="both"/>
              <w:rPr>
                <w:rFonts w:eastAsia="Calibri"/>
                <w:lang w:eastAsia="en-US"/>
              </w:rPr>
            </w:pPr>
            <w:r w:rsidRPr="0087056E">
              <w:rPr>
                <w:rFonts w:eastAsia="Calibri"/>
                <w:lang w:eastAsia="en-US"/>
              </w:rPr>
              <w:t xml:space="preserve">Nepieciešamie līdzekļi tiek aprēķināti: </w:t>
            </w:r>
          </w:p>
          <w:p w14:paraId="0122BC1D" w14:textId="77777777" w:rsidR="009A72FC" w:rsidRPr="0087056E" w:rsidRDefault="009A72FC" w:rsidP="00F841E6">
            <w:pPr>
              <w:jc w:val="both"/>
              <w:rPr>
                <w:rFonts w:eastAsia="Calibri"/>
                <w:lang w:eastAsia="en-US"/>
              </w:rPr>
            </w:pPr>
            <w:r w:rsidRPr="0087056E">
              <w:rPr>
                <w:rFonts w:eastAsia="Calibri"/>
                <w:lang w:eastAsia="en-US"/>
              </w:rPr>
              <w:t>studijas pabeigušo skaits (vīrieši un sievietes kopā, jo kredītu dzēš arī tēviem) X vidējā kredīta summa EUR X  85.8 (uz 1000 sievietēm vecumā no 20-34 gadiem gadā vidēji piedzimst 85.8 bērni) / 1000  X 30% (no kredīta atlikuma par katru dzimušo bērnu).</w:t>
            </w:r>
          </w:p>
          <w:p w14:paraId="2C975AC9" w14:textId="77777777" w:rsidR="009A72FC" w:rsidRPr="00D764E5" w:rsidRDefault="009A72FC" w:rsidP="00F841E6">
            <w:pPr>
              <w:jc w:val="both"/>
              <w:rPr>
                <w:rFonts w:eastAsia="Calibri"/>
                <w:lang w:eastAsia="en-US"/>
              </w:rPr>
            </w:pPr>
            <w:r w:rsidRPr="0087056E">
              <w:rPr>
                <w:rFonts w:eastAsia="Calibri"/>
                <w:lang w:eastAsia="en-US"/>
              </w:rPr>
              <w:t>Kopumā studējošā kredīts 30% apmērā katru gadu  tiek dzēsts 8.58% no studijas pabeigušo kredītu ņēmēju skaita.</w:t>
            </w:r>
          </w:p>
          <w:p w14:paraId="458297FA" w14:textId="77777777" w:rsidR="00F841E6" w:rsidRPr="00F841E6" w:rsidRDefault="009A72FC" w:rsidP="00F841E6">
            <w:pPr>
              <w:pStyle w:val="tv213tvp"/>
              <w:jc w:val="both"/>
              <w:rPr>
                <w:lang w:val="lv-LV"/>
              </w:rPr>
            </w:pPr>
            <w:r w:rsidRPr="00D764E5">
              <w:rPr>
                <w:rFonts w:eastAsia="Times New Roman"/>
                <w:lang w:val="lv-LV" w:eastAsia="lv-LV"/>
              </w:rPr>
              <w:t xml:space="preserve">Vienlaicīgi atzīmējam, ka gadījumos, ja budžeta programmas izpilde ir atkarīga no pakalpojuma saņēmēju skaita, kuru ministrija nevar precīzi paredzēt,  ministrijas ieskatā programma būtu </w:t>
            </w:r>
            <w:r w:rsidRPr="00D764E5">
              <w:rPr>
                <w:rFonts w:eastAsia="Times New Roman"/>
                <w:lang w:val="lv-LV" w:eastAsia="lv-LV"/>
              </w:rPr>
              <w:lastRenderedPageBreak/>
              <w:t xml:space="preserve">jāplāno ar elastīgumu, līdzīgi kā </w:t>
            </w:r>
            <w:r w:rsidR="006A52F1" w:rsidRPr="00D764E5">
              <w:rPr>
                <w:rFonts w:eastAsia="Times New Roman"/>
                <w:lang w:val="lv-LV" w:eastAsia="lv-LV"/>
              </w:rPr>
              <w:t>budžeta apakšprogrammas, kuru izpilde ir atkarīga no</w:t>
            </w:r>
            <w:r w:rsidRPr="00D764E5">
              <w:rPr>
                <w:rFonts w:eastAsia="Times New Roman"/>
                <w:lang w:val="lv-LV" w:eastAsia="lv-LV"/>
              </w:rPr>
              <w:t xml:space="preserve"> skolēnu skait</w:t>
            </w:r>
            <w:r w:rsidR="006A52F1" w:rsidRPr="00D764E5">
              <w:rPr>
                <w:rFonts w:eastAsia="Times New Roman"/>
                <w:lang w:val="lv-LV" w:eastAsia="lv-LV"/>
              </w:rPr>
              <w:t>a</w:t>
            </w:r>
            <w:r w:rsidRPr="00D764E5">
              <w:rPr>
                <w:rFonts w:eastAsia="Times New Roman"/>
                <w:lang w:val="lv-LV" w:eastAsia="lv-LV"/>
              </w:rPr>
              <w:t xml:space="preserve">, </w:t>
            </w:r>
            <w:r w:rsidR="006A52F1" w:rsidRPr="00D764E5">
              <w:rPr>
                <w:rFonts w:eastAsia="Times New Roman"/>
                <w:lang w:val="lv-LV" w:eastAsia="lv-LV"/>
              </w:rPr>
              <w:t>kam tiek apmaksātas pusdienas, asistent</w:t>
            </w:r>
            <w:r w:rsidR="00D764E5" w:rsidRPr="00D764E5">
              <w:rPr>
                <w:rFonts w:eastAsia="Times New Roman"/>
                <w:lang w:val="lv-LV" w:eastAsia="lv-LV"/>
              </w:rPr>
              <w:t>a pakalpojumi</w:t>
            </w:r>
            <w:r w:rsidR="006A52F1" w:rsidRPr="00D764E5">
              <w:rPr>
                <w:rFonts w:eastAsia="Times New Roman"/>
                <w:lang w:val="lv-LV" w:eastAsia="lv-LV"/>
              </w:rPr>
              <w:t xml:space="preserve"> u.c.</w:t>
            </w:r>
            <w:r w:rsidR="006258D5" w:rsidRPr="00D764E5">
              <w:rPr>
                <w:rFonts w:eastAsia="Times New Roman"/>
                <w:lang w:val="lv-LV" w:eastAsia="lv-LV"/>
              </w:rPr>
              <w:t xml:space="preserve">, </w:t>
            </w:r>
            <w:r w:rsidR="00F841E6">
              <w:rPr>
                <w:rFonts w:eastAsia="Times New Roman"/>
                <w:lang w:val="lv-LV" w:eastAsia="lv-LV"/>
              </w:rPr>
              <w:t xml:space="preserve">izdarot pieņēmumus balstoties uz tendencēm un </w:t>
            </w:r>
            <w:r w:rsidR="006258D5" w:rsidRPr="00D764E5">
              <w:rPr>
                <w:rFonts w:eastAsia="Times New Roman"/>
                <w:lang w:val="lv-LV" w:eastAsia="lv-LV"/>
              </w:rPr>
              <w:t xml:space="preserve">paredzot iespēju vērsties pēc papildu finansējuma </w:t>
            </w:r>
            <w:r w:rsidR="00F841E6" w:rsidRPr="00F841E6">
              <w:rPr>
                <w:lang w:val="lv-LV"/>
              </w:rPr>
              <w:t>normatīvajos aktos noteiktajā kārtībā</w:t>
            </w:r>
            <w:r w:rsidR="00F841E6">
              <w:rPr>
                <w:lang w:val="lv-LV"/>
              </w:rPr>
              <w:t>, iesniedzot</w:t>
            </w:r>
            <w:r w:rsidR="00F841E6" w:rsidRPr="00F841E6">
              <w:rPr>
                <w:lang w:val="lv-LV"/>
              </w:rPr>
              <w:t xml:space="preserve"> pieprasījumu līdzekļu piešķiršanai  no valsts budžeta programmas 02.00.00 „Līdzekļi neparedzētiem gadījumiem”.</w:t>
            </w:r>
          </w:p>
          <w:p w14:paraId="3E0D37B0" w14:textId="77777777" w:rsidR="009A72FC" w:rsidRPr="009F63E7" w:rsidRDefault="00D764E5" w:rsidP="006258D5">
            <w:pPr>
              <w:pStyle w:val="tv213tvp"/>
              <w:spacing w:before="0" w:beforeAutospacing="0" w:after="0" w:afterAutospacing="0"/>
              <w:jc w:val="both"/>
              <w:rPr>
                <w:rFonts w:eastAsia="Times New Roman"/>
                <w:lang w:val="lv-LV" w:eastAsia="lv-LV"/>
              </w:rPr>
            </w:pPr>
            <w:r w:rsidRPr="00D764E5">
              <w:rPr>
                <w:rFonts w:eastAsia="Times New Roman"/>
                <w:lang w:val="lv-LV" w:eastAsia="lv-LV"/>
              </w:rPr>
              <w:t>Gadījumā, ja FM var  noprognozēt un ar aprēķiniem pamatot precīzāku iespējamo studējošo kredītņēmēju skaitu, kuriem nākamajā un turpmākajos desmit gados piedzims bērns, lūdzam iesniegt konkrētu priekšlikumu.</w:t>
            </w:r>
            <w:r w:rsidR="009A72FC">
              <w:rPr>
                <w:rFonts w:eastAsia="Times New Roman"/>
                <w:lang w:val="lv-LV" w:eastAsia="lv-LV"/>
              </w:rPr>
              <w:t xml:space="preserve"> </w:t>
            </w:r>
          </w:p>
          <w:p w14:paraId="1C1E1F46" w14:textId="77777777" w:rsidR="009A72FC" w:rsidRPr="00690308" w:rsidRDefault="009A72FC" w:rsidP="009A72FC">
            <w:pPr>
              <w:jc w:val="both"/>
              <w:rPr>
                <w:b/>
              </w:rPr>
            </w:pPr>
          </w:p>
        </w:tc>
        <w:tc>
          <w:tcPr>
            <w:tcW w:w="2986" w:type="dxa"/>
            <w:tcBorders>
              <w:top w:val="single" w:sz="4" w:space="0" w:color="auto"/>
              <w:left w:val="single" w:sz="4" w:space="0" w:color="auto"/>
              <w:bottom w:val="single" w:sz="4" w:space="0" w:color="auto"/>
            </w:tcBorders>
          </w:tcPr>
          <w:p w14:paraId="4AA28D15" w14:textId="77777777" w:rsidR="00287EF6" w:rsidRDefault="00287EF6" w:rsidP="00287EF6">
            <w:pPr>
              <w:jc w:val="both"/>
              <w:rPr>
                <w:rFonts w:eastAsia="Calibri"/>
                <w:lang w:eastAsia="en-US"/>
              </w:rPr>
            </w:pPr>
            <w:r w:rsidRPr="00B73C9D">
              <w:rPr>
                <w:rFonts w:eastAsia="Calibri"/>
                <w:lang w:eastAsia="en-US"/>
              </w:rPr>
              <w:lastRenderedPageBreak/>
              <w:t>Papildināta konceptuālā ziņojuma sadaļa “Studējošā kredītu dzēšana bērnu dzimšanas gadījumos”</w:t>
            </w:r>
            <w:r w:rsidR="00F841E6">
              <w:rPr>
                <w:rFonts w:eastAsia="Calibri"/>
                <w:lang w:eastAsia="en-US"/>
              </w:rPr>
              <w:t>, pārskatīti pieņēmumi un precizēta tabula Nr. 10.</w:t>
            </w:r>
          </w:p>
          <w:p w14:paraId="590B3180" w14:textId="77777777" w:rsidR="005405E2" w:rsidRDefault="005405E2" w:rsidP="00766F52">
            <w:pPr>
              <w:jc w:val="both"/>
            </w:pPr>
          </w:p>
        </w:tc>
      </w:tr>
      <w:tr w:rsidR="0087056E" w:rsidRPr="001801C2" w14:paraId="1E6F6CE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2480342" w14:textId="77777777" w:rsidR="0087056E" w:rsidRPr="001801C2" w:rsidRDefault="0087056E" w:rsidP="0087056E">
            <w:pPr>
              <w:jc w:val="right"/>
            </w:pPr>
          </w:p>
        </w:tc>
        <w:tc>
          <w:tcPr>
            <w:tcW w:w="3112" w:type="dxa"/>
            <w:tcBorders>
              <w:top w:val="single" w:sz="4" w:space="0" w:color="auto"/>
              <w:left w:val="single" w:sz="6" w:space="0" w:color="000000"/>
              <w:bottom w:val="single" w:sz="4" w:space="0" w:color="auto"/>
              <w:right w:val="single" w:sz="6" w:space="0" w:color="000000"/>
            </w:tcBorders>
          </w:tcPr>
          <w:p w14:paraId="4FB1F316" w14:textId="3C5037CA" w:rsidR="0087056E" w:rsidRPr="006A4603" w:rsidRDefault="005A14F0" w:rsidP="0087056E">
            <w:pPr>
              <w:spacing w:after="160" w:line="259" w:lineRule="auto"/>
              <w:jc w:val="both"/>
            </w:pPr>
            <w:r>
              <w:t>Projekta 10. tabula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8C7736C" w14:textId="77777777" w:rsidR="0087056E" w:rsidRDefault="0087056E" w:rsidP="0087056E">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16A3EDAC" w14:textId="20ECC8FF" w:rsidR="0087056E" w:rsidRPr="00FC5094" w:rsidRDefault="0087056E" w:rsidP="0087056E">
            <w:pPr>
              <w:widowControl w:val="0"/>
              <w:jc w:val="both"/>
              <w:rPr>
                <w:rFonts w:eastAsia="Calibri"/>
                <w:b/>
              </w:rPr>
            </w:pPr>
            <w:r w:rsidRPr="00440A06">
              <w:t>Lūdzam precizēt konceptuālā ziņojuma iepriekš minētās sadaļas tabulu Nr.10, ņemot vērā, ka visā konceptuālajā ziņojumā vidējais kredīta lielums tiek norādīts 6 500 euro apmērā un nav skaidrs, kā 2021.gadā studijas var pabeigt viena trešdaļa no 2020.gada kredītņēmēju skaita.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9E1A7A4" w14:textId="77777777" w:rsidR="0087056E" w:rsidRPr="005151E8" w:rsidRDefault="0087056E" w:rsidP="0087056E">
            <w:pPr>
              <w:pStyle w:val="tv213tvp"/>
              <w:spacing w:before="0" w:beforeAutospacing="0" w:after="0" w:afterAutospacing="0"/>
              <w:jc w:val="center"/>
              <w:rPr>
                <w:rFonts w:eastAsia="Times New Roman"/>
                <w:b/>
                <w:lang w:val="lv-LV" w:eastAsia="lv-LV"/>
              </w:rPr>
            </w:pPr>
            <w:r w:rsidRPr="005151E8">
              <w:rPr>
                <w:rFonts w:eastAsia="Times New Roman"/>
                <w:b/>
                <w:lang w:val="lv-LV" w:eastAsia="lv-LV"/>
              </w:rPr>
              <w:t>Ņemts vērā pēc būtības</w:t>
            </w:r>
          </w:p>
          <w:p w14:paraId="50E91558" w14:textId="77777777" w:rsidR="0087056E" w:rsidRDefault="0087056E" w:rsidP="0087056E">
            <w:pPr>
              <w:pStyle w:val="tv213tvp"/>
              <w:spacing w:before="0" w:beforeAutospacing="0" w:after="0" w:afterAutospacing="0"/>
              <w:jc w:val="both"/>
              <w:rPr>
                <w:rFonts w:eastAsia="Times New Roman"/>
                <w:lang w:val="lv-LV" w:eastAsia="lv-LV"/>
              </w:rPr>
            </w:pPr>
            <w:r w:rsidRPr="00440A06">
              <w:rPr>
                <w:rFonts w:eastAsia="Times New Roman"/>
                <w:lang w:val="lv-LV" w:eastAsia="lv-LV"/>
              </w:rPr>
              <w:t xml:space="preserve">Studējošais par paņemt kredītu arī 1 gadam, tai skaitā </w:t>
            </w:r>
            <w:r>
              <w:rPr>
                <w:rFonts w:eastAsia="Times New Roman"/>
                <w:lang w:val="lv-LV" w:eastAsia="lv-LV"/>
              </w:rPr>
              <w:t xml:space="preserve">jau pašlaik </w:t>
            </w:r>
            <w:r w:rsidRPr="00440A06">
              <w:rPr>
                <w:rFonts w:eastAsia="Times New Roman"/>
                <w:lang w:val="lv-LV" w:eastAsia="lv-LV"/>
              </w:rPr>
              <w:t xml:space="preserve">studējošais studiju pabeigšanai, kas nevarēja paņemt kredītu </w:t>
            </w:r>
            <w:r>
              <w:rPr>
                <w:rFonts w:eastAsia="Times New Roman"/>
                <w:lang w:val="lv-LV" w:eastAsia="lv-LV"/>
              </w:rPr>
              <w:t>pašreizējās</w:t>
            </w:r>
            <w:r w:rsidRPr="00440A06">
              <w:rPr>
                <w:rFonts w:eastAsia="Times New Roman"/>
                <w:lang w:val="lv-LV" w:eastAsia="lv-LV"/>
              </w:rPr>
              <w:t xml:space="preserve"> sistēmas ietvaros. </w:t>
            </w:r>
            <w:r>
              <w:rPr>
                <w:rFonts w:eastAsia="Times New Roman"/>
                <w:lang w:val="lv-LV" w:eastAsia="lv-LV"/>
              </w:rPr>
              <w:t>Pārskatījām pieņēmumus, uzskatām, ka ir iespējams, ka būs vismaz 75 absolventu, kuriem sākot ar 2021. pienāksies dzēšana bērnu piedzimšanas gadījumos.</w:t>
            </w:r>
          </w:p>
          <w:p w14:paraId="18E4B7D9" w14:textId="77777777" w:rsidR="0087056E" w:rsidRDefault="0087056E" w:rsidP="0087056E">
            <w:pPr>
              <w:pStyle w:val="tv213tvp"/>
              <w:spacing w:before="0" w:beforeAutospacing="0" w:after="0" w:afterAutospacing="0"/>
              <w:jc w:val="both"/>
              <w:rPr>
                <w:rFonts w:eastAsia="Times New Roman"/>
                <w:lang w:val="lv-LV" w:eastAsia="lv-LV"/>
              </w:rPr>
            </w:pPr>
          </w:p>
          <w:p w14:paraId="196DC25F" w14:textId="77777777" w:rsidR="0087056E" w:rsidRDefault="0087056E" w:rsidP="0087056E">
            <w:pPr>
              <w:pStyle w:val="tv213tvp"/>
              <w:spacing w:before="0" w:beforeAutospacing="0" w:after="0" w:afterAutospacing="0"/>
              <w:jc w:val="both"/>
              <w:rPr>
                <w:rFonts w:eastAsia="Times New Roman"/>
                <w:lang w:val="lv-LV" w:eastAsia="lv-LV"/>
              </w:rPr>
            </w:pPr>
            <w:r w:rsidRPr="00154CA8">
              <w:rPr>
                <w:rFonts w:eastAsia="Times New Roman"/>
                <w:lang w:val="lv-LV" w:eastAsia="lv-LV"/>
              </w:rPr>
              <w:t xml:space="preserve">Gadījumā, ja FM var  noprognozēt un ar aprēķiniem pamatot precīzāku iespējamo studējošo kredītņēmēju skaitu, kuriem </w:t>
            </w:r>
            <w:r w:rsidRPr="00154CA8">
              <w:rPr>
                <w:rFonts w:eastAsia="Times New Roman"/>
                <w:lang w:val="lv-LV" w:eastAsia="lv-LV"/>
              </w:rPr>
              <w:lastRenderedPageBreak/>
              <w:t>nākamajā un turpmākajos gados piedzims bērns, lūdzam iesniegt konkrētu priekšlikumu.</w:t>
            </w:r>
          </w:p>
          <w:p w14:paraId="22C67561" w14:textId="77777777" w:rsidR="0087056E" w:rsidRPr="007A4187" w:rsidRDefault="0087056E" w:rsidP="0087056E">
            <w:pPr>
              <w:jc w:val="center"/>
              <w:rPr>
                <w:rFonts w:eastAsia="Calibri"/>
                <w:b/>
                <w:lang w:eastAsia="en-US"/>
              </w:rPr>
            </w:pPr>
          </w:p>
        </w:tc>
        <w:tc>
          <w:tcPr>
            <w:tcW w:w="2986" w:type="dxa"/>
            <w:tcBorders>
              <w:top w:val="single" w:sz="4" w:space="0" w:color="auto"/>
              <w:left w:val="single" w:sz="4" w:space="0" w:color="auto"/>
              <w:bottom w:val="single" w:sz="4" w:space="0" w:color="auto"/>
            </w:tcBorders>
          </w:tcPr>
          <w:p w14:paraId="3291CCED" w14:textId="77777777" w:rsidR="0087056E" w:rsidRDefault="0087056E" w:rsidP="0087056E">
            <w:pPr>
              <w:jc w:val="both"/>
            </w:pPr>
            <w:r>
              <w:lastRenderedPageBreak/>
              <w:t>Precizēta tabula Nr. 10</w:t>
            </w:r>
          </w:p>
        </w:tc>
      </w:tr>
      <w:tr w:rsidR="0087056E" w:rsidRPr="001801C2" w14:paraId="005C600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3B1945D" w14:textId="77777777" w:rsidR="0087056E" w:rsidRPr="001801C2" w:rsidRDefault="0087056E" w:rsidP="0087056E">
            <w:pPr>
              <w:jc w:val="right"/>
            </w:pPr>
          </w:p>
        </w:tc>
        <w:tc>
          <w:tcPr>
            <w:tcW w:w="3112" w:type="dxa"/>
            <w:tcBorders>
              <w:top w:val="single" w:sz="4" w:space="0" w:color="auto"/>
              <w:left w:val="single" w:sz="6" w:space="0" w:color="000000"/>
              <w:bottom w:val="single" w:sz="4" w:space="0" w:color="auto"/>
              <w:right w:val="single" w:sz="6" w:space="0" w:color="000000"/>
            </w:tcBorders>
          </w:tcPr>
          <w:p w14:paraId="3E958156" w14:textId="5F6B0207" w:rsidR="0087056E" w:rsidRPr="006A4603" w:rsidRDefault="00AF4013" w:rsidP="0087056E">
            <w:pPr>
              <w:spacing w:after="160" w:line="259" w:lineRule="auto"/>
              <w:jc w:val="both"/>
            </w:pPr>
            <w:r>
              <w:t>Rīkojuma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88F9A03" w14:textId="77777777" w:rsidR="00EA02B0" w:rsidRDefault="00EA02B0" w:rsidP="00EA02B0">
            <w:pPr>
              <w:widowControl w:val="0"/>
              <w:jc w:val="both"/>
              <w:rPr>
                <w:rFonts w:eastAsia="Calibri"/>
                <w:b/>
              </w:rPr>
            </w:pPr>
            <w:r w:rsidRPr="00FC5094">
              <w:rPr>
                <w:rFonts w:eastAsia="Calibri"/>
                <w:b/>
              </w:rPr>
              <w:t>Finanšu ministrija (29.05.2019. vēstule Nr. 12/A-2/2499):</w:t>
            </w:r>
          </w:p>
          <w:p w14:paraId="03BA9E7A" w14:textId="5422DCBE" w:rsidR="00EA02B0" w:rsidRPr="00FC5094" w:rsidRDefault="00EA02B0" w:rsidP="00EA02B0">
            <w:pPr>
              <w:widowControl w:val="0"/>
              <w:jc w:val="both"/>
              <w:rPr>
                <w:rFonts w:eastAsia="Calibri"/>
                <w:b/>
              </w:rPr>
            </w:pPr>
            <w:r w:rsidRPr="00EA02B0">
              <w:rPr>
                <w:rFonts w:eastAsia="Calibri"/>
              </w:rPr>
              <w:t>Atzīmējam, ka Ministru kabineta noteikumi Nr.737 “Attīstības plānošanas dokumentu izstrādes un ietekmes izvērtēšanas noteikumi” nosaka attīstības plānošanas dokumentos ietveramo saturu, kā arī ietekmes izvērtēšanas kārtību. Ņemot vērā, ka noteikumus piemēro attiecībā uz attīstības plānošanas dokumentiem, kurus izstrādā valsts un pašvaldību institūcijas, aicinām Izglītības un zinātnes ministriju ievērot minētajos noteikumos</w:t>
            </w:r>
            <w:r w:rsidRPr="00EA02B0">
              <w:rPr>
                <w:rFonts w:eastAsia="Calibri"/>
                <w:b/>
              </w:rPr>
              <w:t xml:space="preserve"> </w:t>
            </w:r>
            <w:r w:rsidRPr="00EA02B0">
              <w:rPr>
                <w:rFonts w:eastAsia="Calibri"/>
              </w:rPr>
              <w:t xml:space="preserve">noteiktās prasības. Vēršam uzmanību, ka, aprēķinot kopumā provizoriski pieejamos līdzekļus (tabula Nr.5), tiek pieņemts, ka tiek atcelta turpmāka kredītu dzēšana par darbu noteiktajās jomās un par bērnu dzimšanu, balstoties uz konceptuālajā ziņojumā minētajiem argumentiem, savukārt 3.rīcības variantā un </w:t>
            </w:r>
            <w:r w:rsidRPr="00EA02B0">
              <w:rPr>
                <w:rFonts w:eastAsia="Calibri"/>
              </w:rPr>
              <w:lastRenderedPageBreak/>
              <w:t>rīkojuma projektā, tiek norādīts, ka šim mērķim no 2020.gada būs nepieciešams papildu finansējums. Līdz ar to lūdzam precizēt konceptuālā ziņojuma sadaļu “Jaunā kreditēšanas modeļa ieviešanas varianti un to ietekme uz valsts un pašvaldību budžetu”, jo šo noteikumu 28.5.apakšpunkts paredz, ka konceptuālajā ziņojumā ir skaidri jānorāda katra iespējamā varianta ietekme uz valsts un pašvaldību budžetiem</w:t>
            </w:r>
            <w:r w:rsidRPr="00EA02B0">
              <w:rPr>
                <w:rFonts w:eastAsia="Calibri"/>
                <w:b/>
              </w:rPr>
              <w:t xml:space="preserve">. </w:t>
            </w:r>
            <w:r w:rsidRPr="00FC5094">
              <w:rPr>
                <w:rFonts w:eastAsia="Calibri"/>
                <w:b/>
              </w:rPr>
              <w:t xml:space="preserve"> </w:t>
            </w:r>
          </w:p>
          <w:p w14:paraId="295E55CF" w14:textId="77777777" w:rsidR="0087056E" w:rsidRDefault="0087056E" w:rsidP="0087056E">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30EB57A" w14:textId="77777777" w:rsidR="00EA02B0" w:rsidRPr="007A4187" w:rsidRDefault="00EA02B0" w:rsidP="00EA02B0">
            <w:pPr>
              <w:jc w:val="center"/>
              <w:rPr>
                <w:rFonts w:eastAsia="Calibri"/>
                <w:b/>
                <w:lang w:eastAsia="en-US"/>
              </w:rPr>
            </w:pPr>
            <w:r w:rsidRPr="007A4187">
              <w:rPr>
                <w:rFonts w:eastAsia="Calibri"/>
                <w:b/>
                <w:lang w:eastAsia="en-US"/>
              </w:rPr>
              <w:lastRenderedPageBreak/>
              <w:t>Ņemts vērā</w:t>
            </w:r>
            <w:r>
              <w:rPr>
                <w:rFonts w:eastAsia="Calibri"/>
                <w:b/>
                <w:lang w:eastAsia="en-US"/>
              </w:rPr>
              <w:t xml:space="preserve"> pēc būtības</w:t>
            </w:r>
          </w:p>
          <w:p w14:paraId="0654C38B" w14:textId="77777777" w:rsidR="00EA02B0" w:rsidRDefault="00EA02B0" w:rsidP="00EA02B0">
            <w:pPr>
              <w:pStyle w:val="tv213tvp"/>
              <w:spacing w:before="0" w:beforeAutospacing="0" w:after="0" w:afterAutospacing="0"/>
              <w:jc w:val="both"/>
              <w:rPr>
                <w:rFonts w:eastAsia="Times New Roman"/>
                <w:lang w:val="lv-LV" w:eastAsia="lv-LV"/>
              </w:rPr>
            </w:pPr>
            <w:r>
              <w:rPr>
                <w:rFonts w:eastAsia="Times New Roman"/>
                <w:lang w:val="lv-LV" w:eastAsia="lv-LV"/>
              </w:rPr>
              <w:t>A</w:t>
            </w:r>
            <w:r w:rsidRPr="00EA02B0">
              <w:rPr>
                <w:rFonts w:eastAsia="Times New Roman"/>
                <w:lang w:val="lv-LV" w:eastAsia="lv-LV"/>
              </w:rPr>
              <w:t xml:space="preserve">prēķinot kopumā provizoriski pieejamos līdzekļus (tabula Nr.5), </w:t>
            </w:r>
            <w:r>
              <w:rPr>
                <w:rFonts w:eastAsia="Times New Roman"/>
                <w:lang w:val="lv-LV" w:eastAsia="lv-LV"/>
              </w:rPr>
              <w:t>tiek norādīts apakšprogrammas maksimālais līdzekļu apjoms, par kuru vēl nav pieņemti saistošie lēmumi (piemēram, nav izdoti MK rīkojumi par dzēšanas uzsākšanu).</w:t>
            </w:r>
          </w:p>
          <w:p w14:paraId="7CDE6423" w14:textId="77777777" w:rsidR="00EA02B0" w:rsidRDefault="00EA02B0" w:rsidP="00EA02B0">
            <w:pPr>
              <w:pStyle w:val="tv213tvp"/>
              <w:spacing w:before="0" w:beforeAutospacing="0" w:after="0" w:afterAutospacing="0"/>
              <w:jc w:val="both"/>
              <w:rPr>
                <w:rFonts w:eastAsia="Times New Roman"/>
                <w:lang w:val="lv-LV" w:eastAsia="lv-LV"/>
              </w:rPr>
            </w:pPr>
          </w:p>
          <w:p w14:paraId="7AB49F34" w14:textId="77777777" w:rsidR="00EA02B0" w:rsidRDefault="00EA02B0" w:rsidP="00EA02B0">
            <w:pPr>
              <w:pStyle w:val="tv213tvp"/>
              <w:spacing w:before="0" w:beforeAutospacing="0" w:after="0" w:afterAutospacing="0"/>
              <w:jc w:val="both"/>
              <w:rPr>
                <w:rFonts w:eastAsia="Times New Roman"/>
                <w:lang w:val="lv-LV" w:eastAsia="lv-LV"/>
              </w:rPr>
            </w:pPr>
            <w:r>
              <w:rPr>
                <w:rFonts w:eastAsia="Times New Roman"/>
                <w:lang w:val="lv-LV" w:eastAsia="lv-LV"/>
              </w:rPr>
              <w:t xml:space="preserve">Rīcības variantos tiek norādīts tai skaitā variants, pie kura būtu nepieciešami papildus līdzekļi noteiktam kredītu daudzumam un kredītu dzēšanai par darbu noteiktajās jomās. Vai šajā gadījumā esošie līdzekļi būtu novirzāmi dzēšanai un papildus līdzekļi prasīti kredītiem, vai arī esošie līdzekļi tiktu novirzīti kredītiem un papildus līdzekļi prasīti dzēšanai, nemaina papildus nepieciešamo summu šim variantam, tā kopējās izmaksas paliek tās pašas. </w:t>
            </w:r>
          </w:p>
          <w:p w14:paraId="7E4C7DE8" w14:textId="77777777" w:rsidR="00EA02B0" w:rsidRDefault="00EA02B0" w:rsidP="00EA02B0">
            <w:pPr>
              <w:pStyle w:val="tv213tvp"/>
              <w:spacing w:before="0" w:beforeAutospacing="0" w:after="0" w:afterAutospacing="0"/>
              <w:jc w:val="both"/>
              <w:rPr>
                <w:rFonts w:eastAsia="Times New Roman"/>
                <w:lang w:val="lv-LV" w:eastAsia="lv-LV"/>
              </w:rPr>
            </w:pPr>
          </w:p>
          <w:p w14:paraId="57871C66" w14:textId="77777777" w:rsidR="0087056E" w:rsidRPr="00EA02B0" w:rsidRDefault="0087056E" w:rsidP="00EA02B0">
            <w:pPr>
              <w:pStyle w:val="tv213tvp"/>
              <w:spacing w:before="0" w:beforeAutospacing="0" w:after="0" w:afterAutospacing="0"/>
              <w:jc w:val="both"/>
              <w:rPr>
                <w:rFonts w:eastAsia="Times New Roman"/>
                <w:lang w:val="lv-LV" w:eastAsia="lv-LV"/>
              </w:rPr>
            </w:pPr>
          </w:p>
        </w:tc>
        <w:tc>
          <w:tcPr>
            <w:tcW w:w="2986" w:type="dxa"/>
            <w:tcBorders>
              <w:top w:val="single" w:sz="4" w:space="0" w:color="auto"/>
              <w:left w:val="single" w:sz="4" w:space="0" w:color="auto"/>
              <w:bottom w:val="single" w:sz="4" w:space="0" w:color="auto"/>
            </w:tcBorders>
          </w:tcPr>
          <w:p w14:paraId="75595D47" w14:textId="646DF8BB" w:rsidR="0087056E" w:rsidRDefault="00EA02B0" w:rsidP="00171BF5">
            <w:pPr>
              <w:jc w:val="both"/>
            </w:pPr>
            <w:r>
              <w:t xml:space="preserve">Precizēts </w:t>
            </w:r>
            <w:r w:rsidR="00171BF5">
              <w:t xml:space="preserve">protokollēmuma </w:t>
            </w:r>
            <w:r>
              <w:t>projekts</w:t>
            </w:r>
          </w:p>
        </w:tc>
      </w:tr>
      <w:tr w:rsidR="005405E2" w:rsidRPr="001801C2" w14:paraId="42797A50"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2DCFAD4"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28F94C0" w14:textId="20FF9215" w:rsidR="005405E2" w:rsidRPr="006A4603" w:rsidRDefault="00250134"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94A43AB" w14:textId="77777777" w:rsidR="00FB1BCF" w:rsidRPr="00FC5094" w:rsidRDefault="00FB1BCF" w:rsidP="00FB1BCF">
            <w:pPr>
              <w:widowControl w:val="0"/>
              <w:jc w:val="both"/>
              <w:rPr>
                <w:rFonts w:eastAsia="Calibri"/>
                <w:b/>
              </w:rPr>
            </w:pPr>
            <w:r w:rsidRPr="00FC5094">
              <w:rPr>
                <w:rFonts w:eastAsia="Calibri"/>
                <w:b/>
              </w:rPr>
              <w:t xml:space="preserve">Finanšu ministrija (29.05.2019. vēstule Nr. 12/A-2/2499): </w:t>
            </w:r>
          </w:p>
          <w:p w14:paraId="7EE6AF2B" w14:textId="0793EE46" w:rsidR="005405E2" w:rsidRPr="00FC5094" w:rsidRDefault="00FB1BCF" w:rsidP="00250134">
            <w:pPr>
              <w:widowControl w:val="0"/>
              <w:spacing w:after="120" w:line="276" w:lineRule="auto"/>
              <w:jc w:val="both"/>
              <w:rPr>
                <w:rFonts w:eastAsia="Calibri"/>
              </w:rPr>
            </w:pPr>
            <w:r w:rsidRPr="00DE0676">
              <w:rPr>
                <w:rFonts w:eastAsia="Calibri"/>
              </w:rPr>
              <w:t>Lūdzam precizēt konceptuālā ziņojuma sadaļas “Jaunā kreditēšanas modeļa ieviešanas varianti un to ietekme uz valsts un pašvaldību budžetu</w:t>
            </w:r>
            <w:r w:rsidRPr="00FC5094">
              <w:rPr>
                <w:rFonts w:eastAsia="Calibri"/>
              </w:rPr>
              <w:t xml:space="preserve">” pēdējās tabulas (nav norādīts numurējums) aiļu nosaukumus, aizstājot vārdu salikumu “Vidēja termiņa budžeta ietvara likumā plānotais finansējums” ar vārdu salikumu “Vidēja termiņa budžeta ietvara likumā plānotā dotācija no vispārējiem ieņēmumiem”, kā arī vārdu </w:t>
            </w:r>
            <w:r w:rsidRPr="00FC5094">
              <w:rPr>
                <w:rFonts w:eastAsia="Calibri"/>
              </w:rPr>
              <w:lastRenderedPageBreak/>
              <w:t xml:space="preserve">salikumu “Nepieciešamais papildu finansējums” aizstājot ar vārdu salikumu “Nepieciešamā papildu dotācija no vispārējiem ieņēmumiem”.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2DAFAC8" w14:textId="77777777" w:rsidR="00FB1BCF" w:rsidRPr="007A4187" w:rsidRDefault="00FB1BCF" w:rsidP="00FB1BCF">
            <w:pPr>
              <w:jc w:val="center"/>
              <w:rPr>
                <w:rFonts w:eastAsia="Calibri"/>
                <w:b/>
                <w:lang w:eastAsia="en-US"/>
              </w:rPr>
            </w:pPr>
            <w:r w:rsidRPr="007A4187">
              <w:rPr>
                <w:rFonts w:eastAsia="Calibri"/>
                <w:b/>
                <w:lang w:eastAsia="en-US"/>
              </w:rPr>
              <w:lastRenderedPageBreak/>
              <w:t>Ņemts vērā</w:t>
            </w:r>
          </w:p>
          <w:p w14:paraId="55D3B5BA" w14:textId="77777777" w:rsidR="005405E2" w:rsidRPr="00690308" w:rsidRDefault="005405E2" w:rsidP="006A4603">
            <w:pPr>
              <w:jc w:val="center"/>
              <w:rPr>
                <w:b/>
              </w:rPr>
            </w:pPr>
          </w:p>
        </w:tc>
        <w:tc>
          <w:tcPr>
            <w:tcW w:w="2986" w:type="dxa"/>
            <w:tcBorders>
              <w:top w:val="single" w:sz="4" w:space="0" w:color="auto"/>
              <w:left w:val="single" w:sz="4" w:space="0" w:color="auto"/>
              <w:bottom w:val="single" w:sz="4" w:space="0" w:color="auto"/>
            </w:tcBorders>
          </w:tcPr>
          <w:p w14:paraId="35EF9024" w14:textId="2310423C" w:rsidR="005405E2" w:rsidRDefault="00171BF5" w:rsidP="00766F52">
            <w:pPr>
              <w:jc w:val="both"/>
            </w:pPr>
            <w:r>
              <w:t>Projekts</w:t>
            </w:r>
          </w:p>
        </w:tc>
      </w:tr>
      <w:tr w:rsidR="005405E2" w:rsidRPr="001801C2" w14:paraId="471C223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956229B"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87A8275" w14:textId="5128A136" w:rsidR="005405E2" w:rsidRPr="006A4603" w:rsidRDefault="00250134"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EEB766D" w14:textId="77777777" w:rsidR="00FC5094" w:rsidRPr="00FC5094" w:rsidRDefault="00FC5094" w:rsidP="00FC5094">
            <w:pPr>
              <w:widowControl w:val="0"/>
              <w:jc w:val="both"/>
              <w:rPr>
                <w:rFonts w:eastAsia="Calibri"/>
                <w:b/>
              </w:rPr>
            </w:pPr>
            <w:r w:rsidRPr="00FC5094">
              <w:rPr>
                <w:rFonts w:eastAsia="Calibri"/>
                <w:b/>
              </w:rPr>
              <w:t xml:space="preserve">Finanšu ministrija (29.05.2019. vēstule Nr. 12/A-2/2499): </w:t>
            </w:r>
          </w:p>
          <w:p w14:paraId="0A2B2F15" w14:textId="1EBD6DC9" w:rsidR="00FC5094" w:rsidRPr="00DE0676" w:rsidRDefault="00FC5094" w:rsidP="00FC5094">
            <w:pPr>
              <w:widowControl w:val="0"/>
              <w:spacing w:after="120" w:line="276" w:lineRule="auto"/>
              <w:jc w:val="both"/>
              <w:rPr>
                <w:rFonts w:eastAsia="Calibri"/>
              </w:rPr>
            </w:pPr>
            <w:r w:rsidRPr="00DE0676">
              <w:rPr>
                <w:rFonts w:eastAsia="Calibri"/>
              </w:rPr>
              <w:t xml:space="preserve">Konceptuālā ziņojuma sadaļā par turpmāko rīcību jaunās sistēmas ieviešanai (30.lpp. 2.punktā) norādīts, ka nepieciešams nodrošināt kredītiestādēm pieeju Studējošo absolventu reģistram valsts galvoto studiju un studējošo kredītu administrēšanai nepieciešamajā apmērā. Līdz ar to lūdzam norādīt, </w:t>
            </w:r>
            <w:r w:rsidRPr="00D23C5F">
              <w:rPr>
                <w:rFonts w:eastAsia="Calibri"/>
                <w:u w:val="single"/>
              </w:rPr>
              <w:t>vai kredītiestāžu pieejas nodrošināšana Studējošo un absolventu reģistram neradīs papildu izmaksas un, ja tādas radīsies</w:t>
            </w:r>
            <w:r w:rsidRPr="00DE0676">
              <w:rPr>
                <w:rFonts w:eastAsia="Calibri"/>
              </w:rPr>
              <w:t xml:space="preserve">, tad tās tiks nodrošinātas Izglītības un zinātnes ministrijas piešķirto valsts budžeta līdzekļu ietvaros. </w:t>
            </w:r>
          </w:p>
          <w:p w14:paraId="35B9F94B" w14:textId="77777777" w:rsidR="005405E2" w:rsidRDefault="005405E2" w:rsidP="006A4603">
            <w:pPr>
              <w:widowControl w:val="0"/>
              <w:jc w:val="both"/>
              <w:rPr>
                <w:rFonts w:eastAsia="Calibri"/>
              </w:rPr>
            </w:pPr>
          </w:p>
          <w:p w14:paraId="3A9D82B8" w14:textId="77777777" w:rsidR="00FC5094" w:rsidRPr="00FC5094" w:rsidRDefault="00FC5094" w:rsidP="006A4603">
            <w:pPr>
              <w:widowControl w:val="0"/>
              <w:jc w:val="both"/>
              <w:rPr>
                <w:rFonts w:eastAsia="Calibri"/>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7ACA9D4" w14:textId="77777777" w:rsidR="002A0E51" w:rsidRPr="007A4187" w:rsidRDefault="002A0E51" w:rsidP="002A0E51">
            <w:pPr>
              <w:jc w:val="center"/>
              <w:rPr>
                <w:rFonts w:eastAsia="Calibri"/>
                <w:b/>
                <w:lang w:eastAsia="en-US"/>
              </w:rPr>
            </w:pPr>
            <w:r w:rsidRPr="007A4187">
              <w:rPr>
                <w:rFonts w:eastAsia="Calibri"/>
                <w:b/>
                <w:lang w:eastAsia="en-US"/>
              </w:rPr>
              <w:t>Ņemts vērā</w:t>
            </w:r>
          </w:p>
          <w:p w14:paraId="45FC13D0" w14:textId="77777777" w:rsidR="005405E2" w:rsidRPr="00690308" w:rsidRDefault="005405E2" w:rsidP="006A4603">
            <w:pPr>
              <w:jc w:val="center"/>
              <w:rPr>
                <w:b/>
              </w:rPr>
            </w:pPr>
          </w:p>
        </w:tc>
        <w:tc>
          <w:tcPr>
            <w:tcW w:w="2986" w:type="dxa"/>
            <w:tcBorders>
              <w:top w:val="single" w:sz="4" w:space="0" w:color="auto"/>
              <w:left w:val="single" w:sz="4" w:space="0" w:color="auto"/>
              <w:bottom w:val="single" w:sz="4" w:space="0" w:color="auto"/>
            </w:tcBorders>
          </w:tcPr>
          <w:p w14:paraId="7290FEAE" w14:textId="435F825F" w:rsidR="002A0E51" w:rsidRDefault="002A0E51" w:rsidP="00766F52">
            <w:pPr>
              <w:jc w:val="both"/>
            </w:pPr>
            <w:r>
              <w:rPr>
                <w:rFonts w:eastAsia="Calibri"/>
              </w:rPr>
              <w:t xml:space="preserve">Papildināta </w:t>
            </w:r>
            <w:r w:rsidR="00171BF5">
              <w:t xml:space="preserve">projekta </w:t>
            </w:r>
            <w:r w:rsidR="00171BF5">
              <w:rPr>
                <w:rFonts w:eastAsia="Calibri"/>
              </w:rPr>
              <w:t>sadaļa</w:t>
            </w:r>
            <w:r>
              <w:rPr>
                <w:rFonts w:eastAsia="Calibri"/>
              </w:rPr>
              <w:t>:</w:t>
            </w:r>
          </w:p>
          <w:p w14:paraId="3F875D89" w14:textId="58F1BEA1" w:rsidR="005405E2" w:rsidRDefault="00250134" w:rsidP="002A0E51">
            <w:pPr>
              <w:jc w:val="both"/>
            </w:pPr>
            <w:r>
              <w:t>“</w:t>
            </w:r>
            <w:r w:rsidR="002A0E51" w:rsidRPr="002A0E51">
              <w:t>3.</w:t>
            </w:r>
            <w:r w:rsidR="002A0E51" w:rsidRPr="002A0E51">
              <w:tab/>
              <w:t>Ministrija un FNA izvērtēs nepieciešamību papildināt datu laukumus un pilnveidot datu apmaiņas risinājumus Valsts izglītības informācijas sistēm</w:t>
            </w:r>
            <w:r w:rsidR="002A0E51">
              <w:t>as</w:t>
            </w:r>
            <w:r w:rsidR="002A0E51" w:rsidRPr="002A0E51">
              <w:t xml:space="preserve"> Studējošo un absolventu reģistrā, lai modernizētu studiju un studējošo kredītu apkalpošanu, kā arī ministrija sagatavos normatīvo regulējumu attiecībā uz datu apmaiņu.  2019. gada 6.jūnijā ir notikusi tikšanās starp ministrijas un FNA pārstāvjiem par nepieciešamiem datu apmaiņas risinājumiem. Ministrijas Valsts izglītības informācijas sistēmu pielāgošanās tiks veikta ministrijas pieejamo līdzekļu ietvaros, kredītiestāžu informācijas sistēmas tiks pielāgotas </w:t>
            </w:r>
            <w:r w:rsidR="002A0E51">
              <w:t xml:space="preserve">par </w:t>
            </w:r>
            <w:r w:rsidR="002A0E51" w:rsidRPr="002A0E51">
              <w:t>kredītiestāžu līdzekļiem.</w:t>
            </w:r>
            <w:r>
              <w:t>”</w:t>
            </w:r>
          </w:p>
        </w:tc>
      </w:tr>
      <w:tr w:rsidR="001522F0" w:rsidRPr="001801C2" w14:paraId="75B64D9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D5982D5" w14:textId="77777777" w:rsidR="001522F0" w:rsidRPr="001801C2" w:rsidRDefault="001522F0"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DFCD99B" w14:textId="08BE42AF" w:rsidR="001522F0" w:rsidRPr="006A4603" w:rsidRDefault="00A84F32" w:rsidP="006A4603">
            <w:pPr>
              <w:spacing w:after="160" w:line="259" w:lineRule="auto"/>
              <w:jc w:val="both"/>
            </w:pPr>
            <w:r>
              <w:t xml:space="preserve">Projekta </w:t>
            </w:r>
            <w:r w:rsidRPr="001522F0">
              <w:rPr>
                <w:rFonts w:eastAsia="Calibri"/>
              </w:rPr>
              <w:t>sadaļas “Turpmākā rīcība jaunās sistēmas ieviešanai” 2.punkt</w:t>
            </w:r>
            <w:r>
              <w:rPr>
                <w:rFonts w:eastAsia="Calibri"/>
              </w:rPr>
              <w: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834D9F0" w14:textId="77777777" w:rsidR="001522F0" w:rsidRPr="00FC5094" w:rsidRDefault="001522F0" w:rsidP="001522F0">
            <w:pPr>
              <w:widowControl w:val="0"/>
              <w:jc w:val="both"/>
              <w:rPr>
                <w:rFonts w:eastAsia="Calibri"/>
                <w:b/>
              </w:rPr>
            </w:pPr>
            <w:r w:rsidRPr="00FC5094">
              <w:rPr>
                <w:rFonts w:eastAsia="Calibri"/>
                <w:b/>
              </w:rPr>
              <w:t xml:space="preserve">Finanšu ministrija (29.05.2019. vēstule Nr. 12/A-2/2499): </w:t>
            </w:r>
          </w:p>
          <w:p w14:paraId="4704B1E8" w14:textId="4D2B189B" w:rsidR="001522F0" w:rsidRPr="001522F0" w:rsidRDefault="001522F0" w:rsidP="00FC5094">
            <w:pPr>
              <w:widowControl w:val="0"/>
              <w:jc w:val="both"/>
              <w:rPr>
                <w:rFonts w:eastAsia="Calibri"/>
              </w:rPr>
            </w:pPr>
            <w:r w:rsidRPr="001522F0">
              <w:rPr>
                <w:rFonts w:eastAsia="Calibri"/>
              </w:rPr>
              <w:t>Lūdzam aizstāt konceptuālā ziņojuma sadaļas “Turpmākā rīcība jaunās sistēmas ieviešanai” 2.punktā vārdu “veikt” ar vārdu “sagatavot”.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A29E02F" w14:textId="77777777" w:rsidR="001522F0" w:rsidRPr="007A4187" w:rsidRDefault="001522F0" w:rsidP="001522F0">
            <w:pPr>
              <w:jc w:val="center"/>
              <w:rPr>
                <w:rFonts w:eastAsia="Calibri"/>
                <w:b/>
                <w:lang w:eastAsia="en-US"/>
              </w:rPr>
            </w:pPr>
            <w:r w:rsidRPr="007A4187">
              <w:rPr>
                <w:rFonts w:eastAsia="Calibri"/>
                <w:b/>
                <w:lang w:eastAsia="en-US"/>
              </w:rPr>
              <w:t>Ņemts vērā</w:t>
            </w:r>
          </w:p>
          <w:p w14:paraId="538A28D0" w14:textId="77777777" w:rsidR="001522F0" w:rsidRPr="007A4187" w:rsidRDefault="001522F0" w:rsidP="002A0E51">
            <w:pPr>
              <w:jc w:val="center"/>
              <w:rPr>
                <w:rFonts w:eastAsia="Calibri"/>
                <w:b/>
                <w:lang w:eastAsia="en-US"/>
              </w:rPr>
            </w:pPr>
          </w:p>
        </w:tc>
        <w:tc>
          <w:tcPr>
            <w:tcW w:w="2986" w:type="dxa"/>
            <w:tcBorders>
              <w:top w:val="single" w:sz="4" w:space="0" w:color="auto"/>
              <w:left w:val="single" w:sz="4" w:space="0" w:color="auto"/>
              <w:bottom w:val="single" w:sz="4" w:space="0" w:color="auto"/>
            </w:tcBorders>
          </w:tcPr>
          <w:p w14:paraId="764CA72D" w14:textId="05CAF4BB" w:rsidR="001522F0" w:rsidRDefault="001522F0" w:rsidP="001665A1">
            <w:pPr>
              <w:jc w:val="both"/>
              <w:rPr>
                <w:rFonts w:eastAsia="Calibri"/>
              </w:rPr>
            </w:pPr>
            <w:r>
              <w:rPr>
                <w:rFonts w:eastAsia="Calibri"/>
              </w:rPr>
              <w:t>Precizēts</w:t>
            </w:r>
            <w:r w:rsidR="00250134">
              <w:rPr>
                <w:rFonts w:eastAsia="Calibri"/>
              </w:rPr>
              <w:t xml:space="preserve"> projekta </w:t>
            </w:r>
            <w:r w:rsidR="001665A1" w:rsidRPr="001665A1">
              <w:rPr>
                <w:rFonts w:eastAsia="Calibri"/>
              </w:rPr>
              <w:t>sadaļas “Turpmākā rīcība jaunās sistēmas ieviešanai” 2.punkt</w:t>
            </w:r>
            <w:r w:rsidR="001665A1">
              <w:rPr>
                <w:rFonts w:eastAsia="Calibri"/>
              </w:rPr>
              <w:t>s</w:t>
            </w:r>
          </w:p>
        </w:tc>
      </w:tr>
      <w:tr w:rsidR="001522F0" w:rsidRPr="001801C2" w14:paraId="6B36EE96" w14:textId="77777777" w:rsidTr="00C64E73">
        <w:tc>
          <w:tcPr>
            <w:tcW w:w="708" w:type="dxa"/>
            <w:tcBorders>
              <w:top w:val="single" w:sz="6" w:space="0" w:color="000000"/>
              <w:left w:val="single" w:sz="6" w:space="0" w:color="000000"/>
              <w:bottom w:val="single" w:sz="6" w:space="0" w:color="000000"/>
              <w:right w:val="single" w:sz="6" w:space="0" w:color="000000"/>
            </w:tcBorders>
          </w:tcPr>
          <w:p w14:paraId="6DCBE848" w14:textId="77777777" w:rsidR="001522F0" w:rsidRPr="001801C2" w:rsidRDefault="001522F0" w:rsidP="001522F0">
            <w:pPr>
              <w:jc w:val="right"/>
            </w:pPr>
          </w:p>
        </w:tc>
        <w:tc>
          <w:tcPr>
            <w:tcW w:w="3112" w:type="dxa"/>
            <w:tcBorders>
              <w:top w:val="single" w:sz="4" w:space="0" w:color="auto"/>
              <w:left w:val="single" w:sz="6" w:space="0" w:color="000000"/>
              <w:bottom w:val="single" w:sz="4" w:space="0" w:color="auto"/>
              <w:right w:val="single" w:sz="6" w:space="0" w:color="000000"/>
            </w:tcBorders>
          </w:tcPr>
          <w:p w14:paraId="429AFC2E" w14:textId="5C4B4B09" w:rsidR="001522F0" w:rsidRPr="006A4603" w:rsidRDefault="00392F33" w:rsidP="001522F0">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EC94B73" w14:textId="77777777" w:rsidR="001522F0" w:rsidRDefault="001522F0" w:rsidP="001522F0">
            <w:pPr>
              <w:widowControl w:val="0"/>
              <w:jc w:val="both"/>
              <w:rPr>
                <w:rFonts w:eastAsia="Calibri"/>
                <w:b/>
                <w:lang w:eastAsia="en-US"/>
              </w:rPr>
            </w:pPr>
            <w:r>
              <w:rPr>
                <w:rFonts w:eastAsia="Calibri"/>
                <w:b/>
                <w:lang w:eastAsia="en-US"/>
              </w:rPr>
              <w:t>Finanšu</w:t>
            </w:r>
            <w:r w:rsidRPr="009A432F">
              <w:rPr>
                <w:rFonts w:eastAsia="Calibri"/>
                <w:b/>
                <w:lang w:eastAsia="en-US"/>
              </w:rPr>
              <w:t xml:space="preserve"> ministrija (</w:t>
            </w:r>
            <w:r>
              <w:rPr>
                <w:rFonts w:eastAsia="Calibri"/>
                <w:b/>
                <w:lang w:eastAsia="en-US"/>
              </w:rPr>
              <w:t>29</w:t>
            </w:r>
            <w:r w:rsidRPr="009A432F">
              <w:rPr>
                <w:rFonts w:eastAsia="Calibri"/>
                <w:b/>
                <w:lang w:eastAsia="en-US"/>
              </w:rPr>
              <w:t xml:space="preserve">.05.2019. vēstule Nr. </w:t>
            </w:r>
            <w:r>
              <w:rPr>
                <w:rFonts w:eastAsia="Calibri"/>
                <w:b/>
                <w:lang w:eastAsia="en-US"/>
              </w:rPr>
              <w:t>12/A-2/2499</w:t>
            </w:r>
            <w:r w:rsidRPr="009A432F">
              <w:rPr>
                <w:rFonts w:eastAsia="Calibri"/>
                <w:b/>
                <w:lang w:eastAsia="en-US"/>
              </w:rPr>
              <w:t xml:space="preserve">): </w:t>
            </w:r>
          </w:p>
          <w:p w14:paraId="596A2545" w14:textId="7377F6FD" w:rsidR="001522F0" w:rsidRDefault="001522F0" w:rsidP="001522F0">
            <w:pPr>
              <w:widowControl w:val="0"/>
              <w:jc w:val="both"/>
              <w:rPr>
                <w:rFonts w:eastAsia="Calibri"/>
                <w:lang w:eastAsia="en-US"/>
              </w:rPr>
            </w:pPr>
            <w:r w:rsidRPr="002A0E51">
              <w:rPr>
                <w:rFonts w:eastAsia="Calibri"/>
                <w:lang w:eastAsia="en-US"/>
              </w:rPr>
              <w:t>Lūdzam papildināt konceptuālo ziņojumu ar informāciju par no 2001. līdz 2018.gada izsniegto kredītu galvoto apmēru pavisam un ikgadēji, kā arī norādīt periodā radušos valsts budžeta zaudējumus pavisam un ikgadēji no galvoto kredītu pārņemšanas.</w:t>
            </w:r>
          </w:p>
          <w:p w14:paraId="58249AC9" w14:textId="77777777" w:rsidR="001522F0" w:rsidRPr="00FC5094" w:rsidRDefault="001522F0" w:rsidP="001522F0">
            <w:pPr>
              <w:widowControl w:val="0"/>
              <w:jc w:val="both"/>
              <w:rPr>
                <w:rFonts w:eastAsia="Calibri"/>
                <w:b/>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E16A86A" w14:textId="42195DB0" w:rsidR="001522F0" w:rsidRDefault="001522F0" w:rsidP="00171BF5">
            <w:pPr>
              <w:pStyle w:val="tv213tvp"/>
              <w:spacing w:before="0" w:beforeAutospacing="0" w:after="0" w:afterAutospacing="0"/>
              <w:jc w:val="center"/>
              <w:rPr>
                <w:rFonts w:eastAsia="Times New Roman"/>
                <w:b/>
                <w:lang w:val="lv-LV" w:eastAsia="lv-LV"/>
              </w:rPr>
            </w:pPr>
            <w:r>
              <w:rPr>
                <w:rFonts w:eastAsia="Times New Roman"/>
                <w:b/>
                <w:lang w:val="lv-LV" w:eastAsia="lv-LV"/>
              </w:rPr>
              <w:t>Ņemts vērā pēc būtības</w:t>
            </w:r>
          </w:p>
          <w:p w14:paraId="4647E1DE" w14:textId="77777777" w:rsidR="001522F0" w:rsidRDefault="001522F0" w:rsidP="001522F0">
            <w:pPr>
              <w:pStyle w:val="tv213tvp"/>
              <w:spacing w:before="0" w:beforeAutospacing="0" w:after="0" w:afterAutospacing="0"/>
              <w:jc w:val="both"/>
              <w:rPr>
                <w:rFonts w:eastAsia="Times New Roman"/>
                <w:lang w:val="lv-LV" w:eastAsia="lv-LV"/>
              </w:rPr>
            </w:pPr>
            <w:r w:rsidRPr="002A0E51">
              <w:rPr>
                <w:rFonts w:eastAsia="Times New Roman"/>
                <w:lang w:val="lv-LV" w:eastAsia="lv-LV"/>
              </w:rPr>
              <w:t>Konceptuālais zi</w:t>
            </w:r>
            <w:r>
              <w:rPr>
                <w:rFonts w:eastAsia="Times New Roman"/>
                <w:lang w:val="lv-LV" w:eastAsia="lv-LV"/>
              </w:rPr>
              <w:t xml:space="preserve">ņojums ir papildināts </w:t>
            </w:r>
            <w:r w:rsidRPr="002A0E51">
              <w:rPr>
                <w:lang w:val="lv-LV"/>
              </w:rPr>
              <w:t>ar informāciju par no 2001. līdz 2018.gada izsniegto kredītu galvoto apmēru pavisam un ikgadēji</w:t>
            </w:r>
            <w:r>
              <w:rPr>
                <w:rFonts w:eastAsia="Times New Roman"/>
                <w:lang w:val="lv-LV" w:eastAsia="lv-LV"/>
              </w:rPr>
              <w:t>, skat. pielikumu.</w:t>
            </w:r>
          </w:p>
          <w:p w14:paraId="4EB0E920" w14:textId="77777777" w:rsidR="001522F0" w:rsidRDefault="001522F0" w:rsidP="001522F0">
            <w:pPr>
              <w:widowControl w:val="0"/>
              <w:jc w:val="both"/>
              <w:rPr>
                <w:rFonts w:eastAsia="Calibri"/>
                <w:lang w:eastAsia="en-US"/>
              </w:rPr>
            </w:pPr>
            <w:r>
              <w:t xml:space="preserve">Ministrijas rīcībā nav informācijas par </w:t>
            </w:r>
            <w:r>
              <w:rPr>
                <w:rFonts w:eastAsia="Calibri"/>
                <w:lang w:eastAsia="en-US"/>
              </w:rPr>
              <w:t>valsts budžeta zaudējumiem</w:t>
            </w:r>
            <w:r w:rsidRPr="002A0E51">
              <w:rPr>
                <w:rFonts w:eastAsia="Calibri"/>
                <w:lang w:eastAsia="en-US"/>
              </w:rPr>
              <w:t xml:space="preserve"> </w:t>
            </w:r>
            <w:r>
              <w:t xml:space="preserve">šajā </w:t>
            </w:r>
            <w:r w:rsidRPr="002A0E51">
              <w:rPr>
                <w:rFonts w:eastAsia="Calibri"/>
                <w:lang w:eastAsia="en-US"/>
              </w:rPr>
              <w:t>periodā pavisam un ikgadēji no galvoto kredītu pārņemšanas</w:t>
            </w:r>
            <w:r>
              <w:rPr>
                <w:rFonts w:eastAsia="Calibri"/>
                <w:lang w:eastAsia="en-US"/>
              </w:rPr>
              <w:t>, šāda informācija ir Valsts Kases rīcībā, kas ir FM pakļautībā</w:t>
            </w:r>
            <w:r w:rsidRPr="002A0E51">
              <w:rPr>
                <w:rFonts w:eastAsia="Calibri"/>
                <w:lang w:eastAsia="en-US"/>
              </w:rPr>
              <w:t>.</w:t>
            </w:r>
          </w:p>
          <w:p w14:paraId="73EC448B" w14:textId="77777777" w:rsidR="001522F0" w:rsidRDefault="001522F0" w:rsidP="001522F0">
            <w:pPr>
              <w:widowControl w:val="0"/>
              <w:jc w:val="both"/>
              <w:rPr>
                <w:rFonts w:eastAsia="Calibri"/>
                <w:lang w:eastAsia="en-US"/>
              </w:rPr>
            </w:pPr>
          </w:p>
          <w:p w14:paraId="4A0E731E" w14:textId="77777777" w:rsidR="001522F0" w:rsidRDefault="001522F0" w:rsidP="001522F0">
            <w:pPr>
              <w:widowControl w:val="0"/>
              <w:jc w:val="both"/>
              <w:rPr>
                <w:rFonts w:eastAsia="Calibri"/>
                <w:lang w:eastAsia="en-US"/>
              </w:rPr>
            </w:pPr>
            <w:r>
              <w:rPr>
                <w:rFonts w:eastAsia="Calibri"/>
                <w:lang w:eastAsia="en-US"/>
              </w:rPr>
              <w:t xml:space="preserve">Vēršam uzmanību, ka nosakot riska segumu sagaidāmiem zaudējumiem jaunajā kreditēšanas modelī, būtu jāsalīdzina zaudējumi nevis ar pašreizējo sistēmu, kur kredīta atmaksas kavējumu gadījumā saistības sedza otrais galvotājs, bet ar kredītiestāžu nenodrošinātiem aizdevumiem. </w:t>
            </w:r>
          </w:p>
          <w:p w14:paraId="27633206" w14:textId="77777777" w:rsidR="001522F0" w:rsidRPr="007A4187" w:rsidRDefault="001522F0" w:rsidP="001522F0">
            <w:pPr>
              <w:jc w:val="center"/>
              <w:rPr>
                <w:rFonts w:eastAsia="Calibri"/>
                <w:b/>
                <w:lang w:eastAsia="en-US"/>
              </w:rPr>
            </w:pPr>
          </w:p>
        </w:tc>
        <w:tc>
          <w:tcPr>
            <w:tcW w:w="2986" w:type="dxa"/>
            <w:tcBorders>
              <w:top w:val="single" w:sz="4" w:space="0" w:color="auto"/>
              <w:left w:val="single" w:sz="4" w:space="0" w:color="auto"/>
              <w:bottom w:val="single" w:sz="4" w:space="0" w:color="auto"/>
            </w:tcBorders>
          </w:tcPr>
          <w:p w14:paraId="2382C7C7" w14:textId="4F8A6D50" w:rsidR="001522F0" w:rsidRDefault="00392F33" w:rsidP="001522F0">
            <w:pPr>
              <w:jc w:val="both"/>
            </w:pPr>
            <w:r>
              <w:t>Projekts</w:t>
            </w:r>
          </w:p>
        </w:tc>
      </w:tr>
      <w:tr w:rsidR="005405E2" w:rsidRPr="001801C2" w14:paraId="34B85345"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56BF3C4"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973890A" w14:textId="4C45BD60" w:rsidR="005405E2" w:rsidRPr="006A4603" w:rsidRDefault="00392F33" w:rsidP="006A4603">
            <w:pPr>
              <w:spacing w:after="160" w:line="259" w:lineRule="auto"/>
              <w:jc w:val="both"/>
            </w:pPr>
            <w:r>
              <w:t>Projekta sadaļa “Izmaksas jaunajam modelim”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05CE826" w14:textId="77777777" w:rsidR="00F46EAF" w:rsidRPr="00FC5094" w:rsidRDefault="00F46EAF" w:rsidP="00F46EAF">
            <w:pPr>
              <w:widowControl w:val="0"/>
              <w:jc w:val="both"/>
              <w:rPr>
                <w:rFonts w:eastAsia="Calibri"/>
                <w:b/>
              </w:rPr>
            </w:pPr>
            <w:r w:rsidRPr="00FC5094">
              <w:rPr>
                <w:rFonts w:eastAsia="Calibri"/>
                <w:b/>
              </w:rPr>
              <w:t xml:space="preserve">Finanšu ministrija (29.05.2019. vēstule Nr. 12/A-2/2499): </w:t>
            </w:r>
          </w:p>
          <w:p w14:paraId="5A4DEC25" w14:textId="0C907620" w:rsidR="00F46EAF" w:rsidRPr="00A84D1B" w:rsidRDefault="00F46EAF" w:rsidP="00F46EAF">
            <w:pPr>
              <w:widowControl w:val="0"/>
              <w:spacing w:after="120" w:line="276" w:lineRule="auto"/>
              <w:jc w:val="both"/>
              <w:rPr>
                <w:rFonts w:eastAsia="Calibri"/>
                <w:u w:val="single"/>
              </w:rPr>
            </w:pPr>
            <w:r w:rsidRPr="00DE0676">
              <w:rPr>
                <w:rFonts w:eastAsia="Calibri"/>
              </w:rPr>
              <w:t xml:space="preserve">Lūdzam papildināt konceptuālo ziņojumu ar informāciju, </w:t>
            </w:r>
            <w:r w:rsidRPr="00A84D1B">
              <w:rPr>
                <w:rFonts w:eastAsia="Calibri"/>
                <w:u w:val="single"/>
              </w:rPr>
              <w:t xml:space="preserve">kā tiks </w:t>
            </w:r>
            <w:r w:rsidRPr="00A84D1B">
              <w:rPr>
                <w:rFonts w:eastAsia="Calibri"/>
                <w:u w:val="single"/>
              </w:rPr>
              <w:lastRenderedPageBreak/>
              <w:t xml:space="preserve">rasts finansējums gadījumā, ja palielināsies EURIBOR likme vai </w:t>
            </w:r>
            <w:r w:rsidRPr="003917E6">
              <w:rPr>
                <w:rFonts w:eastAsia="Calibri"/>
                <w:u w:val="single"/>
              </w:rPr>
              <w:t>mainīsies tiesvedībai nepieciešamās izmaksas.</w:t>
            </w:r>
            <w:r w:rsidRPr="00A84D1B">
              <w:rPr>
                <w:rFonts w:eastAsia="Calibri"/>
                <w:u w:val="single"/>
              </w:rPr>
              <w:t xml:space="preserve"> </w:t>
            </w:r>
          </w:p>
          <w:p w14:paraId="7A6938F4" w14:textId="77777777" w:rsidR="005405E2" w:rsidRPr="00FC5094" w:rsidRDefault="005405E2" w:rsidP="006A4603">
            <w:pPr>
              <w:widowControl w:val="0"/>
              <w:jc w:val="both"/>
              <w:rPr>
                <w:rFonts w:eastAsia="Calibri"/>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1BAEFF6" w14:textId="77777777" w:rsidR="00E66032" w:rsidRPr="007A4187" w:rsidRDefault="00E66032" w:rsidP="00E66032">
            <w:pPr>
              <w:jc w:val="center"/>
              <w:rPr>
                <w:rFonts w:eastAsia="Calibri"/>
                <w:b/>
                <w:lang w:eastAsia="en-US"/>
              </w:rPr>
            </w:pPr>
            <w:r w:rsidRPr="007A4187">
              <w:rPr>
                <w:rFonts w:eastAsia="Calibri"/>
                <w:b/>
                <w:lang w:eastAsia="en-US"/>
              </w:rPr>
              <w:lastRenderedPageBreak/>
              <w:t>Ņemts vērā</w:t>
            </w:r>
          </w:p>
          <w:p w14:paraId="74A31F03" w14:textId="77777777" w:rsidR="003917E6" w:rsidRDefault="003917E6" w:rsidP="003917E6"/>
          <w:p w14:paraId="30E99B3F" w14:textId="77777777" w:rsidR="00F46EAF" w:rsidRPr="003917E6" w:rsidRDefault="003917E6" w:rsidP="00E834F7">
            <w:pPr>
              <w:jc w:val="both"/>
            </w:pPr>
            <w:r>
              <w:t xml:space="preserve">Valsts budžeta izdevumu pārskatīšanās sanāksmē starp </w:t>
            </w:r>
            <w:r w:rsidR="00E834F7">
              <w:t>FM</w:t>
            </w:r>
            <w:r>
              <w:t xml:space="preserve"> un </w:t>
            </w:r>
            <w:r w:rsidR="00E834F7">
              <w:t>IZM</w:t>
            </w:r>
            <w:r>
              <w:t xml:space="preserve"> 2019. gada 20. maijā </w:t>
            </w:r>
            <w:r w:rsidR="00E834F7">
              <w:t>FM</w:t>
            </w:r>
            <w:r>
              <w:t xml:space="preserve"> pārstāvji norādīja uz tiesvedības izdevumu faktisko apmēru </w:t>
            </w:r>
            <w:r>
              <w:lastRenderedPageBreak/>
              <w:t>salīdzinot ar plānoto kā uz potenciālo pārdales avotu. Līdz ar to lūdzam FM ievērot konsekventu pozīciju, vai finansējums šādiem izdevumiem ir plānojams ar rezervi vai arī pēc pēdējo gadu faktiskās izpildes tendencēm.</w:t>
            </w:r>
            <w:r w:rsidR="00D964F7">
              <w:t xml:space="preserve"> Nepieciešamības gadījumā ministrija vērtēs iespēju cedēt parādu piedziņu </w:t>
            </w:r>
            <w:r w:rsidR="00D964F7" w:rsidRPr="00D964F7">
              <w:t>parāda</w:t>
            </w:r>
            <w:r w:rsidR="00D964F7">
              <w:t xml:space="preserve"> atgūšanas pakalpojuma sniedzējam.</w:t>
            </w:r>
          </w:p>
        </w:tc>
        <w:tc>
          <w:tcPr>
            <w:tcW w:w="2986" w:type="dxa"/>
            <w:tcBorders>
              <w:top w:val="single" w:sz="4" w:space="0" w:color="auto"/>
              <w:left w:val="single" w:sz="4" w:space="0" w:color="auto"/>
              <w:bottom w:val="single" w:sz="4" w:space="0" w:color="auto"/>
            </w:tcBorders>
          </w:tcPr>
          <w:p w14:paraId="0CF57BC2" w14:textId="77777777" w:rsidR="00E66032" w:rsidRDefault="00E66032" w:rsidP="00E66032">
            <w:pPr>
              <w:jc w:val="both"/>
            </w:pPr>
          </w:p>
          <w:p w14:paraId="409979F9" w14:textId="63536247" w:rsidR="00E66032" w:rsidRDefault="00392F33" w:rsidP="00E66032">
            <w:pPr>
              <w:jc w:val="both"/>
            </w:pPr>
            <w:r>
              <w:t>Papildināta projekta s</w:t>
            </w:r>
            <w:r w:rsidR="00E66032">
              <w:t>adaļa “Izmaksas jaunajam modelim”:</w:t>
            </w:r>
          </w:p>
          <w:p w14:paraId="5AE91DA5" w14:textId="77777777" w:rsidR="00E66032" w:rsidRDefault="00E66032" w:rsidP="00E66032">
            <w:pPr>
              <w:jc w:val="both"/>
            </w:pPr>
          </w:p>
          <w:p w14:paraId="3C233B20" w14:textId="3F00DA70" w:rsidR="00D86258" w:rsidRDefault="00392F33" w:rsidP="00D86258">
            <w:pPr>
              <w:jc w:val="both"/>
            </w:pPr>
            <w:r>
              <w:lastRenderedPageBreak/>
              <w:t>“</w:t>
            </w:r>
            <w:r w:rsidR="003E16E1" w:rsidRPr="003E16E1">
              <w:t>Budžeta apakšprogrammā 03.04.00 “Studējošo un studiju un kreditēšana” finansējums procentu izdevumiem ir plānojams atbilstoši Valsts kases prognozēm par EURIBOR likmēm. Gadījumā, ja faktiskās EURIBOR likmes atšķirsies no prognozēm finansējums būtu samazināms vai palielināms, ministrijai normatīvajos aktos noteiktajā kārtībā iesniedzot pieprasījumu līdzekļu piešķiršanai  no valsts budžeta programmas 02.00.00 „Līdzekļi neparedzētiem gadījumiem”.</w:t>
            </w:r>
          </w:p>
          <w:p w14:paraId="2EA021F4" w14:textId="77777777" w:rsidR="003E16E1" w:rsidRDefault="003E16E1" w:rsidP="00D86258">
            <w:pPr>
              <w:jc w:val="both"/>
            </w:pPr>
          </w:p>
          <w:p w14:paraId="5043539F" w14:textId="77777777" w:rsidR="00D86258" w:rsidRDefault="00D86258" w:rsidP="00D86258">
            <w:pPr>
              <w:jc w:val="both"/>
            </w:pPr>
            <w:r>
              <w:t>Sadaļa “</w:t>
            </w:r>
            <w:r w:rsidR="003917E6">
              <w:t>I</w:t>
            </w:r>
            <w:r>
              <w:t>zmaksas esošajam modelim” papildināta:</w:t>
            </w:r>
          </w:p>
          <w:p w14:paraId="1307FE6D" w14:textId="622C0758" w:rsidR="005405E2" w:rsidRDefault="00D86258" w:rsidP="00766F52">
            <w:pPr>
              <w:jc w:val="both"/>
            </w:pPr>
            <w:r>
              <w:t xml:space="preserve">Papildus, izvērtējot iepriekšējo gadu budžeta izpildi, tiesvedības izdevumu faktiskais apmērs 2018 .gadā </w:t>
            </w:r>
            <w:r w:rsidRPr="009317BB">
              <w:t xml:space="preserve">bija mazāks, nekā plānots (25 975 </w:t>
            </w:r>
            <w:r w:rsidRPr="009317BB">
              <w:rPr>
                <w:i/>
              </w:rPr>
              <w:t>euro</w:t>
            </w:r>
            <w:r w:rsidRPr="009317BB">
              <w:t xml:space="preserve">), attiecīgi </w:t>
            </w:r>
            <w:r>
              <w:t xml:space="preserve">ministrijas ieskatā </w:t>
            </w:r>
            <w:r w:rsidRPr="009317BB">
              <w:t xml:space="preserve">orientējoši vēl 39 000 </w:t>
            </w:r>
            <w:r w:rsidRPr="009317BB">
              <w:rPr>
                <w:i/>
              </w:rPr>
              <w:t xml:space="preserve">euro </w:t>
            </w:r>
            <w:r w:rsidRPr="009317BB">
              <w:t>var novirzīt jaunā modeļa ieviešanai.</w:t>
            </w:r>
            <w:r w:rsidR="00392F33">
              <w:t>”</w:t>
            </w:r>
          </w:p>
        </w:tc>
      </w:tr>
      <w:tr w:rsidR="00101F98" w:rsidRPr="001801C2" w14:paraId="3C26A10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E5F5656" w14:textId="77777777" w:rsidR="00101F98" w:rsidRPr="001801C2" w:rsidRDefault="00101F9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4A7FD3AB" w14:textId="419C86FB" w:rsidR="00101F98" w:rsidRPr="006A4603" w:rsidRDefault="005C181A"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4E82A54" w14:textId="77777777" w:rsidR="00101F98" w:rsidRDefault="00101F98" w:rsidP="00101F98">
            <w:pPr>
              <w:widowControl w:val="0"/>
              <w:jc w:val="both"/>
              <w:rPr>
                <w:rFonts w:eastAsia="Calibri"/>
                <w:b/>
              </w:rPr>
            </w:pPr>
            <w:r w:rsidRPr="00FC5094">
              <w:rPr>
                <w:rFonts w:eastAsia="Calibri"/>
                <w:b/>
              </w:rPr>
              <w:t>Finanšu ministrija (29.05.2019. vēstule Nr. 12/A-</w:t>
            </w:r>
            <w:r w:rsidRPr="00FC5094">
              <w:rPr>
                <w:rFonts w:eastAsia="Calibri"/>
                <w:b/>
              </w:rPr>
              <w:lastRenderedPageBreak/>
              <w:t xml:space="preserve">2/2499): </w:t>
            </w:r>
          </w:p>
          <w:p w14:paraId="79AC9EDF" w14:textId="5DAC99FE" w:rsidR="00101F98" w:rsidRPr="00101F98" w:rsidRDefault="00101F98" w:rsidP="00101F98">
            <w:pPr>
              <w:widowControl w:val="0"/>
              <w:jc w:val="both"/>
              <w:rPr>
                <w:rFonts w:eastAsia="Calibri"/>
              </w:rPr>
            </w:pPr>
            <w:r w:rsidRPr="00101F98">
              <w:rPr>
                <w:rFonts w:eastAsia="Calibri"/>
              </w:rPr>
              <w:t xml:space="preserve">Lūdzam visā konceptuālajā ziņojumā korekti atspoguļot informāciju par Izglītības un zinātnes ministrijas valsts budžeta finansējuma plānošanu. Atzīmējam, ka  finansējums studiju un studējošo kreditēšanas programmas īstenošanai tiek plānots Izglītības un zinātnes ministrijas valsts budžeta apakšprogrammā 03.04.00 “Studējošo un studiju kreditēšana”. </w:t>
            </w:r>
          </w:p>
          <w:p w14:paraId="6E57C05A" w14:textId="77777777" w:rsidR="00101F98" w:rsidRPr="00101F98" w:rsidRDefault="00101F98" w:rsidP="00101F98">
            <w:pPr>
              <w:widowControl w:val="0"/>
              <w:jc w:val="both"/>
              <w:rPr>
                <w:rFonts w:eastAsia="Calibri"/>
              </w:rPr>
            </w:pPr>
            <w:r w:rsidRPr="00101F98">
              <w:rPr>
                <w:rFonts w:eastAsia="Calibri"/>
              </w:rPr>
              <w:t xml:space="preserve">22. Lūdzam aizstāt konceptuālā ziņojuma tekstā lietotos terminus “rezerve” un “rezerve zaudējumiem” ar vārdu salikumu “riska segums sagaidāmajiem zaudējumiem”.  </w:t>
            </w:r>
          </w:p>
          <w:p w14:paraId="377B39E7" w14:textId="77777777" w:rsidR="00101F98" w:rsidRPr="00101F98" w:rsidRDefault="00101F98" w:rsidP="00101F98">
            <w:pPr>
              <w:widowControl w:val="0"/>
              <w:jc w:val="both"/>
              <w:rPr>
                <w:rFonts w:eastAsia="Calibri"/>
              </w:rPr>
            </w:pPr>
            <w:r w:rsidRPr="00101F98">
              <w:rPr>
                <w:rFonts w:eastAsia="Calibri"/>
              </w:rPr>
              <w:t>23. Konceptuālā ziņojuma 24.lpp tabulas pēdējā rindā abās kolonnās lūdzam aizstāt terminu “Valsts Kases galvojums” ar terminu “galvojums valsts vārdā”.</w:t>
            </w:r>
          </w:p>
          <w:p w14:paraId="0D691A7A" w14:textId="77777777" w:rsidR="00101F98" w:rsidRPr="00FC5094" w:rsidRDefault="00101F98" w:rsidP="0033131F">
            <w:pPr>
              <w:widowControl w:val="0"/>
              <w:jc w:val="both"/>
              <w:rPr>
                <w:rFonts w:eastAsia="Calibri"/>
                <w:b/>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4297FB5" w14:textId="77777777" w:rsidR="00101F98" w:rsidRPr="007A4187" w:rsidRDefault="00101F98" w:rsidP="00101F98">
            <w:pPr>
              <w:jc w:val="center"/>
              <w:rPr>
                <w:rFonts w:eastAsia="Calibri"/>
                <w:b/>
                <w:lang w:eastAsia="en-US"/>
              </w:rPr>
            </w:pPr>
            <w:r w:rsidRPr="007A4187">
              <w:rPr>
                <w:rFonts w:eastAsia="Calibri"/>
                <w:b/>
                <w:lang w:eastAsia="en-US"/>
              </w:rPr>
              <w:lastRenderedPageBreak/>
              <w:t>Ņemts vērā</w:t>
            </w:r>
          </w:p>
          <w:p w14:paraId="1714FDE0" w14:textId="5AFF2FF3" w:rsidR="00101F98" w:rsidRPr="007A4187" w:rsidRDefault="005C181A" w:rsidP="0033131F">
            <w:pPr>
              <w:jc w:val="center"/>
              <w:rPr>
                <w:rFonts w:eastAsia="Calibri"/>
                <w:b/>
                <w:lang w:eastAsia="en-US"/>
              </w:rPr>
            </w:pPr>
            <w:r>
              <w:t>Veikti redakcionāli precizējumi.</w:t>
            </w:r>
          </w:p>
        </w:tc>
        <w:tc>
          <w:tcPr>
            <w:tcW w:w="2986" w:type="dxa"/>
            <w:tcBorders>
              <w:top w:val="single" w:sz="4" w:space="0" w:color="auto"/>
              <w:left w:val="single" w:sz="4" w:space="0" w:color="auto"/>
              <w:bottom w:val="single" w:sz="4" w:space="0" w:color="auto"/>
            </w:tcBorders>
          </w:tcPr>
          <w:p w14:paraId="1B5C39EB" w14:textId="7F6247FC" w:rsidR="00101F98" w:rsidRDefault="005C181A" w:rsidP="00766F52">
            <w:pPr>
              <w:jc w:val="both"/>
            </w:pPr>
            <w:r>
              <w:t>Projekts</w:t>
            </w:r>
          </w:p>
        </w:tc>
      </w:tr>
      <w:tr w:rsidR="00101F98" w:rsidRPr="001801C2" w14:paraId="503B1A0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0FD1770" w14:textId="77777777" w:rsidR="00101F98" w:rsidRPr="001801C2" w:rsidRDefault="00101F9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878E180" w14:textId="61E47D94" w:rsidR="00101F98" w:rsidRPr="006A4603" w:rsidRDefault="00676159"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06FE615" w14:textId="77777777" w:rsidR="00101F98" w:rsidRDefault="00101F98" w:rsidP="00101F98">
            <w:pPr>
              <w:widowControl w:val="0"/>
              <w:jc w:val="both"/>
              <w:rPr>
                <w:rFonts w:eastAsia="Calibri"/>
                <w:b/>
              </w:rPr>
            </w:pPr>
            <w:r w:rsidRPr="00FC5094">
              <w:rPr>
                <w:rFonts w:eastAsia="Calibri"/>
                <w:b/>
              </w:rPr>
              <w:t xml:space="preserve">Finanšu ministrija (29.05.2019. vēstule Nr. 12/A-2/2499): </w:t>
            </w:r>
          </w:p>
          <w:p w14:paraId="2F637B67" w14:textId="15B27FBE" w:rsidR="00101F98" w:rsidRPr="00676159" w:rsidRDefault="00101F98" w:rsidP="0033131F">
            <w:pPr>
              <w:widowControl w:val="0"/>
              <w:jc w:val="both"/>
              <w:rPr>
                <w:rFonts w:eastAsia="Calibri"/>
              </w:rPr>
            </w:pPr>
            <w:r w:rsidRPr="00101F98">
              <w:rPr>
                <w:rFonts w:eastAsia="Calibri"/>
              </w:rPr>
              <w:t xml:space="preserve">Lūdzam papildināt konceptuālo ziņojumu ar informāciju, ka jaunā kreditēšanas modeļa </w:t>
            </w:r>
            <w:r w:rsidRPr="00101F98">
              <w:rPr>
                <w:rFonts w:eastAsia="Calibri"/>
              </w:rPr>
              <w:lastRenderedPageBreak/>
              <w:t>ieviešanas gadījumā arī turpmāk būs spēkā Ministru kabineta 2001. gada 29. maija noteikumi Nr. 220 “Kārtība, kādā tiek piešķirts, atmaksāts un dzēsts studiju kredīts un studējošā kredīts no kredītiestādes līdzekļiem ar valsts vārdā sniegtu galvojumu”, kamēr saskaņā ar minētajiem Ministru kabineta noteikumiem izsniegtie studiju un studējošā kredīti tiks atmaksāti vai dzēsti (līdzīgi kā konceptuālajā ziņojumā jau skaidrots par termiņu, kādā būs spēkā  Ministru kabineta 2001. gada 29. maija noteikumi Nr. 219 un Ministru kabineta 2001. gada 23. oktobra noteikumi Nr. 445).</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681F710" w14:textId="77777777" w:rsidR="00101F98" w:rsidRDefault="00101F98" w:rsidP="00101F98">
            <w:pPr>
              <w:jc w:val="center"/>
              <w:rPr>
                <w:rFonts w:eastAsia="Calibri"/>
                <w:b/>
                <w:lang w:eastAsia="en-US"/>
              </w:rPr>
            </w:pPr>
            <w:r w:rsidRPr="007A4187">
              <w:rPr>
                <w:rFonts w:eastAsia="Calibri"/>
                <w:b/>
                <w:lang w:eastAsia="en-US"/>
              </w:rPr>
              <w:lastRenderedPageBreak/>
              <w:t>Ņemts vērā</w:t>
            </w:r>
            <w:r>
              <w:rPr>
                <w:rFonts w:eastAsia="Calibri"/>
                <w:b/>
                <w:lang w:eastAsia="en-US"/>
              </w:rPr>
              <w:t xml:space="preserve"> pēc būtības</w:t>
            </w:r>
          </w:p>
          <w:p w14:paraId="12EFCFB8" w14:textId="77777777" w:rsidR="00101F98" w:rsidRPr="00101F98" w:rsidRDefault="00101F98" w:rsidP="00101F98">
            <w:pPr>
              <w:jc w:val="both"/>
              <w:rPr>
                <w:rFonts w:eastAsia="Calibri"/>
                <w:lang w:eastAsia="en-US"/>
              </w:rPr>
            </w:pPr>
          </w:p>
          <w:p w14:paraId="15009472" w14:textId="77777777" w:rsidR="00101F98" w:rsidRPr="00101F98" w:rsidRDefault="00101F98" w:rsidP="00101F98">
            <w:pPr>
              <w:jc w:val="both"/>
              <w:rPr>
                <w:rFonts w:eastAsia="Calibri"/>
                <w:lang w:eastAsia="en-US"/>
              </w:rPr>
            </w:pPr>
            <w:r>
              <w:rPr>
                <w:rFonts w:eastAsia="Calibri"/>
                <w:lang w:eastAsia="en-US"/>
              </w:rPr>
              <w:t>K</w:t>
            </w:r>
            <w:r w:rsidRPr="00101F98">
              <w:rPr>
                <w:rFonts w:eastAsia="Calibri"/>
                <w:lang w:eastAsia="en-US"/>
              </w:rPr>
              <w:t xml:space="preserve">redītus uz </w:t>
            </w:r>
            <w:r>
              <w:rPr>
                <w:rFonts w:eastAsia="Calibri"/>
                <w:lang w:eastAsia="en-US"/>
              </w:rPr>
              <w:t xml:space="preserve">MK. Not. </w:t>
            </w:r>
            <w:r w:rsidRPr="00101F98">
              <w:rPr>
                <w:rFonts w:eastAsia="Calibri"/>
                <w:lang w:eastAsia="en-US"/>
              </w:rPr>
              <w:t>219. noteikumu pamata vairāk vispār neizsniedz</w:t>
            </w:r>
            <w:r>
              <w:rPr>
                <w:rFonts w:eastAsia="Calibri"/>
                <w:lang w:eastAsia="en-US"/>
              </w:rPr>
              <w:t xml:space="preserve"> (tie regulēja līdz 2001.g. izsniegtus kredītus)</w:t>
            </w:r>
            <w:r w:rsidRPr="00101F98">
              <w:rPr>
                <w:rFonts w:eastAsia="Calibri"/>
                <w:lang w:eastAsia="en-US"/>
              </w:rPr>
              <w:t xml:space="preserve">, tāpēc </w:t>
            </w:r>
            <w:r>
              <w:rPr>
                <w:rFonts w:eastAsia="Calibri"/>
                <w:lang w:eastAsia="en-US"/>
              </w:rPr>
              <w:t xml:space="preserve">tajos nav veicami </w:t>
            </w:r>
            <w:r>
              <w:rPr>
                <w:rFonts w:eastAsia="Calibri"/>
                <w:lang w:eastAsia="en-US"/>
              </w:rPr>
              <w:lastRenderedPageBreak/>
              <w:t>grozījumi par izsniegšanu; attiecībā uz tiem ir spēkā tikai dzēšana</w:t>
            </w:r>
            <w:r w:rsidRPr="00101F98">
              <w:rPr>
                <w:rFonts w:eastAsia="Calibri"/>
                <w:lang w:eastAsia="en-US"/>
              </w:rPr>
              <w:t>.</w:t>
            </w:r>
            <w:r>
              <w:rPr>
                <w:rFonts w:eastAsia="Calibri"/>
                <w:lang w:eastAsia="en-US"/>
              </w:rPr>
              <w:t xml:space="preserve"> Tādēļ rīkojuma projektā regulējuma svītrojums par dzēšanu ir paredz</w:t>
            </w:r>
            <w:r w:rsidR="00E47DAB">
              <w:rPr>
                <w:rFonts w:eastAsia="Calibri"/>
                <w:lang w:eastAsia="en-US"/>
              </w:rPr>
              <w:t>ēts</w:t>
            </w:r>
            <w:r>
              <w:rPr>
                <w:rFonts w:eastAsia="Calibri"/>
                <w:lang w:eastAsia="en-US"/>
              </w:rPr>
              <w:t xml:space="preserve"> attiecībā uz abiem noteikumiem (MK not. 219 un 220), savukārt grozījumi par izsniegšanu veicami MK Not. 220.</w:t>
            </w:r>
          </w:p>
        </w:tc>
        <w:tc>
          <w:tcPr>
            <w:tcW w:w="2986" w:type="dxa"/>
            <w:tcBorders>
              <w:top w:val="single" w:sz="4" w:space="0" w:color="auto"/>
              <w:left w:val="single" w:sz="4" w:space="0" w:color="auto"/>
              <w:bottom w:val="single" w:sz="4" w:space="0" w:color="auto"/>
            </w:tcBorders>
          </w:tcPr>
          <w:p w14:paraId="524BA1A5" w14:textId="77777777" w:rsidR="00101F98" w:rsidRDefault="00101F98" w:rsidP="00766F52">
            <w:pPr>
              <w:jc w:val="both"/>
            </w:pPr>
            <w:r>
              <w:lastRenderedPageBreak/>
              <w:t>Precizēts rīkojuma projekts</w:t>
            </w:r>
            <w:r w:rsidR="007D06C7">
              <w:t>.</w:t>
            </w:r>
          </w:p>
          <w:p w14:paraId="3A8514AD" w14:textId="77777777" w:rsidR="007D06C7" w:rsidRDefault="007D06C7" w:rsidP="00766F52">
            <w:pPr>
              <w:jc w:val="both"/>
            </w:pPr>
          </w:p>
          <w:p w14:paraId="1E77139B" w14:textId="513AA959" w:rsidR="007D06C7" w:rsidRDefault="00676159" w:rsidP="00766F52">
            <w:pPr>
              <w:jc w:val="both"/>
            </w:pPr>
            <w:r>
              <w:t xml:space="preserve">Projekta </w:t>
            </w:r>
            <w:r w:rsidR="007D06C7">
              <w:t>6.lp:</w:t>
            </w:r>
          </w:p>
          <w:p w14:paraId="5937E438" w14:textId="5CCA8F33" w:rsidR="007D06C7" w:rsidRDefault="00676159" w:rsidP="00766F52">
            <w:pPr>
              <w:jc w:val="both"/>
            </w:pPr>
            <w:r>
              <w:t>“</w:t>
            </w:r>
            <w:r w:rsidR="007D06C7" w:rsidRPr="007D06C7">
              <w:t xml:space="preserve">MK noteikumi Nr. 219 reglamentē aizdevumus studiju kredītiem, kas tika </w:t>
            </w:r>
            <w:r w:rsidR="007D06C7" w:rsidRPr="007D06C7">
              <w:lastRenderedPageBreak/>
              <w:t>izsniegti no valsts budžeta līdzekļiem no 1993. gada marta līdz 2001. gada 31. jūlijam, MK noteikumi Nr. 445 reglamentē aizdevumus studējošo kredītiem, kas tika izsniegti no valsts budžeta līdzekļiem no 1993. gada marta līdz 2001. gada 31. oktobrim, un tie būs spēkā, kamēr šie studiju un studējošo kredīti tiks pilnībā atmaksāti vai dzēsti. 2001. gada 11. jūlijā stājās spēkā MK noteikumi Nr. 220 un kopš tā brīža studējošo un studiju kredītus studentiem sāka izsniegt kredītiestādes no saviem līdzekļiem ar valsts vārdā sniegtu galvojumu.</w:t>
            </w:r>
            <w:r>
              <w:t>”</w:t>
            </w:r>
          </w:p>
        </w:tc>
      </w:tr>
      <w:tr w:rsidR="005405E2" w:rsidRPr="001801C2" w14:paraId="334DC9B5"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663392C"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794F54C" w14:textId="4545C9CB" w:rsidR="005405E2" w:rsidRPr="006A4603" w:rsidRDefault="009E02EF"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89333D0" w14:textId="77777777" w:rsidR="0033131F" w:rsidRPr="00FC5094" w:rsidRDefault="0033131F" w:rsidP="0033131F">
            <w:pPr>
              <w:widowControl w:val="0"/>
              <w:jc w:val="both"/>
              <w:rPr>
                <w:rFonts w:eastAsia="Calibri"/>
                <w:b/>
              </w:rPr>
            </w:pPr>
            <w:r w:rsidRPr="00FC5094">
              <w:rPr>
                <w:rFonts w:eastAsia="Calibri"/>
                <w:b/>
              </w:rPr>
              <w:t xml:space="preserve">Finanšu ministrija (29.05.2019. vēstule Nr. 12/A-2/2499): </w:t>
            </w:r>
          </w:p>
          <w:p w14:paraId="0249BFB2" w14:textId="08EEDD1F" w:rsidR="0033131F" w:rsidRPr="0033131F" w:rsidRDefault="0033131F" w:rsidP="0033131F">
            <w:pPr>
              <w:widowControl w:val="0"/>
              <w:jc w:val="both"/>
              <w:rPr>
                <w:rFonts w:eastAsia="Calibri"/>
              </w:rPr>
            </w:pPr>
            <w:r w:rsidRPr="0033131F">
              <w:rPr>
                <w:rFonts w:eastAsia="Calibri"/>
              </w:rPr>
              <w:t xml:space="preserve">Konceptuālā ziņojuma 5.lpp pēdējā rindkopā lūdzam precizēt, ka izsoli organizē Finanšu ministrijas izveidota komisija, kuras sastāvā ir ne tikai Finanšu ministrijas, Izglītības un zinātnes ministrijas un Valsts kases pārstāvji, bet tās sastāvā ietilpst arī Studiju un zinātnes </w:t>
            </w:r>
            <w:r w:rsidRPr="0033131F">
              <w:rPr>
                <w:rFonts w:eastAsia="Calibri"/>
              </w:rPr>
              <w:lastRenderedPageBreak/>
              <w:t xml:space="preserve">administrācijas pārstāvis. </w:t>
            </w:r>
          </w:p>
          <w:p w14:paraId="624BCF0D" w14:textId="77777777" w:rsidR="0033131F" w:rsidRPr="0033131F" w:rsidRDefault="0033131F" w:rsidP="0033131F">
            <w:pPr>
              <w:widowControl w:val="0"/>
              <w:jc w:val="both"/>
              <w:rPr>
                <w:rFonts w:eastAsia="Calibri"/>
              </w:rPr>
            </w:pPr>
            <w:r w:rsidRPr="0033131F">
              <w:rPr>
                <w:rFonts w:eastAsia="Calibri"/>
              </w:rPr>
              <w:t xml:space="preserve">26. Konceptuālā ziņojuma 8.lpp uzskaitīto trūkumu 1)punktā lūdzam papildināt, ka starpinstitūciju saskaņošanas procesā piedalās arī Izglītības un zinātnes ministrija. </w:t>
            </w:r>
          </w:p>
          <w:p w14:paraId="11531931" w14:textId="77777777" w:rsidR="0033131F" w:rsidRPr="00FC5094" w:rsidRDefault="0033131F" w:rsidP="0033131F">
            <w:pPr>
              <w:widowControl w:val="0"/>
              <w:jc w:val="both"/>
              <w:rPr>
                <w:rFonts w:eastAsia="Calibri"/>
              </w:rPr>
            </w:pPr>
            <w:r w:rsidRPr="0033131F">
              <w:rPr>
                <w:rFonts w:eastAsia="Calibri"/>
              </w:rPr>
              <w:t>27. Lūdzam visā konceptuālajā ziņojumā ievērot vienotu principu un tabulām pievienot nosaukumus, kā arī novērst interpunkcijas kļūdas.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BFA33C2" w14:textId="77777777" w:rsidR="0033131F" w:rsidRPr="007A4187" w:rsidRDefault="0033131F" w:rsidP="0033131F">
            <w:pPr>
              <w:jc w:val="center"/>
              <w:rPr>
                <w:rFonts w:eastAsia="Calibri"/>
                <w:b/>
                <w:lang w:eastAsia="en-US"/>
              </w:rPr>
            </w:pPr>
            <w:r w:rsidRPr="007A4187">
              <w:rPr>
                <w:rFonts w:eastAsia="Calibri"/>
                <w:b/>
                <w:lang w:eastAsia="en-US"/>
              </w:rPr>
              <w:lastRenderedPageBreak/>
              <w:t>Ņemts vērā</w:t>
            </w:r>
          </w:p>
          <w:p w14:paraId="08A073D8" w14:textId="25354D9A" w:rsidR="005405E2" w:rsidRPr="00690308" w:rsidRDefault="009E02EF" w:rsidP="006A4603">
            <w:pPr>
              <w:jc w:val="center"/>
              <w:rPr>
                <w:b/>
              </w:rPr>
            </w:pPr>
            <w:r>
              <w:t>Veikti redakcionāli precizējumi.</w:t>
            </w:r>
          </w:p>
        </w:tc>
        <w:tc>
          <w:tcPr>
            <w:tcW w:w="2986" w:type="dxa"/>
            <w:tcBorders>
              <w:top w:val="single" w:sz="4" w:space="0" w:color="auto"/>
              <w:left w:val="single" w:sz="4" w:space="0" w:color="auto"/>
              <w:bottom w:val="single" w:sz="4" w:space="0" w:color="auto"/>
            </w:tcBorders>
          </w:tcPr>
          <w:p w14:paraId="0E88DB32" w14:textId="215B5B5F" w:rsidR="005405E2" w:rsidRDefault="009E02EF" w:rsidP="00766F52">
            <w:pPr>
              <w:jc w:val="both"/>
            </w:pPr>
            <w:r>
              <w:t>Projekts</w:t>
            </w:r>
          </w:p>
        </w:tc>
      </w:tr>
      <w:tr w:rsidR="005151E8" w:rsidRPr="001801C2" w14:paraId="5A080BD8"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A3FF59A" w14:textId="77777777" w:rsidR="005151E8" w:rsidRPr="001801C2" w:rsidRDefault="005151E8"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12BDEE6A" w14:textId="6CFECEB8" w:rsidR="005151E8" w:rsidRPr="006A4603" w:rsidRDefault="00B92C3E"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B700757" w14:textId="77777777" w:rsidR="00121BCF" w:rsidRPr="00FC5094" w:rsidRDefault="00121BCF" w:rsidP="00121BCF">
            <w:pPr>
              <w:widowControl w:val="0"/>
              <w:jc w:val="both"/>
              <w:rPr>
                <w:rFonts w:eastAsia="Calibri"/>
                <w:b/>
              </w:rPr>
            </w:pPr>
            <w:r w:rsidRPr="00FC5094">
              <w:rPr>
                <w:rFonts w:eastAsia="Calibri"/>
                <w:b/>
              </w:rPr>
              <w:t xml:space="preserve">Finanšu ministrija (29.05.2019. vēstule Nr. 12/A-2/2499): </w:t>
            </w:r>
          </w:p>
          <w:p w14:paraId="419D5C83" w14:textId="795704A8" w:rsidR="00121BCF" w:rsidRPr="00121BCF" w:rsidRDefault="00121BCF" w:rsidP="00121BCF">
            <w:pPr>
              <w:widowControl w:val="0"/>
              <w:jc w:val="both"/>
              <w:rPr>
                <w:rFonts w:eastAsia="Calibri"/>
              </w:rPr>
            </w:pPr>
            <w:r w:rsidRPr="00121BCF">
              <w:rPr>
                <w:rFonts w:eastAsia="Calibri"/>
              </w:rPr>
              <w:t xml:space="preserve">Konceptuālā ziņojuma 8.lpp uzskaitīto trūkumu 1)punktā lūdzam papildināt, ka starpinstitūciju saskaņošanas procesā piedalās arī Izglītības un zinātnes ministrija. </w:t>
            </w:r>
          </w:p>
          <w:p w14:paraId="21C2EE4D" w14:textId="77777777" w:rsidR="00B92C3E" w:rsidRDefault="00B92C3E" w:rsidP="00121BCF">
            <w:pPr>
              <w:widowControl w:val="0"/>
              <w:jc w:val="both"/>
              <w:rPr>
                <w:rFonts w:eastAsia="Calibri"/>
              </w:rPr>
            </w:pPr>
          </w:p>
          <w:p w14:paraId="4CF2EAF3" w14:textId="1A5AA043" w:rsidR="00121BCF" w:rsidRPr="00FC5094" w:rsidRDefault="00121BCF" w:rsidP="00121BCF">
            <w:pPr>
              <w:widowControl w:val="0"/>
              <w:jc w:val="both"/>
              <w:rPr>
                <w:rFonts w:eastAsia="Calibri"/>
                <w:b/>
              </w:rPr>
            </w:pPr>
            <w:r w:rsidRPr="00121BCF">
              <w:rPr>
                <w:rFonts w:eastAsia="Calibri"/>
              </w:rPr>
              <w:t>Lūdzam visā konceptuālajā ziņojumā ievērot vienotu principu un tabulām pievienot nosaukumus, kā arī novērst interpunkcijas kļūdas.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E2C528F" w14:textId="77777777" w:rsidR="00121BCF" w:rsidRPr="00D7143A" w:rsidRDefault="00121BCF" w:rsidP="00121BCF">
            <w:pPr>
              <w:jc w:val="center"/>
              <w:rPr>
                <w:b/>
              </w:rPr>
            </w:pPr>
            <w:r>
              <w:rPr>
                <w:b/>
              </w:rPr>
              <w:t>Ņemts vērā</w:t>
            </w:r>
          </w:p>
          <w:p w14:paraId="2567E91B" w14:textId="685A586A" w:rsidR="005151E8" w:rsidRPr="007A4187" w:rsidRDefault="00B92C3E" w:rsidP="0033131F">
            <w:pPr>
              <w:jc w:val="center"/>
              <w:rPr>
                <w:rFonts w:eastAsia="Calibri"/>
                <w:b/>
                <w:lang w:eastAsia="en-US"/>
              </w:rPr>
            </w:pPr>
            <w:r>
              <w:t>Veikti redakcionāli precizējumi.</w:t>
            </w:r>
          </w:p>
        </w:tc>
        <w:tc>
          <w:tcPr>
            <w:tcW w:w="2986" w:type="dxa"/>
            <w:tcBorders>
              <w:top w:val="single" w:sz="4" w:space="0" w:color="auto"/>
              <w:left w:val="single" w:sz="4" w:space="0" w:color="auto"/>
              <w:bottom w:val="single" w:sz="4" w:space="0" w:color="auto"/>
            </w:tcBorders>
          </w:tcPr>
          <w:p w14:paraId="1E666A48" w14:textId="064D5E7C" w:rsidR="005151E8" w:rsidRDefault="00B92C3E" w:rsidP="00766F52">
            <w:pPr>
              <w:jc w:val="both"/>
            </w:pPr>
            <w:r>
              <w:t>projekts</w:t>
            </w:r>
          </w:p>
        </w:tc>
      </w:tr>
      <w:tr w:rsidR="005405E2" w:rsidRPr="001801C2" w14:paraId="4AD6F09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1BB4673" w14:textId="77777777" w:rsidR="005405E2" w:rsidRPr="001801C2" w:rsidRDefault="005405E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69358014" w14:textId="77777777" w:rsidR="00B92C3E" w:rsidRDefault="00B92C3E" w:rsidP="00B92C3E">
            <w:pPr>
              <w:jc w:val="both"/>
            </w:pPr>
            <w:r>
              <w:t>Projekta sadaļa “Jaunais kreditēšanas modelis”.</w:t>
            </w:r>
          </w:p>
          <w:p w14:paraId="088A4940" w14:textId="6EAA220E" w:rsidR="005405E2" w:rsidRPr="006A4603" w:rsidRDefault="005405E2" w:rsidP="006A4603">
            <w:pPr>
              <w:spacing w:after="160" w:line="259" w:lineRule="auto"/>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C28DAD1" w14:textId="77777777" w:rsidR="006E0C76" w:rsidRPr="00B92C3E" w:rsidRDefault="006E0C76" w:rsidP="00B92C3E">
            <w:pPr>
              <w:pStyle w:val="NoSpacing"/>
              <w:ind w:firstLine="33"/>
              <w:jc w:val="both"/>
              <w:rPr>
                <w:b/>
              </w:rPr>
            </w:pPr>
            <w:r w:rsidRPr="00B92C3E">
              <w:rPr>
                <w:b/>
              </w:rPr>
              <w:t>Tieslietu ministrija (turpmāk – TM) (28.05.2019. vēstule Nr.1-9.1/518):</w:t>
            </w:r>
          </w:p>
          <w:p w14:paraId="065F6819" w14:textId="77777777" w:rsidR="005405E2" w:rsidRPr="00B92C3E" w:rsidRDefault="005405E2" w:rsidP="00293BAD">
            <w:pPr>
              <w:widowControl w:val="0"/>
              <w:jc w:val="both"/>
              <w:rPr>
                <w:rFonts w:eastAsia="Calibri"/>
              </w:rPr>
            </w:pPr>
          </w:p>
          <w:p w14:paraId="15294C05" w14:textId="502B4365" w:rsidR="00293BAD" w:rsidRPr="00B92C3E" w:rsidRDefault="00293BAD" w:rsidP="001C2197">
            <w:pPr>
              <w:jc w:val="both"/>
            </w:pPr>
            <w:r w:rsidRPr="00B92C3E">
              <w:t xml:space="preserve">Konceptuālā ziņojuma 13. lappusē norādīts, ka tiks vienkāršotas administratīvās </w:t>
            </w:r>
            <w:r w:rsidRPr="00B92C3E">
              <w:lastRenderedPageBreak/>
              <w:t>procedūras kredīta izsniegšanai un neatmaksāto kredītu piedziņai, proti: līguma noformēšana notiks attālināti, ar elektronisko parakstu, notariālā akta kārtībā. Nav saprotams, kādēļ līguma slēgšana ir paredzēta tikai attālināti. Turklāt jāņem vērā, ka elektroniskais paraksts šobrīd nav visiem potenciālajiem kredītu ņēmējiem.</w:t>
            </w:r>
          </w:p>
          <w:p w14:paraId="6C56137C" w14:textId="77777777" w:rsidR="002F0AC7" w:rsidRPr="00FC5094" w:rsidRDefault="002F0AC7" w:rsidP="006A4603">
            <w:pPr>
              <w:widowControl w:val="0"/>
              <w:jc w:val="both"/>
              <w:rPr>
                <w:rFonts w:eastAsia="Calibri"/>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D367AAD" w14:textId="77777777" w:rsidR="001C2197" w:rsidRPr="00D7143A" w:rsidRDefault="00121BCF" w:rsidP="00D7143A">
            <w:pPr>
              <w:jc w:val="center"/>
              <w:rPr>
                <w:b/>
              </w:rPr>
            </w:pPr>
            <w:r>
              <w:rPr>
                <w:b/>
              </w:rPr>
              <w:lastRenderedPageBreak/>
              <w:t>Ņemts vērā</w:t>
            </w:r>
          </w:p>
          <w:p w14:paraId="6E0D17C9" w14:textId="77777777" w:rsidR="001C2197" w:rsidRDefault="003F1D6A" w:rsidP="00932A2B">
            <w:pPr>
              <w:jc w:val="both"/>
            </w:pPr>
            <w:r>
              <w:t xml:space="preserve">Izvērtējot TM atzinumu, </w:t>
            </w:r>
            <w:r w:rsidR="00932A2B">
              <w:t>ministrijas ieskatā ir iespējams normatīvajā regulējumā paredzēt pārejas periodu, kurā vēl būs iespējams noslēgt līgumu klātienē, taču šāda līguma noslēg</w:t>
            </w:r>
            <w:r w:rsidR="0007077F">
              <w:t>šanas administratīvas izmaksas būtu</w:t>
            </w:r>
            <w:r w:rsidR="00932A2B">
              <w:t xml:space="preserve"> dārgākas </w:t>
            </w:r>
            <w:r w:rsidR="00932A2B">
              <w:lastRenderedPageBreak/>
              <w:t>un ministrijas redzējums par šī pakalpojuma attīstību atbilst “</w:t>
            </w:r>
            <w:r w:rsidR="00932A2B" w:rsidRPr="00932A2B">
              <w:t>Informācijas sabie</w:t>
            </w:r>
            <w:r w:rsidR="00932A2B">
              <w:t>drības attīstības pamatnostādnēm</w:t>
            </w:r>
            <w:r w:rsidR="00932A2B" w:rsidRPr="00932A2B">
              <w:t xml:space="preserve"> 2014.-2020.gadam</w:t>
            </w:r>
            <w:r w:rsidR="00932A2B">
              <w:t xml:space="preserve">” (apstiprināti ar </w:t>
            </w:r>
            <w:r w:rsidR="00932A2B" w:rsidRPr="00932A2B">
              <w:t xml:space="preserve">Ministru kabineta </w:t>
            </w:r>
            <w:r w:rsidR="00D7143A">
              <w:t>2013. gada 14. oktobra rīkojumu</w:t>
            </w:r>
            <w:r w:rsidR="00932A2B" w:rsidRPr="00932A2B">
              <w:t xml:space="preserve"> Nr.468</w:t>
            </w:r>
            <w:r w:rsidR="00D7143A">
              <w:t xml:space="preserve">). Piemēram, saskaņā ar rīcības virzienu 5.4. “E-pakalpojumi un digitālais saturs sabiedrībā”, “publiskās pārvaldes un uzņēmējiem veidotajiem pakalpojumiem jau primāri jābūt orientētiem tikai uz elektronisku saņemšanas veidu”. </w:t>
            </w:r>
          </w:p>
          <w:p w14:paraId="07566B2A" w14:textId="77777777" w:rsidR="001C2197" w:rsidRDefault="001C2197" w:rsidP="00932A2B">
            <w:pPr>
              <w:jc w:val="both"/>
            </w:pPr>
          </w:p>
          <w:p w14:paraId="1959E887" w14:textId="77777777" w:rsidR="001C2197" w:rsidRPr="001C2197" w:rsidRDefault="001C2197" w:rsidP="00907EDA">
            <w:pPr>
              <w:jc w:val="both"/>
            </w:pPr>
            <w:r w:rsidRPr="001C2197">
              <w:t>Pa</w:t>
            </w:r>
            <w:r w:rsidR="00302E4D">
              <w:t xml:space="preserve">šlaik </w:t>
            </w:r>
            <w:r w:rsidRPr="001C2197">
              <w:t xml:space="preserve">e-paraksta izmantošana </w:t>
            </w:r>
            <w:r w:rsidR="00302E4D">
              <w:t>pagaidām</w:t>
            </w:r>
            <w:r w:rsidRPr="001C2197">
              <w:t xml:space="preserve"> nav obligāta, </w:t>
            </w:r>
            <w:r w:rsidR="00D7143A">
              <w:t>taču</w:t>
            </w:r>
            <w:r w:rsidR="00907EDA">
              <w:t xml:space="preserve"> </w:t>
            </w:r>
            <w:r w:rsidR="00D7143A">
              <w:t>e</w:t>
            </w:r>
            <w:r w:rsidRPr="001C2197">
              <w:t>-paraksta autentifikācijas sertifikāts jau tagad ir iestrādāts </w:t>
            </w:r>
            <w:hyperlink r:id="rId8" w:tgtFrame="_self" w:history="1">
              <w:r w:rsidRPr="001C2197">
                <w:t>personas</w:t>
              </w:r>
            </w:hyperlink>
            <w:r w:rsidRPr="001C2197">
              <w:t xml:space="preserve"> apliecībā. </w:t>
            </w:r>
          </w:p>
          <w:p w14:paraId="293A3459" w14:textId="77777777" w:rsidR="001C2197" w:rsidRPr="001C2197" w:rsidRDefault="001C2197" w:rsidP="00907EDA">
            <w:pPr>
              <w:jc w:val="both"/>
            </w:pPr>
          </w:p>
          <w:p w14:paraId="770A8D78" w14:textId="447F6000" w:rsidR="005405E2" w:rsidRPr="00B92C3E" w:rsidRDefault="001C2197" w:rsidP="00B92C3E">
            <w:pPr>
              <w:jc w:val="both"/>
            </w:pPr>
            <w:r w:rsidRPr="001C2197">
              <w:t>Grozījumi Personu apliecinošu dokumentu likumā</w:t>
            </w:r>
            <w:r w:rsidR="00D06285">
              <w:t xml:space="preserve">, kas tika pieņemti 2019. gada </w:t>
            </w:r>
            <w:r w:rsidR="00D06285" w:rsidRPr="007C5581">
              <w:t>9.</w:t>
            </w:r>
            <w:r w:rsidR="00D06285">
              <w:t>maijā</w:t>
            </w:r>
            <w:r w:rsidR="00D06285" w:rsidRPr="007C5581">
              <w:t xml:space="preserve"> </w:t>
            </w:r>
            <w:r w:rsidR="00D06285" w:rsidRPr="00E34FBB">
              <w:t>paredz</w:t>
            </w:r>
            <w:r w:rsidRPr="001C2197">
              <w:t>, ka no 2021. gada 1. janvāra līdz 2022. gada 31. decembrim personai, kura sasniegusi 15 gadu vecumu, saņemot pasi, ir pienākums saņemt arī personas apliecību. No 2021. gada 1. janvāra līdz 2030. gada 31. decembrim šo pārejas noteikumu 5. punkta otrajā teikumā minētajām personām, saņemot pasi, ir pienākums saņemt arī personas apliecību."</w:t>
            </w:r>
            <w:r w:rsidR="00D7143A">
              <w:t xml:space="preserve">  </w:t>
            </w:r>
            <w:r w:rsidRPr="001C2197">
              <w:t>Tātad</w:t>
            </w:r>
            <w:r w:rsidR="00302E4D">
              <w:t>,</w:t>
            </w:r>
            <w:r w:rsidRPr="001C2197">
              <w:t xml:space="preserve"> nākotnē visiem Latvij</w:t>
            </w:r>
            <w:r w:rsidR="00D7143A">
              <w:t>as iedzīvotājiem</w:t>
            </w:r>
            <w:r w:rsidRPr="001C2197">
              <w:t xml:space="preserve"> būs elektroniskais parakts.</w:t>
            </w:r>
          </w:p>
        </w:tc>
        <w:tc>
          <w:tcPr>
            <w:tcW w:w="2986" w:type="dxa"/>
            <w:tcBorders>
              <w:top w:val="single" w:sz="4" w:space="0" w:color="auto"/>
              <w:left w:val="single" w:sz="4" w:space="0" w:color="auto"/>
              <w:bottom w:val="single" w:sz="4" w:space="0" w:color="auto"/>
            </w:tcBorders>
          </w:tcPr>
          <w:p w14:paraId="6AE21E51" w14:textId="77777777" w:rsidR="005405E2" w:rsidRDefault="005405E2" w:rsidP="00766F52">
            <w:pPr>
              <w:jc w:val="both"/>
            </w:pPr>
          </w:p>
          <w:p w14:paraId="7FB1EEA6" w14:textId="7EF3AE1B" w:rsidR="00D7143A" w:rsidRDefault="00D7143A" w:rsidP="00766F52">
            <w:pPr>
              <w:jc w:val="both"/>
            </w:pPr>
            <w:r>
              <w:t xml:space="preserve">Papildināta </w:t>
            </w:r>
            <w:r w:rsidR="00B92C3E">
              <w:t xml:space="preserve">projekta </w:t>
            </w:r>
            <w:r>
              <w:t>sadaļa “Jaunais kreditēšanas modelis”</w:t>
            </w:r>
            <w:r w:rsidR="0007077F">
              <w:t>.</w:t>
            </w:r>
          </w:p>
          <w:p w14:paraId="681D65CA" w14:textId="77777777" w:rsidR="00302E4D" w:rsidRDefault="00302E4D" w:rsidP="00766F52">
            <w:pPr>
              <w:jc w:val="both"/>
            </w:pPr>
          </w:p>
        </w:tc>
      </w:tr>
      <w:tr w:rsidR="00F71F2C" w:rsidRPr="001801C2" w14:paraId="1D83519B"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A1DF03F" w14:textId="77777777" w:rsidR="00F71F2C" w:rsidRPr="001801C2" w:rsidRDefault="00F71F2C"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59966299" w14:textId="6BE99A7C" w:rsidR="00F71F2C" w:rsidRPr="00EC2062" w:rsidRDefault="00F71F2C" w:rsidP="00B92C3E">
            <w:pPr>
              <w:jc w:val="both"/>
            </w:pPr>
            <w:r w:rsidRPr="00EC2062">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F90274F" w14:textId="77777777" w:rsidR="00F71F2C" w:rsidRPr="00EC2062" w:rsidRDefault="00F71F2C" w:rsidP="00F71F2C">
            <w:pPr>
              <w:pStyle w:val="NoSpacing"/>
              <w:ind w:firstLine="33"/>
              <w:jc w:val="both"/>
              <w:rPr>
                <w:b/>
                <w:lang w:eastAsia="zh-CN"/>
              </w:rPr>
            </w:pPr>
            <w:r w:rsidRPr="00EC2062">
              <w:rPr>
                <w:b/>
                <w:lang w:eastAsia="zh-CN"/>
              </w:rPr>
              <w:t>Tieslietu ministrija (26.06.2019. atzinums Nr. 1-9.1/643):</w:t>
            </w:r>
          </w:p>
          <w:p w14:paraId="79516CE2" w14:textId="1B6F0289" w:rsidR="00F71F2C" w:rsidRPr="00EC2062" w:rsidRDefault="00F71F2C" w:rsidP="00B92C3E">
            <w:pPr>
              <w:pStyle w:val="NoSpacing"/>
              <w:ind w:firstLine="33"/>
              <w:jc w:val="both"/>
              <w:rPr>
                <w:b/>
                <w:lang w:eastAsia="zh-CN"/>
              </w:rPr>
            </w:pPr>
            <w:r w:rsidRPr="00EC2062">
              <w:rPr>
                <w:bCs/>
              </w:rPr>
              <w:t xml:space="preserve">Vēršam uzmanību, ka atbilstoši Ministru kabineta 2014. gada 2. decembra noteikumu Nr. 737 "Attīstības plānošanas dokumentu izstrādes un ietekmes izvērtēšanas noteikumi" </w:t>
            </w:r>
            <w:r w:rsidRPr="00EC2062">
              <w:rPr>
                <w:bCs/>
              </w:rPr>
              <w:br/>
              <w:t>(turpmāk – MK noteikumi Nr. 737) 30. punktam konceptuālajam ziņojumam tiek pievienots Ministru kabineta rīkojums, kurā norāda: 1. atbalstīto problēmas risinājuma variantu; 2. atbildīgās institūcijas, tām noteiktos uzdevumus un to izpildes termiņus atbilstoši atbalstītajam risinājuma variantam; 3. ja nepieciešams, politikas plānošanas dokumentus, kas atzīstami par spēku zaudējušiem. Ņemot vērā minēto, lūdzam konceptuālajam ziņojumam pievienot Ministru kabineta rīkojumu atbilstoši MK noteikumos Nr. 737 noteiktajam. Vienlaikus vēršam uzmanību, ka arī izziņā ir runa par precizējumiem Ministru kabineta rīkojuma projektā.</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BAFE9C7" w14:textId="51E43B08" w:rsidR="00F71F2C" w:rsidRPr="00EC2062" w:rsidRDefault="00F71F2C" w:rsidP="00F71F2C">
            <w:pPr>
              <w:jc w:val="center"/>
              <w:rPr>
                <w:b/>
              </w:rPr>
            </w:pPr>
            <w:r w:rsidRPr="00EC2062">
              <w:rPr>
                <w:b/>
              </w:rPr>
              <w:t>Ņemts vērā</w:t>
            </w:r>
          </w:p>
          <w:p w14:paraId="7F038BC2" w14:textId="77777777" w:rsidR="00F71F2C" w:rsidRPr="00EC2062" w:rsidRDefault="00F71F2C" w:rsidP="00D7143A">
            <w:pPr>
              <w:jc w:val="center"/>
              <w:rPr>
                <w:b/>
              </w:rPr>
            </w:pPr>
          </w:p>
          <w:p w14:paraId="007F4B7B" w14:textId="2F75F93F" w:rsidR="009216A9" w:rsidRPr="00EC2062" w:rsidRDefault="009216A9" w:rsidP="009216A9">
            <w:pPr>
              <w:jc w:val="both"/>
            </w:pPr>
            <w:r w:rsidRPr="00EC2062">
              <w:t>Pievienots rīkojuma projekts (iepriekš protokollēmuma projekts), norādot kā atbalstāmo 4. rīcības variantu, uzdevumus, atbildīgās institūcijas un izpildes termiņus.</w:t>
            </w:r>
          </w:p>
          <w:p w14:paraId="5BE7A7BF" w14:textId="77777777" w:rsidR="009216A9" w:rsidRPr="00EC2062" w:rsidRDefault="009216A9" w:rsidP="009216A9">
            <w:pPr>
              <w:jc w:val="both"/>
            </w:pPr>
          </w:p>
          <w:p w14:paraId="43CB0A1F" w14:textId="03EEF024" w:rsidR="009216A9" w:rsidRPr="00EC2062" w:rsidRDefault="009216A9" w:rsidP="009216A9">
            <w:pPr>
              <w:jc w:val="both"/>
              <w:rPr>
                <w:b/>
              </w:rPr>
            </w:pPr>
          </w:p>
        </w:tc>
        <w:tc>
          <w:tcPr>
            <w:tcW w:w="2986" w:type="dxa"/>
            <w:tcBorders>
              <w:top w:val="single" w:sz="4" w:space="0" w:color="auto"/>
              <w:left w:val="single" w:sz="4" w:space="0" w:color="auto"/>
              <w:bottom w:val="single" w:sz="4" w:space="0" w:color="auto"/>
            </w:tcBorders>
          </w:tcPr>
          <w:p w14:paraId="5F501004" w14:textId="77777777" w:rsidR="00F71F2C" w:rsidRDefault="00F71F2C" w:rsidP="00766F52">
            <w:pPr>
              <w:jc w:val="both"/>
            </w:pPr>
          </w:p>
        </w:tc>
      </w:tr>
      <w:tr w:rsidR="00302E4D" w:rsidRPr="001801C2" w14:paraId="1DBF136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2D8B483" w14:textId="611B3DA0" w:rsidR="00302E4D" w:rsidRPr="009216A9" w:rsidRDefault="00302E4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6D824DAF" w14:textId="77777777" w:rsidR="00302E4D" w:rsidRPr="009216A9" w:rsidRDefault="00B92C3E" w:rsidP="006A4603">
            <w:pPr>
              <w:spacing w:after="160" w:line="259" w:lineRule="auto"/>
              <w:jc w:val="both"/>
            </w:pPr>
            <w:r w:rsidRPr="009216A9">
              <w:t>Projekts</w:t>
            </w:r>
            <w:r w:rsidR="009434EE" w:rsidRPr="009216A9">
              <w:t>;</w:t>
            </w:r>
          </w:p>
          <w:p w14:paraId="5E5A38A4" w14:textId="77777777" w:rsidR="009434EE" w:rsidRPr="009216A9" w:rsidRDefault="009434EE" w:rsidP="006A4603">
            <w:pPr>
              <w:spacing w:after="160" w:line="259" w:lineRule="auto"/>
              <w:jc w:val="both"/>
            </w:pPr>
            <w:r w:rsidRPr="009216A9">
              <w:t>Protokollēmuma 4. punkts:</w:t>
            </w:r>
          </w:p>
          <w:p w14:paraId="3E91CF65" w14:textId="7144DD22" w:rsidR="009434EE" w:rsidRPr="009216A9" w:rsidRDefault="009434EE" w:rsidP="006A4603">
            <w:pPr>
              <w:spacing w:after="160" w:line="259" w:lineRule="auto"/>
              <w:jc w:val="both"/>
            </w:pPr>
            <w:r w:rsidRPr="009216A9">
              <w:t>“</w:t>
            </w:r>
            <w:r w:rsidR="000B4F2C" w:rsidRPr="009216A9">
              <w:t>4.</w:t>
            </w:r>
            <w:r w:rsidR="000B4F2C" w:rsidRPr="009216A9">
              <w:tab/>
              <w:t xml:space="preserve">Pieņemt zināšanai, ka, īstenojot konceptuālajā ziņojumā „ Par valsts galvoto studiju un studējošo kreditēšanas sistēmas maiņu” ietverto 4. rīcības variantu, 2019. gadā netiek uzsākta jaunu kredītu dzēšana par darbu Ministra kabineta noteiktajās jomās un amatos. Izglītības un zinātnes ministrijai sagatavot un līdz 2019. gada 31. septembrim iesniegt Ministru kabinetā grozījumus Ministru kabineta 2001. gada 29. maija noteikumos Nr. 220 "Kārtība, kādā tiek piešķirts, atmaksāts un dzēsts studiju kredīts un studējošā kredīts no kredītiestādes līdzekļiem ar valsts vārdā sniegtu galvojumu" un Ministru kabineta 2001. gada 29. maija noteikumos Nr. 219 "Kārtība, kādā tiek piešķirts, atmaksāts un dzēsts studiju kredīts no valsts budžeta līdzekļiem", </w:t>
            </w:r>
            <w:r w:rsidR="000B4F2C" w:rsidRPr="009216A9">
              <w:lastRenderedPageBreak/>
              <w:t>svītrojot regulējumu par kredītu dzēšanu par darbu Ministra kabineta noteiktajās jomās un amatos.</w:t>
            </w:r>
            <w:r w:rsidRPr="009216A9">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ACE2C4E" w14:textId="77777777" w:rsidR="00D06285" w:rsidRPr="00EC2062" w:rsidRDefault="00306716" w:rsidP="00B92C3E">
            <w:pPr>
              <w:pStyle w:val="NoSpacing"/>
              <w:ind w:firstLine="33"/>
              <w:jc w:val="both"/>
              <w:rPr>
                <w:b/>
              </w:rPr>
            </w:pPr>
            <w:r w:rsidRPr="00EC2062">
              <w:rPr>
                <w:b/>
              </w:rPr>
              <w:lastRenderedPageBreak/>
              <w:t>TM</w:t>
            </w:r>
            <w:r w:rsidR="00D06285" w:rsidRPr="00EC2062">
              <w:rPr>
                <w:b/>
              </w:rPr>
              <w:t xml:space="preserve"> (28.05.2019. vēstule Nr.1-9.1/518):</w:t>
            </w:r>
          </w:p>
          <w:p w14:paraId="5286ABA3" w14:textId="25D31C03" w:rsidR="00D06285" w:rsidRPr="00EC2062" w:rsidRDefault="00D06285" w:rsidP="00D06285">
            <w:pPr>
              <w:tabs>
                <w:tab w:val="left" w:pos="1134"/>
              </w:tabs>
              <w:jc w:val="both"/>
            </w:pPr>
            <w:r w:rsidRPr="00EC2062">
              <w:t xml:space="preserve">Konceptuālā ziņojuma 17. lappusē ir atspoguļota informācija, ka līdzekļu pieejamība jaunajam kreditēšanas modelim ir atkarīga arī no tā, vai 2019. gadā Ministru kabinetā tiks apstiprināti jauni rīkojumi par jaunu kredītu dzēšanu par darbu noteiktajās jomās, kas būtiski ierobežotu līdzekļus jaunās kreditēšanas sistēmas ieviešanai. </w:t>
            </w:r>
          </w:p>
          <w:p w14:paraId="13737D6F" w14:textId="77777777" w:rsidR="00D06285" w:rsidRPr="00EC2062" w:rsidRDefault="00D06285" w:rsidP="00D06285">
            <w:pPr>
              <w:tabs>
                <w:tab w:val="left" w:pos="1134"/>
              </w:tabs>
              <w:ind w:firstLine="709"/>
              <w:jc w:val="both"/>
            </w:pPr>
            <w:r w:rsidRPr="00EC2062">
              <w:t xml:space="preserve">Savukārt Ministru kabineta 2001. gada 29. maija noteikumu Nr. 219 "Kārtība, kādā tiek piešķirts, atmaksāts un dzēsts studiju kredīts no valsts budžeta līdzekļiem" 34. un 36. punkts, kā arī Ministru kabineta 2001. gada 29. maija noteikumu Nr. 220 "Kārtība, kādā tiek piešķirts, atmaksāts un dzēsts studiju kredīts un studējošā kredīts no kredītiestādes līdzekļiem ar valsts vārdā sniegtu galvojumu" 57. un 59. punkts šobrīd paredz, ka profesiju sarakstu un speciālistu skaitu, ņemot vērā attiecīgo ministriju ierosinājumu, </w:t>
            </w:r>
            <w:r w:rsidRPr="00EC2062">
              <w:rPr>
                <w:u w:val="single"/>
              </w:rPr>
              <w:t>katru gadu</w:t>
            </w:r>
            <w:r w:rsidRPr="00EC2062">
              <w:t xml:space="preserve"> ar </w:t>
            </w:r>
            <w:r w:rsidRPr="00EC2062">
              <w:lastRenderedPageBreak/>
              <w:t xml:space="preserve">rīkojumu apstiprina Ministru kabinets. </w:t>
            </w:r>
          </w:p>
          <w:p w14:paraId="509FD068" w14:textId="77777777" w:rsidR="00D06285" w:rsidRPr="00EC2062" w:rsidRDefault="00D06285" w:rsidP="00D06285">
            <w:pPr>
              <w:tabs>
                <w:tab w:val="left" w:pos="1134"/>
              </w:tabs>
              <w:ind w:firstLine="709"/>
              <w:jc w:val="both"/>
            </w:pPr>
            <w:r w:rsidRPr="00EC2062">
              <w:t>Vēršam uzmanību, ka konceptuālais ziņojums ir precizējams, jo minētie Ministru kabineta noteikumi nav grozīti, līdz ar to nav iemesla uzskatīt, ka 2019. gadā jauni Ministru kabineta rīkojumi par kredīta dzēšanu par darbu noteiktajās jomās netiks apstiprināti. Arī no konceptuālā ziņojuma nodaļas "Turpmākā rīcība jaunās sistēmas ieviešanai" 5. punkta nav saprotams, vai un kad minētie grozījumi būtu veicami. Minētais neatbilst arī rīkojuma projekta 2. punktam (no minētā punkta var secināt, ka tiek atbalstīts 3. rīcības virziens, kas neparedz kredītu dzēšanu par darbu noteiktajās jomās) un 3. punktam.</w:t>
            </w:r>
          </w:p>
          <w:p w14:paraId="1E0B11C1" w14:textId="77777777" w:rsidR="00D06285" w:rsidRPr="00EC2062" w:rsidRDefault="00D06285" w:rsidP="00D06285">
            <w:pPr>
              <w:tabs>
                <w:tab w:val="left" w:pos="709"/>
                <w:tab w:val="left" w:pos="1134"/>
              </w:tabs>
              <w:jc w:val="both"/>
              <w:rPr>
                <w:lang w:eastAsia="zh-CN"/>
              </w:rPr>
            </w:pPr>
          </w:p>
          <w:p w14:paraId="488D6EFF" w14:textId="77777777" w:rsidR="00302E4D" w:rsidRPr="00EC2062" w:rsidRDefault="00D06285" w:rsidP="00B92C3E">
            <w:pPr>
              <w:tabs>
                <w:tab w:val="left" w:pos="709"/>
                <w:tab w:val="left" w:pos="1134"/>
              </w:tabs>
              <w:jc w:val="both"/>
              <w:rPr>
                <w:lang w:eastAsia="zh-CN"/>
              </w:rPr>
            </w:pPr>
            <w:r w:rsidRPr="00EC2062">
              <w:rPr>
                <w:lang w:eastAsia="zh-CN"/>
              </w:rPr>
              <w:t xml:space="preserve">Lūdzam precizēt konceptuālo ziņojumu, izvērtējot piedāvātā atbalstāmā risinājuma varianta atbilstību tiesiskās paļāvības principam, jo no konceptuālā ziņojuma satura var izdarīt secinājumu, ka Izglītības un zinātnes ministrija ierosina neturpināt kredītu dzēšanu daļai </w:t>
            </w:r>
            <w:r w:rsidRPr="00EC2062">
              <w:rPr>
                <w:lang w:eastAsia="zh-CN"/>
              </w:rPr>
              <w:lastRenderedPageBreak/>
              <w:t>no tiesību subjektiem, kuriem šobrīd šādas iespējas normatīvie akti paredz.</w:t>
            </w:r>
          </w:p>
          <w:p w14:paraId="74E804AD" w14:textId="77777777" w:rsidR="009434EE" w:rsidRPr="00EC2062" w:rsidRDefault="009434EE" w:rsidP="00B92C3E">
            <w:pPr>
              <w:tabs>
                <w:tab w:val="left" w:pos="709"/>
                <w:tab w:val="left" w:pos="1134"/>
              </w:tabs>
              <w:jc w:val="both"/>
              <w:rPr>
                <w:lang w:eastAsia="zh-CN"/>
              </w:rPr>
            </w:pPr>
          </w:p>
          <w:p w14:paraId="1C1CFFEF" w14:textId="77777777" w:rsidR="009434EE" w:rsidRPr="00EC2062" w:rsidRDefault="009434EE" w:rsidP="009434EE">
            <w:pPr>
              <w:pStyle w:val="NoSpacing"/>
              <w:ind w:firstLine="33"/>
              <w:jc w:val="both"/>
              <w:rPr>
                <w:b/>
                <w:lang w:eastAsia="zh-CN"/>
              </w:rPr>
            </w:pPr>
            <w:r w:rsidRPr="00EC2062">
              <w:rPr>
                <w:b/>
                <w:lang w:eastAsia="zh-CN"/>
              </w:rPr>
              <w:t>Tieslietu ministrija (26.06.2019. atzinums Nr. 1-9.1/643):</w:t>
            </w:r>
          </w:p>
          <w:p w14:paraId="18217677" w14:textId="1F9335C3" w:rsidR="009434EE" w:rsidRPr="00EC2062" w:rsidRDefault="009434EE" w:rsidP="009434EE">
            <w:pPr>
              <w:pStyle w:val="NoSpacing"/>
              <w:ind w:firstLine="33"/>
              <w:jc w:val="both"/>
              <w:rPr>
                <w:b/>
                <w:lang w:eastAsia="zh-CN"/>
              </w:rPr>
            </w:pPr>
            <w:r w:rsidRPr="00EC2062">
              <w:rPr>
                <w:bCs/>
              </w:rPr>
              <w:t xml:space="preserve">Protokollēmuma 4. punkts paredz </w:t>
            </w:r>
            <w:r w:rsidRPr="00EC2062">
              <w:t xml:space="preserve">pieņemt zināšanai, ka, īstenojot konceptuālajā ziņojumā ietverto 4. rīcības variantu, 2019. gadā netiek uzsākta jaunu kredītu dzēšana par darbu Ministra kabineta noteiktajās jomās un amatos. Izglītības un zinātnes ministrijai sagatavot un līdz 2019. gada 31. septembrim iesniegt Ministru kabinetā grozījumus Ministru kabineta 2001. gada 29. maija noteikumos Nr. 220 "Kārtība, kādā tiek piešķirts, atmaksāts un dzēsts studiju kredīts un studējošā kredīts no kredītiestādes līdzekļiem ar valsts vārdā sniegtu galvojumu" (turpmāk – MK noteikumi Nr. 220) un Ministru kabineta 2001. gada 29. maija noteikumos Nr. 219 "Kārtība, kādā tiek piešķirts, atmaksāts un dzēsts studiju kredīts no valsts budžeta līdzekļiem, svītrojot regulējumu par kredītu </w:t>
            </w:r>
            <w:r w:rsidRPr="00EC2062">
              <w:lastRenderedPageBreak/>
              <w:t>dzēšanu par darbu Ministra kabineta noteiktajās jomās un amatos.</w:t>
            </w:r>
          </w:p>
          <w:p w14:paraId="56CA60F0" w14:textId="77777777" w:rsidR="009434EE" w:rsidRPr="00EC2062" w:rsidRDefault="009434EE" w:rsidP="009434EE">
            <w:pPr>
              <w:tabs>
                <w:tab w:val="left" w:pos="709"/>
                <w:tab w:val="left" w:pos="1134"/>
              </w:tabs>
              <w:jc w:val="both"/>
              <w:rPr>
                <w:bCs/>
              </w:rPr>
            </w:pPr>
            <w:r w:rsidRPr="00EC2062">
              <w:rPr>
                <w:bCs/>
              </w:rPr>
              <w:tab/>
              <w:t xml:space="preserve">Izziņas 66. lappusē ir sniegta informācija, ka </w:t>
            </w:r>
            <w:r w:rsidRPr="00EC2062">
              <w:t>tiesiskās paļāvības princips darbojās attiecībā uz to kredītu dzēšanu par darbu noteiktajās jomās un amatos, attiecībā uz kuriem jau ir pieņemts Ministru kabineta lēmums par dzēšanu. Ja 2019. gadā nav izdots Ministru kabineta rīkojums par kredītu dzēšanu par darbu noteiktajās jomās un amatos, nevienam konkrētam pretendentam nav pamata uzskatīt, ka viņa joma un amats tiks iekļauti rīkojumā. Attiecībā uz iespējamo rīcību par to, vai 2019. gadā Ministru kabinetā tiks apstiprināti jauni rīkojumi par jaunu kredītu dzēšanu par darbu noteiktajās jomās, ne Izglītības likums, ne Augstskolu likums neuzliek Ministru kabinetam nekādus ierobežojumus attiecībā uz laika ietvaru, apmēru vai citiem nosacījumiem studiju kredīta dzēšanai.</w:t>
            </w:r>
          </w:p>
          <w:p w14:paraId="2CF5A963" w14:textId="77777777" w:rsidR="009434EE" w:rsidRPr="00EC2062" w:rsidRDefault="009434EE" w:rsidP="009434EE">
            <w:pPr>
              <w:tabs>
                <w:tab w:val="left" w:pos="709"/>
                <w:tab w:val="left" w:pos="1134"/>
              </w:tabs>
              <w:jc w:val="both"/>
            </w:pPr>
            <w:r w:rsidRPr="00EC2062">
              <w:t xml:space="preserve">Tieslietu ministrija nepierīt izziņā paustajam, ka tiesiskās paļāvības princips darbojās attiecībā uz to kredītu dzēšanu </w:t>
            </w:r>
            <w:r w:rsidRPr="00EC2062">
              <w:lastRenderedPageBreak/>
              <w:t xml:space="preserve">par darbu noteiktajās jomās un amatos, attiecībā uz kuriem jau ir pieņemts Ministru kabineta lēmums par dzēšanu. Tāpat sniegtajai informācijai, ja 2019. gadā nav izdots Ministru kabineta rīkojums par kredītu dzēšanu par darbu noteiktajās jomās un amatos, </w:t>
            </w:r>
            <w:r w:rsidRPr="00EC2062">
              <w:rPr>
                <w:u w:val="single"/>
              </w:rPr>
              <w:t>nevienam konkrētam pretendentam nav pamata uzskatīt</w:t>
            </w:r>
            <w:r w:rsidRPr="00EC2062">
              <w:t>, ka viņa joma un amats tiks iekļauti rīkojumā.</w:t>
            </w:r>
          </w:p>
          <w:p w14:paraId="676FF867" w14:textId="77777777" w:rsidR="009434EE" w:rsidRPr="00EC2062" w:rsidRDefault="009434EE" w:rsidP="009434EE">
            <w:pPr>
              <w:tabs>
                <w:tab w:val="left" w:pos="709"/>
                <w:tab w:val="left" w:pos="1134"/>
              </w:tabs>
              <w:jc w:val="both"/>
            </w:pPr>
            <w:r w:rsidRPr="00EC2062">
              <w:t xml:space="preserve">Vēršam uzmanību, ka MK noteikumu Nr. 220 58. un 59. punkts paredz, ka pēc Studiju un zinātnes administrācijas vēstules saņemšanas ministrijas sagatavo un </w:t>
            </w:r>
            <w:r w:rsidRPr="00EC2062">
              <w:rPr>
                <w:u w:val="single"/>
              </w:rPr>
              <w:t>katru gadu līdz 1. martam</w:t>
            </w:r>
            <w:r w:rsidRPr="00EC2062">
              <w:t xml:space="preserve"> Studiju un zinātnes administrācijā iesniedz priekšlikumus par to speciālistu skaitu, </w:t>
            </w:r>
            <w:r w:rsidRPr="00EC2062">
              <w:rPr>
                <w:u w:val="single"/>
              </w:rPr>
              <w:t>kuriem kredītu jāsāk dzēst attiecīgajā gadā</w:t>
            </w:r>
            <w:r w:rsidRPr="00EC2062">
              <w:t xml:space="preserve">. Izglītības un zinātnes ministrija, ņemot vērā ministriju priekšlikumus, </w:t>
            </w:r>
            <w:r w:rsidRPr="00EC2062">
              <w:rPr>
                <w:u w:val="single"/>
              </w:rPr>
              <w:t>katru gadu sagatavo</w:t>
            </w:r>
            <w:r w:rsidRPr="00EC2062">
              <w:t xml:space="preserve"> Ministru kabineta rīkojuma projektu par kredītu dzēšanu. Ministru kabinets </w:t>
            </w:r>
            <w:r w:rsidRPr="00EC2062">
              <w:rPr>
                <w:u w:val="single"/>
              </w:rPr>
              <w:t>katru gadu apstiprina</w:t>
            </w:r>
            <w:r w:rsidRPr="00EC2062">
              <w:t xml:space="preserve"> profesiju sarakstu un speciālistu skaitu, kuriem kredītu sāks dzēst no valsts budžeta līdzekļiem šajās profesijās. </w:t>
            </w:r>
            <w:r w:rsidRPr="00EC2062">
              <w:lastRenderedPageBreak/>
              <w:t>Tātad no minētā var secināt, ka līdz 2019. gada 1. martam un arī līdz šim brīdim konkrētam pretendentam bija pamats uzskatīt, ka Studiju un zinātnes administrācijā tiks iesniegti priekšlikumi un viņa joma un amats tiks iekļauti rīkojumā un tas attiecīgi tiks apstiprināts Ministru kabinetā. Arī 2019. gada 18. jūnija Saeimas Izglītības, kultūras un zinātnes komisijas sēdē Studiju un zinātnes administrācija informēja, ka šādi priekšlikumi ir apkopoti un iesniegti Izglītības un zinātnes ministrijā.</w:t>
            </w:r>
          </w:p>
          <w:p w14:paraId="4D998586" w14:textId="77777777" w:rsidR="009434EE" w:rsidRPr="00EC2062" w:rsidRDefault="009434EE" w:rsidP="009434EE">
            <w:pPr>
              <w:tabs>
                <w:tab w:val="left" w:pos="709"/>
                <w:tab w:val="left" w:pos="1134"/>
              </w:tabs>
              <w:jc w:val="both"/>
              <w:rPr>
                <w:u w:val="single"/>
              </w:rPr>
            </w:pPr>
            <w:r w:rsidRPr="00EC2062">
              <w:t>Atkārtoti vēršam uzmanību, ka Satversmes tiesa ir atzinusi, ka Satversmes 1. panta tvērumā ietilpst no demokrātiskas tiesiskas valsts pamatnormas atvasinātais tiesiskās paļāvības princips, kas aizsargā vienīgi tādas tiesības, uz kuru īstenošanu personai varēja rasties likumīga, pamatota un saprātīga paļāvība, kas ir minētā vispārējā tiesību principa kodols</w:t>
            </w:r>
            <w:r w:rsidRPr="00EC2062">
              <w:rPr>
                <w:vertAlign w:val="superscript"/>
              </w:rPr>
              <w:footnoteReference w:id="1"/>
            </w:r>
            <w:r w:rsidRPr="00EC2062">
              <w:t xml:space="preserve">. Valstij ir pienākums savā darbībā šo principu </w:t>
            </w:r>
            <w:r w:rsidRPr="00EC2062">
              <w:lastRenderedPageBreak/>
              <w:t>ievērot</w:t>
            </w:r>
            <w:r w:rsidRPr="00EC2062">
              <w:rPr>
                <w:i/>
                <w:iCs/>
              </w:rPr>
              <w:t>.</w:t>
            </w:r>
            <w:r w:rsidRPr="00EC2062">
              <w:rPr>
                <w:i/>
                <w:iCs/>
                <w:vertAlign w:val="superscript"/>
              </w:rPr>
              <w:footnoteReference w:id="2"/>
            </w:r>
            <w:r w:rsidRPr="00EC2062">
              <w:rPr>
                <w:i/>
                <w:iCs/>
              </w:rPr>
              <w:t xml:space="preserve"> </w:t>
            </w:r>
            <w:r w:rsidRPr="00EC2062">
              <w:t xml:space="preserve">Tiesiskās paļāvības princips ir saistīts ar tiesiskās drošības principu un nodrošina tā pieprasīto stabilitāti, aizliedzot nekonsekventu valsts rīcību. Šā principa pamatā ir ideja, ka indivīds var paļauties uz to, ka valsts rīkojas tiesiski un konsekventi, un valstij ir jāaizsargā tai dotā uzticība. Tiesiskās paļāvības princips aizsargā personas reiz iegūtās tiesības, t.i., personas var paļauties uz to, ka tiesības, </w:t>
            </w:r>
            <w:r w:rsidRPr="00EC2062">
              <w:rPr>
                <w:u w:val="single"/>
              </w:rPr>
              <w:t>kas iegūtas saskaņā ar spēkā esošu tiesību aktu, noteiktajā laika periodā tiks saglabātas un reāli īstenotas.</w:t>
            </w:r>
            <w:r w:rsidRPr="00EC2062">
              <w:rPr>
                <w:u w:val="single"/>
                <w:vertAlign w:val="superscript"/>
              </w:rPr>
              <w:footnoteReference w:id="3"/>
            </w:r>
            <w:r w:rsidRPr="00EC2062">
              <w:t xml:space="preserve"> Tomēr tiesiskās paļāvības princips ietver arī to, ka indivīda reiz iegūtās tiesības var tikt grozītas likumīgā un tiesiskā veidā. Proti, šis princips nedod pamatu ticēt, ka reiz noteiktā tiesiskā situācija nekad nemainīsies. Būtiski ir tas, ka šādā gadījumā likumdevējs nosaka "</w:t>
            </w:r>
            <w:r w:rsidRPr="00EC2062">
              <w:rPr>
                <w:u w:val="single"/>
              </w:rPr>
              <w:t>saudzējošu" pārejas periodu vai pienācīgu kompensāciju.</w:t>
            </w:r>
          </w:p>
          <w:p w14:paraId="1C60BD42" w14:textId="3B0F9658" w:rsidR="009434EE" w:rsidRPr="00EC2062" w:rsidRDefault="009434EE" w:rsidP="00B92C3E">
            <w:pPr>
              <w:tabs>
                <w:tab w:val="left" w:pos="709"/>
                <w:tab w:val="left" w:pos="1134"/>
              </w:tabs>
              <w:jc w:val="both"/>
            </w:pPr>
            <w:r w:rsidRPr="00EC2062">
              <w:t xml:space="preserve">Ņemot vērā minēto, atkārtoti lūdzam izvērtēt </w:t>
            </w:r>
            <w:r w:rsidRPr="00EC2062">
              <w:lastRenderedPageBreak/>
              <w:t xml:space="preserve">protokollēmuma 4. punktā paredzētā atbilstību tiesiskās paļāvības principam.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3938FCF" w14:textId="57A1AAFA" w:rsidR="00302E4D" w:rsidRPr="00EC2062" w:rsidRDefault="00F71F2C" w:rsidP="004D1078">
            <w:pPr>
              <w:jc w:val="center"/>
              <w:rPr>
                <w:b/>
              </w:rPr>
            </w:pPr>
            <w:r w:rsidRPr="00EC2062">
              <w:rPr>
                <w:b/>
              </w:rPr>
              <w:lastRenderedPageBreak/>
              <w:t>Ņemts vērā</w:t>
            </w:r>
          </w:p>
          <w:p w14:paraId="4F009E90" w14:textId="77777777" w:rsidR="00D06285" w:rsidRPr="00EC2062" w:rsidRDefault="00695336" w:rsidP="00D06285">
            <w:pPr>
              <w:jc w:val="both"/>
              <w:rPr>
                <w:bCs/>
              </w:rPr>
            </w:pPr>
            <w:r w:rsidRPr="00EC2062">
              <w:t xml:space="preserve">Tiesiskās paļāvības princips darbojās attiecībā uz to kredītu dzēšanu par darbu noteiktajās jomās un amatos, attiecībā uz kuriem jau ir pieņemts Ministru kabineta lēmums par dzēšanu. Ja 2019. gadā nav izdots MK rīkojums par kredītu dzēšanu par darbu noteiktajās jomās un amatos, nevienam konkrētam pretendentam nav pamata uzskatīt, ka viņa joma un amats tiks iekļauti rīkojumā. </w:t>
            </w:r>
            <w:r w:rsidR="00D06285" w:rsidRPr="00EC2062">
              <w:t xml:space="preserve">Attiecībā uz iespējamo rīcību par to, vai 2019. gadā Ministru kabinetā tiks apstiprināti jauni rīkojumi par jaunu kredītu dzēšanu par darbu noteiktajās jomās, ne Izglītības likums, ne Augstskolu likums neuzliek Ministru kabinetam nekādus ierobežojumus attiecībā uz laika ietvaru, apmēru vai citiem nosacījumiem studiju kredīta dzēšanai. Ņemot vērā minēto, situācijā, kad </w:t>
            </w:r>
            <w:r w:rsidR="0033608D" w:rsidRPr="00EC2062">
              <w:t>vismaz īstermiņā, ņemot vērā 2020. gada budžeta fiskālos ierobežojumus, ir</w:t>
            </w:r>
            <w:r w:rsidR="00D06285" w:rsidRPr="00EC2062">
              <w:t xml:space="preserve"> paredzēts atteikties no kredītu dzēšanas par darbu MK noteiktajās jomās un profesijās, ministrijas ieskatā ir izdarāmi grozījumi Ministru kabineta 2001.gada 29.maija noteikumos Nr.220 “</w:t>
            </w:r>
            <w:r w:rsidR="00D06285" w:rsidRPr="00EC2062">
              <w:rPr>
                <w:bCs/>
              </w:rPr>
              <w:t xml:space="preserve">Kārtība, kādā tiek piešķirts, atmaksāts un dzēsts studiju kredīts un studējošā kredīts no kredītiestādes līdzekļiem ar valsts vārdā sniegtu galvojumu”, svītrojot normas par kredīta dzēšanu </w:t>
            </w:r>
            <w:r w:rsidR="00D06285" w:rsidRPr="00EC2062">
              <w:t xml:space="preserve">par darbu valsts un pašvaldību institūcijās un citās </w:t>
            </w:r>
            <w:r w:rsidR="00D06285" w:rsidRPr="00EC2062">
              <w:lastRenderedPageBreak/>
              <w:t>noteiktajās jomās, kā arī paredzot, ka tām personām attiecībā uz kurām lēmums par kredīta dzēšanu (par bērna piedzimšanu un par darbu valsts un pašvaldību institūcijās un citās noteiktajās jomās) izdots 2018. un iepriekšējos gados, kredīts tiek dzēsts pilnā apmērā</w:t>
            </w:r>
            <w:r w:rsidR="0033608D" w:rsidRPr="00EC2062">
              <w:t xml:space="preserve"> saskaņā ar tiesiskās paļāvības principu</w:t>
            </w:r>
            <w:r w:rsidR="00D06285" w:rsidRPr="00EC2062">
              <w:rPr>
                <w:bCs/>
              </w:rPr>
              <w:t>.</w:t>
            </w:r>
          </w:p>
          <w:p w14:paraId="65CFD426" w14:textId="77777777" w:rsidR="00D06285" w:rsidRPr="00EC2062" w:rsidRDefault="00D06285" w:rsidP="00D06285">
            <w:pPr>
              <w:rPr>
                <w:b/>
              </w:rPr>
            </w:pPr>
          </w:p>
          <w:p w14:paraId="6AEDAFFB" w14:textId="77777777" w:rsidR="00D06285" w:rsidRPr="00EC2062" w:rsidRDefault="00D06285" w:rsidP="00695336"/>
          <w:p w14:paraId="3B852645" w14:textId="77777777" w:rsidR="009216A9" w:rsidRPr="00EC2062" w:rsidRDefault="009216A9" w:rsidP="00695336"/>
          <w:p w14:paraId="7E1A0918" w14:textId="77777777" w:rsidR="009216A9" w:rsidRPr="00EC2062" w:rsidRDefault="009216A9" w:rsidP="00695336"/>
          <w:p w14:paraId="47DBCA5D" w14:textId="77777777" w:rsidR="009216A9" w:rsidRPr="00EC2062" w:rsidRDefault="009216A9" w:rsidP="00695336"/>
          <w:p w14:paraId="55EF3A4F" w14:textId="77777777" w:rsidR="009216A9" w:rsidRPr="00EC2062" w:rsidRDefault="009216A9" w:rsidP="00695336"/>
          <w:p w14:paraId="559CD173" w14:textId="77777777" w:rsidR="009216A9" w:rsidRPr="00EC2062" w:rsidRDefault="009216A9" w:rsidP="00695336"/>
          <w:p w14:paraId="7C1C0011" w14:textId="77777777" w:rsidR="009216A9" w:rsidRPr="00EC2062" w:rsidRDefault="009216A9" w:rsidP="00695336"/>
          <w:p w14:paraId="593B7D77" w14:textId="77777777" w:rsidR="009216A9" w:rsidRPr="00EC2062" w:rsidRDefault="009216A9" w:rsidP="00695336"/>
          <w:p w14:paraId="5A4930A5" w14:textId="77777777" w:rsidR="009216A9" w:rsidRPr="00EC2062" w:rsidRDefault="009216A9" w:rsidP="00695336"/>
          <w:p w14:paraId="44DC11CB" w14:textId="77777777" w:rsidR="009216A9" w:rsidRPr="00EC2062" w:rsidRDefault="009216A9" w:rsidP="00695336"/>
          <w:p w14:paraId="49A36925" w14:textId="77777777" w:rsidR="009216A9" w:rsidRPr="00EC2062" w:rsidRDefault="009216A9" w:rsidP="00695336"/>
          <w:p w14:paraId="1D058676" w14:textId="77777777" w:rsidR="009216A9" w:rsidRPr="00EC2062" w:rsidRDefault="009216A9" w:rsidP="00695336"/>
          <w:p w14:paraId="7804246C" w14:textId="77777777" w:rsidR="009216A9" w:rsidRPr="00EC2062" w:rsidRDefault="009216A9" w:rsidP="00695336"/>
          <w:p w14:paraId="51F62EFB" w14:textId="77777777" w:rsidR="009216A9" w:rsidRPr="00EC2062" w:rsidRDefault="009216A9" w:rsidP="00695336"/>
          <w:p w14:paraId="6C7534D0" w14:textId="77777777" w:rsidR="009216A9" w:rsidRPr="00EC2062" w:rsidRDefault="009216A9" w:rsidP="00695336"/>
          <w:p w14:paraId="67780366" w14:textId="77777777" w:rsidR="009216A9" w:rsidRPr="00EC2062" w:rsidRDefault="009216A9" w:rsidP="00695336"/>
          <w:p w14:paraId="0227595E" w14:textId="77777777" w:rsidR="009216A9" w:rsidRPr="00EC2062" w:rsidRDefault="009216A9" w:rsidP="00695336"/>
          <w:p w14:paraId="3A9C218C" w14:textId="77777777" w:rsidR="009216A9" w:rsidRPr="00EC2062" w:rsidRDefault="009216A9" w:rsidP="00695336"/>
          <w:p w14:paraId="12BFCCC2" w14:textId="77777777" w:rsidR="009216A9" w:rsidRPr="00EC2062" w:rsidRDefault="009216A9" w:rsidP="00695336"/>
          <w:p w14:paraId="631EF13C" w14:textId="77777777" w:rsidR="009216A9" w:rsidRPr="00EC2062" w:rsidRDefault="009216A9" w:rsidP="00695336"/>
          <w:p w14:paraId="351984EE" w14:textId="77777777" w:rsidR="009216A9" w:rsidRPr="00EC2062" w:rsidRDefault="009216A9" w:rsidP="00695336"/>
          <w:p w14:paraId="2F0D7B26" w14:textId="77777777" w:rsidR="009216A9" w:rsidRPr="00EC2062" w:rsidRDefault="009216A9" w:rsidP="00695336"/>
          <w:p w14:paraId="333A2EBB" w14:textId="77777777" w:rsidR="009216A9" w:rsidRPr="00EC2062" w:rsidRDefault="009216A9" w:rsidP="00695336"/>
          <w:p w14:paraId="5A1F922D" w14:textId="77777777" w:rsidR="009216A9" w:rsidRPr="00EC2062" w:rsidRDefault="009216A9" w:rsidP="00695336"/>
          <w:p w14:paraId="0837A4D0" w14:textId="77777777" w:rsidR="009216A9" w:rsidRPr="00EC2062" w:rsidRDefault="009216A9" w:rsidP="00695336"/>
          <w:p w14:paraId="59BA7895" w14:textId="77777777" w:rsidR="009216A9" w:rsidRPr="00EC2062" w:rsidRDefault="009216A9" w:rsidP="00695336"/>
          <w:p w14:paraId="61B0CEBC" w14:textId="77777777" w:rsidR="009216A9" w:rsidRPr="00EC2062" w:rsidRDefault="009216A9" w:rsidP="00695336"/>
          <w:p w14:paraId="56F7DDA2" w14:textId="77777777" w:rsidR="009216A9" w:rsidRPr="00EC2062" w:rsidRDefault="009216A9" w:rsidP="00695336"/>
          <w:p w14:paraId="3CB4CF86" w14:textId="0AAC8A09" w:rsidR="009216A9" w:rsidRPr="00EC2062" w:rsidRDefault="009216A9" w:rsidP="009216A9">
            <w:pPr>
              <w:jc w:val="center"/>
              <w:rPr>
                <w:b/>
              </w:rPr>
            </w:pPr>
            <w:r w:rsidRPr="00EC2062">
              <w:rPr>
                <w:b/>
              </w:rPr>
              <w:t>Ņemts vērā</w:t>
            </w:r>
          </w:p>
          <w:p w14:paraId="4F6B0714" w14:textId="77777777" w:rsidR="009216A9" w:rsidRPr="00EC2062" w:rsidRDefault="009216A9" w:rsidP="00695336"/>
          <w:p w14:paraId="2693812B" w14:textId="247A7C63" w:rsidR="009216A9" w:rsidRPr="00EC2062" w:rsidRDefault="009216A9" w:rsidP="00661B63">
            <w:pPr>
              <w:jc w:val="both"/>
            </w:pPr>
            <w:r w:rsidRPr="00EC2062">
              <w:t>Papildināta ziņojuma sadaļa “Jaunā kreditēšanas modeļa ieviešanas varianti un to ietekme uz valsts un pašvaldību budžetu” (32.-34.lpp).</w:t>
            </w:r>
          </w:p>
          <w:p w14:paraId="03CF246B" w14:textId="77777777" w:rsidR="009216A9" w:rsidRPr="00EC2062" w:rsidRDefault="009216A9" w:rsidP="00695336"/>
          <w:p w14:paraId="710AADD6" w14:textId="77777777" w:rsidR="009216A9" w:rsidRPr="00EC2062" w:rsidRDefault="009216A9" w:rsidP="00695336"/>
        </w:tc>
        <w:tc>
          <w:tcPr>
            <w:tcW w:w="2986" w:type="dxa"/>
            <w:tcBorders>
              <w:top w:val="single" w:sz="4" w:space="0" w:color="auto"/>
              <w:left w:val="single" w:sz="4" w:space="0" w:color="auto"/>
              <w:bottom w:val="single" w:sz="4" w:space="0" w:color="auto"/>
            </w:tcBorders>
          </w:tcPr>
          <w:p w14:paraId="41BBEA7F" w14:textId="164240EF" w:rsidR="00302E4D" w:rsidRDefault="00695336" w:rsidP="00766F52">
            <w:pPr>
              <w:jc w:val="both"/>
            </w:pPr>
            <w:r>
              <w:lastRenderedPageBreak/>
              <w:t xml:space="preserve">Papildināts </w:t>
            </w:r>
            <w:r w:rsidR="008F3B66">
              <w:t xml:space="preserve">protokollēmuma </w:t>
            </w:r>
            <w:r w:rsidR="00585137">
              <w:t>projekts:</w:t>
            </w:r>
          </w:p>
          <w:p w14:paraId="611FD86F" w14:textId="33CF8046" w:rsidR="00695336" w:rsidRDefault="00B92C3E" w:rsidP="00B41174">
            <w:pPr>
              <w:jc w:val="both"/>
            </w:pPr>
            <w:r>
              <w:t>“</w:t>
            </w:r>
            <w:r w:rsidR="00B41174" w:rsidRPr="00B41174">
              <w:t>4. Izglītības un zinātnes ministrijai sagatavot un līdz 2019. gada 31.septembrim iesniegt Ministru kabinetā grozījumus Ministru kabineta 2001. gada 29. maija noteikumos Nr. 220 "Kārtība, kādā tiek piešķirts, atmaksāts un dzēsts studiju kredīts un studējošā kredīts no kredītiestādes līdzekļiem ar valsts vārdā sniegtu galvojumu" un Ministru kabineta 2001. gada 29. maija noteikumos Nr. 219 "Kārtība, kādā tiek piešķirts, atmaksāts un dzēsts studiju kredīts no valsts budžeta līdzekļiem", svītrojot regulējumu par kredītu dzēšanu par darbu Ministra kabineta noteiktajās jomās un amatos.</w:t>
            </w:r>
            <w:r>
              <w:t>”</w:t>
            </w:r>
          </w:p>
        </w:tc>
      </w:tr>
      <w:tr w:rsidR="00C42FD2" w:rsidRPr="001801C2" w14:paraId="73415B5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6586B00" w14:textId="57FB7988" w:rsidR="00C42FD2" w:rsidRPr="001801C2" w:rsidRDefault="00C42FD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490DC042" w14:textId="70B485CE" w:rsidR="00C42FD2" w:rsidRPr="006A4603" w:rsidRDefault="00B139BA"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F9574FA" w14:textId="77777777" w:rsidR="00C42FD2" w:rsidRPr="00B139BA" w:rsidRDefault="00C42FD2" w:rsidP="00B139BA">
            <w:pPr>
              <w:pStyle w:val="NoSpacing"/>
              <w:jc w:val="both"/>
              <w:rPr>
                <w:b/>
              </w:rPr>
            </w:pPr>
            <w:r w:rsidRPr="00B139BA">
              <w:rPr>
                <w:b/>
              </w:rPr>
              <w:t>TM (28.05.2019. vēstule Nr.1-9.1/518):</w:t>
            </w:r>
          </w:p>
          <w:p w14:paraId="2F91D3E0" w14:textId="55426F4B" w:rsidR="00C42FD2" w:rsidRPr="002F0AC7" w:rsidRDefault="00C42FD2" w:rsidP="00C42FD2">
            <w:pPr>
              <w:pStyle w:val="NoSpacing"/>
              <w:jc w:val="both"/>
              <w:rPr>
                <w:rFonts w:ascii="Book Antiqua" w:hAnsi="Book Antiqua"/>
                <w:b/>
                <w:sz w:val="22"/>
                <w:szCs w:val="22"/>
              </w:rPr>
            </w:pPr>
            <w:r w:rsidRPr="00C42FD2">
              <w:rPr>
                <w:lang w:eastAsia="zh-CN"/>
              </w:rPr>
              <w:t>Konceptuālā ziņojuma 23. lappusē norādīts, ka studējošā kredīta summa tiks noteikta Ministru kabineta noteikumu izstrādes gaitā, jo pastāv divi viedokļi darba grupas ietvaros: noteikt kopējās summas ierobežojumu līdz orientējoši 6 500 euro, nepārsniedzot 80% no valstī noteiktās minimālās mēneša algas apjoma, 10 mēnešus gadā, lai ierobežotu kopējo kredītsaistību apmēru, vai arī izmaksāt šādu kredītu visu studiju laiku bez summas ierobežojuma.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87A00C2" w14:textId="77777777" w:rsidR="00C42FD2" w:rsidRDefault="00C42FD2" w:rsidP="00C42FD2">
            <w:pPr>
              <w:jc w:val="center"/>
              <w:rPr>
                <w:b/>
              </w:rPr>
            </w:pPr>
            <w:r>
              <w:rPr>
                <w:b/>
              </w:rPr>
              <w:t>Ņemts vērā</w:t>
            </w:r>
          </w:p>
          <w:p w14:paraId="4B7BD7C9" w14:textId="77777777" w:rsidR="00C42FD2" w:rsidRDefault="00C42FD2" w:rsidP="00C42FD2">
            <w:pPr>
              <w:jc w:val="both"/>
              <w:rPr>
                <w:b/>
              </w:rPr>
            </w:pPr>
          </w:p>
          <w:p w14:paraId="60582F5F" w14:textId="77777777" w:rsidR="00C42FD2" w:rsidRDefault="00C42FD2" w:rsidP="00C42FD2">
            <w:pPr>
              <w:jc w:val="both"/>
            </w:pPr>
            <w:r>
              <w:t>Attiecībā uz studējošā kredīta summu m</w:t>
            </w:r>
            <w:r w:rsidRPr="00BE6B8C">
              <w:t>inistrija sagatavojot normatīvo regulējumu plāno virzīt risinājumu bez studējošā kredīta summas ierobežojuma vai arī noteikt tādu summas ierobežojumu, kas segtu izmaksas visā tipiskajā studiju posmā.</w:t>
            </w:r>
          </w:p>
          <w:p w14:paraId="69121488" w14:textId="214E7B1D" w:rsidR="006015CC" w:rsidRDefault="006015CC" w:rsidP="00C42FD2">
            <w:pPr>
              <w:jc w:val="both"/>
              <w:rPr>
                <w:b/>
              </w:rPr>
            </w:pPr>
            <w:r>
              <w:t>Papildināta projekta sadaļa “Jaunais kreditēšanas modelis”</w:t>
            </w:r>
          </w:p>
        </w:tc>
        <w:tc>
          <w:tcPr>
            <w:tcW w:w="2986" w:type="dxa"/>
            <w:tcBorders>
              <w:top w:val="single" w:sz="4" w:space="0" w:color="auto"/>
              <w:left w:val="single" w:sz="4" w:space="0" w:color="auto"/>
              <w:bottom w:val="single" w:sz="4" w:space="0" w:color="auto"/>
            </w:tcBorders>
          </w:tcPr>
          <w:p w14:paraId="2B4D49A0" w14:textId="0C636415" w:rsidR="00C42FD2" w:rsidRDefault="006015CC" w:rsidP="00C42FD2">
            <w:pPr>
              <w:jc w:val="both"/>
            </w:pPr>
            <w:r>
              <w:t>P</w:t>
            </w:r>
            <w:r w:rsidR="00B139BA">
              <w:t xml:space="preserve">rojekta </w:t>
            </w:r>
            <w:r w:rsidR="00C42FD2">
              <w:t>sadaļa “Jaunais kreditēšanas modelis”:</w:t>
            </w:r>
          </w:p>
          <w:p w14:paraId="4F0E50DF" w14:textId="4802287C" w:rsidR="00C42FD2" w:rsidRDefault="00B139BA" w:rsidP="00C42FD2">
            <w:pPr>
              <w:jc w:val="both"/>
            </w:pPr>
            <w:r>
              <w:t>“</w:t>
            </w:r>
            <w:r w:rsidR="00C42FD2" w:rsidRPr="00BE6B8C">
              <w:t xml:space="preserve">Ministrija sagatavojot normatīvo regulējumu plāno virzīt risinājumu bez studējošā kredīta summas ierobežojuma vai arī noteikt tādu summas ierobežojumu, kas segtu izmaksas visā tipiskajā studiju posmā. Par šī jautājuma gala risinājumu ministrija plāno vienoties ar darba grupas dalībniekiem Ministru kabineta </w:t>
            </w:r>
            <w:r w:rsidR="00C42FD2">
              <w:t>noteikumu izstrādes gaitā; tas nemaina jaunā modeļa koncepciju.</w:t>
            </w:r>
            <w:r>
              <w:t>”</w:t>
            </w:r>
          </w:p>
        </w:tc>
      </w:tr>
      <w:tr w:rsidR="00C42FD2" w:rsidRPr="001801C2" w14:paraId="0D065D6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D5B159E" w14:textId="77777777" w:rsidR="00C42FD2" w:rsidRPr="001801C2" w:rsidRDefault="00C42FD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1A591A9A" w14:textId="25909E4A" w:rsidR="00C42FD2" w:rsidRPr="006A4603" w:rsidRDefault="00357C59"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75E555E" w14:textId="77777777" w:rsidR="00C42FD2" w:rsidRPr="00B139BA" w:rsidRDefault="00C42FD2" w:rsidP="00B139BA">
            <w:pPr>
              <w:pStyle w:val="NoSpacing"/>
              <w:ind w:firstLine="33"/>
              <w:jc w:val="both"/>
              <w:rPr>
                <w:b/>
              </w:rPr>
            </w:pPr>
            <w:r w:rsidRPr="00B139BA">
              <w:rPr>
                <w:b/>
              </w:rPr>
              <w:t>TM (28.05.2019. vēstule Nr.1-9.1/518):</w:t>
            </w:r>
          </w:p>
          <w:p w14:paraId="2F60A7E4" w14:textId="58B9670F" w:rsidR="00C42FD2" w:rsidRPr="002F0AC7" w:rsidRDefault="00C42FD2" w:rsidP="00B044C3">
            <w:pPr>
              <w:pStyle w:val="NoSpacing"/>
              <w:jc w:val="both"/>
              <w:rPr>
                <w:rFonts w:ascii="Book Antiqua" w:hAnsi="Book Antiqua"/>
                <w:b/>
                <w:sz w:val="22"/>
                <w:szCs w:val="22"/>
              </w:rPr>
            </w:pPr>
            <w:r w:rsidRPr="00F3712C">
              <w:t>Konceptuālā ziņojuma nodaļas "Turpmākā rīcība jaunās sistēmas ieviešanai" ievadā ir sniegta informācija, ka turpmākā rīcība ir atkarīga no Ministru kabineta atbalstītā rīcības varianta. Lūdzam precizēt minēto informāciju, jo nav saprotams</w:t>
            </w:r>
            <w:r w:rsidRPr="00ED7CD0">
              <w:t xml:space="preserve">, attiecībā uz kuru risinājuma variantu ir attiecināmi turpmāk minētie </w:t>
            </w:r>
            <w:r w:rsidRPr="00ED7CD0">
              <w:lastRenderedPageBreak/>
              <w:t>uzdevumi un vai tie ir saskaņoti</w:t>
            </w:r>
            <w:r w:rsidRPr="00F3712C">
              <w:t xml:space="preserve"> ar rīkojuma projektu.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A159658" w14:textId="77777777" w:rsidR="00C42FD2" w:rsidRDefault="00C42FD2" w:rsidP="00C42FD2">
            <w:pPr>
              <w:jc w:val="center"/>
              <w:rPr>
                <w:b/>
              </w:rPr>
            </w:pPr>
            <w:r>
              <w:rPr>
                <w:b/>
              </w:rPr>
              <w:lastRenderedPageBreak/>
              <w:t>Ņemts vērā</w:t>
            </w:r>
          </w:p>
          <w:p w14:paraId="19357082" w14:textId="5000F65C" w:rsidR="00C42FD2" w:rsidRDefault="00357C59" w:rsidP="009B17BB">
            <w:pPr>
              <w:jc w:val="center"/>
              <w:rPr>
                <w:b/>
              </w:rPr>
            </w:pPr>
            <w:r>
              <w:t xml:space="preserve">Precizēts projekts un </w:t>
            </w:r>
            <w:r w:rsidR="009B17BB">
              <w:t xml:space="preserve">protokollēmuma </w:t>
            </w:r>
            <w:r>
              <w:t>projekts, norādot atbalstāmo variantu.</w:t>
            </w:r>
          </w:p>
        </w:tc>
        <w:tc>
          <w:tcPr>
            <w:tcW w:w="2986" w:type="dxa"/>
            <w:tcBorders>
              <w:top w:val="single" w:sz="4" w:space="0" w:color="auto"/>
              <w:left w:val="single" w:sz="4" w:space="0" w:color="auto"/>
              <w:bottom w:val="single" w:sz="4" w:space="0" w:color="auto"/>
            </w:tcBorders>
          </w:tcPr>
          <w:p w14:paraId="58EF3A34" w14:textId="15DA2A30" w:rsidR="00C42FD2" w:rsidRDefault="00357C59" w:rsidP="00357C59">
            <w:pPr>
              <w:jc w:val="both"/>
            </w:pPr>
            <w:r>
              <w:t xml:space="preserve">Projekts, </w:t>
            </w:r>
            <w:r w:rsidR="009B17BB">
              <w:t xml:space="preserve">protokollēmuma </w:t>
            </w:r>
            <w:r>
              <w:t>projekts:</w:t>
            </w:r>
          </w:p>
          <w:p w14:paraId="3229EA18" w14:textId="13650DBB" w:rsidR="00357C59" w:rsidRDefault="00357C59" w:rsidP="00357C59">
            <w:pPr>
              <w:jc w:val="both"/>
            </w:pPr>
            <w:r>
              <w:t>“</w:t>
            </w:r>
            <w:r w:rsidRPr="00357C59">
              <w:t>1.</w:t>
            </w:r>
            <w:r w:rsidRPr="00357C59">
              <w:tab/>
              <w:t>Atbalstīt konceptuālajā ziņojumā “Par valsts galvoto studiju un studējošo kreditēšanas sistēmas maiņu” ietverto 4. rīcības variantu.</w:t>
            </w:r>
            <w:r>
              <w:t>”</w:t>
            </w:r>
          </w:p>
        </w:tc>
      </w:tr>
      <w:tr w:rsidR="00302E4D" w:rsidRPr="001801C2" w14:paraId="1BF0ACDA" w14:textId="77777777" w:rsidTr="00C64E73">
        <w:tc>
          <w:tcPr>
            <w:tcW w:w="708" w:type="dxa"/>
            <w:tcBorders>
              <w:top w:val="single" w:sz="6" w:space="0" w:color="000000"/>
              <w:left w:val="single" w:sz="6" w:space="0" w:color="000000"/>
              <w:bottom w:val="single" w:sz="6" w:space="0" w:color="000000"/>
              <w:right w:val="single" w:sz="6" w:space="0" w:color="000000"/>
            </w:tcBorders>
          </w:tcPr>
          <w:p w14:paraId="483A2B95" w14:textId="6C98CCC2" w:rsidR="00302E4D" w:rsidRPr="001801C2" w:rsidRDefault="00302E4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AA6D3EF" w14:textId="4DDA08AA" w:rsidR="00302E4D" w:rsidRPr="006A4603" w:rsidRDefault="00B8434E"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D1D6BBC" w14:textId="77777777" w:rsidR="00E077B4" w:rsidRPr="00B8434E" w:rsidRDefault="00E077B4" w:rsidP="00E077B4">
            <w:pPr>
              <w:pStyle w:val="NoSpacing"/>
              <w:ind w:firstLine="720"/>
              <w:jc w:val="both"/>
              <w:rPr>
                <w:b/>
              </w:rPr>
            </w:pPr>
            <w:r w:rsidRPr="00B8434E">
              <w:rPr>
                <w:b/>
              </w:rPr>
              <w:t>TM (28.05.2019. vēstule Nr.1-9.1/518):</w:t>
            </w:r>
          </w:p>
          <w:p w14:paraId="4EB4FF3F" w14:textId="2D1D5101" w:rsidR="00A922F9" w:rsidRPr="00A922F9" w:rsidRDefault="00A922F9" w:rsidP="00A922F9">
            <w:pPr>
              <w:tabs>
                <w:tab w:val="left" w:pos="1134"/>
              </w:tabs>
              <w:jc w:val="both"/>
            </w:pPr>
            <w:r w:rsidRPr="00A922F9">
              <w:t xml:space="preserve">Konceptuālā ziņojuma nodaļas "Turpmākā rīcība jaunās sistēmas ieviešanai" ir minēti konkrēti uzdevumi jaunās sistēmas ieviešanai. Vēršam uzmanību, ka nav saprotams, </w:t>
            </w:r>
            <w:r w:rsidRPr="00A06F78">
              <w:t>kādā termiņā</w:t>
            </w:r>
            <w:r w:rsidRPr="00A922F9">
              <w:t xml:space="preserve"> minētie uzdevumi ir veicami. Lūdzam precizēt minētos uzdevumus, tos saskaņojot arī ar rīkojuma projektā paredzēto.</w:t>
            </w:r>
          </w:p>
          <w:p w14:paraId="10B0F43F" w14:textId="77777777" w:rsidR="00A922F9" w:rsidRPr="002F0AC7" w:rsidRDefault="00A922F9" w:rsidP="006E0C76">
            <w:pPr>
              <w:pStyle w:val="NoSpacing"/>
              <w:ind w:firstLine="720"/>
              <w:jc w:val="both"/>
              <w:rPr>
                <w:rFonts w:ascii="Book Antiqua" w:hAnsi="Book Antiqua"/>
                <w:b/>
                <w:sz w:val="22"/>
                <w:szCs w:val="22"/>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F96DEFD" w14:textId="77777777" w:rsidR="00302E4D" w:rsidRDefault="0033608D" w:rsidP="00D7143A">
            <w:pPr>
              <w:jc w:val="center"/>
              <w:rPr>
                <w:b/>
              </w:rPr>
            </w:pPr>
            <w:r>
              <w:rPr>
                <w:b/>
              </w:rPr>
              <w:t>Ņemts vērā</w:t>
            </w:r>
          </w:p>
          <w:p w14:paraId="09F58267" w14:textId="48887D52" w:rsidR="00A06F78" w:rsidRDefault="00A06F78" w:rsidP="00A06F78">
            <w:pPr>
              <w:pStyle w:val="tv213tvp"/>
              <w:spacing w:before="0" w:beforeAutospacing="0" w:after="0" w:afterAutospacing="0"/>
              <w:jc w:val="both"/>
              <w:rPr>
                <w:rFonts w:eastAsia="Times New Roman"/>
                <w:lang w:val="lv-LV" w:eastAsia="lv-LV"/>
              </w:rPr>
            </w:pPr>
            <w:r>
              <w:rPr>
                <w:rFonts w:eastAsia="Times New Roman"/>
                <w:lang w:val="lv-LV" w:eastAsia="lv-LV"/>
              </w:rPr>
              <w:t xml:space="preserve">Ministru kabineta </w:t>
            </w:r>
            <w:r w:rsidR="00654373">
              <w:rPr>
                <w:rFonts w:eastAsia="Times New Roman"/>
                <w:lang w:val="lv-LV" w:eastAsia="lv-LV"/>
              </w:rPr>
              <w:t xml:space="preserve">protokolklēmuma </w:t>
            </w:r>
            <w:r>
              <w:rPr>
                <w:rFonts w:eastAsia="Times New Roman"/>
                <w:lang w:val="lv-LV" w:eastAsia="lv-LV"/>
              </w:rPr>
              <w:t xml:space="preserve">projekts papildināts ar termiņu normatīvā regulējuma grozījumiem par kredītu dzēšanu par darbu noteiktajās jomās (30.09.2019) un  jauno Ministru kabineta noteikumu iesniegšanai Ministru kabinetā (31.10.2019.); termiņš prioritāro pasākumu iesniegšanai budžeta veidošanas procesā ir noteikts normatīvajā regulējumā par valsts budžeta izstrādi (15.07.2019). </w:t>
            </w:r>
          </w:p>
          <w:p w14:paraId="2A9871E0" w14:textId="77777777" w:rsidR="00A06F78" w:rsidRPr="00A06F78" w:rsidRDefault="00A06F78" w:rsidP="00A06F78"/>
        </w:tc>
        <w:tc>
          <w:tcPr>
            <w:tcW w:w="2986" w:type="dxa"/>
            <w:tcBorders>
              <w:top w:val="single" w:sz="4" w:space="0" w:color="auto"/>
              <w:left w:val="single" w:sz="4" w:space="0" w:color="auto"/>
              <w:bottom w:val="single" w:sz="4" w:space="0" w:color="auto"/>
            </w:tcBorders>
          </w:tcPr>
          <w:p w14:paraId="35556AA7" w14:textId="77777777" w:rsidR="00E077B4" w:rsidRDefault="00E077B4" w:rsidP="00766F52">
            <w:pPr>
              <w:jc w:val="both"/>
            </w:pPr>
          </w:p>
          <w:p w14:paraId="28E95F10" w14:textId="40E21F47" w:rsidR="00302E4D" w:rsidRDefault="00A06F78" w:rsidP="00654373">
            <w:pPr>
              <w:jc w:val="both"/>
            </w:pPr>
            <w:r>
              <w:t xml:space="preserve">Precizēts </w:t>
            </w:r>
            <w:r w:rsidR="00654373">
              <w:t xml:space="preserve">protokollēmuma </w:t>
            </w:r>
            <w:r>
              <w:t>projekts.</w:t>
            </w:r>
          </w:p>
        </w:tc>
      </w:tr>
      <w:tr w:rsidR="00C2131A" w:rsidRPr="001801C2" w14:paraId="66DD5947"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B23D7F8" w14:textId="77777777" w:rsidR="00C2131A" w:rsidRDefault="00C2131A" w:rsidP="00552933">
            <w:pPr>
              <w:jc w:val="right"/>
            </w:pPr>
          </w:p>
          <w:p w14:paraId="29214ED0" w14:textId="77777777" w:rsidR="00C2131A" w:rsidRPr="001801C2" w:rsidRDefault="00C2131A"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7DD95601" w14:textId="39FD7A0B" w:rsidR="00C2131A" w:rsidRPr="006A4603" w:rsidRDefault="000F1BD1"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ACD6F84" w14:textId="77777777" w:rsidR="008F2266" w:rsidRDefault="00C2131A" w:rsidP="008F2266">
            <w:pPr>
              <w:pStyle w:val="NoSpacing"/>
              <w:ind w:firstLine="33"/>
              <w:jc w:val="both"/>
              <w:rPr>
                <w:b/>
              </w:rPr>
            </w:pPr>
            <w:r w:rsidRPr="000F1BD1">
              <w:rPr>
                <w:b/>
              </w:rPr>
              <w:t>TM (28.05.2019. vēstule Nr.1-9.1/518):</w:t>
            </w:r>
          </w:p>
          <w:p w14:paraId="5748ADC1" w14:textId="29A8ADC4" w:rsidR="00C2131A" w:rsidRPr="008F2266" w:rsidRDefault="008F2266" w:rsidP="008F2266">
            <w:pPr>
              <w:pStyle w:val="NoSpacing"/>
              <w:ind w:firstLine="33"/>
              <w:jc w:val="both"/>
              <w:rPr>
                <w:b/>
              </w:rPr>
            </w:pPr>
            <w:r>
              <w:rPr>
                <w:b/>
              </w:rPr>
              <w:t>L</w:t>
            </w:r>
            <w:r w:rsidR="00C2131A" w:rsidRPr="008F2266">
              <w:t>ūdzam precizēt konceptuālo ziņojumu un rīkojuma projektu, saskaņojot tos savstarpēji.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A3EA001" w14:textId="77777777" w:rsidR="00C2131A" w:rsidRDefault="00C2131A" w:rsidP="00C2131A">
            <w:pPr>
              <w:jc w:val="center"/>
              <w:rPr>
                <w:b/>
              </w:rPr>
            </w:pPr>
            <w:r>
              <w:rPr>
                <w:b/>
              </w:rPr>
              <w:t>Ņemts vērā</w:t>
            </w:r>
          </w:p>
          <w:p w14:paraId="6F8D0680" w14:textId="77777777" w:rsidR="00C2131A" w:rsidRDefault="00C2131A" w:rsidP="00D7143A">
            <w:pPr>
              <w:jc w:val="center"/>
              <w:rPr>
                <w:b/>
              </w:rPr>
            </w:pPr>
          </w:p>
        </w:tc>
        <w:tc>
          <w:tcPr>
            <w:tcW w:w="2986" w:type="dxa"/>
            <w:tcBorders>
              <w:top w:val="single" w:sz="4" w:space="0" w:color="auto"/>
              <w:left w:val="single" w:sz="4" w:space="0" w:color="auto"/>
              <w:bottom w:val="single" w:sz="4" w:space="0" w:color="auto"/>
            </w:tcBorders>
          </w:tcPr>
          <w:p w14:paraId="103F48ED" w14:textId="5CB8C1F8" w:rsidR="00C2131A" w:rsidRDefault="00C2131A" w:rsidP="008F2266">
            <w:pPr>
              <w:jc w:val="both"/>
            </w:pPr>
            <w:r>
              <w:t>Precizēts</w:t>
            </w:r>
            <w:r w:rsidR="008F2266">
              <w:t xml:space="preserve"> projekts</w:t>
            </w:r>
            <w:r>
              <w:t xml:space="preserve"> un </w:t>
            </w:r>
            <w:r w:rsidR="000F1BD1">
              <w:t xml:space="preserve">protokollēmuma </w:t>
            </w:r>
            <w:r>
              <w:t>projekts atbilstoši 4. rīcības variantam.</w:t>
            </w:r>
          </w:p>
        </w:tc>
      </w:tr>
      <w:tr w:rsidR="00C2131A" w:rsidRPr="001801C2" w14:paraId="19672F85" w14:textId="77777777" w:rsidTr="00C64E73">
        <w:tc>
          <w:tcPr>
            <w:tcW w:w="708" w:type="dxa"/>
            <w:tcBorders>
              <w:top w:val="single" w:sz="6" w:space="0" w:color="000000"/>
              <w:left w:val="single" w:sz="6" w:space="0" w:color="000000"/>
              <w:bottom w:val="single" w:sz="6" w:space="0" w:color="000000"/>
              <w:right w:val="single" w:sz="6" w:space="0" w:color="000000"/>
            </w:tcBorders>
          </w:tcPr>
          <w:p w14:paraId="54B6E6F0" w14:textId="77777777" w:rsidR="00C2131A" w:rsidRDefault="00C2131A"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7C65F7B" w14:textId="36F63D7B" w:rsidR="00C2131A" w:rsidRPr="006A4603" w:rsidRDefault="008F2266" w:rsidP="006A4603">
            <w:pPr>
              <w:spacing w:after="160" w:line="259" w:lineRule="auto"/>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049A070" w14:textId="77777777" w:rsidR="00C2131A" w:rsidRPr="008F2266" w:rsidRDefault="00C2131A" w:rsidP="00C2131A">
            <w:pPr>
              <w:pStyle w:val="NoSpacing"/>
              <w:jc w:val="both"/>
              <w:rPr>
                <w:b/>
              </w:rPr>
            </w:pPr>
            <w:r w:rsidRPr="008F2266">
              <w:rPr>
                <w:b/>
              </w:rPr>
              <w:t>TM (28.05.2019. vēstule Nr.1-9.1/518):</w:t>
            </w:r>
          </w:p>
          <w:p w14:paraId="039CCFB8" w14:textId="1DBD75DF" w:rsidR="00C2131A" w:rsidRPr="00C2131A" w:rsidRDefault="00C2131A" w:rsidP="00C2131A">
            <w:pPr>
              <w:tabs>
                <w:tab w:val="left" w:pos="1134"/>
                <w:tab w:val="center" w:pos="4677"/>
              </w:tabs>
              <w:suppressAutoHyphens/>
              <w:jc w:val="both"/>
            </w:pPr>
            <w:r w:rsidRPr="00C2131A">
              <w:t xml:space="preserve">Konceptuālā ziņojuma 30. lappusē norādīts, ka, ņemot vērā, ka "Altum" darbojas atbilstoši Eiropas Komisijas 2015. gada 9. jūnija lēmumam Nr. SA.36904 (2014/N) "LHZB attīstības (programmu) daļa un Latvijas vienotās attīstības finanšu institūcijas izveide" un šāda programma nav minēta šajā lēmumā, līdz ar to jaunas </w:t>
            </w:r>
            <w:r w:rsidRPr="00C2131A">
              <w:lastRenderedPageBreak/>
              <w:t>programmas uzsākšanai "Altum" ir nepieciešams konsultēties ar Eiropas Komisijas Konkurences ģenerāldirektorātu. Ievērojot minēto, lūdzam izvērtēt, vai konceptuālā ziņojuma virzība izskatīšanai Ministru kabinetā ir pieļaujama pirms atbilstošām konsultācijām ar Eiropas Komisiju.</w:t>
            </w:r>
          </w:p>
          <w:p w14:paraId="31D96FF4" w14:textId="77777777" w:rsidR="00C2131A" w:rsidRPr="002F0AC7" w:rsidRDefault="00C2131A" w:rsidP="00C2131A">
            <w:pPr>
              <w:pStyle w:val="NoSpacing"/>
              <w:ind w:firstLine="720"/>
              <w:jc w:val="both"/>
              <w:rPr>
                <w:rFonts w:ascii="Book Antiqua" w:hAnsi="Book Antiqua"/>
                <w:b/>
                <w:sz w:val="22"/>
                <w:szCs w:val="22"/>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DA8C0A0" w14:textId="77777777" w:rsidR="00C2131A" w:rsidRDefault="00C2131A" w:rsidP="00C2131A">
            <w:pPr>
              <w:jc w:val="center"/>
              <w:rPr>
                <w:b/>
              </w:rPr>
            </w:pPr>
            <w:r>
              <w:rPr>
                <w:b/>
              </w:rPr>
              <w:lastRenderedPageBreak/>
              <w:t>Ņemts vērā pēc būtības</w:t>
            </w:r>
          </w:p>
          <w:p w14:paraId="4DF2A3EC" w14:textId="77777777" w:rsidR="00C2131A" w:rsidRPr="00C2131A" w:rsidRDefault="00C2131A" w:rsidP="00C2131A">
            <w:pPr>
              <w:jc w:val="both"/>
            </w:pPr>
            <w:r w:rsidRPr="00C2131A">
              <w:t>Pienākums sagatavot programmas izvērtējumu noteikts A</w:t>
            </w:r>
            <w:r>
              <w:t>ttīstības finanšu institūcijas</w:t>
            </w:r>
            <w:r w:rsidRPr="00C2131A">
              <w:t xml:space="preserve"> likuma 12.panta 3.daļā. Balstoties uz konceptuālo ziņojumu, MK tikai lems par studentu kreditēšanas sistēmas maiņu. Līdz ar to pašreiz nav zināms, kādi </w:t>
            </w:r>
            <w:r>
              <w:t xml:space="preserve">precīzi </w:t>
            </w:r>
            <w:r w:rsidRPr="00C2131A">
              <w:t xml:space="preserve">būs </w:t>
            </w:r>
            <w:r>
              <w:t>“</w:t>
            </w:r>
            <w:r w:rsidRPr="00C2131A">
              <w:t>Altum</w:t>
            </w:r>
            <w:r>
              <w:t>”</w:t>
            </w:r>
            <w:r w:rsidRPr="00C2131A">
              <w:t xml:space="preserve"> pienākumi (</w:t>
            </w:r>
            <w:r>
              <w:t xml:space="preserve">tos noteiks </w:t>
            </w:r>
            <w:r w:rsidRPr="00C2131A">
              <w:t>MK noteikumu saturs) un programmas ieviešanas nosacījumi, tādēļ novērtējums nav gatavojams pašreiz, bet tiks izstrādāts pirms MK noteikumu apstiprināšanas.</w:t>
            </w:r>
          </w:p>
        </w:tc>
        <w:tc>
          <w:tcPr>
            <w:tcW w:w="2986" w:type="dxa"/>
            <w:tcBorders>
              <w:top w:val="single" w:sz="4" w:space="0" w:color="auto"/>
              <w:left w:val="single" w:sz="4" w:space="0" w:color="auto"/>
              <w:bottom w:val="single" w:sz="4" w:space="0" w:color="auto"/>
            </w:tcBorders>
          </w:tcPr>
          <w:p w14:paraId="708780DA" w14:textId="1C41A93B" w:rsidR="00C2131A" w:rsidRDefault="008F2266" w:rsidP="00766F52">
            <w:pPr>
              <w:jc w:val="both"/>
            </w:pPr>
            <w:r>
              <w:t>Projekts</w:t>
            </w:r>
          </w:p>
        </w:tc>
      </w:tr>
      <w:tr w:rsidR="00C2131A" w:rsidRPr="001801C2" w14:paraId="5F9C0C7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696D2C4" w14:textId="77777777" w:rsidR="00C2131A" w:rsidRPr="001801C2" w:rsidRDefault="00C2131A"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03206DB1" w14:textId="417B427D" w:rsidR="00C2131A" w:rsidRDefault="001D4A89" w:rsidP="0033608D">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E1CD387" w14:textId="77777777" w:rsidR="00C2131A" w:rsidRPr="001D4A89" w:rsidRDefault="00C2131A" w:rsidP="00C2131A">
            <w:pPr>
              <w:pStyle w:val="NoSpacing"/>
              <w:jc w:val="both"/>
              <w:rPr>
                <w:b/>
              </w:rPr>
            </w:pPr>
            <w:r w:rsidRPr="001D4A89">
              <w:rPr>
                <w:b/>
              </w:rPr>
              <w:t>TM (28.05.2019. vēstule Nr.1-9.1/518):</w:t>
            </w:r>
          </w:p>
          <w:p w14:paraId="02EBACAE" w14:textId="77777777" w:rsidR="00C2131A" w:rsidRDefault="00C2131A" w:rsidP="00306716">
            <w:pPr>
              <w:pStyle w:val="NoSpacing"/>
              <w:jc w:val="both"/>
              <w:rPr>
                <w:rFonts w:ascii="Book Antiqua" w:hAnsi="Book Antiqua"/>
                <w:b/>
                <w:sz w:val="22"/>
                <w:szCs w:val="22"/>
              </w:rPr>
            </w:pPr>
          </w:p>
          <w:p w14:paraId="53DB6BD0" w14:textId="50036EC3" w:rsidR="00C2131A" w:rsidRPr="001D4A89" w:rsidRDefault="00C42FD2" w:rsidP="001D4A89">
            <w:pPr>
              <w:tabs>
                <w:tab w:val="left" w:pos="709"/>
                <w:tab w:val="left" w:pos="1134"/>
              </w:tabs>
              <w:spacing w:after="160" w:line="259" w:lineRule="auto"/>
              <w:contextualSpacing/>
              <w:jc w:val="both"/>
            </w:pPr>
            <w:r>
              <w:t xml:space="preserve">8. </w:t>
            </w:r>
            <w:r w:rsidRPr="00C42FD2">
              <w:t>Lūdzam precizēt konceptuālo ziņojumu atbilstoši MK noteikumu Nr. 737 28.1. apakšpunktam, papildinot to ar kopsavilkumu. Kopsavilkums ir nepieciešams, lai būtu nepārrotāmi skaidrs, kāds risinājums tiek atbalstīts Ministru kabinetā. Konceptuālais ziņojums esošajā redakcijā diemžēl nesniedz skaidru priekšstatu šajā jautājumā.</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3C3F14B" w14:textId="77777777" w:rsidR="00C42FD2" w:rsidRDefault="00C42FD2" w:rsidP="00C42FD2">
            <w:pPr>
              <w:jc w:val="center"/>
              <w:rPr>
                <w:b/>
              </w:rPr>
            </w:pPr>
            <w:r>
              <w:rPr>
                <w:b/>
              </w:rPr>
              <w:t>Ņemts vērā</w:t>
            </w:r>
          </w:p>
          <w:p w14:paraId="2F0C7ED9" w14:textId="77777777" w:rsidR="00C2131A" w:rsidRDefault="00C2131A" w:rsidP="0033608D">
            <w:pPr>
              <w:jc w:val="center"/>
              <w:rPr>
                <w:b/>
              </w:rPr>
            </w:pPr>
          </w:p>
        </w:tc>
        <w:tc>
          <w:tcPr>
            <w:tcW w:w="2986" w:type="dxa"/>
            <w:tcBorders>
              <w:top w:val="single" w:sz="4" w:space="0" w:color="auto"/>
              <w:left w:val="single" w:sz="4" w:space="0" w:color="auto"/>
              <w:bottom w:val="single" w:sz="4" w:space="0" w:color="auto"/>
            </w:tcBorders>
          </w:tcPr>
          <w:p w14:paraId="0D6B11F1" w14:textId="339E03C5" w:rsidR="00C2131A" w:rsidRDefault="001D4A89" w:rsidP="00306716">
            <w:pPr>
              <w:jc w:val="both"/>
            </w:pPr>
            <w:r>
              <w:t xml:space="preserve">Projekts </w:t>
            </w:r>
            <w:r w:rsidR="00C42FD2">
              <w:t>papildināts ar kopsavilkumu.</w:t>
            </w:r>
          </w:p>
        </w:tc>
      </w:tr>
      <w:tr w:rsidR="002A45F2" w:rsidRPr="001801C2" w14:paraId="1520DC62" w14:textId="77777777" w:rsidTr="00C64E73">
        <w:tc>
          <w:tcPr>
            <w:tcW w:w="708" w:type="dxa"/>
            <w:tcBorders>
              <w:top w:val="single" w:sz="6" w:space="0" w:color="000000"/>
              <w:left w:val="single" w:sz="6" w:space="0" w:color="000000"/>
              <w:bottom w:val="single" w:sz="6" w:space="0" w:color="000000"/>
              <w:right w:val="single" w:sz="6" w:space="0" w:color="000000"/>
            </w:tcBorders>
          </w:tcPr>
          <w:p w14:paraId="0097EB42" w14:textId="77777777" w:rsidR="002A45F2" w:rsidRPr="001801C2" w:rsidRDefault="002A45F2" w:rsidP="002A45F2">
            <w:pPr>
              <w:jc w:val="right"/>
            </w:pPr>
          </w:p>
        </w:tc>
        <w:tc>
          <w:tcPr>
            <w:tcW w:w="3112" w:type="dxa"/>
            <w:tcBorders>
              <w:top w:val="single" w:sz="4" w:space="0" w:color="auto"/>
              <w:left w:val="single" w:sz="6" w:space="0" w:color="000000"/>
              <w:bottom w:val="single" w:sz="4" w:space="0" w:color="auto"/>
              <w:right w:val="single" w:sz="6" w:space="0" w:color="000000"/>
            </w:tcBorders>
          </w:tcPr>
          <w:p w14:paraId="5F290044" w14:textId="01561E0E" w:rsidR="002A45F2" w:rsidRDefault="00511B45" w:rsidP="002A45F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2FC20DF" w14:textId="77777777" w:rsidR="002A45F2" w:rsidRPr="00511B45" w:rsidRDefault="002A45F2" w:rsidP="002A45F2">
            <w:pPr>
              <w:rPr>
                <w:b/>
              </w:rPr>
            </w:pPr>
            <w:r w:rsidRPr="00511B45">
              <w:rPr>
                <w:b/>
              </w:rPr>
              <w:t>TM (28.05.2019. vēstule Nr.1-9.1/518):</w:t>
            </w:r>
          </w:p>
          <w:p w14:paraId="5D85ED17" w14:textId="5FCBB1D0" w:rsidR="002A45F2" w:rsidRPr="00D535ED" w:rsidRDefault="002A45F2" w:rsidP="002A45F2">
            <w:pPr>
              <w:tabs>
                <w:tab w:val="left" w:pos="709"/>
                <w:tab w:val="left" w:pos="1134"/>
              </w:tabs>
              <w:jc w:val="both"/>
            </w:pPr>
            <w:r w:rsidRPr="002A45F2">
              <w:rPr>
                <w:lang w:eastAsia="zh-CN"/>
              </w:rPr>
              <w:t xml:space="preserve">Lūdzam precizēt konceptuālo ziņojumu, izvērtējot piedāvātā atbalstāmā risinājuma varianta </w:t>
            </w:r>
            <w:r w:rsidRPr="002A45F2">
              <w:rPr>
                <w:lang w:eastAsia="zh-CN"/>
              </w:rPr>
              <w:lastRenderedPageBreak/>
              <w:t xml:space="preserve">atbilstību tiesiskās paļāvības principam, jo no konceptuālā ziņojuma satura var izdarīt secinājumu, ka </w:t>
            </w:r>
            <w:r w:rsidRPr="00D535ED">
              <w:rPr>
                <w:lang w:eastAsia="zh-CN"/>
              </w:rPr>
              <w:t>Izglītības un zinātnes ministrija ierosina neturpināt kredītu dzēšanu daļai no tiesību subjektiem, kuriem šobrīd šādas iespējas normatīvie akti paredz.</w:t>
            </w:r>
          </w:p>
          <w:p w14:paraId="75E582A3" w14:textId="77777777" w:rsidR="002A45F2" w:rsidRDefault="002A45F2" w:rsidP="002A45F2"/>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0D1AE04" w14:textId="77777777" w:rsidR="003906BF" w:rsidRDefault="003906BF" w:rsidP="003906BF">
            <w:pPr>
              <w:jc w:val="center"/>
              <w:rPr>
                <w:b/>
              </w:rPr>
            </w:pPr>
            <w:r>
              <w:rPr>
                <w:b/>
              </w:rPr>
              <w:lastRenderedPageBreak/>
              <w:t>Ņemts vērā</w:t>
            </w:r>
          </w:p>
          <w:p w14:paraId="36C41FED" w14:textId="2A47F87F" w:rsidR="002A45F2" w:rsidRPr="00511B45" w:rsidRDefault="00730386" w:rsidP="00511B45">
            <w:pPr>
              <w:jc w:val="both"/>
              <w:rPr>
                <w:bCs/>
              </w:rPr>
            </w:pPr>
            <w:r>
              <w:t xml:space="preserve">Tiesiskās </w:t>
            </w:r>
            <w:r w:rsidR="003906BF" w:rsidRPr="0007077F">
              <w:t>paļāvības princips darbojās attiecībā uz to</w:t>
            </w:r>
            <w:r w:rsidR="003906BF" w:rsidRPr="00695336">
              <w:t xml:space="preserve"> kredītu dzēšanu par darbu noteiktajās jomās un amatos, attiecībā uz kuriem jau ir pieņemts Ministru kabineta </w:t>
            </w:r>
            <w:r w:rsidR="003906BF" w:rsidRPr="00695336">
              <w:lastRenderedPageBreak/>
              <w:t>lēmums par</w:t>
            </w:r>
            <w:r w:rsidR="003906BF">
              <w:t xml:space="preserve"> dzēšanu. Ja 2019. gadā nav izdots MK rīkojums par </w:t>
            </w:r>
            <w:r w:rsidR="003906BF" w:rsidRPr="00695336">
              <w:t>kredītu dzēšanu par darbu noteiktajās jomās un amatos</w:t>
            </w:r>
            <w:r w:rsidR="003906BF">
              <w:t>, nevienam konkrētam pretendentam nav pamata uzskatīt, ka viņa joma</w:t>
            </w:r>
            <w:r>
              <w:t>i un amatam</w:t>
            </w:r>
            <w:r w:rsidR="003906BF">
              <w:t xml:space="preserve"> </w:t>
            </w:r>
            <w:r>
              <w:t>būtu jābūt</w:t>
            </w:r>
            <w:r w:rsidR="003906BF">
              <w:t xml:space="preserve"> iekļauti</w:t>
            </w:r>
            <w:r>
              <w:t>em</w:t>
            </w:r>
            <w:r w:rsidR="003906BF">
              <w:t xml:space="preserve"> rīkojumā. </w:t>
            </w:r>
            <w:r>
              <w:t>N</w:t>
            </w:r>
            <w:r w:rsidR="003906BF">
              <w:t xml:space="preserve">e Izglītības likums, ne Augstskolu likums neuzliek Ministru kabinetam nekādus ierobežojumus attiecībā uz laika ietvaru, apmēru vai citiem nosacījumiem studiju kredīta dzēšanai. Ņemot vērā minēto, situācijā, kad vismaz īstermiņā, ņemot vērā 2020. gada budžeta fiskālos ierobežojumus, ir paredzēts atteikties no kredītu dzēšanas par darbu MK noteiktajās jomās un profesijās, ministrijas ieskatā ir izdarāmi grozījumi </w:t>
            </w:r>
            <w:r w:rsidR="003906BF" w:rsidRPr="004E6698">
              <w:t>Ministru kabineta 2001.gada 29.maija</w:t>
            </w:r>
            <w:r w:rsidR="003906BF">
              <w:t xml:space="preserve"> noteikumos</w:t>
            </w:r>
            <w:r w:rsidR="003906BF" w:rsidRPr="004E6698">
              <w:t xml:space="preserve"> Nr.220 “</w:t>
            </w:r>
            <w:r w:rsidR="003906BF" w:rsidRPr="004E6698">
              <w:rPr>
                <w:bCs/>
              </w:rPr>
              <w:t>Kārtība, kādā tiek piešķirts, atmaksāts un dzēsts studiju kredīts un studējošā kredīts no kredītiestādes līdzekļiem ar valsts vārdā sniegtu galvojumu”</w:t>
            </w:r>
            <w:r w:rsidR="003906BF">
              <w:rPr>
                <w:bCs/>
              </w:rPr>
              <w:t xml:space="preserve">, svītrojot normas par kredīta dzēšanu </w:t>
            </w:r>
            <w:r w:rsidR="003906BF" w:rsidRPr="00EC25A0">
              <w:t>par darbu valsts un pašvaldību institūcijās un citās noteiktajās jomās</w:t>
            </w:r>
            <w:r w:rsidR="003906BF">
              <w:t>, kā arī paredzot, ka tām personām attiecībā uz kurām lēmums par kredīta dzēšanu (</w:t>
            </w:r>
            <w:r w:rsidR="003906BF" w:rsidRPr="00EC25A0">
              <w:t>par bērna piedzimšanu un par darbu valsts un pašvaldību institūcijās un citās noteiktajās jomās</w:t>
            </w:r>
            <w:r w:rsidR="003906BF">
              <w:t>) izdots 2018. un iepriekšējos gados, kredīts tiek dzēsts pilnā apmērā saskaņā ar tiesiskās paļāvības principu</w:t>
            </w:r>
            <w:r w:rsidR="003906BF" w:rsidRPr="004E6698">
              <w:rPr>
                <w:bCs/>
              </w:rPr>
              <w:t>.</w:t>
            </w:r>
          </w:p>
        </w:tc>
        <w:tc>
          <w:tcPr>
            <w:tcW w:w="2986" w:type="dxa"/>
            <w:tcBorders>
              <w:top w:val="single" w:sz="4" w:space="0" w:color="auto"/>
              <w:left w:val="single" w:sz="4" w:space="0" w:color="auto"/>
              <w:bottom w:val="single" w:sz="4" w:space="0" w:color="auto"/>
            </w:tcBorders>
          </w:tcPr>
          <w:p w14:paraId="1D099EE1" w14:textId="24715148" w:rsidR="002A45F2" w:rsidRDefault="00511B45" w:rsidP="002A45F2">
            <w:pPr>
              <w:jc w:val="both"/>
            </w:pPr>
            <w:r>
              <w:lastRenderedPageBreak/>
              <w:t>Projekts</w:t>
            </w:r>
          </w:p>
        </w:tc>
      </w:tr>
      <w:tr w:rsidR="002A45F2" w:rsidRPr="001801C2" w14:paraId="0E1BB46C"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8B34962" w14:textId="77777777" w:rsidR="002A45F2" w:rsidRPr="001801C2" w:rsidRDefault="002A45F2" w:rsidP="002A45F2">
            <w:pPr>
              <w:jc w:val="right"/>
            </w:pPr>
          </w:p>
        </w:tc>
        <w:tc>
          <w:tcPr>
            <w:tcW w:w="3112" w:type="dxa"/>
            <w:tcBorders>
              <w:top w:val="single" w:sz="4" w:space="0" w:color="auto"/>
              <w:left w:val="single" w:sz="6" w:space="0" w:color="000000"/>
              <w:bottom w:val="single" w:sz="4" w:space="0" w:color="auto"/>
              <w:right w:val="single" w:sz="6" w:space="0" w:color="000000"/>
            </w:tcBorders>
          </w:tcPr>
          <w:p w14:paraId="01130DC5" w14:textId="7CAD79E1" w:rsidR="002A45F2" w:rsidRDefault="00511B45" w:rsidP="002A45F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303F7E3" w14:textId="77777777" w:rsidR="002A45F2" w:rsidRPr="00511B45" w:rsidRDefault="002A45F2" w:rsidP="002A45F2">
            <w:pPr>
              <w:rPr>
                <w:b/>
              </w:rPr>
            </w:pPr>
            <w:r w:rsidRPr="00511B45">
              <w:rPr>
                <w:b/>
              </w:rPr>
              <w:t>TM (28.05.2019. vēstule Nr.1-9.1/518):</w:t>
            </w:r>
          </w:p>
          <w:p w14:paraId="5A499795" w14:textId="73B3AF60" w:rsidR="00730386" w:rsidRPr="00F3712C" w:rsidRDefault="00730386" w:rsidP="00730386">
            <w:pPr>
              <w:pStyle w:val="ListParagraph"/>
              <w:tabs>
                <w:tab w:val="left" w:pos="993"/>
                <w:tab w:val="center" w:pos="4677"/>
              </w:tabs>
              <w:suppressAutoHyphens/>
              <w:spacing w:after="0" w:line="240" w:lineRule="auto"/>
              <w:ind w:left="0"/>
              <w:jc w:val="both"/>
              <w:rPr>
                <w:rFonts w:ascii="Times New Roman" w:eastAsia="Times New Roman" w:hAnsi="Times New Roman"/>
                <w:sz w:val="24"/>
                <w:szCs w:val="24"/>
                <w:lang w:eastAsia="zh-CN"/>
              </w:rPr>
            </w:pPr>
            <w:r w:rsidRPr="00F3712C">
              <w:rPr>
                <w:rFonts w:ascii="Times New Roman" w:eastAsia="Times New Roman" w:hAnsi="Times New Roman"/>
                <w:sz w:val="24"/>
                <w:szCs w:val="24"/>
                <w:lang w:eastAsia="zh-CN"/>
              </w:rPr>
              <w:t xml:space="preserve">Ņemot vērā minēto, lūdzam precizēt konceptuālo ziņojumu, </w:t>
            </w:r>
            <w:r w:rsidRPr="00D535ED">
              <w:rPr>
                <w:rFonts w:ascii="Times New Roman" w:eastAsia="Times New Roman" w:hAnsi="Times New Roman"/>
                <w:sz w:val="24"/>
                <w:szCs w:val="24"/>
                <w:lang w:eastAsia="zh-CN"/>
              </w:rPr>
              <w:t>jo tajā nav atspoguļota informācija par sabiedrības līdzdalību šā konceptuālā ziņojuma izstrādē.</w:t>
            </w:r>
            <w:r w:rsidRPr="00F3712C">
              <w:rPr>
                <w:rFonts w:ascii="Times New Roman" w:eastAsia="Times New Roman" w:hAnsi="Times New Roman"/>
                <w:sz w:val="24"/>
                <w:szCs w:val="24"/>
                <w:lang w:eastAsia="zh-CN"/>
              </w:rPr>
              <w:t xml:space="preserve"> Kā arī nav saprotams, vai konceptuālā ziņojuma izstrādes procesā ir </w:t>
            </w:r>
            <w:r w:rsidRPr="00D535ED">
              <w:rPr>
                <w:rFonts w:ascii="Times New Roman" w:eastAsia="Times New Roman" w:hAnsi="Times New Roman"/>
                <w:sz w:val="24"/>
                <w:szCs w:val="24"/>
                <w:lang w:eastAsia="zh-CN"/>
              </w:rPr>
              <w:t xml:space="preserve">iesaistīta Labklājības ministrija un </w:t>
            </w:r>
            <w:r w:rsidRPr="00D535ED">
              <w:rPr>
                <w:rFonts w:ascii="Times New Roman" w:hAnsi="Times New Roman"/>
                <w:sz w:val="24"/>
                <w:szCs w:val="24"/>
              </w:rPr>
              <w:t xml:space="preserve">Valsts sociālās apdrošināšanas aģentūra (turpmāk </w:t>
            </w:r>
            <w:r w:rsidRPr="00D535ED">
              <w:rPr>
                <w:rFonts w:ascii="Times New Roman" w:eastAsia="Times New Roman" w:hAnsi="Times New Roman"/>
                <w:bCs/>
                <w:iCs/>
                <w:sz w:val="24"/>
                <w:szCs w:val="24"/>
                <w:lang w:eastAsia="zh-CN"/>
              </w:rPr>
              <w:t>–</w:t>
            </w:r>
            <w:r w:rsidRPr="00D535ED">
              <w:rPr>
                <w:rFonts w:ascii="Times New Roman" w:hAnsi="Times New Roman"/>
                <w:sz w:val="24"/>
                <w:szCs w:val="24"/>
              </w:rPr>
              <w:t xml:space="preserve"> VSAA)</w:t>
            </w:r>
            <w:r w:rsidRPr="00D535ED">
              <w:rPr>
                <w:rFonts w:ascii="Times New Roman" w:eastAsia="Times New Roman" w:hAnsi="Times New Roman"/>
                <w:sz w:val="24"/>
                <w:szCs w:val="24"/>
                <w:lang w:eastAsia="zh-CN"/>
              </w:rPr>
              <w:t xml:space="preserve"> (par studējošo kredītu dzēšanu bērnu piedzimšanas gadījumā), augstskolas un nozaru ministrijas (attiecībā uz</w:t>
            </w:r>
            <w:r w:rsidRPr="00F3712C">
              <w:rPr>
                <w:rFonts w:ascii="Times New Roman" w:eastAsia="Times New Roman" w:hAnsi="Times New Roman"/>
                <w:sz w:val="24"/>
                <w:szCs w:val="24"/>
                <w:lang w:eastAsia="zh-CN"/>
              </w:rPr>
              <w:t xml:space="preserve"> jaunā modeļa ieviešanu un iespējamu finansējuma novirzīšanu papildu budžeta vietām attiecīgajās jomās, nevis kredītu dzēšanai).</w:t>
            </w:r>
          </w:p>
          <w:p w14:paraId="54490572" w14:textId="77777777" w:rsidR="00730386" w:rsidRDefault="00730386" w:rsidP="002A45F2"/>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062C9D9" w14:textId="77777777" w:rsidR="00730386" w:rsidRDefault="00730386" w:rsidP="00730386">
            <w:pPr>
              <w:jc w:val="center"/>
              <w:rPr>
                <w:b/>
              </w:rPr>
            </w:pPr>
            <w:r>
              <w:rPr>
                <w:b/>
              </w:rPr>
              <w:t>Ņems vērā</w:t>
            </w:r>
          </w:p>
          <w:p w14:paraId="38E63EBB" w14:textId="77777777" w:rsidR="00730386" w:rsidRDefault="00730386" w:rsidP="00730386">
            <w:pPr>
              <w:jc w:val="both"/>
            </w:pPr>
            <w:r w:rsidRPr="003D21AE">
              <w:t xml:space="preserve">Darba grupā, </w:t>
            </w:r>
            <w:r>
              <w:t>kuras rezultātā tapa šīs ziņojums, bija iekļauti pārstāvji no Latvijas Studentu apvienības, kas ir galvenā interešu grupa, kuru skars pārmaiņas studējošo kreditēšanas sistēmā.</w:t>
            </w:r>
          </w:p>
          <w:p w14:paraId="74016EE9" w14:textId="77777777" w:rsidR="00730386" w:rsidRDefault="00730386" w:rsidP="00730386">
            <w:pPr>
              <w:jc w:val="both"/>
            </w:pPr>
          </w:p>
          <w:p w14:paraId="7608DED2" w14:textId="77777777" w:rsidR="00730386" w:rsidRDefault="00730386" w:rsidP="00730386">
            <w:pPr>
              <w:jc w:val="both"/>
            </w:pPr>
            <w:r w:rsidRPr="0033608D">
              <w:t>Ziņojums papildināts ar informāciju par jaunā</w:t>
            </w:r>
            <w:r>
              <w:t xml:space="preserve"> kreditēšanas modeļa</w:t>
            </w:r>
            <w:r w:rsidRPr="0033608D">
              <w:t xml:space="preserve"> sabiedrisko apspriešanu ministrijas rīkotajā pasākumā, Latvijas Rektoru padomē</w:t>
            </w:r>
            <w:r>
              <w:t xml:space="preserve">, Augstākās izglītības padomē un Saeimas Izglītības komisijas </w:t>
            </w:r>
            <w:r w:rsidRPr="00730386">
              <w:t>Augstākās izglītības, zinā</w:t>
            </w:r>
            <w:r>
              <w:t>tnes un inovāciju apakškomisijā.</w:t>
            </w:r>
          </w:p>
          <w:p w14:paraId="4D5919FF" w14:textId="77777777" w:rsidR="00730386" w:rsidRDefault="00730386" w:rsidP="00730386">
            <w:pPr>
              <w:jc w:val="both"/>
            </w:pPr>
          </w:p>
          <w:p w14:paraId="6E472147" w14:textId="77777777" w:rsidR="00730386" w:rsidRDefault="00730386" w:rsidP="00730386">
            <w:pPr>
              <w:jc w:val="both"/>
            </w:pPr>
            <w:r>
              <w:t xml:space="preserve">Savukārt LM un VSAA iesaiste netiek virzīta kā risinājums precizētajā ziņojuma variantā. </w:t>
            </w:r>
            <w:r w:rsidR="00C3659C">
              <w:t xml:space="preserve">Tai vietā, kopā ar kredītiestāžu pārstāvjiem izvērtējot datu apmaiņas iespējas, </w:t>
            </w:r>
            <w:r w:rsidR="00C3659C" w:rsidRPr="00C3659C">
              <w:t>kā risinājumu redzam PMLP reģistra izmantošanu fakta pārbaudei par jaundzimušo bērnu izziņu vietā vai VSAA vietā; ja šobrīd kredītiestādēm funkcionē datu apmaiņa ar PMLP reģistriem par citiem jautājumiem.</w:t>
            </w:r>
          </w:p>
          <w:p w14:paraId="2AFAE1F0" w14:textId="77777777" w:rsidR="00730386" w:rsidRDefault="00730386" w:rsidP="00730386">
            <w:pPr>
              <w:jc w:val="both"/>
              <w:rPr>
                <w:b/>
              </w:rPr>
            </w:pPr>
          </w:p>
        </w:tc>
        <w:tc>
          <w:tcPr>
            <w:tcW w:w="2986" w:type="dxa"/>
            <w:tcBorders>
              <w:top w:val="single" w:sz="4" w:space="0" w:color="auto"/>
              <w:left w:val="single" w:sz="4" w:space="0" w:color="auto"/>
              <w:bottom w:val="single" w:sz="4" w:space="0" w:color="auto"/>
            </w:tcBorders>
          </w:tcPr>
          <w:p w14:paraId="75BA7B5E" w14:textId="291D5BE4" w:rsidR="002A45F2" w:rsidRDefault="00730386" w:rsidP="002A45F2">
            <w:pPr>
              <w:jc w:val="both"/>
            </w:pPr>
            <w:r>
              <w:t xml:space="preserve">Papildināts </w:t>
            </w:r>
            <w:r w:rsidR="00511B45">
              <w:t xml:space="preserve">projekta </w:t>
            </w:r>
            <w:r>
              <w:t xml:space="preserve">ievads </w:t>
            </w:r>
            <w:r w:rsidRPr="0033608D">
              <w:t>ar informāciju par jaunā</w:t>
            </w:r>
            <w:r>
              <w:t xml:space="preserve"> kreditēšanas modeļa</w:t>
            </w:r>
            <w:r w:rsidRPr="0033608D">
              <w:t xml:space="preserve"> sabiedrisko apspriešanu</w:t>
            </w:r>
            <w:r>
              <w:t>.</w:t>
            </w:r>
          </w:p>
        </w:tc>
      </w:tr>
      <w:tr w:rsidR="002A45F2" w:rsidRPr="001801C2" w14:paraId="078E63DA" w14:textId="77777777" w:rsidTr="00C64E73">
        <w:tc>
          <w:tcPr>
            <w:tcW w:w="708" w:type="dxa"/>
            <w:tcBorders>
              <w:top w:val="single" w:sz="6" w:space="0" w:color="000000"/>
              <w:left w:val="single" w:sz="6" w:space="0" w:color="000000"/>
              <w:bottom w:val="single" w:sz="6" w:space="0" w:color="000000"/>
              <w:right w:val="single" w:sz="6" w:space="0" w:color="000000"/>
            </w:tcBorders>
          </w:tcPr>
          <w:p w14:paraId="57E53CAB" w14:textId="77777777" w:rsidR="002A45F2" w:rsidRPr="001801C2" w:rsidRDefault="002A45F2" w:rsidP="002A45F2">
            <w:pPr>
              <w:jc w:val="right"/>
            </w:pPr>
          </w:p>
        </w:tc>
        <w:tc>
          <w:tcPr>
            <w:tcW w:w="3112" w:type="dxa"/>
            <w:tcBorders>
              <w:top w:val="single" w:sz="4" w:space="0" w:color="auto"/>
              <w:left w:val="single" w:sz="6" w:space="0" w:color="000000"/>
              <w:bottom w:val="single" w:sz="4" w:space="0" w:color="auto"/>
              <w:right w:val="single" w:sz="6" w:space="0" w:color="000000"/>
            </w:tcBorders>
          </w:tcPr>
          <w:p w14:paraId="1055571F" w14:textId="6F76A141" w:rsidR="002A45F2" w:rsidRDefault="00145736" w:rsidP="002A45F2">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4FC026D" w14:textId="77777777" w:rsidR="002A45F2" w:rsidRPr="00145736" w:rsidRDefault="002A45F2" w:rsidP="002A45F2">
            <w:pPr>
              <w:rPr>
                <w:b/>
              </w:rPr>
            </w:pPr>
            <w:r w:rsidRPr="00145736">
              <w:rPr>
                <w:b/>
              </w:rPr>
              <w:t>TM (28.05.2019. vēstule Nr.1-9.1/518):</w:t>
            </w:r>
          </w:p>
          <w:p w14:paraId="6B8587D6" w14:textId="29327780" w:rsidR="00C3659C" w:rsidRDefault="00C3659C" w:rsidP="00145736">
            <w:pPr>
              <w:jc w:val="both"/>
            </w:pPr>
            <w:r w:rsidRPr="00C3659C">
              <w:t xml:space="preserve">Lūdzam precizēt rīkojuma projekta 1. punktu, jo atbilstoši MK noteikumu Nr. 737 30.1. apakšpunktam Ministru </w:t>
            </w:r>
            <w:r w:rsidRPr="00C3659C">
              <w:lastRenderedPageBreak/>
              <w:t>kabineta rīkojumā par konceptuālu ziņojumu norāda atbalstīto problēmas risinājuma variantu. Turklāt no rīkojuma projekta 2. punkta var secināt, ka Izglītības un zinātnes ministrija atbalsta 3. variantu.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CB90E08" w14:textId="77777777" w:rsidR="00C3659C" w:rsidRDefault="00C3659C" w:rsidP="00C3659C">
            <w:pPr>
              <w:jc w:val="center"/>
              <w:rPr>
                <w:b/>
              </w:rPr>
            </w:pPr>
            <w:r>
              <w:rPr>
                <w:b/>
              </w:rPr>
              <w:lastRenderedPageBreak/>
              <w:t>Ņemts vērā</w:t>
            </w:r>
          </w:p>
          <w:p w14:paraId="625C3B52" w14:textId="77777777" w:rsidR="002A45F2" w:rsidRDefault="002A45F2" w:rsidP="002A45F2">
            <w:pPr>
              <w:jc w:val="center"/>
              <w:rPr>
                <w:b/>
              </w:rPr>
            </w:pPr>
          </w:p>
        </w:tc>
        <w:tc>
          <w:tcPr>
            <w:tcW w:w="2986" w:type="dxa"/>
            <w:tcBorders>
              <w:top w:val="single" w:sz="4" w:space="0" w:color="auto"/>
              <w:left w:val="single" w:sz="4" w:space="0" w:color="auto"/>
              <w:bottom w:val="single" w:sz="4" w:space="0" w:color="auto"/>
            </w:tcBorders>
          </w:tcPr>
          <w:p w14:paraId="075CA0B8" w14:textId="705FA22D" w:rsidR="002A45F2" w:rsidRDefault="00C3659C" w:rsidP="002A45F2">
            <w:pPr>
              <w:jc w:val="both"/>
            </w:pPr>
            <w:r>
              <w:t>Veikti precizējumi</w:t>
            </w:r>
            <w:r w:rsidR="00145736">
              <w:t xml:space="preserve"> protokollēmumā</w:t>
            </w:r>
            <w:r>
              <w:t>.</w:t>
            </w:r>
          </w:p>
        </w:tc>
      </w:tr>
      <w:tr w:rsidR="00C42FD2" w:rsidRPr="001801C2" w14:paraId="1E2206C8" w14:textId="77777777" w:rsidTr="00C64E73">
        <w:tc>
          <w:tcPr>
            <w:tcW w:w="708" w:type="dxa"/>
            <w:tcBorders>
              <w:top w:val="single" w:sz="6" w:space="0" w:color="000000"/>
              <w:left w:val="single" w:sz="6" w:space="0" w:color="000000"/>
              <w:bottom w:val="single" w:sz="6" w:space="0" w:color="000000"/>
              <w:right w:val="single" w:sz="6" w:space="0" w:color="000000"/>
            </w:tcBorders>
          </w:tcPr>
          <w:p w14:paraId="7C994DBA" w14:textId="77777777" w:rsidR="00C42FD2" w:rsidRPr="001801C2" w:rsidRDefault="00C42FD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047C6DE" w14:textId="101F24FF" w:rsidR="00C42FD2" w:rsidRDefault="00145736" w:rsidP="0033608D">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CA4F482" w14:textId="77777777" w:rsidR="002A45F2" w:rsidRPr="00145736" w:rsidRDefault="002A45F2" w:rsidP="002A45F2">
            <w:pPr>
              <w:pStyle w:val="NoSpacing"/>
              <w:jc w:val="both"/>
              <w:rPr>
                <w:b/>
              </w:rPr>
            </w:pPr>
            <w:r w:rsidRPr="00145736">
              <w:rPr>
                <w:b/>
              </w:rPr>
              <w:t>TM (28.05.2019. vēstule Nr.1-9.1/518):</w:t>
            </w:r>
          </w:p>
          <w:p w14:paraId="77E24727" w14:textId="680FF48E" w:rsidR="00C3659C" w:rsidRPr="00D535ED" w:rsidRDefault="00C3659C" w:rsidP="00C3659C">
            <w:pPr>
              <w:widowControl w:val="0"/>
              <w:tabs>
                <w:tab w:val="left" w:pos="0"/>
                <w:tab w:val="left" w:pos="709"/>
                <w:tab w:val="left" w:pos="1134"/>
              </w:tabs>
              <w:suppressAutoHyphens/>
              <w:ind w:right="12"/>
              <w:jc w:val="both"/>
            </w:pPr>
            <w:r w:rsidRPr="00C3659C">
              <w:t xml:space="preserve">Rīkojuma projekta 4. punkts paredz, ka Izglītības un zinātnes ministrijai sadarbībā ar darba grupas dalībniekiem jāsagatavo un jāiesniedz Ministru kabinetā Ministru kabineta noteikumu projekts par jauno studiju un studējošo kreditēšanas modeli no kredītiestāžu līdzekļiem ar </w:t>
            </w:r>
            <w:r w:rsidRPr="00D535ED">
              <w:rPr>
                <w:u w:val="single"/>
              </w:rPr>
              <w:t>valsts vārdā sniegtu galvojumu</w:t>
            </w:r>
            <w:r w:rsidRPr="00D535ED">
              <w:t xml:space="preserve">. </w:t>
            </w:r>
          </w:p>
          <w:p w14:paraId="3ED0A0E6" w14:textId="77777777" w:rsidR="00C3659C" w:rsidRPr="00F3712C" w:rsidRDefault="00C3659C" w:rsidP="00C3659C">
            <w:pPr>
              <w:pStyle w:val="ListParagraph"/>
              <w:widowControl w:val="0"/>
              <w:tabs>
                <w:tab w:val="left" w:pos="0"/>
                <w:tab w:val="left" w:pos="709"/>
                <w:tab w:val="left" w:pos="1134"/>
              </w:tabs>
              <w:suppressAutoHyphens/>
              <w:spacing w:after="0" w:line="240" w:lineRule="auto"/>
              <w:ind w:left="0" w:right="12" w:firstLine="709"/>
              <w:jc w:val="both"/>
              <w:rPr>
                <w:rFonts w:ascii="Times New Roman" w:hAnsi="Times New Roman"/>
                <w:sz w:val="24"/>
                <w:szCs w:val="24"/>
              </w:rPr>
            </w:pPr>
            <w:r w:rsidRPr="00D535ED">
              <w:rPr>
                <w:rFonts w:ascii="Times New Roman" w:hAnsi="Times New Roman"/>
                <w:sz w:val="24"/>
                <w:szCs w:val="24"/>
              </w:rPr>
              <w:t>Lūdzam precizēt informāciju par valsts vārdā sniegtu galvojumu, jo tā ir pretrunā konceptuālā ziņojuma 9. tabulā sniegtajai informācijai, ka netiek paredzēts Valsts kases galvojums.</w:t>
            </w:r>
          </w:p>
          <w:p w14:paraId="64B96999" w14:textId="77777777" w:rsidR="00C3659C" w:rsidRPr="002F0AC7" w:rsidRDefault="00C3659C" w:rsidP="00306716">
            <w:pPr>
              <w:pStyle w:val="NoSpacing"/>
              <w:jc w:val="both"/>
              <w:rPr>
                <w:rFonts w:ascii="Book Antiqua" w:hAnsi="Book Antiqua"/>
                <w:b/>
                <w:sz w:val="22"/>
                <w:szCs w:val="22"/>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8150ED0" w14:textId="77777777" w:rsidR="00C3659C" w:rsidRDefault="00C3659C" w:rsidP="00C3659C">
            <w:pPr>
              <w:jc w:val="center"/>
              <w:rPr>
                <w:b/>
              </w:rPr>
            </w:pPr>
            <w:r>
              <w:rPr>
                <w:b/>
              </w:rPr>
              <w:t>Ņemts vērā</w:t>
            </w:r>
            <w:r w:rsidR="00F845EC">
              <w:rPr>
                <w:b/>
              </w:rPr>
              <w:t xml:space="preserve"> pēc būtības</w:t>
            </w:r>
          </w:p>
          <w:p w14:paraId="1AE6218C" w14:textId="77777777" w:rsidR="00C42FD2" w:rsidRPr="00C3659C" w:rsidRDefault="00C3659C" w:rsidP="000D1913">
            <w:pPr>
              <w:jc w:val="both"/>
            </w:pPr>
            <w:r>
              <w:rPr>
                <w:b/>
              </w:rPr>
              <w:t xml:space="preserve"> </w:t>
            </w:r>
            <w:r>
              <w:t xml:space="preserve">“Altum” portfeļgarantija </w:t>
            </w:r>
            <w:r w:rsidR="00F845EC">
              <w:t xml:space="preserve">arī </w:t>
            </w:r>
            <w:r>
              <w:t xml:space="preserve">pēc būtības </w:t>
            </w:r>
            <w:r w:rsidR="00F845EC">
              <w:t xml:space="preserve">ir </w:t>
            </w:r>
            <w:r>
              <w:t>valsts galvojums, tikai ar cita finanšu instrumenta palīdzību.</w:t>
            </w:r>
            <w:r w:rsidR="00F845EC">
              <w:t xml:space="preserve"> </w:t>
            </w:r>
            <w:r w:rsidR="00D535ED">
              <w:t>Valsts Kases izsniegtais galvojums nav vienīgais iespējamais galvojuma veids.</w:t>
            </w:r>
          </w:p>
        </w:tc>
        <w:tc>
          <w:tcPr>
            <w:tcW w:w="2986" w:type="dxa"/>
            <w:tcBorders>
              <w:top w:val="single" w:sz="4" w:space="0" w:color="auto"/>
              <w:left w:val="single" w:sz="4" w:space="0" w:color="auto"/>
              <w:bottom w:val="single" w:sz="4" w:space="0" w:color="auto"/>
            </w:tcBorders>
          </w:tcPr>
          <w:p w14:paraId="09A1C57D" w14:textId="4725DB01" w:rsidR="00C42FD2" w:rsidRDefault="00145736" w:rsidP="00306716">
            <w:pPr>
              <w:jc w:val="both"/>
            </w:pPr>
            <w:r>
              <w:t>Projekts</w:t>
            </w:r>
          </w:p>
        </w:tc>
      </w:tr>
      <w:tr w:rsidR="00C42FD2" w:rsidRPr="001801C2" w14:paraId="0EA7373D"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A6AED3E" w14:textId="77777777" w:rsidR="00C42FD2" w:rsidRPr="001801C2" w:rsidRDefault="00C42FD2"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131C1B0C" w14:textId="124F9307" w:rsidR="00C42FD2" w:rsidRDefault="00145736" w:rsidP="0033608D">
            <w:pPr>
              <w:jc w:val="both"/>
            </w:pPr>
            <w: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84665B0" w14:textId="77777777" w:rsidR="002A45F2" w:rsidRPr="00145736" w:rsidRDefault="002A45F2" w:rsidP="002A45F2">
            <w:pPr>
              <w:pStyle w:val="NoSpacing"/>
              <w:jc w:val="both"/>
              <w:rPr>
                <w:b/>
              </w:rPr>
            </w:pPr>
            <w:r w:rsidRPr="00145736">
              <w:rPr>
                <w:b/>
              </w:rPr>
              <w:t>TM (28.05.2019. vēstule Nr.1-9.1/518):</w:t>
            </w:r>
          </w:p>
          <w:p w14:paraId="7FB7F1F7" w14:textId="65610E2E" w:rsidR="00C3659C" w:rsidRPr="00F3712C" w:rsidRDefault="00C3659C" w:rsidP="00C151D0">
            <w:pPr>
              <w:widowControl w:val="0"/>
              <w:tabs>
                <w:tab w:val="left" w:pos="0"/>
                <w:tab w:val="left" w:pos="709"/>
                <w:tab w:val="left" w:pos="1134"/>
              </w:tabs>
              <w:suppressAutoHyphens/>
              <w:ind w:right="12"/>
              <w:jc w:val="both"/>
            </w:pPr>
            <w:r w:rsidRPr="00C3659C">
              <w:t xml:space="preserve">Atbilstoši rīkojuma projekta 5. punktam Labklājības ministrijai tiks uzdots izvērtēt iespēju studējošo kredītu </w:t>
            </w:r>
            <w:r w:rsidRPr="00C3659C">
              <w:lastRenderedPageBreak/>
              <w:t xml:space="preserve">dzēšanu bērnu piedzimšanas gadījumos par studējošo kredītu līgumiem, kas tiks noslēgti no 2020. gada 1. aprīļa, nodot administrēšanai VSAA, kas administrē maternitātes pabalstus un bērna piedzimšanas pabalstus, paredzot tam līdzekļus VSAA budžetā. </w:t>
            </w:r>
            <w:r w:rsidR="00C151D0">
              <w:t xml:space="preserve">(…) </w:t>
            </w:r>
            <w:r w:rsidRPr="00F3712C">
              <w:t xml:space="preserve">Ņemot vērā minēto, lūdzam rast iespēju šādu izvērtējumu veikt pirms Ministru kabinetā tiek apstiprināts konceptuālais ziņojums, jo saskaņā ar MK noteikumu Nr. 737 15. punktu, ja politikas plānošanas dokumentā paredzēts dot uzdevumus citām institūcijām vai tiek skarta to kompetence, </w:t>
            </w:r>
            <w:r w:rsidRPr="00F3712C">
              <w:rPr>
                <w:u w:val="single"/>
              </w:rPr>
              <w:t>tās iesaista attiecīgā politikas plānošanas dokumenta projekta izstrādē</w:t>
            </w:r>
            <w:r w:rsidRPr="00F3712C">
              <w:t>.</w:t>
            </w:r>
          </w:p>
          <w:p w14:paraId="4ECA998D" w14:textId="77777777" w:rsidR="00C42FD2" w:rsidRPr="002F0AC7" w:rsidRDefault="00C42FD2" w:rsidP="00306716">
            <w:pPr>
              <w:pStyle w:val="NoSpacing"/>
              <w:jc w:val="both"/>
              <w:rPr>
                <w:rFonts w:ascii="Book Antiqua" w:hAnsi="Book Antiqua"/>
                <w:b/>
                <w:sz w:val="22"/>
                <w:szCs w:val="22"/>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D7183C6" w14:textId="77777777" w:rsidR="00C151D0" w:rsidRDefault="00C151D0" w:rsidP="00C151D0">
            <w:pPr>
              <w:jc w:val="center"/>
              <w:rPr>
                <w:b/>
              </w:rPr>
            </w:pPr>
            <w:r>
              <w:rPr>
                <w:b/>
              </w:rPr>
              <w:lastRenderedPageBreak/>
              <w:t>Ņemts vērā</w:t>
            </w:r>
          </w:p>
          <w:p w14:paraId="16D91CB2" w14:textId="77777777" w:rsidR="00C42FD2" w:rsidRDefault="00C42FD2" w:rsidP="0033608D">
            <w:pPr>
              <w:jc w:val="center"/>
              <w:rPr>
                <w:b/>
              </w:rPr>
            </w:pPr>
          </w:p>
          <w:p w14:paraId="222EA35F" w14:textId="387B6DC3" w:rsidR="00C151D0" w:rsidRDefault="00C151D0" w:rsidP="00C151D0">
            <w:pPr>
              <w:jc w:val="both"/>
            </w:pPr>
            <w:r w:rsidRPr="00C151D0">
              <w:t>Ziņ</w:t>
            </w:r>
            <w:r w:rsidR="00145736">
              <w:t>ojums tika nosūtīts atzinuma sn</w:t>
            </w:r>
            <w:r w:rsidRPr="00C151D0">
              <w:t>i</w:t>
            </w:r>
            <w:r w:rsidR="00145736">
              <w:t>e</w:t>
            </w:r>
            <w:r w:rsidRPr="00C151D0">
              <w:t>gšanai t.sk. LM.</w:t>
            </w:r>
            <w:r>
              <w:rPr>
                <w:b/>
              </w:rPr>
              <w:t xml:space="preserve"> </w:t>
            </w:r>
            <w:r>
              <w:t xml:space="preserve">Vienlaicīgi LM un VSAA iesaiste vairs nav aktuāla un netiek virzīta kā risinājums precizētajā </w:t>
            </w:r>
            <w:r>
              <w:lastRenderedPageBreak/>
              <w:t xml:space="preserve">ziņojuma variantā. Tai vietā, kopā ar kredītiestāžu pārstāvjiem izvērtējot datu apmaiņas iespējas, </w:t>
            </w:r>
            <w:r w:rsidRPr="00C3659C">
              <w:t>kā risinājumu redzam PMLP reģistra izmantošanu fakta pārbaudei par jaundzimušo bērnu izziņu vietā vai VSAA vietā; ja šobrīd kredītiestādēm funkcionē datu apmaiņa ar PMLP reģistriem par citiem jautājumiem.</w:t>
            </w:r>
          </w:p>
          <w:p w14:paraId="723E2AA8" w14:textId="77777777" w:rsidR="00C151D0" w:rsidRDefault="00C151D0" w:rsidP="00C151D0">
            <w:pPr>
              <w:jc w:val="both"/>
              <w:rPr>
                <w:b/>
              </w:rPr>
            </w:pPr>
          </w:p>
        </w:tc>
        <w:tc>
          <w:tcPr>
            <w:tcW w:w="2986" w:type="dxa"/>
            <w:tcBorders>
              <w:top w:val="single" w:sz="4" w:space="0" w:color="auto"/>
              <w:left w:val="single" w:sz="4" w:space="0" w:color="auto"/>
              <w:bottom w:val="single" w:sz="4" w:space="0" w:color="auto"/>
            </w:tcBorders>
          </w:tcPr>
          <w:p w14:paraId="55F7633E" w14:textId="11C828F8" w:rsidR="00C42FD2" w:rsidRDefault="00145736" w:rsidP="00306716">
            <w:pPr>
              <w:jc w:val="both"/>
            </w:pPr>
            <w:r>
              <w:lastRenderedPageBreak/>
              <w:t>Projekts</w:t>
            </w:r>
          </w:p>
        </w:tc>
      </w:tr>
      <w:tr w:rsidR="00302E4D" w:rsidRPr="001801C2" w14:paraId="05800EF9" w14:textId="77777777" w:rsidTr="00C64E73">
        <w:tc>
          <w:tcPr>
            <w:tcW w:w="708" w:type="dxa"/>
            <w:tcBorders>
              <w:top w:val="single" w:sz="6" w:space="0" w:color="000000"/>
              <w:left w:val="single" w:sz="6" w:space="0" w:color="000000"/>
              <w:bottom w:val="single" w:sz="6" w:space="0" w:color="000000"/>
              <w:right w:val="single" w:sz="6" w:space="0" w:color="000000"/>
            </w:tcBorders>
          </w:tcPr>
          <w:p w14:paraId="3FFEE059" w14:textId="77777777" w:rsidR="00302E4D" w:rsidRPr="001801C2" w:rsidRDefault="00302E4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332B7B1D" w14:textId="6DEF88D6" w:rsidR="00F6608C" w:rsidRDefault="00F6608C" w:rsidP="0033608D">
            <w:pPr>
              <w:jc w:val="both"/>
            </w:pPr>
            <w:r>
              <w:t>Projekts</w:t>
            </w:r>
          </w:p>
          <w:p w14:paraId="2FF19139" w14:textId="076AE2B0" w:rsidR="00306716" w:rsidRPr="009C40CC" w:rsidRDefault="00F6608C" w:rsidP="0033608D">
            <w:pPr>
              <w:jc w:val="both"/>
            </w:pPr>
            <w:r>
              <w:t>“</w:t>
            </w:r>
            <w:r w:rsidR="00306716">
              <w:t>Konceptuālā z</w:t>
            </w:r>
            <w:r w:rsidR="00306716" w:rsidRPr="009C40CC">
              <w:t>iņojuma mērķis ir informēt Ministru kabinetu par nepieciešamajām izmaiņām studiju un studējošo</w:t>
            </w:r>
            <w:r w:rsidR="00306716">
              <w:t xml:space="preserve"> </w:t>
            </w:r>
            <w:r w:rsidR="00306716" w:rsidRPr="009C40CC">
              <w:t>kredit</w:t>
            </w:r>
            <w:r w:rsidR="00306716">
              <w:t>ēšanas</w:t>
            </w:r>
            <w:r w:rsidR="00306716" w:rsidRPr="009C40CC">
              <w:t xml:space="preserve"> </w:t>
            </w:r>
            <w:r w:rsidR="00306716">
              <w:t>no kredītiestāžu līdzekļiem ar valsts vārdā sniegtu galvojumu modelī</w:t>
            </w:r>
            <w:r w:rsidR="00306716" w:rsidRPr="009C40CC">
              <w:t>.</w:t>
            </w:r>
            <w:r>
              <w:t>”</w:t>
            </w:r>
          </w:p>
          <w:p w14:paraId="615CF7D8" w14:textId="77777777" w:rsidR="00302E4D" w:rsidRPr="006A4603" w:rsidRDefault="00302E4D" w:rsidP="006A4603">
            <w:pPr>
              <w:spacing w:after="160" w:line="259" w:lineRule="auto"/>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248E419" w14:textId="77777777" w:rsidR="00F6608C" w:rsidRPr="00F6608C" w:rsidRDefault="00306716" w:rsidP="00F6608C">
            <w:pPr>
              <w:pStyle w:val="NoSpacing"/>
              <w:jc w:val="both"/>
              <w:rPr>
                <w:b/>
              </w:rPr>
            </w:pPr>
            <w:r w:rsidRPr="00F6608C">
              <w:rPr>
                <w:b/>
              </w:rPr>
              <w:t>TM (28.05.2019. vēstule Nr.1-9.1/518)</w:t>
            </w:r>
            <w:r w:rsidR="00C151D0" w:rsidRPr="00F6608C">
              <w:rPr>
                <w:b/>
              </w:rPr>
              <w:t xml:space="preserve"> izsaka šādu ierosinājumu</w:t>
            </w:r>
            <w:r w:rsidRPr="00F6608C">
              <w:rPr>
                <w:b/>
              </w:rPr>
              <w:t>:</w:t>
            </w:r>
          </w:p>
          <w:p w14:paraId="10F7CF4D" w14:textId="41633254" w:rsidR="00306716" w:rsidRPr="00F6608C" w:rsidRDefault="00306716" w:rsidP="00F6608C">
            <w:pPr>
              <w:pStyle w:val="NoSpacing"/>
              <w:jc w:val="both"/>
              <w:rPr>
                <w:rFonts w:ascii="Book Antiqua" w:hAnsi="Book Antiqua"/>
                <w:b/>
                <w:sz w:val="22"/>
                <w:szCs w:val="22"/>
              </w:rPr>
            </w:pPr>
            <w:r w:rsidRPr="00F3712C">
              <w:t xml:space="preserve">Konceptuālā ziņojuma ievada pirmajā rindkopā ir atspoguļota informācija, ka konceptuālā ziņojuma mērķis ir informēt Ministru kabinetu par nepieciešamajām izmaiņām studiju un studējošo </w:t>
            </w:r>
            <w:r w:rsidRPr="00F3712C">
              <w:lastRenderedPageBreak/>
              <w:t>kreditēšanas no kredītiestāžu līdzekļiem ar valsts vārdā sniegtu galvojumu modelī.</w:t>
            </w:r>
          </w:p>
          <w:p w14:paraId="455E666E" w14:textId="09DF4768" w:rsidR="00FF03E2" w:rsidRPr="00F6608C" w:rsidRDefault="006374BE" w:rsidP="00F6608C">
            <w:pPr>
              <w:pStyle w:val="ListParagraph"/>
              <w:tabs>
                <w:tab w:val="left" w:pos="993"/>
              </w:tabs>
              <w:spacing w:after="0" w:line="240" w:lineRule="auto"/>
              <w:ind w:left="0" w:right="12" w:firstLine="709"/>
              <w:jc w:val="both"/>
              <w:rPr>
                <w:rFonts w:ascii="Times New Roman" w:eastAsia="Times New Roman" w:hAnsi="Times New Roman"/>
                <w:sz w:val="24"/>
                <w:szCs w:val="24"/>
                <w:lang w:eastAsia="lv-LV"/>
              </w:rPr>
            </w:pPr>
            <w:r w:rsidRPr="00F3712C">
              <w:rPr>
                <w:rFonts w:ascii="Times New Roman" w:eastAsia="Times New Roman" w:hAnsi="Times New Roman"/>
                <w:sz w:val="24"/>
                <w:szCs w:val="24"/>
                <w:lang w:eastAsia="lv-LV"/>
              </w:rPr>
              <w:t xml:space="preserve">Ierosinām precizēt minēto informāciju, jo konceptuālā ziņojuma mērķis nav informēt Ministru kabinetu par nepieciešamajām izmaiņām, bet gan atbilstoši </w:t>
            </w:r>
            <w:r w:rsidRPr="00F3712C">
              <w:rPr>
                <w:rFonts w:ascii="Times New Roman" w:eastAsia="Times New Roman" w:hAnsi="Times New Roman"/>
                <w:bCs/>
                <w:sz w:val="24"/>
                <w:szCs w:val="24"/>
                <w:lang w:eastAsia="lv-LV"/>
              </w:rPr>
              <w:t xml:space="preserve">MK noteikumu Nr. 737 14. punktam </w:t>
            </w:r>
            <w:r w:rsidRPr="006374BE">
              <w:rPr>
                <w:rFonts w:ascii="Times New Roman" w:eastAsia="Times New Roman" w:hAnsi="Times New Roman"/>
                <w:sz w:val="24"/>
                <w:szCs w:val="24"/>
                <w:lang w:eastAsia="lv-LV"/>
              </w:rPr>
              <w:t>pieņemt konceptuālu lēmumu, ja nepieciešams izšķirties</w:t>
            </w:r>
            <w:r w:rsidRPr="00F3712C">
              <w:rPr>
                <w:rFonts w:ascii="Times New Roman" w:eastAsia="Times New Roman" w:hAnsi="Times New Roman"/>
                <w:sz w:val="24"/>
                <w:szCs w:val="24"/>
                <w:lang w:eastAsia="lv-LV"/>
              </w:rPr>
              <w:t xml:space="preserve"> par rīcību iepriekš noteiktu nozaru politiku īstenošanā.</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18C5EB4" w14:textId="77777777" w:rsidR="0033608D" w:rsidRDefault="0033608D" w:rsidP="0033608D">
            <w:pPr>
              <w:jc w:val="center"/>
              <w:rPr>
                <w:b/>
              </w:rPr>
            </w:pPr>
            <w:r>
              <w:rPr>
                <w:b/>
              </w:rPr>
              <w:lastRenderedPageBreak/>
              <w:t>Ņemts vērā</w:t>
            </w:r>
          </w:p>
          <w:p w14:paraId="111A09F1" w14:textId="77777777" w:rsidR="00302E4D" w:rsidRPr="00D7143A" w:rsidRDefault="00302E4D" w:rsidP="00D7143A">
            <w:pPr>
              <w:jc w:val="center"/>
              <w:rPr>
                <w:b/>
              </w:rPr>
            </w:pPr>
          </w:p>
        </w:tc>
        <w:tc>
          <w:tcPr>
            <w:tcW w:w="2986" w:type="dxa"/>
            <w:tcBorders>
              <w:top w:val="single" w:sz="4" w:space="0" w:color="auto"/>
              <w:left w:val="single" w:sz="4" w:space="0" w:color="auto"/>
              <w:bottom w:val="single" w:sz="4" w:space="0" w:color="auto"/>
            </w:tcBorders>
          </w:tcPr>
          <w:p w14:paraId="2A872A58" w14:textId="1E70327C" w:rsidR="00F6608C" w:rsidRDefault="00F6608C" w:rsidP="00306716">
            <w:pPr>
              <w:jc w:val="both"/>
            </w:pPr>
            <w:r>
              <w:t>Projekts</w:t>
            </w:r>
          </w:p>
          <w:p w14:paraId="2EFC2144" w14:textId="19F8BFE5" w:rsidR="00306716" w:rsidRPr="009C40CC" w:rsidRDefault="00F6608C" w:rsidP="00306716">
            <w:pPr>
              <w:jc w:val="both"/>
            </w:pPr>
            <w:r>
              <w:t>“</w:t>
            </w:r>
            <w:r w:rsidR="00306716">
              <w:t>Konceptuālā z</w:t>
            </w:r>
            <w:r w:rsidR="00306716" w:rsidRPr="009C40CC">
              <w:t xml:space="preserve">iņojuma mērķis ir </w:t>
            </w:r>
            <w:r w:rsidR="00306716">
              <w:t>snieg</w:t>
            </w:r>
            <w:r w:rsidR="00306716" w:rsidRPr="009C40CC">
              <w:t>t</w:t>
            </w:r>
            <w:r w:rsidR="00306716">
              <w:t xml:space="preserve"> informāciju Ministru kabineta</w:t>
            </w:r>
            <w:r w:rsidR="00E55954">
              <w:t>m</w:t>
            </w:r>
            <w:r w:rsidR="00306716">
              <w:t xml:space="preserve"> konceptuālā lēmuma pieņemšanai</w:t>
            </w:r>
            <w:r w:rsidR="00306716" w:rsidRPr="009C40CC">
              <w:t xml:space="preserve"> par nepieciešamajām izmaiņām studiju un studējošo</w:t>
            </w:r>
            <w:r w:rsidR="00306716">
              <w:t xml:space="preserve"> </w:t>
            </w:r>
            <w:r w:rsidR="00306716" w:rsidRPr="009C40CC">
              <w:t>kredit</w:t>
            </w:r>
            <w:r w:rsidR="00306716">
              <w:t>ēšanas</w:t>
            </w:r>
            <w:r w:rsidR="00306716" w:rsidRPr="009C40CC">
              <w:t xml:space="preserve"> </w:t>
            </w:r>
            <w:r w:rsidR="00306716">
              <w:t xml:space="preserve">no kredītiestāžu </w:t>
            </w:r>
            <w:r w:rsidR="00306716">
              <w:lastRenderedPageBreak/>
              <w:t>līdzekļiem ar valsts vārdā sniegtu galvojumu modelī</w:t>
            </w:r>
            <w:r w:rsidR="00306716" w:rsidRPr="009C40CC">
              <w:t>.</w:t>
            </w:r>
            <w:r>
              <w:t>”</w:t>
            </w:r>
          </w:p>
          <w:p w14:paraId="199508D2" w14:textId="77777777" w:rsidR="00302E4D" w:rsidRDefault="00302E4D" w:rsidP="00766F52">
            <w:pPr>
              <w:jc w:val="both"/>
            </w:pPr>
          </w:p>
        </w:tc>
      </w:tr>
      <w:tr w:rsidR="00302E4D" w:rsidRPr="001801C2" w14:paraId="5EF3D81E" w14:textId="77777777" w:rsidTr="00C64E73">
        <w:tc>
          <w:tcPr>
            <w:tcW w:w="708" w:type="dxa"/>
            <w:tcBorders>
              <w:top w:val="single" w:sz="6" w:space="0" w:color="000000"/>
              <w:left w:val="single" w:sz="6" w:space="0" w:color="000000"/>
              <w:bottom w:val="single" w:sz="6" w:space="0" w:color="000000"/>
              <w:right w:val="single" w:sz="6" w:space="0" w:color="000000"/>
            </w:tcBorders>
          </w:tcPr>
          <w:p w14:paraId="1CCB2027" w14:textId="77777777" w:rsidR="00302E4D" w:rsidRPr="001801C2" w:rsidRDefault="00302E4D" w:rsidP="00552933">
            <w:pPr>
              <w:jc w:val="right"/>
            </w:pPr>
          </w:p>
        </w:tc>
        <w:tc>
          <w:tcPr>
            <w:tcW w:w="3112" w:type="dxa"/>
            <w:tcBorders>
              <w:top w:val="single" w:sz="4" w:space="0" w:color="auto"/>
              <w:left w:val="single" w:sz="6" w:space="0" w:color="000000"/>
              <w:bottom w:val="single" w:sz="4" w:space="0" w:color="auto"/>
              <w:right w:val="single" w:sz="6" w:space="0" w:color="000000"/>
            </w:tcBorders>
          </w:tcPr>
          <w:p w14:paraId="2896B174" w14:textId="4EBB0E62" w:rsidR="006F7410" w:rsidRDefault="00ED0523" w:rsidP="006A4603">
            <w:pPr>
              <w:spacing w:after="160" w:line="259" w:lineRule="auto"/>
              <w:jc w:val="both"/>
            </w:pPr>
            <w:r>
              <w:t>Projekta s</w:t>
            </w:r>
            <w:r w:rsidR="006F7410">
              <w:t>adaļa “</w:t>
            </w:r>
            <w:r w:rsidR="006F7410" w:rsidRPr="006F7410">
              <w:t>Jaunais kreditēšanas modelis</w:t>
            </w:r>
            <w:r w:rsidR="006F7410">
              <w:t>”:</w:t>
            </w:r>
          </w:p>
          <w:p w14:paraId="38227619" w14:textId="02032BFC" w:rsidR="006F7410" w:rsidRDefault="00E41CBC" w:rsidP="006A4603">
            <w:pPr>
              <w:spacing w:after="160" w:line="259" w:lineRule="auto"/>
              <w:jc w:val="both"/>
            </w:pPr>
            <w:r>
              <w:t>“</w:t>
            </w:r>
            <w:r w:rsidR="006F7410" w:rsidRPr="00A40BE1">
              <w:t xml:space="preserve">Orientējošā maksa studējošajam, kas segtu līguma noslēgšanas administratīvās izmaksas, varētu veidot 60 </w:t>
            </w:r>
            <w:r w:rsidR="006F7410" w:rsidRPr="00A40BE1">
              <w:rPr>
                <w:i/>
              </w:rPr>
              <w:t>euro</w:t>
            </w:r>
            <w:r w:rsidR="006F7410" w:rsidRPr="00A40BE1">
              <w:t>, kas</w:t>
            </w:r>
            <w:r w:rsidR="006F7410">
              <w:t xml:space="preserve"> ir papildus izmaksas, taču ir izdevīgāk, nekā esošajā sistēmā meklēt pagaidu risinājumu, piemēram, patēriņa kredītu, kamēr tiek pārbaudīta informācija par otru galvotāju, kādēļ uz studiju sākumu valsts </w:t>
            </w:r>
            <w:r w:rsidR="006F7410">
              <w:lastRenderedPageBreak/>
              <w:t>galvotais kredīts pašlaik bieži vien nav pieejams.</w:t>
            </w:r>
          </w:p>
          <w:p w14:paraId="1D197773" w14:textId="1073E69C" w:rsidR="00302E4D" w:rsidRPr="006A4603" w:rsidRDefault="00E214E0" w:rsidP="006A4603">
            <w:pPr>
              <w:spacing w:after="160" w:line="259" w:lineRule="auto"/>
              <w:jc w:val="both"/>
            </w:pPr>
            <w:r w:rsidRPr="00813208">
              <w:t>Neizpildes gadījumā kreditors nevēršas tiesā, bet dodas pie notāra, iesniedz pierādījumus par neizpildi un notārs sagatavo dokumentu, kas to konstatē, un iesniedz to tiesu izpildītājam.</w:t>
            </w:r>
            <w:r w:rsidR="00E41CBC">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5082C7F" w14:textId="77777777" w:rsidR="006374BE" w:rsidRPr="00ED0523" w:rsidRDefault="006374BE" w:rsidP="006374BE">
            <w:pPr>
              <w:pStyle w:val="NoSpacing"/>
              <w:jc w:val="both"/>
              <w:rPr>
                <w:b/>
              </w:rPr>
            </w:pPr>
            <w:r w:rsidRPr="00ED0523">
              <w:rPr>
                <w:b/>
              </w:rPr>
              <w:lastRenderedPageBreak/>
              <w:t>TM (28.05.2019. vēstule Nr.1-9.1/518)</w:t>
            </w:r>
            <w:r w:rsidR="00C151D0" w:rsidRPr="00ED0523">
              <w:rPr>
                <w:b/>
              </w:rPr>
              <w:t xml:space="preserve"> izsaka šādu ierosinājumu</w:t>
            </w:r>
            <w:r w:rsidRPr="00ED0523">
              <w:rPr>
                <w:b/>
              </w:rPr>
              <w:t>:</w:t>
            </w:r>
          </w:p>
          <w:p w14:paraId="55A00D68" w14:textId="77777777" w:rsidR="006374BE" w:rsidRPr="006374BE" w:rsidRDefault="006374BE" w:rsidP="006374BE">
            <w:pPr>
              <w:tabs>
                <w:tab w:val="left" w:pos="993"/>
              </w:tabs>
              <w:ind w:right="12"/>
              <w:jc w:val="both"/>
            </w:pPr>
            <w:r w:rsidRPr="006374BE">
              <w:t xml:space="preserve">Konceptuālā ziņojuma 13. lappusē ir atspoguļota informācija, ka </w:t>
            </w:r>
            <w:r w:rsidRPr="006374BE">
              <w:rPr>
                <w:iCs/>
              </w:rPr>
              <w:t xml:space="preserve">orientējošās izmaksas studējošajam varētu veidot 60 </w:t>
            </w:r>
            <w:r w:rsidRPr="006374BE">
              <w:rPr>
                <w:i/>
                <w:iCs/>
              </w:rPr>
              <w:t>euro</w:t>
            </w:r>
            <w:r w:rsidRPr="006374BE">
              <w:rPr>
                <w:iCs/>
              </w:rPr>
              <w:t>, kas ir papildus izmaksas.</w:t>
            </w:r>
            <w:r w:rsidRPr="006374BE">
              <w:t xml:space="preserve"> Ierosinām precizēt minēto informāciju, jo nav saprotams, kas tās ir par izmaksām. </w:t>
            </w:r>
          </w:p>
          <w:p w14:paraId="42DD3CF4" w14:textId="69DCE34A" w:rsidR="00302E4D" w:rsidRPr="00E41CBC" w:rsidRDefault="006374BE" w:rsidP="00E41CBC">
            <w:pPr>
              <w:pStyle w:val="ListParagraph"/>
              <w:tabs>
                <w:tab w:val="left" w:pos="993"/>
              </w:tabs>
              <w:spacing w:after="0" w:line="240" w:lineRule="auto"/>
              <w:ind w:left="0" w:right="12" w:firstLine="709"/>
              <w:jc w:val="both"/>
              <w:rPr>
                <w:rFonts w:ascii="Times New Roman" w:hAnsi="Times New Roman"/>
                <w:sz w:val="24"/>
                <w:szCs w:val="24"/>
                <w:lang w:eastAsia="lv-LV"/>
              </w:rPr>
            </w:pPr>
            <w:r w:rsidRPr="00F3712C">
              <w:rPr>
                <w:rFonts w:ascii="Times New Roman" w:hAnsi="Times New Roman"/>
                <w:sz w:val="24"/>
                <w:szCs w:val="24"/>
              </w:rPr>
              <w:t>Vienlaikus ierosinām precizēt norādīto informāciju par notariālā akta izpildi. Šobrīd konceptuālajā ziņojumā ir norādīts, ka n</w:t>
            </w:r>
            <w:r w:rsidRPr="00F3712C">
              <w:rPr>
                <w:rFonts w:ascii="Times New Roman" w:hAnsi="Times New Roman"/>
                <w:iCs/>
                <w:sz w:val="24"/>
                <w:szCs w:val="24"/>
              </w:rPr>
              <w:t xml:space="preserve">eizpildes gadījumā kreditors nevēršas tiesā, bet dodas pie notāra, </w:t>
            </w:r>
            <w:r w:rsidRPr="00F3712C">
              <w:rPr>
                <w:rFonts w:ascii="Times New Roman" w:hAnsi="Times New Roman"/>
                <w:iCs/>
                <w:sz w:val="24"/>
                <w:szCs w:val="24"/>
              </w:rPr>
              <w:lastRenderedPageBreak/>
              <w:t xml:space="preserve">iesniedz pierādījumus par neizpildi un notārs sagatavo dokumentu, kas to konstatē, </w:t>
            </w:r>
            <w:r w:rsidRPr="00F3712C">
              <w:rPr>
                <w:rFonts w:ascii="Times New Roman" w:hAnsi="Times New Roman"/>
                <w:iCs/>
                <w:sz w:val="24"/>
                <w:szCs w:val="24"/>
                <w:u w:val="single"/>
              </w:rPr>
              <w:t>un iesniedz to tiesu izpildītājam.</w:t>
            </w:r>
            <w:r w:rsidRPr="00F3712C">
              <w:rPr>
                <w:rFonts w:ascii="Times New Roman" w:hAnsi="Times New Roman"/>
                <w:iCs/>
                <w:sz w:val="24"/>
                <w:szCs w:val="24"/>
              </w:rPr>
              <w:t xml:space="preserve"> Vēršam uzmanību, ka </w:t>
            </w:r>
            <w:r w:rsidRPr="00F3712C">
              <w:rPr>
                <w:rFonts w:ascii="Times New Roman" w:hAnsi="Times New Roman"/>
                <w:sz w:val="24"/>
                <w:szCs w:val="24"/>
                <w:lang w:eastAsia="lv-LV"/>
              </w:rPr>
              <w:t xml:space="preserve">norādītā informācija, ka notariālais izpildu akts tiek izsniegts tiesu izpildītājam, var tikt pārprasta, saprotot, ka šo aktu notārs </w:t>
            </w:r>
            <w:r w:rsidRPr="006F7410">
              <w:rPr>
                <w:rFonts w:ascii="Times New Roman" w:hAnsi="Times New Roman"/>
                <w:sz w:val="24"/>
                <w:szCs w:val="24"/>
                <w:lang w:eastAsia="lv-LV"/>
              </w:rPr>
              <w:t>iesniedz tiesu izpildītājam. Saskaņā ar Notariāta likuma 107.</w:t>
            </w:r>
            <w:r w:rsidRPr="006F7410">
              <w:rPr>
                <w:rFonts w:ascii="Times New Roman" w:hAnsi="Times New Roman"/>
                <w:sz w:val="24"/>
                <w:szCs w:val="24"/>
                <w:vertAlign w:val="superscript"/>
                <w:lang w:eastAsia="lv-LV"/>
              </w:rPr>
              <w:t>7</w:t>
            </w:r>
            <w:r w:rsidRPr="006F7410">
              <w:rPr>
                <w:rFonts w:ascii="Times New Roman" w:hAnsi="Times New Roman"/>
                <w:b/>
                <w:bCs/>
                <w:sz w:val="24"/>
                <w:szCs w:val="24"/>
                <w:vertAlign w:val="superscript"/>
                <w:lang w:eastAsia="lv-LV"/>
              </w:rPr>
              <w:t> </w:t>
            </w:r>
            <w:r w:rsidRPr="006F7410">
              <w:rPr>
                <w:rFonts w:ascii="Times New Roman" w:hAnsi="Times New Roman"/>
                <w:sz w:val="24"/>
                <w:szCs w:val="24"/>
                <w:lang w:eastAsia="lv-LV"/>
              </w:rPr>
              <w:t>panta otro un trešo daļu notariālo izpildu aktu izsniedz kreditoram.</w:t>
            </w:r>
            <w:r w:rsidRPr="00F3712C">
              <w:rPr>
                <w:rFonts w:ascii="Times New Roman" w:hAnsi="Times New Roman"/>
                <w:sz w:val="24"/>
                <w:szCs w:val="24"/>
                <w:lang w:eastAsia="lv-LV"/>
              </w:rPr>
              <w:t xml:space="preserve"> Zvērinātam tiesu izpildītājam to izpildei iesniedz pats kreditors.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C7831FC" w14:textId="77777777" w:rsidR="00302E4D" w:rsidRDefault="006374BE" w:rsidP="00D7143A">
            <w:pPr>
              <w:jc w:val="center"/>
              <w:rPr>
                <w:b/>
              </w:rPr>
            </w:pPr>
            <w:r>
              <w:rPr>
                <w:b/>
              </w:rPr>
              <w:lastRenderedPageBreak/>
              <w:t>Ņemts vērā.</w:t>
            </w:r>
          </w:p>
          <w:p w14:paraId="6A22661D" w14:textId="77777777" w:rsidR="0033608D" w:rsidRDefault="0033608D" w:rsidP="006374BE">
            <w:pPr>
              <w:jc w:val="both"/>
            </w:pPr>
          </w:p>
          <w:p w14:paraId="44B45102" w14:textId="77777777" w:rsidR="006374BE" w:rsidRDefault="006374BE" w:rsidP="006374BE">
            <w:pPr>
              <w:jc w:val="both"/>
            </w:pPr>
            <w:r>
              <w:t>Precizēts, jo pašlaik kā arī TM norāda</w:t>
            </w:r>
            <w:r w:rsidR="00E214E0">
              <w:t xml:space="preserve"> pats kreditors vēršas pie tiesu izpildītāja.</w:t>
            </w:r>
          </w:p>
          <w:p w14:paraId="549497D6" w14:textId="77777777" w:rsidR="006374BE" w:rsidRDefault="006374BE" w:rsidP="006374BE">
            <w:pPr>
              <w:jc w:val="both"/>
            </w:pPr>
          </w:p>
          <w:p w14:paraId="6391CBF9" w14:textId="77777777" w:rsidR="006374BE" w:rsidRPr="006374BE" w:rsidRDefault="006374BE" w:rsidP="00CD431E">
            <w:pPr>
              <w:jc w:val="both"/>
            </w:pPr>
            <w:r>
              <w:t xml:space="preserve">Vienlaicīgi </w:t>
            </w:r>
            <w:r w:rsidR="00CD431E">
              <w:t>inform</w:t>
            </w:r>
            <w:r>
              <w:t xml:space="preserve">ējam, ka saskaņā ar FNA </w:t>
            </w:r>
            <w:r w:rsidR="0033608D">
              <w:t>sniegto</w:t>
            </w:r>
            <w:r>
              <w:t xml:space="preserve"> informāciju n</w:t>
            </w:r>
            <w:r w:rsidRPr="006374BE">
              <w:t xml:space="preserve">otāri plāno </w:t>
            </w:r>
            <w:r>
              <w:t xml:space="preserve">drīzumā </w:t>
            </w:r>
            <w:r w:rsidR="006F7410">
              <w:t>piedāvāt izmaiņas</w:t>
            </w:r>
            <w:r w:rsidRPr="006374BE">
              <w:t>, ka viņi paši to var</w:t>
            </w:r>
            <w:r>
              <w:t>ēs</w:t>
            </w:r>
            <w:r w:rsidRPr="006374BE">
              <w:t xml:space="preserve"> darīt.</w:t>
            </w:r>
          </w:p>
        </w:tc>
        <w:tc>
          <w:tcPr>
            <w:tcW w:w="2986" w:type="dxa"/>
            <w:tcBorders>
              <w:top w:val="single" w:sz="4" w:space="0" w:color="auto"/>
              <w:left w:val="single" w:sz="4" w:space="0" w:color="auto"/>
              <w:bottom w:val="single" w:sz="4" w:space="0" w:color="auto"/>
            </w:tcBorders>
          </w:tcPr>
          <w:p w14:paraId="6B4B0A7D" w14:textId="4686685D" w:rsidR="00E214E0" w:rsidRDefault="00E214E0" w:rsidP="006F7410">
            <w:pPr>
              <w:spacing w:after="160" w:line="259" w:lineRule="auto"/>
              <w:jc w:val="both"/>
            </w:pPr>
            <w:r>
              <w:t xml:space="preserve">Precizēta un papildināta </w:t>
            </w:r>
            <w:r w:rsidR="00ED0523">
              <w:t xml:space="preserve">projekta </w:t>
            </w:r>
            <w:r>
              <w:t xml:space="preserve">sadaļa </w:t>
            </w:r>
            <w:r w:rsidR="006F7410">
              <w:t>“</w:t>
            </w:r>
            <w:r w:rsidR="006F7410" w:rsidRPr="006F7410">
              <w:t>Jaunais kreditēšanas modelis</w:t>
            </w:r>
            <w:r w:rsidR="006F7410">
              <w:t>”:</w:t>
            </w:r>
            <w:r>
              <w:t xml:space="preserve"> </w:t>
            </w:r>
          </w:p>
          <w:p w14:paraId="38DE40FE" w14:textId="77777777" w:rsidR="00E214E0" w:rsidRDefault="00E214E0" w:rsidP="00766F52">
            <w:pPr>
              <w:jc w:val="both"/>
            </w:pPr>
          </w:p>
          <w:p w14:paraId="4170132F" w14:textId="51659C49" w:rsidR="00E214E0" w:rsidRDefault="00E41CBC" w:rsidP="00766F52">
            <w:pPr>
              <w:jc w:val="both"/>
            </w:pPr>
            <w:r>
              <w:t>“</w:t>
            </w:r>
            <w:r w:rsidR="00E214E0" w:rsidRPr="00E214E0">
              <w:t xml:space="preserve">Orientējošā maksa studējošajam, kas segtu līguma noslēgšanas administratīvās izmaksas, varētu veidot 60 euro, kas ir papildus izmaksas, taču ir izdevīgāk, nekā esošajā sistēmā meklēt pagaidu risinājumu, piemēram, patēriņa kredītu, kamēr tiek pārbaudīta informācija par otru galvotāju, kādēļ uz studiju sākumu valsts </w:t>
            </w:r>
            <w:r w:rsidR="00E214E0" w:rsidRPr="00E214E0">
              <w:lastRenderedPageBreak/>
              <w:t>galvotais kredīts pašlaik bieži vien nav pieejams.</w:t>
            </w:r>
          </w:p>
          <w:p w14:paraId="039CD3C9" w14:textId="77777777" w:rsidR="00E214E0" w:rsidRDefault="00E214E0" w:rsidP="00766F52">
            <w:pPr>
              <w:jc w:val="both"/>
            </w:pPr>
          </w:p>
          <w:p w14:paraId="3275741A" w14:textId="3106B866" w:rsidR="00302E4D" w:rsidRDefault="00E214E0" w:rsidP="00766F52">
            <w:pPr>
              <w:jc w:val="both"/>
            </w:pPr>
            <w:r w:rsidRPr="00813208">
              <w:t>Neizpildes gadījumā kreditors nevēršas tiesā, bet dodas pie notāra, iesniedz pierādījumus par neizpildi un notārs saga</w:t>
            </w:r>
            <w:r>
              <w:t xml:space="preserve">tavo dokumentu, kas to konstatē. Kreditors </w:t>
            </w:r>
            <w:r w:rsidRPr="00813208">
              <w:t>iesniedz to tiesu izpildītājam.</w:t>
            </w:r>
            <w:r w:rsidR="00E41CBC">
              <w:t>”</w:t>
            </w:r>
          </w:p>
        </w:tc>
      </w:tr>
      <w:tr w:rsidR="00205DF2" w:rsidRPr="001801C2" w14:paraId="74915CCA" w14:textId="77777777" w:rsidTr="00250134">
        <w:tc>
          <w:tcPr>
            <w:tcW w:w="708" w:type="dxa"/>
            <w:tcBorders>
              <w:top w:val="single" w:sz="6" w:space="0" w:color="000000"/>
              <w:left w:val="single" w:sz="6" w:space="0" w:color="000000"/>
              <w:bottom w:val="single" w:sz="6" w:space="0" w:color="000000"/>
              <w:right w:val="single" w:sz="6" w:space="0" w:color="000000"/>
            </w:tcBorders>
          </w:tcPr>
          <w:p w14:paraId="03D93E90" w14:textId="77777777" w:rsidR="00205DF2" w:rsidRPr="001801C2" w:rsidRDefault="00205DF2" w:rsidP="00205DF2">
            <w:pPr>
              <w:jc w:val="right"/>
            </w:pPr>
          </w:p>
        </w:tc>
        <w:tc>
          <w:tcPr>
            <w:tcW w:w="3112" w:type="dxa"/>
            <w:tcBorders>
              <w:left w:val="single" w:sz="6" w:space="0" w:color="000000"/>
              <w:bottom w:val="single" w:sz="6" w:space="0" w:color="000000"/>
              <w:right w:val="single" w:sz="6" w:space="0" w:color="000000"/>
            </w:tcBorders>
          </w:tcPr>
          <w:p w14:paraId="32FE5BE5" w14:textId="63182C18" w:rsidR="004174E6" w:rsidRDefault="004174E6" w:rsidP="00205DF2">
            <w:pPr>
              <w:spacing w:after="160" w:line="259" w:lineRule="auto"/>
              <w:jc w:val="both"/>
            </w:pPr>
            <w:r>
              <w:t>Projekts</w:t>
            </w:r>
          </w:p>
          <w:p w14:paraId="242AB6CA" w14:textId="57AAE66B" w:rsidR="00205DF2" w:rsidRPr="00BE6B8C" w:rsidRDefault="004174E6" w:rsidP="00205DF2">
            <w:pPr>
              <w:spacing w:after="160" w:line="259" w:lineRule="auto"/>
              <w:jc w:val="both"/>
              <w:rPr>
                <w:highlight w:val="yellow"/>
              </w:rPr>
            </w:pPr>
            <w:r>
              <w:t>“</w:t>
            </w:r>
            <w:r w:rsidR="00205DF2">
              <w:t>S</w:t>
            </w:r>
            <w:r w:rsidR="00205DF2" w:rsidRPr="00BE6B8C">
              <w:t xml:space="preserve">tudējošā kredīta apmērs tiks noteikts kā pašlaik līdz 80% apmērā no valstī noteiktās minimālās mēneša algas apjoma. Darba grupā tika izvirzīts priekšlikums noteikt tā maksimālo summu ne vairāk kā vidējā studējošā kredīta apmērā (orientējoši 6 500 </w:t>
            </w:r>
            <w:r w:rsidR="00205DF2" w:rsidRPr="00BE6B8C">
              <w:rPr>
                <w:i/>
              </w:rPr>
              <w:t>euro</w:t>
            </w:r>
            <w:r w:rsidR="00205DF2" w:rsidRPr="00BE6B8C">
              <w:t xml:space="preserve">), lai ierobežotu kopējo kredītsaistību apmēru, ko viens studējošais uzņēmās. Taču par šo jautājumu darba grupas ietvaros nebija vienotā viedokļa, pastāv arī viedoklis, </w:t>
            </w:r>
            <w:r w:rsidR="00205DF2" w:rsidRPr="00BE6B8C">
              <w:lastRenderedPageBreak/>
              <w:t>ka studējošā kredītu varētu saņemt visu studiju laiku, neierobežojot kopējo summu, 80% no valstī noteiktās minimālās mēneša algas apjoma, 10 mēnešus gadā. Par šī jautājuma gala risinājumu ministrija plāno vienoties ar darba grupas dalībniekiem Ministru kabineta noteikumu izstrādes gaitā; tas konceptuāli nemaina jauno risinājumu;</w:t>
            </w:r>
            <w:r>
              <w:t>”</w:t>
            </w:r>
          </w:p>
          <w:p w14:paraId="15B319DC" w14:textId="77777777" w:rsidR="00205DF2" w:rsidRDefault="00205DF2" w:rsidP="00205DF2">
            <w:pPr>
              <w:rPr>
                <w:i/>
              </w:rPr>
            </w:pPr>
          </w:p>
          <w:p w14:paraId="12F3C26C" w14:textId="77777777" w:rsidR="00205DF2" w:rsidRDefault="00205DF2" w:rsidP="00205DF2">
            <w:pPr>
              <w:rPr>
                <w:i/>
              </w:rPr>
            </w:pPr>
          </w:p>
          <w:p w14:paraId="2C76773C" w14:textId="77777777" w:rsidR="00205DF2" w:rsidRDefault="00205DF2" w:rsidP="00205DF2">
            <w:pPr>
              <w:rPr>
                <w:i/>
              </w:rPr>
            </w:pPr>
          </w:p>
          <w:p w14:paraId="57C91602" w14:textId="77777777" w:rsidR="00205DF2" w:rsidRDefault="00205DF2" w:rsidP="00205DF2">
            <w:pPr>
              <w:rPr>
                <w:i/>
              </w:rPr>
            </w:pPr>
          </w:p>
          <w:p w14:paraId="4041BBF5" w14:textId="77777777" w:rsidR="00205DF2" w:rsidRDefault="00205DF2" w:rsidP="00205DF2">
            <w:pPr>
              <w:spacing w:after="160" w:line="259" w:lineRule="auto"/>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85E2311" w14:textId="77777777" w:rsidR="00205DF2" w:rsidRPr="00EC2062" w:rsidRDefault="00205DF2" w:rsidP="00205DF2">
            <w:pPr>
              <w:jc w:val="both"/>
              <w:rPr>
                <w:rFonts w:ascii="TimesNewRoman" w:eastAsia="Calibri" w:hAnsi="TimesNewRoman" w:cs="TimesNewRoman"/>
                <w:b/>
                <w:lang w:val="en-US"/>
              </w:rPr>
            </w:pPr>
            <w:r w:rsidRPr="00EC2062">
              <w:rPr>
                <w:rFonts w:ascii="TimesNewRoman" w:eastAsia="Calibri" w:hAnsi="TimesNewRoman" w:cs="TimesNewRoman"/>
                <w:b/>
                <w:lang w:val="en-US"/>
              </w:rPr>
              <w:lastRenderedPageBreak/>
              <w:t xml:space="preserve">Latvijas Studentu apvienība (17.05.2019. vēstule Nr. </w:t>
            </w:r>
            <w:r w:rsidRPr="00EC2062">
              <w:rPr>
                <w:rFonts w:ascii="Times-Roman" w:eastAsia="Calibri" w:hAnsi="Times-Roman" w:cs="Times-Roman"/>
                <w:b/>
                <w:lang w:val="en-US"/>
              </w:rPr>
              <w:t>2019/PV23</w:t>
            </w:r>
            <w:r w:rsidRPr="00EC2062">
              <w:rPr>
                <w:rFonts w:ascii="TimesNewRoman" w:eastAsia="Calibri" w:hAnsi="TimesNewRoman" w:cs="TimesNewRoman"/>
                <w:b/>
                <w:lang w:val="en-US"/>
              </w:rPr>
              <w:t xml:space="preserve">): </w:t>
            </w:r>
          </w:p>
          <w:p w14:paraId="2E7422EF" w14:textId="77777777" w:rsidR="00205DF2" w:rsidRPr="00EC2062" w:rsidRDefault="00205DF2" w:rsidP="00205DF2">
            <w:pPr>
              <w:jc w:val="both"/>
            </w:pPr>
            <w:r w:rsidRPr="00EC2062">
              <w:t>Pašreizējā kreditēšanas modeļa nosacījums valsts galvotam studējošā kredītam, balstoties uz Studiju un zinātņu administrācijas mājaslapā publicētajiem datiem, paredz, ka izsniedzamās summas apmērs nepārsniedz 80% no valstī noteiktās minimālās mēnešalgas un izmaksājams 10</w:t>
            </w:r>
          </w:p>
          <w:p w14:paraId="0644A060" w14:textId="77777777" w:rsidR="00205DF2" w:rsidRPr="00EC2062" w:rsidRDefault="00205DF2" w:rsidP="00205DF2">
            <w:pPr>
              <w:pStyle w:val="NoSpacing"/>
              <w:jc w:val="both"/>
            </w:pPr>
            <w:r w:rsidRPr="00EC2062">
              <w:t xml:space="preserve">no 12 mēnešiem gadā. Jaunajā modelī paredzētais studējošā kredīta apmērs nepārsniedz vienu valstī noteiktu minimālo mēnešalgu pēc nodokļu </w:t>
            </w:r>
            <w:r w:rsidRPr="00EC2062">
              <w:lastRenderedPageBreak/>
              <w:t>samaksas, taču kopumā nepārsniedz 6 500 EUR. Daļa studiju programmu ilgst četrus gadus, turklāt studējošajam ir jārod līdzekļi, lai sevi uzturētu visa gada garumā, tāpēc LSA lūdz rast iespēju piešķirt studējošajam iespēju saņemt studējošā kredītu visus 12 mēnešus gadā. LSA iebilst studējošā kredīta kopsummas ierobežošanai normatīvajos aktos un aicina atcelt kopsummas griestus.</w:t>
            </w:r>
          </w:p>
          <w:p w14:paraId="11C93647" w14:textId="77777777" w:rsidR="004174E6" w:rsidRPr="00EC2062" w:rsidRDefault="004174E6" w:rsidP="00205DF2">
            <w:pPr>
              <w:pStyle w:val="NoSpacing"/>
              <w:jc w:val="both"/>
            </w:pPr>
          </w:p>
          <w:p w14:paraId="62734B27" w14:textId="77777777" w:rsidR="004174E6" w:rsidRPr="00EC2062" w:rsidRDefault="004174E6" w:rsidP="004174E6">
            <w:pPr>
              <w:widowControl w:val="0"/>
              <w:jc w:val="both"/>
              <w:rPr>
                <w:b/>
              </w:rPr>
            </w:pPr>
            <w:r w:rsidRPr="00EC2062">
              <w:rPr>
                <w:b/>
              </w:rPr>
              <w:t>Latvijas Jauno zinātnieku apvienība (16.05.2019. vēstule):</w:t>
            </w:r>
          </w:p>
          <w:p w14:paraId="7C170CCD" w14:textId="77777777" w:rsidR="004174E6" w:rsidRPr="00EC2062" w:rsidRDefault="004174E6" w:rsidP="004174E6">
            <w:pPr>
              <w:widowControl w:val="0"/>
              <w:jc w:val="both"/>
            </w:pPr>
            <w:r w:rsidRPr="00EC2062">
              <w:t xml:space="preserve">LJZA noteikti atbalsta ideju, ka studējošā kredītu varētu saņemt visu studiju laiku, neierobežojot kopējo summu, jo studiju ilgumi ir dažādi un maksimālās summas noteikšana negatīvi ietekmēt garās studiju programmās studējošos. Bet mēs neredzam pamatojumu idejai saņemt studējošā 2 kredītu tikai 10 mēnešus gadā. Protams, studiju ilgums gadā ir 10 mēneši, bet tas jau nenozīmē, ka dzīvošanas izmaksas ir jāsedz tikai 10 mēnešus gadā. Mēs iesākam </w:t>
            </w:r>
            <w:r w:rsidRPr="00EC2062">
              <w:lastRenderedPageBreak/>
              <w:t xml:space="preserve">studējošo kredītus, tomēr piešķirt visa gada garumā. </w:t>
            </w:r>
          </w:p>
          <w:p w14:paraId="1B531B6C" w14:textId="77777777" w:rsidR="004174E6" w:rsidRPr="00EC2062" w:rsidRDefault="004174E6" w:rsidP="004174E6">
            <w:pPr>
              <w:widowControl w:val="0"/>
              <w:jc w:val="both"/>
            </w:pPr>
          </w:p>
          <w:p w14:paraId="5E4FB6F4" w14:textId="77777777" w:rsidR="004174E6" w:rsidRPr="00EC2062" w:rsidRDefault="004174E6" w:rsidP="004174E6">
            <w:pPr>
              <w:widowControl w:val="0"/>
              <w:jc w:val="both"/>
              <w:rPr>
                <w:b/>
              </w:rPr>
            </w:pPr>
            <w:r w:rsidRPr="00EC2062">
              <w:rPr>
                <w:b/>
              </w:rPr>
              <w:t>Latvijas Jauno zinātnieku apvienība (25.06.2019. vēstule):</w:t>
            </w:r>
          </w:p>
          <w:p w14:paraId="34D46ED6" w14:textId="04A5671F" w:rsidR="004174E6" w:rsidRPr="00EC2062" w:rsidRDefault="004174E6" w:rsidP="004174E6">
            <w:pPr>
              <w:widowControl w:val="0"/>
              <w:jc w:val="both"/>
            </w:pPr>
            <w:r w:rsidRPr="00EC2062">
              <w:t>Kāpēc kredītu saņem tikai 10 mēnešus gadā, ja dzīvošanas izmaksas jāsedz visus 12 mēnešus gadā? Mēs stipri iesakām veidot sistēmu, kurā kredītu saņem 12 mēnešus gadā, jo vasaras mēnešos izmaksas nepazūd. Lai arī studijas augstskolās nenotiek, sadzīves izmaksas studentiem ir jāsedz.</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60F26E1" w14:textId="4BE32C57" w:rsidR="00205DF2" w:rsidRPr="00EC2062" w:rsidRDefault="00205DF2" w:rsidP="00205DF2">
            <w:pPr>
              <w:jc w:val="center"/>
              <w:rPr>
                <w:b/>
              </w:rPr>
            </w:pPr>
            <w:r w:rsidRPr="00EC2062">
              <w:rPr>
                <w:b/>
              </w:rPr>
              <w:lastRenderedPageBreak/>
              <w:t xml:space="preserve">Ņemts vērā. Saskaņots ar </w:t>
            </w:r>
          </w:p>
          <w:p w14:paraId="2E53474D" w14:textId="67DED222" w:rsidR="00205DF2" w:rsidRPr="00EC2062" w:rsidRDefault="00205DF2" w:rsidP="00205DF2">
            <w:pPr>
              <w:jc w:val="both"/>
              <w:rPr>
                <w:b/>
              </w:rPr>
            </w:pPr>
            <w:r w:rsidRPr="00EC2062">
              <w:rPr>
                <w:b/>
              </w:rPr>
              <w:t xml:space="preserve">LSA </w:t>
            </w:r>
            <w:r w:rsidRPr="00EC2062">
              <w:rPr>
                <w:rFonts w:ascii="TimesNewRomanPSMT" w:eastAsia="Calibri" w:hAnsi="TimesNewRomanPSMT" w:cs="TimesNewRomanPSMT"/>
                <w:b/>
              </w:rPr>
              <w:t>24.06.2019.</w:t>
            </w:r>
            <w:r w:rsidRPr="00EC2062">
              <w:rPr>
                <w:b/>
              </w:rPr>
              <w:t xml:space="preserve"> vēstuli Nr. 2019/PV26.</w:t>
            </w:r>
          </w:p>
          <w:p w14:paraId="4A21F660" w14:textId="061237A6" w:rsidR="00205DF2" w:rsidRPr="008F4BE3" w:rsidRDefault="00205DF2" w:rsidP="00205DF2">
            <w:pPr>
              <w:jc w:val="center"/>
              <w:rPr>
                <w:b/>
              </w:rPr>
            </w:pPr>
          </w:p>
          <w:p w14:paraId="13F5ACB3" w14:textId="77777777" w:rsidR="00205DF2" w:rsidRDefault="00205DF2" w:rsidP="00205DF2">
            <w:pPr>
              <w:jc w:val="both"/>
            </w:pPr>
            <w:r>
              <w:t>Ministrija nepiekrīt studējošā kredītu izsniegšanai 12 mēnešus gadā paredzēto 10 mēnešu vietā, jo prioritāte būtu novirzīt līdzekļus jauno kredītu izsniegšanai un 2 mēnešus gadā studijas nenotiek. Dzīvošanas izmaksas laikā kad nenotiek studijas var segt citā veidā, piemēram, strādājot vasaras brīvdienu laikā; pašreiz darba tirgus situācija ir labvēlīga darba ņēmējiem.</w:t>
            </w:r>
          </w:p>
          <w:p w14:paraId="52EF111D" w14:textId="77777777" w:rsidR="00205DF2" w:rsidRDefault="00205DF2" w:rsidP="00205DF2">
            <w:pPr>
              <w:jc w:val="both"/>
            </w:pPr>
          </w:p>
          <w:p w14:paraId="400144D4" w14:textId="77777777" w:rsidR="00205DF2" w:rsidRDefault="00205DF2" w:rsidP="00205DF2">
            <w:pPr>
              <w:jc w:val="both"/>
            </w:pPr>
            <w:r>
              <w:t>Savukārt attiecībā uz studējošā kredīta sumu m</w:t>
            </w:r>
            <w:r w:rsidRPr="00BE6B8C">
              <w:t xml:space="preserve">inistrija sagatavojot normatīvo regulējumu plāno virzīt risinājumu bez </w:t>
            </w:r>
            <w:r w:rsidRPr="00BE6B8C">
              <w:lastRenderedPageBreak/>
              <w:t>studējošā kredīta summas ierobežojuma vai arī noteikt tādu summas ierobežojumu, kas segtu izmaksas visā tipiskajā studiju posmā.</w:t>
            </w:r>
          </w:p>
          <w:p w14:paraId="0BBA5063" w14:textId="77777777" w:rsidR="004174E6" w:rsidRDefault="004174E6" w:rsidP="00205DF2">
            <w:pPr>
              <w:jc w:val="both"/>
            </w:pPr>
          </w:p>
          <w:p w14:paraId="5D651937" w14:textId="77777777" w:rsidR="00537B65" w:rsidRDefault="004174E6" w:rsidP="00205DF2">
            <w:pPr>
              <w:jc w:val="both"/>
            </w:pPr>
            <w:r>
              <w:t>Papildināta projekta  sadaļa “</w:t>
            </w:r>
            <w:r w:rsidRPr="00BE6B8C">
              <w:t>Jaunais kreditēšanas modelis</w:t>
            </w:r>
            <w:r>
              <w:t>”</w:t>
            </w:r>
            <w:r w:rsidR="00537B65">
              <w:t>.</w:t>
            </w:r>
          </w:p>
          <w:p w14:paraId="33FC8014" w14:textId="77777777" w:rsidR="00537B65" w:rsidRDefault="00537B65" w:rsidP="00205DF2">
            <w:pPr>
              <w:jc w:val="both"/>
            </w:pPr>
          </w:p>
          <w:p w14:paraId="78CA5428" w14:textId="77777777" w:rsidR="00537B65" w:rsidRDefault="00537B65" w:rsidP="00205DF2">
            <w:pPr>
              <w:jc w:val="both"/>
            </w:pPr>
          </w:p>
          <w:p w14:paraId="050B7B05" w14:textId="77777777" w:rsidR="00537B65" w:rsidRDefault="00537B65" w:rsidP="00205DF2">
            <w:pPr>
              <w:jc w:val="both"/>
            </w:pPr>
          </w:p>
          <w:p w14:paraId="247B254B" w14:textId="77777777" w:rsidR="00537B65" w:rsidRDefault="00537B65" w:rsidP="00205DF2">
            <w:pPr>
              <w:jc w:val="both"/>
            </w:pPr>
          </w:p>
          <w:p w14:paraId="235263BF" w14:textId="77777777" w:rsidR="00537B65" w:rsidRDefault="00537B65" w:rsidP="00205DF2">
            <w:pPr>
              <w:jc w:val="both"/>
            </w:pPr>
          </w:p>
          <w:p w14:paraId="0B1D072E" w14:textId="77777777" w:rsidR="00537B65" w:rsidRDefault="00537B65" w:rsidP="00205DF2">
            <w:pPr>
              <w:jc w:val="both"/>
            </w:pPr>
          </w:p>
          <w:p w14:paraId="73A921AF" w14:textId="77777777" w:rsidR="00537B65" w:rsidRDefault="00537B65" w:rsidP="00205DF2">
            <w:pPr>
              <w:jc w:val="both"/>
            </w:pPr>
          </w:p>
          <w:p w14:paraId="3A7E3CB2" w14:textId="77777777" w:rsidR="00537B65" w:rsidRDefault="00537B65" w:rsidP="00205DF2">
            <w:pPr>
              <w:jc w:val="both"/>
            </w:pPr>
          </w:p>
          <w:p w14:paraId="17EB57E7" w14:textId="77777777" w:rsidR="00537B65" w:rsidRDefault="00537B65" w:rsidP="00205DF2">
            <w:pPr>
              <w:jc w:val="both"/>
            </w:pPr>
          </w:p>
          <w:p w14:paraId="3A97E739" w14:textId="77777777" w:rsidR="00537B65" w:rsidRDefault="00537B65" w:rsidP="00205DF2">
            <w:pPr>
              <w:jc w:val="both"/>
            </w:pPr>
          </w:p>
          <w:p w14:paraId="708E5949" w14:textId="77777777" w:rsidR="00537B65" w:rsidRDefault="00537B65" w:rsidP="00205DF2">
            <w:pPr>
              <w:jc w:val="both"/>
            </w:pPr>
          </w:p>
          <w:p w14:paraId="20042EB9" w14:textId="77777777" w:rsidR="00537B65" w:rsidRDefault="00537B65" w:rsidP="00205DF2">
            <w:pPr>
              <w:jc w:val="both"/>
            </w:pPr>
          </w:p>
          <w:p w14:paraId="5B812395" w14:textId="77777777" w:rsidR="00537B65" w:rsidRDefault="00537B65" w:rsidP="00205DF2">
            <w:pPr>
              <w:jc w:val="both"/>
            </w:pPr>
          </w:p>
          <w:p w14:paraId="043EE3B3" w14:textId="77777777" w:rsidR="00537B65" w:rsidRDefault="00537B65" w:rsidP="00205DF2">
            <w:pPr>
              <w:jc w:val="both"/>
            </w:pPr>
          </w:p>
          <w:p w14:paraId="7BB1F1F6" w14:textId="77777777" w:rsidR="00537B65" w:rsidRDefault="00537B65" w:rsidP="00205DF2">
            <w:pPr>
              <w:jc w:val="both"/>
            </w:pPr>
          </w:p>
          <w:p w14:paraId="749C6373" w14:textId="77777777" w:rsidR="00537B65" w:rsidRDefault="00537B65" w:rsidP="00205DF2">
            <w:pPr>
              <w:jc w:val="both"/>
            </w:pPr>
          </w:p>
          <w:p w14:paraId="2EA02100" w14:textId="77777777" w:rsidR="00537B65" w:rsidRDefault="00537B65" w:rsidP="00205DF2">
            <w:pPr>
              <w:jc w:val="both"/>
            </w:pPr>
          </w:p>
          <w:p w14:paraId="501EB7F8" w14:textId="77777777" w:rsidR="00537B65" w:rsidRDefault="00537B65" w:rsidP="00205DF2">
            <w:pPr>
              <w:jc w:val="both"/>
            </w:pPr>
          </w:p>
          <w:p w14:paraId="45847D0F" w14:textId="77777777" w:rsidR="00537B65" w:rsidRDefault="00537B65" w:rsidP="00205DF2">
            <w:pPr>
              <w:jc w:val="both"/>
            </w:pPr>
          </w:p>
          <w:p w14:paraId="06BE8BBC" w14:textId="77777777" w:rsidR="00537B65" w:rsidRDefault="00537B65" w:rsidP="00205DF2">
            <w:pPr>
              <w:jc w:val="both"/>
            </w:pPr>
          </w:p>
          <w:p w14:paraId="57035242" w14:textId="77777777" w:rsidR="00537B65" w:rsidRDefault="00537B65" w:rsidP="00205DF2">
            <w:pPr>
              <w:jc w:val="both"/>
            </w:pPr>
          </w:p>
          <w:p w14:paraId="35779933" w14:textId="77777777" w:rsidR="00537B65" w:rsidRDefault="00537B65" w:rsidP="00205DF2">
            <w:pPr>
              <w:jc w:val="both"/>
            </w:pPr>
          </w:p>
          <w:p w14:paraId="483D1098" w14:textId="77777777" w:rsidR="00537B65" w:rsidRDefault="00537B65" w:rsidP="00205DF2">
            <w:pPr>
              <w:jc w:val="both"/>
            </w:pPr>
          </w:p>
          <w:p w14:paraId="69B2739A" w14:textId="77777777" w:rsidR="00537B65" w:rsidRDefault="00537B65" w:rsidP="00205DF2">
            <w:pPr>
              <w:jc w:val="both"/>
            </w:pPr>
          </w:p>
          <w:p w14:paraId="7E09D9B8" w14:textId="77777777" w:rsidR="00537B65" w:rsidRDefault="00537B65" w:rsidP="00205DF2">
            <w:pPr>
              <w:jc w:val="both"/>
            </w:pPr>
          </w:p>
          <w:p w14:paraId="5AF274EF" w14:textId="77777777" w:rsidR="00537B65" w:rsidRDefault="00537B65" w:rsidP="00205DF2">
            <w:pPr>
              <w:jc w:val="both"/>
            </w:pPr>
          </w:p>
          <w:p w14:paraId="03ACE365" w14:textId="77777777" w:rsidR="00537B65" w:rsidRDefault="00537B65" w:rsidP="00205DF2">
            <w:pPr>
              <w:jc w:val="both"/>
            </w:pPr>
          </w:p>
          <w:p w14:paraId="1A9C4EE5" w14:textId="77777777" w:rsidR="00537B65" w:rsidRDefault="00537B65" w:rsidP="00205DF2">
            <w:pPr>
              <w:jc w:val="both"/>
            </w:pPr>
          </w:p>
          <w:p w14:paraId="798B5951" w14:textId="77777777" w:rsidR="00537B65" w:rsidRDefault="00537B65" w:rsidP="00205DF2">
            <w:pPr>
              <w:jc w:val="both"/>
            </w:pPr>
          </w:p>
          <w:p w14:paraId="71EE661E" w14:textId="77777777" w:rsidR="00537B65" w:rsidRDefault="00537B65" w:rsidP="00205DF2">
            <w:pPr>
              <w:jc w:val="both"/>
            </w:pPr>
          </w:p>
          <w:p w14:paraId="2AC96464" w14:textId="185403FF" w:rsidR="00537B65" w:rsidRDefault="00537B65" w:rsidP="00537B65">
            <w:pPr>
              <w:jc w:val="both"/>
            </w:pPr>
            <w:r>
              <w:t>Pie jebkura atbalstītā rīcības varianta finansējums būs ierobežots. Šādā situācija prioritāte ir jauno kredītu pieejamība. 2 mēnešus gadā studijas nenotiek. Dzīvošanas izmaksas laikā kad nenotiek studijas var segt citā veidā, piemēram, strādājot vasaras brīvdienu laikā; pašreiz darba tirgus situācija ir labvēlīga darba ņēmējiem.</w:t>
            </w:r>
          </w:p>
          <w:p w14:paraId="54ACD07F" w14:textId="2C052B91" w:rsidR="00537B65" w:rsidRPr="00537B65" w:rsidRDefault="00537B65" w:rsidP="00205DF2">
            <w:pPr>
              <w:jc w:val="both"/>
            </w:pPr>
          </w:p>
        </w:tc>
        <w:tc>
          <w:tcPr>
            <w:tcW w:w="2986" w:type="dxa"/>
            <w:tcBorders>
              <w:top w:val="single" w:sz="4" w:space="0" w:color="auto"/>
              <w:left w:val="single" w:sz="4" w:space="0" w:color="auto"/>
              <w:bottom w:val="single" w:sz="4" w:space="0" w:color="auto"/>
            </w:tcBorders>
          </w:tcPr>
          <w:p w14:paraId="0E645207" w14:textId="438AC6FC" w:rsidR="004174E6" w:rsidRDefault="004174E6" w:rsidP="004174E6">
            <w:pPr>
              <w:jc w:val="both"/>
            </w:pPr>
            <w:r>
              <w:lastRenderedPageBreak/>
              <w:t>Projekta  sadaļa “</w:t>
            </w:r>
            <w:r w:rsidRPr="00BE6B8C">
              <w:t>Jaunais kreditēšanas modelis</w:t>
            </w:r>
            <w:r>
              <w:t>”:</w:t>
            </w:r>
          </w:p>
          <w:p w14:paraId="20EC4D64" w14:textId="77777777" w:rsidR="00205DF2" w:rsidRDefault="004174E6" w:rsidP="00205DF2">
            <w:pPr>
              <w:spacing w:after="160" w:line="259" w:lineRule="auto"/>
              <w:jc w:val="both"/>
            </w:pPr>
            <w:r>
              <w:t>“</w:t>
            </w:r>
            <w:r w:rsidR="006B41DF" w:rsidRPr="00BE6B8C">
              <w:t>10)</w:t>
            </w:r>
            <w:r w:rsidR="006B41DF" w:rsidRPr="00BE6B8C">
              <w:tab/>
              <w:t xml:space="preserve">studējošā kredīta apmērs tiks noteikts kā pašlaik līdz 80% apmērā no valstī noteiktās minimālās mēneša algas apjoma. Darba grupā tika izvirzīts priekšlikums noteikt tā maksimālo summu ne vairāk kā vidējā studējošā kredīta apmērā (orientējoši 6 500 euro), lai ierobežotu kopējo kredītsaistību apmēru, ko viens studējošais uzņēmās. Taču par šo jautājumu darba grupas ietvaros nebija </w:t>
            </w:r>
            <w:r w:rsidR="006B41DF" w:rsidRPr="00BE6B8C">
              <w:lastRenderedPageBreak/>
              <w:t>vienotā viedokļa, pastāv arī viedoklis, ka studējošā kredītu varētu saņemt visu studiju laiku, neierobežojot kopējo summu, 80% no valstī noteiktās minimālās mēneša algas apjoma, 10 mēnešus gadā. Ministrija sagatavojot normatīvo regulējumu plāno virzīt risinājumu bez studējošā kredīta summas ierobežojuma vai arī noteikt tādu summas ierobežojumu, kas segtu izmaksas visā tipiskajā studiju posmā. Par šī jautājuma gala risinājumu ministrija plāno vienoties ar darba grupas dalībniekiem Ministru kabineta noteikumu izstrādes gaitā; tas konceptuāli nemaina jauno risinājumu;</w:t>
            </w:r>
            <w:r>
              <w:t>”</w:t>
            </w:r>
          </w:p>
          <w:p w14:paraId="04C7804A" w14:textId="2C200DDA" w:rsidR="004174E6" w:rsidRDefault="004174E6" w:rsidP="004174E6">
            <w:pPr>
              <w:jc w:val="both"/>
            </w:pPr>
          </w:p>
        </w:tc>
      </w:tr>
      <w:tr w:rsidR="00E73F9E" w:rsidRPr="001801C2" w14:paraId="4217FF91" w14:textId="77777777" w:rsidTr="00250134">
        <w:tc>
          <w:tcPr>
            <w:tcW w:w="708" w:type="dxa"/>
            <w:tcBorders>
              <w:top w:val="single" w:sz="6" w:space="0" w:color="000000"/>
              <w:left w:val="single" w:sz="6" w:space="0" w:color="000000"/>
              <w:bottom w:val="single" w:sz="6" w:space="0" w:color="000000"/>
              <w:right w:val="single" w:sz="6" w:space="0" w:color="000000"/>
            </w:tcBorders>
          </w:tcPr>
          <w:p w14:paraId="3F943B72" w14:textId="0A853986" w:rsidR="00E73F9E" w:rsidRPr="001801C2" w:rsidRDefault="00E73F9E" w:rsidP="00E73F9E">
            <w:pPr>
              <w:jc w:val="right"/>
            </w:pPr>
          </w:p>
        </w:tc>
        <w:tc>
          <w:tcPr>
            <w:tcW w:w="3112" w:type="dxa"/>
            <w:tcBorders>
              <w:top w:val="single" w:sz="6" w:space="0" w:color="000000"/>
              <w:left w:val="single" w:sz="6" w:space="0" w:color="000000"/>
              <w:bottom w:val="single" w:sz="6" w:space="0" w:color="000000"/>
              <w:right w:val="single" w:sz="6" w:space="0" w:color="000000"/>
            </w:tcBorders>
          </w:tcPr>
          <w:p w14:paraId="7BA0D9B7" w14:textId="77777777" w:rsidR="00E73F9E" w:rsidRDefault="00E73F9E" w:rsidP="00E73F9E">
            <w:pPr>
              <w:pStyle w:val="naisc"/>
              <w:spacing w:before="0" w:after="0"/>
              <w:jc w:val="both"/>
            </w:pPr>
            <w:r>
              <w:t xml:space="preserve">Projekts, </w:t>
            </w:r>
            <w:r w:rsidRPr="002236BA">
              <w:t>Protokollēmuma projekta 4. punkts:</w:t>
            </w:r>
          </w:p>
          <w:p w14:paraId="34B966F2" w14:textId="64CD3312" w:rsidR="00E73F9E" w:rsidRDefault="00E73F9E" w:rsidP="00E73F9E">
            <w:pPr>
              <w:spacing w:after="160" w:line="259" w:lineRule="auto"/>
              <w:jc w:val="both"/>
            </w:pPr>
            <w:r w:rsidRPr="002236BA">
              <w:t>“4.</w:t>
            </w:r>
            <w:r w:rsidRPr="002236BA">
              <w:tab/>
              <w:t xml:space="preserve">Pieņemt zināšanai, ka, īstenojot konceptuālajā ziņojumā „ Par valsts galvoto studiju un studējošo kreditēšanas sistēmas maiņu” ietverto 4. rīcības variantu, 2019. gadā netiek uzsākta jaunu kredītu dzēšana par darbu Ministra kabineta noteiktajās jomās un amatos. Izglītības un zinātnes ministrijai sagatavot un līdz 2019. gada 31. septembrim iesniegt Ministru kabinetā </w:t>
            </w:r>
            <w:r w:rsidRPr="002236BA">
              <w:lastRenderedPageBreak/>
              <w:t>grozījumus Ministru kabineta 2001. gada 29. maija noteikumos Nr. 220 "Kārtība, kādā tiek piešķirts, atmaksāts un dzēsts studiju kredīts un studējošā kredīts no kredītiestādes līdzekļiem ar valsts vārdā sniegtu galvojumu" un Ministru kabineta 2001. gada 29. maija noteikumos Nr. 219 "Kārtība, kādā tiek piešķirts, atmaksāts un dzēsts studiju kredīts no valsts budžeta līdzekļiem", svītrojot regulējumu par kredītu dzēšanu par darbu Ministra kabineta noteiktajās jomās un amatos.”</w:t>
            </w:r>
          </w:p>
        </w:tc>
        <w:tc>
          <w:tcPr>
            <w:tcW w:w="3260" w:type="dxa"/>
            <w:tcBorders>
              <w:top w:val="single" w:sz="6" w:space="0" w:color="000000"/>
              <w:left w:val="single" w:sz="6" w:space="0" w:color="000000"/>
              <w:bottom w:val="single" w:sz="6" w:space="0" w:color="000000"/>
              <w:right w:val="single" w:sz="6" w:space="0" w:color="000000"/>
            </w:tcBorders>
          </w:tcPr>
          <w:p w14:paraId="2F2D2177" w14:textId="77777777" w:rsidR="00E73F9E" w:rsidRPr="003F5DB4" w:rsidRDefault="00E73F9E" w:rsidP="00E73F9E">
            <w:pPr>
              <w:jc w:val="both"/>
              <w:rPr>
                <w:b/>
              </w:rPr>
            </w:pPr>
            <w:r w:rsidRPr="00600C8E">
              <w:rPr>
                <w:b/>
              </w:rPr>
              <w:lastRenderedPageBreak/>
              <w:t>(</w:t>
            </w:r>
            <w:r w:rsidRPr="003F5DB4">
              <w:rPr>
                <w:b/>
              </w:rPr>
              <w:t xml:space="preserve">LSA </w:t>
            </w:r>
            <w:r w:rsidRPr="00BC711A">
              <w:rPr>
                <w:rFonts w:ascii="TimesNewRomanPSMT" w:eastAsia="Calibri" w:hAnsi="TimesNewRomanPSMT" w:cs="TimesNewRomanPSMT"/>
                <w:b/>
              </w:rPr>
              <w:t>24.06.2019.</w:t>
            </w:r>
            <w:r w:rsidRPr="003F5DB4">
              <w:rPr>
                <w:b/>
              </w:rPr>
              <w:t xml:space="preserve"> atzinums </w:t>
            </w:r>
            <w:r w:rsidRPr="00BC711A">
              <w:rPr>
                <w:b/>
              </w:rPr>
              <w:t>Nr. 2019/PV26</w:t>
            </w:r>
            <w:r w:rsidRPr="003F5DB4">
              <w:rPr>
                <w:b/>
              </w:rPr>
              <w:t>):</w:t>
            </w:r>
          </w:p>
          <w:p w14:paraId="7169A998" w14:textId="2DFE0CFA" w:rsidR="00E73F9E" w:rsidRPr="003F5DB4" w:rsidRDefault="00E73F9E" w:rsidP="00E73F9E">
            <w:pPr>
              <w:autoSpaceDE w:val="0"/>
              <w:autoSpaceDN w:val="0"/>
              <w:adjustRightInd w:val="0"/>
              <w:jc w:val="both"/>
              <w:rPr>
                <w:rFonts w:ascii="TimesNewRomanPSMT" w:eastAsia="Calibri" w:hAnsi="TimesNewRomanPSMT" w:cs="TimesNewRomanPSMT"/>
              </w:rPr>
            </w:pPr>
            <w:r w:rsidRPr="003F5DB4">
              <w:rPr>
                <w:rFonts w:ascii="TimesNewRomanPS-BoldMT" w:eastAsia="Calibri" w:hAnsi="TimesNewRomanPS-BoldMT" w:cs="TimesNewRomanPS-BoldMT"/>
                <w:bCs/>
              </w:rPr>
              <w:t xml:space="preserve">LSA </w:t>
            </w:r>
            <w:r w:rsidRPr="003F5DB4">
              <w:rPr>
                <w:rFonts w:ascii="TimesNewRomanPS-BoldMT" w:eastAsia="Calibri" w:hAnsi="TimesNewRomanPS-BoldMT" w:cs="TimesNewRomanPS-BoldMT"/>
                <w:b/>
                <w:bCs/>
              </w:rPr>
              <w:t>iebilst</w:t>
            </w:r>
            <w:r w:rsidRPr="003F5DB4">
              <w:rPr>
                <w:rFonts w:ascii="TimesNewRomanPS-BoldMT" w:eastAsia="Calibri" w:hAnsi="TimesNewRomanPS-BoldMT" w:cs="TimesNewRomanPS-BoldMT"/>
                <w:bCs/>
              </w:rPr>
              <w:t xml:space="preserve"> </w:t>
            </w:r>
            <w:r w:rsidRPr="003F5DB4">
              <w:rPr>
                <w:rFonts w:ascii="TimesNewRomanPSMT" w:eastAsia="Calibri" w:hAnsi="TimesNewRomanPSMT" w:cs="TimesNewRomanPSMT"/>
              </w:rPr>
              <w:t xml:space="preserve">Ministru kabineta protokollēmuma projektā par konceptuālo ziņojumu „Par studiju un studējošo kreditēšanas no kredītiestāžu līdzekļiem ar valsts vārdā sniegtu galvojumu modeļa maiņu” </w:t>
            </w:r>
            <w:r w:rsidR="004174E6">
              <w:rPr>
                <w:rFonts w:ascii="TimesNewRomanPS-BoldMT" w:eastAsia="Calibri" w:hAnsi="TimesNewRomanPS-BoldMT" w:cs="TimesNewRomanPS-BoldMT"/>
                <w:bCs/>
              </w:rPr>
              <w:t xml:space="preserve">4. </w:t>
            </w:r>
            <w:r w:rsidRPr="003F5DB4">
              <w:rPr>
                <w:rFonts w:ascii="TimesNewRomanPS-BoldMT" w:eastAsia="Calibri" w:hAnsi="TimesNewRomanPS-BoldMT" w:cs="TimesNewRomanPS-BoldMT"/>
                <w:bCs/>
              </w:rPr>
              <w:t>punktā un konceptuālajā ziņojumā paustajam, ka 2019.gadā netiks</w:t>
            </w:r>
            <w:r w:rsidRPr="003F5DB4">
              <w:rPr>
                <w:rFonts w:ascii="TimesNewRomanPSMT" w:eastAsia="Calibri" w:hAnsi="TimesNewRomanPSMT" w:cs="TimesNewRomanPSMT"/>
              </w:rPr>
              <w:t xml:space="preserve"> </w:t>
            </w:r>
            <w:r w:rsidRPr="003F5DB4">
              <w:rPr>
                <w:rFonts w:ascii="TimesNewRomanPS-BoldMT" w:eastAsia="Calibri" w:hAnsi="TimesNewRomanPS-BoldMT" w:cs="TimesNewRomanPS-BoldMT"/>
                <w:bCs/>
              </w:rPr>
              <w:t>uzsākta jaunu kredītu dzēšana par darbu Ministra kabineta noteiktajās jomās un amatos</w:t>
            </w:r>
            <w:r w:rsidRPr="003F5DB4">
              <w:rPr>
                <w:rFonts w:ascii="TimesNewRomanPSMT" w:eastAsia="Calibri" w:hAnsi="TimesNewRomanPSMT" w:cs="TimesNewRomanPSMT"/>
              </w:rPr>
              <w:t xml:space="preserve"> </w:t>
            </w:r>
            <w:r w:rsidRPr="003F5DB4">
              <w:rPr>
                <w:rFonts w:ascii="TimesNewRomanPS-BoldMT" w:eastAsia="Calibri" w:hAnsi="TimesNewRomanPS-BoldMT" w:cs="TimesNewRomanPS-BoldMT"/>
                <w:bCs/>
              </w:rPr>
              <w:t xml:space="preserve">un rosina 2019. gadā turpināt kredītu dzēšanu publiskajā </w:t>
            </w:r>
            <w:r w:rsidRPr="003F5DB4">
              <w:rPr>
                <w:rFonts w:ascii="TimesNewRomanPS-BoldMT" w:eastAsia="Calibri" w:hAnsi="TimesNewRomanPS-BoldMT" w:cs="TimesNewRomanPS-BoldMT"/>
                <w:bCs/>
              </w:rPr>
              <w:lastRenderedPageBreak/>
              <w:t xml:space="preserve">sektorā nodarbinātajiem. </w:t>
            </w:r>
            <w:r w:rsidRPr="003F5DB4">
              <w:rPr>
                <w:rFonts w:ascii="TimesNewRomanPSMT" w:eastAsia="Calibri" w:hAnsi="TimesNewRomanPSMT" w:cs="TimesNewRomanPSMT"/>
              </w:rPr>
              <w:t>Ņemot vērā to, ka apstiprināšanas gadījumā jaunais modelis savu darbību uzsāktu 2020. gada pavasarī,</w:t>
            </w:r>
          </w:p>
          <w:p w14:paraId="47AF2648" w14:textId="7D9C247A" w:rsidR="00E73F9E" w:rsidRPr="00BC711A" w:rsidRDefault="00E73F9E" w:rsidP="00E73F9E">
            <w:pPr>
              <w:jc w:val="both"/>
              <w:rPr>
                <w:rFonts w:ascii="TimesNewRoman" w:eastAsia="Calibri" w:hAnsi="TimesNewRoman" w:cs="TimesNewRoman"/>
                <w:b/>
              </w:rPr>
            </w:pPr>
            <w:r w:rsidRPr="003F5DB4">
              <w:rPr>
                <w:rFonts w:ascii="TimesNewRomanPSMT" w:eastAsia="Calibri" w:hAnsi="TimesNewRomanPSMT" w:cs="TimesNewRomanPSMT"/>
              </w:rPr>
              <w:t xml:space="preserve">LSA aicina IZM ievērot tiesisko paļāvību pret kredītņēmējiem un turpināt dzēst kredītus vismaz 2019. gadā. LSA rosina nesvītrot regulējumu par kredītu dzēšanu par darbu Ministra kabineta noteiktajās jomās un amatos, atstājot šo regulējumu normatīvajos aktos. </w:t>
            </w:r>
            <w:r w:rsidRPr="003F5DB4">
              <w:rPr>
                <w:rFonts w:ascii="TimesNewRomanPS-BoldMT" w:eastAsia="Calibri" w:hAnsi="TimesNewRomanPS-BoldMT" w:cs="TimesNewRomanPS-BoldMT"/>
                <w:bCs/>
              </w:rPr>
              <w:t>LSA lūdz IZM izveidot</w:t>
            </w:r>
            <w:r w:rsidRPr="003F5DB4">
              <w:rPr>
                <w:rFonts w:ascii="TimesNewRomanPSMT" w:eastAsia="Calibri" w:hAnsi="TimesNewRomanPSMT" w:cs="TimesNewRomanPSMT"/>
              </w:rPr>
              <w:t xml:space="preserve"> </w:t>
            </w:r>
            <w:r w:rsidRPr="003F5DB4">
              <w:rPr>
                <w:rFonts w:ascii="TimesNewRomanPS-BoldMT" w:eastAsia="Calibri" w:hAnsi="TimesNewRomanPS-BoldMT" w:cs="TimesNewRomanPS-BoldMT"/>
                <w:bCs/>
              </w:rPr>
              <w:t xml:space="preserve">atsevišķu darba grupu, </w:t>
            </w:r>
            <w:r w:rsidRPr="003F5DB4">
              <w:rPr>
                <w:rFonts w:ascii="TimesNewRomanPSMT" w:eastAsia="Calibri" w:hAnsi="TimesNewRomanPSMT" w:cs="TimesNewRomanPSMT"/>
              </w:rPr>
              <w:t>kas izstrādās priekšlikumus studiju un studējošo kredītu ar valsts vārdā sniegtu galvojumu dzēšanas mehānisma pilnveidei, tādējādi izskatot gan iepriekš izskanējušās ieceres par jaunu kredītu dzēšanas administrēšanas modeli, gan procedūras pilnveidi pēc būtības.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F36AC8A" w14:textId="33AF34FE" w:rsidR="00D41A04" w:rsidRDefault="00E73F9E" w:rsidP="00D41A04">
            <w:pPr>
              <w:spacing w:after="160" w:line="259" w:lineRule="auto"/>
              <w:jc w:val="center"/>
            </w:pPr>
            <w:r>
              <w:rPr>
                <w:b/>
              </w:rPr>
              <w:lastRenderedPageBreak/>
              <w:t>Ņemts vērā pēc būtības</w:t>
            </w:r>
          </w:p>
          <w:p w14:paraId="255C863A" w14:textId="1108EC72" w:rsidR="00E73F9E" w:rsidRPr="002444A0" w:rsidRDefault="00537B65" w:rsidP="002444A0">
            <w:pPr>
              <w:spacing w:after="160" w:line="259" w:lineRule="auto"/>
              <w:jc w:val="both"/>
              <w:rPr>
                <w:highlight w:val="yellow"/>
              </w:rPr>
            </w:pPr>
            <w:r w:rsidRPr="00EC2062">
              <w:t>Viens no ziņojumā piedāvātiem rīcības variantiem paredz dzēšanas turpināšanu par darbu noteiktajās jomās un lēmums ir Ministru kabineta kompetencē. Vienlaicīgi tas nav rīkojuma projektā virzītais variants dēļ ziņojumā norādītiem apsv</w:t>
            </w:r>
            <w:r w:rsidR="002444A0" w:rsidRPr="00EC2062">
              <w:t>ērumiem (p</w:t>
            </w:r>
            <w:r w:rsidR="00D41A04" w:rsidRPr="00EC2062">
              <w:t>rojekta</w:t>
            </w:r>
            <w:r w:rsidRPr="00EC2062">
              <w:t xml:space="preserve"> sadaļa</w:t>
            </w:r>
            <w:r w:rsidR="00D41A04" w:rsidRPr="00EC2062">
              <w:t xml:space="preserve"> </w:t>
            </w:r>
            <w:r w:rsidR="00D41A04" w:rsidRPr="00EC2062">
              <w:rPr>
                <w:i/>
              </w:rPr>
              <w:t xml:space="preserve">Jaunā kreditēšanas modeļa ieviešanas varianti un to ietekme </w:t>
            </w:r>
            <w:r w:rsidRPr="00EC2062">
              <w:rPr>
                <w:i/>
              </w:rPr>
              <w:t>uz valsts un pašvaldīb</w:t>
            </w:r>
            <w:r w:rsidR="002444A0" w:rsidRPr="00EC2062">
              <w:rPr>
                <w:i/>
              </w:rPr>
              <w:t>u budžet; kopsavilkums)</w:t>
            </w:r>
            <w:r w:rsidRPr="00EC2062">
              <w:rPr>
                <w:i/>
              </w:rPr>
              <w:t>.</w:t>
            </w:r>
          </w:p>
        </w:tc>
        <w:tc>
          <w:tcPr>
            <w:tcW w:w="2986" w:type="dxa"/>
            <w:tcBorders>
              <w:top w:val="single" w:sz="4" w:space="0" w:color="auto"/>
              <w:left w:val="single" w:sz="4" w:space="0" w:color="auto"/>
              <w:bottom w:val="single" w:sz="4" w:space="0" w:color="auto"/>
            </w:tcBorders>
          </w:tcPr>
          <w:p w14:paraId="69963263" w14:textId="6CDCB95D" w:rsidR="00A926D5" w:rsidRPr="00BE6B8C" w:rsidRDefault="00A926D5" w:rsidP="00D41A04">
            <w:pPr>
              <w:spacing w:after="160" w:line="259" w:lineRule="auto"/>
              <w:jc w:val="both"/>
            </w:pPr>
          </w:p>
        </w:tc>
      </w:tr>
      <w:tr w:rsidR="003F5DB4" w:rsidRPr="001801C2" w14:paraId="53C546E2" w14:textId="77777777" w:rsidTr="00250134">
        <w:tc>
          <w:tcPr>
            <w:tcW w:w="708" w:type="dxa"/>
            <w:tcBorders>
              <w:top w:val="single" w:sz="6" w:space="0" w:color="000000"/>
              <w:left w:val="single" w:sz="6" w:space="0" w:color="000000"/>
              <w:bottom w:val="single" w:sz="6" w:space="0" w:color="000000"/>
              <w:right w:val="single" w:sz="6" w:space="0" w:color="000000"/>
            </w:tcBorders>
          </w:tcPr>
          <w:p w14:paraId="5AC1245E" w14:textId="77777777" w:rsidR="003F5DB4" w:rsidRPr="001801C2" w:rsidRDefault="003F5DB4" w:rsidP="003F5DB4">
            <w:pPr>
              <w:jc w:val="right"/>
            </w:pPr>
          </w:p>
        </w:tc>
        <w:tc>
          <w:tcPr>
            <w:tcW w:w="3112" w:type="dxa"/>
            <w:tcBorders>
              <w:top w:val="single" w:sz="6" w:space="0" w:color="000000"/>
              <w:left w:val="single" w:sz="6" w:space="0" w:color="000000"/>
              <w:bottom w:val="single" w:sz="6" w:space="0" w:color="000000"/>
              <w:right w:val="single" w:sz="6" w:space="0" w:color="000000"/>
            </w:tcBorders>
          </w:tcPr>
          <w:p w14:paraId="3E9D01AA" w14:textId="5D3B33AC" w:rsidR="003F5DB4" w:rsidRPr="002B2997" w:rsidRDefault="003F5DB4" w:rsidP="003F5DB4">
            <w:pPr>
              <w:pStyle w:val="naisc"/>
              <w:spacing w:before="0" w:after="0"/>
              <w:jc w:val="both"/>
            </w:pPr>
            <w:r w:rsidRPr="002B2997">
              <w:t>Projekts</w:t>
            </w:r>
          </w:p>
        </w:tc>
        <w:tc>
          <w:tcPr>
            <w:tcW w:w="3260" w:type="dxa"/>
            <w:tcBorders>
              <w:top w:val="single" w:sz="6" w:space="0" w:color="000000"/>
              <w:left w:val="single" w:sz="6" w:space="0" w:color="000000"/>
              <w:bottom w:val="single" w:sz="6" w:space="0" w:color="000000"/>
              <w:right w:val="single" w:sz="6" w:space="0" w:color="000000"/>
            </w:tcBorders>
          </w:tcPr>
          <w:p w14:paraId="433A260D" w14:textId="77777777" w:rsidR="003F5DB4" w:rsidRDefault="003F5DB4" w:rsidP="003F5DB4">
            <w:pPr>
              <w:jc w:val="both"/>
              <w:rPr>
                <w:rFonts w:ascii="TimesNewRoman" w:eastAsia="Calibri" w:hAnsi="TimesNewRoman" w:cs="TimesNewRoman"/>
                <w:b/>
                <w:lang w:val="en-US"/>
              </w:rPr>
            </w:pPr>
            <w:r w:rsidRPr="009C03BC">
              <w:rPr>
                <w:rFonts w:ascii="TimesNewRoman" w:eastAsia="Calibri" w:hAnsi="TimesNewRoman" w:cs="TimesNewRoman"/>
                <w:b/>
                <w:lang w:val="en-US"/>
              </w:rPr>
              <w:t xml:space="preserve">Latvijas Studentu apvienība (17.05.2019. vēstule Nr. </w:t>
            </w:r>
            <w:r w:rsidRPr="009C03BC">
              <w:rPr>
                <w:rFonts w:ascii="Times-Roman" w:eastAsia="Calibri" w:hAnsi="Times-Roman" w:cs="Times-Roman"/>
                <w:b/>
                <w:lang w:val="en-US"/>
              </w:rPr>
              <w:t>2019/PV23</w:t>
            </w:r>
            <w:r w:rsidRPr="009C03BC">
              <w:rPr>
                <w:rFonts w:ascii="TimesNewRoman" w:eastAsia="Calibri" w:hAnsi="TimesNewRoman" w:cs="TimesNewRoman"/>
                <w:b/>
                <w:lang w:val="en-US"/>
              </w:rPr>
              <w:t>):</w:t>
            </w:r>
            <w:r>
              <w:rPr>
                <w:rFonts w:ascii="TimesNewRoman" w:eastAsia="Calibri" w:hAnsi="TimesNewRoman" w:cs="TimesNewRoman"/>
                <w:b/>
                <w:lang w:val="en-US"/>
              </w:rPr>
              <w:t xml:space="preserve"> </w:t>
            </w:r>
          </w:p>
          <w:p w14:paraId="2855B698" w14:textId="28D29D69" w:rsidR="003F5DB4" w:rsidRPr="00600C8E" w:rsidRDefault="003F5DB4" w:rsidP="003F5DB4">
            <w:pPr>
              <w:jc w:val="both"/>
              <w:rPr>
                <w:b/>
              </w:rPr>
            </w:pPr>
            <w:r w:rsidRPr="009C03BC">
              <w:t>Kreditēšanas sistēmas kā mehānisma pamatmērķis ir finansiāli nodrošināt atbalstu</w:t>
            </w:r>
            <w:r>
              <w:t xml:space="preserve"> </w:t>
            </w:r>
            <w:r w:rsidRPr="009C03BC">
              <w:t xml:space="preserve">studējošajam studiju laikā, lai </w:t>
            </w:r>
            <w:r w:rsidRPr="009C03BC">
              <w:lastRenderedPageBreak/>
              <w:t>veicinātu pieejamību izglītībai un mazinātu studējošā</w:t>
            </w:r>
            <w:r>
              <w:t xml:space="preserve"> </w:t>
            </w:r>
            <w:r w:rsidRPr="009C03BC">
              <w:t>nepieciešamību veltīt savu laiku ikmēneša iztikas pelnīšanai. Kā minēts ziņojuma 14. lapas</w:t>
            </w:r>
            <w:r>
              <w:t xml:space="preserve"> </w:t>
            </w:r>
            <w:r w:rsidRPr="009C03BC">
              <w:t>7. punktā, jaunais kreditēšanas modelis paredz studiju kredīta procentu subsīdiju mehānismu</w:t>
            </w:r>
            <w:r>
              <w:t xml:space="preserve"> </w:t>
            </w:r>
            <w:r w:rsidRPr="009C03BC">
              <w:t>studiju laikā un vienu gadu pēc studiju pabeigšanas. LSA iebilst un rosina šādu mehānismu</w:t>
            </w:r>
            <w:r>
              <w:t xml:space="preserve"> </w:t>
            </w:r>
            <w:r w:rsidRPr="009C03BC">
              <w:t>paredzēt arī studējošo kredītiem, arī ar augstskolu saskaņota studiju pārtraukuma laikā</w:t>
            </w:r>
            <w:r>
              <w:t xml:space="preserve"> </w:t>
            </w:r>
            <w:r w:rsidRPr="009C03BC">
              <w:t>(akadēmiskā atvaļinājuma, pārtraukuma grūtniecības un dzemdību, bērna kopšanas</w:t>
            </w:r>
            <w:r>
              <w:t xml:space="preserve"> </w:t>
            </w:r>
            <w:r w:rsidRPr="009C03BC">
              <w:t>atvaļinājuma vai slimības atvaļinājuma dēļ).</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2ED9312" w14:textId="77777777" w:rsidR="003F5DB4" w:rsidRPr="00EC2062" w:rsidRDefault="003F5DB4" w:rsidP="003F5DB4">
            <w:pPr>
              <w:jc w:val="center"/>
              <w:rPr>
                <w:b/>
              </w:rPr>
            </w:pPr>
            <w:r w:rsidRPr="00EC2062">
              <w:rPr>
                <w:b/>
              </w:rPr>
              <w:lastRenderedPageBreak/>
              <w:t xml:space="preserve">Ņemts vērā. Saskaņots ar </w:t>
            </w:r>
          </w:p>
          <w:p w14:paraId="5F2FEFC8" w14:textId="05AD5404" w:rsidR="003F5DB4" w:rsidRPr="00EC2062" w:rsidRDefault="003F5DB4" w:rsidP="003F5DB4">
            <w:pPr>
              <w:jc w:val="both"/>
              <w:rPr>
                <w:b/>
              </w:rPr>
            </w:pPr>
            <w:r w:rsidRPr="00EC2062">
              <w:rPr>
                <w:b/>
              </w:rPr>
              <w:t xml:space="preserve">LSA </w:t>
            </w:r>
            <w:r w:rsidRPr="00EC2062">
              <w:rPr>
                <w:rFonts w:ascii="TimesNewRomanPSMT" w:eastAsia="Calibri" w:hAnsi="TimesNewRomanPSMT" w:cs="TimesNewRomanPSMT"/>
                <w:b/>
              </w:rPr>
              <w:t>24.06.2019.</w:t>
            </w:r>
            <w:r w:rsidRPr="00EC2062">
              <w:rPr>
                <w:b/>
              </w:rPr>
              <w:t xml:space="preserve"> vēstuli Nr. 2019/PV26.</w:t>
            </w:r>
          </w:p>
          <w:p w14:paraId="4D0EA81E" w14:textId="77777777" w:rsidR="003F5DB4" w:rsidRDefault="003F5DB4" w:rsidP="003F5DB4">
            <w:pPr>
              <w:jc w:val="center"/>
              <w:rPr>
                <w:b/>
              </w:rPr>
            </w:pPr>
          </w:p>
          <w:p w14:paraId="7B4AA4E8" w14:textId="46546648" w:rsidR="003F5DB4" w:rsidRDefault="003F5DB4" w:rsidP="004174E6">
            <w:pPr>
              <w:spacing w:after="160" w:line="259" w:lineRule="auto"/>
              <w:jc w:val="both"/>
              <w:rPr>
                <w:b/>
              </w:rPr>
            </w:pPr>
            <w:r w:rsidRPr="003628B2">
              <w:t xml:space="preserve">Ministrija </w:t>
            </w:r>
            <w:r>
              <w:t xml:space="preserve">nepiekrīt ierosinājumam subsidēt procentu maksājumus arī studējošo kredītiem un subsidēt procentu </w:t>
            </w:r>
            <w:r>
              <w:lastRenderedPageBreak/>
              <w:t xml:space="preserve">maksājumus </w:t>
            </w:r>
            <w:r w:rsidRPr="003628B2">
              <w:t>arī studiju pārtraukuma laikā.</w:t>
            </w:r>
            <w:r>
              <w:t xml:space="preserve"> Pie jebkura atbalstītā modeļa ieviešanas varianta tam pieejamie līdzekļi būs ierobežoti. Tādēļ ministrijas ieskatā prioritāte būtu novirzīt līdzekļus jauno kredītu izsniegšanai, padarot augstāko izglītību pieejamu aizvien plašākam studējošo lokam. Bezprocentu aizdevuma laika paplašināšana paver lielākas iespējas arī šo kredītu izmantošanai neatbilstoši mērķim. </w:t>
            </w:r>
          </w:p>
        </w:tc>
        <w:tc>
          <w:tcPr>
            <w:tcW w:w="2986" w:type="dxa"/>
            <w:tcBorders>
              <w:top w:val="single" w:sz="4" w:space="0" w:color="auto"/>
              <w:left w:val="single" w:sz="4" w:space="0" w:color="auto"/>
              <w:bottom w:val="single" w:sz="4" w:space="0" w:color="auto"/>
            </w:tcBorders>
          </w:tcPr>
          <w:p w14:paraId="79A54141" w14:textId="2EE4BAC3" w:rsidR="003F5DB4" w:rsidRPr="00BE6B8C" w:rsidRDefault="003F5DB4" w:rsidP="003F5DB4">
            <w:pPr>
              <w:spacing w:after="160" w:line="259" w:lineRule="auto"/>
              <w:jc w:val="both"/>
            </w:pPr>
            <w:r>
              <w:lastRenderedPageBreak/>
              <w:t>Projekts</w:t>
            </w:r>
          </w:p>
        </w:tc>
      </w:tr>
      <w:tr w:rsidR="003F5DB4" w:rsidRPr="001801C2" w14:paraId="5BED74D2" w14:textId="77777777" w:rsidTr="00250134">
        <w:tc>
          <w:tcPr>
            <w:tcW w:w="708" w:type="dxa"/>
            <w:tcBorders>
              <w:top w:val="single" w:sz="6" w:space="0" w:color="000000"/>
              <w:left w:val="single" w:sz="6" w:space="0" w:color="000000"/>
              <w:bottom w:val="single" w:sz="6" w:space="0" w:color="000000"/>
              <w:right w:val="single" w:sz="6" w:space="0" w:color="000000"/>
            </w:tcBorders>
          </w:tcPr>
          <w:p w14:paraId="3FA78B42" w14:textId="77777777" w:rsidR="003F5DB4" w:rsidRDefault="003F5DB4" w:rsidP="003F5DB4">
            <w:pPr>
              <w:jc w:val="right"/>
            </w:pPr>
          </w:p>
          <w:p w14:paraId="534E507A" w14:textId="77777777" w:rsidR="003F5DB4" w:rsidRPr="001801C2" w:rsidRDefault="003F5DB4" w:rsidP="003F5DB4">
            <w:pPr>
              <w:jc w:val="right"/>
            </w:pPr>
          </w:p>
        </w:tc>
        <w:tc>
          <w:tcPr>
            <w:tcW w:w="3112" w:type="dxa"/>
            <w:tcBorders>
              <w:top w:val="single" w:sz="6" w:space="0" w:color="000000"/>
              <w:left w:val="single" w:sz="6" w:space="0" w:color="000000"/>
              <w:bottom w:val="single" w:sz="6" w:space="0" w:color="000000"/>
              <w:right w:val="single" w:sz="6" w:space="0" w:color="000000"/>
            </w:tcBorders>
          </w:tcPr>
          <w:p w14:paraId="077E871F" w14:textId="191DD981" w:rsidR="003F5DB4" w:rsidRDefault="003F5DB4" w:rsidP="003F5DB4">
            <w:pPr>
              <w:pStyle w:val="naisc"/>
              <w:spacing w:before="0" w:after="0"/>
              <w:jc w:val="both"/>
            </w:pPr>
            <w:r>
              <w:t>Projekts:</w:t>
            </w:r>
          </w:p>
          <w:p w14:paraId="7E723228" w14:textId="10F8935F" w:rsidR="003F5DB4" w:rsidRDefault="003F5DB4" w:rsidP="003F5DB4">
            <w:pPr>
              <w:pStyle w:val="naisc"/>
              <w:spacing w:before="0" w:after="0"/>
              <w:jc w:val="both"/>
            </w:pPr>
            <w:r>
              <w:t>“</w:t>
            </w:r>
            <w:r w:rsidRPr="003F5DB4">
              <w:t>Tādēļ gadījumā, ja Ministru kabinets atbalstīs rīcības variantu, kas paredz turpmāko kredītu dzēšanu par darbu noteiktajās jomās, ministrija budžeta sagatavošanas laikā sagatavos horizontālo prioritāro pasākumu šīs rīcības finansēšanai.”</w:t>
            </w:r>
          </w:p>
        </w:tc>
        <w:tc>
          <w:tcPr>
            <w:tcW w:w="3260" w:type="dxa"/>
            <w:tcBorders>
              <w:top w:val="single" w:sz="6" w:space="0" w:color="000000"/>
              <w:left w:val="single" w:sz="6" w:space="0" w:color="000000"/>
              <w:bottom w:val="single" w:sz="6" w:space="0" w:color="000000"/>
              <w:right w:val="single" w:sz="6" w:space="0" w:color="000000"/>
            </w:tcBorders>
          </w:tcPr>
          <w:p w14:paraId="15227B01" w14:textId="2856CDE9" w:rsidR="003F5DB4" w:rsidRPr="00EC2062" w:rsidRDefault="003F5DB4" w:rsidP="003F5DB4">
            <w:pPr>
              <w:ind w:firstLine="33"/>
              <w:jc w:val="both"/>
              <w:rPr>
                <w:b/>
                <w:szCs w:val="28"/>
              </w:rPr>
            </w:pPr>
            <w:r w:rsidRPr="00EC2062">
              <w:rPr>
                <w:b/>
                <w:szCs w:val="28"/>
              </w:rPr>
              <w:t>Kultūras ministrija (25.06.20219. atzinums Nr. 3.1-4/19/1784):</w:t>
            </w:r>
          </w:p>
          <w:p w14:paraId="1B89A70E" w14:textId="77777777" w:rsidR="003F5DB4" w:rsidRPr="00EC2062" w:rsidRDefault="003F5DB4" w:rsidP="003F5DB4">
            <w:pPr>
              <w:jc w:val="both"/>
              <w:rPr>
                <w:szCs w:val="28"/>
              </w:rPr>
            </w:pPr>
            <w:r w:rsidRPr="00EC2062">
              <w:rPr>
                <w:szCs w:val="28"/>
              </w:rPr>
              <w:t>Lūdzam Projekta 5.varianta aprakstu papildināt šādā redakcijā:</w:t>
            </w:r>
          </w:p>
          <w:p w14:paraId="7DFB2090" w14:textId="7EBE6C37" w:rsidR="003F5DB4" w:rsidRPr="00EC2062" w:rsidRDefault="003F5DB4" w:rsidP="003F5DB4">
            <w:pPr>
              <w:ind w:firstLine="720"/>
              <w:jc w:val="both"/>
              <w:rPr>
                <w:szCs w:val="28"/>
              </w:rPr>
            </w:pPr>
            <w:r w:rsidRPr="00EC2062">
              <w:rPr>
                <w:szCs w:val="28"/>
              </w:rPr>
              <w:t xml:space="preserve">„(..) Tādēļ gadījumā, ja Ministru kabinets atbalstīs rīcības variantu, kas paredz turpmāko kredītu dzēšanu par darbu noteiktajās jomās, ministrija budžeta sagatavošanas laikā sagatavos horizontālo prioritāro pasākumu šīs rīcības </w:t>
            </w:r>
            <w:r w:rsidRPr="00EC2062">
              <w:rPr>
                <w:szCs w:val="28"/>
              </w:rPr>
              <w:lastRenderedPageBreak/>
              <w:t xml:space="preserve">finansēšanai, kā arī nodrošinās, ka kredītu dzēšanas par darbu noteiktajās jomās administrēšana notiks centralizēti.”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B428C96" w14:textId="77777777" w:rsidR="003F5DB4" w:rsidRPr="00EC2062" w:rsidRDefault="003F5DB4" w:rsidP="003F5DB4">
            <w:pPr>
              <w:spacing w:after="160" w:line="259" w:lineRule="auto"/>
              <w:jc w:val="center"/>
              <w:rPr>
                <w:b/>
              </w:rPr>
            </w:pPr>
            <w:r w:rsidRPr="00EC2062">
              <w:rPr>
                <w:b/>
              </w:rPr>
              <w:lastRenderedPageBreak/>
              <w:t>Ņemts vērā</w:t>
            </w:r>
          </w:p>
          <w:p w14:paraId="33181249" w14:textId="77777777" w:rsidR="003F5DB4" w:rsidRPr="00EC2062" w:rsidRDefault="003F5DB4" w:rsidP="003F5DB4">
            <w:pPr>
              <w:spacing w:after="160" w:line="259" w:lineRule="auto"/>
              <w:jc w:val="center"/>
              <w:rPr>
                <w:b/>
              </w:rPr>
            </w:pPr>
          </w:p>
          <w:p w14:paraId="261D3438" w14:textId="2B3A4C47" w:rsidR="003F5DB4" w:rsidRPr="00EC2062" w:rsidRDefault="003F5DB4" w:rsidP="003F5DB4">
            <w:pPr>
              <w:spacing w:after="160" w:line="259" w:lineRule="auto"/>
              <w:jc w:val="both"/>
              <w:rPr>
                <w:b/>
              </w:rPr>
            </w:pPr>
          </w:p>
        </w:tc>
        <w:tc>
          <w:tcPr>
            <w:tcW w:w="2986" w:type="dxa"/>
            <w:tcBorders>
              <w:top w:val="single" w:sz="4" w:space="0" w:color="auto"/>
              <w:left w:val="single" w:sz="4" w:space="0" w:color="auto"/>
              <w:bottom w:val="single" w:sz="4" w:space="0" w:color="auto"/>
            </w:tcBorders>
          </w:tcPr>
          <w:p w14:paraId="5806425B" w14:textId="77777777" w:rsidR="001D6540" w:rsidRPr="00EC2062" w:rsidRDefault="001D6540" w:rsidP="003F5DB4">
            <w:pPr>
              <w:spacing w:after="160" w:line="259" w:lineRule="auto"/>
              <w:jc w:val="both"/>
            </w:pPr>
            <w:r w:rsidRPr="00EC2062">
              <w:t>Projekts:</w:t>
            </w:r>
          </w:p>
          <w:p w14:paraId="4968FE38" w14:textId="5930F77C" w:rsidR="003F5DB4" w:rsidRPr="00EC2062" w:rsidRDefault="00BC711A" w:rsidP="003F5DB4">
            <w:pPr>
              <w:spacing w:after="160" w:line="259" w:lineRule="auto"/>
              <w:jc w:val="both"/>
            </w:pPr>
            <w:r w:rsidRPr="00EC2062">
              <w:t xml:space="preserve">“Tādēļ gadījumā, ja Ministru kabinets atbalstīs rīcības variantu, kas paredz turpmāko kredītu dzēšanu par darbu noteiktajās jomās, ministrija budžeta sagatavošanas laikā sagatavos horizontālo prioritāro pasākumu šīs rīcības finansēšanai, kā arī nodrošinās, ka kredītu dzēšanas par darbu </w:t>
            </w:r>
            <w:r w:rsidRPr="00EC2062">
              <w:lastRenderedPageBreak/>
              <w:t>noteiktajās jomās administrēšana notiks centralizēti.”</w:t>
            </w:r>
          </w:p>
        </w:tc>
      </w:tr>
      <w:tr w:rsidR="00842A93" w:rsidRPr="001801C2" w14:paraId="2BD47792" w14:textId="77777777" w:rsidTr="00250134">
        <w:tc>
          <w:tcPr>
            <w:tcW w:w="708" w:type="dxa"/>
            <w:tcBorders>
              <w:top w:val="single" w:sz="6" w:space="0" w:color="000000"/>
              <w:left w:val="single" w:sz="6" w:space="0" w:color="000000"/>
              <w:bottom w:val="single" w:sz="6" w:space="0" w:color="000000"/>
              <w:right w:val="single" w:sz="6" w:space="0" w:color="000000"/>
            </w:tcBorders>
          </w:tcPr>
          <w:p w14:paraId="080F6303" w14:textId="032C89B5" w:rsidR="00842A93" w:rsidRDefault="00842A93" w:rsidP="003F5DB4">
            <w:pPr>
              <w:jc w:val="right"/>
            </w:pPr>
          </w:p>
        </w:tc>
        <w:tc>
          <w:tcPr>
            <w:tcW w:w="3112" w:type="dxa"/>
            <w:tcBorders>
              <w:top w:val="single" w:sz="6" w:space="0" w:color="000000"/>
              <w:left w:val="single" w:sz="6" w:space="0" w:color="000000"/>
              <w:bottom w:val="single" w:sz="6" w:space="0" w:color="000000"/>
              <w:right w:val="single" w:sz="6" w:space="0" w:color="000000"/>
            </w:tcBorders>
          </w:tcPr>
          <w:p w14:paraId="515618FF" w14:textId="4272D7EF" w:rsidR="00842A93" w:rsidRDefault="004F1163" w:rsidP="003F5DB4">
            <w:pPr>
              <w:pStyle w:val="naisc"/>
              <w:spacing w:before="0" w:after="0"/>
              <w:jc w:val="both"/>
            </w:pPr>
            <w:r>
              <w:t>Projekts</w:t>
            </w:r>
          </w:p>
        </w:tc>
        <w:tc>
          <w:tcPr>
            <w:tcW w:w="3260" w:type="dxa"/>
            <w:tcBorders>
              <w:top w:val="single" w:sz="6" w:space="0" w:color="000000"/>
              <w:left w:val="single" w:sz="6" w:space="0" w:color="000000"/>
              <w:bottom w:val="single" w:sz="6" w:space="0" w:color="000000"/>
              <w:right w:val="single" w:sz="6" w:space="0" w:color="000000"/>
            </w:tcBorders>
          </w:tcPr>
          <w:p w14:paraId="02B75DAE" w14:textId="3072AC5F" w:rsidR="002C2C72" w:rsidRPr="00EC2062" w:rsidRDefault="002C2C72" w:rsidP="002C2C72">
            <w:pPr>
              <w:ind w:firstLine="33"/>
              <w:jc w:val="both"/>
              <w:rPr>
                <w:b/>
                <w:szCs w:val="28"/>
              </w:rPr>
            </w:pPr>
            <w:r w:rsidRPr="00EC2062">
              <w:rPr>
                <w:b/>
                <w:szCs w:val="28"/>
              </w:rPr>
              <w:t xml:space="preserve">Latvijas Universitāšu asociācija (26.06.2019. vēstule nr. </w:t>
            </w:r>
            <w:r w:rsidRPr="00EC2062">
              <w:rPr>
                <w:b/>
              </w:rPr>
              <w:t>Nr.</w:t>
            </w:r>
            <w:r w:rsidRPr="00EC2062">
              <w:rPr>
                <w:b/>
                <w:color w:val="000000" w:themeColor="text1"/>
              </w:rPr>
              <w:t xml:space="preserve"> 33</w:t>
            </w:r>
            <w:r w:rsidRPr="00EC2062">
              <w:rPr>
                <w:b/>
              </w:rPr>
              <w:t>-2019</w:t>
            </w:r>
            <w:r w:rsidRPr="00EC2062">
              <w:rPr>
                <w:b/>
                <w:szCs w:val="28"/>
              </w:rPr>
              <w:t xml:space="preserve">): </w:t>
            </w:r>
          </w:p>
          <w:p w14:paraId="7C15D89E" w14:textId="5782BA47" w:rsidR="002C2C72" w:rsidRPr="00EC2062" w:rsidRDefault="002C2C72" w:rsidP="002C2C72">
            <w:pPr>
              <w:ind w:firstLine="33"/>
              <w:jc w:val="both"/>
              <w:rPr>
                <w:szCs w:val="28"/>
              </w:rPr>
            </w:pPr>
            <w:r w:rsidRPr="00EC2062">
              <w:rPr>
                <w:szCs w:val="28"/>
              </w:rPr>
              <w:t xml:space="preserve">LUA ir iepazinusies ar konceptuālo ziņojumu “Studiju un studējošo kreditēšanas no kredītiestāžu līdzekļiem ar valsts vārdā sniegto galvojumu modeļa maiņu” un </w:t>
            </w:r>
            <w:r w:rsidRPr="00EC2062">
              <w:rPr>
                <w:b/>
                <w:szCs w:val="28"/>
              </w:rPr>
              <w:t>konceptuāli atbalsta izstrādātos priekšlikumus</w:t>
            </w:r>
            <w:r w:rsidRPr="00EC2062">
              <w:rPr>
                <w:szCs w:val="28"/>
              </w:rPr>
              <w:t xml:space="preserve"> nepieciešamajām izmaiņām studiju un studējošo kreditēšanas no kredītiestāžu līdzekļiem ar valsts vārdā sniegtu galvojumu modelī, bet vienlaikus, balstoties uz dažu LUA universitāšu pausto viedokli, aicina izvērtēt tālāk minētos riskus:</w:t>
            </w:r>
          </w:p>
          <w:p w14:paraId="6D24126B" w14:textId="77777777" w:rsidR="002C2C72" w:rsidRPr="00EC2062" w:rsidRDefault="002C2C72" w:rsidP="00214792">
            <w:pPr>
              <w:numPr>
                <w:ilvl w:val="0"/>
                <w:numId w:val="2"/>
              </w:numPr>
              <w:ind w:left="175" w:firstLine="0"/>
              <w:jc w:val="both"/>
              <w:rPr>
                <w:szCs w:val="28"/>
              </w:rPr>
            </w:pPr>
            <w:r w:rsidRPr="00EC2062">
              <w:rPr>
                <w:szCs w:val="28"/>
              </w:rPr>
              <w:t xml:space="preserve">LR Izglītības un zinātnes ministrija ir skaidri norādījusi, ka šīs budžeta apakšprogrammas finanšu līdzekļi turpmāk jaunajā kreditēšanas programmā vairs netiks izmantota studējošo kredītu dzēšanai. Vienlaikus tiek norādīts, ka nozares </w:t>
            </w:r>
            <w:r w:rsidRPr="00EC2062">
              <w:rPr>
                <w:szCs w:val="28"/>
              </w:rPr>
              <w:lastRenderedPageBreak/>
              <w:t xml:space="preserve">ministrijām turpmāk pašām būs jārod līdzekļi studējošo kredītu dzēšanai. Minētie budžeta apakšprogrammas līdzekļi tiks novirzīti studējošo kreditēšanas pieejamības veicināšanai, garantējot segt banku zaudējumus. Vai šajā gadījumā nevajadzētu norādīt un identificēt nozaru ministriju finansējuma avotus? </w:t>
            </w:r>
          </w:p>
          <w:p w14:paraId="1BE377CD" w14:textId="77777777" w:rsidR="002C2C72" w:rsidRPr="00EC2062" w:rsidRDefault="002C2C72" w:rsidP="00214792">
            <w:pPr>
              <w:numPr>
                <w:ilvl w:val="0"/>
                <w:numId w:val="2"/>
              </w:numPr>
              <w:ind w:left="33" w:firstLine="0"/>
              <w:jc w:val="both"/>
              <w:rPr>
                <w:szCs w:val="28"/>
              </w:rPr>
            </w:pPr>
            <w:r w:rsidRPr="00EC2062">
              <w:rPr>
                <w:szCs w:val="28"/>
              </w:rPr>
              <w:t>Aicinām arī atkārtoti izvērtēt budžeta apakšprogrammas 03.04.00 “Studējošo un studiju kreditēšana” veikto izmaiņu saimnieciskumu un lietderīgumu:</w:t>
            </w:r>
          </w:p>
          <w:p w14:paraId="0077C0BA" w14:textId="77777777" w:rsidR="002C2C72" w:rsidRPr="00EC2062" w:rsidRDefault="002C2C72" w:rsidP="00214792">
            <w:pPr>
              <w:numPr>
                <w:ilvl w:val="1"/>
                <w:numId w:val="2"/>
              </w:numPr>
              <w:ind w:left="317"/>
              <w:jc w:val="both"/>
              <w:rPr>
                <w:szCs w:val="28"/>
              </w:rPr>
            </w:pPr>
            <w:r w:rsidRPr="00EC2062">
              <w:rPr>
                <w:szCs w:val="28"/>
              </w:rPr>
              <w:t xml:space="preserve">pašreiz programma paredz līdzekļu novirzīšanu galvenokārt kredītu dzēšanai (2,4 milj. EUR – ieguvējs students un valsts iestādes, kurās absolvents strādā); </w:t>
            </w:r>
          </w:p>
          <w:p w14:paraId="0D295D77" w14:textId="77777777" w:rsidR="002C2C72" w:rsidRPr="00EC2062" w:rsidRDefault="002C2C72" w:rsidP="00214792">
            <w:pPr>
              <w:numPr>
                <w:ilvl w:val="1"/>
                <w:numId w:val="2"/>
              </w:numPr>
              <w:ind w:left="317"/>
              <w:jc w:val="both"/>
              <w:rPr>
                <w:szCs w:val="28"/>
              </w:rPr>
            </w:pPr>
            <w:r w:rsidRPr="00EC2062">
              <w:rPr>
                <w:szCs w:val="28"/>
              </w:rPr>
              <w:t xml:space="preserve">turpmāk šos līdzekļus (ieskaitot papildu pieprasītos) ilgtermiņā plānots novirzīt slikto parādnieku radīto zaudējumu kompensēšanai </w:t>
            </w:r>
            <w:r w:rsidRPr="00EC2062">
              <w:rPr>
                <w:szCs w:val="28"/>
              </w:rPr>
              <w:lastRenderedPageBreak/>
              <w:t>bankām un procentu maksājumiem bankām;</w:t>
            </w:r>
          </w:p>
          <w:p w14:paraId="06F3530F" w14:textId="77777777" w:rsidR="002C2C72" w:rsidRPr="00EC2062" w:rsidRDefault="002C2C72" w:rsidP="00214792">
            <w:pPr>
              <w:numPr>
                <w:ilvl w:val="1"/>
                <w:numId w:val="2"/>
              </w:numPr>
              <w:ind w:left="317"/>
              <w:jc w:val="both"/>
              <w:rPr>
                <w:szCs w:val="28"/>
              </w:rPr>
            </w:pPr>
            <w:r w:rsidRPr="00EC2062">
              <w:rPr>
                <w:szCs w:val="28"/>
              </w:rPr>
              <w:t>vai minētais piedāvājums būtu korekts attiecībā pret Latvijas tautsaimniecību, t.i., pārtraucot un turpmāk nenodrošinot līdzekļus kredītu dzēšanai atsevišķās tautsaimniecības jomās, savukārt ilgtermiņā prasot papildu līdzekļus banku zaudējumu segšanai.</w:t>
            </w:r>
          </w:p>
          <w:p w14:paraId="3FC6279A" w14:textId="77777777" w:rsidR="002C2C72" w:rsidRPr="00EC2062" w:rsidRDefault="002C2C72" w:rsidP="00214792">
            <w:pPr>
              <w:numPr>
                <w:ilvl w:val="0"/>
                <w:numId w:val="2"/>
              </w:numPr>
              <w:ind w:left="33" w:firstLine="0"/>
              <w:jc w:val="both"/>
              <w:rPr>
                <w:szCs w:val="28"/>
              </w:rPr>
            </w:pPr>
            <w:r w:rsidRPr="00EC2062">
              <w:rPr>
                <w:szCs w:val="28"/>
              </w:rPr>
              <w:t xml:space="preserve"> Saskaņā ar piedāvātajām izmaiņām esošajā programmā pēc 2028. gada, kad tiks dzēsti visi atlikušie kredīti, kopējais finansējums 4,6 milj. EUR gadā tiks novirzīts maksājumiem komercbankām un </w:t>
            </w:r>
            <w:r w:rsidRPr="00EC2062">
              <w:rPr>
                <w:i/>
                <w:szCs w:val="28"/>
              </w:rPr>
              <w:t>Altum</w:t>
            </w:r>
            <w:r w:rsidRPr="00EC2062">
              <w:rPr>
                <w:szCs w:val="28"/>
              </w:rPr>
              <w:t>. Alternatīvi šo finansējumu varētu virzīt vismaz 1000-1500 jaunu studējošo budžeta  vietu izveidei Latvijas augstskolās. Pamatojoties uz iepriekš minēto, aicinām izvērtēt citas alternatīvas, piemēram, pakāpeniski pārvirzīt budžeta apakšprogrammas līdzekļus jaunu, valstij nepieciešamu budžeta vietu radīšanai.</w:t>
            </w:r>
          </w:p>
          <w:p w14:paraId="2FEA032B" w14:textId="77777777" w:rsidR="002C2C72" w:rsidRPr="00EC2062" w:rsidRDefault="002C2C72" w:rsidP="002C2C72">
            <w:pPr>
              <w:ind w:firstLine="33"/>
              <w:jc w:val="both"/>
              <w:rPr>
                <w:szCs w:val="28"/>
              </w:rPr>
            </w:pPr>
          </w:p>
          <w:p w14:paraId="3F885E0A" w14:textId="77777777" w:rsidR="002C2C72" w:rsidRPr="00EC2062" w:rsidRDefault="002C2C72" w:rsidP="002C2C72">
            <w:pPr>
              <w:ind w:firstLine="33"/>
              <w:jc w:val="both"/>
              <w:rPr>
                <w:szCs w:val="28"/>
              </w:rPr>
            </w:pPr>
            <w:r w:rsidRPr="00EC2062">
              <w:rPr>
                <w:szCs w:val="28"/>
              </w:rPr>
              <w:t xml:space="preserve">Tāpat dažas LUA universitātes uzskata, ka būtiski laikus </w:t>
            </w:r>
            <w:r w:rsidRPr="00EC2062">
              <w:rPr>
                <w:szCs w:val="28"/>
              </w:rPr>
              <w:lastRenderedPageBreak/>
              <w:t>saņemt Valsts kontroles viedokli, vai IZM piedāvātais  modelis (slikto parādnieku radīto zaudējumu kompensācija bankām) ir pareizākais risinājums valsts budžeta līdzekļu izmantošanā, tā vietā, lai veidotu motivējošu modeli sasniegto rezultātu atbalstam (piemēram, kredīta dzēšana konkrētam absolventam vai jaunu budžeta vietu radīšana). Ierosinām valsts budžeta  līdzekļu izmantošanu virzīt jaunām studējošo budžeta vietām, vēlreiz izvērtējot lietderību valsts budžeta līdzekļu novirzīšanai komercbanku kredītportfeļa kvalitātes garantijām.</w:t>
            </w:r>
          </w:p>
          <w:p w14:paraId="6F09BD3C" w14:textId="69D074F7" w:rsidR="00842A93" w:rsidRPr="00EC2062" w:rsidRDefault="00842A93" w:rsidP="003F5DB4">
            <w:pPr>
              <w:ind w:firstLine="33"/>
              <w:jc w:val="both"/>
              <w:rPr>
                <w:szCs w:val="28"/>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99B21C0" w14:textId="5250FA61" w:rsidR="002C2C72" w:rsidRPr="00EC2062" w:rsidRDefault="002C2C72" w:rsidP="002C2C72">
            <w:pPr>
              <w:spacing w:after="160" w:line="259" w:lineRule="auto"/>
              <w:jc w:val="center"/>
              <w:rPr>
                <w:b/>
              </w:rPr>
            </w:pPr>
            <w:r w:rsidRPr="00EC2062">
              <w:rPr>
                <w:b/>
              </w:rPr>
              <w:lastRenderedPageBreak/>
              <w:t>Ņemts vērā pēc būtības</w:t>
            </w:r>
          </w:p>
          <w:p w14:paraId="2547D2BB" w14:textId="7F1BF5AF" w:rsidR="00842A93" w:rsidRPr="00EC2062" w:rsidRDefault="00FD40E9" w:rsidP="00FD40E9">
            <w:pPr>
              <w:spacing w:after="160" w:line="259" w:lineRule="auto"/>
              <w:jc w:val="both"/>
            </w:pPr>
            <w:r w:rsidRPr="00EC2062">
              <w:t xml:space="preserve">Nozaru ministrijām tika vaicāts viedoklis par iespējamiem finansējuma avotiem savu nozaru darba spēka kredītu dzēšanai, taču tās neredz iespējas nodrošināt šādu finansējumu vismaz īstermiņā, 2020.-2021. gados. </w:t>
            </w:r>
          </w:p>
          <w:p w14:paraId="4712C0CD" w14:textId="77777777" w:rsidR="00FD40E9" w:rsidRPr="00EC2062" w:rsidRDefault="00FD40E9" w:rsidP="00841026">
            <w:pPr>
              <w:spacing w:after="160" w:line="259" w:lineRule="auto"/>
              <w:jc w:val="both"/>
            </w:pPr>
            <w:r w:rsidRPr="00EC2062">
              <w:t>Vēsturiski, kredītu dzēšana par darbu noteiktajās jomās tika uzsākta, izmantojot līdzekļu pārpalikumus no citām budžeta programmām, kā arī budžeta apakšprogrammas 03.04.00 “Studējošo un studiju kreditēšana” līdzekļu pārpalikumus sakarā ar to, ka izsniedzamo kredītu skaits turpināja samazināties, jo studējošie nevarēja piesaistīt otru galvotāju. Kredītu dzēšana par darbu noteiktajās jom</w:t>
            </w:r>
            <w:r w:rsidR="00841026" w:rsidRPr="00EC2062">
              <w:t>ās nav</w:t>
            </w:r>
            <w:r w:rsidRPr="00EC2062">
              <w:t xml:space="preserve"> šīs budžeta </w:t>
            </w:r>
            <w:r w:rsidR="00841026" w:rsidRPr="00EC2062">
              <w:t>apakš</w:t>
            </w:r>
            <w:r w:rsidRPr="00EC2062">
              <w:t xml:space="preserve">programmas pamatmērķis. Finansējums </w:t>
            </w:r>
            <w:r w:rsidR="00841026" w:rsidRPr="00EC2062">
              <w:t>kredītu dzēšanai par darbu noteiktajās jomās</w:t>
            </w:r>
            <w:r w:rsidRPr="00EC2062">
              <w:t xml:space="preserve"> nav atrunāts likumdošanā un nav iepriekš paredzams no kopējā budžeta apakšprogrammas piešķirtā finansējuma apmēra. Tas veidojās uz fiskālā gada beigām pēc pārpalikuma principa (cik paliek pāri </w:t>
            </w:r>
            <w:r w:rsidRPr="00EC2062">
              <w:lastRenderedPageBreak/>
              <w:t xml:space="preserve">līdzekļu no obligātās studējošo kredītu dzēšanas bērnu piedzimšanas, nāves un invaliditātes gadījumos, procentu subsīdijām, tiesvedības izdevumiem par kredītu piedziņu u.c.). </w:t>
            </w:r>
            <w:r w:rsidR="00841026" w:rsidRPr="00EC2062">
              <w:t>P</w:t>
            </w:r>
            <w:r w:rsidRPr="00EC2062">
              <w:t>osmā no 2010. gada septembra līdz 2013.gada janvārim kredītu dzēšana saskaņā ar MK noteikumiem Nr.220 nenotika līdzekļu trūkuma dēļ.</w:t>
            </w:r>
          </w:p>
          <w:p w14:paraId="63AD9564" w14:textId="7DBB9807" w:rsidR="00841026" w:rsidRPr="00EC2062" w:rsidRDefault="00841026" w:rsidP="00841026">
            <w:pPr>
              <w:spacing w:after="160" w:line="259" w:lineRule="auto"/>
              <w:jc w:val="both"/>
            </w:pPr>
            <w:r w:rsidRPr="00EC2062">
              <w:t>Ministrijas prioritāte ir risināt budžeta apakšprogrammas pamatmērķi- valsts galvoto studiju un studējošo kredītu pieejamību. No efektivitātes viedokļa ieguldot 1 euro portfeļgarantijā 4 euro var tikt izsniegti kredītos. Novirzot visus līdzekļus budžeta vietām, tāpat valsts nenofinansētu pat 50% no studiju vietām valstī, un studējošiem, kuriem nav citu iespēju samaksāt par studijām, būtu būtiski ierobežota augstākās izglītības pieejamība.</w:t>
            </w:r>
          </w:p>
        </w:tc>
        <w:tc>
          <w:tcPr>
            <w:tcW w:w="2986" w:type="dxa"/>
            <w:tcBorders>
              <w:top w:val="single" w:sz="4" w:space="0" w:color="auto"/>
              <w:left w:val="single" w:sz="4" w:space="0" w:color="auto"/>
              <w:bottom w:val="single" w:sz="4" w:space="0" w:color="auto"/>
            </w:tcBorders>
          </w:tcPr>
          <w:p w14:paraId="1548FB11" w14:textId="77777777" w:rsidR="00842A93" w:rsidRPr="00BE6B8C" w:rsidRDefault="00842A93" w:rsidP="003F5DB4">
            <w:pPr>
              <w:spacing w:after="160" w:line="259" w:lineRule="auto"/>
              <w:jc w:val="both"/>
            </w:pPr>
          </w:p>
        </w:tc>
      </w:tr>
      <w:tr w:rsidR="00842A93" w:rsidRPr="001801C2" w14:paraId="13549342" w14:textId="77777777" w:rsidTr="003E39C7">
        <w:tc>
          <w:tcPr>
            <w:tcW w:w="708" w:type="dxa"/>
            <w:tcBorders>
              <w:top w:val="single" w:sz="6" w:space="0" w:color="000000"/>
              <w:left w:val="single" w:sz="6" w:space="0" w:color="000000"/>
              <w:bottom w:val="single" w:sz="6" w:space="0" w:color="000000"/>
              <w:right w:val="single" w:sz="6" w:space="0" w:color="000000"/>
            </w:tcBorders>
          </w:tcPr>
          <w:p w14:paraId="3B21D04A" w14:textId="73F7FC27" w:rsidR="00842A93" w:rsidRDefault="00842A93" w:rsidP="003F5DB4">
            <w:pPr>
              <w:jc w:val="right"/>
            </w:pPr>
          </w:p>
        </w:tc>
        <w:tc>
          <w:tcPr>
            <w:tcW w:w="3112" w:type="dxa"/>
            <w:tcBorders>
              <w:top w:val="single" w:sz="6" w:space="0" w:color="000000"/>
              <w:left w:val="single" w:sz="6" w:space="0" w:color="000000"/>
              <w:bottom w:val="single" w:sz="6" w:space="0" w:color="000000"/>
              <w:right w:val="single" w:sz="6" w:space="0" w:color="000000"/>
            </w:tcBorders>
          </w:tcPr>
          <w:p w14:paraId="1B407676" w14:textId="6E933520" w:rsidR="00842A93" w:rsidRPr="00EC2062" w:rsidRDefault="003E39C7" w:rsidP="003E39C7">
            <w:pPr>
              <w:spacing w:after="160" w:line="259" w:lineRule="auto"/>
              <w:jc w:val="both"/>
            </w:pPr>
            <w:r w:rsidRPr="00EC2062">
              <w:t xml:space="preserve">Pašlaik provizoriskos aprēķinos par jauno kreditēšanas modeli tiek norādītas procentu subsīdijas abiem kredīta veidiem, jo grūti nākotnes prognozēt sadalījumu starp tiem (šobrīd 15% no visiem ir studējošo kredīti). </w:t>
            </w:r>
          </w:p>
        </w:tc>
        <w:tc>
          <w:tcPr>
            <w:tcW w:w="3260" w:type="dxa"/>
            <w:tcBorders>
              <w:top w:val="single" w:sz="6" w:space="0" w:color="000000"/>
              <w:left w:val="single" w:sz="6" w:space="0" w:color="000000"/>
              <w:bottom w:val="single" w:sz="6" w:space="0" w:color="000000"/>
              <w:right w:val="single" w:sz="6" w:space="0" w:color="000000"/>
            </w:tcBorders>
          </w:tcPr>
          <w:p w14:paraId="54E64BF4" w14:textId="77777777" w:rsidR="00C10107" w:rsidRPr="00EC2062" w:rsidRDefault="00C10107" w:rsidP="00C10107">
            <w:pPr>
              <w:widowControl w:val="0"/>
              <w:jc w:val="both"/>
              <w:rPr>
                <w:rFonts w:eastAsia="Calibri"/>
                <w:b/>
                <w:lang w:eastAsia="en-US"/>
              </w:rPr>
            </w:pPr>
            <w:r w:rsidRPr="00EC2062">
              <w:rPr>
                <w:rFonts w:eastAsia="Calibri"/>
                <w:b/>
                <w:lang w:eastAsia="en-US"/>
              </w:rPr>
              <w:t>Finanšu ministrija (01.07.2019. vēstule Nr. 12/A-2/3061):</w:t>
            </w:r>
          </w:p>
          <w:p w14:paraId="11FDFB4F" w14:textId="6FDC2608" w:rsidR="00C10107" w:rsidRPr="00EC2062" w:rsidRDefault="003E39C7" w:rsidP="00C10107">
            <w:pPr>
              <w:widowControl w:val="0"/>
              <w:jc w:val="both"/>
              <w:rPr>
                <w:rFonts w:eastAsia="Calibri"/>
                <w:lang w:eastAsia="en-US"/>
              </w:rPr>
            </w:pPr>
            <w:r w:rsidRPr="00EC2062">
              <w:rPr>
                <w:rFonts w:eastAsia="Calibri"/>
                <w:lang w:eastAsia="en-US"/>
              </w:rPr>
              <w:t xml:space="preserve">7. Saskaņā ar konceptuālā ziņojuma sadaļas “Jaunais kreditēšanas modelis” 6.punktā norādīto (16.lpp.), provizoriskos aprēķinos par jauno kreditēšanas modeli tiek norādītas procentu subsīdijas abiem kredīta veidiem, kaut arī no valsts budžeta plānots finansēt procentu maksājumus </w:t>
            </w:r>
            <w:r w:rsidRPr="00EC2062">
              <w:rPr>
                <w:rFonts w:eastAsia="Calibri"/>
                <w:lang w:eastAsia="en-US"/>
              </w:rPr>
              <w:lastRenderedPageBreak/>
              <w:t>tikai studiju kredītiem. Līdz ar to konceptuālā ziņojuma 6.tabulā “Finansējums procentu maksājumiem” ir aprēķināts nekorekti, jo iekļauj gan studiju, gan studējošā kredītu. Lūdzam precizēt 6.tabulas aprēķinus, ņemot vērā, ka 10.tabulas aprēķinos ir izdarīts pieņēmums, ka 15% no izsniegtajiem kredītiem būs studējošo kredīti.</w:t>
            </w:r>
            <w:r w:rsidR="00C10107" w:rsidRPr="00EC2062">
              <w:rPr>
                <w:rFonts w:eastAsia="Calibri"/>
                <w:lang w:eastAsia="en-US"/>
              </w:rPr>
              <w:t xml:space="preserve"> </w:t>
            </w:r>
          </w:p>
          <w:p w14:paraId="130D3C99" w14:textId="77777777" w:rsidR="00842A93" w:rsidRPr="00EC2062" w:rsidRDefault="00842A93" w:rsidP="003F5DB4">
            <w:pPr>
              <w:ind w:firstLine="33"/>
              <w:jc w:val="both"/>
              <w:rPr>
                <w:b/>
                <w:szCs w:val="28"/>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65A81E0" w14:textId="77777777" w:rsidR="00842A93" w:rsidRPr="00EC2062" w:rsidRDefault="003E39C7" w:rsidP="003F5DB4">
            <w:pPr>
              <w:spacing w:after="160" w:line="259" w:lineRule="auto"/>
              <w:jc w:val="center"/>
              <w:rPr>
                <w:b/>
              </w:rPr>
            </w:pPr>
            <w:r w:rsidRPr="00EC2062">
              <w:rPr>
                <w:b/>
              </w:rPr>
              <w:lastRenderedPageBreak/>
              <w:t>Ņemts vērā</w:t>
            </w:r>
          </w:p>
          <w:p w14:paraId="7DDA881A" w14:textId="208745E5" w:rsidR="003E39C7" w:rsidRPr="00EC2062" w:rsidRDefault="003E39C7" w:rsidP="00AB3978">
            <w:pPr>
              <w:spacing w:after="160" w:line="259" w:lineRule="auto"/>
              <w:jc w:val="both"/>
            </w:pPr>
            <w:r w:rsidRPr="00EC2062">
              <w:t>Precizēt</w:t>
            </w:r>
            <w:r w:rsidR="00AB3978" w:rsidRPr="00EC2062">
              <w:t>i</w:t>
            </w:r>
            <w:r w:rsidRPr="00EC2062">
              <w:t xml:space="preserve"> aprē</w:t>
            </w:r>
            <w:r w:rsidR="00AB3978" w:rsidRPr="00EC2062">
              <w:t>ķini</w:t>
            </w:r>
            <w:r w:rsidRPr="00EC2062">
              <w:t xml:space="preserve"> procentu subsīdijā</w:t>
            </w:r>
            <w:r w:rsidR="00AB3978" w:rsidRPr="00EC2062">
              <w:t>m</w:t>
            </w:r>
            <w:r w:rsidRPr="00EC2062">
              <w:t xml:space="preserve"> un teksts 16.lpp. Vienlaicīgi vēršam uzmanību,</w:t>
            </w:r>
            <w:r w:rsidR="00AB3978" w:rsidRPr="00EC2062">
              <w:t xml:space="preserve"> ka nav garantiju, ka sadalījums starp studiju un studējošo kredītiem paliks 85% un 15% kā līdz šim, </w:t>
            </w:r>
            <w:r w:rsidRPr="00EC2062">
              <w:t xml:space="preserve"> </w:t>
            </w:r>
            <w:r w:rsidR="00AB3978" w:rsidRPr="00EC2062">
              <w:t>to noteiks pieprasījums.</w:t>
            </w:r>
          </w:p>
        </w:tc>
        <w:tc>
          <w:tcPr>
            <w:tcW w:w="2986" w:type="dxa"/>
            <w:tcBorders>
              <w:top w:val="single" w:sz="4" w:space="0" w:color="auto"/>
              <w:left w:val="single" w:sz="4" w:space="0" w:color="auto"/>
              <w:bottom w:val="single" w:sz="4" w:space="0" w:color="auto"/>
            </w:tcBorders>
            <w:shd w:val="clear" w:color="auto" w:fill="auto"/>
          </w:tcPr>
          <w:p w14:paraId="43A45B6F" w14:textId="1EACF07A" w:rsidR="00842A93" w:rsidRPr="00EC2062" w:rsidRDefault="003E39C7" w:rsidP="003F5DB4">
            <w:pPr>
              <w:spacing w:after="160" w:line="259" w:lineRule="auto"/>
              <w:jc w:val="both"/>
            </w:pPr>
            <w:r w:rsidRPr="00EC2062">
              <w:t>Provizoriskos aprēķinos par jauno kreditēšanas modeli tiek norādītas procentu subsīdijas studiju kredītiem, ar pieņēmumu, ka tie veidos 8</w:t>
            </w:r>
            <w:r w:rsidR="006A784F" w:rsidRPr="00EC2062">
              <w:t>5</w:t>
            </w:r>
            <w:r w:rsidRPr="00EC2062">
              <w:t>% no kopējā izsniegto kredītu skaita atbilstoši iepriekšējām tendencēm.</w:t>
            </w:r>
          </w:p>
        </w:tc>
      </w:tr>
      <w:tr w:rsidR="00842A93" w:rsidRPr="001801C2" w14:paraId="54242706" w14:textId="77777777" w:rsidTr="00250134">
        <w:tc>
          <w:tcPr>
            <w:tcW w:w="708" w:type="dxa"/>
            <w:tcBorders>
              <w:top w:val="single" w:sz="6" w:space="0" w:color="000000"/>
              <w:left w:val="single" w:sz="6" w:space="0" w:color="000000"/>
              <w:bottom w:val="single" w:sz="6" w:space="0" w:color="000000"/>
              <w:right w:val="single" w:sz="6" w:space="0" w:color="000000"/>
            </w:tcBorders>
          </w:tcPr>
          <w:p w14:paraId="54E1D8EF" w14:textId="3935649D" w:rsidR="00842A93" w:rsidRDefault="00842A93" w:rsidP="003F5DB4">
            <w:pPr>
              <w:jc w:val="right"/>
            </w:pPr>
          </w:p>
        </w:tc>
        <w:tc>
          <w:tcPr>
            <w:tcW w:w="3112" w:type="dxa"/>
            <w:tcBorders>
              <w:top w:val="single" w:sz="6" w:space="0" w:color="000000"/>
              <w:left w:val="single" w:sz="6" w:space="0" w:color="000000"/>
              <w:bottom w:val="single" w:sz="6" w:space="0" w:color="000000"/>
              <w:right w:val="single" w:sz="6" w:space="0" w:color="000000"/>
            </w:tcBorders>
          </w:tcPr>
          <w:p w14:paraId="774C2BF4" w14:textId="77777777" w:rsidR="00842A93" w:rsidRDefault="00842A93" w:rsidP="003F5DB4">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tcPr>
          <w:p w14:paraId="5A9F1FAE" w14:textId="77777777" w:rsidR="00D02F0E" w:rsidRPr="00EC2062" w:rsidRDefault="00D02F0E" w:rsidP="00D02F0E">
            <w:pPr>
              <w:widowControl w:val="0"/>
              <w:jc w:val="both"/>
              <w:rPr>
                <w:rFonts w:eastAsia="Calibri"/>
                <w:b/>
                <w:lang w:eastAsia="en-US"/>
              </w:rPr>
            </w:pPr>
            <w:r w:rsidRPr="00EC2062">
              <w:rPr>
                <w:rFonts w:eastAsia="Calibri"/>
                <w:b/>
                <w:lang w:eastAsia="en-US"/>
              </w:rPr>
              <w:t>Finanšu ministrija (01.07.2019. vēstule Nr. 12/A-2/3061):</w:t>
            </w:r>
          </w:p>
          <w:p w14:paraId="63F8CB60" w14:textId="77777777" w:rsidR="00D02F0E" w:rsidRPr="00EC2062" w:rsidRDefault="00D02F0E" w:rsidP="003F5DB4">
            <w:pPr>
              <w:ind w:firstLine="33"/>
              <w:jc w:val="both"/>
              <w:rPr>
                <w:szCs w:val="28"/>
              </w:rPr>
            </w:pPr>
          </w:p>
          <w:p w14:paraId="403F1565" w14:textId="584BE151" w:rsidR="00842A93" w:rsidRPr="00EC2062" w:rsidRDefault="00D02F0E" w:rsidP="003F5DB4">
            <w:pPr>
              <w:ind w:firstLine="33"/>
              <w:jc w:val="both"/>
              <w:rPr>
                <w:b/>
                <w:szCs w:val="28"/>
              </w:rPr>
            </w:pPr>
            <w:r w:rsidRPr="00EC2062">
              <w:rPr>
                <w:szCs w:val="28"/>
              </w:rPr>
              <w:t>8. Konceptuālā ziņojuma sadaļas “Jaunais kreditēšanas modelis” 9.punktā (16.lpp.) ir norādīts, ka Izglītības un zinātnes ministrija, sagatavojot normatīvo regulējumu, plāno virzīt risinājumu bez studējošā kredīta summas ierobežojuma. Vēršam uzmanību, ka tādā gadījumā tas negatīvi ietekmēs 10.tabulas aprēķinus, kas palielinās fiskālo ietekmi jaunajam modelim.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B9CA58A" w14:textId="77777777" w:rsidR="00842A93" w:rsidRPr="00EC2062" w:rsidRDefault="00D02F0E" w:rsidP="00D02F0E">
            <w:pPr>
              <w:spacing w:after="160" w:line="259" w:lineRule="auto"/>
              <w:jc w:val="center"/>
              <w:rPr>
                <w:b/>
              </w:rPr>
            </w:pPr>
            <w:r w:rsidRPr="00EC2062">
              <w:rPr>
                <w:b/>
              </w:rPr>
              <w:t>Ņemts vērā pēc būtības</w:t>
            </w:r>
          </w:p>
          <w:p w14:paraId="786C9BC2" w14:textId="61916158" w:rsidR="00F86073" w:rsidRPr="00EC2062" w:rsidRDefault="00D02F0E" w:rsidP="008E1E56">
            <w:pPr>
              <w:spacing w:after="160" w:line="259" w:lineRule="auto"/>
              <w:jc w:val="both"/>
            </w:pPr>
            <w:r w:rsidRPr="00EC2062">
              <w:t xml:space="preserve">10.tabulas aprēķini jau iekļauj kā vidējo summu gan studiju, gan studējošo kredītam </w:t>
            </w:r>
            <w:r w:rsidR="00A66CBA" w:rsidRPr="00EC2062">
              <w:t xml:space="preserve">lielāko summu (6500 euro) nekā līdz šim faktiskās. Šāda summa studējošā kredītam </w:t>
            </w:r>
            <w:r w:rsidR="008E1E56" w:rsidRPr="00EC2062">
              <w:t xml:space="preserve">ar izmaksu 346 euro mēnesī (neto minimālā alga) būtu izmaksājama </w:t>
            </w:r>
            <w:r w:rsidR="00F86073" w:rsidRPr="00EC2062">
              <w:t xml:space="preserve">aptuveni </w:t>
            </w:r>
            <w:r w:rsidR="008E1E56" w:rsidRPr="00EC2062">
              <w:t xml:space="preserve">19 mēnešos. Saskaņā ar starptautisko salīdzinošo pētījumu EUROSTUDENT, Latvijā ir viens no augstākiem rādītājiem studējošo nodarbinātībai jau studiju laikā, kas ir saistīts ar sociālekonomisko situāciju valstī. Plānotais studējošā kredīta apmērs mēnesī (neto minimālā alga orientējoši 346 euro apmērā) neļauj segt visas </w:t>
            </w:r>
            <w:r w:rsidR="00F86073" w:rsidRPr="00EC2062">
              <w:t xml:space="preserve">dzīvošanas </w:t>
            </w:r>
            <w:r w:rsidR="008E1E56" w:rsidRPr="00EC2062">
              <w:t xml:space="preserve">izmaksas, it sevišķi dzīvošanas izmaksas Rīgā, kur ir koncentrēta lielāka daļa no </w:t>
            </w:r>
            <w:r w:rsidR="008E1E56" w:rsidRPr="00EC2062">
              <w:lastRenderedPageBreak/>
              <w:t xml:space="preserve">kredītņēmējiem. </w:t>
            </w:r>
            <w:r w:rsidR="00C939CD" w:rsidRPr="00EC2062">
              <w:t xml:space="preserve">Līdz ar to ministrijas ieskatā saglabāsies </w:t>
            </w:r>
            <w:r w:rsidR="00F86073" w:rsidRPr="00EC2062">
              <w:t>tendence, ka vēlākais 3. kursā studējošie jau ir nodarbināti praktiski pilnā slodzē un savieno studijas ar darbu, līdz ar to galvenais iztikas avots būs nevis studējošo kredīts bet atalgojums.</w:t>
            </w:r>
          </w:p>
          <w:p w14:paraId="4F2490F1" w14:textId="21505F16" w:rsidR="00F86073" w:rsidRPr="00EC2062" w:rsidRDefault="00F86073" w:rsidP="00C939CD">
            <w:pPr>
              <w:spacing w:after="160" w:line="259" w:lineRule="auto"/>
              <w:jc w:val="both"/>
            </w:pPr>
            <w:r w:rsidRPr="00EC2062">
              <w:t>Taču ja FM uzskata, ka aprē</w:t>
            </w:r>
            <w:r w:rsidR="008362C0" w:rsidRPr="00EC2062">
              <w:t>ķini 10.tabulā par studējošo kredītu dzēšanu bērnu piedzimšanas gadījumos ir jāveic ar lielāku summu, lūdzam norād</w:t>
            </w:r>
            <w:r w:rsidR="005764BE" w:rsidRPr="00EC2062">
              <w:t>īt pamatotu summu,</w:t>
            </w:r>
            <w:r w:rsidR="008362C0" w:rsidRPr="00EC2062">
              <w:t xml:space="preserve"> </w:t>
            </w:r>
            <w:r w:rsidR="00C939CD" w:rsidRPr="00EC2062">
              <w:t xml:space="preserve">ministrija </w:t>
            </w:r>
            <w:r w:rsidR="008362C0" w:rsidRPr="00EC2062">
              <w:t>veiks</w:t>
            </w:r>
            <w:r w:rsidR="00C939CD" w:rsidRPr="00EC2062">
              <w:t xml:space="preserve"> </w:t>
            </w:r>
            <w:r w:rsidR="008362C0" w:rsidRPr="00EC2062">
              <w:t xml:space="preserve"> aprēķinu.</w:t>
            </w:r>
          </w:p>
        </w:tc>
        <w:tc>
          <w:tcPr>
            <w:tcW w:w="2986" w:type="dxa"/>
            <w:tcBorders>
              <w:top w:val="single" w:sz="4" w:space="0" w:color="auto"/>
              <w:left w:val="single" w:sz="4" w:space="0" w:color="auto"/>
              <w:bottom w:val="single" w:sz="4" w:space="0" w:color="auto"/>
            </w:tcBorders>
          </w:tcPr>
          <w:p w14:paraId="48D951CE" w14:textId="77777777" w:rsidR="00842A93" w:rsidRPr="00BE6B8C" w:rsidRDefault="00842A93" w:rsidP="003F5DB4">
            <w:pPr>
              <w:spacing w:after="160" w:line="259" w:lineRule="auto"/>
              <w:jc w:val="both"/>
            </w:pPr>
          </w:p>
        </w:tc>
      </w:tr>
      <w:tr w:rsidR="003F5DB4" w:rsidRPr="001801C2" w14:paraId="46FFE702" w14:textId="77777777" w:rsidTr="007B681C">
        <w:tc>
          <w:tcPr>
            <w:tcW w:w="708" w:type="dxa"/>
            <w:tcBorders>
              <w:top w:val="single" w:sz="6" w:space="0" w:color="000000"/>
              <w:left w:val="single" w:sz="6" w:space="0" w:color="000000"/>
              <w:bottom w:val="single" w:sz="4" w:space="0" w:color="auto"/>
              <w:right w:val="single" w:sz="6" w:space="0" w:color="000000"/>
            </w:tcBorders>
          </w:tcPr>
          <w:p w14:paraId="242C4C2A" w14:textId="37BC9088" w:rsidR="003F5DB4" w:rsidRPr="001801C2" w:rsidRDefault="003F5DB4" w:rsidP="003F5DB4">
            <w:pPr>
              <w:jc w:val="right"/>
            </w:pPr>
          </w:p>
        </w:tc>
        <w:tc>
          <w:tcPr>
            <w:tcW w:w="3112" w:type="dxa"/>
            <w:tcBorders>
              <w:left w:val="single" w:sz="6" w:space="0" w:color="000000"/>
              <w:bottom w:val="single" w:sz="4" w:space="0" w:color="auto"/>
              <w:right w:val="single" w:sz="6" w:space="0" w:color="000000"/>
            </w:tcBorders>
          </w:tcPr>
          <w:p w14:paraId="52729A82" w14:textId="6991A145" w:rsidR="003F5DB4" w:rsidRDefault="003F5DB4" w:rsidP="003F5DB4">
            <w:pPr>
              <w:spacing w:after="160" w:line="259" w:lineRule="auto"/>
              <w:jc w:val="both"/>
            </w:pPr>
          </w:p>
        </w:tc>
        <w:tc>
          <w:tcPr>
            <w:tcW w:w="3260" w:type="dxa"/>
            <w:tcBorders>
              <w:top w:val="single" w:sz="6" w:space="0" w:color="000000"/>
              <w:left w:val="single" w:sz="6" w:space="0" w:color="000000"/>
              <w:bottom w:val="single" w:sz="4" w:space="0" w:color="auto"/>
              <w:right w:val="single" w:sz="6" w:space="0" w:color="000000"/>
            </w:tcBorders>
            <w:shd w:val="clear" w:color="auto" w:fill="auto"/>
          </w:tcPr>
          <w:p w14:paraId="7B7D7C12" w14:textId="77777777" w:rsidR="005764BE" w:rsidRPr="00EC2062" w:rsidRDefault="005764BE" w:rsidP="005764BE">
            <w:pPr>
              <w:widowControl w:val="0"/>
              <w:jc w:val="both"/>
              <w:rPr>
                <w:rFonts w:eastAsia="Calibri"/>
                <w:b/>
                <w:lang w:eastAsia="en-US"/>
              </w:rPr>
            </w:pPr>
            <w:r w:rsidRPr="00EC2062">
              <w:rPr>
                <w:rFonts w:eastAsia="Calibri"/>
                <w:b/>
                <w:lang w:eastAsia="en-US"/>
              </w:rPr>
              <w:t>Finanšu ministrija (01.07.2019. vēstule Nr. 12/A-2/3061):</w:t>
            </w:r>
          </w:p>
          <w:p w14:paraId="2CA5A3D1" w14:textId="77777777" w:rsidR="005764BE" w:rsidRPr="00EC2062" w:rsidRDefault="005764BE" w:rsidP="005764BE">
            <w:pPr>
              <w:spacing w:after="120"/>
            </w:pPr>
          </w:p>
          <w:p w14:paraId="046187DC" w14:textId="77777777" w:rsidR="005764BE" w:rsidRPr="00EC2062" w:rsidRDefault="005764BE" w:rsidP="005764BE">
            <w:pPr>
              <w:spacing w:after="120"/>
              <w:jc w:val="both"/>
            </w:pPr>
            <w:r w:rsidRPr="00EC2062">
              <w:t xml:space="preserve">9. Lūdzam iesniegt argumentētu viedokli ar pamatojošiem aprēķiniem, kāpēc valsts budžeta programmas 03.01.00 “Augstskolas” līdzekļi kredītam pielīdzinātās stipendijas zinātniskā grāda ieguvei būtu novirzāmi doktorantūras programmu studiju vietām. </w:t>
            </w:r>
          </w:p>
          <w:p w14:paraId="119E5EBF" w14:textId="13922B3E" w:rsidR="003F5DB4" w:rsidRPr="00EC2062" w:rsidRDefault="003F5DB4" w:rsidP="003F5DB4">
            <w:pPr>
              <w:pStyle w:val="NoSpacing"/>
              <w:jc w:val="both"/>
              <w:rPr>
                <w:rFonts w:ascii="Book Antiqua" w:hAnsi="Book Antiqua"/>
                <w:b/>
                <w:sz w:val="22"/>
                <w:szCs w:val="22"/>
              </w:rPr>
            </w:pP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7755BCF6" w14:textId="77777777" w:rsidR="00D7782D" w:rsidRPr="00EC2062" w:rsidRDefault="00D7782D" w:rsidP="00D7782D">
            <w:pPr>
              <w:spacing w:after="160" w:line="259" w:lineRule="auto"/>
              <w:jc w:val="center"/>
              <w:rPr>
                <w:b/>
              </w:rPr>
            </w:pPr>
            <w:r w:rsidRPr="00EC2062">
              <w:rPr>
                <w:b/>
              </w:rPr>
              <w:t>Ņemts vērā pēc būtības</w:t>
            </w:r>
          </w:p>
          <w:p w14:paraId="2F3F2380" w14:textId="77777777" w:rsidR="003F5DB4" w:rsidRPr="00EC2062" w:rsidRDefault="003F5DB4" w:rsidP="003F5DB4">
            <w:pPr>
              <w:jc w:val="both"/>
              <w:rPr>
                <w:b/>
              </w:rPr>
            </w:pPr>
          </w:p>
          <w:p w14:paraId="7226BB41" w14:textId="77777777" w:rsidR="00D7782D" w:rsidRPr="00EC2062" w:rsidRDefault="00D7782D" w:rsidP="00605978">
            <w:pPr>
              <w:jc w:val="both"/>
            </w:pPr>
            <w:r w:rsidRPr="00EC2062">
              <w:t xml:space="preserve">Līdzekļi kā iepriekš, tā turpmāk ir domāti doktorantūras </w:t>
            </w:r>
            <w:r w:rsidR="00923758" w:rsidRPr="00EC2062">
              <w:t xml:space="preserve">studijām, tikai citā formā ar mazāku administratīvo slogu. </w:t>
            </w:r>
          </w:p>
          <w:p w14:paraId="00FBF949" w14:textId="799803F1" w:rsidR="00923758" w:rsidRPr="00EC2062" w:rsidRDefault="00923758" w:rsidP="00605978">
            <w:pPr>
              <w:jc w:val="both"/>
            </w:pPr>
            <w:r w:rsidRPr="00EC2062">
              <w:t>Nozares plānošanas dokumenti, piemēram, Zinātnes, tehnoloģiju attīstības un inovācijas pamatnostādnes 2014.-2020.gadam, apstiprināti ar MK 2013.gada. 28.decembra rīkojumu Nr. 685, paredz Zin</w:t>
            </w:r>
            <w:r w:rsidR="00605978" w:rsidRPr="00EC2062">
              <w:t xml:space="preserve">ātnisko darbinieku skaita pieaugumu uz 7 000 2020.gadā. Pēc ministrijas rīcībā esošās auditētas informācijas par 2017. gadu zinātnisko darbinieku skaits pilna laika ekvivalentā sastādīja </w:t>
            </w:r>
            <w:r w:rsidR="001211EE" w:rsidRPr="00EC2062">
              <w:t xml:space="preserve">vien </w:t>
            </w:r>
            <w:r w:rsidR="00605978" w:rsidRPr="00EC2062">
              <w:t xml:space="preserve">3 792. Doktorantu stipendijas apmērs Latvijā ir palicis nemainīgs kopš 2004.gada- 113,83 euro, </w:t>
            </w:r>
            <w:r w:rsidR="00605978" w:rsidRPr="00EC2062">
              <w:lastRenderedPageBreak/>
              <w:t>salīdzinot  ar doktorantūras stipendijām no 722,00 e</w:t>
            </w:r>
            <w:r w:rsidR="004B4317" w:rsidRPr="00EC2062">
              <w:t>u</w:t>
            </w:r>
            <w:r w:rsidR="00605978" w:rsidRPr="00EC2062">
              <w:t>ro 1.kursā līdz 836,00 e</w:t>
            </w:r>
            <w:r w:rsidR="004B4317" w:rsidRPr="00EC2062">
              <w:t>u</w:t>
            </w:r>
            <w:r w:rsidR="00605978" w:rsidRPr="00EC2062">
              <w:t>ro 2.-4. kursos Lietuvā un l</w:t>
            </w:r>
            <w:r w:rsidR="004B4317" w:rsidRPr="00EC2062">
              <w:t>īdz 1</w:t>
            </w:r>
            <w:r w:rsidR="007B681C" w:rsidRPr="00EC2062">
              <w:t xml:space="preserve"> </w:t>
            </w:r>
            <w:r w:rsidR="004B4317" w:rsidRPr="00EC2062">
              <w:t>0</w:t>
            </w:r>
            <w:r w:rsidR="00605978" w:rsidRPr="00EC2062">
              <w:t>00 euro Igaunijā.</w:t>
            </w:r>
            <w:r w:rsidR="00AA7A28" w:rsidRPr="00EC2062">
              <w:t xml:space="preserve"> </w:t>
            </w:r>
            <w:r w:rsidR="00605978" w:rsidRPr="00EC2062">
              <w:t xml:space="preserve">Līdz ar to </w:t>
            </w:r>
            <w:r w:rsidR="00AA7A28" w:rsidRPr="00EC2062">
              <w:t>līdzekļi</w:t>
            </w:r>
            <w:r w:rsidR="00374311" w:rsidRPr="00EC2062">
              <w:t xml:space="preserve"> doktorantūras studijām tiek atstāti esošajā apmērā. N</w:t>
            </w:r>
            <w:r w:rsidR="00605978" w:rsidRPr="00EC2062">
              <w:t>ozares organizācijas, tādas kā Latvijas Jauno zinātnieku apvienība, Augstākās izglītības padome un citas diskusijās ar ministriju pauž viedokli, ka ir nepieciešams turpmāk palielināt finansējumu doktorantūras studijām.</w:t>
            </w:r>
            <w:r w:rsidR="001211EE" w:rsidRPr="00EC2062">
              <w:t xml:space="preserve"> Tieši šāds risinājums ir saskaņots ar nozares organizācijām.</w:t>
            </w:r>
          </w:p>
          <w:p w14:paraId="03A57FFC" w14:textId="49B6B2F3" w:rsidR="00605978" w:rsidRPr="00EC2062" w:rsidRDefault="00605978" w:rsidP="00605978">
            <w:pPr>
              <w:jc w:val="both"/>
            </w:pPr>
          </w:p>
        </w:tc>
        <w:tc>
          <w:tcPr>
            <w:tcW w:w="2986" w:type="dxa"/>
            <w:tcBorders>
              <w:top w:val="single" w:sz="4" w:space="0" w:color="auto"/>
              <w:left w:val="single" w:sz="4" w:space="0" w:color="auto"/>
              <w:bottom w:val="single" w:sz="4" w:space="0" w:color="auto"/>
            </w:tcBorders>
          </w:tcPr>
          <w:p w14:paraId="7F2B9BAB" w14:textId="6C56CAEF" w:rsidR="003F5DB4" w:rsidRDefault="003F5DB4" w:rsidP="003F5DB4">
            <w:pPr>
              <w:spacing w:after="160" w:line="259" w:lineRule="auto"/>
              <w:jc w:val="both"/>
            </w:pPr>
          </w:p>
        </w:tc>
      </w:tr>
      <w:tr w:rsidR="007B681C" w:rsidRPr="001801C2" w14:paraId="425C5E05" w14:textId="77777777" w:rsidTr="007B681C">
        <w:tc>
          <w:tcPr>
            <w:tcW w:w="708" w:type="dxa"/>
            <w:tcBorders>
              <w:top w:val="single" w:sz="4" w:space="0" w:color="auto"/>
              <w:left w:val="single" w:sz="4" w:space="0" w:color="auto"/>
              <w:bottom w:val="single" w:sz="4" w:space="0" w:color="auto"/>
              <w:right w:val="single" w:sz="4" w:space="0" w:color="auto"/>
            </w:tcBorders>
          </w:tcPr>
          <w:p w14:paraId="2B7CD41F" w14:textId="77777777" w:rsidR="007B681C" w:rsidRPr="001801C2" w:rsidRDefault="007B681C"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1085D464" w14:textId="77777777" w:rsidR="007B681C" w:rsidRDefault="007B681C" w:rsidP="003F5DB4">
            <w:pPr>
              <w:spacing w:after="160" w:line="259" w:lineRule="auto"/>
              <w:jc w:val="both"/>
            </w:pPr>
          </w:p>
          <w:p w14:paraId="7931AA23" w14:textId="77777777" w:rsidR="007B681C" w:rsidRDefault="007B681C" w:rsidP="003F5DB4">
            <w:pPr>
              <w:spacing w:after="160" w:line="259" w:lineRule="auto"/>
              <w:jc w:val="both"/>
            </w:pPr>
          </w:p>
          <w:p w14:paraId="0158E832" w14:textId="77777777" w:rsidR="007B681C" w:rsidRDefault="007B681C" w:rsidP="003F5DB4">
            <w:pPr>
              <w:spacing w:after="160" w:line="259" w:lineRule="auto"/>
              <w:jc w:val="both"/>
            </w:pPr>
          </w:p>
          <w:p w14:paraId="6EE28220" w14:textId="77777777" w:rsidR="007B681C" w:rsidRDefault="007B681C"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618761" w14:textId="77777777" w:rsidR="00E47DC7" w:rsidRPr="00EC2062" w:rsidRDefault="00E47DC7" w:rsidP="00E47DC7">
            <w:pPr>
              <w:widowControl w:val="0"/>
              <w:jc w:val="both"/>
              <w:rPr>
                <w:rFonts w:eastAsia="Calibri"/>
                <w:b/>
                <w:lang w:eastAsia="en-US"/>
              </w:rPr>
            </w:pPr>
            <w:r w:rsidRPr="00EC2062">
              <w:rPr>
                <w:rFonts w:eastAsia="Calibri"/>
                <w:b/>
                <w:lang w:eastAsia="en-US"/>
              </w:rPr>
              <w:t>Finanšu ministrija (01.07.2019. vēstule Nr. 12/A-2/3061):</w:t>
            </w:r>
          </w:p>
          <w:p w14:paraId="60AB9835" w14:textId="77777777" w:rsidR="00E47DC7" w:rsidRPr="00EC2062" w:rsidRDefault="00E47DC7" w:rsidP="00E47DC7">
            <w:pPr>
              <w:spacing w:after="120"/>
              <w:jc w:val="both"/>
            </w:pPr>
            <w:r w:rsidRPr="00EC2062">
              <w:t xml:space="preserve">10. Nav saprotams, kāpēc 10.tabulā līdzekļi kredīta dzēšanai par bērna piedzimšanu tiek aprēķināti ņemot vērā kumulatīvo studijas pabeigušo kredīta ņēmēju skaitu par visiem iepriekšējiem gadiem. No Izglītības un zinātnes ministrijas papildus iesūtītās informācijas, kurā sniegti pamatojoši aprēķini, t.sk. 10.tabulai, secināms, ka matemātiski korekti aprēķini (ievietota formula) sāk veidoties tikai no 2024.gada. Ņemot vērā minēto, lūdzam </w:t>
            </w:r>
            <w:r w:rsidRPr="00EC2062">
              <w:lastRenderedPageBreak/>
              <w:t xml:space="preserve">precizēt 10.tabulā norādīto informāciju. </w:t>
            </w:r>
          </w:p>
          <w:p w14:paraId="02A6EFCD" w14:textId="77777777" w:rsidR="007B681C" w:rsidRPr="00EC2062" w:rsidRDefault="007B681C" w:rsidP="005764BE">
            <w:pPr>
              <w:widowControl w:val="0"/>
              <w:jc w:val="both"/>
              <w:rPr>
                <w:rFonts w:eastAsia="Calibri"/>
                <w:b/>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BCC66ED" w14:textId="77777777" w:rsidR="007B681C" w:rsidRPr="00EC2062" w:rsidRDefault="007F4FC3" w:rsidP="00D7782D">
            <w:pPr>
              <w:spacing w:after="160" w:line="259" w:lineRule="auto"/>
              <w:jc w:val="center"/>
              <w:rPr>
                <w:b/>
              </w:rPr>
            </w:pPr>
            <w:r w:rsidRPr="00EC2062">
              <w:rPr>
                <w:b/>
              </w:rPr>
              <w:lastRenderedPageBreak/>
              <w:t>Ņemts vērā</w:t>
            </w:r>
          </w:p>
          <w:p w14:paraId="594A4DC8" w14:textId="2C0D759B" w:rsidR="007F4FC3" w:rsidRPr="00EC2062" w:rsidRDefault="007F4FC3" w:rsidP="007F4FC3">
            <w:pPr>
              <w:spacing w:after="160" w:line="259" w:lineRule="auto"/>
              <w:jc w:val="both"/>
            </w:pPr>
            <w:r w:rsidRPr="00EC2062">
              <w:t>Precizēta tabula Nr. 10. Ņemts vērā iebildums par kumulatīvo skaitu</w:t>
            </w:r>
            <w:r w:rsidR="004F36F0" w:rsidRPr="00EC2062">
              <w:t>:</w:t>
            </w:r>
            <w:r w:rsidRPr="00EC2062">
              <w:t xml:space="preserve"> pie atmaksātajām summām tiek pieskaitītas par bērniem dzēstās summas, otrreiz to pašu līguma summu vairs nevar nodzēst.</w:t>
            </w:r>
          </w:p>
        </w:tc>
        <w:tc>
          <w:tcPr>
            <w:tcW w:w="2986" w:type="dxa"/>
            <w:tcBorders>
              <w:top w:val="single" w:sz="4" w:space="0" w:color="auto"/>
              <w:left w:val="single" w:sz="4" w:space="0" w:color="auto"/>
              <w:bottom w:val="single" w:sz="4" w:space="0" w:color="auto"/>
            </w:tcBorders>
          </w:tcPr>
          <w:p w14:paraId="1296E859" w14:textId="6439742B" w:rsidR="007F4FC3" w:rsidRDefault="007F4FC3" w:rsidP="003F5DB4">
            <w:pPr>
              <w:spacing w:after="160" w:line="259" w:lineRule="auto"/>
              <w:jc w:val="both"/>
            </w:pPr>
          </w:p>
        </w:tc>
      </w:tr>
      <w:tr w:rsidR="00C05D6C" w:rsidRPr="001801C2" w14:paraId="4D4E07B0" w14:textId="77777777" w:rsidTr="007B681C">
        <w:tc>
          <w:tcPr>
            <w:tcW w:w="708" w:type="dxa"/>
            <w:tcBorders>
              <w:top w:val="single" w:sz="4" w:space="0" w:color="auto"/>
              <w:left w:val="single" w:sz="4" w:space="0" w:color="auto"/>
              <w:bottom w:val="single" w:sz="4" w:space="0" w:color="auto"/>
              <w:right w:val="single" w:sz="4" w:space="0" w:color="auto"/>
            </w:tcBorders>
          </w:tcPr>
          <w:p w14:paraId="12597646" w14:textId="77777777" w:rsidR="00C05D6C" w:rsidRPr="001801C2" w:rsidRDefault="00C05D6C"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0D1B1D72" w14:textId="77777777" w:rsidR="00C05D6C" w:rsidRDefault="00C05D6C"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B75030" w14:textId="77777777" w:rsidR="00C05D6C" w:rsidRPr="00EC2062" w:rsidRDefault="00C05D6C" w:rsidP="00C05D6C">
            <w:pPr>
              <w:widowControl w:val="0"/>
              <w:jc w:val="both"/>
              <w:rPr>
                <w:rFonts w:eastAsia="Calibri"/>
                <w:b/>
                <w:lang w:eastAsia="en-US"/>
              </w:rPr>
            </w:pPr>
            <w:r w:rsidRPr="00EC2062">
              <w:rPr>
                <w:rFonts w:eastAsia="Calibri"/>
                <w:b/>
                <w:lang w:eastAsia="en-US"/>
              </w:rPr>
              <w:t>Finanšu ministrija (01.07.2019. vēstule Nr. 12/A-2/3061):</w:t>
            </w:r>
          </w:p>
          <w:p w14:paraId="73F32BBA" w14:textId="77777777" w:rsidR="00035B25" w:rsidRPr="00EC2062" w:rsidRDefault="00035B25" w:rsidP="00035B25">
            <w:pPr>
              <w:spacing w:after="120"/>
            </w:pPr>
          </w:p>
          <w:p w14:paraId="56EA4202" w14:textId="77777777" w:rsidR="00035B25" w:rsidRPr="00EC2062" w:rsidRDefault="00035B25" w:rsidP="001211EE">
            <w:pPr>
              <w:spacing w:after="120"/>
              <w:jc w:val="both"/>
            </w:pPr>
            <w:r w:rsidRPr="00EC2062">
              <w:t>6. Lūdzam papildināt konceptuālo ziņojumu ar katra risinājuma varianta ietekmes uz valsts budžetu detalizētiem aprēķiniem, jo pretējā gadījumā nav skaidrs, kā veidojas konceptuālā ziņojuma 17.tabulā uzrādītie cipari.</w:t>
            </w:r>
          </w:p>
          <w:p w14:paraId="528C132F" w14:textId="77777777" w:rsidR="00C05D6C" w:rsidRPr="00EC2062" w:rsidRDefault="00C05D6C" w:rsidP="00C05D6C">
            <w:pPr>
              <w:spacing w:after="120"/>
            </w:pPr>
          </w:p>
          <w:p w14:paraId="4589D5A3" w14:textId="77777777" w:rsidR="00C05D6C" w:rsidRPr="00EC2062" w:rsidRDefault="00C05D6C" w:rsidP="001211EE">
            <w:pPr>
              <w:spacing w:after="120"/>
              <w:jc w:val="both"/>
            </w:pPr>
            <w:r w:rsidRPr="00EC2062">
              <w:t>11. Ņemot vērā 4.rīcības variantu un 10.tabulā norādītos aprēķinus, lūdzam 13.un 17.tabulā precizēt papildu nepieciešamo finansējumu – 68 658</w:t>
            </w:r>
            <w:r w:rsidRPr="00EC2062">
              <w:rPr>
                <w:i/>
              </w:rPr>
              <w:t xml:space="preserve"> euro</w:t>
            </w:r>
            <w:r w:rsidRPr="00EC2062">
              <w:t xml:space="preserve"> 2020.gadā, 382 056 </w:t>
            </w:r>
            <w:r w:rsidRPr="00EC2062">
              <w:rPr>
                <w:i/>
              </w:rPr>
              <w:t xml:space="preserve">euro </w:t>
            </w:r>
            <w:r w:rsidRPr="00EC2062">
              <w:t xml:space="preserve">2021.gadā, 797 124 </w:t>
            </w:r>
            <w:r w:rsidRPr="00EC2062">
              <w:rPr>
                <w:i/>
              </w:rPr>
              <w:t xml:space="preserve">euro </w:t>
            </w:r>
            <w:r w:rsidRPr="00EC2062">
              <w:t>2022.gadā. Līdz ar to, lūdzam precizēt arī protokollēmuma projekta 2.2.apakšpunktā minēto papildu finansējuma apmēru.</w:t>
            </w:r>
          </w:p>
          <w:p w14:paraId="53D59ADE" w14:textId="77777777" w:rsidR="00C05D6C" w:rsidRPr="00EC2062" w:rsidRDefault="00C05D6C" w:rsidP="001211EE">
            <w:pPr>
              <w:spacing w:after="120"/>
              <w:jc w:val="both"/>
            </w:pPr>
            <w:r w:rsidRPr="00EC2062">
              <w:t xml:space="preserve">12. Lūdzam svītrot konceptuālā ziņojuma 12.tabulu, ņemot vērā, ka minētajā tabulā </w:t>
            </w:r>
            <w:r w:rsidRPr="00EC2062">
              <w:lastRenderedPageBreak/>
              <w:t xml:space="preserve">iekļautā informācija dublē 11.tabulā iekļauto. </w:t>
            </w:r>
          </w:p>
          <w:p w14:paraId="44A30985" w14:textId="77777777" w:rsidR="00C05D6C" w:rsidRPr="00EC2062" w:rsidRDefault="00C05D6C" w:rsidP="001211EE">
            <w:pPr>
              <w:spacing w:after="120"/>
              <w:jc w:val="both"/>
            </w:pPr>
            <w:r w:rsidRPr="00EC2062">
              <w:t xml:space="preserve">13. Atbilstoši 10.tabulā norādītajam, papildus nepieciešamais finansējums studējošo kredītu dzēšanai bērnu piedzimšanas gadījumos jaunajā kreditēšanas sistēmā ir nepieciešams sākot no 2021.gada. Līdz ar to, lūdzam precizēt konceptuālā ziņojuma </w:t>
            </w:r>
            <w:r w:rsidRPr="00EC2062">
              <w:rPr>
                <w:b/>
              </w:rPr>
              <w:t>16.tabulu</w:t>
            </w:r>
            <w:r w:rsidRPr="00EC2062">
              <w:t xml:space="preserve">, papildus novēršot drukas kļūdu (nekorekti norādīts rīcības varianta Nr. pirmās kolonnas pēdējā rindā). </w:t>
            </w:r>
          </w:p>
          <w:p w14:paraId="644552DD" w14:textId="77777777" w:rsidR="00C05D6C" w:rsidRPr="00EC2062" w:rsidRDefault="00C05D6C" w:rsidP="00E47DC7">
            <w:pPr>
              <w:widowControl w:val="0"/>
              <w:jc w:val="both"/>
              <w:rPr>
                <w:rFonts w:eastAsia="Calibri"/>
                <w:b/>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4CD517F" w14:textId="77777777" w:rsidR="00C05D6C" w:rsidRPr="00EC2062" w:rsidRDefault="00C05D6C" w:rsidP="00D7782D">
            <w:pPr>
              <w:spacing w:after="160" w:line="259" w:lineRule="auto"/>
              <w:jc w:val="center"/>
              <w:rPr>
                <w:b/>
              </w:rPr>
            </w:pPr>
            <w:r w:rsidRPr="00EC2062">
              <w:rPr>
                <w:b/>
              </w:rPr>
              <w:lastRenderedPageBreak/>
              <w:t>Ņemts vērā</w:t>
            </w:r>
          </w:p>
          <w:p w14:paraId="52E17914" w14:textId="77777777" w:rsidR="001E0AEE" w:rsidRPr="00EC2062" w:rsidRDefault="00C05D6C" w:rsidP="001E0AEE">
            <w:pPr>
              <w:spacing w:after="160" w:line="259" w:lineRule="auto"/>
              <w:jc w:val="both"/>
            </w:pPr>
            <w:r w:rsidRPr="00EC2062">
              <w:t>Svītrota 12.tabula, veikti preciz</w:t>
            </w:r>
            <w:r w:rsidR="001E0AEE" w:rsidRPr="00EC2062">
              <w:t>ējumi tabulās nr. 11, 12, 15, 16.</w:t>
            </w:r>
          </w:p>
          <w:p w14:paraId="5288C7D1" w14:textId="2B8BC44A" w:rsidR="00035B25" w:rsidRPr="00EC2062" w:rsidRDefault="00035B25" w:rsidP="001E0AEE">
            <w:pPr>
              <w:spacing w:after="160" w:line="259" w:lineRule="auto"/>
              <w:jc w:val="both"/>
            </w:pPr>
            <w:r w:rsidRPr="00EC2062">
              <w:t>Papildināts ar detalizētāku aprē</w:t>
            </w:r>
            <w:r w:rsidR="009B425C" w:rsidRPr="00EC2062">
              <w:t>ķinu katram variantam, kā arī tiek nosūtīti aprēķini pielikumā Excel datnē.</w:t>
            </w:r>
          </w:p>
        </w:tc>
        <w:tc>
          <w:tcPr>
            <w:tcW w:w="2986" w:type="dxa"/>
            <w:tcBorders>
              <w:top w:val="single" w:sz="4" w:space="0" w:color="auto"/>
              <w:left w:val="single" w:sz="4" w:space="0" w:color="auto"/>
              <w:bottom w:val="single" w:sz="4" w:space="0" w:color="auto"/>
            </w:tcBorders>
          </w:tcPr>
          <w:p w14:paraId="64668D77" w14:textId="77777777" w:rsidR="00C05D6C" w:rsidRDefault="00C05D6C" w:rsidP="003F5DB4">
            <w:pPr>
              <w:spacing w:after="160" w:line="259" w:lineRule="auto"/>
              <w:jc w:val="both"/>
            </w:pPr>
          </w:p>
        </w:tc>
      </w:tr>
      <w:tr w:rsidR="003A2BA0" w:rsidRPr="001801C2" w14:paraId="623EBF73" w14:textId="77777777" w:rsidTr="007B681C">
        <w:tc>
          <w:tcPr>
            <w:tcW w:w="708" w:type="dxa"/>
            <w:tcBorders>
              <w:top w:val="single" w:sz="4" w:space="0" w:color="auto"/>
              <w:left w:val="single" w:sz="4" w:space="0" w:color="auto"/>
              <w:bottom w:val="single" w:sz="4" w:space="0" w:color="auto"/>
              <w:right w:val="single" w:sz="4" w:space="0" w:color="auto"/>
            </w:tcBorders>
          </w:tcPr>
          <w:p w14:paraId="1743427B" w14:textId="77777777" w:rsidR="003A2BA0" w:rsidRPr="001801C2" w:rsidRDefault="003A2BA0"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2CA4D615" w14:textId="77777777" w:rsidR="00CA1442" w:rsidRPr="00EC2062" w:rsidRDefault="00CA1442" w:rsidP="00CA1442">
            <w:pPr>
              <w:spacing w:after="160" w:line="259" w:lineRule="auto"/>
              <w:jc w:val="both"/>
            </w:pPr>
          </w:p>
          <w:p w14:paraId="1F8BF270" w14:textId="7C964A14" w:rsidR="00CA1442" w:rsidRPr="00EC2062" w:rsidRDefault="00CA1442" w:rsidP="00CA1442">
            <w:pPr>
              <w:spacing w:after="160" w:line="259" w:lineRule="auto"/>
              <w:jc w:val="both"/>
            </w:pPr>
            <w:r w:rsidRPr="00EC2062">
              <w:t>Teksts ziņojumā zem 10.tabulas:</w:t>
            </w:r>
          </w:p>
          <w:p w14:paraId="475A2309" w14:textId="77777777" w:rsidR="003A2BA0" w:rsidRPr="00EC2062" w:rsidRDefault="003A2BA0" w:rsidP="003A2BA0">
            <w:pPr>
              <w:jc w:val="both"/>
            </w:pPr>
          </w:p>
          <w:p w14:paraId="7D4125F5" w14:textId="77777777" w:rsidR="003A2BA0" w:rsidRPr="00EC2062" w:rsidRDefault="003A2BA0" w:rsidP="003A2BA0">
            <w:pPr>
              <w:jc w:val="both"/>
            </w:pPr>
            <w:r w:rsidRPr="00EC2062">
              <w:t xml:space="preserve">Gadījumā, ja faktiskais pieteikumu skaits dzēšanai bērnu dzimšanas gadījumos būs lielāks, šim pasākumam būs nepieciešams papildu finansējums, ministrijai normatīvajos aktos noteiktajā kārtībā iesniedzot pieprasījumu līdzekļu piešķiršanai  no valsts budžeta programmas 02.00.00 </w:t>
            </w:r>
            <w:r w:rsidRPr="00EC2062">
              <w:lastRenderedPageBreak/>
              <w:t>„Līdzekļi neparedzētiem gadījumiem”.</w:t>
            </w:r>
          </w:p>
          <w:p w14:paraId="0A5A2528" w14:textId="77777777" w:rsidR="003A2BA0" w:rsidRPr="00EC2062" w:rsidRDefault="003A2BA0"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E374C6" w14:textId="77777777" w:rsidR="003A2BA0" w:rsidRPr="00EC2062" w:rsidRDefault="003A2BA0" w:rsidP="003A2BA0">
            <w:pPr>
              <w:widowControl w:val="0"/>
              <w:jc w:val="both"/>
              <w:rPr>
                <w:rFonts w:eastAsia="Calibri"/>
                <w:b/>
                <w:lang w:eastAsia="en-US"/>
              </w:rPr>
            </w:pPr>
            <w:r w:rsidRPr="00EC2062">
              <w:rPr>
                <w:rFonts w:eastAsia="Calibri"/>
                <w:b/>
                <w:lang w:eastAsia="en-US"/>
              </w:rPr>
              <w:lastRenderedPageBreak/>
              <w:t>Finanšu ministrija (01.07.2019. vēstule Nr. 12/A-2/3061):</w:t>
            </w:r>
          </w:p>
          <w:p w14:paraId="3F50130C" w14:textId="6EA1471B" w:rsidR="003A2BA0" w:rsidRPr="00EC2062" w:rsidRDefault="003A2BA0" w:rsidP="00C05D6C">
            <w:pPr>
              <w:widowControl w:val="0"/>
              <w:jc w:val="both"/>
              <w:rPr>
                <w:rFonts w:eastAsia="Calibri"/>
                <w:lang w:eastAsia="en-US"/>
              </w:rPr>
            </w:pPr>
            <w:r w:rsidRPr="00EC2062">
              <w:rPr>
                <w:rFonts w:eastAsia="Calibri"/>
                <w:lang w:eastAsia="en-US"/>
              </w:rPr>
              <w:t xml:space="preserve">2. Lūdzam svītrot protokollēmuma projekta 2.3.apakšpunktu, ņemot vērā, ka Ministru kabineta 2012.gada 11.decembra noteikumi Nr.867 “Kārtība, kādā nosakāms maksimāli pieļaujamais valsts budžeta izdevumu kopapjoms un maksimāli pieļaujamais valsts budžeta izdevumu kopējais apjoms katrai ministrijai un citām centrālajām valsts iestādēm vidējam termiņam” jau šobrīd paredz, ka </w:t>
            </w:r>
            <w:r w:rsidRPr="00EC2062">
              <w:rPr>
                <w:rFonts w:eastAsia="Calibri"/>
                <w:lang w:eastAsia="en-US"/>
              </w:rPr>
              <w:lastRenderedPageBreak/>
              <w:t>valsts budžeta ilgtermiņa saistības ministrijām tiek precizētas atbilstoši izmaiņām procentu izdevumos. Savukārt gadījumā, ja procentu izdevumus ir nepieciešams precizēt kārtējā/saimnieciskā gada ietvaros, jautājums ir risināms atbilstoši Ministru kabineta 2018.gada 17.jūlija noteikumos Nr.421 “Kārtība, kādā veic gadskārtējā valsts budžeta likumā noteiktās apropriācijas izmaiņas” paredzētajai kārtībai. Attiecīgi nepieciešams precizēt arī informāciju konceptuālā ziņojuma 25. un 26.lpp. zem 8.tabulas, kā arī 30.lpp. zem 10.tabulas.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DF790F1" w14:textId="137B0628" w:rsidR="003A2BA0" w:rsidRPr="00EC2062" w:rsidRDefault="00AA7A28" w:rsidP="00D7782D">
            <w:pPr>
              <w:spacing w:after="160" w:line="259" w:lineRule="auto"/>
              <w:jc w:val="center"/>
              <w:rPr>
                <w:b/>
              </w:rPr>
            </w:pPr>
            <w:r w:rsidRPr="00EC2062">
              <w:rPr>
                <w:b/>
              </w:rPr>
              <w:lastRenderedPageBreak/>
              <w:t>Ņemts vērā.</w:t>
            </w:r>
          </w:p>
        </w:tc>
        <w:tc>
          <w:tcPr>
            <w:tcW w:w="2986" w:type="dxa"/>
            <w:tcBorders>
              <w:top w:val="single" w:sz="4" w:space="0" w:color="auto"/>
              <w:left w:val="single" w:sz="4" w:space="0" w:color="auto"/>
              <w:bottom w:val="single" w:sz="4" w:space="0" w:color="auto"/>
            </w:tcBorders>
          </w:tcPr>
          <w:p w14:paraId="3B03AABE" w14:textId="77777777" w:rsidR="003A2BA0" w:rsidRPr="00EC2062" w:rsidRDefault="003A2BA0" w:rsidP="003F5DB4">
            <w:pPr>
              <w:spacing w:after="160" w:line="259" w:lineRule="auto"/>
              <w:jc w:val="both"/>
            </w:pPr>
          </w:p>
          <w:p w14:paraId="58876E19" w14:textId="7EFB3ED3" w:rsidR="00CA1442" w:rsidRPr="00EC2062" w:rsidRDefault="00CA1442" w:rsidP="003F5DB4">
            <w:pPr>
              <w:spacing w:after="160" w:line="259" w:lineRule="auto"/>
              <w:jc w:val="both"/>
            </w:pPr>
            <w:r w:rsidRPr="00EC2062">
              <w:t>Precizēts rīkojuma projekts.</w:t>
            </w:r>
          </w:p>
          <w:p w14:paraId="1524D55D" w14:textId="278DB313" w:rsidR="00CA1442" w:rsidRPr="00EC2062" w:rsidRDefault="00CA1442" w:rsidP="003F5DB4">
            <w:pPr>
              <w:spacing w:after="160" w:line="259" w:lineRule="auto"/>
              <w:jc w:val="both"/>
            </w:pPr>
            <w:r w:rsidRPr="00EC2062">
              <w:t>Precizēts teksts ziņojumā zem 10.tabulas:</w:t>
            </w:r>
          </w:p>
          <w:p w14:paraId="16BA1936" w14:textId="77777777" w:rsidR="003A2BA0" w:rsidRPr="00EC2062" w:rsidRDefault="003A2BA0" w:rsidP="003A2BA0">
            <w:pPr>
              <w:jc w:val="both"/>
            </w:pPr>
            <w:r w:rsidRPr="00EC2062">
              <w:t xml:space="preserve">Gadījumā, ja faktiskais pieteikumu skaits dzēšanai bērnu dzimšanas gadījumos būs lielāks, šim pasākumam būs nepieciešams papildu finansējums, ministrijai normatīvajos aktos noteiktajā kārtībā iesniedzot pieprasījumu līdzekļu piešķiršanai  atbilstoši Ministru kabineta 2018.gada </w:t>
            </w:r>
            <w:r w:rsidRPr="00EC2062">
              <w:lastRenderedPageBreak/>
              <w:t>17.jūlija noteikumiem Nr. 421 “Kārtība, kādā veic gadskārtējā valsts budžeta likumā noteiktās apropriācijas izmaiņas” paredzētajai kārtībai.</w:t>
            </w:r>
          </w:p>
          <w:p w14:paraId="1D8068BC" w14:textId="77777777" w:rsidR="003A2BA0" w:rsidRPr="00EC2062" w:rsidRDefault="003A2BA0" w:rsidP="003F5DB4">
            <w:pPr>
              <w:spacing w:after="160" w:line="259" w:lineRule="auto"/>
              <w:jc w:val="both"/>
            </w:pPr>
          </w:p>
        </w:tc>
      </w:tr>
      <w:tr w:rsidR="003A2BA0" w:rsidRPr="001801C2" w14:paraId="7B5A5B0D" w14:textId="77777777" w:rsidTr="007B681C">
        <w:tc>
          <w:tcPr>
            <w:tcW w:w="708" w:type="dxa"/>
            <w:tcBorders>
              <w:top w:val="single" w:sz="4" w:space="0" w:color="auto"/>
              <w:left w:val="single" w:sz="4" w:space="0" w:color="auto"/>
              <w:bottom w:val="single" w:sz="4" w:space="0" w:color="auto"/>
              <w:right w:val="single" w:sz="4" w:space="0" w:color="auto"/>
            </w:tcBorders>
          </w:tcPr>
          <w:p w14:paraId="0BBD7B65" w14:textId="64791B9A" w:rsidR="003A2BA0" w:rsidRPr="001801C2" w:rsidRDefault="003A2BA0"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7F337E59" w14:textId="77777777" w:rsidR="003A2BA0" w:rsidRDefault="003A2BA0"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63DEF3" w14:textId="77777777" w:rsidR="00AC5175" w:rsidRPr="00EC2062" w:rsidRDefault="00AC5175" w:rsidP="00585B37">
            <w:pPr>
              <w:widowControl w:val="0"/>
              <w:jc w:val="both"/>
              <w:rPr>
                <w:rFonts w:eastAsia="Calibri"/>
                <w:b/>
                <w:lang w:eastAsia="en-US"/>
              </w:rPr>
            </w:pPr>
            <w:r w:rsidRPr="00EC2062">
              <w:rPr>
                <w:rFonts w:eastAsia="Calibri"/>
                <w:b/>
                <w:lang w:eastAsia="en-US"/>
              </w:rPr>
              <w:t>Finanšu ministrija (01.07.2019. vēstule Nr. 12/A-2/3061):</w:t>
            </w:r>
          </w:p>
          <w:p w14:paraId="3C6CEB2A" w14:textId="77777777" w:rsidR="003A2BA0" w:rsidRPr="00EC2062" w:rsidRDefault="003A2BA0" w:rsidP="00585B37">
            <w:pPr>
              <w:widowControl w:val="0"/>
              <w:jc w:val="both"/>
              <w:rPr>
                <w:rFonts w:eastAsia="Calibri"/>
                <w:b/>
                <w:lang w:eastAsia="en-US"/>
              </w:rPr>
            </w:pPr>
          </w:p>
          <w:p w14:paraId="091AFC4C" w14:textId="77777777" w:rsidR="00AC5175" w:rsidRPr="00EC2062" w:rsidRDefault="00AC5175" w:rsidP="00585B37">
            <w:pPr>
              <w:widowControl w:val="0"/>
              <w:jc w:val="both"/>
              <w:rPr>
                <w:rFonts w:eastAsia="Calibri"/>
                <w:lang w:eastAsia="en-US"/>
              </w:rPr>
            </w:pPr>
            <w:r w:rsidRPr="00EC2062">
              <w:rPr>
                <w:rFonts w:eastAsia="Calibri"/>
                <w:lang w:eastAsia="en-US"/>
              </w:rPr>
              <w:t xml:space="preserve">1. Lūdzam precizēt protokollēmuma projekta 2.1.apakšpunkta redakciju, skaidri norādot, kā tiks nodrošināts finansējums jaunā studiju un studējošo kreditēšanas modeļa ieviešanai, t.i., Izglītības un zinātnes ministrijai iesniedzot priekšlikumu pamatbudžeta </w:t>
            </w:r>
            <w:r w:rsidRPr="00EC2062">
              <w:rPr>
                <w:rFonts w:eastAsia="Calibri"/>
                <w:lang w:eastAsia="en-US"/>
              </w:rPr>
              <w:lastRenderedPageBreak/>
              <w:t xml:space="preserve">bāzes izdevumu pārdalei, norādot budžeta apakšprogrammas 03.04.00 “Studējošo un studiju kreditēšana” izdevumu pozīcijas, kuru ietvaros tiks pārdalīts attiecīgais finansējums (piemēram, samazinot līdzekļus izdevumu pozīcijā “saņemto aizņēmumu atmaksa” un palielinot finansējumu izdevumu pozīcijā “subsīdijas un dotācijas”), kā arī uzdodot Finanšu ministrijai attiecīgi precizēt Izglītības un zinātnes ministrijas bāzes izdevumus. </w:t>
            </w:r>
          </w:p>
          <w:p w14:paraId="6B4D99CB" w14:textId="77777777" w:rsidR="00AC5175" w:rsidRPr="00EC2062" w:rsidRDefault="00AC5175" w:rsidP="00585B37">
            <w:pPr>
              <w:widowControl w:val="0"/>
              <w:jc w:val="both"/>
              <w:rPr>
                <w:rFonts w:eastAsia="Calibri"/>
                <w:lang w:eastAsia="en-US"/>
              </w:rPr>
            </w:pPr>
            <w:r w:rsidRPr="00EC2062">
              <w:rPr>
                <w:rFonts w:eastAsia="Calibri"/>
                <w:lang w:eastAsia="en-US"/>
              </w:rPr>
              <w:t xml:space="preserve">2. Lūdzam svītrot protokollēmuma projekta 2.3.apakšpunktu, ņemot vērā, ka Ministru kabineta 2012.gada 11.decembra noteikumi Nr.867 “Kārtība, kādā nosakāms maksimāli pieļaujamais valsts budžeta izdevumu kopapjoms un maksimāli pieļaujamais valsts budžeta izdevumu kopējais apjoms katrai ministrijai un citām centrālajām valsts iestādēm vidējam termiņam” jau šobrīd paredz, ka valsts budžeta ilgtermiņa saistības ministrijām tiek precizētas atbilstoši izmaiņām </w:t>
            </w:r>
            <w:r w:rsidRPr="00EC2062">
              <w:rPr>
                <w:rFonts w:eastAsia="Calibri"/>
                <w:lang w:eastAsia="en-US"/>
              </w:rPr>
              <w:lastRenderedPageBreak/>
              <w:t xml:space="preserve">procentu izdevumos. Savukārt gadījumā, ja procentu izdevumus ir nepieciešams precizēt kārtējā/saimnieciskā gada ietvaros, jautājums ir risināms atbilstoši Ministru kabineta 2018.gada 17.jūlija noteikumos Nr.421 “Kārtība, kādā veic gadskārtējā valsts budžeta likumā noteiktās apropriācijas izmaiņas” paredzētajai kārtībai. Attiecīgi nepieciešams precizēt arī informāciju konceptuālā ziņojuma 25. un 26.lpp. zem 8.tabulas, kā arī 30.lpp. zem 10.tabulas. </w:t>
            </w:r>
          </w:p>
          <w:p w14:paraId="233093B0" w14:textId="1B11E4B4" w:rsidR="00AC5175" w:rsidRPr="00EC2062" w:rsidRDefault="00AC5175" w:rsidP="00585B37">
            <w:pPr>
              <w:widowControl w:val="0"/>
              <w:jc w:val="both"/>
              <w:rPr>
                <w:rFonts w:eastAsia="Calibri"/>
                <w:lang w:eastAsia="en-US"/>
              </w:rPr>
            </w:pPr>
            <w:r w:rsidRPr="00EC2062">
              <w:rPr>
                <w:rFonts w:eastAsia="Calibri"/>
                <w:lang w:eastAsia="en-US"/>
              </w:rPr>
              <w:t>3. Lūdzam precizēt protokollēmuma projekta 3. un 4.punktu, jo uzskatām, ka grozījumi Ministru kabineta 2001. gada 29. maija noteikumos Nr. 220 “Kārtība, kādā tiek piešķirts, atmaksāts un dzēsts studiju kredīts un studējošā kredīts no kredītiestādes līdzekļiem ar valsts vārdā sniegtu galvojumu” ir jāgatavo vienu reizi, mazinot administratīvo slogu visām sagatavošanas un saskaņošanas procesā iesaistītajām pusēm.</w:t>
            </w:r>
          </w:p>
          <w:p w14:paraId="187F8CDC" w14:textId="77777777" w:rsidR="00AC5175" w:rsidRPr="00EC2062" w:rsidRDefault="00AC5175" w:rsidP="00585B37">
            <w:pPr>
              <w:widowControl w:val="0"/>
              <w:jc w:val="both"/>
              <w:rPr>
                <w:rFonts w:eastAsia="Calibri"/>
                <w:b/>
                <w:lang w:eastAsia="en-US"/>
              </w:rPr>
            </w:pPr>
          </w:p>
          <w:p w14:paraId="75830B8F" w14:textId="756496DE" w:rsidR="00AC5175" w:rsidRPr="00EC2062" w:rsidRDefault="00AC5175" w:rsidP="00585B37">
            <w:pPr>
              <w:jc w:val="both"/>
              <w:rPr>
                <w:rFonts w:eastAsia="Calibri"/>
                <w:b/>
                <w:lang w:eastAsia="en-US"/>
              </w:rPr>
            </w:pPr>
            <w:r w:rsidRPr="00EC2062">
              <w:lastRenderedPageBreak/>
              <w:t xml:space="preserve">2. Lai nodrošinātu Eiropas Komisijas saskaņojuma saņemšanu par Eiropas Komisijas lēmuma 2015.gada 9.jūnija lēmuma Nr. SA.36904 (2014/N) "LHZB attīstības (programmu) daļa un Latvijas vienotās attīstības finanšu institūcijas izveide" korektu ieviešanu, iekļaujot AS “Altum” darbības tvērumā jaunu funkciju, aicinām protokollēmuma projekta 5.punktu izteikt, piemēram, šādā redakcijā: </w:t>
            </w:r>
            <w:r w:rsidRPr="00EC2062">
              <w:rPr>
                <w:i/>
                <w:iCs/>
              </w:rPr>
              <w:t xml:space="preserve">“Izglītības un zinātnes ministrijai sadarbībā ar “Altum” sagatavot informāciju par “Altum” papildus funkcijas atbilstību Eiropas Komisijas 2015.gada 9.jūnija lēmumā Nr. SA.36904 (2014/N) "LHZB attīstības (programmu) daļa un Latvijas vienotās attīstības finanšu institūcijas izveide” noteiktajam “Altum” darbības tvērumam un sadarbībā ar Finanšu ministriju līdz [datums] iesniegt to Eiropas Komisijas Konkurences ģenerāldirektorātā viedokļa saņemšanai pirms jaunās programmas īstenošanas uzsākšanas.”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578F79" w14:textId="77777777" w:rsidR="003A2BA0" w:rsidRPr="00EC2062" w:rsidRDefault="002A7CDB" w:rsidP="00D7782D">
            <w:pPr>
              <w:spacing w:after="160" w:line="259" w:lineRule="auto"/>
              <w:jc w:val="center"/>
              <w:rPr>
                <w:b/>
              </w:rPr>
            </w:pPr>
            <w:r w:rsidRPr="00EC2062">
              <w:rPr>
                <w:b/>
              </w:rPr>
              <w:lastRenderedPageBreak/>
              <w:t>Ņemts vērā pēc būtības.</w:t>
            </w:r>
          </w:p>
          <w:p w14:paraId="76769FDB" w14:textId="77777777" w:rsidR="002A7CDB" w:rsidRPr="00EC2062" w:rsidRDefault="002A7CDB" w:rsidP="002A7CDB">
            <w:pPr>
              <w:spacing w:after="160" w:line="259" w:lineRule="auto"/>
              <w:jc w:val="both"/>
            </w:pPr>
            <w:r w:rsidRPr="00EC2062">
              <w:t xml:space="preserve">Rīkojuma projekts ir precizēts atbilstoši komentāriem. </w:t>
            </w:r>
          </w:p>
          <w:p w14:paraId="27A9EC31" w14:textId="62568E37" w:rsidR="002A7CDB" w:rsidRPr="00EC2062" w:rsidRDefault="002A7CDB" w:rsidP="002A7CDB">
            <w:pPr>
              <w:spacing w:after="160" w:line="259" w:lineRule="auto"/>
              <w:jc w:val="both"/>
            </w:pPr>
            <w:r w:rsidRPr="00EC2062">
              <w:t xml:space="preserve">Attiecībā uz grozījumiem MK Not. Nr. 220 jautājums tika pārrunāts ar Tieslietu ministriju, un tās uzskats bija, ka ja MK atbalstīts rīcības variantu, kas neparedz dzēšanas turpināšanu par darbu noteiktajās jomās, attiecīgais regulējums ir svītrojams pēc iespējas ātrāk. Tādēļ tas tiks iesniegts MK atsevišķi no regulējuma par jauno kreditēšanas </w:t>
            </w:r>
            <w:r w:rsidRPr="00EC2062">
              <w:lastRenderedPageBreak/>
              <w:t xml:space="preserve">modeli, kas varētu prasīt ilgāku saskaņošanu ar iesaistītajām pusēm. </w:t>
            </w:r>
          </w:p>
          <w:p w14:paraId="3F5F72D9" w14:textId="1649C8D2" w:rsidR="002A7CDB" w:rsidRPr="00EC2062" w:rsidRDefault="002A7CDB" w:rsidP="002A7CDB">
            <w:pPr>
              <w:spacing w:after="160" w:line="259" w:lineRule="auto"/>
              <w:jc w:val="both"/>
            </w:pPr>
          </w:p>
        </w:tc>
        <w:tc>
          <w:tcPr>
            <w:tcW w:w="2986" w:type="dxa"/>
            <w:tcBorders>
              <w:top w:val="single" w:sz="4" w:space="0" w:color="auto"/>
              <w:left w:val="single" w:sz="4" w:space="0" w:color="auto"/>
              <w:bottom w:val="single" w:sz="4" w:space="0" w:color="auto"/>
            </w:tcBorders>
          </w:tcPr>
          <w:p w14:paraId="4F882EEA" w14:textId="77777777" w:rsidR="003A2BA0" w:rsidRDefault="003A2BA0" w:rsidP="003F5DB4">
            <w:pPr>
              <w:spacing w:after="160" w:line="259" w:lineRule="auto"/>
              <w:jc w:val="both"/>
            </w:pPr>
          </w:p>
          <w:p w14:paraId="4BC5B916" w14:textId="28856279" w:rsidR="00211188" w:rsidRDefault="00211188" w:rsidP="003F5DB4">
            <w:pPr>
              <w:spacing w:after="160" w:line="259" w:lineRule="auto"/>
              <w:jc w:val="both"/>
            </w:pPr>
            <w:r>
              <w:t>Precizēts rīkojuma projekts.</w:t>
            </w:r>
          </w:p>
        </w:tc>
      </w:tr>
      <w:tr w:rsidR="003A2BA0" w:rsidRPr="001801C2" w14:paraId="33F57961" w14:textId="77777777" w:rsidTr="007B681C">
        <w:tc>
          <w:tcPr>
            <w:tcW w:w="708" w:type="dxa"/>
            <w:tcBorders>
              <w:top w:val="single" w:sz="4" w:space="0" w:color="auto"/>
              <w:left w:val="single" w:sz="4" w:space="0" w:color="auto"/>
              <w:bottom w:val="single" w:sz="4" w:space="0" w:color="auto"/>
              <w:right w:val="single" w:sz="4" w:space="0" w:color="auto"/>
            </w:tcBorders>
          </w:tcPr>
          <w:p w14:paraId="05FB0F08" w14:textId="3CD6EDB7" w:rsidR="003A2BA0" w:rsidRPr="001801C2" w:rsidRDefault="003A2BA0"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0B7C654D" w14:textId="77777777" w:rsidR="003A2BA0" w:rsidRDefault="003A2BA0"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02FA18" w14:textId="77777777" w:rsidR="00585B37" w:rsidRPr="00EC2062" w:rsidRDefault="00585B37" w:rsidP="00585B37">
            <w:pPr>
              <w:widowControl w:val="0"/>
              <w:jc w:val="both"/>
              <w:rPr>
                <w:rFonts w:eastAsia="Calibri"/>
                <w:b/>
                <w:lang w:eastAsia="en-US"/>
              </w:rPr>
            </w:pPr>
            <w:r w:rsidRPr="00EC2062">
              <w:rPr>
                <w:rFonts w:eastAsia="Calibri"/>
                <w:b/>
                <w:lang w:eastAsia="en-US"/>
              </w:rPr>
              <w:t>Finanšu ministrija (01.07.2019. vēstule Nr. 12/A-2/3061):</w:t>
            </w:r>
          </w:p>
          <w:p w14:paraId="54568396" w14:textId="77777777" w:rsidR="00585B37" w:rsidRPr="00EC2062" w:rsidRDefault="00585B37" w:rsidP="00585B37">
            <w:pPr>
              <w:spacing w:after="120"/>
              <w:jc w:val="both"/>
              <w:rPr>
                <w:i/>
                <w:u w:val="single"/>
              </w:rPr>
            </w:pPr>
          </w:p>
          <w:p w14:paraId="5C470948" w14:textId="77777777" w:rsidR="00585B37" w:rsidRPr="00EC2062" w:rsidRDefault="00585B37" w:rsidP="00585B37">
            <w:pPr>
              <w:spacing w:after="120"/>
              <w:jc w:val="both"/>
              <w:rPr>
                <w:i/>
                <w:u w:val="single"/>
              </w:rPr>
            </w:pPr>
            <w:r w:rsidRPr="00EC2062">
              <w:rPr>
                <w:i/>
                <w:u w:val="single"/>
              </w:rPr>
              <w:t>Iebildumi par konceptuālo ziņojumu:</w:t>
            </w:r>
          </w:p>
          <w:p w14:paraId="2C3BE699" w14:textId="77777777" w:rsidR="00585B37" w:rsidRPr="00EC2062" w:rsidRDefault="00585B37" w:rsidP="00585B37">
            <w:pPr>
              <w:spacing w:after="120"/>
              <w:ind w:firstLine="720"/>
              <w:jc w:val="both"/>
            </w:pPr>
            <w:r w:rsidRPr="00EC2062">
              <w:t xml:space="preserve">1. Vēršam uzmanību, ka, lai pasākums studiju un studējošo kredītu izsniegšanai nekvalificētos kā valsts atbalsts banku/kredītiestāžu līmenī, nepieciešams izslēgt selektīvu priekšrocību vai ekonomisko priekšrocību. Pirmkārt, plānotajam pasākumam jābūt atvērtam visām finanšu iestādēm, kas nodarbojas ar kreditēšanu, ne tikai bankām/kredītiestādēm; attiecīgi lūdzam konceptuālo ziņojumu papildināt ar skaidrojumu par to, kas konceptuālā ziņojuma kontekstā tiek saprasts ar terminu “kredītiestāde/banka”, proti, ikviens tirgus spēlētājs, kas nodarbojas ar kreditēšanu, un ar skaidrojumu par to, ka, balstoties uz riska analīzi, tiks sagatavota metodika ar kritērijiem kredītiestāžu atbilstībai (kritēriji nedrīkst būt tādi, kas radītu nepamatotus </w:t>
            </w:r>
            <w:r w:rsidRPr="00EC2062">
              <w:lastRenderedPageBreak/>
              <w:t xml:space="preserve">ierobežojumus). Ja pasākums būs atvērts ikvienai finanšu iestādei, kas nodarbojas ar kreditēšanu, būs iespējams izslēgt selektivitātes pazīmi. Vienlaikus lūdzam viscaur konceptuālā ziņojuma tekstā lietot vienotu terminoloģiju, kur attiecināms, attiecībā uz terminu  “banka/kredītiestāde”. Otrkārt, ja nav iespējams izslēgt selektīvu priekšrocību, lūdzam pamatot ekonomiskās priekšrocības izslēgšanu, pasākumā nosakot kritērijus attiecībā uz kredītiestādēm līdzīgi tiem, kas noteikti Ministru kabineta 2017.gada 5.septembra noteikumos Nr. 537 “Noteikumi par portfeļgarantijām sīko (mikro), mazo un vidējo komersantu kreditēšanas veicināšanai”, tai skaitā, par portfeļgarantijas instrumenta finansiālo priekšrocību nodošanu aizdevumu saņēmējiem. Piemēram, finanšu priekšrocības kredītiestādes, kuras tiek atlasītas izsludinātajā atlasē,  gala saņēmējiem var nodot, samazinot finanšu pakalpojuma likmi, pamatot ar kredītiestādes darbības </w:t>
            </w:r>
            <w:r w:rsidRPr="00EC2062">
              <w:lastRenderedPageBreak/>
              <w:t xml:space="preserve">principiem finansēšanā, t.sk., pamatot ar cenu noteikšanas un nodrošinājuma politiku kredītiestādēs. Skaidrojam, ka ekonomiskās priekšrocības pazīmes izslēgšana pasākumu attiecīgajā līmenī nekvalificē atbalstu kā komercdarbības atbalstu. Vēršam uzmanību, ka, neizpildoties vienai no pazīmēm, kas uzskaitītas Komercdarbības atbalsta kontroles likuma 5.pantā, pasākums (attiecīgajā līmenī) nekvalificējas kā komercdarbības atbalsts. </w:t>
            </w:r>
          </w:p>
          <w:p w14:paraId="3E46E1B6" w14:textId="77777777" w:rsidR="003A2BA0" w:rsidRPr="00EC2062" w:rsidRDefault="003A2BA0" w:rsidP="00585B37">
            <w:pPr>
              <w:widowControl w:val="0"/>
              <w:jc w:val="both"/>
              <w:rPr>
                <w:rFonts w:eastAsia="Calibri"/>
                <w:b/>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25F047D" w14:textId="77777777" w:rsidR="003A2BA0" w:rsidRPr="00EC2062" w:rsidRDefault="0079736A" w:rsidP="00D7782D">
            <w:pPr>
              <w:spacing w:after="160" w:line="259" w:lineRule="auto"/>
              <w:jc w:val="center"/>
              <w:rPr>
                <w:b/>
              </w:rPr>
            </w:pPr>
            <w:r w:rsidRPr="00EC2062">
              <w:rPr>
                <w:b/>
              </w:rPr>
              <w:lastRenderedPageBreak/>
              <w:t>Ņemts vērā</w:t>
            </w:r>
          </w:p>
          <w:p w14:paraId="5E31F9D6" w14:textId="7029E61B" w:rsidR="00241D16" w:rsidRPr="00EC2062" w:rsidRDefault="00241D16" w:rsidP="00241D16">
            <w:pPr>
              <w:jc w:val="both"/>
            </w:pPr>
            <w:r w:rsidRPr="00EC2062">
              <w:t>Portfeļgarantijas instruments ir izstrādāts pēc EK un E</w:t>
            </w:r>
            <w:r w:rsidR="00CF11FA" w:rsidRPr="00EC2062">
              <w:t>iropas Investīciju fonda</w:t>
            </w:r>
            <w:r w:rsidRPr="00EC2062">
              <w:t xml:space="preserve"> kopīgi izstrādātu instrumentu (EaSI, COSME, EFSI Pilot Programme - Education &amp; Skills (E4Edu), Erasmus+ master loan guarantee facility) parauga, attiecībā uz kuru EK ir atzinusi, ka nav selektivitāti, ekonomiskās priekšrocības. EIF Head of EU Guarantee Facilities, Gunnar Mai daudzos forumos ir stāstījis, ka šāds instruments veicina bankas darboties konkrētā tirgū, nevis rada priekšrocības. Piedāvātais instruments attiecībā uz nosacījumiem bankām neatšķiras no EK instrumentiem – tiek segts faktiskais kredītrisks nenodrošin</w:t>
            </w:r>
            <w:r w:rsidR="0059235D" w:rsidRPr="00EC2062">
              <w:t>ātam aizdevumam, nevis izmaksas.</w:t>
            </w:r>
          </w:p>
          <w:p w14:paraId="19E00225" w14:textId="6509E998" w:rsidR="00241D16" w:rsidRPr="00EC2062" w:rsidRDefault="0059235D" w:rsidP="00241D16">
            <w:pPr>
              <w:spacing w:after="160" w:line="259" w:lineRule="auto"/>
              <w:jc w:val="both"/>
            </w:pPr>
            <w:r w:rsidRPr="00EC2062">
              <w:t>Par s</w:t>
            </w:r>
            <w:r w:rsidR="00241D16" w:rsidRPr="00EC2062">
              <w:t>elektivitāt</w:t>
            </w:r>
            <w:r w:rsidRPr="00EC2062">
              <w:t>i: š</w:t>
            </w:r>
            <w:r w:rsidR="00241D16" w:rsidRPr="00EC2062">
              <w:t xml:space="preserve">is instruments būs daudz pieejamāks bankām kā līdzšinējā sistēma, kur bija konkurss. Ja </w:t>
            </w:r>
            <w:r w:rsidRPr="00EC2062">
              <w:t>MK</w:t>
            </w:r>
            <w:r w:rsidR="00241D16" w:rsidRPr="00EC2062">
              <w:t xml:space="preserve"> </w:t>
            </w:r>
            <w:r w:rsidRPr="00EC2062">
              <w:t xml:space="preserve">atbalstīs portfeļgarantijas instrumenta ieviešanu, </w:t>
            </w:r>
            <w:r w:rsidR="00241D16" w:rsidRPr="00EC2062">
              <w:t>Altum līgumus slēgs ar jebkuru kredītiestādi, tās filiāli, kas atbilstoši FKTK drīkst veikt patērētāju kreditēšanu un vēlas kreditēt studentus.</w:t>
            </w:r>
          </w:p>
          <w:p w14:paraId="404DD96F" w14:textId="2DFE5DBE" w:rsidR="0079736A" w:rsidRPr="00EC2062" w:rsidRDefault="0079736A" w:rsidP="00D7782D">
            <w:pPr>
              <w:spacing w:after="160" w:line="259" w:lineRule="auto"/>
              <w:jc w:val="center"/>
              <w:rPr>
                <w:b/>
              </w:rPr>
            </w:pPr>
          </w:p>
        </w:tc>
        <w:tc>
          <w:tcPr>
            <w:tcW w:w="2986" w:type="dxa"/>
            <w:tcBorders>
              <w:top w:val="single" w:sz="4" w:space="0" w:color="auto"/>
              <w:left w:val="single" w:sz="4" w:space="0" w:color="auto"/>
              <w:bottom w:val="single" w:sz="4" w:space="0" w:color="auto"/>
            </w:tcBorders>
          </w:tcPr>
          <w:p w14:paraId="54FFD74C" w14:textId="0C84D1CB" w:rsidR="0079736A" w:rsidRPr="00EC2062" w:rsidRDefault="0079736A" w:rsidP="0079736A">
            <w:pPr>
              <w:pStyle w:val="Default"/>
              <w:spacing w:after="60"/>
              <w:jc w:val="both"/>
              <w:rPr>
                <w:rFonts w:eastAsia="Calibri"/>
                <w:color w:val="auto"/>
                <w:lang w:eastAsia="en-US"/>
              </w:rPr>
            </w:pPr>
            <w:r w:rsidRPr="00EC2062">
              <w:rPr>
                <w:rFonts w:eastAsia="Calibri"/>
                <w:color w:val="auto"/>
                <w:lang w:eastAsia="en-US"/>
              </w:rPr>
              <w:t>Papildināta ziņojuma sadaļa “Jaunais kreditēšanas modelis:</w:t>
            </w:r>
          </w:p>
          <w:p w14:paraId="75F35D8A" w14:textId="77777777" w:rsidR="0079736A" w:rsidRPr="00EC2062" w:rsidRDefault="0079736A" w:rsidP="0079736A">
            <w:pPr>
              <w:pStyle w:val="Default"/>
              <w:spacing w:after="60"/>
              <w:jc w:val="both"/>
              <w:rPr>
                <w:rFonts w:eastAsia="Calibri"/>
                <w:color w:val="auto"/>
                <w:lang w:eastAsia="en-US"/>
              </w:rPr>
            </w:pPr>
          </w:p>
          <w:p w14:paraId="2F258882" w14:textId="77777777" w:rsidR="0079736A" w:rsidRPr="00EC2062" w:rsidRDefault="0079736A" w:rsidP="0079736A">
            <w:pPr>
              <w:pStyle w:val="Default"/>
              <w:spacing w:after="60"/>
              <w:jc w:val="both"/>
              <w:rPr>
                <w:rFonts w:eastAsia="Calibri"/>
                <w:color w:val="auto"/>
                <w:lang w:eastAsia="en-US"/>
              </w:rPr>
            </w:pPr>
            <w:r w:rsidRPr="00EC2062">
              <w:rPr>
                <w:rFonts w:eastAsia="Calibri"/>
                <w:color w:val="auto"/>
                <w:lang w:eastAsia="en-US"/>
              </w:rPr>
              <w:t>Studentu un studējošo kreditēšanas portfeļgarantiju instrumentu Altum ieviesīs pēc līdzīgiem principiem kā ievieš citus potfeļgarantiju instrumentus, piemēram, saskaņā ar 2017.gada 5.septembra Ministru kabineta noteikumiem Nr.537 “Noteikumi par portfeļgarantijām sīko (mikro), mazo un vidējo komersantu kreditēšanas veicināšanai”, kā arī saskaņā ar Eiropas Investīciju fondu (EIF) noslēgtajiem pretgarantiju līgumiem – EaSI (</w:t>
            </w:r>
            <w:r w:rsidRPr="00EC2062">
              <w:rPr>
                <w:rFonts w:eastAsia="Calibri"/>
                <w:i/>
                <w:color w:val="auto"/>
                <w:lang w:eastAsia="en-US"/>
              </w:rPr>
              <w:t>Employment, Social Affairs &amp; Inclusion) Guarantee Instrument</w:t>
            </w:r>
            <w:r w:rsidRPr="00EC2062">
              <w:rPr>
                <w:rFonts w:eastAsia="Calibri"/>
                <w:color w:val="auto"/>
                <w:lang w:eastAsia="en-US"/>
              </w:rPr>
              <w:t xml:space="preserve"> un COSME (</w:t>
            </w:r>
            <w:r w:rsidRPr="00EC2062">
              <w:rPr>
                <w:rFonts w:eastAsia="Calibri"/>
                <w:i/>
                <w:color w:val="auto"/>
                <w:lang w:eastAsia="en-US"/>
              </w:rPr>
              <w:t>Programme for the Competitiveness of Enterprises and Small and Medium-sized Enterprises) Loan Guarantee Facility</w:t>
            </w:r>
            <w:r w:rsidRPr="00EC2062">
              <w:rPr>
                <w:rFonts w:eastAsia="Calibri"/>
                <w:color w:val="auto"/>
                <w:lang w:eastAsia="en-US"/>
              </w:rPr>
              <w:t xml:space="preserve">. Altum izvērtēs papildus riska seguma piesaistes iespējas no Eiropas Investīciju fonda (EIF) pretgarantiju produktiem, </w:t>
            </w:r>
            <w:r w:rsidRPr="00EC2062">
              <w:rPr>
                <w:rFonts w:eastAsia="Calibri"/>
                <w:color w:val="auto"/>
                <w:lang w:eastAsia="en-US"/>
              </w:rPr>
              <w:lastRenderedPageBreak/>
              <w:t xml:space="preserve">piemēram, EFSI Pilot Programme - Education &amp; Skills (E4Edu) vai Erasmus+ master loan guarantee facility. </w:t>
            </w:r>
          </w:p>
          <w:p w14:paraId="4DF2AFA7" w14:textId="77777777" w:rsidR="0079736A" w:rsidRPr="00EC2062" w:rsidRDefault="0079736A" w:rsidP="0079736A">
            <w:pPr>
              <w:pStyle w:val="Default"/>
              <w:spacing w:after="60"/>
              <w:ind w:firstLine="720"/>
              <w:jc w:val="both"/>
            </w:pPr>
            <w:r w:rsidRPr="00EC2062">
              <w:t>Arī jaunajā instrumentā (līdzīgi kā citos portfeļgarantiju instrumentos) nebūs valsts atbalsts kredītiestādēm (kredītiestādēm vai to meitas sabiedrībām, kuras ir reģistrētas Latvijā un ir tiesīgas sniegt finanšu pakalpojumus Latvijā) un finansiālās priekšrocības tiks nodotas aizdevumu saņēmējiem:</w:t>
            </w:r>
          </w:p>
          <w:p w14:paraId="72497DFF" w14:textId="77777777" w:rsidR="0079736A" w:rsidRPr="00EC2062" w:rsidRDefault="0079736A" w:rsidP="0079736A">
            <w:pPr>
              <w:ind w:firstLine="720"/>
              <w:jc w:val="both"/>
            </w:pPr>
            <w:r w:rsidRPr="00EC2062">
              <w:t>-</w:t>
            </w:r>
            <w:r w:rsidRPr="00EC2062">
              <w:tab/>
              <w:t>garantijas likme neatšķiras no līdzšinējās MK noteikumu Nr.220 11.1.punktā noteiktās studentu un studējošo kreditēšanas garantijas, kura ir 90% no kredītu summas;</w:t>
            </w:r>
          </w:p>
          <w:p w14:paraId="087381CC" w14:textId="77777777" w:rsidR="0079736A" w:rsidRPr="00EC2062" w:rsidRDefault="0079736A" w:rsidP="0079736A">
            <w:pPr>
              <w:ind w:firstLine="720"/>
              <w:jc w:val="both"/>
            </w:pPr>
            <w:r w:rsidRPr="00EC2062">
              <w:t>-</w:t>
            </w:r>
            <w:r w:rsidRPr="00EC2062">
              <w:tab/>
              <w:t>līgumu ar Altum varēs slēgt ikviena kredītiestāde (nebūs kredītiestāžu konkurss);</w:t>
            </w:r>
          </w:p>
          <w:p w14:paraId="524720C9" w14:textId="77777777" w:rsidR="0079736A" w:rsidRPr="00EC2062" w:rsidRDefault="0079736A" w:rsidP="0079736A">
            <w:pPr>
              <w:ind w:firstLine="720"/>
              <w:jc w:val="both"/>
            </w:pPr>
            <w:r w:rsidRPr="00EC2062">
              <w:t>-</w:t>
            </w:r>
            <w:r w:rsidRPr="00EC2062">
              <w:tab/>
              <w:t xml:space="preserve">finansiālās priekšrocības kredītiestāde nodos kredītu ņēmējiem pieejamāka finanšu pakalpojumu veidā – </w:t>
            </w:r>
            <w:r w:rsidRPr="00EC2062">
              <w:lastRenderedPageBreak/>
              <w:t>aizdevuma saņemšanai nebūs nepieciešams fiziskas personas galvojums vai kredīta ņēmēja ienākumi, līdz ar to aizdevumu likme būs zemāka, nekā nenodrošinātiem aizdevumiem;</w:t>
            </w:r>
          </w:p>
          <w:p w14:paraId="0DC1A945" w14:textId="77777777" w:rsidR="0079736A" w:rsidRPr="00EC2062" w:rsidRDefault="0079736A" w:rsidP="0079736A">
            <w:pPr>
              <w:ind w:firstLine="720"/>
              <w:jc w:val="both"/>
            </w:pPr>
            <w:r w:rsidRPr="00EC2062">
              <w:t>-</w:t>
            </w:r>
            <w:r w:rsidRPr="00EC2062">
              <w:tab/>
              <w:t>kredītiestādei piemērojamo ierobežotās garantijas likmi Altum noteiks atbilstoši kredītiestādes vēsturiskajiem portfeļa datiem (salīdzināmu aizdevumu portfeļu zaudējumi, atgūtās summas u.c.), plānotai kredītpolitikai un citiem finansēšanas principiem;</w:t>
            </w:r>
          </w:p>
          <w:p w14:paraId="59878545" w14:textId="77777777" w:rsidR="0079736A" w:rsidRPr="00EC2062" w:rsidRDefault="0079736A" w:rsidP="0079736A">
            <w:pPr>
              <w:ind w:firstLine="720"/>
              <w:jc w:val="both"/>
            </w:pPr>
            <w:r w:rsidRPr="00EC2062">
              <w:t>-</w:t>
            </w:r>
            <w:r w:rsidRPr="00EC2062">
              <w:tab/>
              <w:t>kredītiestāde uzņemsies risku katra darījuma un portfeļa līmenī;</w:t>
            </w:r>
          </w:p>
          <w:p w14:paraId="3F1093AA" w14:textId="77777777" w:rsidR="0079736A" w:rsidRPr="00EC2062" w:rsidRDefault="0079736A" w:rsidP="0079736A">
            <w:pPr>
              <w:ind w:firstLine="720"/>
              <w:jc w:val="both"/>
            </w:pPr>
            <w:r w:rsidRPr="00EC2062">
              <w:t>-</w:t>
            </w:r>
            <w:r w:rsidRPr="00EC2062">
              <w:tab/>
              <w:t>garantija tiks izmaksāta tikai atbilstoši faktiskajiem zaudējumiem.</w:t>
            </w:r>
          </w:p>
          <w:p w14:paraId="79FDB44D" w14:textId="77777777" w:rsidR="0079736A" w:rsidRPr="00EC2062" w:rsidRDefault="0079736A" w:rsidP="0079736A">
            <w:pPr>
              <w:ind w:firstLine="720"/>
              <w:jc w:val="both"/>
            </w:pPr>
          </w:p>
          <w:p w14:paraId="14FADC1F" w14:textId="77777777" w:rsidR="0079736A" w:rsidRPr="00EC2062" w:rsidRDefault="0079736A" w:rsidP="001D6540">
            <w:pPr>
              <w:jc w:val="both"/>
            </w:pPr>
            <w:r w:rsidRPr="00EC2062">
              <w:t xml:space="preserve">Ekonomiskās priekšrocības kredītiestāžu līmenī tiks izslēgtas, atlasot kredītiestādes atklātā, pārredzamā, nediskriminējošā atlasē; kredītiestādes veidos jaunus aizdevumu portfeļus no </w:t>
            </w:r>
            <w:r w:rsidRPr="00EC2062">
              <w:lastRenderedPageBreak/>
              <w:t>saviem resursiem; kredītiestādes risks katram darījumam nebūs mazāks par 10%  jeb citiem vārdiem, garantijas likme nepārsniegs 90%;  detalizētāk visi šie nosacījumi tiks ietverti normatīvajā regulējumā.</w:t>
            </w:r>
          </w:p>
          <w:p w14:paraId="76DB4555" w14:textId="77777777" w:rsidR="0079736A" w:rsidRPr="00EC2062" w:rsidRDefault="0079736A" w:rsidP="001D6540">
            <w:pPr>
              <w:jc w:val="both"/>
            </w:pPr>
            <w:r w:rsidRPr="00EC2062">
              <w:t>Visas programmas finansiālās priekšrocības tiks nodotas kredītņēmējiem kā aizdevumu procentu likmes un nodrošinājuma koeficienta samazinājums. “Altum” veiks šī finansiālā labuma nodošanas uzraudzību. Pārējās prasības, lai nodrošinātu, ka kredītiestāžu līmenī netiek piešķirts valsts atbalsts, kā arī izvēles iespēja līgumu slēgšanā par piedziņas saistību nepildīšanas gadījumā, tiks iestrādātas Ministru kabineta noteikumu projektā un tā anotācijā to izstrādes procesā.</w:t>
            </w:r>
          </w:p>
          <w:p w14:paraId="059B5AC2" w14:textId="77777777" w:rsidR="003A2BA0" w:rsidRPr="00EC2062" w:rsidRDefault="003A2BA0" w:rsidP="003F5DB4">
            <w:pPr>
              <w:spacing w:after="160" w:line="259" w:lineRule="auto"/>
              <w:jc w:val="both"/>
            </w:pPr>
          </w:p>
        </w:tc>
      </w:tr>
      <w:tr w:rsidR="00585B37" w:rsidRPr="001801C2" w14:paraId="5A04454A" w14:textId="77777777" w:rsidTr="007B681C">
        <w:tc>
          <w:tcPr>
            <w:tcW w:w="708" w:type="dxa"/>
            <w:tcBorders>
              <w:top w:val="single" w:sz="4" w:space="0" w:color="auto"/>
              <w:left w:val="single" w:sz="4" w:space="0" w:color="auto"/>
              <w:bottom w:val="single" w:sz="4" w:space="0" w:color="auto"/>
              <w:right w:val="single" w:sz="4" w:space="0" w:color="auto"/>
            </w:tcBorders>
          </w:tcPr>
          <w:p w14:paraId="1662148B" w14:textId="623BE74E" w:rsidR="00585B37" w:rsidRPr="001801C2" w:rsidRDefault="00585B37"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02FA2854" w14:textId="77777777" w:rsidR="00585B37" w:rsidRDefault="003F68CB" w:rsidP="003F5DB4">
            <w:pPr>
              <w:spacing w:after="160" w:line="259" w:lineRule="auto"/>
              <w:jc w:val="both"/>
            </w:pPr>
            <w:r>
              <w:t>Projekts</w:t>
            </w:r>
          </w:p>
          <w:p w14:paraId="4BBAD184" w14:textId="1EFA87C7" w:rsidR="003F68CB" w:rsidRDefault="003F68CB" w:rsidP="003F5DB4">
            <w:pPr>
              <w:spacing w:after="160" w:line="259" w:lineRule="auto"/>
              <w:jc w:val="both"/>
            </w:pPr>
            <w:r w:rsidRPr="003F68CB">
              <w:t>3)</w:t>
            </w:r>
            <w:r w:rsidRPr="003F68CB">
              <w:tab/>
              <w:t xml:space="preserve">“Altum” administratīvās izmaksas. Atbilstoši Attīstības finanšu </w:t>
            </w:r>
            <w:r w:rsidRPr="003F68CB">
              <w:lastRenderedPageBreak/>
              <w:t xml:space="preserve">institūcijas likuma 12.3.pantam “Altum” pirms programmas apstiprināšanas Ministru kabinetā novērtē programmas ietekmi, riskus un sagaidāmos zaudējumus, finansiālos rezultātus un programmas īstenošanas izmaksas. Līdz ar to, kamēr nav noteikti precīzi “Altum” uzdevumi, nav iespējams aprēķināt precīzas administratīvās izmaksas un “Altum” šādus aprēķinus nav veicis. Indikatīva administratīvo izmaksu apmēra noteikšanai izmantojamas Komisijas regulas nr.480/2014  13.panta 3.punta d) norādītās pārvaldības izmaksu un maksu robežvērtības, kas garantiju gadījumā ir 10% no programmas ieguldījumu kopsummas, kas samaksāta finanšu instrumentam (riska seguma), proti, 15 gadu periodā kopsummā 10% no ikgadējo izsniegtu saistību risku seguma. Šis ir maksimālais iespējamais slieksnis un precīzs tiks </w:t>
            </w:r>
            <w:r w:rsidRPr="003F68CB">
              <w:lastRenderedPageBreak/>
              <w:t>noteiks pirms MK noteikumu apstiprināšanas. “Altum” administratīvās izmaksas iespējams segt no publiskā finansējuma, kā, piemēram, Ministru Kabineta 2017. gada 5. septembra noteikumu Nr.537 “Noteikumi par portfeļgarantijām sīko (mikro), mazo un vidējo komersantu kreditēšanas veicināšanai” gadījumā vai arī par garantiju “Altum” maksātu kredītiestādes.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E52588" w14:textId="77777777" w:rsidR="00AA283A" w:rsidRPr="00EC2062" w:rsidRDefault="00AA283A" w:rsidP="00AA283A">
            <w:pPr>
              <w:widowControl w:val="0"/>
              <w:jc w:val="both"/>
              <w:rPr>
                <w:rFonts w:eastAsia="Calibri"/>
                <w:b/>
                <w:lang w:eastAsia="en-US"/>
              </w:rPr>
            </w:pPr>
            <w:r w:rsidRPr="00EC2062">
              <w:rPr>
                <w:rFonts w:eastAsia="Calibri"/>
                <w:b/>
                <w:lang w:eastAsia="en-US"/>
              </w:rPr>
              <w:lastRenderedPageBreak/>
              <w:t>Finanšu ministrija (01.07.2019. vēstule Nr. 12/A-2/3061):</w:t>
            </w:r>
          </w:p>
          <w:p w14:paraId="6508B0BC" w14:textId="77777777" w:rsidR="003F68CB" w:rsidRPr="00EC2062" w:rsidRDefault="003F68CB" w:rsidP="003F68CB">
            <w:pPr>
              <w:spacing w:after="120"/>
              <w:jc w:val="both"/>
            </w:pPr>
            <w:r w:rsidRPr="00EC2062">
              <w:t xml:space="preserve">2. Informējam, ka atbilstoši Centrālās statistikas pārvaldes </w:t>
            </w:r>
            <w:r w:rsidRPr="00EC2062">
              <w:lastRenderedPageBreak/>
              <w:t>izveidotajam un uzturētajam institucionālo sektoru klasifikācijas sarakstam AS “Attīstības finanšu institūcija Altum” (turpmāk – AS “Altum”) ir piederīga pie vispārējās valdības institucionālā sektora, kas savukārt nozīmē, ka šī institucionālā vienība ar savu saimniecisko darbību ietekmē vispārējās valdības budžeta bilanci un parādu.</w:t>
            </w:r>
          </w:p>
          <w:p w14:paraId="217C2FF4" w14:textId="19711B9A" w:rsidR="003F68CB" w:rsidRPr="00EC2062" w:rsidRDefault="003F68CB" w:rsidP="003F68CB">
            <w:pPr>
              <w:spacing w:after="120"/>
              <w:jc w:val="both"/>
            </w:pPr>
            <w:r w:rsidRPr="00EC2062">
              <w:t xml:space="preserve">Vēršam uzmanību, ka atbilstoši Eiropas kontu sistēmas (EKS) metodoloģijai studiju un studējošo kredītu galvojumi ir uzskatāmi par standartizētiem galvojumiem, kas ir galvojumu sistēma, kuras ietvaros tiek izsniegti daudzi galvojumi, parasti nelielos apmēros, balstoties uz vienotiem nosacījumiem. Šādu galvojumu izsniegšana tiek izveidota pēc valdības iniciatīvas un jau sākotnēji paredz, ka sistēmas ietvaros valsts budžetam tiks radīti zaudējumi. Ņemot vērā minēto, EKS metodoloģija paredz, ka standartizēto galvojumu shēmas ietvaros ir jāveido uzkrājumi potenciālajiem zaudējumiem, </w:t>
            </w:r>
            <w:r w:rsidRPr="00EC2062">
              <w:lastRenderedPageBreak/>
              <w:t>kas atbilst provizoriskam kredītu neizpildes līmenim no kopējā izsniegto valsts galvoto kredītu apmēra. Minētie uzkrājumi ir grāmatojami kā vispārējās valdības saistības pret kredītiestādi, kā arī tie tiek norakstīti izdevumos brīdī, kad tiek pieņemts lēmums par kopējo galvojamo aizdevuma apmēru. Tas nozīmē, ka apstiprinot kopējo galvojamo aizdevumu apmēru noteiktam termiņam, kā vispārējās valdības izdevumi tiks uzskaitīti visam periodam plānotie uzkrājumi zaudējumiem. Lūdzam precizēt fiskālo ietekmi atbilstoši EKS metodoloģijai, norādot kāds būs kopējais nepieciešamais riska seguma apmērs kredītiem, kas tiks izsniegti uzsākot studijas, nevis vienam gadam, bet visam mācību periodam (t.i. atbilstoši konceptuālajā ziņojumā norādītajam, vidējam studiju ilgumam, kas ir 4 gadi, ar kopējo atmaksas termiņu 15 gadi). Lūdzam papildināt konceptuālo ziņojumu ar attiecīgo informāciju.</w:t>
            </w:r>
          </w:p>
          <w:p w14:paraId="03951AA4" w14:textId="77777777" w:rsidR="00AA283A" w:rsidRPr="00EC2062" w:rsidRDefault="00AA283A" w:rsidP="00AA283A">
            <w:pPr>
              <w:spacing w:after="120"/>
              <w:jc w:val="both"/>
            </w:pPr>
            <w:r w:rsidRPr="00EC2062">
              <w:t xml:space="preserve">3. Lūdzam precizēt, vai jaunā studiju un studējošo </w:t>
            </w:r>
            <w:r w:rsidRPr="00EC2062">
              <w:lastRenderedPageBreak/>
              <w:t xml:space="preserve">kreditēšanas modeļa ietvaros AS “Altum” ir paredzēts saņemt komisijas maksu par izsniegtajiem galvojumiem. </w:t>
            </w:r>
          </w:p>
          <w:p w14:paraId="0A2BB71C" w14:textId="77777777" w:rsidR="00AA283A" w:rsidRPr="00EC2062" w:rsidRDefault="00AA283A" w:rsidP="004F5C01">
            <w:pPr>
              <w:spacing w:after="120"/>
              <w:jc w:val="both"/>
            </w:pPr>
            <w:r w:rsidRPr="00EC2062">
              <w:t xml:space="preserve">4. Lūdzam precizēt argumentus, kāpēc neizpildītā kredīta atmaksas gadījumā līdzekļi tiks novirzīti portfeļgarantijas ierobežotās garantētās summas samazināšanai nevis atgriezti AS “Altum”. </w:t>
            </w:r>
          </w:p>
          <w:p w14:paraId="4A1C631F" w14:textId="77777777" w:rsidR="00AA283A" w:rsidRPr="00EC2062" w:rsidRDefault="00AA283A" w:rsidP="004F5C01">
            <w:pPr>
              <w:spacing w:after="120"/>
              <w:jc w:val="both"/>
            </w:pPr>
            <w:r w:rsidRPr="00EC2062">
              <w:t xml:space="preserve">5. Lūdzam papildināt konceptuālo ziņojumu ar informāciju, cik lielā apmērā un no kādiem finanšu avotiem tiks nodrošināts finansējums AS “Altum” jaunās sistēmas administrēšanai. Uzskatām, ka resursi jaunās sistēmas administrēšanai ir nodrošināmi, pārskatot Studiju un zinātnes administrācijas funkcijas. Ja minētā informācija konceptuālajā ziņojumā netiek sniegta, tad konceptuālais ziņojums nesniedz pilnīgu informāciju par tā reālajām izmaksām. </w:t>
            </w:r>
          </w:p>
          <w:p w14:paraId="5904978F" w14:textId="77777777" w:rsidR="00585B37" w:rsidRPr="00EC2062" w:rsidRDefault="00585B37" w:rsidP="00C05D6C">
            <w:pPr>
              <w:widowControl w:val="0"/>
              <w:jc w:val="both"/>
              <w:rPr>
                <w:rFonts w:eastAsia="Calibri"/>
                <w:b/>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387DD2" w14:textId="77777777" w:rsidR="0059235D" w:rsidRPr="00EC2062" w:rsidRDefault="0059235D" w:rsidP="0059235D">
            <w:pPr>
              <w:spacing w:after="160" w:line="259" w:lineRule="auto"/>
              <w:jc w:val="center"/>
              <w:rPr>
                <w:b/>
              </w:rPr>
            </w:pPr>
            <w:r w:rsidRPr="00EC2062">
              <w:rPr>
                <w:b/>
              </w:rPr>
              <w:lastRenderedPageBreak/>
              <w:t>Ņemts verā</w:t>
            </w:r>
          </w:p>
          <w:p w14:paraId="233CADBA" w14:textId="77777777" w:rsidR="003F68CB" w:rsidRPr="00EC2062" w:rsidRDefault="003F68CB" w:rsidP="003E3F94">
            <w:pPr>
              <w:spacing w:after="160" w:line="259" w:lineRule="auto"/>
              <w:jc w:val="both"/>
            </w:pPr>
          </w:p>
          <w:p w14:paraId="7B3151A8" w14:textId="77777777" w:rsidR="00AA283A" w:rsidRPr="00EC2062" w:rsidRDefault="00AA283A" w:rsidP="003E3F94">
            <w:pPr>
              <w:spacing w:after="160" w:line="259" w:lineRule="auto"/>
              <w:jc w:val="both"/>
            </w:pPr>
            <w:r w:rsidRPr="00EC2062">
              <w:t>Ziņojums papildināts un precizēts.</w:t>
            </w:r>
          </w:p>
          <w:p w14:paraId="0C379A37" w14:textId="2153366C" w:rsidR="003F68CB" w:rsidRPr="00EC2062" w:rsidRDefault="002A05C5" w:rsidP="003E3F94">
            <w:pPr>
              <w:spacing w:after="160" w:line="259" w:lineRule="auto"/>
              <w:jc w:val="both"/>
            </w:pPr>
            <w:r w:rsidRPr="00EC2062">
              <w:lastRenderedPageBreak/>
              <w:t>Jautājumi par izdevumu klasifikāciju tiks precizēti ar CSP normatīvā regulējuma izstrādes gaitā.</w:t>
            </w:r>
          </w:p>
          <w:p w14:paraId="2B4B1D74" w14:textId="113D1441" w:rsidR="002A05C5" w:rsidRPr="00EC2062" w:rsidRDefault="002A05C5" w:rsidP="002A05C5">
            <w:pPr>
              <w:spacing w:after="160" w:line="259" w:lineRule="auto"/>
              <w:jc w:val="both"/>
            </w:pPr>
            <w:r w:rsidRPr="00EC2062">
              <w:t xml:space="preserve">Par 4.iebildumu informācija ir sniegta ziņojuma 14.lpp.: “Piedziņa notiks nevis prasības kārtībā, bet bezstrīdus kārtībā. “Altum” garantijas kompensāciju izmaksā kredītiestādei brīdī, kad kredītiestāde konstatē gadījumu – 90 dienas kavēti maksājumi, kredītiestāde turpina piedziņu pēc kompensācijas izmaksas atbilstoši standarta praksei (par plānoto atgūto summu līguma slēgšanas laikā ir koriģēta ierobežotā garantijas likme un nebūs nepieciešama “Altum” un kredītiestāžu sadarbība piedziņas jautājumos). “Altum” pirms kompensācijas izmaksas pārbauda darījuma atbilstību normatīvajā regulējumā un līgumā ietvertajām prasībām un izmaksās garantiju, ievējot ierobežotās garantijas summu.” Kā arī 12.lpp.: “Pirms līguma slēgšanas kredītiestādes un “Altum”, atbilstoši vēsturiskajiem salīdzināmiem aizdevumu portfeļiem (zaudējumiem, atgūtajām summām u.c. vēsturisku informāciju) vienosies par katras kredītiestādes plānoto kredītpolitiku un katrai kredītiestādei individuāli piemērojamo ierobežotās garantijas </w:t>
            </w:r>
            <w:r w:rsidRPr="00EC2062">
              <w:lastRenderedPageBreak/>
              <w:t xml:space="preserve">likmi, ko noteiks kredītiestādes un “Altum” civiltiesiskos līgumos. Minētajos līgumos tiks noteikti arī citi praktiski “Altum” un kredītiestāžu sadarbības nosacījumi – garantiju piešķiršanas un informācijas apmaiņas kārtība, portfeļgarantijas nosacījumi, tai skaitā izsniedzamo aizdevumu portfeļa apjomu, kompensāciju izmaksas kārtību, garantijas prēmijas apmaksas kārtību (ja tāda tiks paredzēta), sadarbības jautājumi, kā arī citi nosacījumi.” </w:t>
            </w:r>
          </w:p>
          <w:p w14:paraId="3BE387F5" w14:textId="7726C851" w:rsidR="002A05C5" w:rsidRPr="00EC2062" w:rsidRDefault="002A05C5" w:rsidP="002A05C5">
            <w:pPr>
              <w:spacing w:after="160" w:line="259" w:lineRule="auto"/>
              <w:jc w:val="both"/>
            </w:pPr>
            <w:r w:rsidRPr="00EC2062">
              <w:t>Aprakstītā ir starptautiskā ierobežoto (</w:t>
            </w:r>
            <w:r w:rsidRPr="00EC2062">
              <w:rPr>
                <w:i/>
              </w:rPr>
              <w:t>cap</w:t>
            </w:r>
            <w:r w:rsidRPr="00EC2062">
              <w:t xml:space="preserve">) portfeļgarantiju instrumentu prakse, kuru t.sk. piemēro arī Eiropas Investīciju fonds ar “Altum” noslēgtajos līgumos. Proti, </w:t>
            </w:r>
            <w:r w:rsidRPr="00EC2062">
              <w:rPr>
                <w:i/>
              </w:rPr>
              <w:t>cap</w:t>
            </w:r>
            <w:r w:rsidRPr="00EC2062">
              <w:t xml:space="preserve"> jeb ierobežotās garantijas likme ir samazināta par salīdzināmu vēsturisku portfeļu atgūšanas likmi (</w:t>
            </w:r>
            <w:r w:rsidRPr="00EC2062">
              <w:rPr>
                <w:i/>
              </w:rPr>
              <w:t>recovery rate</w:t>
            </w:r>
            <w:r w:rsidRPr="00EC2062">
              <w:t xml:space="preserve">). Līdz ar to kavēta kredīta atmaksu saņems kredītiestāde un šāda kredīta ietekme (portfeļa līmenī) būs iekļauta līgumā noteiktajos </w:t>
            </w:r>
            <w:r w:rsidRPr="00EC2062">
              <w:rPr>
                <w:i/>
              </w:rPr>
              <w:t>cap</w:t>
            </w:r>
            <w:r w:rsidRPr="00EC2062">
              <w:t xml:space="preserve"> aprēķinos. Prakse atgūto finansējumu atmaksāt garantētājam ir tipiska citam garantiju veidam- individuālajām garantijām, k</w:t>
            </w:r>
            <w:r w:rsidR="001D6540" w:rsidRPr="00EC2062">
              <w:t>ad sākotnējos aprēķinos nav ņemta</w:t>
            </w:r>
            <w:r w:rsidRPr="00EC2062">
              <w:t xml:space="preserve"> vērā</w:t>
            </w:r>
            <w:r w:rsidR="001D6540" w:rsidRPr="00EC2062">
              <w:t xml:space="preserve"> atgūšanas likme </w:t>
            </w:r>
            <w:r w:rsidRPr="00EC2062">
              <w:t>un kad aizdevuma summas ir lielākas.</w:t>
            </w:r>
          </w:p>
          <w:p w14:paraId="44E9CA64" w14:textId="77777777" w:rsidR="001D6540" w:rsidRPr="00EC2062" w:rsidRDefault="001D6540" w:rsidP="001D6540">
            <w:pPr>
              <w:spacing w:after="160" w:line="259" w:lineRule="auto"/>
              <w:jc w:val="both"/>
            </w:pPr>
            <w:r w:rsidRPr="00EC2062">
              <w:lastRenderedPageBreak/>
              <w:t>Rindkopa par “Altum” administratīvām izmaksām saskaņota elektroniskaja sarakstē ar ar FM.</w:t>
            </w:r>
          </w:p>
          <w:p w14:paraId="730293B7" w14:textId="77777777" w:rsidR="001D6540" w:rsidRPr="00EC2062" w:rsidRDefault="001D6540" w:rsidP="002A05C5">
            <w:pPr>
              <w:spacing w:after="160" w:line="259" w:lineRule="auto"/>
              <w:jc w:val="both"/>
            </w:pPr>
          </w:p>
          <w:p w14:paraId="2037244A" w14:textId="4270888C" w:rsidR="0059235D" w:rsidRPr="00EC2062" w:rsidRDefault="0059235D" w:rsidP="0059235D">
            <w:pPr>
              <w:spacing w:after="160" w:line="259" w:lineRule="auto"/>
            </w:pPr>
          </w:p>
        </w:tc>
        <w:tc>
          <w:tcPr>
            <w:tcW w:w="2986" w:type="dxa"/>
            <w:tcBorders>
              <w:top w:val="single" w:sz="4" w:space="0" w:color="auto"/>
              <w:left w:val="single" w:sz="4" w:space="0" w:color="auto"/>
              <w:bottom w:val="single" w:sz="4" w:space="0" w:color="auto"/>
            </w:tcBorders>
          </w:tcPr>
          <w:p w14:paraId="1EBC21CF" w14:textId="7C097DD8" w:rsidR="0059235D" w:rsidRPr="00EC2062" w:rsidRDefault="0059235D" w:rsidP="003F5DB4">
            <w:pPr>
              <w:spacing w:after="160" w:line="259" w:lineRule="auto"/>
              <w:jc w:val="both"/>
            </w:pPr>
            <w:r w:rsidRPr="00EC2062">
              <w:lastRenderedPageBreak/>
              <w:t>Precizēts ziņojums, 26.lp.:</w:t>
            </w:r>
          </w:p>
          <w:p w14:paraId="7E77EE77" w14:textId="2CDFBF56" w:rsidR="00585B37" w:rsidRPr="00EC2062" w:rsidRDefault="0059235D" w:rsidP="003F5DB4">
            <w:pPr>
              <w:spacing w:after="160" w:line="259" w:lineRule="auto"/>
              <w:jc w:val="both"/>
            </w:pPr>
            <w:r w:rsidRPr="00EC2062">
              <w:t>3)</w:t>
            </w:r>
            <w:r w:rsidRPr="00EC2062">
              <w:tab/>
              <w:t xml:space="preserve">“Altum” administratīvās izmaksas. “Altum” administratīvajām </w:t>
            </w:r>
            <w:r w:rsidRPr="00EC2062">
              <w:lastRenderedPageBreak/>
              <w:t xml:space="preserve">izmaksām nebūs nepieciešams papildu valsts budžeta finansējums. Atbilstoši Attīstības finanšu institūcijas likuma 12.3.pantam “Altum” pirms programmas apstiprināšanas Ministru kabinetā novērtē programmas ietekmi, riskus un sagaidāmos zaudējumus, finansiālos rezultātus un programmas īstenošanas izmaksas.  Līdzīgi kā citos portfeļgarantiju instrumentos, izmaksas tiks segtas no programmas finansējuma un/vai kredītiestāžu maksājumiem. Indikatīva administratīvo izmaksu apmēra noteikšanai izmantojamas Komisijas regulas nr.480/2014[1] 13.panta 3.punta d) norādītās pārvaldības izmaksu un maksu robežvērtības, kas garantiju gadījumā ir 10% no programmas ieguldījumu kopsummas, kas samaksāta finanšu instrumentam (riska seguma), proti, 15 gadu periodā kopsummā 10% no ikgadējo izsniegtu saistību </w:t>
            </w:r>
            <w:r w:rsidRPr="00EC2062">
              <w:lastRenderedPageBreak/>
              <w:t>risku seguma. Šis ir maksimālais iespējamais slieksnis un precīzs tiks noteiks pirms MK noteikumu apstiprināšanas.</w:t>
            </w:r>
          </w:p>
        </w:tc>
      </w:tr>
      <w:tr w:rsidR="00585B37" w:rsidRPr="001801C2" w14:paraId="2A31740C" w14:textId="77777777" w:rsidTr="007B681C">
        <w:tc>
          <w:tcPr>
            <w:tcW w:w="708" w:type="dxa"/>
            <w:tcBorders>
              <w:top w:val="single" w:sz="4" w:space="0" w:color="auto"/>
              <w:left w:val="single" w:sz="4" w:space="0" w:color="auto"/>
              <w:bottom w:val="single" w:sz="4" w:space="0" w:color="auto"/>
              <w:right w:val="single" w:sz="4" w:space="0" w:color="auto"/>
            </w:tcBorders>
          </w:tcPr>
          <w:p w14:paraId="00E3B956" w14:textId="22E399D2" w:rsidR="00585B37" w:rsidRPr="001801C2" w:rsidRDefault="00585B37"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3B49DB87" w14:textId="77777777" w:rsidR="00585B37" w:rsidRDefault="00585B37"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092154" w14:textId="77777777" w:rsidR="00585B37" w:rsidRDefault="00EC2062" w:rsidP="00C05D6C">
            <w:pPr>
              <w:widowControl w:val="0"/>
              <w:jc w:val="both"/>
              <w:rPr>
                <w:rFonts w:eastAsia="Calibri"/>
                <w:b/>
                <w:lang w:eastAsia="en-US"/>
              </w:rPr>
            </w:pPr>
            <w:r w:rsidRPr="00EC2062">
              <w:rPr>
                <w:rFonts w:eastAsia="Calibri"/>
                <w:b/>
                <w:lang w:eastAsia="en-US"/>
              </w:rPr>
              <w:t>TM e-pasta vēstule no 09.07.2019.:</w:t>
            </w:r>
          </w:p>
          <w:p w14:paraId="261483C5" w14:textId="77777777" w:rsidR="00EC2062" w:rsidRPr="00EC2062" w:rsidRDefault="00EC2062" w:rsidP="00EC2062">
            <w:pPr>
              <w:widowControl w:val="0"/>
              <w:jc w:val="both"/>
              <w:rPr>
                <w:rFonts w:eastAsia="Calibri"/>
                <w:b/>
                <w:lang w:eastAsia="en-US"/>
              </w:rPr>
            </w:pPr>
          </w:p>
          <w:p w14:paraId="7B4695B1" w14:textId="7C0FE385" w:rsidR="00EC2062" w:rsidRPr="00EC2062" w:rsidRDefault="00EC2062" w:rsidP="00EC2062">
            <w:pPr>
              <w:widowControl w:val="0"/>
              <w:jc w:val="both"/>
              <w:rPr>
                <w:rFonts w:eastAsia="Calibri"/>
                <w:lang w:eastAsia="en-US"/>
              </w:rPr>
            </w:pPr>
            <w:r w:rsidRPr="00EC2062">
              <w:rPr>
                <w:rFonts w:eastAsia="Calibri"/>
                <w:lang w:eastAsia="en-US"/>
              </w:rPr>
              <w:t xml:space="preserve">Tieslietu ministrija ir izskatījusi </w:t>
            </w:r>
            <w:r w:rsidRPr="00EC2062">
              <w:rPr>
                <w:rFonts w:eastAsia="Calibri"/>
                <w:lang w:eastAsia="en-US"/>
              </w:rPr>
              <w:lastRenderedPageBreak/>
              <w:t>Izglītības un zinātnes ministrijas precizēto konceptuālo ziņojumu "Studiju un studējošo kreditēšanas no kredītiestāžu līdzekļiem ar valsts vārdā sniegto galvojumu modeļa maiņu" (turpmāk – konceptuālais ziņojums), Ministru kabineta rīkojuma projektu "Par konceptuālo ziņojumu "Par studiju un studējošo kreditēšanas no kredītiestāžu līdzekļiem ar valsts vārdā sniegto galvojumu modeļa maiņu"" un atbalsta konceptuālā ziņojuma tālāku virzību bez iebildumiem un priekšlikumiem.</w:t>
            </w:r>
          </w:p>
          <w:p w14:paraId="1B77A83B" w14:textId="7AC105D1" w:rsidR="00EC2062" w:rsidRPr="00D02F0E" w:rsidRDefault="00EC2062" w:rsidP="00C05D6C">
            <w:pPr>
              <w:widowControl w:val="0"/>
              <w:jc w:val="both"/>
              <w:rPr>
                <w:rFonts w:eastAsia="Calibri"/>
                <w:b/>
                <w:highlight w:val="yellow"/>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7DAABC" w14:textId="77777777" w:rsidR="00585B37" w:rsidRDefault="00585B37" w:rsidP="00D7782D">
            <w:pPr>
              <w:spacing w:after="160" w:line="259" w:lineRule="auto"/>
              <w:jc w:val="center"/>
              <w:rPr>
                <w:b/>
                <w:highlight w:val="yellow"/>
              </w:rPr>
            </w:pPr>
          </w:p>
        </w:tc>
        <w:tc>
          <w:tcPr>
            <w:tcW w:w="2986" w:type="dxa"/>
            <w:tcBorders>
              <w:top w:val="single" w:sz="4" w:space="0" w:color="auto"/>
              <w:left w:val="single" w:sz="4" w:space="0" w:color="auto"/>
              <w:bottom w:val="single" w:sz="4" w:space="0" w:color="auto"/>
            </w:tcBorders>
          </w:tcPr>
          <w:p w14:paraId="680BDD30" w14:textId="77777777" w:rsidR="00585B37" w:rsidRDefault="00585B37" w:rsidP="003F5DB4">
            <w:pPr>
              <w:spacing w:after="160" w:line="259" w:lineRule="auto"/>
              <w:jc w:val="both"/>
            </w:pPr>
          </w:p>
        </w:tc>
      </w:tr>
      <w:tr w:rsidR="00585B37" w:rsidRPr="001801C2" w14:paraId="15F78E7B" w14:textId="77777777" w:rsidTr="007B681C">
        <w:tc>
          <w:tcPr>
            <w:tcW w:w="708" w:type="dxa"/>
            <w:tcBorders>
              <w:top w:val="single" w:sz="4" w:space="0" w:color="auto"/>
              <w:left w:val="single" w:sz="4" w:space="0" w:color="auto"/>
              <w:bottom w:val="single" w:sz="4" w:space="0" w:color="auto"/>
              <w:right w:val="single" w:sz="4" w:space="0" w:color="auto"/>
            </w:tcBorders>
          </w:tcPr>
          <w:p w14:paraId="73F44C53" w14:textId="2B507DD7" w:rsidR="00585B37" w:rsidRPr="001801C2" w:rsidRDefault="00585B37"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7E20FAF8" w14:textId="77777777" w:rsidR="00585B37" w:rsidRDefault="00585B37"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4A88B3" w14:textId="77777777" w:rsidR="00585B37" w:rsidRPr="003B6CD0" w:rsidRDefault="003B6CD0" w:rsidP="00C05D6C">
            <w:pPr>
              <w:widowControl w:val="0"/>
              <w:jc w:val="both"/>
              <w:rPr>
                <w:rFonts w:eastAsia="Calibri"/>
                <w:b/>
                <w:lang w:eastAsia="en-US"/>
              </w:rPr>
            </w:pPr>
            <w:bookmarkStart w:id="0" w:name="_GoBack"/>
            <w:r w:rsidRPr="003B6CD0">
              <w:rPr>
                <w:rFonts w:eastAsia="Calibri"/>
                <w:b/>
                <w:lang w:eastAsia="en-US"/>
              </w:rPr>
              <w:t>EM 26.06.2019 e-pasta vēstule:</w:t>
            </w:r>
          </w:p>
          <w:bookmarkEnd w:id="0"/>
          <w:p w14:paraId="75A0F8F9" w14:textId="77777777" w:rsidR="003B6CD0" w:rsidRDefault="003B6CD0" w:rsidP="003B6CD0">
            <w:pPr>
              <w:widowControl w:val="0"/>
              <w:jc w:val="both"/>
              <w:rPr>
                <w:rFonts w:eastAsia="Calibri"/>
                <w:lang w:eastAsia="en-US"/>
              </w:rPr>
            </w:pPr>
          </w:p>
          <w:p w14:paraId="03CB6794" w14:textId="77777777" w:rsidR="003B6CD0" w:rsidRPr="003B6CD0" w:rsidRDefault="003B6CD0" w:rsidP="003B6CD0">
            <w:pPr>
              <w:widowControl w:val="0"/>
              <w:jc w:val="both"/>
              <w:rPr>
                <w:rFonts w:eastAsia="Calibri"/>
                <w:lang w:eastAsia="en-US"/>
              </w:rPr>
            </w:pPr>
            <w:r w:rsidRPr="003B6CD0">
              <w:rPr>
                <w:rFonts w:eastAsia="Calibri"/>
                <w:lang w:eastAsia="en-US"/>
              </w:rPr>
              <w:t xml:space="preserve">Par konceptuālo ziņojumu “Studiju un studējošo kreditēšanas no kredītiestāžu līdzekļiem ar valsts vārdā sniegto galvojumu modeļa maiņu” Ekonomikas ministrija informē, ka saskaņo bez iebildumiem un priekšlikumiem. </w:t>
            </w:r>
          </w:p>
          <w:p w14:paraId="2D51407B" w14:textId="77777777" w:rsidR="003B6CD0" w:rsidRPr="003B6CD0" w:rsidRDefault="003B6CD0" w:rsidP="003B6CD0">
            <w:pPr>
              <w:widowControl w:val="0"/>
              <w:jc w:val="both"/>
              <w:rPr>
                <w:rFonts w:eastAsia="Calibri"/>
                <w:lang w:eastAsia="en-US"/>
              </w:rPr>
            </w:pPr>
          </w:p>
          <w:p w14:paraId="5248EECF" w14:textId="67063EB8" w:rsidR="003B6CD0" w:rsidRPr="00D02F0E" w:rsidRDefault="003B6CD0" w:rsidP="003B6CD0">
            <w:pPr>
              <w:widowControl w:val="0"/>
              <w:jc w:val="both"/>
              <w:rPr>
                <w:rFonts w:eastAsia="Calibri"/>
                <w:b/>
                <w:highlight w:val="yellow"/>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2FE58A2" w14:textId="77777777" w:rsidR="00585B37" w:rsidRDefault="00585B37" w:rsidP="00D7782D">
            <w:pPr>
              <w:spacing w:after="160" w:line="259" w:lineRule="auto"/>
              <w:jc w:val="center"/>
              <w:rPr>
                <w:b/>
                <w:highlight w:val="yellow"/>
              </w:rPr>
            </w:pPr>
          </w:p>
        </w:tc>
        <w:tc>
          <w:tcPr>
            <w:tcW w:w="2986" w:type="dxa"/>
            <w:tcBorders>
              <w:top w:val="single" w:sz="4" w:space="0" w:color="auto"/>
              <w:left w:val="single" w:sz="4" w:space="0" w:color="auto"/>
              <w:bottom w:val="single" w:sz="4" w:space="0" w:color="auto"/>
            </w:tcBorders>
          </w:tcPr>
          <w:p w14:paraId="029B2C1A" w14:textId="77777777" w:rsidR="00585B37" w:rsidRDefault="00585B37" w:rsidP="003F5DB4">
            <w:pPr>
              <w:spacing w:after="160" w:line="259" w:lineRule="auto"/>
              <w:jc w:val="both"/>
            </w:pPr>
          </w:p>
        </w:tc>
      </w:tr>
      <w:tr w:rsidR="003B6CD0" w:rsidRPr="001801C2" w14:paraId="75CE1F57" w14:textId="77777777" w:rsidTr="007B681C">
        <w:tc>
          <w:tcPr>
            <w:tcW w:w="708" w:type="dxa"/>
            <w:tcBorders>
              <w:top w:val="single" w:sz="4" w:space="0" w:color="auto"/>
              <w:left w:val="single" w:sz="4" w:space="0" w:color="auto"/>
              <w:bottom w:val="single" w:sz="4" w:space="0" w:color="auto"/>
              <w:right w:val="single" w:sz="4" w:space="0" w:color="auto"/>
            </w:tcBorders>
          </w:tcPr>
          <w:p w14:paraId="0FF3395E" w14:textId="496B23C7" w:rsidR="003B6CD0" w:rsidRPr="001801C2" w:rsidRDefault="003B6CD0" w:rsidP="003F5DB4">
            <w:pPr>
              <w:jc w:val="right"/>
            </w:pPr>
          </w:p>
        </w:tc>
        <w:tc>
          <w:tcPr>
            <w:tcW w:w="3112" w:type="dxa"/>
            <w:tcBorders>
              <w:top w:val="single" w:sz="4" w:space="0" w:color="auto"/>
              <w:left w:val="single" w:sz="4" w:space="0" w:color="auto"/>
              <w:bottom w:val="single" w:sz="4" w:space="0" w:color="auto"/>
              <w:right w:val="single" w:sz="4" w:space="0" w:color="auto"/>
            </w:tcBorders>
          </w:tcPr>
          <w:p w14:paraId="00EC8991" w14:textId="77777777" w:rsidR="003B6CD0" w:rsidRDefault="003B6CD0" w:rsidP="003F5DB4">
            <w:pPr>
              <w:spacing w:after="160" w:line="259" w:lineRule="auto"/>
              <w:jc w:val="both"/>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663EEB" w14:textId="77777777" w:rsidR="003B6CD0" w:rsidRPr="00D02F0E" w:rsidRDefault="003B6CD0" w:rsidP="00C05D6C">
            <w:pPr>
              <w:widowControl w:val="0"/>
              <w:jc w:val="both"/>
              <w:rPr>
                <w:rFonts w:eastAsia="Calibri"/>
                <w:b/>
                <w:highlight w:val="yellow"/>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887C8A" w14:textId="77777777" w:rsidR="003B6CD0" w:rsidRDefault="003B6CD0" w:rsidP="00D7782D">
            <w:pPr>
              <w:spacing w:after="160" w:line="259" w:lineRule="auto"/>
              <w:jc w:val="center"/>
              <w:rPr>
                <w:b/>
                <w:highlight w:val="yellow"/>
              </w:rPr>
            </w:pPr>
          </w:p>
        </w:tc>
        <w:tc>
          <w:tcPr>
            <w:tcW w:w="2986" w:type="dxa"/>
            <w:tcBorders>
              <w:top w:val="single" w:sz="4" w:space="0" w:color="auto"/>
              <w:left w:val="single" w:sz="4" w:space="0" w:color="auto"/>
              <w:bottom w:val="single" w:sz="4" w:space="0" w:color="auto"/>
            </w:tcBorders>
          </w:tcPr>
          <w:p w14:paraId="5D1E7DD4" w14:textId="77777777" w:rsidR="003B6CD0" w:rsidRDefault="003B6CD0" w:rsidP="003F5DB4">
            <w:pPr>
              <w:spacing w:after="160" w:line="259" w:lineRule="auto"/>
              <w:jc w:val="both"/>
            </w:pPr>
          </w:p>
        </w:tc>
      </w:tr>
    </w:tbl>
    <w:p w14:paraId="4BB6EC76" w14:textId="33BC5F89" w:rsidR="001801C2" w:rsidRDefault="001801C2" w:rsidP="005F5C7A">
      <w:pPr>
        <w:pStyle w:val="naisf"/>
        <w:spacing w:before="0" w:after="0"/>
        <w:ind w:firstLine="0"/>
        <w:jc w:val="center"/>
        <w:rPr>
          <w:rFonts w:eastAsia="SimSun"/>
          <w:lang w:eastAsia="zh-CN" w:bidi="he-IL"/>
        </w:rPr>
      </w:pPr>
    </w:p>
    <w:tbl>
      <w:tblPr>
        <w:tblW w:w="14283" w:type="dxa"/>
        <w:tblInd w:w="-96" w:type="dxa"/>
        <w:tblLayout w:type="fixed"/>
        <w:tblLook w:val="00A0" w:firstRow="1" w:lastRow="0" w:firstColumn="1" w:lastColumn="0" w:noHBand="0" w:noVBand="0"/>
      </w:tblPr>
      <w:tblGrid>
        <w:gridCol w:w="5369"/>
        <w:gridCol w:w="8914"/>
      </w:tblGrid>
      <w:tr w:rsidR="001801C2" w:rsidRPr="00FB036F" w14:paraId="104205D1" w14:textId="77777777" w:rsidTr="00837492">
        <w:trPr>
          <w:gridAfter w:val="1"/>
          <w:wAfter w:w="8914" w:type="dxa"/>
        </w:trPr>
        <w:tc>
          <w:tcPr>
            <w:tcW w:w="5369" w:type="dxa"/>
          </w:tcPr>
          <w:p w14:paraId="439A447B" w14:textId="77777777" w:rsidR="00837492" w:rsidRPr="00FB036F" w:rsidRDefault="001801C2" w:rsidP="00D535ED">
            <w:pPr>
              <w:pStyle w:val="naiskr"/>
              <w:spacing w:before="0" w:after="0"/>
              <w:jc w:val="center"/>
            </w:pPr>
            <w:r w:rsidRPr="00FB036F">
              <w:t>Atbildīgā amatpersona</w:t>
            </w:r>
          </w:p>
        </w:tc>
      </w:tr>
      <w:tr w:rsidR="001801C2" w:rsidRPr="00FB036F" w14:paraId="60D62C8F" w14:textId="77777777" w:rsidTr="00E879CF">
        <w:trPr>
          <w:gridAfter w:val="1"/>
          <w:wAfter w:w="8914" w:type="dxa"/>
          <w:trHeight w:val="80"/>
        </w:trPr>
        <w:tc>
          <w:tcPr>
            <w:tcW w:w="5369" w:type="dxa"/>
          </w:tcPr>
          <w:p w14:paraId="4FE5E251" w14:textId="77777777" w:rsidR="001801C2" w:rsidRDefault="001801C2" w:rsidP="00F51E1A">
            <w:pPr>
              <w:pStyle w:val="naiskr"/>
              <w:spacing w:before="0" w:after="0"/>
            </w:pPr>
          </w:p>
          <w:p w14:paraId="41280A87" w14:textId="77777777" w:rsidR="00837492" w:rsidRDefault="00837492" w:rsidP="00F51E1A">
            <w:pPr>
              <w:pStyle w:val="naiskr"/>
              <w:spacing w:before="0" w:after="0"/>
            </w:pPr>
          </w:p>
          <w:p w14:paraId="3828B35C" w14:textId="77777777" w:rsidR="00837492" w:rsidRDefault="00837492" w:rsidP="00F51E1A">
            <w:pPr>
              <w:pStyle w:val="naiskr"/>
              <w:spacing w:before="0" w:after="0"/>
            </w:pPr>
          </w:p>
          <w:p w14:paraId="0C75B3DB" w14:textId="77777777" w:rsidR="00837492" w:rsidRDefault="00837492" w:rsidP="00F51E1A">
            <w:pPr>
              <w:pStyle w:val="naiskr"/>
              <w:spacing w:before="0" w:after="0"/>
            </w:pPr>
          </w:p>
          <w:p w14:paraId="1A818D76" w14:textId="77777777" w:rsidR="00837492" w:rsidRDefault="00837492" w:rsidP="00F51E1A">
            <w:pPr>
              <w:pStyle w:val="naiskr"/>
              <w:spacing w:before="0" w:after="0"/>
            </w:pPr>
          </w:p>
          <w:p w14:paraId="3EFF3D0F" w14:textId="77777777" w:rsidR="00837492" w:rsidRPr="00FB036F" w:rsidRDefault="00837492" w:rsidP="00F51E1A">
            <w:pPr>
              <w:pStyle w:val="naiskr"/>
              <w:spacing w:before="0" w:after="0"/>
            </w:pPr>
          </w:p>
        </w:tc>
      </w:tr>
      <w:tr w:rsidR="001801C2" w:rsidRPr="00FB036F" w14:paraId="3FF83A1A" w14:textId="77777777" w:rsidTr="00837492">
        <w:trPr>
          <w:trHeight w:val="1130"/>
        </w:trPr>
        <w:tc>
          <w:tcPr>
            <w:tcW w:w="14283" w:type="dxa"/>
            <w:gridSpan w:val="2"/>
          </w:tcPr>
          <w:p w14:paraId="13784810" w14:textId="77777777" w:rsidR="00440D83" w:rsidRDefault="00440D83" w:rsidP="00F51E1A">
            <w:pPr>
              <w:rPr>
                <w:sz w:val="20"/>
                <w:szCs w:val="20"/>
              </w:rPr>
            </w:pPr>
          </w:p>
          <w:p w14:paraId="087146B0" w14:textId="77777777" w:rsidR="001801C2" w:rsidRDefault="00E879CF" w:rsidP="00F51E1A">
            <w:pPr>
              <w:rPr>
                <w:sz w:val="20"/>
                <w:szCs w:val="20"/>
              </w:rPr>
            </w:pPr>
            <w:r>
              <w:rPr>
                <w:sz w:val="20"/>
                <w:szCs w:val="20"/>
              </w:rPr>
              <w:t xml:space="preserve">D. Laipniece, 67047843 </w:t>
            </w:r>
          </w:p>
          <w:p w14:paraId="7CB17C3D" w14:textId="77777777" w:rsidR="001801C2" w:rsidRPr="00FB036F" w:rsidRDefault="00E879CF" w:rsidP="00F51E1A">
            <w:pPr>
              <w:rPr>
                <w:sz w:val="20"/>
                <w:szCs w:val="20"/>
                <w:u w:val="single"/>
              </w:rPr>
            </w:pPr>
            <w:r>
              <w:rPr>
                <w:sz w:val="20"/>
                <w:szCs w:val="20"/>
              </w:rPr>
              <w:t>Diana.laipniece@iz</w:t>
            </w:r>
            <w:r w:rsidR="001801C2">
              <w:rPr>
                <w:sz w:val="20"/>
                <w:szCs w:val="20"/>
              </w:rPr>
              <w:t>m.gov.lv</w:t>
            </w:r>
          </w:p>
        </w:tc>
      </w:tr>
    </w:tbl>
    <w:p w14:paraId="30D9E0B9" w14:textId="77777777" w:rsidR="001801C2" w:rsidRPr="00FB036F" w:rsidRDefault="001801C2" w:rsidP="005F5C7A">
      <w:pPr>
        <w:pStyle w:val="naisf"/>
        <w:spacing w:before="0" w:after="0"/>
        <w:ind w:firstLine="0"/>
        <w:jc w:val="center"/>
        <w:rPr>
          <w:rFonts w:eastAsia="SimSun"/>
          <w:lang w:eastAsia="zh-CN" w:bidi="he-IL"/>
        </w:rPr>
      </w:pPr>
    </w:p>
    <w:sectPr w:rsidR="001801C2" w:rsidRPr="00FB036F" w:rsidSect="0029200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3B53" w14:textId="77777777" w:rsidR="00AD66B3" w:rsidRDefault="00AD66B3">
      <w:r>
        <w:separator/>
      </w:r>
    </w:p>
  </w:endnote>
  <w:endnote w:type="continuationSeparator" w:id="0">
    <w:p w14:paraId="05102280" w14:textId="77777777" w:rsidR="00AD66B3" w:rsidRDefault="00AD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5857" w14:textId="715AA254" w:rsidR="001D6540" w:rsidRPr="00CA42B5" w:rsidRDefault="00EC2062" w:rsidP="00305BAD">
    <w:pPr>
      <w:jc w:val="both"/>
      <w:rPr>
        <w:sz w:val="20"/>
        <w:szCs w:val="20"/>
      </w:rPr>
    </w:pPr>
    <w:r>
      <w:rPr>
        <w:sz w:val="20"/>
        <w:szCs w:val="20"/>
      </w:rPr>
      <w:t>IZMIzz_10</w:t>
    </w:r>
    <w:r w:rsidR="00C52C2E">
      <w:rPr>
        <w:sz w:val="20"/>
        <w:szCs w:val="20"/>
      </w:rPr>
      <w:t>07</w:t>
    </w:r>
    <w:r w:rsidR="001D6540">
      <w:rPr>
        <w:sz w:val="20"/>
        <w:szCs w:val="20"/>
      </w:rPr>
      <w:t>19_</w:t>
    </w:r>
    <w:r>
      <w:rPr>
        <w:sz w:val="20"/>
        <w:szCs w:val="20"/>
      </w:rPr>
      <w:t>studejoso_</w:t>
    </w:r>
    <w:r w:rsidR="001D6540">
      <w:rPr>
        <w:sz w:val="20"/>
        <w:szCs w:val="20"/>
      </w:rPr>
      <w:t>kreditesana</w:t>
    </w:r>
  </w:p>
  <w:p w14:paraId="0D9F0A34" w14:textId="77777777" w:rsidR="001D6540" w:rsidRPr="00305BAD" w:rsidRDefault="001D6540" w:rsidP="00305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1D70" w14:textId="77DC7BC8" w:rsidR="001D6540" w:rsidRPr="00CA42B5" w:rsidRDefault="001D6540" w:rsidP="009E241E">
    <w:pPr>
      <w:jc w:val="both"/>
      <w:rPr>
        <w:sz w:val="20"/>
        <w:szCs w:val="20"/>
      </w:rPr>
    </w:pPr>
    <w:r>
      <w:rPr>
        <w:sz w:val="20"/>
        <w:szCs w:val="20"/>
      </w:rPr>
      <w:t>IEMIzz_270619_kreditesana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5A1E" w14:textId="77777777" w:rsidR="00AD66B3" w:rsidRDefault="00AD66B3">
      <w:r>
        <w:separator/>
      </w:r>
    </w:p>
  </w:footnote>
  <w:footnote w:type="continuationSeparator" w:id="0">
    <w:p w14:paraId="6FD02DE7" w14:textId="77777777" w:rsidR="00AD66B3" w:rsidRDefault="00AD66B3">
      <w:r>
        <w:continuationSeparator/>
      </w:r>
    </w:p>
  </w:footnote>
  <w:footnote w:id="1">
    <w:p w14:paraId="576DD6C6" w14:textId="77777777" w:rsidR="001D6540" w:rsidRPr="00D241AC" w:rsidRDefault="001D6540" w:rsidP="009434EE">
      <w:pPr>
        <w:pStyle w:val="FootnoteText"/>
      </w:pPr>
      <w:r w:rsidRPr="00D241AC">
        <w:rPr>
          <w:rStyle w:val="FootnoteReference"/>
        </w:rPr>
        <w:footnoteRef/>
      </w:r>
      <w:r w:rsidRPr="00D241AC">
        <w:t xml:space="preserve"> sk. Satversmes tiesas 2016. gada 21. oktobra lēmuma par tiesvedības izbeigšanu lietā Nr. 2016-03-01 13. punktu.</w:t>
      </w:r>
    </w:p>
  </w:footnote>
  <w:footnote w:id="2">
    <w:p w14:paraId="2BD55408" w14:textId="77777777" w:rsidR="001D6540" w:rsidRPr="00D241AC" w:rsidRDefault="001D6540" w:rsidP="009434EE">
      <w:pPr>
        <w:pStyle w:val="FootnoteText"/>
      </w:pPr>
      <w:r w:rsidRPr="00D241AC">
        <w:rPr>
          <w:rStyle w:val="FootnoteReference"/>
        </w:rPr>
        <w:footnoteRef/>
      </w:r>
      <w:r w:rsidRPr="00D241AC">
        <w:t xml:space="preserve"> sk. Satversmes tiesas 2010. gada 19. jūnija sprieduma lietā Nr. 2010-02-01 4. punktu.</w:t>
      </w:r>
    </w:p>
  </w:footnote>
  <w:footnote w:id="3">
    <w:p w14:paraId="3205722D" w14:textId="77777777" w:rsidR="001D6540" w:rsidRDefault="001D6540" w:rsidP="009434EE">
      <w:pPr>
        <w:pStyle w:val="FootnoteText"/>
      </w:pPr>
      <w:r w:rsidRPr="00D241AC">
        <w:rPr>
          <w:rStyle w:val="FootnoteReference"/>
        </w:rPr>
        <w:footnoteRef/>
      </w:r>
      <w:r w:rsidRPr="00D241AC">
        <w:t xml:space="preserve"> sk., piemēram, Satversmes tiesas 1998. gada 10. jūnija spriedumu lietā Nr. 04-03(98) un 2002. gada 27 20. marta spriedumu lietā Nr. 2001-12-01, kā arī 2004. gada 26. oktobra spriedumu lietā Nr. 2004-03-01.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DD04" w14:textId="77777777" w:rsidR="001D6540" w:rsidRDefault="001D654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4EB32" w14:textId="77777777" w:rsidR="001D6540" w:rsidRDefault="001D6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9244" w14:textId="77777777" w:rsidR="001D6540" w:rsidRDefault="001D654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CD0">
      <w:rPr>
        <w:rStyle w:val="PageNumber"/>
        <w:noProof/>
      </w:rPr>
      <w:t>105</w:t>
    </w:r>
    <w:r>
      <w:rPr>
        <w:rStyle w:val="PageNumber"/>
      </w:rPr>
      <w:fldChar w:fldCharType="end"/>
    </w:r>
  </w:p>
  <w:p w14:paraId="6A55E9C1" w14:textId="77777777" w:rsidR="001D6540" w:rsidRDefault="001D6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D67"/>
    <w:multiLevelType w:val="hybridMultilevel"/>
    <w:tmpl w:val="306E6E66"/>
    <w:lvl w:ilvl="0" w:tplc="4D4240E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E91AF1"/>
    <w:multiLevelType w:val="hybridMultilevel"/>
    <w:tmpl w:val="38F46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A23974"/>
    <w:multiLevelType w:val="hybridMultilevel"/>
    <w:tmpl w:val="826023B4"/>
    <w:lvl w:ilvl="0" w:tplc="653665CC">
      <w:start w:val="20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14EF3"/>
    <w:multiLevelType w:val="hybridMultilevel"/>
    <w:tmpl w:val="71E039EC"/>
    <w:lvl w:ilvl="0" w:tplc="33326BBC">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02FC"/>
    <w:rsid w:val="0000167C"/>
    <w:rsid w:val="000027FC"/>
    <w:rsid w:val="00003AAA"/>
    <w:rsid w:val="0000411A"/>
    <w:rsid w:val="00004272"/>
    <w:rsid w:val="0000513E"/>
    <w:rsid w:val="00005344"/>
    <w:rsid w:val="000112BE"/>
    <w:rsid w:val="00013193"/>
    <w:rsid w:val="0001436C"/>
    <w:rsid w:val="000148B4"/>
    <w:rsid w:val="00016F14"/>
    <w:rsid w:val="00022E36"/>
    <w:rsid w:val="00024C1E"/>
    <w:rsid w:val="000253C9"/>
    <w:rsid w:val="000263F1"/>
    <w:rsid w:val="00026861"/>
    <w:rsid w:val="00027813"/>
    <w:rsid w:val="000324EC"/>
    <w:rsid w:val="000328C0"/>
    <w:rsid w:val="00033045"/>
    <w:rsid w:val="00033ACD"/>
    <w:rsid w:val="00035898"/>
    <w:rsid w:val="00035B25"/>
    <w:rsid w:val="00035D31"/>
    <w:rsid w:val="00037D92"/>
    <w:rsid w:val="000414A8"/>
    <w:rsid w:val="00042539"/>
    <w:rsid w:val="00046864"/>
    <w:rsid w:val="00046F0F"/>
    <w:rsid w:val="00055E9E"/>
    <w:rsid w:val="00057D93"/>
    <w:rsid w:val="0006246C"/>
    <w:rsid w:val="0007077F"/>
    <w:rsid w:val="00073FD4"/>
    <w:rsid w:val="00076AF7"/>
    <w:rsid w:val="0008019D"/>
    <w:rsid w:val="00080393"/>
    <w:rsid w:val="00081169"/>
    <w:rsid w:val="00082CDC"/>
    <w:rsid w:val="00084C7C"/>
    <w:rsid w:val="000908A8"/>
    <w:rsid w:val="0009209E"/>
    <w:rsid w:val="00094533"/>
    <w:rsid w:val="0009535C"/>
    <w:rsid w:val="0009555C"/>
    <w:rsid w:val="00097A7D"/>
    <w:rsid w:val="000A107B"/>
    <w:rsid w:val="000A27C2"/>
    <w:rsid w:val="000A3B76"/>
    <w:rsid w:val="000A5207"/>
    <w:rsid w:val="000A65CF"/>
    <w:rsid w:val="000B0183"/>
    <w:rsid w:val="000B19D6"/>
    <w:rsid w:val="000B1D14"/>
    <w:rsid w:val="000B3A61"/>
    <w:rsid w:val="000B46D0"/>
    <w:rsid w:val="000B4D4E"/>
    <w:rsid w:val="000B4F2C"/>
    <w:rsid w:val="000B5521"/>
    <w:rsid w:val="000B5DA2"/>
    <w:rsid w:val="000B6096"/>
    <w:rsid w:val="000B70E2"/>
    <w:rsid w:val="000C28E4"/>
    <w:rsid w:val="000C35B6"/>
    <w:rsid w:val="000C3DEE"/>
    <w:rsid w:val="000C54CD"/>
    <w:rsid w:val="000C64EC"/>
    <w:rsid w:val="000C6C10"/>
    <w:rsid w:val="000C7225"/>
    <w:rsid w:val="000D1913"/>
    <w:rsid w:val="000D1956"/>
    <w:rsid w:val="000D708E"/>
    <w:rsid w:val="000D7504"/>
    <w:rsid w:val="000D784C"/>
    <w:rsid w:val="000E3F69"/>
    <w:rsid w:val="000E47ED"/>
    <w:rsid w:val="000E555E"/>
    <w:rsid w:val="000E6A5D"/>
    <w:rsid w:val="000F1BD1"/>
    <w:rsid w:val="000F23DA"/>
    <w:rsid w:val="000F2CE5"/>
    <w:rsid w:val="000F34C8"/>
    <w:rsid w:val="000F463B"/>
    <w:rsid w:val="000F4DC5"/>
    <w:rsid w:val="000F62FD"/>
    <w:rsid w:val="00100ECA"/>
    <w:rsid w:val="00101F98"/>
    <w:rsid w:val="00102040"/>
    <w:rsid w:val="00105302"/>
    <w:rsid w:val="00105573"/>
    <w:rsid w:val="00106CD6"/>
    <w:rsid w:val="001104AF"/>
    <w:rsid w:val="00110520"/>
    <w:rsid w:val="00111585"/>
    <w:rsid w:val="00113E95"/>
    <w:rsid w:val="00115CCB"/>
    <w:rsid w:val="00116974"/>
    <w:rsid w:val="001211EE"/>
    <w:rsid w:val="00121BCF"/>
    <w:rsid w:val="00122AD6"/>
    <w:rsid w:val="001253B2"/>
    <w:rsid w:val="00126912"/>
    <w:rsid w:val="001321A3"/>
    <w:rsid w:val="001323F7"/>
    <w:rsid w:val="0013314F"/>
    <w:rsid w:val="00134FCC"/>
    <w:rsid w:val="0013507E"/>
    <w:rsid w:val="00137094"/>
    <w:rsid w:val="00137740"/>
    <w:rsid w:val="00137AC9"/>
    <w:rsid w:val="00137C99"/>
    <w:rsid w:val="001438CF"/>
    <w:rsid w:val="00144F98"/>
    <w:rsid w:val="00145736"/>
    <w:rsid w:val="001459B4"/>
    <w:rsid w:val="00146A4C"/>
    <w:rsid w:val="001522F0"/>
    <w:rsid w:val="00152846"/>
    <w:rsid w:val="00154752"/>
    <w:rsid w:val="00154CA8"/>
    <w:rsid w:val="00162769"/>
    <w:rsid w:val="001665A1"/>
    <w:rsid w:val="00167477"/>
    <w:rsid w:val="00171A3D"/>
    <w:rsid w:val="00171BF5"/>
    <w:rsid w:val="00172A21"/>
    <w:rsid w:val="00173381"/>
    <w:rsid w:val="00174412"/>
    <w:rsid w:val="001749CA"/>
    <w:rsid w:val="0017685C"/>
    <w:rsid w:val="001801C2"/>
    <w:rsid w:val="00185CB8"/>
    <w:rsid w:val="0019179D"/>
    <w:rsid w:val="0019335D"/>
    <w:rsid w:val="001949A2"/>
    <w:rsid w:val="00196047"/>
    <w:rsid w:val="001A0B19"/>
    <w:rsid w:val="001A2DEC"/>
    <w:rsid w:val="001A4ED2"/>
    <w:rsid w:val="001A58AC"/>
    <w:rsid w:val="001A5E1D"/>
    <w:rsid w:val="001A6313"/>
    <w:rsid w:val="001A6EE3"/>
    <w:rsid w:val="001B04DB"/>
    <w:rsid w:val="001B0580"/>
    <w:rsid w:val="001B50F0"/>
    <w:rsid w:val="001B79ED"/>
    <w:rsid w:val="001C2197"/>
    <w:rsid w:val="001C5A4F"/>
    <w:rsid w:val="001C6E16"/>
    <w:rsid w:val="001D226F"/>
    <w:rsid w:val="001D2334"/>
    <w:rsid w:val="001D44FD"/>
    <w:rsid w:val="001D4A89"/>
    <w:rsid w:val="001D5C35"/>
    <w:rsid w:val="001D6540"/>
    <w:rsid w:val="001D7F0C"/>
    <w:rsid w:val="001E0AEE"/>
    <w:rsid w:val="001E186C"/>
    <w:rsid w:val="001E242E"/>
    <w:rsid w:val="001E2CA4"/>
    <w:rsid w:val="001E51F0"/>
    <w:rsid w:val="001E5648"/>
    <w:rsid w:val="001E79D0"/>
    <w:rsid w:val="001F02FE"/>
    <w:rsid w:val="001F1C93"/>
    <w:rsid w:val="001F3E6F"/>
    <w:rsid w:val="001F656B"/>
    <w:rsid w:val="002013A2"/>
    <w:rsid w:val="002026FA"/>
    <w:rsid w:val="002028A1"/>
    <w:rsid w:val="00203652"/>
    <w:rsid w:val="00205A9B"/>
    <w:rsid w:val="00205DF2"/>
    <w:rsid w:val="00205E80"/>
    <w:rsid w:val="0020707B"/>
    <w:rsid w:val="00211188"/>
    <w:rsid w:val="00214792"/>
    <w:rsid w:val="00215446"/>
    <w:rsid w:val="00216795"/>
    <w:rsid w:val="00217206"/>
    <w:rsid w:val="00217C48"/>
    <w:rsid w:val="0022040D"/>
    <w:rsid w:val="002236BA"/>
    <w:rsid w:val="00223C61"/>
    <w:rsid w:val="00225649"/>
    <w:rsid w:val="002257EC"/>
    <w:rsid w:val="00226FC8"/>
    <w:rsid w:val="002314D5"/>
    <w:rsid w:val="0023338F"/>
    <w:rsid w:val="002359FC"/>
    <w:rsid w:val="00240088"/>
    <w:rsid w:val="00240995"/>
    <w:rsid w:val="00240B06"/>
    <w:rsid w:val="0024188B"/>
    <w:rsid w:val="00241D16"/>
    <w:rsid w:val="002444A0"/>
    <w:rsid w:val="002453E1"/>
    <w:rsid w:val="002454B7"/>
    <w:rsid w:val="0024611D"/>
    <w:rsid w:val="002468F0"/>
    <w:rsid w:val="00250134"/>
    <w:rsid w:val="00252B37"/>
    <w:rsid w:val="0025539F"/>
    <w:rsid w:val="00261EC2"/>
    <w:rsid w:val="002620B7"/>
    <w:rsid w:val="00263D99"/>
    <w:rsid w:val="00263FCD"/>
    <w:rsid w:val="002649A9"/>
    <w:rsid w:val="00265C72"/>
    <w:rsid w:val="00266594"/>
    <w:rsid w:val="00270EF5"/>
    <w:rsid w:val="0027527E"/>
    <w:rsid w:val="00275566"/>
    <w:rsid w:val="00281835"/>
    <w:rsid w:val="00281CEE"/>
    <w:rsid w:val="00283939"/>
    <w:rsid w:val="002844AD"/>
    <w:rsid w:val="00284876"/>
    <w:rsid w:val="00287EF6"/>
    <w:rsid w:val="002900AB"/>
    <w:rsid w:val="00290D73"/>
    <w:rsid w:val="00290E0F"/>
    <w:rsid w:val="00290E19"/>
    <w:rsid w:val="00292005"/>
    <w:rsid w:val="00293AD4"/>
    <w:rsid w:val="00293BAD"/>
    <w:rsid w:val="0029412C"/>
    <w:rsid w:val="002966CA"/>
    <w:rsid w:val="002968AB"/>
    <w:rsid w:val="0029723D"/>
    <w:rsid w:val="002A0253"/>
    <w:rsid w:val="002A05C5"/>
    <w:rsid w:val="002A0E51"/>
    <w:rsid w:val="002A45F2"/>
    <w:rsid w:val="002A4F3D"/>
    <w:rsid w:val="002A61A5"/>
    <w:rsid w:val="002A6B79"/>
    <w:rsid w:val="002A7CDB"/>
    <w:rsid w:val="002B031C"/>
    <w:rsid w:val="002B0FDF"/>
    <w:rsid w:val="002B1498"/>
    <w:rsid w:val="002B2997"/>
    <w:rsid w:val="002B424E"/>
    <w:rsid w:val="002B6540"/>
    <w:rsid w:val="002C11A1"/>
    <w:rsid w:val="002C1DEA"/>
    <w:rsid w:val="002C20A2"/>
    <w:rsid w:val="002C2C72"/>
    <w:rsid w:val="002C6685"/>
    <w:rsid w:val="002C7B68"/>
    <w:rsid w:val="002D016B"/>
    <w:rsid w:val="002D1747"/>
    <w:rsid w:val="002D4B24"/>
    <w:rsid w:val="002D65A2"/>
    <w:rsid w:val="002D72D0"/>
    <w:rsid w:val="002D742E"/>
    <w:rsid w:val="002E0869"/>
    <w:rsid w:val="002E5E81"/>
    <w:rsid w:val="002F0705"/>
    <w:rsid w:val="002F0AC7"/>
    <w:rsid w:val="002F1601"/>
    <w:rsid w:val="002F4C7F"/>
    <w:rsid w:val="002F7197"/>
    <w:rsid w:val="0030124E"/>
    <w:rsid w:val="00301DEE"/>
    <w:rsid w:val="00302E4D"/>
    <w:rsid w:val="00304D94"/>
    <w:rsid w:val="003055CC"/>
    <w:rsid w:val="00305BAD"/>
    <w:rsid w:val="00306229"/>
    <w:rsid w:val="00306716"/>
    <w:rsid w:val="003118FA"/>
    <w:rsid w:val="00312409"/>
    <w:rsid w:val="00315777"/>
    <w:rsid w:val="00317BBA"/>
    <w:rsid w:val="00321A7A"/>
    <w:rsid w:val="003220F9"/>
    <w:rsid w:val="00322F7C"/>
    <w:rsid w:val="0032464C"/>
    <w:rsid w:val="003269EF"/>
    <w:rsid w:val="003271E0"/>
    <w:rsid w:val="0033131F"/>
    <w:rsid w:val="00331D70"/>
    <w:rsid w:val="00334E25"/>
    <w:rsid w:val="0033608D"/>
    <w:rsid w:val="0034080C"/>
    <w:rsid w:val="00340CA8"/>
    <w:rsid w:val="0034354F"/>
    <w:rsid w:val="00346920"/>
    <w:rsid w:val="00347157"/>
    <w:rsid w:val="003474C2"/>
    <w:rsid w:val="0035556B"/>
    <w:rsid w:val="00355BBF"/>
    <w:rsid w:val="00357C59"/>
    <w:rsid w:val="003628B2"/>
    <w:rsid w:val="00365443"/>
    <w:rsid w:val="003655B9"/>
    <w:rsid w:val="00367774"/>
    <w:rsid w:val="003737D8"/>
    <w:rsid w:val="00373C81"/>
    <w:rsid w:val="00374311"/>
    <w:rsid w:val="00383ECB"/>
    <w:rsid w:val="0038642B"/>
    <w:rsid w:val="003906BF"/>
    <w:rsid w:val="003908FB"/>
    <w:rsid w:val="003917E6"/>
    <w:rsid w:val="003919D6"/>
    <w:rsid w:val="00391ACC"/>
    <w:rsid w:val="00392F33"/>
    <w:rsid w:val="00395E1B"/>
    <w:rsid w:val="0039658D"/>
    <w:rsid w:val="003A270A"/>
    <w:rsid w:val="003A2BA0"/>
    <w:rsid w:val="003A30DE"/>
    <w:rsid w:val="003A3F78"/>
    <w:rsid w:val="003A5847"/>
    <w:rsid w:val="003A7B9F"/>
    <w:rsid w:val="003B02F0"/>
    <w:rsid w:val="003B12E4"/>
    <w:rsid w:val="003B1B5D"/>
    <w:rsid w:val="003B1FDC"/>
    <w:rsid w:val="003B36B3"/>
    <w:rsid w:val="003B40C3"/>
    <w:rsid w:val="003B4703"/>
    <w:rsid w:val="003B6CD0"/>
    <w:rsid w:val="003C0E4F"/>
    <w:rsid w:val="003C1F95"/>
    <w:rsid w:val="003C1FBE"/>
    <w:rsid w:val="003C255E"/>
    <w:rsid w:val="003C2E3F"/>
    <w:rsid w:val="003C310F"/>
    <w:rsid w:val="003C32D8"/>
    <w:rsid w:val="003C388D"/>
    <w:rsid w:val="003C3E7E"/>
    <w:rsid w:val="003C4022"/>
    <w:rsid w:val="003C510B"/>
    <w:rsid w:val="003C6CC0"/>
    <w:rsid w:val="003C731F"/>
    <w:rsid w:val="003D21AE"/>
    <w:rsid w:val="003D2572"/>
    <w:rsid w:val="003D2B2E"/>
    <w:rsid w:val="003D30D9"/>
    <w:rsid w:val="003D7997"/>
    <w:rsid w:val="003D7B8F"/>
    <w:rsid w:val="003E0327"/>
    <w:rsid w:val="003E05D1"/>
    <w:rsid w:val="003E08CE"/>
    <w:rsid w:val="003E1463"/>
    <w:rsid w:val="003E16E1"/>
    <w:rsid w:val="003E27B3"/>
    <w:rsid w:val="003E39C7"/>
    <w:rsid w:val="003E3F94"/>
    <w:rsid w:val="003E5B95"/>
    <w:rsid w:val="003F15E2"/>
    <w:rsid w:val="003F1D6A"/>
    <w:rsid w:val="003F2313"/>
    <w:rsid w:val="003F2587"/>
    <w:rsid w:val="003F2B91"/>
    <w:rsid w:val="003F3A93"/>
    <w:rsid w:val="003F3E7D"/>
    <w:rsid w:val="003F5DB4"/>
    <w:rsid w:val="003F6045"/>
    <w:rsid w:val="003F627F"/>
    <w:rsid w:val="003F67E6"/>
    <w:rsid w:val="003F68CB"/>
    <w:rsid w:val="0040174D"/>
    <w:rsid w:val="0040195E"/>
    <w:rsid w:val="004074B7"/>
    <w:rsid w:val="00407936"/>
    <w:rsid w:val="00412898"/>
    <w:rsid w:val="00412C63"/>
    <w:rsid w:val="00415C27"/>
    <w:rsid w:val="004174E6"/>
    <w:rsid w:val="004174FF"/>
    <w:rsid w:val="00417EF4"/>
    <w:rsid w:val="00423BFD"/>
    <w:rsid w:val="00425F09"/>
    <w:rsid w:val="00430935"/>
    <w:rsid w:val="00440A06"/>
    <w:rsid w:val="00440D83"/>
    <w:rsid w:val="004410F5"/>
    <w:rsid w:val="004430D1"/>
    <w:rsid w:val="0044472B"/>
    <w:rsid w:val="00444E10"/>
    <w:rsid w:val="00445305"/>
    <w:rsid w:val="004469B5"/>
    <w:rsid w:val="00447C31"/>
    <w:rsid w:val="004543AA"/>
    <w:rsid w:val="0045657B"/>
    <w:rsid w:val="00456C38"/>
    <w:rsid w:val="00460711"/>
    <w:rsid w:val="004633EB"/>
    <w:rsid w:val="00472C82"/>
    <w:rsid w:val="00474FDF"/>
    <w:rsid w:val="00475F57"/>
    <w:rsid w:val="00476B49"/>
    <w:rsid w:val="00483B2B"/>
    <w:rsid w:val="00485189"/>
    <w:rsid w:val="0048527A"/>
    <w:rsid w:val="004871D6"/>
    <w:rsid w:val="00487214"/>
    <w:rsid w:val="00487FAB"/>
    <w:rsid w:val="00490261"/>
    <w:rsid w:val="00492364"/>
    <w:rsid w:val="00492D41"/>
    <w:rsid w:val="00493563"/>
    <w:rsid w:val="00495D5F"/>
    <w:rsid w:val="0049634A"/>
    <w:rsid w:val="00496505"/>
    <w:rsid w:val="00496894"/>
    <w:rsid w:val="004A030A"/>
    <w:rsid w:val="004A1E81"/>
    <w:rsid w:val="004A253D"/>
    <w:rsid w:val="004A26E1"/>
    <w:rsid w:val="004A5EAB"/>
    <w:rsid w:val="004A5F16"/>
    <w:rsid w:val="004B016B"/>
    <w:rsid w:val="004B3AD2"/>
    <w:rsid w:val="004B4317"/>
    <w:rsid w:val="004B6002"/>
    <w:rsid w:val="004C2E65"/>
    <w:rsid w:val="004C4DE1"/>
    <w:rsid w:val="004C5563"/>
    <w:rsid w:val="004D0764"/>
    <w:rsid w:val="004D1078"/>
    <w:rsid w:val="004D5871"/>
    <w:rsid w:val="004D6A6D"/>
    <w:rsid w:val="004D7159"/>
    <w:rsid w:val="004E16FA"/>
    <w:rsid w:val="004E3A80"/>
    <w:rsid w:val="004E694D"/>
    <w:rsid w:val="004F0851"/>
    <w:rsid w:val="004F1163"/>
    <w:rsid w:val="004F2173"/>
    <w:rsid w:val="004F2C77"/>
    <w:rsid w:val="004F36F0"/>
    <w:rsid w:val="004F4BC0"/>
    <w:rsid w:val="004F4E4B"/>
    <w:rsid w:val="004F529F"/>
    <w:rsid w:val="004F5527"/>
    <w:rsid w:val="004F5C01"/>
    <w:rsid w:val="004F7896"/>
    <w:rsid w:val="0050008F"/>
    <w:rsid w:val="00500DEE"/>
    <w:rsid w:val="00502CFC"/>
    <w:rsid w:val="00504D1C"/>
    <w:rsid w:val="00510332"/>
    <w:rsid w:val="00510AC3"/>
    <w:rsid w:val="00511B45"/>
    <w:rsid w:val="00512AC8"/>
    <w:rsid w:val="00513B18"/>
    <w:rsid w:val="005151E8"/>
    <w:rsid w:val="00520A47"/>
    <w:rsid w:val="005226EC"/>
    <w:rsid w:val="0052467C"/>
    <w:rsid w:val="00526062"/>
    <w:rsid w:val="00526B4C"/>
    <w:rsid w:val="00531A23"/>
    <w:rsid w:val="00532025"/>
    <w:rsid w:val="00533A38"/>
    <w:rsid w:val="00534424"/>
    <w:rsid w:val="00537B65"/>
    <w:rsid w:val="00540116"/>
    <w:rsid w:val="005405E2"/>
    <w:rsid w:val="00544604"/>
    <w:rsid w:val="005458A7"/>
    <w:rsid w:val="00547CD0"/>
    <w:rsid w:val="00550055"/>
    <w:rsid w:val="00550DA7"/>
    <w:rsid w:val="00552933"/>
    <w:rsid w:val="00556E83"/>
    <w:rsid w:val="00564C4D"/>
    <w:rsid w:val="00566568"/>
    <w:rsid w:val="0057552D"/>
    <w:rsid w:val="005764BE"/>
    <w:rsid w:val="0057677D"/>
    <w:rsid w:val="00577A47"/>
    <w:rsid w:val="0058008C"/>
    <w:rsid w:val="00580576"/>
    <w:rsid w:val="005846DF"/>
    <w:rsid w:val="00585137"/>
    <w:rsid w:val="00585B37"/>
    <w:rsid w:val="00586A78"/>
    <w:rsid w:val="00586EA2"/>
    <w:rsid w:val="00590036"/>
    <w:rsid w:val="005919A5"/>
    <w:rsid w:val="00591ABE"/>
    <w:rsid w:val="0059235D"/>
    <w:rsid w:val="005926A0"/>
    <w:rsid w:val="005A126F"/>
    <w:rsid w:val="005A14F0"/>
    <w:rsid w:val="005A2246"/>
    <w:rsid w:val="005A22DD"/>
    <w:rsid w:val="005A2B18"/>
    <w:rsid w:val="005A325E"/>
    <w:rsid w:val="005A3A5B"/>
    <w:rsid w:val="005A616E"/>
    <w:rsid w:val="005A66C5"/>
    <w:rsid w:val="005A6CAA"/>
    <w:rsid w:val="005B24DC"/>
    <w:rsid w:val="005B5323"/>
    <w:rsid w:val="005C0031"/>
    <w:rsid w:val="005C05C7"/>
    <w:rsid w:val="005C0797"/>
    <w:rsid w:val="005C181A"/>
    <w:rsid w:val="005C5BE4"/>
    <w:rsid w:val="005C64D2"/>
    <w:rsid w:val="005D45F1"/>
    <w:rsid w:val="005D5536"/>
    <w:rsid w:val="005D57D7"/>
    <w:rsid w:val="005E1A52"/>
    <w:rsid w:val="005E3A4B"/>
    <w:rsid w:val="005E4823"/>
    <w:rsid w:val="005E724A"/>
    <w:rsid w:val="005E742D"/>
    <w:rsid w:val="005F15E2"/>
    <w:rsid w:val="005F2E17"/>
    <w:rsid w:val="005F36EA"/>
    <w:rsid w:val="005F5C53"/>
    <w:rsid w:val="005F5C7A"/>
    <w:rsid w:val="005F6950"/>
    <w:rsid w:val="005F6D3E"/>
    <w:rsid w:val="0060032B"/>
    <w:rsid w:val="00600655"/>
    <w:rsid w:val="00600C8E"/>
    <w:rsid w:val="006015CC"/>
    <w:rsid w:val="00601B9F"/>
    <w:rsid w:val="00601E09"/>
    <w:rsid w:val="00603CC6"/>
    <w:rsid w:val="00605978"/>
    <w:rsid w:val="0060632D"/>
    <w:rsid w:val="00607463"/>
    <w:rsid w:val="0061081B"/>
    <w:rsid w:val="00611115"/>
    <w:rsid w:val="00620A62"/>
    <w:rsid w:val="00620F9A"/>
    <w:rsid w:val="00620FB9"/>
    <w:rsid w:val="00621EDF"/>
    <w:rsid w:val="006253DC"/>
    <w:rsid w:val="006258D5"/>
    <w:rsid w:val="0062604A"/>
    <w:rsid w:val="00631F92"/>
    <w:rsid w:val="00632AD3"/>
    <w:rsid w:val="00632F04"/>
    <w:rsid w:val="006338F3"/>
    <w:rsid w:val="0063545A"/>
    <w:rsid w:val="006374BE"/>
    <w:rsid w:val="00641A02"/>
    <w:rsid w:val="0064308B"/>
    <w:rsid w:val="00643609"/>
    <w:rsid w:val="00644527"/>
    <w:rsid w:val="00646082"/>
    <w:rsid w:val="00654373"/>
    <w:rsid w:val="00655347"/>
    <w:rsid w:val="00660704"/>
    <w:rsid w:val="00660CA4"/>
    <w:rsid w:val="00661B63"/>
    <w:rsid w:val="006649DC"/>
    <w:rsid w:val="00664E7D"/>
    <w:rsid w:val="006656B8"/>
    <w:rsid w:val="006670AF"/>
    <w:rsid w:val="006676C6"/>
    <w:rsid w:val="0067318A"/>
    <w:rsid w:val="006759EE"/>
    <w:rsid w:val="00676159"/>
    <w:rsid w:val="00676B6E"/>
    <w:rsid w:val="00682803"/>
    <w:rsid w:val="006833BF"/>
    <w:rsid w:val="006833E2"/>
    <w:rsid w:val="00683ECE"/>
    <w:rsid w:val="0068631A"/>
    <w:rsid w:val="00690308"/>
    <w:rsid w:val="00693CEC"/>
    <w:rsid w:val="00695336"/>
    <w:rsid w:val="006A0AC8"/>
    <w:rsid w:val="006A3765"/>
    <w:rsid w:val="006A3A8D"/>
    <w:rsid w:val="006A4603"/>
    <w:rsid w:val="006A52F1"/>
    <w:rsid w:val="006A6C19"/>
    <w:rsid w:val="006A784F"/>
    <w:rsid w:val="006B00C9"/>
    <w:rsid w:val="006B21A3"/>
    <w:rsid w:val="006B3E16"/>
    <w:rsid w:val="006B41DF"/>
    <w:rsid w:val="006B47D1"/>
    <w:rsid w:val="006B5320"/>
    <w:rsid w:val="006B5EB7"/>
    <w:rsid w:val="006B5FF9"/>
    <w:rsid w:val="006B60C8"/>
    <w:rsid w:val="006B7F86"/>
    <w:rsid w:val="006C2B22"/>
    <w:rsid w:val="006C6E70"/>
    <w:rsid w:val="006D233A"/>
    <w:rsid w:val="006D5360"/>
    <w:rsid w:val="006D5D2D"/>
    <w:rsid w:val="006D7D92"/>
    <w:rsid w:val="006E0C76"/>
    <w:rsid w:val="006E20C9"/>
    <w:rsid w:val="006E2AE7"/>
    <w:rsid w:val="006E3B61"/>
    <w:rsid w:val="006E57EE"/>
    <w:rsid w:val="006E6B26"/>
    <w:rsid w:val="006E7570"/>
    <w:rsid w:val="006E7FAA"/>
    <w:rsid w:val="006F1DC9"/>
    <w:rsid w:val="006F29BA"/>
    <w:rsid w:val="006F57E1"/>
    <w:rsid w:val="006F6F91"/>
    <w:rsid w:val="006F7410"/>
    <w:rsid w:val="007007BF"/>
    <w:rsid w:val="00700A7D"/>
    <w:rsid w:val="00700BB9"/>
    <w:rsid w:val="0070679B"/>
    <w:rsid w:val="00707458"/>
    <w:rsid w:val="0070774F"/>
    <w:rsid w:val="007113DF"/>
    <w:rsid w:val="00711AAF"/>
    <w:rsid w:val="0072175D"/>
    <w:rsid w:val="00721E51"/>
    <w:rsid w:val="00726661"/>
    <w:rsid w:val="00730308"/>
    <w:rsid w:val="00730386"/>
    <w:rsid w:val="00730EE7"/>
    <w:rsid w:val="007314D3"/>
    <w:rsid w:val="00732788"/>
    <w:rsid w:val="00732D32"/>
    <w:rsid w:val="007339AC"/>
    <w:rsid w:val="007357C0"/>
    <w:rsid w:val="007369FB"/>
    <w:rsid w:val="007376A7"/>
    <w:rsid w:val="00737B81"/>
    <w:rsid w:val="00742B56"/>
    <w:rsid w:val="00744080"/>
    <w:rsid w:val="00745849"/>
    <w:rsid w:val="007459DF"/>
    <w:rsid w:val="0074616B"/>
    <w:rsid w:val="00746455"/>
    <w:rsid w:val="0074760C"/>
    <w:rsid w:val="0075280C"/>
    <w:rsid w:val="0075353C"/>
    <w:rsid w:val="007535A9"/>
    <w:rsid w:val="00754F72"/>
    <w:rsid w:val="00755588"/>
    <w:rsid w:val="00756AEE"/>
    <w:rsid w:val="00757D2E"/>
    <w:rsid w:val="00763568"/>
    <w:rsid w:val="00765A4C"/>
    <w:rsid w:val="00766F52"/>
    <w:rsid w:val="007676D3"/>
    <w:rsid w:val="007719EE"/>
    <w:rsid w:val="00772D5A"/>
    <w:rsid w:val="00773B0E"/>
    <w:rsid w:val="00775CA2"/>
    <w:rsid w:val="007764B5"/>
    <w:rsid w:val="00777E76"/>
    <w:rsid w:val="00781E8D"/>
    <w:rsid w:val="007860FF"/>
    <w:rsid w:val="00786DDB"/>
    <w:rsid w:val="00795268"/>
    <w:rsid w:val="00795F94"/>
    <w:rsid w:val="00796591"/>
    <w:rsid w:val="0079736A"/>
    <w:rsid w:val="007A1F56"/>
    <w:rsid w:val="007A3FC8"/>
    <w:rsid w:val="007A4187"/>
    <w:rsid w:val="007A75E5"/>
    <w:rsid w:val="007B0A8A"/>
    <w:rsid w:val="007B15B6"/>
    <w:rsid w:val="007B39E7"/>
    <w:rsid w:val="007B6733"/>
    <w:rsid w:val="007B681C"/>
    <w:rsid w:val="007C3337"/>
    <w:rsid w:val="007C574F"/>
    <w:rsid w:val="007D04CC"/>
    <w:rsid w:val="007D06C7"/>
    <w:rsid w:val="007D1A3D"/>
    <w:rsid w:val="007D32D5"/>
    <w:rsid w:val="007D3CFA"/>
    <w:rsid w:val="007D4F29"/>
    <w:rsid w:val="007D52B4"/>
    <w:rsid w:val="007E0A62"/>
    <w:rsid w:val="007E2519"/>
    <w:rsid w:val="007E36F9"/>
    <w:rsid w:val="007E389E"/>
    <w:rsid w:val="007E396C"/>
    <w:rsid w:val="007E59A9"/>
    <w:rsid w:val="007E7433"/>
    <w:rsid w:val="007F0794"/>
    <w:rsid w:val="007F081B"/>
    <w:rsid w:val="007F3367"/>
    <w:rsid w:val="007F3B86"/>
    <w:rsid w:val="007F4FC3"/>
    <w:rsid w:val="007F5D7D"/>
    <w:rsid w:val="007F6135"/>
    <w:rsid w:val="007F6C73"/>
    <w:rsid w:val="0080265E"/>
    <w:rsid w:val="008041BF"/>
    <w:rsid w:val="00805E70"/>
    <w:rsid w:val="00806032"/>
    <w:rsid w:val="0081149D"/>
    <w:rsid w:val="008120F7"/>
    <w:rsid w:val="008146FD"/>
    <w:rsid w:val="00815FC3"/>
    <w:rsid w:val="00817133"/>
    <w:rsid w:val="00817503"/>
    <w:rsid w:val="008176DD"/>
    <w:rsid w:val="00820674"/>
    <w:rsid w:val="00823D2C"/>
    <w:rsid w:val="00824224"/>
    <w:rsid w:val="00825FA4"/>
    <w:rsid w:val="00826F59"/>
    <w:rsid w:val="008273D6"/>
    <w:rsid w:val="008315F0"/>
    <w:rsid w:val="00833E01"/>
    <w:rsid w:val="008362C0"/>
    <w:rsid w:val="008363DA"/>
    <w:rsid w:val="00837492"/>
    <w:rsid w:val="00837A4F"/>
    <w:rsid w:val="00841026"/>
    <w:rsid w:val="00842441"/>
    <w:rsid w:val="00842A93"/>
    <w:rsid w:val="00844457"/>
    <w:rsid w:val="0084730B"/>
    <w:rsid w:val="00847614"/>
    <w:rsid w:val="00851E38"/>
    <w:rsid w:val="00852372"/>
    <w:rsid w:val="00854315"/>
    <w:rsid w:val="00855012"/>
    <w:rsid w:val="00855404"/>
    <w:rsid w:val="0085566A"/>
    <w:rsid w:val="008575DB"/>
    <w:rsid w:val="0085774C"/>
    <w:rsid w:val="0086059D"/>
    <w:rsid w:val="008606C4"/>
    <w:rsid w:val="00864B1C"/>
    <w:rsid w:val="00865777"/>
    <w:rsid w:val="00865DC7"/>
    <w:rsid w:val="008669D4"/>
    <w:rsid w:val="00866F91"/>
    <w:rsid w:val="008679CB"/>
    <w:rsid w:val="00867C5E"/>
    <w:rsid w:val="00867FEB"/>
    <w:rsid w:val="0087056E"/>
    <w:rsid w:val="00871D82"/>
    <w:rsid w:val="00873A1E"/>
    <w:rsid w:val="0087516C"/>
    <w:rsid w:val="008763D9"/>
    <w:rsid w:val="0087662C"/>
    <w:rsid w:val="0087668D"/>
    <w:rsid w:val="008766FD"/>
    <w:rsid w:val="00876906"/>
    <w:rsid w:val="00885054"/>
    <w:rsid w:val="0088758C"/>
    <w:rsid w:val="008962AF"/>
    <w:rsid w:val="00897199"/>
    <w:rsid w:val="008A00EC"/>
    <w:rsid w:val="008A19EC"/>
    <w:rsid w:val="008A5615"/>
    <w:rsid w:val="008A7510"/>
    <w:rsid w:val="008B0DCE"/>
    <w:rsid w:val="008B62EF"/>
    <w:rsid w:val="008C099B"/>
    <w:rsid w:val="008C4E5E"/>
    <w:rsid w:val="008D0971"/>
    <w:rsid w:val="008D18C3"/>
    <w:rsid w:val="008D2C18"/>
    <w:rsid w:val="008D3214"/>
    <w:rsid w:val="008D36EB"/>
    <w:rsid w:val="008D623F"/>
    <w:rsid w:val="008D63B6"/>
    <w:rsid w:val="008D6CDC"/>
    <w:rsid w:val="008E1E56"/>
    <w:rsid w:val="008E2040"/>
    <w:rsid w:val="008E240F"/>
    <w:rsid w:val="008E284D"/>
    <w:rsid w:val="008E3807"/>
    <w:rsid w:val="008E5D75"/>
    <w:rsid w:val="008E6778"/>
    <w:rsid w:val="008E7694"/>
    <w:rsid w:val="008F1984"/>
    <w:rsid w:val="008F2266"/>
    <w:rsid w:val="008F241B"/>
    <w:rsid w:val="008F3B66"/>
    <w:rsid w:val="008F4BE3"/>
    <w:rsid w:val="008F4F43"/>
    <w:rsid w:val="008F6979"/>
    <w:rsid w:val="0090189C"/>
    <w:rsid w:val="00902974"/>
    <w:rsid w:val="009054E6"/>
    <w:rsid w:val="00906C59"/>
    <w:rsid w:val="0090777A"/>
    <w:rsid w:val="00907EDA"/>
    <w:rsid w:val="00910722"/>
    <w:rsid w:val="00911671"/>
    <w:rsid w:val="00913499"/>
    <w:rsid w:val="00914617"/>
    <w:rsid w:val="009156BD"/>
    <w:rsid w:val="00915DE0"/>
    <w:rsid w:val="00916350"/>
    <w:rsid w:val="009163C6"/>
    <w:rsid w:val="009212C2"/>
    <w:rsid w:val="009216A9"/>
    <w:rsid w:val="00923758"/>
    <w:rsid w:val="00924D07"/>
    <w:rsid w:val="00925C60"/>
    <w:rsid w:val="00927A40"/>
    <w:rsid w:val="009305F1"/>
    <w:rsid w:val="0093182B"/>
    <w:rsid w:val="00931A7D"/>
    <w:rsid w:val="0093274A"/>
    <w:rsid w:val="00932A2B"/>
    <w:rsid w:val="00933EBE"/>
    <w:rsid w:val="00934D37"/>
    <w:rsid w:val="00935A05"/>
    <w:rsid w:val="0094341C"/>
    <w:rsid w:val="009434EE"/>
    <w:rsid w:val="00944959"/>
    <w:rsid w:val="00945AC2"/>
    <w:rsid w:val="00945F9F"/>
    <w:rsid w:val="00946D3C"/>
    <w:rsid w:val="00947C8F"/>
    <w:rsid w:val="00950B1C"/>
    <w:rsid w:val="00955F95"/>
    <w:rsid w:val="00957F8F"/>
    <w:rsid w:val="009633BE"/>
    <w:rsid w:val="0096399A"/>
    <w:rsid w:val="00964BC0"/>
    <w:rsid w:val="00966432"/>
    <w:rsid w:val="00966C7E"/>
    <w:rsid w:val="00970886"/>
    <w:rsid w:val="00970DC9"/>
    <w:rsid w:val="0097134D"/>
    <w:rsid w:val="00972FC1"/>
    <w:rsid w:val="009734C9"/>
    <w:rsid w:val="0097474E"/>
    <w:rsid w:val="00974936"/>
    <w:rsid w:val="00975572"/>
    <w:rsid w:val="00975CAF"/>
    <w:rsid w:val="009772BD"/>
    <w:rsid w:val="00980103"/>
    <w:rsid w:val="00983FA6"/>
    <w:rsid w:val="00984229"/>
    <w:rsid w:val="009871E8"/>
    <w:rsid w:val="009874F2"/>
    <w:rsid w:val="00993048"/>
    <w:rsid w:val="00993534"/>
    <w:rsid w:val="00993AAD"/>
    <w:rsid w:val="0099452F"/>
    <w:rsid w:val="00995FF2"/>
    <w:rsid w:val="009960B6"/>
    <w:rsid w:val="00997994"/>
    <w:rsid w:val="009A1678"/>
    <w:rsid w:val="009A3E7A"/>
    <w:rsid w:val="009A432F"/>
    <w:rsid w:val="009A72FC"/>
    <w:rsid w:val="009B17BB"/>
    <w:rsid w:val="009B25C4"/>
    <w:rsid w:val="009B425C"/>
    <w:rsid w:val="009B5049"/>
    <w:rsid w:val="009B5480"/>
    <w:rsid w:val="009C03BC"/>
    <w:rsid w:val="009C0B40"/>
    <w:rsid w:val="009C1271"/>
    <w:rsid w:val="009C39B6"/>
    <w:rsid w:val="009C44D1"/>
    <w:rsid w:val="009C7169"/>
    <w:rsid w:val="009C7CE1"/>
    <w:rsid w:val="009D19DD"/>
    <w:rsid w:val="009D3834"/>
    <w:rsid w:val="009D38C2"/>
    <w:rsid w:val="009D4177"/>
    <w:rsid w:val="009D49E0"/>
    <w:rsid w:val="009D5162"/>
    <w:rsid w:val="009D5EF4"/>
    <w:rsid w:val="009D6A52"/>
    <w:rsid w:val="009D76B1"/>
    <w:rsid w:val="009D78DC"/>
    <w:rsid w:val="009E02EF"/>
    <w:rsid w:val="009E1665"/>
    <w:rsid w:val="009E241E"/>
    <w:rsid w:val="009E3B70"/>
    <w:rsid w:val="009E4FD9"/>
    <w:rsid w:val="009E59EE"/>
    <w:rsid w:val="009F0CC0"/>
    <w:rsid w:val="009F1379"/>
    <w:rsid w:val="009F388A"/>
    <w:rsid w:val="009F4BA2"/>
    <w:rsid w:val="009F5ED0"/>
    <w:rsid w:val="009F63E7"/>
    <w:rsid w:val="009F6550"/>
    <w:rsid w:val="00A00DC7"/>
    <w:rsid w:val="00A06F78"/>
    <w:rsid w:val="00A11F57"/>
    <w:rsid w:val="00A124A1"/>
    <w:rsid w:val="00A1301E"/>
    <w:rsid w:val="00A14850"/>
    <w:rsid w:val="00A14D19"/>
    <w:rsid w:val="00A156D3"/>
    <w:rsid w:val="00A16FBF"/>
    <w:rsid w:val="00A17B6A"/>
    <w:rsid w:val="00A2323F"/>
    <w:rsid w:val="00A23E0F"/>
    <w:rsid w:val="00A25DAE"/>
    <w:rsid w:val="00A26A35"/>
    <w:rsid w:val="00A3145E"/>
    <w:rsid w:val="00A32F7A"/>
    <w:rsid w:val="00A33F3C"/>
    <w:rsid w:val="00A342BB"/>
    <w:rsid w:val="00A35439"/>
    <w:rsid w:val="00A3558D"/>
    <w:rsid w:val="00A37489"/>
    <w:rsid w:val="00A4614B"/>
    <w:rsid w:val="00A46826"/>
    <w:rsid w:val="00A50085"/>
    <w:rsid w:val="00A5168B"/>
    <w:rsid w:val="00A53FD3"/>
    <w:rsid w:val="00A54316"/>
    <w:rsid w:val="00A57118"/>
    <w:rsid w:val="00A60B14"/>
    <w:rsid w:val="00A64267"/>
    <w:rsid w:val="00A649BA"/>
    <w:rsid w:val="00A66CBA"/>
    <w:rsid w:val="00A676B7"/>
    <w:rsid w:val="00A74316"/>
    <w:rsid w:val="00A75259"/>
    <w:rsid w:val="00A75C12"/>
    <w:rsid w:val="00A76AC2"/>
    <w:rsid w:val="00A84F32"/>
    <w:rsid w:val="00A91B0D"/>
    <w:rsid w:val="00A91FBA"/>
    <w:rsid w:val="00A922F9"/>
    <w:rsid w:val="00A926D5"/>
    <w:rsid w:val="00A93B0C"/>
    <w:rsid w:val="00A95A0A"/>
    <w:rsid w:val="00AA283A"/>
    <w:rsid w:val="00AA4471"/>
    <w:rsid w:val="00AA5C83"/>
    <w:rsid w:val="00AA5DEB"/>
    <w:rsid w:val="00AA5EA6"/>
    <w:rsid w:val="00AA7537"/>
    <w:rsid w:val="00AA7A28"/>
    <w:rsid w:val="00AB3978"/>
    <w:rsid w:val="00AB5A96"/>
    <w:rsid w:val="00AC018A"/>
    <w:rsid w:val="00AC02AE"/>
    <w:rsid w:val="00AC2188"/>
    <w:rsid w:val="00AC32B4"/>
    <w:rsid w:val="00AC339B"/>
    <w:rsid w:val="00AC3767"/>
    <w:rsid w:val="00AC4DC1"/>
    <w:rsid w:val="00AC5175"/>
    <w:rsid w:val="00AC5820"/>
    <w:rsid w:val="00AD19CD"/>
    <w:rsid w:val="00AD291C"/>
    <w:rsid w:val="00AD3C49"/>
    <w:rsid w:val="00AD5DAF"/>
    <w:rsid w:val="00AD66B3"/>
    <w:rsid w:val="00AD6993"/>
    <w:rsid w:val="00AE0987"/>
    <w:rsid w:val="00AE465C"/>
    <w:rsid w:val="00AE64C2"/>
    <w:rsid w:val="00AE6735"/>
    <w:rsid w:val="00AF332A"/>
    <w:rsid w:val="00AF4013"/>
    <w:rsid w:val="00AF45A8"/>
    <w:rsid w:val="00AF45D7"/>
    <w:rsid w:val="00AF77E2"/>
    <w:rsid w:val="00B044C3"/>
    <w:rsid w:val="00B05242"/>
    <w:rsid w:val="00B07725"/>
    <w:rsid w:val="00B139BA"/>
    <w:rsid w:val="00B14537"/>
    <w:rsid w:val="00B15238"/>
    <w:rsid w:val="00B15B72"/>
    <w:rsid w:val="00B16538"/>
    <w:rsid w:val="00B23143"/>
    <w:rsid w:val="00B260B7"/>
    <w:rsid w:val="00B26103"/>
    <w:rsid w:val="00B26AA7"/>
    <w:rsid w:val="00B3214C"/>
    <w:rsid w:val="00B33EA3"/>
    <w:rsid w:val="00B34ECE"/>
    <w:rsid w:val="00B3519E"/>
    <w:rsid w:val="00B37C79"/>
    <w:rsid w:val="00B41174"/>
    <w:rsid w:val="00B41AE4"/>
    <w:rsid w:val="00B4201B"/>
    <w:rsid w:val="00B44509"/>
    <w:rsid w:val="00B461BE"/>
    <w:rsid w:val="00B46348"/>
    <w:rsid w:val="00B468BD"/>
    <w:rsid w:val="00B50597"/>
    <w:rsid w:val="00B50CF7"/>
    <w:rsid w:val="00B51501"/>
    <w:rsid w:val="00B51B6D"/>
    <w:rsid w:val="00B53757"/>
    <w:rsid w:val="00B54217"/>
    <w:rsid w:val="00B55BA9"/>
    <w:rsid w:val="00B56F34"/>
    <w:rsid w:val="00B615D2"/>
    <w:rsid w:val="00B62385"/>
    <w:rsid w:val="00B6409B"/>
    <w:rsid w:val="00B6466E"/>
    <w:rsid w:val="00B65C52"/>
    <w:rsid w:val="00B65ED6"/>
    <w:rsid w:val="00B7185A"/>
    <w:rsid w:val="00B73C2C"/>
    <w:rsid w:val="00B73C9D"/>
    <w:rsid w:val="00B73F46"/>
    <w:rsid w:val="00B74340"/>
    <w:rsid w:val="00B77501"/>
    <w:rsid w:val="00B8032D"/>
    <w:rsid w:val="00B8434E"/>
    <w:rsid w:val="00B850C5"/>
    <w:rsid w:val="00B87599"/>
    <w:rsid w:val="00B87E65"/>
    <w:rsid w:val="00B87F1F"/>
    <w:rsid w:val="00B92C3E"/>
    <w:rsid w:val="00B93248"/>
    <w:rsid w:val="00B97E21"/>
    <w:rsid w:val="00BA026E"/>
    <w:rsid w:val="00BA029C"/>
    <w:rsid w:val="00BA0753"/>
    <w:rsid w:val="00BA0F22"/>
    <w:rsid w:val="00BA1B33"/>
    <w:rsid w:val="00BA52F3"/>
    <w:rsid w:val="00BB01D1"/>
    <w:rsid w:val="00BB6EB6"/>
    <w:rsid w:val="00BC0E50"/>
    <w:rsid w:val="00BC1326"/>
    <w:rsid w:val="00BC4B83"/>
    <w:rsid w:val="00BC5AD9"/>
    <w:rsid w:val="00BC711A"/>
    <w:rsid w:val="00BD0841"/>
    <w:rsid w:val="00BD4B3C"/>
    <w:rsid w:val="00BD57F0"/>
    <w:rsid w:val="00BD5F7C"/>
    <w:rsid w:val="00BD7226"/>
    <w:rsid w:val="00BE10FA"/>
    <w:rsid w:val="00BE13E5"/>
    <w:rsid w:val="00BE1A23"/>
    <w:rsid w:val="00BE1EAF"/>
    <w:rsid w:val="00BE6B8C"/>
    <w:rsid w:val="00BF2686"/>
    <w:rsid w:val="00BF29FD"/>
    <w:rsid w:val="00BF53C6"/>
    <w:rsid w:val="00BF57A1"/>
    <w:rsid w:val="00C041CF"/>
    <w:rsid w:val="00C043F8"/>
    <w:rsid w:val="00C05144"/>
    <w:rsid w:val="00C05D6C"/>
    <w:rsid w:val="00C07255"/>
    <w:rsid w:val="00C10107"/>
    <w:rsid w:val="00C11154"/>
    <w:rsid w:val="00C1213B"/>
    <w:rsid w:val="00C151D0"/>
    <w:rsid w:val="00C2131A"/>
    <w:rsid w:val="00C21B44"/>
    <w:rsid w:val="00C25B3D"/>
    <w:rsid w:val="00C33087"/>
    <w:rsid w:val="00C35225"/>
    <w:rsid w:val="00C3659C"/>
    <w:rsid w:val="00C3738E"/>
    <w:rsid w:val="00C42263"/>
    <w:rsid w:val="00C42FD2"/>
    <w:rsid w:val="00C433AA"/>
    <w:rsid w:val="00C43531"/>
    <w:rsid w:val="00C436D5"/>
    <w:rsid w:val="00C476BF"/>
    <w:rsid w:val="00C52C2E"/>
    <w:rsid w:val="00C55903"/>
    <w:rsid w:val="00C56420"/>
    <w:rsid w:val="00C60324"/>
    <w:rsid w:val="00C60573"/>
    <w:rsid w:val="00C606F1"/>
    <w:rsid w:val="00C61A9E"/>
    <w:rsid w:val="00C628AC"/>
    <w:rsid w:val="00C64E73"/>
    <w:rsid w:val="00C65467"/>
    <w:rsid w:val="00C74520"/>
    <w:rsid w:val="00C75A08"/>
    <w:rsid w:val="00C75E5A"/>
    <w:rsid w:val="00C775DB"/>
    <w:rsid w:val="00C80BA2"/>
    <w:rsid w:val="00C82B26"/>
    <w:rsid w:val="00C83100"/>
    <w:rsid w:val="00C84B69"/>
    <w:rsid w:val="00C84D2E"/>
    <w:rsid w:val="00C84E9A"/>
    <w:rsid w:val="00C85CB5"/>
    <w:rsid w:val="00C86BC0"/>
    <w:rsid w:val="00C90B0B"/>
    <w:rsid w:val="00C90EC8"/>
    <w:rsid w:val="00C91C52"/>
    <w:rsid w:val="00C935A0"/>
    <w:rsid w:val="00C939CD"/>
    <w:rsid w:val="00C94213"/>
    <w:rsid w:val="00C96AE0"/>
    <w:rsid w:val="00CA1442"/>
    <w:rsid w:val="00CA341E"/>
    <w:rsid w:val="00CA42B5"/>
    <w:rsid w:val="00CA6599"/>
    <w:rsid w:val="00CA713F"/>
    <w:rsid w:val="00CA7177"/>
    <w:rsid w:val="00CB1A46"/>
    <w:rsid w:val="00CB2E68"/>
    <w:rsid w:val="00CB4643"/>
    <w:rsid w:val="00CB5F23"/>
    <w:rsid w:val="00CB65B5"/>
    <w:rsid w:val="00CC33B8"/>
    <w:rsid w:val="00CC39F7"/>
    <w:rsid w:val="00CC6FA3"/>
    <w:rsid w:val="00CD2E23"/>
    <w:rsid w:val="00CD431E"/>
    <w:rsid w:val="00CD7F6C"/>
    <w:rsid w:val="00CE0D6F"/>
    <w:rsid w:val="00CE4914"/>
    <w:rsid w:val="00CE532E"/>
    <w:rsid w:val="00CE6793"/>
    <w:rsid w:val="00CE7191"/>
    <w:rsid w:val="00CF08D1"/>
    <w:rsid w:val="00CF11FA"/>
    <w:rsid w:val="00CF51D6"/>
    <w:rsid w:val="00CF552D"/>
    <w:rsid w:val="00CF652A"/>
    <w:rsid w:val="00D01E02"/>
    <w:rsid w:val="00D0249E"/>
    <w:rsid w:val="00D02909"/>
    <w:rsid w:val="00D02F0E"/>
    <w:rsid w:val="00D03927"/>
    <w:rsid w:val="00D06285"/>
    <w:rsid w:val="00D0759F"/>
    <w:rsid w:val="00D10F9C"/>
    <w:rsid w:val="00D22FAA"/>
    <w:rsid w:val="00D242E1"/>
    <w:rsid w:val="00D2437F"/>
    <w:rsid w:val="00D2546A"/>
    <w:rsid w:val="00D2554F"/>
    <w:rsid w:val="00D30EEA"/>
    <w:rsid w:val="00D32BE1"/>
    <w:rsid w:val="00D3503C"/>
    <w:rsid w:val="00D37078"/>
    <w:rsid w:val="00D37D32"/>
    <w:rsid w:val="00D41A04"/>
    <w:rsid w:val="00D41AAC"/>
    <w:rsid w:val="00D4569D"/>
    <w:rsid w:val="00D45DA3"/>
    <w:rsid w:val="00D462F3"/>
    <w:rsid w:val="00D47D96"/>
    <w:rsid w:val="00D52758"/>
    <w:rsid w:val="00D529BE"/>
    <w:rsid w:val="00D535ED"/>
    <w:rsid w:val="00D53F85"/>
    <w:rsid w:val="00D55E7E"/>
    <w:rsid w:val="00D61802"/>
    <w:rsid w:val="00D67603"/>
    <w:rsid w:val="00D7143A"/>
    <w:rsid w:val="00D72BA9"/>
    <w:rsid w:val="00D7327A"/>
    <w:rsid w:val="00D73EB8"/>
    <w:rsid w:val="00D764E5"/>
    <w:rsid w:val="00D7782D"/>
    <w:rsid w:val="00D80882"/>
    <w:rsid w:val="00D82193"/>
    <w:rsid w:val="00D85925"/>
    <w:rsid w:val="00D86258"/>
    <w:rsid w:val="00D86E16"/>
    <w:rsid w:val="00D87C5A"/>
    <w:rsid w:val="00D93364"/>
    <w:rsid w:val="00D93593"/>
    <w:rsid w:val="00D94237"/>
    <w:rsid w:val="00D964F7"/>
    <w:rsid w:val="00DA0E14"/>
    <w:rsid w:val="00DA335A"/>
    <w:rsid w:val="00DA3EAE"/>
    <w:rsid w:val="00DA6EA0"/>
    <w:rsid w:val="00DB0853"/>
    <w:rsid w:val="00DB1678"/>
    <w:rsid w:val="00DB1E67"/>
    <w:rsid w:val="00DB26F8"/>
    <w:rsid w:val="00DB2EE5"/>
    <w:rsid w:val="00DB60B9"/>
    <w:rsid w:val="00DB7067"/>
    <w:rsid w:val="00DC09D0"/>
    <w:rsid w:val="00DC09DC"/>
    <w:rsid w:val="00DC3671"/>
    <w:rsid w:val="00DC588A"/>
    <w:rsid w:val="00DD0237"/>
    <w:rsid w:val="00DD14A6"/>
    <w:rsid w:val="00DD2559"/>
    <w:rsid w:val="00DD304D"/>
    <w:rsid w:val="00DD3AD6"/>
    <w:rsid w:val="00DD4C66"/>
    <w:rsid w:val="00DE040C"/>
    <w:rsid w:val="00DE06BC"/>
    <w:rsid w:val="00DE55CB"/>
    <w:rsid w:val="00DE5884"/>
    <w:rsid w:val="00DF0AED"/>
    <w:rsid w:val="00DF0E26"/>
    <w:rsid w:val="00DF6857"/>
    <w:rsid w:val="00DF6C0F"/>
    <w:rsid w:val="00E005BC"/>
    <w:rsid w:val="00E02225"/>
    <w:rsid w:val="00E02CC4"/>
    <w:rsid w:val="00E04783"/>
    <w:rsid w:val="00E05803"/>
    <w:rsid w:val="00E068C6"/>
    <w:rsid w:val="00E077B4"/>
    <w:rsid w:val="00E1317E"/>
    <w:rsid w:val="00E139B3"/>
    <w:rsid w:val="00E1541E"/>
    <w:rsid w:val="00E1554B"/>
    <w:rsid w:val="00E15DA9"/>
    <w:rsid w:val="00E169DE"/>
    <w:rsid w:val="00E20797"/>
    <w:rsid w:val="00E214E0"/>
    <w:rsid w:val="00E21666"/>
    <w:rsid w:val="00E2585D"/>
    <w:rsid w:val="00E25A50"/>
    <w:rsid w:val="00E27988"/>
    <w:rsid w:val="00E33945"/>
    <w:rsid w:val="00E3470F"/>
    <w:rsid w:val="00E35260"/>
    <w:rsid w:val="00E35551"/>
    <w:rsid w:val="00E37B3E"/>
    <w:rsid w:val="00E40FC3"/>
    <w:rsid w:val="00E41A5A"/>
    <w:rsid w:val="00E41CBC"/>
    <w:rsid w:val="00E42046"/>
    <w:rsid w:val="00E42FB9"/>
    <w:rsid w:val="00E47DAB"/>
    <w:rsid w:val="00E47DC7"/>
    <w:rsid w:val="00E5022B"/>
    <w:rsid w:val="00E532FA"/>
    <w:rsid w:val="00E53987"/>
    <w:rsid w:val="00E55954"/>
    <w:rsid w:val="00E60E6F"/>
    <w:rsid w:val="00E61DB1"/>
    <w:rsid w:val="00E63251"/>
    <w:rsid w:val="00E64B00"/>
    <w:rsid w:val="00E66032"/>
    <w:rsid w:val="00E70842"/>
    <w:rsid w:val="00E70BFB"/>
    <w:rsid w:val="00E70E7B"/>
    <w:rsid w:val="00E7116A"/>
    <w:rsid w:val="00E73F9E"/>
    <w:rsid w:val="00E76425"/>
    <w:rsid w:val="00E77579"/>
    <w:rsid w:val="00E834F7"/>
    <w:rsid w:val="00E83807"/>
    <w:rsid w:val="00E879CF"/>
    <w:rsid w:val="00E87D7E"/>
    <w:rsid w:val="00E87F32"/>
    <w:rsid w:val="00E903BC"/>
    <w:rsid w:val="00E9147F"/>
    <w:rsid w:val="00E95013"/>
    <w:rsid w:val="00E96B36"/>
    <w:rsid w:val="00E97E7C"/>
    <w:rsid w:val="00EA02B0"/>
    <w:rsid w:val="00EB098E"/>
    <w:rsid w:val="00EB2B21"/>
    <w:rsid w:val="00EC1045"/>
    <w:rsid w:val="00EC1ABB"/>
    <w:rsid w:val="00EC1B71"/>
    <w:rsid w:val="00EC1E6C"/>
    <w:rsid w:val="00EC2062"/>
    <w:rsid w:val="00EC2FE1"/>
    <w:rsid w:val="00EC3CA9"/>
    <w:rsid w:val="00EC47FA"/>
    <w:rsid w:val="00EC4985"/>
    <w:rsid w:val="00EC51D1"/>
    <w:rsid w:val="00EC5CF3"/>
    <w:rsid w:val="00EC61BA"/>
    <w:rsid w:val="00ED0523"/>
    <w:rsid w:val="00ED1376"/>
    <w:rsid w:val="00ED1406"/>
    <w:rsid w:val="00ED394F"/>
    <w:rsid w:val="00ED4B72"/>
    <w:rsid w:val="00ED4DBE"/>
    <w:rsid w:val="00ED6865"/>
    <w:rsid w:val="00ED7CD0"/>
    <w:rsid w:val="00EE252E"/>
    <w:rsid w:val="00EE27B5"/>
    <w:rsid w:val="00EE2A9A"/>
    <w:rsid w:val="00EE32F9"/>
    <w:rsid w:val="00EE4CB7"/>
    <w:rsid w:val="00EE4FF6"/>
    <w:rsid w:val="00EE564D"/>
    <w:rsid w:val="00EE5DB7"/>
    <w:rsid w:val="00EE7C49"/>
    <w:rsid w:val="00EE7EDF"/>
    <w:rsid w:val="00EF0633"/>
    <w:rsid w:val="00EF0C48"/>
    <w:rsid w:val="00EF313F"/>
    <w:rsid w:val="00EF42FA"/>
    <w:rsid w:val="00EF4AAA"/>
    <w:rsid w:val="00EF586A"/>
    <w:rsid w:val="00EF6335"/>
    <w:rsid w:val="00EF6D85"/>
    <w:rsid w:val="00F00A89"/>
    <w:rsid w:val="00F02563"/>
    <w:rsid w:val="00F02A3C"/>
    <w:rsid w:val="00F066E2"/>
    <w:rsid w:val="00F06AF4"/>
    <w:rsid w:val="00F11E1A"/>
    <w:rsid w:val="00F13DFB"/>
    <w:rsid w:val="00F15FC2"/>
    <w:rsid w:val="00F22765"/>
    <w:rsid w:val="00F242A8"/>
    <w:rsid w:val="00F24BAE"/>
    <w:rsid w:val="00F3385C"/>
    <w:rsid w:val="00F347A9"/>
    <w:rsid w:val="00F34C1C"/>
    <w:rsid w:val="00F370F3"/>
    <w:rsid w:val="00F376B7"/>
    <w:rsid w:val="00F413DD"/>
    <w:rsid w:val="00F42145"/>
    <w:rsid w:val="00F44AD5"/>
    <w:rsid w:val="00F45296"/>
    <w:rsid w:val="00F45AC0"/>
    <w:rsid w:val="00F4673A"/>
    <w:rsid w:val="00F46A2F"/>
    <w:rsid w:val="00F46EAF"/>
    <w:rsid w:val="00F504E8"/>
    <w:rsid w:val="00F50C87"/>
    <w:rsid w:val="00F51E1A"/>
    <w:rsid w:val="00F52504"/>
    <w:rsid w:val="00F52908"/>
    <w:rsid w:val="00F5740C"/>
    <w:rsid w:val="00F60640"/>
    <w:rsid w:val="00F64569"/>
    <w:rsid w:val="00F65AE2"/>
    <w:rsid w:val="00F6608C"/>
    <w:rsid w:val="00F67D37"/>
    <w:rsid w:val="00F71F2C"/>
    <w:rsid w:val="00F7333B"/>
    <w:rsid w:val="00F73C0B"/>
    <w:rsid w:val="00F770EC"/>
    <w:rsid w:val="00F82B64"/>
    <w:rsid w:val="00F82BD1"/>
    <w:rsid w:val="00F841E6"/>
    <w:rsid w:val="00F845EC"/>
    <w:rsid w:val="00F845F3"/>
    <w:rsid w:val="00F848BE"/>
    <w:rsid w:val="00F85FB7"/>
    <w:rsid w:val="00F86073"/>
    <w:rsid w:val="00F90D51"/>
    <w:rsid w:val="00F91BBB"/>
    <w:rsid w:val="00F91EBB"/>
    <w:rsid w:val="00F94426"/>
    <w:rsid w:val="00F94623"/>
    <w:rsid w:val="00FA072C"/>
    <w:rsid w:val="00FA1BFD"/>
    <w:rsid w:val="00FA2202"/>
    <w:rsid w:val="00FA44D5"/>
    <w:rsid w:val="00FA4F7C"/>
    <w:rsid w:val="00FA672A"/>
    <w:rsid w:val="00FA6E44"/>
    <w:rsid w:val="00FB01C4"/>
    <w:rsid w:val="00FB036F"/>
    <w:rsid w:val="00FB0E88"/>
    <w:rsid w:val="00FB1BCF"/>
    <w:rsid w:val="00FB3005"/>
    <w:rsid w:val="00FB68BD"/>
    <w:rsid w:val="00FB6D79"/>
    <w:rsid w:val="00FB72E5"/>
    <w:rsid w:val="00FC01EB"/>
    <w:rsid w:val="00FC047E"/>
    <w:rsid w:val="00FC1D39"/>
    <w:rsid w:val="00FC460A"/>
    <w:rsid w:val="00FC4E20"/>
    <w:rsid w:val="00FC5094"/>
    <w:rsid w:val="00FD1021"/>
    <w:rsid w:val="00FD1E04"/>
    <w:rsid w:val="00FD375F"/>
    <w:rsid w:val="00FD40E9"/>
    <w:rsid w:val="00FD43B9"/>
    <w:rsid w:val="00FD4C6B"/>
    <w:rsid w:val="00FD4D48"/>
    <w:rsid w:val="00FD4F17"/>
    <w:rsid w:val="00FD75A3"/>
    <w:rsid w:val="00FE09D2"/>
    <w:rsid w:val="00FE18D7"/>
    <w:rsid w:val="00FE1ADD"/>
    <w:rsid w:val="00FE28CA"/>
    <w:rsid w:val="00FE3700"/>
    <w:rsid w:val="00FE3AC6"/>
    <w:rsid w:val="00FE6898"/>
    <w:rsid w:val="00FF03E2"/>
    <w:rsid w:val="00FF17E8"/>
    <w:rsid w:val="00FF2151"/>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CB96BEB"/>
  <w15:docId w15:val="{F2335DD0-73A3-4E2D-BA63-1D7C020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1">
    <w:name w:val="Char1"/>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2,Akapit z listą BS,H&amp;P List Paragraph,Strip"/>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link w:val="NoSpacingChar"/>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uiPriority w:val="99"/>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aliases w:val="2 Char,Akapit z listą BS Char,H&amp;P List Paragraph Char,Strip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basedOn w:val="DefaultParagraphFont"/>
    <w:link w:val="NoSpacing"/>
    <w:uiPriority w:val="1"/>
    <w:rsid w:val="00E60E6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C2197"/>
    <w:rPr>
      <w:color w:val="954F72" w:themeColor="followedHyperlink"/>
      <w:u w:val="single"/>
    </w:rPr>
  </w:style>
  <w:style w:type="paragraph" w:styleId="CommentText">
    <w:name w:val="annotation text"/>
    <w:basedOn w:val="Normal"/>
    <w:link w:val="CommentTextChar"/>
    <w:uiPriority w:val="99"/>
    <w:semiHidden/>
    <w:unhideWhenUsed/>
    <w:rsid w:val="00600C8E"/>
    <w:rPr>
      <w:sz w:val="20"/>
      <w:szCs w:val="20"/>
    </w:rPr>
  </w:style>
  <w:style w:type="character" w:customStyle="1" w:styleId="CommentTextChar">
    <w:name w:val="Comment Text Char"/>
    <w:basedOn w:val="DefaultParagraphFont"/>
    <w:link w:val="CommentText"/>
    <w:uiPriority w:val="99"/>
    <w:semiHidden/>
    <w:rsid w:val="00600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0C8E"/>
    <w:rPr>
      <w:b/>
      <w:bCs/>
    </w:rPr>
  </w:style>
  <w:style w:type="character" w:customStyle="1" w:styleId="CommentSubjectChar">
    <w:name w:val="Comment Subject Char"/>
    <w:basedOn w:val="CommentTextChar"/>
    <w:link w:val="CommentSubject"/>
    <w:uiPriority w:val="99"/>
    <w:semiHidden/>
    <w:rsid w:val="00600C8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49">
      <w:bodyDiv w:val="1"/>
      <w:marLeft w:val="0"/>
      <w:marRight w:val="0"/>
      <w:marTop w:val="0"/>
      <w:marBottom w:val="0"/>
      <w:divBdr>
        <w:top w:val="none" w:sz="0" w:space="0" w:color="auto"/>
        <w:left w:val="none" w:sz="0" w:space="0" w:color="auto"/>
        <w:bottom w:val="none" w:sz="0" w:space="0" w:color="auto"/>
        <w:right w:val="none" w:sz="0" w:space="0" w:color="auto"/>
      </w:divBdr>
    </w:div>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14">
          <w:marLeft w:val="0"/>
          <w:marRight w:val="0"/>
          <w:marTop w:val="0"/>
          <w:marBottom w:val="0"/>
          <w:divBdr>
            <w:top w:val="none" w:sz="0" w:space="0" w:color="auto"/>
            <w:left w:val="none" w:sz="0" w:space="0" w:color="auto"/>
            <w:bottom w:val="none" w:sz="0" w:space="0" w:color="auto"/>
            <w:right w:val="none" w:sz="0" w:space="0" w:color="auto"/>
          </w:divBdr>
        </w:div>
        <w:div w:id="1890529652">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949774138">
          <w:marLeft w:val="0"/>
          <w:marRight w:val="0"/>
          <w:marTop w:val="0"/>
          <w:marBottom w:val="0"/>
          <w:divBdr>
            <w:top w:val="none" w:sz="0" w:space="0" w:color="auto"/>
            <w:left w:val="none" w:sz="0" w:space="0" w:color="auto"/>
            <w:bottom w:val="none" w:sz="0" w:space="0" w:color="auto"/>
            <w:right w:val="none" w:sz="0" w:space="0" w:color="auto"/>
          </w:divBdr>
        </w:div>
        <w:div w:id="1941596909">
          <w:marLeft w:val="0"/>
          <w:marRight w:val="0"/>
          <w:marTop w:val="0"/>
          <w:marBottom w:val="0"/>
          <w:divBdr>
            <w:top w:val="none" w:sz="0" w:space="0" w:color="auto"/>
            <w:left w:val="none" w:sz="0" w:space="0" w:color="auto"/>
            <w:bottom w:val="none" w:sz="0" w:space="0" w:color="auto"/>
            <w:right w:val="none" w:sz="0" w:space="0" w:color="auto"/>
          </w:divBdr>
        </w:div>
      </w:divsChild>
    </w:div>
    <w:div w:id="1091899968">
      <w:bodyDiv w:val="1"/>
      <w:marLeft w:val="0"/>
      <w:marRight w:val="0"/>
      <w:marTop w:val="0"/>
      <w:marBottom w:val="0"/>
      <w:divBdr>
        <w:top w:val="none" w:sz="0" w:space="0" w:color="auto"/>
        <w:left w:val="none" w:sz="0" w:space="0" w:color="auto"/>
        <w:bottom w:val="none" w:sz="0" w:space="0" w:color="auto"/>
        <w:right w:val="none" w:sz="0" w:space="0" w:color="auto"/>
      </w:divBdr>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 w:id="1360550205">
      <w:bodyDiv w:val="1"/>
      <w:marLeft w:val="0"/>
      <w:marRight w:val="0"/>
      <w:marTop w:val="0"/>
      <w:marBottom w:val="0"/>
      <w:divBdr>
        <w:top w:val="none" w:sz="0" w:space="0" w:color="auto"/>
        <w:left w:val="none" w:sz="0" w:space="0" w:color="auto"/>
        <w:bottom w:val="none" w:sz="0" w:space="0" w:color="auto"/>
        <w:right w:val="none" w:sz="0" w:space="0" w:color="auto"/>
      </w:divBdr>
    </w:div>
    <w:div w:id="1643727416">
      <w:bodyDiv w:val="1"/>
      <w:marLeft w:val="0"/>
      <w:marRight w:val="0"/>
      <w:marTop w:val="0"/>
      <w:marBottom w:val="0"/>
      <w:divBdr>
        <w:top w:val="none" w:sz="0" w:space="0" w:color="auto"/>
        <w:left w:val="none" w:sz="0" w:space="0" w:color="auto"/>
        <w:bottom w:val="none" w:sz="0" w:space="0" w:color="auto"/>
        <w:right w:val="none" w:sz="0" w:space="0" w:color="auto"/>
      </w:divBdr>
    </w:div>
    <w:div w:id="20300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e_parv/Epakalp/?doc=126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E7E4-F3B8-4046-A378-261065B0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108</Pages>
  <Words>102633</Words>
  <Characters>58502</Characters>
  <Application>Microsoft Office Word</Application>
  <DocSecurity>0</DocSecurity>
  <Lines>487</Lines>
  <Paragraphs>321</Paragraphs>
  <ScaleCrop>false</ScaleCrop>
  <HeadingPairs>
    <vt:vector size="2" baseType="variant">
      <vt:variant>
        <vt:lpstr>Title</vt:lpstr>
      </vt:variant>
      <vt:variant>
        <vt:i4>1</vt:i4>
      </vt:variant>
    </vt:vector>
  </HeadingPairs>
  <TitlesOfParts>
    <vt:vector size="1" baseType="lpstr">
      <vt:lpstr>IEMIzz_280211_Turk; Izziņa par atzinumos sniegtajiem iebildumiem par likumprojektu „Par Latvijas Republikas valdības un Turkmenistānas valdības līgumu par sadarbību cīņā pret terorismu, organizēto noziedzību un nelegālu narkotisko vielu, psihotropo vielu</vt:lpstr>
    </vt:vector>
  </TitlesOfParts>
  <Company>IEM</Company>
  <LinksUpToDate>false</LinksUpToDate>
  <CharactersWithSpaces>160814</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IEMIzz_280211_Turk; Izziņa par atzinumos sniegtajiem iebildumiem par likumprojektu „Par Latvijas Republikas valdības un Turkmenistānas valdības līgumu par sadarbību cīņā pret terorismu, organizēto noziedzību un nelegālu narkotisko vielu, psihotropo vielu</dc:title>
  <dc:subject>Izziņa</dc:subject>
  <dc:creator>Karina Stoļarova</dc:creator>
  <cp:keywords/>
  <dc:description/>
  <cp:lastModifiedBy>Diāna Laipniece</cp:lastModifiedBy>
  <cp:revision>9</cp:revision>
  <cp:lastPrinted>2017-12-07T07:43:00Z</cp:lastPrinted>
  <dcterms:created xsi:type="dcterms:W3CDTF">2019-07-08T07:02:00Z</dcterms:created>
  <dcterms:modified xsi:type="dcterms:W3CDTF">2019-07-10T13:56:00Z</dcterms:modified>
</cp:coreProperties>
</file>