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88" w:rsidRPr="009C56B9" w:rsidRDefault="00256663" w:rsidP="009C56B9">
      <w:pPr>
        <w:jc w:val="right"/>
        <w:rPr>
          <w:i/>
          <w:sz w:val="24"/>
          <w:szCs w:val="24"/>
          <w:lang w:val="lv-LV"/>
        </w:rPr>
      </w:pPr>
      <w:r w:rsidRPr="009C56B9">
        <w:rPr>
          <w:i/>
          <w:sz w:val="24"/>
          <w:szCs w:val="24"/>
          <w:lang w:val="lv-LV"/>
        </w:rPr>
        <w:t>Projekts</w:t>
      </w:r>
    </w:p>
    <w:p w:rsidR="00BA5888" w:rsidRPr="009C56B9" w:rsidRDefault="00BA5888" w:rsidP="006266FB">
      <w:pPr>
        <w:jc w:val="center"/>
        <w:rPr>
          <w:b/>
          <w:bCs/>
          <w:sz w:val="24"/>
          <w:szCs w:val="24"/>
          <w:lang w:val="lv-LV"/>
        </w:rPr>
      </w:pPr>
    </w:p>
    <w:p w:rsidR="00BA5888" w:rsidRPr="009C56B9" w:rsidRDefault="003E198B" w:rsidP="009C56B9">
      <w:pPr>
        <w:jc w:val="center"/>
        <w:rPr>
          <w:sz w:val="24"/>
          <w:szCs w:val="24"/>
          <w:lang w:val="lv-LV"/>
        </w:rPr>
      </w:pPr>
      <w:proofErr w:type="gramStart"/>
      <w:r w:rsidRPr="009C56B9">
        <w:rPr>
          <w:b/>
          <w:bCs/>
          <w:sz w:val="24"/>
          <w:szCs w:val="24"/>
          <w:lang w:val="lv-LV"/>
        </w:rPr>
        <w:t xml:space="preserve">LATVIJAS REPUBLIKAS </w:t>
      </w:r>
      <w:r w:rsidR="00DF3FEB" w:rsidRPr="009C56B9">
        <w:rPr>
          <w:b/>
          <w:bCs/>
          <w:sz w:val="24"/>
          <w:szCs w:val="24"/>
          <w:lang w:val="lv-LV"/>
        </w:rPr>
        <w:t>MINISTRU KABINETS</w:t>
      </w:r>
      <w:proofErr w:type="gramEnd"/>
    </w:p>
    <w:p w:rsidR="00BA5888" w:rsidRPr="009C56B9" w:rsidRDefault="00BA5888" w:rsidP="004A48FF">
      <w:pPr>
        <w:widowControl/>
        <w:jc w:val="both"/>
        <w:rPr>
          <w:color w:val="000000"/>
          <w:sz w:val="24"/>
          <w:szCs w:val="24"/>
          <w:lang w:val="lv-LV" w:eastAsia="lv-LV"/>
        </w:rPr>
      </w:pPr>
    </w:p>
    <w:p w:rsidR="00BA5888" w:rsidRPr="009C56B9" w:rsidRDefault="00BA5888" w:rsidP="00BA5888">
      <w:pPr>
        <w:spacing w:before="120"/>
        <w:rPr>
          <w:sz w:val="24"/>
          <w:szCs w:val="24"/>
          <w:lang w:val="lv-LV"/>
        </w:rPr>
      </w:pPr>
      <w:r w:rsidRPr="009C56B9">
        <w:rPr>
          <w:sz w:val="24"/>
          <w:szCs w:val="24"/>
        </w:rPr>
        <w:t>2019</w:t>
      </w:r>
      <w:proofErr w:type="gramStart"/>
      <w:r w:rsidRPr="009C56B9">
        <w:rPr>
          <w:sz w:val="24"/>
          <w:szCs w:val="24"/>
          <w:lang w:val="lv-LV"/>
        </w:rPr>
        <w:t>.gada</w:t>
      </w:r>
      <w:proofErr w:type="gramEnd"/>
      <w:r w:rsidRPr="009C56B9">
        <w:rPr>
          <w:sz w:val="24"/>
          <w:szCs w:val="24"/>
          <w:lang w:val="lv-LV"/>
        </w:rPr>
        <w:t xml:space="preserve"> </w:t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  <w:t xml:space="preserve">    Rīkojums Nr.</w:t>
      </w:r>
    </w:p>
    <w:p w:rsidR="00BA5888" w:rsidRPr="009C56B9" w:rsidRDefault="00BA5888" w:rsidP="00BA5888">
      <w:pPr>
        <w:spacing w:before="120"/>
        <w:rPr>
          <w:sz w:val="24"/>
          <w:szCs w:val="24"/>
          <w:lang w:val="lv-LV"/>
        </w:rPr>
      </w:pPr>
      <w:r w:rsidRPr="009C56B9">
        <w:rPr>
          <w:sz w:val="24"/>
          <w:szCs w:val="24"/>
          <w:lang w:val="lv-LV"/>
        </w:rPr>
        <w:t>Rīgā</w:t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r w:rsidRPr="009C56B9">
        <w:rPr>
          <w:sz w:val="24"/>
          <w:szCs w:val="24"/>
          <w:lang w:val="lv-LV"/>
        </w:rPr>
        <w:tab/>
      </w:r>
      <w:proofErr w:type="gramStart"/>
      <w:r w:rsidRPr="009C56B9">
        <w:rPr>
          <w:sz w:val="24"/>
          <w:szCs w:val="24"/>
          <w:lang w:val="lv-LV"/>
        </w:rPr>
        <w:t xml:space="preserve">         </w:t>
      </w:r>
      <w:proofErr w:type="gramEnd"/>
      <w:r w:rsidRPr="009C56B9">
        <w:rPr>
          <w:sz w:val="24"/>
          <w:szCs w:val="24"/>
          <w:lang w:val="lv-LV"/>
        </w:rPr>
        <w:t>(prot. Nr.        .§)</w:t>
      </w:r>
    </w:p>
    <w:p w:rsidR="00BA5888" w:rsidRPr="009C56B9" w:rsidRDefault="00BA5888" w:rsidP="009C56B9">
      <w:pPr>
        <w:rPr>
          <w:b/>
          <w:sz w:val="24"/>
          <w:szCs w:val="24"/>
          <w:lang w:val="lv-LV"/>
        </w:rPr>
      </w:pPr>
    </w:p>
    <w:p w:rsidR="009410BA" w:rsidRPr="009C56B9" w:rsidRDefault="00F71B2C" w:rsidP="009410BA">
      <w:pPr>
        <w:jc w:val="center"/>
        <w:rPr>
          <w:rFonts w:eastAsia="Calibri"/>
          <w:b/>
          <w:sz w:val="24"/>
          <w:szCs w:val="24"/>
          <w:lang w:val="lv-LV"/>
        </w:rPr>
      </w:pPr>
      <w:r w:rsidRPr="009C56B9">
        <w:rPr>
          <w:b/>
          <w:sz w:val="24"/>
          <w:szCs w:val="24"/>
          <w:lang w:val="lv-LV"/>
        </w:rPr>
        <w:t xml:space="preserve">Par </w:t>
      </w:r>
      <w:r w:rsidR="00560610" w:rsidRPr="009C56B9">
        <w:rPr>
          <w:b/>
          <w:sz w:val="24"/>
          <w:szCs w:val="24"/>
          <w:lang w:val="lv-LV"/>
        </w:rPr>
        <w:t xml:space="preserve">Narkotiku lietošanas un izplatības ierobežošanas plānu </w:t>
      </w:r>
      <w:proofErr w:type="gramStart"/>
      <w:r w:rsidR="00560610" w:rsidRPr="009C56B9">
        <w:rPr>
          <w:b/>
          <w:sz w:val="24"/>
          <w:szCs w:val="24"/>
          <w:lang w:val="lv-LV"/>
        </w:rPr>
        <w:t>2019. – 2020.</w:t>
      </w:r>
      <w:proofErr w:type="gramEnd"/>
      <w:r w:rsidR="00560610" w:rsidRPr="009C56B9">
        <w:rPr>
          <w:b/>
          <w:sz w:val="24"/>
          <w:szCs w:val="24"/>
          <w:lang w:val="lv-LV"/>
        </w:rPr>
        <w:t xml:space="preserve"> gadam</w:t>
      </w:r>
    </w:p>
    <w:p w:rsidR="00256663" w:rsidRPr="009C56B9" w:rsidRDefault="00256663" w:rsidP="006266FB">
      <w:pPr>
        <w:jc w:val="center"/>
        <w:rPr>
          <w:b/>
          <w:sz w:val="24"/>
          <w:szCs w:val="24"/>
          <w:lang w:val="lv-LV"/>
        </w:rPr>
      </w:pPr>
      <w:r w:rsidRPr="009C56B9">
        <w:rPr>
          <w:b/>
          <w:sz w:val="24"/>
          <w:szCs w:val="24"/>
          <w:lang w:val="lv-LV"/>
        </w:rPr>
        <w:t>________________________________________________________________</w:t>
      </w:r>
    </w:p>
    <w:p w:rsidR="00256663" w:rsidRPr="009C56B9" w:rsidRDefault="00256663" w:rsidP="006266FB">
      <w:pPr>
        <w:jc w:val="center"/>
        <w:rPr>
          <w:sz w:val="24"/>
          <w:szCs w:val="24"/>
          <w:lang w:val="lv-LV"/>
        </w:rPr>
      </w:pPr>
    </w:p>
    <w:p w:rsidR="00F71B2C" w:rsidRPr="009C56B9" w:rsidRDefault="00F71B2C" w:rsidP="00E1027D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4"/>
        </w:rPr>
      </w:pPr>
      <w:r w:rsidRPr="009C56B9">
        <w:rPr>
          <w:b w:val="0"/>
          <w:sz w:val="24"/>
        </w:rPr>
        <w:t xml:space="preserve">Atbalstīt </w:t>
      </w:r>
      <w:r w:rsidR="00560610" w:rsidRPr="009C56B9">
        <w:rPr>
          <w:b w:val="0"/>
          <w:sz w:val="24"/>
        </w:rPr>
        <w:t xml:space="preserve">Narkotiku lietošanas un izplatības ierobežošanas plānu </w:t>
      </w:r>
      <w:proofErr w:type="gramStart"/>
      <w:r w:rsidR="00560610" w:rsidRPr="009C56B9">
        <w:rPr>
          <w:b w:val="0"/>
          <w:sz w:val="24"/>
        </w:rPr>
        <w:t>2019. – 2020.</w:t>
      </w:r>
      <w:proofErr w:type="gramEnd"/>
      <w:r w:rsidR="00560610" w:rsidRPr="009C56B9">
        <w:rPr>
          <w:b w:val="0"/>
          <w:sz w:val="24"/>
        </w:rPr>
        <w:t xml:space="preserve">gadam </w:t>
      </w:r>
      <w:r w:rsidR="00C96365" w:rsidRPr="009C56B9">
        <w:rPr>
          <w:b w:val="0"/>
          <w:sz w:val="24"/>
        </w:rPr>
        <w:t>(turpmāk – plāns).</w:t>
      </w:r>
    </w:p>
    <w:p w:rsidR="00560610" w:rsidRPr="009C56B9" w:rsidRDefault="007B0092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4"/>
        </w:rPr>
      </w:pPr>
      <w:r w:rsidRPr="009C56B9">
        <w:rPr>
          <w:b w:val="0"/>
          <w:sz w:val="24"/>
        </w:rPr>
        <w:t xml:space="preserve">Noteikt </w:t>
      </w:r>
      <w:r w:rsidR="00560610" w:rsidRPr="009C56B9">
        <w:rPr>
          <w:b w:val="0"/>
          <w:sz w:val="24"/>
        </w:rPr>
        <w:t>Iekšlietu</w:t>
      </w:r>
      <w:r w:rsidRPr="009C56B9">
        <w:rPr>
          <w:b w:val="0"/>
          <w:sz w:val="24"/>
        </w:rPr>
        <w:t xml:space="preserve"> ministriju par atbildīgo institūciju plāna īstenošanā</w:t>
      </w:r>
      <w:r w:rsidR="00F075E5" w:rsidRPr="009C56B9">
        <w:rPr>
          <w:b w:val="0"/>
          <w:sz w:val="24"/>
        </w:rPr>
        <w:t xml:space="preserve"> </w:t>
      </w:r>
      <w:r w:rsidR="00533A2B" w:rsidRPr="009C56B9">
        <w:rPr>
          <w:b w:val="0"/>
          <w:sz w:val="24"/>
        </w:rPr>
        <w:t>un uzdevumu izpildes koordinēšanā.</w:t>
      </w:r>
    </w:p>
    <w:p w:rsidR="00560610" w:rsidRPr="009C56B9" w:rsidRDefault="00560610" w:rsidP="006C43A5">
      <w:pPr>
        <w:pStyle w:val="NoSpacing"/>
        <w:numPr>
          <w:ilvl w:val="0"/>
          <w:numId w:val="3"/>
        </w:numPr>
        <w:spacing w:before="120"/>
        <w:jc w:val="both"/>
      </w:pPr>
      <w:r w:rsidRPr="009C56B9">
        <w:rPr>
          <w:rFonts w:eastAsia="MS Mincho"/>
          <w:color w:val="000000"/>
        </w:rPr>
        <w:t>Jautājumu par papildu valsts bud</w:t>
      </w:r>
      <w:r w:rsidR="004A48FF" w:rsidRPr="009C56B9">
        <w:rPr>
          <w:rFonts w:eastAsia="MS Mincho"/>
          <w:color w:val="000000"/>
        </w:rPr>
        <w:t xml:space="preserve">žeta līdzekļu piešķiršanu </w:t>
      </w:r>
      <w:proofErr w:type="gramStart"/>
      <w:r w:rsidR="004A48FF" w:rsidRPr="009C56B9">
        <w:rPr>
          <w:rFonts w:eastAsia="MS Mincho"/>
          <w:color w:val="000000"/>
        </w:rPr>
        <w:t>2020.</w:t>
      </w:r>
      <w:r w:rsidRPr="009C56B9">
        <w:rPr>
          <w:rFonts w:eastAsia="MS Mincho"/>
          <w:color w:val="000000"/>
        </w:rPr>
        <w:t>gadā</w:t>
      </w:r>
      <w:proofErr w:type="gramEnd"/>
      <w:r w:rsidRPr="009C56B9">
        <w:rPr>
          <w:rFonts w:eastAsia="MS Mincho"/>
          <w:color w:val="000000"/>
        </w:rPr>
        <w:t xml:space="preserve"> plānā paredzēto pasākumu nodrošināšanai izskatīt Ministru kabinetā likumpro</w:t>
      </w:r>
      <w:r w:rsidR="004A48FF" w:rsidRPr="009C56B9">
        <w:rPr>
          <w:rFonts w:eastAsia="MS Mincho"/>
          <w:color w:val="000000"/>
        </w:rPr>
        <w:t>jekta "Par valsts budžetu 2020.</w:t>
      </w:r>
      <w:r w:rsidRPr="009C56B9">
        <w:rPr>
          <w:rFonts w:eastAsia="MS Mincho"/>
          <w:color w:val="000000"/>
        </w:rPr>
        <w:t>gadam" un likumprojekta "Par vidēja termiņa budžeta ietvaru</w:t>
      </w:r>
      <w:r w:rsidR="004A48FF" w:rsidRPr="009C56B9">
        <w:rPr>
          <w:rFonts w:eastAsia="MS Mincho"/>
          <w:color w:val="000000"/>
        </w:rPr>
        <w:t xml:space="preserve"> 2020. un 2021. un 2022.</w:t>
      </w:r>
      <w:r w:rsidRPr="009C56B9">
        <w:rPr>
          <w:rFonts w:eastAsia="MS Mincho"/>
          <w:color w:val="000000"/>
        </w:rPr>
        <w:t xml:space="preserve">gadam" sagatavošanas un izskatīšanas procesā kopā ar visu ministriju un centrālo valsts iestāžu iesniegtajiem prioritāro pasākumu pieteikumiem atbilstoši valsts budžeta finansiālajām iespējām. </w:t>
      </w:r>
    </w:p>
    <w:p w:rsidR="006332E0" w:rsidRPr="009C56B9" w:rsidRDefault="006332E0" w:rsidP="006C43A5">
      <w:pPr>
        <w:pStyle w:val="NoSpacing"/>
        <w:numPr>
          <w:ilvl w:val="0"/>
          <w:numId w:val="3"/>
        </w:numPr>
        <w:spacing w:before="120"/>
        <w:jc w:val="both"/>
      </w:pPr>
      <w:r w:rsidRPr="009C56B9">
        <w:rPr>
          <w:rFonts w:eastAsia="MS Mincho"/>
          <w:color w:val="000000"/>
        </w:rPr>
        <w:t>Iekšlietu ministrijai normatīvajos aktos noteiktajā kārtībā sagatavot un iesniegt Finanšu ministrijā un Pārresoru koordinācijas centrā attiecīgu starpnozaru prioritārā pasākuma pieteikumu.</w:t>
      </w:r>
    </w:p>
    <w:p w:rsidR="00A83E99" w:rsidRPr="009C56B9" w:rsidRDefault="00560610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4"/>
        </w:rPr>
      </w:pPr>
      <w:r w:rsidRPr="009C56B9">
        <w:rPr>
          <w:b w:val="0"/>
          <w:sz w:val="24"/>
        </w:rPr>
        <w:t xml:space="preserve">Plāna īstenošanā iesaistītajām institūcijām līdz </w:t>
      </w:r>
      <w:proofErr w:type="gramStart"/>
      <w:r w:rsidRPr="009C56B9">
        <w:rPr>
          <w:b w:val="0"/>
          <w:sz w:val="24"/>
        </w:rPr>
        <w:t>2021.gada</w:t>
      </w:r>
      <w:proofErr w:type="gramEnd"/>
      <w:r w:rsidRPr="009C56B9">
        <w:rPr>
          <w:b w:val="0"/>
          <w:sz w:val="24"/>
        </w:rPr>
        <w:t xml:space="preserve"> 1.aprīlim atbilstoši kompetencei iesniegt Iekšlietu ministrijā informāciju p</w:t>
      </w:r>
      <w:r w:rsidR="00774212" w:rsidRPr="009C56B9">
        <w:rPr>
          <w:b w:val="0"/>
          <w:sz w:val="24"/>
        </w:rPr>
        <w:t xml:space="preserve">ar plāna uzdevumu izpildi 2019. un </w:t>
      </w:r>
      <w:r w:rsidRPr="009C56B9">
        <w:rPr>
          <w:b w:val="0"/>
          <w:sz w:val="24"/>
        </w:rPr>
        <w:t>2020.gadā.</w:t>
      </w:r>
    </w:p>
    <w:p w:rsidR="00BA5888" w:rsidRPr="009C56B9" w:rsidRDefault="00560610" w:rsidP="00BA5888">
      <w:pPr>
        <w:pStyle w:val="naisf"/>
        <w:numPr>
          <w:ilvl w:val="0"/>
          <w:numId w:val="3"/>
        </w:numPr>
        <w:spacing w:before="120" w:after="0"/>
        <w:ind w:right="111"/>
      </w:pPr>
      <w:r w:rsidRPr="009C56B9">
        <w:t xml:space="preserve">Iekšlietu ministrijai sagatavot un iekšlietu ministram līdz </w:t>
      </w:r>
      <w:proofErr w:type="gramStart"/>
      <w:r w:rsidRPr="009C56B9">
        <w:t>202</w:t>
      </w:r>
      <w:r w:rsidR="009D165A" w:rsidRPr="009C56B9">
        <w:t>1</w:t>
      </w:r>
      <w:r w:rsidRPr="009C56B9">
        <w:t>.gada</w:t>
      </w:r>
      <w:proofErr w:type="gramEnd"/>
      <w:r w:rsidRPr="009C56B9">
        <w:t xml:space="preserve"> 1.septembrim iesniegt noteiktā kārtībā Ministru kabinetā </w:t>
      </w:r>
      <w:r w:rsidR="003E198B" w:rsidRPr="009C56B9">
        <w:t xml:space="preserve">informatīvo ziņojumu </w:t>
      </w:r>
      <w:r w:rsidRPr="009C56B9">
        <w:t>par plāna izpildi.</w:t>
      </w:r>
    </w:p>
    <w:p w:rsidR="00BC0558" w:rsidRPr="009C56B9" w:rsidRDefault="00225363" w:rsidP="006266FB">
      <w:pPr>
        <w:pStyle w:val="naisf"/>
        <w:numPr>
          <w:ilvl w:val="0"/>
          <w:numId w:val="3"/>
        </w:numPr>
        <w:spacing w:before="120" w:after="0"/>
        <w:ind w:right="111"/>
      </w:pPr>
      <w:r w:rsidRPr="009C56B9">
        <w:t xml:space="preserve">Noteikt, ka pēc plāna darbības beigām par turpmāko narkotiku lietošanas un izplatības ierobežošanas politikas izstrādi un koordināciju atbildīgā institūcija ir Veselības ministrija. </w:t>
      </w:r>
    </w:p>
    <w:p w:rsidR="00BA5888" w:rsidRPr="009C56B9" w:rsidRDefault="00127726" w:rsidP="00910768">
      <w:pPr>
        <w:tabs>
          <w:tab w:val="left" w:pos="720"/>
          <w:tab w:val="left" w:pos="6240"/>
        </w:tabs>
        <w:rPr>
          <w:sz w:val="24"/>
          <w:szCs w:val="24"/>
          <w:lang w:val="lv-LV"/>
        </w:rPr>
      </w:pPr>
      <w:r w:rsidRPr="009C56B9">
        <w:rPr>
          <w:sz w:val="24"/>
          <w:szCs w:val="24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C56B9" w:rsidRPr="009C56B9" w:rsidTr="00C304C7">
        <w:tc>
          <w:tcPr>
            <w:tcW w:w="4643" w:type="dxa"/>
          </w:tcPr>
          <w:p w:rsidR="009C56B9" w:rsidRPr="009C56B9" w:rsidRDefault="009C56B9" w:rsidP="00C304C7">
            <w:pPr>
              <w:pStyle w:val="Standard"/>
              <w:jc w:val="both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both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Ministru prezidents</w:t>
            </w:r>
          </w:p>
        </w:tc>
        <w:tc>
          <w:tcPr>
            <w:tcW w:w="4644" w:type="dxa"/>
          </w:tcPr>
          <w:p w:rsidR="009C56B9" w:rsidRPr="009C56B9" w:rsidRDefault="009C56B9" w:rsidP="00C304C7">
            <w:pPr>
              <w:pStyle w:val="Standard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 xml:space="preserve"> Arturs Krišjānis Kariņš</w:t>
            </w:r>
          </w:p>
        </w:tc>
      </w:tr>
      <w:tr w:rsidR="009C56B9" w:rsidRPr="009C56B9" w:rsidTr="00C304C7">
        <w:tc>
          <w:tcPr>
            <w:tcW w:w="4643" w:type="dxa"/>
          </w:tcPr>
          <w:p w:rsidR="009C56B9" w:rsidRPr="009C56B9" w:rsidRDefault="009C56B9" w:rsidP="00C304C7">
            <w:pPr>
              <w:pStyle w:val="Standard"/>
              <w:jc w:val="both"/>
              <w:rPr>
                <w:rFonts w:eastAsia="Times New Roman"/>
                <w:szCs w:val="24"/>
                <w:lang w:eastAsia="lv-LV"/>
              </w:rPr>
            </w:pPr>
          </w:p>
          <w:p w:rsidR="009C56B9" w:rsidRDefault="009C56B9" w:rsidP="00C304C7">
            <w:pPr>
              <w:pStyle w:val="Standard"/>
              <w:jc w:val="both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both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Valsts kancelejas direktors</w:t>
            </w:r>
            <w:r w:rsidRPr="009C56B9">
              <w:rPr>
                <w:rFonts w:eastAsia="Times New Roman"/>
                <w:szCs w:val="24"/>
                <w:lang w:eastAsia="lv-LV"/>
              </w:rPr>
              <w:tab/>
            </w:r>
          </w:p>
        </w:tc>
        <w:tc>
          <w:tcPr>
            <w:tcW w:w="4644" w:type="dxa"/>
          </w:tcPr>
          <w:p w:rsidR="009C56B9" w:rsidRP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 xml:space="preserve">             </w:t>
            </w:r>
          </w:p>
          <w:p w:rsid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 xml:space="preserve">Jānis </w:t>
            </w:r>
            <w:proofErr w:type="spellStart"/>
            <w:r w:rsidRPr="009C56B9">
              <w:rPr>
                <w:rFonts w:eastAsia="Times New Roman"/>
                <w:szCs w:val="24"/>
                <w:lang w:eastAsia="lv-LV"/>
              </w:rPr>
              <w:t>Citskovskis</w:t>
            </w:r>
            <w:proofErr w:type="spellEnd"/>
          </w:p>
        </w:tc>
      </w:tr>
      <w:tr w:rsidR="009C56B9" w:rsidRPr="009C56B9" w:rsidTr="00C304C7">
        <w:tc>
          <w:tcPr>
            <w:tcW w:w="4643" w:type="dxa"/>
          </w:tcPr>
          <w:p w:rsidR="009C56B9" w:rsidRPr="009C56B9" w:rsidRDefault="009C56B9" w:rsidP="00C304C7">
            <w:pPr>
              <w:widowControl/>
              <w:jc w:val="both"/>
              <w:rPr>
                <w:rFonts w:eastAsia="Times New Roman"/>
                <w:sz w:val="24"/>
                <w:lang w:eastAsia="lv-LV"/>
              </w:rPr>
            </w:pPr>
          </w:p>
          <w:p w:rsidR="009C56B9" w:rsidRPr="009C56B9" w:rsidRDefault="009C56B9" w:rsidP="00C304C7">
            <w:pPr>
              <w:widowControl/>
              <w:jc w:val="both"/>
              <w:rPr>
                <w:rFonts w:eastAsia="Times New Roman"/>
                <w:sz w:val="24"/>
                <w:lang w:eastAsia="lv-LV"/>
              </w:rPr>
            </w:pPr>
            <w:proofErr w:type="spellStart"/>
            <w:r w:rsidRPr="009C56B9">
              <w:rPr>
                <w:rFonts w:eastAsia="Times New Roman"/>
                <w:sz w:val="24"/>
                <w:lang w:eastAsia="lv-LV"/>
              </w:rPr>
              <w:t>Iesniedzējs</w:t>
            </w:r>
            <w:proofErr w:type="spellEnd"/>
            <w:r w:rsidRPr="009C56B9">
              <w:rPr>
                <w:rFonts w:eastAsia="Times New Roman"/>
                <w:sz w:val="24"/>
                <w:lang w:eastAsia="lv-LV"/>
              </w:rPr>
              <w:t>:</w:t>
            </w:r>
          </w:p>
          <w:p w:rsidR="009C56B9" w:rsidRPr="009C56B9" w:rsidRDefault="009C56B9" w:rsidP="00C304C7">
            <w:pPr>
              <w:pStyle w:val="Standard"/>
              <w:jc w:val="both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iekšlietu ministrs</w:t>
            </w:r>
          </w:p>
        </w:tc>
        <w:tc>
          <w:tcPr>
            <w:tcW w:w="4644" w:type="dxa"/>
          </w:tcPr>
          <w:p w:rsidR="009C56B9" w:rsidRP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Sandis Ģirģens</w:t>
            </w:r>
          </w:p>
        </w:tc>
      </w:tr>
      <w:tr w:rsidR="009C56B9" w:rsidRPr="009C56B9" w:rsidTr="00C304C7">
        <w:tc>
          <w:tcPr>
            <w:tcW w:w="4643" w:type="dxa"/>
          </w:tcPr>
          <w:p w:rsidR="009C56B9" w:rsidRPr="009C56B9" w:rsidRDefault="009C56B9" w:rsidP="00C304C7">
            <w:pPr>
              <w:widowControl/>
              <w:jc w:val="both"/>
              <w:rPr>
                <w:rFonts w:eastAsia="Times New Roman"/>
                <w:sz w:val="24"/>
                <w:lang w:eastAsia="lv-LV"/>
              </w:rPr>
            </w:pPr>
          </w:p>
          <w:p w:rsidR="009C56B9" w:rsidRPr="009C56B9" w:rsidRDefault="009C56B9" w:rsidP="00C304C7">
            <w:pPr>
              <w:widowControl/>
              <w:jc w:val="both"/>
              <w:rPr>
                <w:rFonts w:eastAsia="Times New Roman"/>
                <w:sz w:val="24"/>
                <w:lang w:eastAsia="lv-LV"/>
              </w:rPr>
            </w:pPr>
            <w:proofErr w:type="spellStart"/>
            <w:r w:rsidRPr="009C56B9">
              <w:rPr>
                <w:rFonts w:eastAsia="Times New Roman"/>
                <w:sz w:val="24"/>
                <w:lang w:eastAsia="lv-LV"/>
              </w:rPr>
              <w:t>Vīza</w:t>
            </w:r>
            <w:proofErr w:type="spellEnd"/>
            <w:r w:rsidRPr="009C56B9">
              <w:rPr>
                <w:rFonts w:eastAsia="Times New Roman"/>
                <w:sz w:val="24"/>
                <w:lang w:eastAsia="lv-LV"/>
              </w:rPr>
              <w:t>:</w:t>
            </w:r>
          </w:p>
          <w:p w:rsidR="009C56B9" w:rsidRPr="009C56B9" w:rsidRDefault="009C56B9" w:rsidP="00C304C7">
            <w:pPr>
              <w:pStyle w:val="Standard"/>
              <w:jc w:val="both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valsts sekretārs</w:t>
            </w:r>
          </w:p>
        </w:tc>
        <w:tc>
          <w:tcPr>
            <w:tcW w:w="4644" w:type="dxa"/>
          </w:tcPr>
          <w:p w:rsidR="009C56B9" w:rsidRP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rFonts w:eastAsia="Times New Roman"/>
                <w:szCs w:val="24"/>
                <w:lang w:eastAsia="lv-LV"/>
              </w:rPr>
            </w:pPr>
          </w:p>
          <w:p w:rsidR="009C56B9" w:rsidRPr="009C56B9" w:rsidRDefault="009C56B9" w:rsidP="00C304C7">
            <w:pPr>
              <w:pStyle w:val="Standard"/>
              <w:jc w:val="right"/>
              <w:rPr>
                <w:szCs w:val="24"/>
              </w:rPr>
            </w:pPr>
            <w:r w:rsidRPr="009C56B9">
              <w:rPr>
                <w:rFonts w:eastAsia="Times New Roman"/>
                <w:szCs w:val="24"/>
                <w:lang w:eastAsia="lv-LV"/>
              </w:rPr>
              <w:t>Dimitrijs Trofimovs</w:t>
            </w:r>
          </w:p>
        </w:tc>
      </w:tr>
    </w:tbl>
    <w:p w:rsidR="009C56B9" w:rsidRDefault="009C56B9" w:rsidP="00BA5888">
      <w:pPr>
        <w:rPr>
          <w:sz w:val="20"/>
          <w:lang w:val="lv-LV"/>
        </w:rPr>
      </w:pPr>
      <w:bookmarkStart w:id="0" w:name="_GoBack"/>
      <w:bookmarkEnd w:id="0"/>
    </w:p>
    <w:p w:rsidR="00BA5888" w:rsidRPr="009C56B9" w:rsidRDefault="00BA5888" w:rsidP="00BA5888">
      <w:pPr>
        <w:rPr>
          <w:sz w:val="20"/>
          <w:lang w:val="lv-LV"/>
        </w:rPr>
      </w:pPr>
      <w:r w:rsidRPr="009C56B9">
        <w:rPr>
          <w:sz w:val="20"/>
          <w:lang w:val="lv-LV"/>
        </w:rPr>
        <w:t>A.Zīle-Veisberga, 67219592</w:t>
      </w:r>
    </w:p>
    <w:p w:rsidR="00BA5888" w:rsidRPr="009C56B9" w:rsidRDefault="001F128B" w:rsidP="00766081">
      <w:pPr>
        <w:rPr>
          <w:sz w:val="24"/>
          <w:szCs w:val="24"/>
          <w:lang w:val="lv-LV"/>
        </w:rPr>
      </w:pPr>
      <w:hyperlink r:id="rId8" w:history="1">
        <w:r w:rsidR="00BA5888" w:rsidRPr="009C56B9">
          <w:rPr>
            <w:rStyle w:val="Hyperlink"/>
            <w:sz w:val="20"/>
            <w:lang w:val="lv-LV"/>
          </w:rPr>
          <w:t>Agnese.veisberga@iem.gov.lv</w:t>
        </w:r>
      </w:hyperlink>
      <w:r w:rsidR="00BA5888" w:rsidRPr="009C56B9">
        <w:rPr>
          <w:sz w:val="20"/>
          <w:lang w:val="lv-LV"/>
        </w:rPr>
        <w:t xml:space="preserve"> </w:t>
      </w:r>
    </w:p>
    <w:sectPr w:rsidR="00BA5888" w:rsidRPr="009C56B9" w:rsidSect="00F35D5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47" w:right="1134" w:bottom="124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1B" w:rsidRDefault="00CC251B">
      <w:r>
        <w:separator/>
      </w:r>
    </w:p>
  </w:endnote>
  <w:endnote w:type="continuationSeparator" w:id="0">
    <w:p w:rsidR="00CC251B" w:rsidRDefault="00C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, 新細明體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Pr="006266FB" w:rsidRDefault="00BA5888" w:rsidP="006266FB">
    <w:pPr>
      <w:pStyle w:val="Footer"/>
      <w:jc w:val="both"/>
      <w:rPr>
        <w:sz w:val="20"/>
        <w:lang w:val="fr-FR"/>
      </w:rPr>
    </w:pPr>
    <w:r w:rsidRPr="00BA5888">
      <w:rPr>
        <w:sz w:val="20"/>
        <w:lang w:val="fr-FR"/>
      </w:rPr>
      <w:t>IeMRik_nark_</w:t>
    </w:r>
    <w:r>
      <w:rPr>
        <w:sz w:val="20"/>
        <w:lang w:val="fr-FR"/>
      </w:rPr>
      <w:t>020419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8E" w:rsidRPr="00766081" w:rsidRDefault="00766081" w:rsidP="00766081">
    <w:pPr>
      <w:pStyle w:val="Footer"/>
    </w:pPr>
    <w:r w:rsidRPr="00766081">
      <w:rPr>
        <w:sz w:val="20"/>
        <w:lang w:val="lv-LV"/>
      </w:rPr>
      <w:t>IeMRik_nark_120619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1B" w:rsidRDefault="00CC251B">
      <w:r>
        <w:separator/>
      </w:r>
    </w:p>
  </w:footnote>
  <w:footnote w:type="continuationSeparator" w:id="0">
    <w:p w:rsidR="00CC251B" w:rsidRDefault="00CC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081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3"/>
    <w:rsid w:val="00010AB8"/>
    <w:rsid w:val="00022706"/>
    <w:rsid w:val="00024EC2"/>
    <w:rsid w:val="00027A52"/>
    <w:rsid w:val="00030A08"/>
    <w:rsid w:val="000378A4"/>
    <w:rsid w:val="0004181E"/>
    <w:rsid w:val="00054C6C"/>
    <w:rsid w:val="000662E3"/>
    <w:rsid w:val="00074F9B"/>
    <w:rsid w:val="00077AF8"/>
    <w:rsid w:val="00087646"/>
    <w:rsid w:val="00093EC0"/>
    <w:rsid w:val="000B108B"/>
    <w:rsid w:val="000B56A0"/>
    <w:rsid w:val="000B57FF"/>
    <w:rsid w:val="000E22A9"/>
    <w:rsid w:val="00101680"/>
    <w:rsid w:val="001067A2"/>
    <w:rsid w:val="00115A71"/>
    <w:rsid w:val="001274C2"/>
    <w:rsid w:val="00127726"/>
    <w:rsid w:val="00132568"/>
    <w:rsid w:val="00137129"/>
    <w:rsid w:val="00147E6F"/>
    <w:rsid w:val="00152B1C"/>
    <w:rsid w:val="001544CF"/>
    <w:rsid w:val="00161BC8"/>
    <w:rsid w:val="00170235"/>
    <w:rsid w:val="00175BBF"/>
    <w:rsid w:val="001912EA"/>
    <w:rsid w:val="001935E2"/>
    <w:rsid w:val="001A45ED"/>
    <w:rsid w:val="001B6E8E"/>
    <w:rsid w:val="001C30D5"/>
    <w:rsid w:val="001C7DB4"/>
    <w:rsid w:val="001D3E08"/>
    <w:rsid w:val="001E1BAF"/>
    <w:rsid w:val="001E6FD4"/>
    <w:rsid w:val="001F128B"/>
    <w:rsid w:val="001F5C05"/>
    <w:rsid w:val="00222161"/>
    <w:rsid w:val="00225363"/>
    <w:rsid w:val="00241CD3"/>
    <w:rsid w:val="00241F86"/>
    <w:rsid w:val="00250A9A"/>
    <w:rsid w:val="002545CC"/>
    <w:rsid w:val="00256663"/>
    <w:rsid w:val="002868CA"/>
    <w:rsid w:val="002A51C6"/>
    <w:rsid w:val="002B38B3"/>
    <w:rsid w:val="002B577E"/>
    <w:rsid w:val="002B744B"/>
    <w:rsid w:val="002C60D6"/>
    <w:rsid w:val="002D4B29"/>
    <w:rsid w:val="002D4DD1"/>
    <w:rsid w:val="00307B53"/>
    <w:rsid w:val="00307E9D"/>
    <w:rsid w:val="0032734C"/>
    <w:rsid w:val="003373D4"/>
    <w:rsid w:val="00343C07"/>
    <w:rsid w:val="00370E6F"/>
    <w:rsid w:val="00390CB2"/>
    <w:rsid w:val="003C5009"/>
    <w:rsid w:val="003D012D"/>
    <w:rsid w:val="003D0BAE"/>
    <w:rsid w:val="003E198B"/>
    <w:rsid w:val="003E2804"/>
    <w:rsid w:val="003E4579"/>
    <w:rsid w:val="003F1BEE"/>
    <w:rsid w:val="003F47C4"/>
    <w:rsid w:val="003F7E25"/>
    <w:rsid w:val="00402745"/>
    <w:rsid w:val="004053AA"/>
    <w:rsid w:val="00432BE7"/>
    <w:rsid w:val="00436EF1"/>
    <w:rsid w:val="0044797B"/>
    <w:rsid w:val="004533D3"/>
    <w:rsid w:val="00455BC3"/>
    <w:rsid w:val="00472325"/>
    <w:rsid w:val="00475BE4"/>
    <w:rsid w:val="0048537A"/>
    <w:rsid w:val="00487D09"/>
    <w:rsid w:val="00492AEA"/>
    <w:rsid w:val="004A121E"/>
    <w:rsid w:val="004A122E"/>
    <w:rsid w:val="004A48FF"/>
    <w:rsid w:val="004B3568"/>
    <w:rsid w:val="004D04AD"/>
    <w:rsid w:val="004E2793"/>
    <w:rsid w:val="004E2ADC"/>
    <w:rsid w:val="00502CD6"/>
    <w:rsid w:val="00517315"/>
    <w:rsid w:val="00525A0F"/>
    <w:rsid w:val="00533A2B"/>
    <w:rsid w:val="00535D37"/>
    <w:rsid w:val="00544638"/>
    <w:rsid w:val="00550762"/>
    <w:rsid w:val="00560610"/>
    <w:rsid w:val="005719D6"/>
    <w:rsid w:val="005769B6"/>
    <w:rsid w:val="0058026B"/>
    <w:rsid w:val="005846E0"/>
    <w:rsid w:val="00586F4E"/>
    <w:rsid w:val="005A2BE3"/>
    <w:rsid w:val="005B57FA"/>
    <w:rsid w:val="005C0CA7"/>
    <w:rsid w:val="005C2898"/>
    <w:rsid w:val="005C2EA9"/>
    <w:rsid w:val="005D625B"/>
    <w:rsid w:val="005F266D"/>
    <w:rsid w:val="005F5A7B"/>
    <w:rsid w:val="005F61E0"/>
    <w:rsid w:val="0060046B"/>
    <w:rsid w:val="00610EC7"/>
    <w:rsid w:val="006266FB"/>
    <w:rsid w:val="00631AD2"/>
    <w:rsid w:val="006332E0"/>
    <w:rsid w:val="006417C4"/>
    <w:rsid w:val="00645398"/>
    <w:rsid w:val="006619F9"/>
    <w:rsid w:val="00671A22"/>
    <w:rsid w:val="00671E65"/>
    <w:rsid w:val="00687D75"/>
    <w:rsid w:val="00693E14"/>
    <w:rsid w:val="00697C5D"/>
    <w:rsid w:val="006A06D4"/>
    <w:rsid w:val="006A07C1"/>
    <w:rsid w:val="006A3BCE"/>
    <w:rsid w:val="006A6D41"/>
    <w:rsid w:val="006C1EE9"/>
    <w:rsid w:val="006C43A5"/>
    <w:rsid w:val="006D5D53"/>
    <w:rsid w:val="006F129C"/>
    <w:rsid w:val="00701C02"/>
    <w:rsid w:val="00712EEB"/>
    <w:rsid w:val="00725292"/>
    <w:rsid w:val="00735E23"/>
    <w:rsid w:val="0073623B"/>
    <w:rsid w:val="00764D94"/>
    <w:rsid w:val="00766081"/>
    <w:rsid w:val="00774212"/>
    <w:rsid w:val="00782358"/>
    <w:rsid w:val="007878BF"/>
    <w:rsid w:val="0079169D"/>
    <w:rsid w:val="007A1A6C"/>
    <w:rsid w:val="007A6446"/>
    <w:rsid w:val="007B0092"/>
    <w:rsid w:val="007D01C2"/>
    <w:rsid w:val="007D4FF6"/>
    <w:rsid w:val="007F60BE"/>
    <w:rsid w:val="0080699A"/>
    <w:rsid w:val="00821CF3"/>
    <w:rsid w:val="008355A5"/>
    <w:rsid w:val="008358BA"/>
    <w:rsid w:val="008469B4"/>
    <w:rsid w:val="00850D30"/>
    <w:rsid w:val="00852412"/>
    <w:rsid w:val="008560F7"/>
    <w:rsid w:val="00863651"/>
    <w:rsid w:val="00867021"/>
    <w:rsid w:val="00872E0A"/>
    <w:rsid w:val="008936DF"/>
    <w:rsid w:val="0089572D"/>
    <w:rsid w:val="008A294D"/>
    <w:rsid w:val="008C215D"/>
    <w:rsid w:val="008E24B0"/>
    <w:rsid w:val="008F3642"/>
    <w:rsid w:val="009012FF"/>
    <w:rsid w:val="009063F2"/>
    <w:rsid w:val="00910768"/>
    <w:rsid w:val="0091093E"/>
    <w:rsid w:val="00932E55"/>
    <w:rsid w:val="00934988"/>
    <w:rsid w:val="00934AF3"/>
    <w:rsid w:val="009410BA"/>
    <w:rsid w:val="00961DC5"/>
    <w:rsid w:val="00963C35"/>
    <w:rsid w:val="009648BA"/>
    <w:rsid w:val="00967242"/>
    <w:rsid w:val="00975B77"/>
    <w:rsid w:val="00992A80"/>
    <w:rsid w:val="009948EF"/>
    <w:rsid w:val="009C2983"/>
    <w:rsid w:val="009C56B9"/>
    <w:rsid w:val="009C6937"/>
    <w:rsid w:val="009D0D8B"/>
    <w:rsid w:val="009D165A"/>
    <w:rsid w:val="00A0560E"/>
    <w:rsid w:val="00A15A96"/>
    <w:rsid w:val="00A20491"/>
    <w:rsid w:val="00A22AC6"/>
    <w:rsid w:val="00A30B9A"/>
    <w:rsid w:val="00A53072"/>
    <w:rsid w:val="00A83E99"/>
    <w:rsid w:val="00A852DF"/>
    <w:rsid w:val="00A8573F"/>
    <w:rsid w:val="00A92CE8"/>
    <w:rsid w:val="00A94366"/>
    <w:rsid w:val="00A96AC7"/>
    <w:rsid w:val="00AA5F56"/>
    <w:rsid w:val="00AB470E"/>
    <w:rsid w:val="00AC730D"/>
    <w:rsid w:val="00AD3AC3"/>
    <w:rsid w:val="00AD4470"/>
    <w:rsid w:val="00AE0FFB"/>
    <w:rsid w:val="00AE1054"/>
    <w:rsid w:val="00AE1296"/>
    <w:rsid w:val="00AF3B94"/>
    <w:rsid w:val="00B21CF1"/>
    <w:rsid w:val="00B22D47"/>
    <w:rsid w:val="00B371DE"/>
    <w:rsid w:val="00B43FE0"/>
    <w:rsid w:val="00B8773D"/>
    <w:rsid w:val="00BA114B"/>
    <w:rsid w:val="00BA5888"/>
    <w:rsid w:val="00BA5A61"/>
    <w:rsid w:val="00BB5701"/>
    <w:rsid w:val="00BC0558"/>
    <w:rsid w:val="00BC618F"/>
    <w:rsid w:val="00BC64BA"/>
    <w:rsid w:val="00BF11E3"/>
    <w:rsid w:val="00BF2BED"/>
    <w:rsid w:val="00BF3573"/>
    <w:rsid w:val="00C14140"/>
    <w:rsid w:val="00C23F0D"/>
    <w:rsid w:val="00C23FC8"/>
    <w:rsid w:val="00C3395C"/>
    <w:rsid w:val="00C345D0"/>
    <w:rsid w:val="00C36F96"/>
    <w:rsid w:val="00C470AB"/>
    <w:rsid w:val="00C54672"/>
    <w:rsid w:val="00C96365"/>
    <w:rsid w:val="00CA6945"/>
    <w:rsid w:val="00CB0322"/>
    <w:rsid w:val="00CB1DA2"/>
    <w:rsid w:val="00CB2680"/>
    <w:rsid w:val="00CC251B"/>
    <w:rsid w:val="00CC699E"/>
    <w:rsid w:val="00CD1A23"/>
    <w:rsid w:val="00CF07E7"/>
    <w:rsid w:val="00CF515C"/>
    <w:rsid w:val="00D013F8"/>
    <w:rsid w:val="00D022DF"/>
    <w:rsid w:val="00D05733"/>
    <w:rsid w:val="00D12CFA"/>
    <w:rsid w:val="00D17F05"/>
    <w:rsid w:val="00D42B69"/>
    <w:rsid w:val="00D4616E"/>
    <w:rsid w:val="00D466E3"/>
    <w:rsid w:val="00D80984"/>
    <w:rsid w:val="00DA1F1E"/>
    <w:rsid w:val="00DC1CAC"/>
    <w:rsid w:val="00DC1FAE"/>
    <w:rsid w:val="00DC2CCA"/>
    <w:rsid w:val="00DD563F"/>
    <w:rsid w:val="00DF3FEB"/>
    <w:rsid w:val="00E01064"/>
    <w:rsid w:val="00E03C07"/>
    <w:rsid w:val="00E1027D"/>
    <w:rsid w:val="00E232B0"/>
    <w:rsid w:val="00E4103F"/>
    <w:rsid w:val="00E4296C"/>
    <w:rsid w:val="00E45227"/>
    <w:rsid w:val="00E47DBA"/>
    <w:rsid w:val="00E61B2A"/>
    <w:rsid w:val="00E727D4"/>
    <w:rsid w:val="00E80BBC"/>
    <w:rsid w:val="00E81945"/>
    <w:rsid w:val="00E874DC"/>
    <w:rsid w:val="00E9125A"/>
    <w:rsid w:val="00E9753B"/>
    <w:rsid w:val="00EC0566"/>
    <w:rsid w:val="00EC4E09"/>
    <w:rsid w:val="00EC5E83"/>
    <w:rsid w:val="00ED1569"/>
    <w:rsid w:val="00ED1BC6"/>
    <w:rsid w:val="00ED6B94"/>
    <w:rsid w:val="00EE115D"/>
    <w:rsid w:val="00F075E5"/>
    <w:rsid w:val="00F35D5A"/>
    <w:rsid w:val="00F42390"/>
    <w:rsid w:val="00F44A23"/>
    <w:rsid w:val="00F461F9"/>
    <w:rsid w:val="00F71B2C"/>
    <w:rsid w:val="00F91EEF"/>
    <w:rsid w:val="00F94812"/>
    <w:rsid w:val="00F97ABD"/>
    <w:rsid w:val="00FC030B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F91FDD3-AFCE-4711-824B-0A0200C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63"/>
    <w:pPr>
      <w:widowControl w:val="0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66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6663"/>
    <w:pPr>
      <w:widowControl/>
    </w:pPr>
    <w:rPr>
      <w:lang w:val="lv-LV" w:eastAsia="lv-LV"/>
    </w:rPr>
  </w:style>
  <w:style w:type="paragraph" w:styleId="Footer">
    <w:name w:val="footer"/>
    <w:basedOn w:val="Normal"/>
    <w:rsid w:val="0025666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14140"/>
    <w:rPr>
      <w:sz w:val="16"/>
      <w:szCs w:val="16"/>
    </w:rPr>
  </w:style>
  <w:style w:type="paragraph" w:styleId="CommentText">
    <w:name w:val="annotation text"/>
    <w:basedOn w:val="Normal"/>
    <w:semiHidden/>
    <w:rsid w:val="00C141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140"/>
    <w:rPr>
      <w:b/>
      <w:bCs/>
    </w:rPr>
  </w:style>
  <w:style w:type="paragraph" w:styleId="BalloonText">
    <w:name w:val="Balloon Text"/>
    <w:basedOn w:val="Normal"/>
    <w:semiHidden/>
    <w:rsid w:val="00C14140"/>
    <w:rPr>
      <w:rFonts w:ascii="Tahoma" w:hAnsi="Tahoma" w:cs="Tahoma"/>
      <w:sz w:val="16"/>
      <w:szCs w:val="16"/>
    </w:rPr>
  </w:style>
  <w:style w:type="character" w:styleId="Hyperlink">
    <w:name w:val="Hyperlink"/>
    <w:rsid w:val="006266FB"/>
    <w:rPr>
      <w:color w:val="0000FF"/>
      <w:u w:val="single"/>
    </w:rPr>
  </w:style>
  <w:style w:type="paragraph" w:styleId="Title">
    <w:name w:val="Title"/>
    <w:basedOn w:val="Normal"/>
    <w:qFormat/>
    <w:rsid w:val="00436EF1"/>
    <w:pPr>
      <w:widowControl/>
      <w:jc w:val="center"/>
    </w:pPr>
    <w:rPr>
      <w:b/>
      <w:bCs/>
      <w:szCs w:val="24"/>
      <w:lang w:val="lv-LV"/>
    </w:rPr>
  </w:style>
  <w:style w:type="paragraph" w:customStyle="1" w:styleId="naisf">
    <w:name w:val="naisf"/>
    <w:basedOn w:val="Normal"/>
    <w:rsid w:val="00436EF1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B8773D"/>
  </w:style>
  <w:style w:type="paragraph" w:styleId="ListParagraph">
    <w:name w:val="List Paragraph"/>
    <w:basedOn w:val="Normal"/>
    <w:qFormat/>
    <w:rsid w:val="001912EA"/>
    <w:pPr>
      <w:widowControl/>
      <w:ind w:left="720"/>
      <w:contextualSpacing/>
      <w:jc w:val="both"/>
    </w:pPr>
    <w:rPr>
      <w:sz w:val="24"/>
      <w:lang w:val="lv-LV"/>
    </w:rPr>
  </w:style>
  <w:style w:type="paragraph" w:styleId="NoSpacing">
    <w:name w:val="No Spacing"/>
    <w:qFormat/>
    <w:rsid w:val="00560610"/>
    <w:rPr>
      <w:rFonts w:eastAsia="Calibri"/>
      <w:sz w:val="24"/>
      <w:szCs w:val="24"/>
      <w:lang w:val="lv-LV" w:eastAsia="lv-LV"/>
    </w:rPr>
  </w:style>
  <w:style w:type="paragraph" w:customStyle="1" w:styleId="Standard">
    <w:name w:val="Standard"/>
    <w:rsid w:val="009C56B9"/>
    <w:pPr>
      <w:suppressAutoHyphens/>
      <w:autoSpaceDN w:val="0"/>
      <w:textAlignment w:val="baseline"/>
    </w:pPr>
    <w:rPr>
      <w:rFonts w:eastAsia="PMingLiU, 新細明體"/>
      <w:kern w:val="3"/>
      <w:sz w:val="24"/>
      <w:szCs w:val="22"/>
      <w:lang w:val="lv-LV" w:eastAsia="zh-CN"/>
    </w:rPr>
  </w:style>
  <w:style w:type="table" w:styleId="TableGrid">
    <w:name w:val="Table Grid"/>
    <w:basedOn w:val="TableNormal"/>
    <w:uiPriority w:val="59"/>
    <w:rsid w:val="009C56B9"/>
    <w:pPr>
      <w:widowControl w:val="0"/>
      <w:autoSpaceDN w:val="0"/>
      <w:textAlignment w:val="baseline"/>
    </w:pPr>
    <w:rPr>
      <w:rFonts w:eastAsia="SimSun" w:cs="Arial"/>
      <w:kern w:val="3"/>
      <w:sz w:val="24"/>
      <w:szCs w:val="24"/>
      <w:lang w:val="lv-LV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veisberga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BC51-A97C-401C-AAC0-36E0B10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1767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pasta nozares politikas plānu 2018.-2020.gadam</vt:lpstr>
      <vt:lpstr>Par pasta nozares politikas plānu 2018.-2020.gadam</vt:lpstr>
    </vt:vector>
  </TitlesOfParts>
  <Company>Satiksmes ministrija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pasta nozares politikas plānu 2018.-2020.gadam</dc:title>
  <dc:subject>Ministru kabineta rīkojuma projekts</dc:subject>
  <dc:creator>Inese Pakule</dc:creator>
  <cp:keywords/>
  <dc:description>Pakule, tel. 67028115_x000d_
inese.pakule@sam.gov.lv</dc:description>
  <cp:lastModifiedBy>Irina Porošina</cp:lastModifiedBy>
  <cp:revision>4</cp:revision>
  <cp:lastPrinted>2019-04-03T06:22:00Z</cp:lastPrinted>
  <dcterms:created xsi:type="dcterms:W3CDTF">2019-04-12T05:56:00Z</dcterms:created>
  <dcterms:modified xsi:type="dcterms:W3CDTF">2019-06-12T07:59:00Z</dcterms:modified>
</cp:coreProperties>
</file>