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14264"/>
      </w:tblGrid>
      <w:tr w:rsidR="00983628" w:rsidRPr="00E35E48" w:rsidTr="00D37CBF">
        <w:tc>
          <w:tcPr>
            <w:tcW w:w="5000" w:type="pct"/>
            <w:tcBorders>
              <w:bottom w:val="single" w:sz="6" w:space="0" w:color="000000"/>
            </w:tcBorders>
          </w:tcPr>
          <w:p w:rsidR="002E0C20" w:rsidRPr="00E35E48" w:rsidRDefault="00983628" w:rsidP="00D37CBF">
            <w:pPr>
              <w:jc w:val="center"/>
              <w:rPr>
                <w:b/>
                <w:bCs/>
                <w:sz w:val="26"/>
                <w:szCs w:val="26"/>
              </w:rPr>
            </w:pPr>
            <w:r w:rsidRPr="00E35E48">
              <w:rPr>
                <w:b/>
                <w:bCs/>
                <w:sz w:val="26"/>
                <w:szCs w:val="26"/>
              </w:rPr>
              <w:t>Izziņa par atzinumos sniegtajiem iebildumiem</w:t>
            </w:r>
          </w:p>
          <w:p w:rsidR="00983628" w:rsidRPr="00E35E48" w:rsidRDefault="002E0C20" w:rsidP="00D37CBF">
            <w:pPr>
              <w:jc w:val="center"/>
              <w:rPr>
                <w:b/>
                <w:sz w:val="26"/>
                <w:szCs w:val="26"/>
              </w:rPr>
            </w:pPr>
            <w:r w:rsidRPr="00E35E48">
              <w:rPr>
                <w:b/>
                <w:bCs/>
                <w:sz w:val="26"/>
                <w:szCs w:val="26"/>
              </w:rPr>
              <w:t>i</w:t>
            </w:r>
            <w:r w:rsidRPr="00E35E48">
              <w:rPr>
                <w:b/>
                <w:sz w:val="26"/>
                <w:szCs w:val="26"/>
              </w:rPr>
              <w:t xml:space="preserve">nformatīvajam ziņojumam „Par valsts </w:t>
            </w:r>
            <w:proofErr w:type="spellStart"/>
            <w:r w:rsidRPr="00E35E48">
              <w:rPr>
                <w:b/>
                <w:sz w:val="26"/>
                <w:szCs w:val="26"/>
              </w:rPr>
              <w:t>fondētās</w:t>
            </w:r>
            <w:proofErr w:type="spellEnd"/>
            <w:r w:rsidRPr="00E35E48">
              <w:rPr>
                <w:b/>
                <w:sz w:val="26"/>
                <w:szCs w:val="26"/>
              </w:rPr>
              <w:t xml:space="preserve"> pensijas kapitāla izmantošanu”</w:t>
            </w:r>
          </w:p>
        </w:tc>
      </w:tr>
    </w:tbl>
    <w:p w:rsidR="00983628" w:rsidRPr="00E35E48" w:rsidRDefault="00983628" w:rsidP="00983628">
      <w:pPr>
        <w:pStyle w:val="naisc"/>
        <w:spacing w:before="0" w:after="0"/>
        <w:ind w:firstLine="1080"/>
        <w:rPr>
          <w:sz w:val="26"/>
          <w:szCs w:val="26"/>
        </w:rPr>
      </w:pPr>
      <w:r w:rsidRPr="00E35E48">
        <w:rPr>
          <w:sz w:val="26"/>
          <w:szCs w:val="26"/>
        </w:rPr>
        <w:t>(dokumenta veids un nosaukums)</w:t>
      </w:r>
    </w:p>
    <w:p w:rsidR="00983628" w:rsidRPr="00E35E48" w:rsidRDefault="00983628" w:rsidP="00983628">
      <w:pPr>
        <w:pStyle w:val="naisf"/>
        <w:spacing w:before="0" w:after="0"/>
        <w:ind w:firstLine="0"/>
        <w:jc w:val="center"/>
        <w:rPr>
          <w:b/>
          <w:bCs/>
          <w:sz w:val="26"/>
          <w:szCs w:val="26"/>
        </w:rPr>
      </w:pPr>
    </w:p>
    <w:p w:rsidR="00983628" w:rsidRPr="00E35E48" w:rsidRDefault="00983628" w:rsidP="00983628">
      <w:pPr>
        <w:pStyle w:val="naisf"/>
        <w:spacing w:before="0" w:after="0"/>
        <w:ind w:firstLine="0"/>
        <w:jc w:val="center"/>
        <w:rPr>
          <w:b/>
          <w:bCs/>
          <w:sz w:val="26"/>
          <w:szCs w:val="26"/>
        </w:rPr>
      </w:pPr>
    </w:p>
    <w:p w:rsidR="00983628" w:rsidRPr="00E35E48" w:rsidRDefault="00983628" w:rsidP="00983628">
      <w:pPr>
        <w:pStyle w:val="naisf"/>
        <w:spacing w:before="0" w:after="0"/>
        <w:ind w:firstLine="0"/>
        <w:jc w:val="center"/>
        <w:rPr>
          <w:b/>
          <w:bCs/>
          <w:sz w:val="26"/>
          <w:szCs w:val="26"/>
        </w:rPr>
      </w:pPr>
      <w:r w:rsidRPr="00E35E48">
        <w:rPr>
          <w:b/>
          <w:bCs/>
          <w:sz w:val="26"/>
          <w:szCs w:val="26"/>
        </w:rPr>
        <w:t>II. Jautājumi, par kuriem saskaņošanā vienošanās ir panākta</w:t>
      </w:r>
    </w:p>
    <w:p w:rsidR="00983628" w:rsidRPr="00E35E48" w:rsidRDefault="00983628" w:rsidP="00983628">
      <w:pPr>
        <w:pStyle w:val="naisf"/>
        <w:spacing w:before="0" w:after="0"/>
        <w:ind w:firstLine="720"/>
        <w:rPr>
          <w:sz w:val="26"/>
          <w:szCs w:val="26"/>
        </w:rPr>
      </w:pPr>
    </w:p>
    <w:p w:rsidR="00983628" w:rsidRPr="00E35E48" w:rsidRDefault="00983628" w:rsidP="00983628">
      <w:pPr>
        <w:pStyle w:val="Footer"/>
        <w:tabs>
          <w:tab w:val="clear" w:pos="4153"/>
          <w:tab w:val="clear" w:pos="8306"/>
        </w:tabs>
        <w:rPr>
          <w:sz w:val="26"/>
          <w:szCs w:val="26"/>
        </w:rPr>
      </w:pPr>
    </w:p>
    <w:tbl>
      <w:tblPr>
        <w:tblW w:w="5292"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3"/>
        <w:gridCol w:w="2790"/>
        <w:gridCol w:w="1415"/>
        <w:gridCol w:w="3068"/>
        <w:gridCol w:w="3077"/>
        <w:gridCol w:w="3234"/>
        <w:gridCol w:w="836"/>
      </w:tblGrid>
      <w:tr w:rsidR="00983628" w:rsidRPr="00E35E48" w:rsidTr="00D37CBF">
        <w:tc>
          <w:tcPr>
            <w:tcW w:w="209" w:type="pct"/>
            <w:tcBorders>
              <w:top w:val="single" w:sz="6" w:space="0" w:color="000000"/>
              <w:left w:val="single" w:sz="6" w:space="0" w:color="000000"/>
              <w:bottom w:val="single" w:sz="6" w:space="0" w:color="000000"/>
              <w:right w:val="single" w:sz="6" w:space="0" w:color="000000"/>
            </w:tcBorders>
            <w:vAlign w:val="center"/>
          </w:tcPr>
          <w:p w:rsidR="00983628" w:rsidRPr="00E35E48" w:rsidRDefault="00983628" w:rsidP="00D37CBF">
            <w:pPr>
              <w:pStyle w:val="naisc"/>
              <w:spacing w:before="0" w:after="0"/>
              <w:rPr>
                <w:sz w:val="26"/>
                <w:szCs w:val="26"/>
              </w:rPr>
            </w:pPr>
            <w:r w:rsidRPr="00E35E48">
              <w:rPr>
                <w:sz w:val="26"/>
                <w:szCs w:val="26"/>
              </w:rPr>
              <w:t>Nr. p.k.</w:t>
            </w:r>
          </w:p>
        </w:tc>
        <w:tc>
          <w:tcPr>
            <w:tcW w:w="936" w:type="pct"/>
            <w:gridSpan w:val="2"/>
            <w:tcBorders>
              <w:top w:val="single" w:sz="6" w:space="0" w:color="000000"/>
              <w:left w:val="single" w:sz="6" w:space="0" w:color="000000"/>
              <w:bottom w:val="single" w:sz="6" w:space="0" w:color="000000"/>
              <w:right w:val="single" w:sz="6" w:space="0" w:color="000000"/>
            </w:tcBorders>
            <w:vAlign w:val="center"/>
          </w:tcPr>
          <w:p w:rsidR="00983628" w:rsidRPr="00E35E48" w:rsidRDefault="00983628" w:rsidP="00D37CBF">
            <w:pPr>
              <w:pStyle w:val="naisc"/>
              <w:spacing w:before="0" w:after="0"/>
              <w:ind w:firstLine="12"/>
              <w:rPr>
                <w:sz w:val="26"/>
                <w:szCs w:val="26"/>
              </w:rPr>
            </w:pPr>
            <w:r w:rsidRPr="00E35E48">
              <w:rPr>
                <w:sz w:val="26"/>
                <w:szCs w:val="26"/>
              </w:rPr>
              <w:t>Saskaņošanai nosūtītā projekta redakcija (konkrēta punkta (panta) redakcija)</w:t>
            </w:r>
          </w:p>
        </w:tc>
        <w:tc>
          <w:tcPr>
            <w:tcW w:w="1486" w:type="pct"/>
            <w:gridSpan w:val="2"/>
            <w:tcBorders>
              <w:top w:val="single" w:sz="6" w:space="0" w:color="000000"/>
              <w:left w:val="single" w:sz="6" w:space="0" w:color="000000"/>
              <w:bottom w:val="single" w:sz="6" w:space="0" w:color="000000"/>
              <w:right w:val="single" w:sz="6" w:space="0" w:color="000000"/>
            </w:tcBorders>
            <w:vAlign w:val="center"/>
          </w:tcPr>
          <w:p w:rsidR="00983628" w:rsidRPr="00E35E48" w:rsidRDefault="00983628" w:rsidP="00D37CBF">
            <w:pPr>
              <w:pStyle w:val="naisc"/>
              <w:spacing w:before="0" w:after="0"/>
              <w:ind w:right="3"/>
              <w:rPr>
                <w:sz w:val="26"/>
                <w:szCs w:val="26"/>
              </w:rPr>
            </w:pPr>
            <w:r w:rsidRPr="00E35E48">
              <w:rPr>
                <w:sz w:val="26"/>
                <w:szCs w:val="26"/>
              </w:rPr>
              <w:t>Atzinumā norādītais ministrijas (citas institūcijas) iebildums, kā arī saskaņošanā papildus izteiktais iebildums par projekta konkrēto punktu (pantu)</w:t>
            </w:r>
          </w:p>
        </w:tc>
        <w:tc>
          <w:tcPr>
            <w:tcW w:w="1020" w:type="pct"/>
            <w:tcBorders>
              <w:top w:val="single" w:sz="6" w:space="0" w:color="000000"/>
              <w:left w:val="single" w:sz="6" w:space="0" w:color="000000"/>
              <w:bottom w:val="single" w:sz="6" w:space="0" w:color="000000"/>
              <w:right w:val="single" w:sz="6" w:space="0" w:color="000000"/>
            </w:tcBorders>
            <w:vAlign w:val="center"/>
          </w:tcPr>
          <w:p w:rsidR="00983628" w:rsidRPr="00E35E48" w:rsidRDefault="00983628" w:rsidP="00D37CBF">
            <w:pPr>
              <w:pStyle w:val="naisc"/>
              <w:spacing w:before="0" w:after="0"/>
              <w:ind w:firstLine="21"/>
              <w:rPr>
                <w:sz w:val="26"/>
                <w:szCs w:val="26"/>
              </w:rPr>
            </w:pPr>
            <w:r w:rsidRPr="00E35E48">
              <w:rPr>
                <w:sz w:val="26"/>
                <w:szCs w:val="26"/>
              </w:rPr>
              <w:t>Atbildīgās ministrijas norāde par to, ka iebildums ir ņemts vērā, vai informācija par saskaņošanā panākto alternatīvo risinājumu</w:t>
            </w:r>
          </w:p>
        </w:tc>
        <w:tc>
          <w:tcPr>
            <w:tcW w:w="1349" w:type="pct"/>
            <w:gridSpan w:val="2"/>
            <w:tcBorders>
              <w:top w:val="single" w:sz="4" w:space="0" w:color="auto"/>
              <w:left w:val="single" w:sz="4" w:space="0" w:color="auto"/>
              <w:bottom w:val="single" w:sz="4" w:space="0" w:color="auto"/>
            </w:tcBorders>
            <w:vAlign w:val="center"/>
          </w:tcPr>
          <w:p w:rsidR="00983628" w:rsidRPr="00E35E48" w:rsidRDefault="00983628" w:rsidP="00D37CBF">
            <w:pPr>
              <w:jc w:val="center"/>
              <w:rPr>
                <w:sz w:val="26"/>
                <w:szCs w:val="26"/>
              </w:rPr>
            </w:pPr>
            <w:r w:rsidRPr="00E35E48">
              <w:rPr>
                <w:sz w:val="26"/>
                <w:szCs w:val="26"/>
              </w:rPr>
              <w:t>Projekta attiecīgā punkta (panta) galīgā redakcija</w:t>
            </w:r>
          </w:p>
        </w:tc>
      </w:tr>
      <w:tr w:rsidR="00983628" w:rsidRPr="00E35E48" w:rsidTr="00D37CBF">
        <w:tc>
          <w:tcPr>
            <w:tcW w:w="209" w:type="pct"/>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pStyle w:val="naisc"/>
              <w:spacing w:before="0" w:after="0"/>
              <w:rPr>
                <w:sz w:val="26"/>
                <w:szCs w:val="26"/>
              </w:rPr>
            </w:pPr>
            <w:r w:rsidRPr="00E35E48">
              <w:rPr>
                <w:sz w:val="26"/>
                <w:szCs w:val="26"/>
              </w:rPr>
              <w:t>1</w:t>
            </w:r>
          </w:p>
        </w:tc>
        <w:tc>
          <w:tcPr>
            <w:tcW w:w="936" w:type="pct"/>
            <w:gridSpan w:val="2"/>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pStyle w:val="naisc"/>
              <w:spacing w:before="0" w:after="0"/>
              <w:ind w:firstLine="720"/>
              <w:rPr>
                <w:sz w:val="26"/>
                <w:szCs w:val="26"/>
              </w:rPr>
            </w:pPr>
            <w:r w:rsidRPr="00E35E48">
              <w:rPr>
                <w:sz w:val="26"/>
                <w:szCs w:val="26"/>
              </w:rPr>
              <w:t>2</w:t>
            </w:r>
          </w:p>
        </w:tc>
        <w:tc>
          <w:tcPr>
            <w:tcW w:w="1486" w:type="pct"/>
            <w:gridSpan w:val="2"/>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pStyle w:val="naisc"/>
              <w:spacing w:before="0" w:after="0"/>
              <w:ind w:firstLine="720"/>
              <w:rPr>
                <w:sz w:val="26"/>
                <w:szCs w:val="26"/>
              </w:rPr>
            </w:pPr>
            <w:r w:rsidRPr="00E35E48">
              <w:rPr>
                <w:sz w:val="26"/>
                <w:szCs w:val="26"/>
              </w:rPr>
              <w:t>3</w:t>
            </w:r>
          </w:p>
        </w:tc>
        <w:tc>
          <w:tcPr>
            <w:tcW w:w="1020" w:type="pct"/>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pStyle w:val="naisc"/>
              <w:spacing w:before="0" w:after="0"/>
              <w:ind w:firstLine="720"/>
              <w:rPr>
                <w:sz w:val="26"/>
                <w:szCs w:val="26"/>
              </w:rPr>
            </w:pPr>
            <w:r w:rsidRPr="00E35E48">
              <w:rPr>
                <w:sz w:val="26"/>
                <w:szCs w:val="26"/>
              </w:rPr>
              <w:t>4</w:t>
            </w:r>
          </w:p>
        </w:tc>
        <w:tc>
          <w:tcPr>
            <w:tcW w:w="1349" w:type="pct"/>
            <w:gridSpan w:val="2"/>
            <w:tcBorders>
              <w:top w:val="single" w:sz="4" w:space="0" w:color="auto"/>
              <w:left w:val="single" w:sz="4" w:space="0" w:color="auto"/>
              <w:bottom w:val="single" w:sz="4" w:space="0" w:color="auto"/>
            </w:tcBorders>
          </w:tcPr>
          <w:p w:rsidR="00983628" w:rsidRPr="00E35E48" w:rsidRDefault="00983628" w:rsidP="00D37CBF">
            <w:pPr>
              <w:jc w:val="center"/>
              <w:rPr>
                <w:sz w:val="26"/>
                <w:szCs w:val="26"/>
              </w:rPr>
            </w:pPr>
            <w:r w:rsidRPr="00E35E48">
              <w:rPr>
                <w:sz w:val="26"/>
                <w:szCs w:val="26"/>
              </w:rPr>
              <w:t>5</w:t>
            </w:r>
          </w:p>
        </w:tc>
      </w:tr>
      <w:tr w:rsidR="00983628" w:rsidRPr="00E35E48" w:rsidTr="00D37CBF">
        <w:tc>
          <w:tcPr>
            <w:tcW w:w="5000" w:type="pct"/>
            <w:gridSpan w:val="8"/>
            <w:tcBorders>
              <w:left w:val="single" w:sz="6" w:space="0" w:color="000000"/>
              <w:bottom w:val="single" w:sz="4" w:space="0" w:color="auto"/>
            </w:tcBorders>
          </w:tcPr>
          <w:p w:rsidR="00983628" w:rsidRPr="00E35E48" w:rsidRDefault="000B16A8" w:rsidP="00D37CBF">
            <w:pPr>
              <w:pStyle w:val="tv213"/>
              <w:spacing w:before="0" w:beforeAutospacing="0" w:after="0" w:afterAutospacing="0"/>
              <w:jc w:val="center"/>
              <w:rPr>
                <w:b/>
                <w:bCs/>
                <w:sz w:val="26"/>
                <w:szCs w:val="26"/>
              </w:rPr>
            </w:pPr>
            <w:r w:rsidRPr="00E35E48">
              <w:rPr>
                <w:b/>
                <w:bCs/>
                <w:sz w:val="26"/>
                <w:szCs w:val="26"/>
              </w:rPr>
              <w:t>Finanšu</w:t>
            </w:r>
            <w:r w:rsidR="00983628" w:rsidRPr="00E35E48">
              <w:rPr>
                <w:b/>
                <w:bCs/>
                <w:sz w:val="26"/>
                <w:szCs w:val="26"/>
              </w:rPr>
              <w:t xml:space="preserve"> ministrija</w:t>
            </w:r>
          </w:p>
        </w:tc>
      </w:tr>
      <w:tr w:rsidR="00983628" w:rsidRPr="00E35E48" w:rsidTr="00D37CBF">
        <w:tc>
          <w:tcPr>
            <w:tcW w:w="220" w:type="pct"/>
            <w:gridSpan w:val="2"/>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jc w:val="center"/>
              <w:rPr>
                <w:sz w:val="26"/>
                <w:szCs w:val="26"/>
              </w:rPr>
            </w:pPr>
            <w:r w:rsidRPr="00E35E48">
              <w:rPr>
                <w:sz w:val="26"/>
                <w:szCs w:val="26"/>
              </w:rPr>
              <w:t>1.</w:t>
            </w:r>
          </w:p>
        </w:tc>
        <w:tc>
          <w:tcPr>
            <w:tcW w:w="925" w:type="pct"/>
            <w:tcBorders>
              <w:top w:val="single" w:sz="6" w:space="0" w:color="000000"/>
              <w:left w:val="single" w:sz="6" w:space="0" w:color="000000"/>
              <w:bottom w:val="single" w:sz="6" w:space="0" w:color="000000"/>
              <w:right w:val="single" w:sz="6" w:space="0" w:color="000000"/>
            </w:tcBorders>
          </w:tcPr>
          <w:p w:rsidR="005D1570" w:rsidRPr="00E35E48" w:rsidRDefault="005D1570" w:rsidP="005D1570">
            <w:pPr>
              <w:jc w:val="both"/>
              <w:rPr>
                <w:sz w:val="26"/>
                <w:szCs w:val="26"/>
              </w:rPr>
            </w:pPr>
            <w:r w:rsidRPr="00E35E48">
              <w:rPr>
                <w:sz w:val="26"/>
                <w:szCs w:val="26"/>
              </w:rPr>
              <w:t xml:space="preserve">Informatīvā ziņojuma teksts (9 </w:t>
            </w:r>
            <w:proofErr w:type="spellStart"/>
            <w:r w:rsidRPr="00E35E48">
              <w:rPr>
                <w:sz w:val="26"/>
                <w:szCs w:val="26"/>
              </w:rPr>
              <w:t>lpp</w:t>
            </w:r>
            <w:proofErr w:type="spellEnd"/>
            <w:r w:rsidRPr="00E35E48">
              <w:rPr>
                <w:sz w:val="26"/>
                <w:szCs w:val="26"/>
              </w:rPr>
              <w:t>):</w:t>
            </w:r>
          </w:p>
          <w:p w:rsidR="005D1570" w:rsidRPr="00E35E48" w:rsidRDefault="005D1570" w:rsidP="005D1570">
            <w:pPr>
              <w:jc w:val="both"/>
              <w:rPr>
                <w:sz w:val="26"/>
                <w:szCs w:val="26"/>
              </w:rPr>
            </w:pPr>
            <w:r w:rsidRPr="00E35E48">
              <w:rPr>
                <w:sz w:val="26"/>
                <w:szCs w:val="26"/>
              </w:rPr>
              <w:t xml:space="preserve">“Jāņem vērā, ka svarīgs priekšnoteikums speciālā budžeta ilgtspējai ir godprātīga sociālās apdrošināšanas iemaksu veikšana. Diemžēl apmēram trešdaļa no visām sociāli apdrošinātajām personām iemaksas veic no ienākumiem, kas ir mazāki par valstī </w:t>
            </w:r>
            <w:r w:rsidRPr="00E35E48">
              <w:rPr>
                <w:sz w:val="26"/>
                <w:szCs w:val="26"/>
              </w:rPr>
              <w:lastRenderedPageBreak/>
              <w:t>noteikto minimālo mēneša darba algu. Tādējādi šo personu sociālais nodrošinājums nākotnē būs ļoti zems, nenopelnot sev pat minimālo vecuma pensiju. Tāpēc, lai neradītu papildus slogu pārējiem sociālo apdrošināšanas iemaksu veicējiem, papildus garantijas šiem cilvēkiem būtu jāsedz no valsts pamatbudžeta līdzekļiem.”</w:t>
            </w:r>
          </w:p>
          <w:p w:rsidR="00983628" w:rsidRPr="00E35E48" w:rsidRDefault="00983628" w:rsidP="00D37CBF">
            <w:pPr>
              <w:tabs>
                <w:tab w:val="left" w:pos="429"/>
                <w:tab w:val="left" w:pos="684"/>
                <w:tab w:val="left" w:pos="720"/>
                <w:tab w:val="left" w:pos="1959"/>
              </w:tabs>
              <w:autoSpaceDE w:val="0"/>
              <w:autoSpaceDN w:val="0"/>
              <w:adjustRightInd w:val="0"/>
              <w:ind w:firstLine="258"/>
              <w:jc w:val="both"/>
              <w:rPr>
                <w:sz w:val="26"/>
                <w:szCs w:val="26"/>
              </w:rPr>
            </w:pPr>
          </w:p>
        </w:tc>
        <w:tc>
          <w:tcPr>
            <w:tcW w:w="1486" w:type="pct"/>
            <w:gridSpan w:val="2"/>
            <w:tcBorders>
              <w:top w:val="single" w:sz="6" w:space="0" w:color="000000"/>
              <w:left w:val="single" w:sz="6" w:space="0" w:color="000000"/>
              <w:bottom w:val="single" w:sz="6" w:space="0" w:color="000000"/>
              <w:right w:val="single" w:sz="6" w:space="0" w:color="000000"/>
            </w:tcBorders>
          </w:tcPr>
          <w:p w:rsidR="000B16A8" w:rsidRPr="00E35E48" w:rsidRDefault="000B16A8" w:rsidP="000B16A8">
            <w:pPr>
              <w:jc w:val="both"/>
              <w:rPr>
                <w:sz w:val="26"/>
                <w:szCs w:val="26"/>
              </w:rPr>
            </w:pPr>
            <w:r w:rsidRPr="00E35E48">
              <w:rPr>
                <w:sz w:val="26"/>
                <w:szCs w:val="26"/>
              </w:rPr>
              <w:lastRenderedPageBreak/>
              <w:t>Attiecībā par informatīvā ziņojuma projekta 3.punktā “Priekšlikumi problēmu risināšanai” (turpmāk – 3.punkts), (9.lpp.) norādīto, ka, lai neradītu papildus slogu pārējiem sociālo apdrošināšanas iemaksu veicējiem, papildus garantijas šiem cilvēkiem būtu jāsedz no valsts pamatbudžeta līdzekļiem, lūdzam papildināt informatīvā ziņojuma projektu, jo nav saprotams, vai, ieviešot informatīvā ziņojuma projektā paredzēto, neveidosies negatīva ietekme uz valsts budžetu</w:t>
            </w:r>
            <w:r w:rsidR="003C1C30" w:rsidRPr="00E35E48">
              <w:rPr>
                <w:sz w:val="26"/>
                <w:szCs w:val="26"/>
              </w:rPr>
              <w:t>.</w:t>
            </w:r>
          </w:p>
          <w:p w:rsidR="00983628" w:rsidRPr="00E35E48" w:rsidRDefault="00983628" w:rsidP="00D37CBF">
            <w:pPr>
              <w:pStyle w:val="naisc"/>
              <w:tabs>
                <w:tab w:val="left" w:pos="851"/>
              </w:tabs>
              <w:spacing w:before="0" w:after="0"/>
              <w:ind w:left="32" w:right="13"/>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jc w:val="both"/>
              <w:rPr>
                <w:b/>
                <w:sz w:val="26"/>
                <w:szCs w:val="26"/>
              </w:rPr>
            </w:pPr>
            <w:r w:rsidRPr="00E35E48">
              <w:rPr>
                <w:b/>
                <w:sz w:val="26"/>
                <w:szCs w:val="26"/>
              </w:rPr>
              <w:t>Iebildums ņemts vērā.</w:t>
            </w:r>
          </w:p>
        </w:tc>
        <w:tc>
          <w:tcPr>
            <w:tcW w:w="1349" w:type="pct"/>
            <w:gridSpan w:val="2"/>
            <w:tcBorders>
              <w:top w:val="single" w:sz="4" w:space="0" w:color="auto"/>
              <w:left w:val="single" w:sz="4" w:space="0" w:color="auto"/>
              <w:bottom w:val="single" w:sz="4" w:space="0" w:color="auto"/>
            </w:tcBorders>
          </w:tcPr>
          <w:p w:rsidR="0093330C" w:rsidRPr="00E35E48" w:rsidRDefault="0093330C" w:rsidP="0093330C">
            <w:pPr>
              <w:jc w:val="both"/>
              <w:rPr>
                <w:sz w:val="26"/>
                <w:szCs w:val="26"/>
              </w:rPr>
            </w:pPr>
            <w:r w:rsidRPr="00E35E48">
              <w:rPr>
                <w:sz w:val="26"/>
                <w:szCs w:val="26"/>
              </w:rPr>
              <w:t xml:space="preserve">Informatīvā ziņojuma teksts (9 </w:t>
            </w:r>
            <w:proofErr w:type="spellStart"/>
            <w:r w:rsidRPr="00E35E48">
              <w:rPr>
                <w:sz w:val="26"/>
                <w:szCs w:val="26"/>
              </w:rPr>
              <w:t>lpp</w:t>
            </w:r>
            <w:proofErr w:type="spellEnd"/>
            <w:r w:rsidRPr="00E35E48">
              <w:rPr>
                <w:sz w:val="26"/>
                <w:szCs w:val="26"/>
              </w:rPr>
              <w:t>):</w:t>
            </w:r>
          </w:p>
          <w:p w:rsidR="0093330C" w:rsidRPr="00E35E48" w:rsidRDefault="0093330C" w:rsidP="0093330C">
            <w:pPr>
              <w:shd w:val="clear" w:color="auto" w:fill="FFFFFF"/>
              <w:ind w:firstLine="300"/>
              <w:jc w:val="both"/>
              <w:rPr>
                <w:sz w:val="26"/>
                <w:szCs w:val="26"/>
              </w:rPr>
            </w:pPr>
            <w:r w:rsidRPr="00E35E48">
              <w:rPr>
                <w:sz w:val="26"/>
                <w:szCs w:val="26"/>
              </w:rPr>
              <w:t xml:space="preserve">“Jāņem vērā, ka svarīgs priekšnoteikums speciālā budžeta ilgtspējai ir godprātīga sociālās apdrošināšanas iemaksu veikšana. Diemžēl apmēram trešdaļa no visām sociāli apdrošinātajām personām iemaksas veic no ienākumiem, kas ir mazāki par valstī noteikto minimālo mēneša darba algu. Tādējādi šo personu sociālais nodrošinājums nākotnē būs ļoti zems, nenopelnot sev pat minimālo vecuma pensiju. Šobrīd visas garantijas, kas saistītas </w:t>
            </w:r>
            <w:r w:rsidRPr="00E35E48">
              <w:rPr>
                <w:sz w:val="26"/>
                <w:szCs w:val="26"/>
              </w:rPr>
              <w:lastRenderedPageBreak/>
              <w:t>ar minimālo vecuma pensiju nodrošināšanu, tiek segtas no speciālā budžeta.”</w:t>
            </w:r>
          </w:p>
        </w:tc>
      </w:tr>
      <w:tr w:rsidR="00983628" w:rsidRPr="00E35E48" w:rsidTr="00D37CBF">
        <w:tc>
          <w:tcPr>
            <w:tcW w:w="220" w:type="pct"/>
            <w:gridSpan w:val="2"/>
            <w:tcBorders>
              <w:top w:val="single" w:sz="6" w:space="0" w:color="000000"/>
              <w:left w:val="single" w:sz="6" w:space="0" w:color="000000"/>
              <w:bottom w:val="single" w:sz="6" w:space="0" w:color="000000"/>
              <w:right w:val="single" w:sz="6" w:space="0" w:color="000000"/>
            </w:tcBorders>
          </w:tcPr>
          <w:p w:rsidR="00983628" w:rsidRPr="00E35E48" w:rsidRDefault="003C1C30" w:rsidP="00D37CBF">
            <w:pPr>
              <w:jc w:val="center"/>
              <w:rPr>
                <w:sz w:val="26"/>
                <w:szCs w:val="26"/>
              </w:rPr>
            </w:pPr>
            <w:r w:rsidRPr="00E35E48">
              <w:rPr>
                <w:sz w:val="26"/>
                <w:szCs w:val="26"/>
              </w:rPr>
              <w:lastRenderedPageBreak/>
              <w:t>2.</w:t>
            </w:r>
          </w:p>
        </w:tc>
        <w:tc>
          <w:tcPr>
            <w:tcW w:w="925" w:type="pct"/>
            <w:tcBorders>
              <w:top w:val="single" w:sz="6" w:space="0" w:color="000000"/>
              <w:left w:val="single" w:sz="6" w:space="0" w:color="000000"/>
              <w:bottom w:val="single" w:sz="6" w:space="0" w:color="000000"/>
              <w:right w:val="single" w:sz="6" w:space="0" w:color="000000"/>
            </w:tcBorders>
          </w:tcPr>
          <w:p w:rsidR="00DE1244" w:rsidRPr="00E35E48" w:rsidRDefault="00DE1244" w:rsidP="00DE1244">
            <w:pPr>
              <w:jc w:val="both"/>
              <w:rPr>
                <w:sz w:val="26"/>
                <w:szCs w:val="26"/>
              </w:rPr>
            </w:pPr>
            <w:r w:rsidRPr="00E35E48">
              <w:rPr>
                <w:sz w:val="26"/>
                <w:szCs w:val="26"/>
              </w:rPr>
              <w:t xml:space="preserve">Informatīvā ziņojuma teksts (9 </w:t>
            </w:r>
            <w:proofErr w:type="spellStart"/>
            <w:r w:rsidRPr="00E35E48">
              <w:rPr>
                <w:sz w:val="26"/>
                <w:szCs w:val="26"/>
              </w:rPr>
              <w:t>lpp</w:t>
            </w:r>
            <w:proofErr w:type="spellEnd"/>
            <w:r w:rsidRPr="00E35E48">
              <w:rPr>
                <w:sz w:val="26"/>
                <w:szCs w:val="26"/>
              </w:rPr>
              <w:t>):</w:t>
            </w:r>
          </w:p>
          <w:p w:rsidR="00983628" w:rsidRPr="00E35E48" w:rsidRDefault="00DE1244" w:rsidP="00D37CBF">
            <w:pPr>
              <w:jc w:val="both"/>
              <w:rPr>
                <w:sz w:val="26"/>
                <w:szCs w:val="26"/>
              </w:rPr>
            </w:pPr>
            <w:r w:rsidRPr="00E35E48">
              <w:rPr>
                <w:sz w:val="26"/>
                <w:szCs w:val="26"/>
              </w:rPr>
              <w:t>“Kopējās izmaksas informācijas sistēmu izmaiņām tiek novērtētas EUR 130 680.00 apmērā (300 c/d * EUR 435,60).”</w:t>
            </w:r>
          </w:p>
        </w:tc>
        <w:tc>
          <w:tcPr>
            <w:tcW w:w="1486" w:type="pct"/>
            <w:gridSpan w:val="2"/>
            <w:tcBorders>
              <w:top w:val="single" w:sz="6" w:space="0" w:color="000000"/>
              <w:left w:val="single" w:sz="6" w:space="0" w:color="000000"/>
              <w:bottom w:val="single" w:sz="6" w:space="0" w:color="000000"/>
              <w:right w:val="single" w:sz="6" w:space="0" w:color="000000"/>
            </w:tcBorders>
          </w:tcPr>
          <w:p w:rsidR="000B16A8" w:rsidRPr="00E35E48" w:rsidRDefault="000B16A8" w:rsidP="000B16A8">
            <w:pPr>
              <w:jc w:val="both"/>
              <w:rPr>
                <w:sz w:val="26"/>
                <w:szCs w:val="26"/>
              </w:rPr>
            </w:pPr>
            <w:r w:rsidRPr="00E35E48">
              <w:rPr>
                <w:sz w:val="26"/>
                <w:szCs w:val="26"/>
              </w:rPr>
              <w:t xml:space="preserve">Attiecībā par informatīvā ziņojuma projekta 3.punktā (9.lpp.) norādīto, ka, lai nodrošinātu informatīvā ziņojuma projektā paredzēto pasākumu īstenošanu, būs jāveic izmaiņas VSAA informācijas sistēmās un šo izmaiņu ieviešanas izmaksas tiek novērtētas 130 680 </w:t>
            </w:r>
            <w:proofErr w:type="spellStart"/>
            <w:r w:rsidRPr="00E35E48">
              <w:rPr>
                <w:i/>
                <w:sz w:val="26"/>
                <w:szCs w:val="26"/>
              </w:rPr>
              <w:t>euro</w:t>
            </w:r>
            <w:proofErr w:type="spellEnd"/>
            <w:r w:rsidRPr="00E35E48">
              <w:rPr>
                <w:sz w:val="26"/>
                <w:szCs w:val="26"/>
              </w:rPr>
              <w:t xml:space="preserve"> apmērā, lūdzam papildināt informatīvā ziņojuma projektu, norādot, ka minētās izmaiņas LM (VSAA) nodrošinās tai piešķirto valsts budžeta līdzekļu ietvaros.</w:t>
            </w:r>
          </w:p>
          <w:p w:rsidR="00983628" w:rsidRPr="00E35E48" w:rsidRDefault="00983628" w:rsidP="00D37CBF">
            <w:pPr>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983628" w:rsidRPr="00E35E48" w:rsidRDefault="00983628" w:rsidP="00D37CBF">
            <w:pPr>
              <w:ind w:firstLine="61"/>
              <w:jc w:val="both"/>
              <w:rPr>
                <w:b/>
                <w:bCs/>
                <w:sz w:val="26"/>
                <w:szCs w:val="26"/>
              </w:rPr>
            </w:pPr>
            <w:r w:rsidRPr="00E35E48">
              <w:rPr>
                <w:b/>
                <w:bCs/>
                <w:sz w:val="26"/>
                <w:szCs w:val="26"/>
              </w:rPr>
              <w:t>Iebildums ņemts vērā.</w:t>
            </w:r>
          </w:p>
        </w:tc>
        <w:tc>
          <w:tcPr>
            <w:tcW w:w="1349" w:type="pct"/>
            <w:gridSpan w:val="2"/>
            <w:tcBorders>
              <w:top w:val="single" w:sz="4" w:space="0" w:color="auto"/>
              <w:left w:val="single" w:sz="4" w:space="0" w:color="auto"/>
              <w:bottom w:val="single" w:sz="4" w:space="0" w:color="auto"/>
            </w:tcBorders>
          </w:tcPr>
          <w:p w:rsidR="0093330C" w:rsidRPr="00E35E48" w:rsidRDefault="0093330C" w:rsidP="0093330C">
            <w:pPr>
              <w:jc w:val="both"/>
              <w:rPr>
                <w:sz w:val="26"/>
                <w:szCs w:val="26"/>
              </w:rPr>
            </w:pPr>
            <w:r w:rsidRPr="00E35E48">
              <w:rPr>
                <w:sz w:val="26"/>
                <w:szCs w:val="26"/>
              </w:rPr>
              <w:t xml:space="preserve">Informatīvā ziņojuma teksts (9 </w:t>
            </w:r>
            <w:proofErr w:type="spellStart"/>
            <w:r w:rsidRPr="00E35E48">
              <w:rPr>
                <w:sz w:val="26"/>
                <w:szCs w:val="26"/>
              </w:rPr>
              <w:t>lpp</w:t>
            </w:r>
            <w:proofErr w:type="spellEnd"/>
            <w:r w:rsidRPr="00E35E48">
              <w:rPr>
                <w:sz w:val="26"/>
                <w:szCs w:val="26"/>
              </w:rPr>
              <w:t>):</w:t>
            </w:r>
          </w:p>
          <w:p w:rsidR="00983628" w:rsidRPr="00E35E48" w:rsidRDefault="0093330C" w:rsidP="0093330C">
            <w:pPr>
              <w:ind w:right="12" w:firstLine="851"/>
              <w:jc w:val="both"/>
              <w:rPr>
                <w:sz w:val="26"/>
                <w:szCs w:val="26"/>
              </w:rPr>
            </w:pPr>
            <w:r w:rsidRPr="00E35E48">
              <w:rPr>
                <w:sz w:val="26"/>
                <w:szCs w:val="26"/>
              </w:rPr>
              <w:t>“Kopējās izmaksas informācijas sistēmu izmaiņām tiek novērtētas EUR 130 680.00 apmērā (300 c/d * EUR 435,60). Minētās izmaiņas VSAA nodrošinās tai piešķirto valsts budžeta līdzekļu ietvaros.”</w:t>
            </w:r>
          </w:p>
        </w:tc>
      </w:tr>
      <w:tr w:rsidR="00062E82" w:rsidRPr="00E35E48" w:rsidTr="00D37CBF">
        <w:tc>
          <w:tcPr>
            <w:tcW w:w="5000" w:type="pct"/>
            <w:gridSpan w:val="8"/>
            <w:tcBorders>
              <w:top w:val="single" w:sz="6" w:space="0" w:color="000000"/>
              <w:left w:val="single" w:sz="6" w:space="0" w:color="000000"/>
              <w:bottom w:val="single" w:sz="6" w:space="0" w:color="000000"/>
            </w:tcBorders>
          </w:tcPr>
          <w:p w:rsidR="00E35E48" w:rsidRDefault="00E35E48" w:rsidP="00062E82">
            <w:pPr>
              <w:jc w:val="center"/>
              <w:rPr>
                <w:b/>
                <w:sz w:val="26"/>
                <w:szCs w:val="26"/>
              </w:rPr>
            </w:pPr>
          </w:p>
          <w:p w:rsidR="00062E82" w:rsidRPr="00E35E48" w:rsidRDefault="00062E82" w:rsidP="00062E82">
            <w:pPr>
              <w:jc w:val="center"/>
              <w:rPr>
                <w:b/>
                <w:sz w:val="26"/>
                <w:szCs w:val="26"/>
              </w:rPr>
            </w:pPr>
            <w:r w:rsidRPr="00E35E48">
              <w:rPr>
                <w:b/>
                <w:sz w:val="26"/>
                <w:szCs w:val="26"/>
              </w:rPr>
              <w:lastRenderedPageBreak/>
              <w:t>Latvijas Pašvaldību savienība</w:t>
            </w:r>
          </w:p>
        </w:tc>
      </w:tr>
      <w:tr w:rsidR="00FA750B" w:rsidRPr="00E35E48" w:rsidTr="00D37CBF">
        <w:tc>
          <w:tcPr>
            <w:tcW w:w="220" w:type="pct"/>
            <w:gridSpan w:val="2"/>
            <w:tcBorders>
              <w:top w:val="single" w:sz="6" w:space="0" w:color="000000"/>
              <w:left w:val="single" w:sz="6" w:space="0" w:color="000000"/>
              <w:bottom w:val="single" w:sz="6" w:space="0" w:color="000000"/>
              <w:right w:val="single" w:sz="6" w:space="0" w:color="000000"/>
            </w:tcBorders>
          </w:tcPr>
          <w:p w:rsidR="00FA750B" w:rsidRPr="00E35E48" w:rsidRDefault="00FA750B" w:rsidP="00FA750B">
            <w:pPr>
              <w:jc w:val="center"/>
              <w:rPr>
                <w:sz w:val="26"/>
                <w:szCs w:val="26"/>
              </w:rPr>
            </w:pPr>
            <w:r w:rsidRPr="00E35E48">
              <w:rPr>
                <w:sz w:val="26"/>
                <w:szCs w:val="26"/>
              </w:rPr>
              <w:lastRenderedPageBreak/>
              <w:t>3.</w:t>
            </w:r>
          </w:p>
        </w:tc>
        <w:tc>
          <w:tcPr>
            <w:tcW w:w="925" w:type="pct"/>
            <w:tcBorders>
              <w:top w:val="single" w:sz="6" w:space="0" w:color="000000"/>
              <w:left w:val="single" w:sz="6" w:space="0" w:color="000000"/>
              <w:bottom w:val="single" w:sz="6" w:space="0" w:color="000000"/>
              <w:right w:val="single" w:sz="6" w:space="0" w:color="000000"/>
            </w:tcBorders>
          </w:tcPr>
          <w:p w:rsidR="00FA750B" w:rsidRPr="00E35E48" w:rsidRDefault="00FA750B" w:rsidP="00FA750B">
            <w:pPr>
              <w:jc w:val="both"/>
              <w:rPr>
                <w:sz w:val="26"/>
                <w:szCs w:val="26"/>
              </w:rPr>
            </w:pPr>
            <w:r w:rsidRPr="00E35E48">
              <w:rPr>
                <w:sz w:val="26"/>
                <w:szCs w:val="26"/>
              </w:rPr>
              <w:t xml:space="preserve">Informatīvā ziņojuma teksts (2 </w:t>
            </w:r>
            <w:proofErr w:type="spellStart"/>
            <w:r w:rsidRPr="00E35E48">
              <w:rPr>
                <w:sz w:val="26"/>
                <w:szCs w:val="26"/>
              </w:rPr>
              <w:t>lpp</w:t>
            </w:r>
            <w:proofErr w:type="spellEnd"/>
            <w:r w:rsidRPr="00E35E48">
              <w:rPr>
                <w:sz w:val="26"/>
                <w:szCs w:val="26"/>
              </w:rPr>
              <w:t>):</w:t>
            </w:r>
          </w:p>
          <w:p w:rsidR="00FA750B" w:rsidRPr="00E35E48" w:rsidRDefault="00FA750B" w:rsidP="00FA750B">
            <w:pPr>
              <w:spacing w:before="120"/>
              <w:ind w:left="34" w:right="142"/>
              <w:jc w:val="both"/>
              <w:rPr>
                <w:sz w:val="26"/>
                <w:szCs w:val="26"/>
              </w:rPr>
            </w:pPr>
            <w:r w:rsidRPr="00E35E48">
              <w:rPr>
                <w:sz w:val="26"/>
                <w:szCs w:val="26"/>
              </w:rPr>
              <w:t xml:space="preserve">“Jāņem vērā, ka VFPS aktīvu vērtība pastāvīgi pieaug ne vien VFPS līdzekļu pārvaldītāju darbību rezultātā (vairojot ienesīgumu), bet galvenokārt tāpēc, ka: </w:t>
            </w:r>
          </w:p>
          <w:p w:rsidR="00FA750B" w:rsidRPr="00E35E48" w:rsidRDefault="00FA750B" w:rsidP="00FA750B">
            <w:pPr>
              <w:ind w:left="34" w:right="142" w:firstLine="629"/>
              <w:jc w:val="both"/>
              <w:rPr>
                <w:sz w:val="26"/>
                <w:szCs w:val="26"/>
              </w:rPr>
            </w:pPr>
            <w:r w:rsidRPr="00E35E48">
              <w:rPr>
                <w:sz w:val="26"/>
                <w:szCs w:val="26"/>
              </w:rPr>
              <w:t xml:space="preserve">- katru mēnesi VFPS tiek novirzītas dalībnieku sociālās apdrošināšanas iemaksas pensiju apdrošināšanai, tā palielinot katra dalībnieka pensijas kapitālu un attiecīgi arī kopējo pārvaldāmo aktīvu vērtību; </w:t>
            </w:r>
          </w:p>
          <w:p w:rsidR="00FA750B" w:rsidRPr="00E35E48" w:rsidRDefault="00FA750B" w:rsidP="00FA750B">
            <w:pPr>
              <w:ind w:left="34" w:right="142" w:firstLine="629"/>
              <w:jc w:val="both"/>
              <w:rPr>
                <w:sz w:val="26"/>
                <w:szCs w:val="26"/>
              </w:rPr>
            </w:pPr>
            <w:r w:rsidRPr="00E35E48">
              <w:rPr>
                <w:sz w:val="26"/>
                <w:szCs w:val="26"/>
              </w:rPr>
              <w:t xml:space="preserve">- no 2011.gada ir būtiski mainījusies uz VFPS novirzāmā sociālās apdrošināšanas iemaksu likmes daļa: ja 2011.gadā tā bija </w:t>
            </w:r>
            <w:r w:rsidRPr="00E35E48">
              <w:rPr>
                <w:sz w:val="26"/>
                <w:szCs w:val="26"/>
              </w:rPr>
              <w:lastRenderedPageBreak/>
              <w:t>2%, no 2013.gada – 4%, 2015.gadā – 5%, bet no 2016.gada tā ir jau 6% apmērā. Līdz ar to jau tuvākā nākotnē vecuma pensijas vienu trešo daļu veidos tieši VFPS uzkrātais pensijas kapitāls.”</w:t>
            </w:r>
          </w:p>
          <w:p w:rsidR="00FA750B" w:rsidRPr="00E35E48" w:rsidRDefault="00FA750B" w:rsidP="00FA750B">
            <w:pPr>
              <w:jc w:val="both"/>
              <w:rPr>
                <w:sz w:val="26"/>
                <w:szCs w:val="26"/>
              </w:rPr>
            </w:pPr>
          </w:p>
        </w:tc>
        <w:tc>
          <w:tcPr>
            <w:tcW w:w="1486" w:type="pct"/>
            <w:gridSpan w:val="2"/>
            <w:tcBorders>
              <w:top w:val="single" w:sz="6" w:space="0" w:color="000000"/>
              <w:left w:val="single" w:sz="6" w:space="0" w:color="000000"/>
              <w:bottom w:val="single" w:sz="6" w:space="0" w:color="000000"/>
              <w:right w:val="single" w:sz="6" w:space="0" w:color="000000"/>
            </w:tcBorders>
          </w:tcPr>
          <w:p w:rsidR="00FA750B" w:rsidRPr="00E35E48" w:rsidRDefault="00FA750B" w:rsidP="00FA750B">
            <w:pPr>
              <w:jc w:val="both"/>
              <w:rPr>
                <w:sz w:val="26"/>
                <w:szCs w:val="26"/>
              </w:rPr>
            </w:pPr>
            <w:r w:rsidRPr="00E35E48">
              <w:rPr>
                <w:sz w:val="26"/>
                <w:szCs w:val="26"/>
              </w:rPr>
              <w:lastRenderedPageBreak/>
              <w:t xml:space="preserve">Latvijas Pašvaldību savienība ir izvērtējusi un nesaskaņo </w:t>
            </w:r>
            <w:r w:rsidRPr="00E35E48">
              <w:rPr>
                <w:iCs/>
                <w:color w:val="000000"/>
                <w:sz w:val="26"/>
                <w:szCs w:val="26"/>
              </w:rPr>
              <w:t xml:space="preserve">informatīvo ziņojumu "Par valsts </w:t>
            </w:r>
            <w:proofErr w:type="spellStart"/>
            <w:r w:rsidRPr="00E35E48">
              <w:rPr>
                <w:iCs/>
                <w:color w:val="000000"/>
                <w:sz w:val="26"/>
                <w:szCs w:val="26"/>
              </w:rPr>
              <w:t>fondētās</w:t>
            </w:r>
            <w:proofErr w:type="spellEnd"/>
            <w:r w:rsidRPr="00E35E48">
              <w:rPr>
                <w:iCs/>
                <w:color w:val="000000"/>
                <w:sz w:val="26"/>
                <w:szCs w:val="26"/>
              </w:rPr>
              <w:t xml:space="preserve"> pensijas kapitāla izmantošanu",</w:t>
            </w:r>
            <w:r w:rsidRPr="00E35E48">
              <w:rPr>
                <w:i/>
                <w:color w:val="000000"/>
                <w:sz w:val="26"/>
                <w:szCs w:val="26"/>
              </w:rPr>
              <w:t xml:space="preserve"> </w:t>
            </w:r>
            <w:r w:rsidRPr="00E35E48">
              <w:rPr>
                <w:sz w:val="26"/>
                <w:szCs w:val="26"/>
              </w:rPr>
              <w:t xml:space="preserve">jo ziņojuma 2.lpp. nepieciešams izslēgt vārdus: “Līdz ar to jau tuvākā nākotnē vecuma pensijas vienu trešo daļu veidos tieši VFPS uzkrātais pensijas kapitāls.” Iemaksājot 6% no apliekamā ienākuma obligātajās </w:t>
            </w:r>
            <w:proofErr w:type="spellStart"/>
            <w:r w:rsidRPr="00E35E48">
              <w:rPr>
                <w:sz w:val="26"/>
                <w:szCs w:val="26"/>
              </w:rPr>
              <w:t>fondētajās</w:t>
            </w:r>
            <w:proofErr w:type="spellEnd"/>
            <w:r w:rsidRPr="00E35E48">
              <w:rPr>
                <w:sz w:val="26"/>
                <w:szCs w:val="26"/>
              </w:rPr>
              <w:t xml:space="preserve"> pensijās, nav ne mazāko izredžu kādreiz šādu proporciju (6 no 20 jeb 30%) saņemt atpakaļ.  Nav neviena fakta, kas norādītu uz 2.līmeņa pensiju konkurētspēju, salīdzinot ar 1.līmeņa pensiju.</w:t>
            </w:r>
          </w:p>
          <w:p w:rsidR="00FA750B" w:rsidRPr="00E35E48" w:rsidRDefault="00FA750B" w:rsidP="00FA750B">
            <w:pPr>
              <w:pStyle w:val="naisc"/>
              <w:tabs>
                <w:tab w:val="left" w:pos="851"/>
              </w:tabs>
              <w:spacing w:before="0" w:after="0"/>
              <w:ind w:left="567" w:right="13"/>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FA750B" w:rsidRPr="00E35E48" w:rsidRDefault="00FA750B" w:rsidP="00FA750B">
            <w:pPr>
              <w:ind w:firstLine="61"/>
              <w:jc w:val="both"/>
              <w:rPr>
                <w:bCs/>
                <w:sz w:val="26"/>
                <w:szCs w:val="26"/>
              </w:rPr>
            </w:pPr>
            <w:r w:rsidRPr="00E35E48">
              <w:rPr>
                <w:b/>
                <w:bCs/>
                <w:sz w:val="26"/>
                <w:szCs w:val="26"/>
              </w:rPr>
              <w:t>Iebildums ņemts vērā.</w:t>
            </w:r>
          </w:p>
        </w:tc>
        <w:tc>
          <w:tcPr>
            <w:tcW w:w="1349" w:type="pct"/>
            <w:gridSpan w:val="2"/>
            <w:tcBorders>
              <w:top w:val="single" w:sz="4" w:space="0" w:color="auto"/>
              <w:left w:val="single" w:sz="4" w:space="0" w:color="auto"/>
              <w:bottom w:val="single" w:sz="4" w:space="0" w:color="auto"/>
            </w:tcBorders>
          </w:tcPr>
          <w:p w:rsidR="00FA750B" w:rsidRPr="00E35E48" w:rsidRDefault="00FA750B" w:rsidP="00FA750B">
            <w:pPr>
              <w:jc w:val="both"/>
              <w:rPr>
                <w:sz w:val="26"/>
                <w:szCs w:val="26"/>
              </w:rPr>
            </w:pPr>
            <w:r w:rsidRPr="00E35E48">
              <w:rPr>
                <w:sz w:val="26"/>
                <w:szCs w:val="26"/>
              </w:rPr>
              <w:t xml:space="preserve">Informatīvā ziņojuma teksts (2 </w:t>
            </w:r>
            <w:proofErr w:type="spellStart"/>
            <w:r w:rsidRPr="00E35E48">
              <w:rPr>
                <w:sz w:val="26"/>
                <w:szCs w:val="26"/>
              </w:rPr>
              <w:t>lpp</w:t>
            </w:r>
            <w:proofErr w:type="spellEnd"/>
            <w:r w:rsidRPr="00E35E48">
              <w:rPr>
                <w:sz w:val="26"/>
                <w:szCs w:val="26"/>
              </w:rPr>
              <w:t>):</w:t>
            </w:r>
          </w:p>
          <w:p w:rsidR="00FA750B" w:rsidRPr="00E35E48" w:rsidRDefault="00FA750B" w:rsidP="00FA750B">
            <w:pPr>
              <w:spacing w:before="120"/>
              <w:ind w:left="34" w:right="142"/>
              <w:jc w:val="both"/>
              <w:rPr>
                <w:sz w:val="26"/>
                <w:szCs w:val="26"/>
              </w:rPr>
            </w:pPr>
            <w:r w:rsidRPr="00E35E48">
              <w:rPr>
                <w:sz w:val="26"/>
                <w:szCs w:val="26"/>
              </w:rPr>
              <w:t xml:space="preserve">“Jāņem vērā, ka VFPS aktīvu vērtība pastāvīgi pieaug ne vien VFPS līdzekļu pārvaldītāju darbību rezultātā (vairojot ienesīgumu), bet galvenokārt tāpēc, ka: </w:t>
            </w:r>
          </w:p>
          <w:p w:rsidR="00FA750B" w:rsidRPr="00E35E48" w:rsidRDefault="00FA750B" w:rsidP="00FA750B">
            <w:pPr>
              <w:ind w:left="34" w:right="142" w:firstLine="629"/>
              <w:jc w:val="both"/>
              <w:rPr>
                <w:sz w:val="26"/>
                <w:szCs w:val="26"/>
              </w:rPr>
            </w:pPr>
            <w:r w:rsidRPr="00E35E48">
              <w:rPr>
                <w:sz w:val="26"/>
                <w:szCs w:val="26"/>
              </w:rPr>
              <w:t xml:space="preserve">- katru mēnesi VFPS tiek novirzītas dalībnieku sociālās apdrošināšanas iemaksas pensiju apdrošināšanai, tā palielinot katra dalībnieka pensijas kapitālu un attiecīgi arī kopējo pārvaldāmo aktīvu vērtību; </w:t>
            </w:r>
          </w:p>
          <w:p w:rsidR="00FA750B" w:rsidRPr="00E35E48" w:rsidRDefault="00FA750B" w:rsidP="00FA750B">
            <w:pPr>
              <w:ind w:left="34" w:right="142" w:firstLine="629"/>
              <w:jc w:val="both"/>
              <w:rPr>
                <w:sz w:val="26"/>
                <w:szCs w:val="26"/>
              </w:rPr>
            </w:pPr>
            <w:r w:rsidRPr="00E35E48">
              <w:rPr>
                <w:sz w:val="26"/>
                <w:szCs w:val="26"/>
              </w:rPr>
              <w:t>- no 2011.gada ir būtiski mainījusies uz VFPS novirzāmā sociālās apdrošināšanas iemaksu likmes daļa: ja 2011.gadā tā bija 2%, no 2013.gada – 4%, 2015.gadā – 5%, bet no 2016.gada tā ir jau 6% apmērā.”</w:t>
            </w:r>
          </w:p>
          <w:p w:rsidR="00FA750B" w:rsidRPr="00E35E48" w:rsidRDefault="00FA750B" w:rsidP="00FA750B">
            <w:pPr>
              <w:jc w:val="both"/>
              <w:rPr>
                <w:sz w:val="26"/>
                <w:szCs w:val="26"/>
              </w:rPr>
            </w:pPr>
          </w:p>
        </w:tc>
      </w:tr>
      <w:tr w:rsidR="00FA750B" w:rsidRPr="00E35E48" w:rsidTr="00D37CBF">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FA750B" w:rsidRPr="00E35E48" w:rsidRDefault="00FA750B" w:rsidP="00FA750B">
            <w:pPr>
              <w:ind w:left="360"/>
              <w:rPr>
                <w:sz w:val="26"/>
                <w:szCs w:val="26"/>
              </w:rPr>
            </w:pPr>
          </w:p>
          <w:p w:rsidR="00FA750B" w:rsidRPr="00E35E48" w:rsidRDefault="00FA750B" w:rsidP="00FA750B">
            <w:pPr>
              <w:ind w:left="360"/>
              <w:rPr>
                <w:sz w:val="26"/>
                <w:szCs w:val="26"/>
              </w:rPr>
            </w:pPr>
          </w:p>
          <w:p w:rsidR="00FA750B" w:rsidRPr="00E35E48" w:rsidRDefault="00FA750B" w:rsidP="00FA750B">
            <w:pPr>
              <w:ind w:left="360"/>
              <w:rPr>
                <w:sz w:val="26"/>
                <w:szCs w:val="26"/>
              </w:rPr>
            </w:pPr>
          </w:p>
          <w:p w:rsidR="00FA750B" w:rsidRPr="00E35E48" w:rsidRDefault="00FA750B" w:rsidP="00FA750B">
            <w:pPr>
              <w:ind w:left="360"/>
              <w:rPr>
                <w:sz w:val="26"/>
                <w:szCs w:val="26"/>
              </w:rPr>
            </w:pPr>
          </w:p>
          <w:p w:rsidR="00FA750B" w:rsidRPr="00E35E48" w:rsidRDefault="00FA750B" w:rsidP="00FA750B">
            <w:pPr>
              <w:ind w:left="360"/>
              <w:rPr>
                <w:sz w:val="26"/>
                <w:szCs w:val="26"/>
              </w:rPr>
            </w:pPr>
            <w:r w:rsidRPr="00E35E48">
              <w:rPr>
                <w:sz w:val="26"/>
                <w:szCs w:val="26"/>
              </w:rPr>
              <w:t>Atbildīgā amatpersona</w:t>
            </w:r>
          </w:p>
        </w:tc>
        <w:tc>
          <w:tcPr>
            <w:tcW w:w="3109" w:type="pct"/>
            <w:gridSpan w:val="3"/>
          </w:tcPr>
          <w:p w:rsidR="00FA750B" w:rsidRPr="00E35E48" w:rsidRDefault="00FA750B" w:rsidP="00FA750B">
            <w:pPr>
              <w:ind w:firstLine="720"/>
              <w:rPr>
                <w:sz w:val="26"/>
                <w:szCs w:val="26"/>
              </w:rPr>
            </w:pPr>
            <w:r w:rsidRPr="00E35E48">
              <w:rPr>
                <w:sz w:val="26"/>
                <w:szCs w:val="26"/>
              </w:rPr>
              <w:t>  </w:t>
            </w:r>
          </w:p>
          <w:p w:rsidR="00FA750B" w:rsidRPr="00E35E48" w:rsidRDefault="00FA750B" w:rsidP="00FA750B">
            <w:pPr>
              <w:ind w:firstLine="720"/>
              <w:jc w:val="center"/>
              <w:rPr>
                <w:sz w:val="26"/>
                <w:szCs w:val="26"/>
              </w:rPr>
            </w:pPr>
          </w:p>
          <w:p w:rsidR="00FA750B" w:rsidRPr="00E35E48" w:rsidRDefault="00FA750B" w:rsidP="00FA750B">
            <w:pPr>
              <w:ind w:firstLine="720"/>
              <w:jc w:val="center"/>
              <w:rPr>
                <w:sz w:val="26"/>
                <w:szCs w:val="26"/>
              </w:rPr>
            </w:pPr>
            <w:r w:rsidRPr="00E35E48">
              <w:rPr>
                <w:sz w:val="26"/>
                <w:szCs w:val="26"/>
              </w:rPr>
              <w:t xml:space="preserve">                                                    </w:t>
            </w:r>
          </w:p>
          <w:p w:rsidR="00FA750B" w:rsidRPr="00E35E48" w:rsidRDefault="00FA750B" w:rsidP="00FA750B">
            <w:pPr>
              <w:ind w:firstLine="720"/>
              <w:jc w:val="center"/>
              <w:rPr>
                <w:sz w:val="26"/>
                <w:szCs w:val="26"/>
              </w:rPr>
            </w:pPr>
            <w:r w:rsidRPr="00E35E48">
              <w:rPr>
                <w:sz w:val="26"/>
                <w:szCs w:val="26"/>
              </w:rPr>
              <w:t xml:space="preserve">                                                                                                       Dace </w:t>
            </w:r>
            <w:proofErr w:type="spellStart"/>
            <w:r w:rsidRPr="00E35E48">
              <w:rPr>
                <w:sz w:val="26"/>
                <w:szCs w:val="26"/>
              </w:rPr>
              <w:t>Trušinska</w:t>
            </w:r>
            <w:proofErr w:type="spellEnd"/>
          </w:p>
        </w:tc>
      </w:tr>
      <w:tr w:rsidR="00FA750B" w:rsidRPr="00AC62C9" w:rsidTr="00D37CBF">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FA750B" w:rsidRPr="00AC62C9" w:rsidRDefault="00FA750B" w:rsidP="00FA750B">
            <w:pPr>
              <w:ind w:left="360"/>
            </w:pPr>
          </w:p>
        </w:tc>
        <w:tc>
          <w:tcPr>
            <w:tcW w:w="3109" w:type="pct"/>
            <w:gridSpan w:val="3"/>
            <w:tcBorders>
              <w:top w:val="single" w:sz="6" w:space="0" w:color="000000"/>
            </w:tcBorders>
          </w:tcPr>
          <w:p w:rsidR="00FA750B" w:rsidRPr="00AC62C9" w:rsidRDefault="00FA750B" w:rsidP="00FA750B">
            <w:pPr>
              <w:ind w:firstLine="720"/>
              <w:jc w:val="right"/>
            </w:pPr>
            <w:r w:rsidRPr="00AC62C9">
              <w:t xml:space="preserve">                                                  (vārds un uzvārds)</w:t>
            </w:r>
          </w:p>
        </w:tc>
      </w:tr>
    </w:tbl>
    <w:p w:rsidR="00983628" w:rsidRDefault="00983628" w:rsidP="00983628">
      <w:pPr>
        <w:rPr>
          <w:sz w:val="20"/>
          <w:szCs w:val="20"/>
        </w:rPr>
      </w:pPr>
    </w:p>
    <w:p w:rsidR="00983628" w:rsidRDefault="00983628" w:rsidP="00983628">
      <w:pPr>
        <w:rPr>
          <w:sz w:val="20"/>
          <w:szCs w:val="20"/>
        </w:rPr>
      </w:pPr>
    </w:p>
    <w:p w:rsidR="00983628" w:rsidRDefault="00983628" w:rsidP="00983628">
      <w:pPr>
        <w:rPr>
          <w:sz w:val="20"/>
          <w:szCs w:val="20"/>
        </w:rPr>
      </w:pPr>
    </w:p>
    <w:p w:rsidR="00983628" w:rsidRDefault="00983628" w:rsidP="00983628">
      <w:pPr>
        <w:rPr>
          <w:sz w:val="20"/>
          <w:szCs w:val="20"/>
        </w:rPr>
      </w:pPr>
    </w:p>
    <w:p w:rsidR="00983628" w:rsidRDefault="00983628" w:rsidP="00983628">
      <w:pPr>
        <w:rPr>
          <w:sz w:val="20"/>
          <w:szCs w:val="20"/>
        </w:rPr>
      </w:pPr>
    </w:p>
    <w:p w:rsidR="00E63FFB" w:rsidRDefault="00E63FFB" w:rsidP="00983628">
      <w:pPr>
        <w:rPr>
          <w:sz w:val="20"/>
          <w:szCs w:val="20"/>
        </w:rPr>
      </w:pPr>
      <w:r>
        <w:rPr>
          <w:sz w:val="20"/>
          <w:szCs w:val="20"/>
        </w:rPr>
        <w:t>04.07.2019 10:05</w:t>
      </w:r>
    </w:p>
    <w:p w:rsidR="00983628" w:rsidRPr="0019557A" w:rsidRDefault="00E35E48" w:rsidP="00983628">
      <w:pPr>
        <w:rPr>
          <w:sz w:val="20"/>
          <w:szCs w:val="20"/>
        </w:rPr>
      </w:pPr>
      <w:bookmarkStart w:id="0" w:name="_GoBack"/>
      <w:bookmarkEnd w:id="0"/>
      <w:r>
        <w:rPr>
          <w:sz w:val="20"/>
          <w:szCs w:val="20"/>
        </w:rPr>
        <w:t>676</w:t>
      </w:r>
    </w:p>
    <w:p w:rsidR="00983628" w:rsidRPr="0019557A" w:rsidRDefault="00983628" w:rsidP="00983628">
      <w:pPr>
        <w:jc w:val="both"/>
        <w:rPr>
          <w:sz w:val="20"/>
          <w:szCs w:val="20"/>
        </w:rPr>
      </w:pPr>
      <w:r w:rsidRPr="0019557A">
        <w:rPr>
          <w:sz w:val="20"/>
          <w:szCs w:val="20"/>
        </w:rPr>
        <w:t xml:space="preserve">D.Trušinska,67021553, </w:t>
      </w:r>
      <w:hyperlink r:id="rId6" w:history="1">
        <w:r w:rsidRPr="0019557A">
          <w:rPr>
            <w:rStyle w:val="Hyperlink"/>
            <w:sz w:val="20"/>
            <w:szCs w:val="20"/>
          </w:rPr>
          <w:t>Dace.Trusinska@lm.gov.lv</w:t>
        </w:r>
      </w:hyperlink>
    </w:p>
    <w:p w:rsidR="00983628" w:rsidRDefault="00983628" w:rsidP="00983628">
      <w:r w:rsidRPr="0019557A">
        <w:rPr>
          <w:sz w:val="20"/>
          <w:szCs w:val="20"/>
        </w:rPr>
        <w:t>Labklājības ministrijas Sociālās apdrošināšanas departamenta vecākā eksperte</w:t>
      </w:r>
    </w:p>
    <w:p w:rsidR="00983628" w:rsidRDefault="00983628" w:rsidP="00983628"/>
    <w:p w:rsidR="001D4C15" w:rsidRDefault="001D4C15"/>
    <w:sectPr w:rsidR="001D4C15" w:rsidSect="00723A3F">
      <w:headerReference w:type="default" r:id="rId7"/>
      <w:footerReference w:type="default" r:id="rId8"/>
      <w:headerReference w:type="first" r:id="rId9"/>
      <w:footerReference w:type="first" r:id="rId10"/>
      <w:pgSz w:w="16838" w:h="11906" w:orient="landscape"/>
      <w:pgMar w:top="1701"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F9" w:rsidRDefault="007F69F9">
      <w:r>
        <w:separator/>
      </w:r>
    </w:p>
  </w:endnote>
  <w:endnote w:type="continuationSeparator" w:id="0">
    <w:p w:rsidR="007F69F9" w:rsidRDefault="007F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8A" w:rsidRDefault="002E0C20">
    <w:pPr>
      <w:pStyle w:val="Footer"/>
    </w:pPr>
    <w:r>
      <w:t>LMizz_</w:t>
    </w:r>
    <w:r w:rsidR="00141469">
      <w:t>0407</w:t>
    </w:r>
    <w:r>
      <w:t xml:space="preserve">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0A55A9" w:rsidRDefault="002E0C20" w:rsidP="000A55A9">
    <w:pPr>
      <w:pStyle w:val="Footer"/>
      <w:rPr>
        <w:sz w:val="20"/>
        <w:szCs w:val="20"/>
      </w:rPr>
    </w:pPr>
    <w:r w:rsidRPr="004E3BAB">
      <w:rPr>
        <w:sz w:val="20"/>
        <w:szCs w:val="20"/>
      </w:rPr>
      <w:t>LM</w:t>
    </w:r>
    <w:r>
      <w:rPr>
        <w:sz w:val="20"/>
        <w:szCs w:val="20"/>
      </w:rPr>
      <w:t>izz</w:t>
    </w:r>
    <w:r w:rsidRPr="004E3BAB">
      <w:rPr>
        <w:sz w:val="20"/>
        <w:szCs w:val="20"/>
      </w:rPr>
      <w:t>_</w:t>
    </w:r>
    <w:r w:rsidR="00141469">
      <w:rPr>
        <w:sz w:val="20"/>
        <w:szCs w:val="20"/>
      </w:rPr>
      <w:t>0407</w:t>
    </w:r>
    <w:r>
      <w:rPr>
        <w:sz w:val="20"/>
        <w:szCs w:val="20"/>
      </w:rPr>
      <w:t>19</w:t>
    </w:r>
    <w:r w:rsidRPr="004E3BA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F9" w:rsidRDefault="007F69F9">
      <w:r>
        <w:separator/>
      </w:r>
    </w:p>
  </w:footnote>
  <w:footnote w:type="continuationSeparator" w:id="0">
    <w:p w:rsidR="007F69F9" w:rsidRDefault="007F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300640"/>
      <w:docPartObj>
        <w:docPartGallery w:val="Page Numbers (Top of Page)"/>
        <w:docPartUnique/>
      </w:docPartObj>
    </w:sdtPr>
    <w:sdtEndPr>
      <w:rPr>
        <w:noProof/>
      </w:rPr>
    </w:sdtEndPr>
    <w:sdtContent>
      <w:p w:rsidR="00723A3F" w:rsidRDefault="002E0C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108E3" w:rsidRDefault="007F6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49" w:rsidRDefault="007F69F9">
    <w:pPr>
      <w:pStyle w:val="Header"/>
      <w:jc w:val="center"/>
    </w:pPr>
  </w:p>
  <w:p w:rsidR="00EA144E" w:rsidRDefault="007F6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28"/>
    <w:rsid w:val="00062E82"/>
    <w:rsid w:val="000B16A8"/>
    <w:rsid w:val="00141469"/>
    <w:rsid w:val="001D4C15"/>
    <w:rsid w:val="002E0C20"/>
    <w:rsid w:val="003C1C30"/>
    <w:rsid w:val="004B3530"/>
    <w:rsid w:val="00594BCB"/>
    <w:rsid w:val="005D1570"/>
    <w:rsid w:val="007F69F9"/>
    <w:rsid w:val="0093330C"/>
    <w:rsid w:val="00983628"/>
    <w:rsid w:val="00CF3F0D"/>
    <w:rsid w:val="00DE1244"/>
    <w:rsid w:val="00E35E48"/>
    <w:rsid w:val="00E63FFB"/>
    <w:rsid w:val="00FA7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532"/>
  <w15:chartTrackingRefBased/>
  <w15:docId w15:val="{D2EE696B-30B4-45A7-A67B-331C6B55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6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83628"/>
    <w:pPr>
      <w:spacing w:before="75" w:after="75"/>
      <w:ind w:firstLine="375"/>
      <w:jc w:val="both"/>
    </w:pPr>
  </w:style>
  <w:style w:type="paragraph" w:customStyle="1" w:styleId="naisc">
    <w:name w:val="naisc"/>
    <w:basedOn w:val="Normal"/>
    <w:rsid w:val="00983628"/>
    <w:pPr>
      <w:spacing w:before="75" w:after="75"/>
      <w:jc w:val="center"/>
    </w:pPr>
  </w:style>
  <w:style w:type="paragraph" w:styleId="Header">
    <w:name w:val="header"/>
    <w:basedOn w:val="Normal"/>
    <w:link w:val="HeaderChar"/>
    <w:uiPriority w:val="99"/>
    <w:rsid w:val="00983628"/>
    <w:pPr>
      <w:tabs>
        <w:tab w:val="center" w:pos="4153"/>
        <w:tab w:val="right" w:pos="8306"/>
      </w:tabs>
    </w:pPr>
  </w:style>
  <w:style w:type="character" w:customStyle="1" w:styleId="HeaderChar">
    <w:name w:val="Header Char"/>
    <w:basedOn w:val="DefaultParagraphFont"/>
    <w:link w:val="Header"/>
    <w:uiPriority w:val="99"/>
    <w:rsid w:val="0098362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83628"/>
    <w:pPr>
      <w:tabs>
        <w:tab w:val="center" w:pos="4153"/>
        <w:tab w:val="right" w:pos="8306"/>
      </w:tabs>
    </w:pPr>
  </w:style>
  <w:style w:type="character" w:customStyle="1" w:styleId="FooterChar">
    <w:name w:val="Footer Char"/>
    <w:basedOn w:val="DefaultParagraphFont"/>
    <w:link w:val="Footer"/>
    <w:uiPriority w:val="99"/>
    <w:rsid w:val="00983628"/>
    <w:rPr>
      <w:rFonts w:ascii="Times New Roman" w:eastAsia="Times New Roman" w:hAnsi="Times New Roman" w:cs="Times New Roman"/>
      <w:sz w:val="24"/>
      <w:szCs w:val="24"/>
      <w:lang w:eastAsia="lv-LV"/>
    </w:rPr>
  </w:style>
  <w:style w:type="paragraph" w:customStyle="1" w:styleId="tv213">
    <w:name w:val="tv213"/>
    <w:basedOn w:val="Normal"/>
    <w:uiPriority w:val="99"/>
    <w:rsid w:val="00983628"/>
    <w:pPr>
      <w:spacing w:before="100" w:beforeAutospacing="1" w:after="100" w:afterAutospacing="1"/>
    </w:pPr>
  </w:style>
  <w:style w:type="paragraph" w:styleId="ListParagraph">
    <w:name w:val="List Paragraph"/>
    <w:basedOn w:val="Normal"/>
    <w:uiPriority w:val="34"/>
    <w:qFormat/>
    <w:rsid w:val="00983628"/>
    <w:pPr>
      <w:ind w:left="720"/>
    </w:pPr>
  </w:style>
  <w:style w:type="character" w:styleId="Hyperlink">
    <w:name w:val="Hyperlink"/>
    <w:basedOn w:val="DefaultParagraphFont"/>
    <w:uiPriority w:val="99"/>
    <w:unhideWhenUsed/>
    <w:rsid w:val="0098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Trusinsk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3507</Words>
  <Characters>1999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fondētās pensijas kapitāla izmantošanu</dc:title>
  <dc:subject>izziņa pat atzinumos sniegtajiem iebildumiem</dc:subject>
  <dc:creator>Dace Trusinska</dc:creator>
  <cp:keywords/>
  <dc:description>D.Trušinska, 67021553
Dace.Trusinska@lm.gov.lv</dc:description>
  <cp:lastModifiedBy>Dace Trusinska</cp:lastModifiedBy>
  <cp:revision>11</cp:revision>
  <cp:lastPrinted>2019-07-04T07:05:00Z</cp:lastPrinted>
  <dcterms:created xsi:type="dcterms:W3CDTF">2019-06-26T12:47:00Z</dcterms:created>
  <dcterms:modified xsi:type="dcterms:W3CDTF">2019-07-04T07:06:00Z</dcterms:modified>
</cp:coreProperties>
</file>