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42FE9" w:rsidR="00894C55" w:rsidP="00E23C66" w:rsidRDefault="00E87285" w14:paraId="6EF5404A" w14:textId="001EDF18">
      <w:pPr>
        <w:shd w:val="clear" w:color="auto" w:fill="FFFFFF"/>
        <w:spacing w:after="0" w:line="240" w:lineRule="auto"/>
        <w:jc w:val="center"/>
        <w:rPr>
          <w:rFonts w:ascii="Times New Roman" w:hAnsi="Times New Roman" w:eastAsia="Times New Roman" w:cs="Times New Roman"/>
          <w:b/>
          <w:bCs/>
          <w:sz w:val="24"/>
          <w:szCs w:val="24"/>
          <w:lang w:eastAsia="lv-LV"/>
        </w:rPr>
      </w:pPr>
      <w:r w:rsidRPr="00242FE9">
        <w:rPr>
          <w:rFonts w:ascii="Times New Roman" w:hAnsi="Times New Roman"/>
          <w:b/>
          <w:sz w:val="24"/>
          <w:szCs w:val="24"/>
        </w:rPr>
        <w:t>Ministru kabineta noteikumu projekt</w:t>
      </w:r>
      <w:r w:rsidRPr="00242FE9" w:rsidR="0010472D">
        <w:rPr>
          <w:rFonts w:ascii="Times New Roman" w:hAnsi="Times New Roman"/>
          <w:b/>
          <w:sz w:val="24"/>
          <w:szCs w:val="24"/>
        </w:rPr>
        <w:t>a</w:t>
      </w:r>
      <w:r w:rsidRPr="00242FE9">
        <w:rPr>
          <w:rFonts w:ascii="Times New Roman" w:hAnsi="Times New Roman"/>
          <w:b/>
          <w:sz w:val="24"/>
          <w:szCs w:val="24"/>
        </w:rPr>
        <w:t xml:space="preserve"> “Grozījum</w:t>
      </w:r>
      <w:r w:rsidR="005C2827">
        <w:rPr>
          <w:rFonts w:ascii="Times New Roman" w:hAnsi="Times New Roman"/>
          <w:b/>
          <w:sz w:val="24"/>
          <w:szCs w:val="24"/>
        </w:rPr>
        <w:t>i</w:t>
      </w:r>
      <w:r w:rsidRPr="00242FE9">
        <w:rPr>
          <w:rFonts w:ascii="Times New Roman" w:hAnsi="Times New Roman"/>
          <w:b/>
          <w:sz w:val="24"/>
          <w:szCs w:val="24"/>
        </w:rPr>
        <w:t xml:space="preserve"> Ministru kabineta 2014.gada 11.februāra noteikumos Nr.96 “Nodokļu un citu maksājumu reģistrēšanas elektronisko ierīču un iekārtu lietošanas kārtība”” </w:t>
      </w:r>
      <w:r w:rsidRPr="00242FE9" w:rsidR="00383B02">
        <w:rPr>
          <w:rFonts w:ascii="Times New Roman" w:hAnsi="Times New Roman" w:eastAsia="Times New Roman"/>
          <w:b/>
          <w:bCs/>
          <w:sz w:val="24"/>
          <w:szCs w:val="24"/>
          <w:lang w:eastAsia="lv-LV"/>
        </w:rPr>
        <w:t>sākotnējās ietekmes novērtējuma ziņojums (anotācija)</w:t>
      </w:r>
    </w:p>
    <w:p w:rsidRPr="00242FE9" w:rsidR="00E5323B" w:rsidP="00E23C66" w:rsidRDefault="00E5323B" w14:paraId="51B05B6E" w14:textId="77777777">
      <w:pPr>
        <w:shd w:val="clear" w:color="auto" w:fill="FFFFFF"/>
        <w:spacing w:after="0" w:line="240" w:lineRule="auto"/>
        <w:jc w:val="center"/>
        <w:rPr>
          <w:rFonts w:ascii="Times New Roman" w:hAnsi="Times New Roman" w:eastAsia="Times New Roman" w:cs="Times New Roman"/>
          <w:b/>
          <w:b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242FE9" w:rsidR="00242FE9" w:rsidTr="00E5323B" w14:paraId="0CF508AE"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242FE9" w:rsidR="00655F2C" w:rsidP="00E23C66" w:rsidRDefault="00E5323B" w14:paraId="75B0713C" w14:textId="77777777">
            <w:pPr>
              <w:spacing w:after="0" w:line="240" w:lineRule="auto"/>
              <w:jc w:val="both"/>
              <w:rPr>
                <w:rFonts w:ascii="Times New Roman" w:hAnsi="Times New Roman" w:eastAsia="Times New Roman" w:cs="Times New Roman"/>
                <w:b/>
                <w:bCs/>
                <w:iCs/>
                <w:sz w:val="24"/>
                <w:szCs w:val="24"/>
                <w:lang w:eastAsia="lv-LV"/>
              </w:rPr>
            </w:pPr>
            <w:r w:rsidRPr="00242FE9">
              <w:rPr>
                <w:rFonts w:ascii="Times New Roman" w:hAnsi="Times New Roman" w:eastAsia="Times New Roman" w:cs="Times New Roman"/>
                <w:b/>
                <w:bCs/>
                <w:iCs/>
                <w:sz w:val="24"/>
                <w:szCs w:val="24"/>
                <w:lang w:eastAsia="lv-LV"/>
              </w:rPr>
              <w:t>Tiesību akta projekta anotācijas kopsavilkums</w:t>
            </w:r>
          </w:p>
        </w:tc>
      </w:tr>
      <w:tr w:rsidRPr="00242FE9" w:rsidR="00242FE9" w:rsidTr="00196CA6" w14:paraId="3250BC51"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242FE9" w:rsidR="00196CA6" w:rsidP="00E23C66" w:rsidRDefault="00196CA6" w14:paraId="2F5AB4AF" w14:textId="77777777">
            <w:pPr>
              <w:spacing w:after="0" w:line="240" w:lineRule="auto"/>
              <w:jc w:val="both"/>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Mērķis, risinājums un projekta spēkā stāšanās laiks (500 zīmes bez atstarpēm)</w:t>
            </w:r>
          </w:p>
        </w:tc>
        <w:tc>
          <w:tcPr>
            <w:tcW w:w="2970" w:type="pct"/>
            <w:tcBorders>
              <w:top w:val="outset" w:color="auto" w:sz="6" w:space="0"/>
              <w:left w:val="outset" w:color="auto" w:sz="6" w:space="0"/>
              <w:bottom w:val="outset" w:color="auto" w:sz="6" w:space="0"/>
              <w:right w:val="outset" w:color="auto" w:sz="6" w:space="0"/>
            </w:tcBorders>
          </w:tcPr>
          <w:p w:rsidRPr="00242FE9" w:rsidR="00196CA6" w:rsidP="00E23C66" w:rsidRDefault="006B23D2" w14:paraId="45D25D43" w14:textId="3B613A24">
            <w:pPr>
              <w:spacing w:after="0" w:line="240" w:lineRule="auto"/>
              <w:jc w:val="both"/>
              <w:rPr>
                <w:rFonts w:ascii="Times New Roman" w:hAnsi="Times New Roman" w:eastAsia="Times New Roman" w:cs="Times New Roman"/>
                <w:iCs/>
                <w:sz w:val="24"/>
                <w:szCs w:val="24"/>
                <w:lang w:eastAsia="lv-LV"/>
              </w:rPr>
            </w:pPr>
            <w:r w:rsidRPr="00084EBC">
              <w:rPr>
                <w:rFonts w:ascii="Times New Roman" w:hAnsi="Times New Roman"/>
                <w:sz w:val="24"/>
                <w:szCs w:val="24"/>
              </w:rPr>
              <w:t>Mini</w:t>
            </w:r>
            <w:r>
              <w:rPr>
                <w:rFonts w:ascii="Times New Roman" w:hAnsi="Times New Roman"/>
                <w:sz w:val="24"/>
                <w:szCs w:val="24"/>
              </w:rPr>
              <w:t>stru kabineta noteikumu projekts</w:t>
            </w:r>
            <w:r w:rsidRPr="00084EBC">
              <w:rPr>
                <w:rFonts w:ascii="Times New Roman" w:hAnsi="Times New Roman"/>
                <w:sz w:val="24"/>
                <w:szCs w:val="24"/>
              </w:rPr>
              <w:t xml:space="preserve"> “Grozījum</w:t>
            </w:r>
            <w:r w:rsidR="005C2827">
              <w:rPr>
                <w:rFonts w:ascii="Times New Roman" w:hAnsi="Times New Roman"/>
                <w:sz w:val="24"/>
                <w:szCs w:val="24"/>
              </w:rPr>
              <w:t>i</w:t>
            </w:r>
            <w:r w:rsidRPr="00084EBC">
              <w:rPr>
                <w:rFonts w:ascii="Times New Roman" w:hAnsi="Times New Roman"/>
                <w:sz w:val="24"/>
                <w:szCs w:val="24"/>
              </w:rPr>
              <w:t xml:space="preserve"> Ministru kabineta 2014.gada 11.februāra noteikumos Nr.96 “Nodokļu un citu maksājumu reģistrēšanas elektronisko ierīču un iekārtu lietošanas kārtība””</w:t>
            </w:r>
            <w:r>
              <w:rPr>
                <w:rFonts w:ascii="Times New Roman" w:hAnsi="Times New Roman"/>
                <w:sz w:val="24"/>
                <w:szCs w:val="24"/>
              </w:rPr>
              <w:t xml:space="preserve"> (turpmāk - n</w:t>
            </w:r>
            <w:r w:rsidRPr="00242FE9" w:rsidR="00DB540F">
              <w:rPr>
                <w:rFonts w:ascii="Times New Roman" w:hAnsi="Times New Roman"/>
                <w:sz w:val="24"/>
                <w:szCs w:val="24"/>
              </w:rPr>
              <w:t>oteikumu projekts</w:t>
            </w:r>
            <w:r>
              <w:rPr>
                <w:rFonts w:ascii="Times New Roman" w:hAnsi="Times New Roman"/>
                <w:sz w:val="24"/>
                <w:szCs w:val="24"/>
              </w:rPr>
              <w:t>)</w:t>
            </w:r>
            <w:r w:rsidRPr="00242FE9" w:rsidR="00DB540F">
              <w:rPr>
                <w:rFonts w:ascii="Times New Roman" w:hAnsi="Times New Roman"/>
                <w:sz w:val="24"/>
                <w:szCs w:val="24"/>
              </w:rPr>
              <w:t xml:space="preserve"> paredz  </w:t>
            </w:r>
            <w:r w:rsidRPr="00242FE9" w:rsidR="00736B27">
              <w:rPr>
                <w:rFonts w:ascii="Times New Roman" w:hAnsi="Times New Roman"/>
                <w:sz w:val="24"/>
                <w:szCs w:val="24"/>
              </w:rPr>
              <w:t>vienād</w:t>
            </w:r>
            <w:r w:rsidRPr="00242FE9" w:rsidR="00DB540F">
              <w:rPr>
                <w:rFonts w:ascii="Times New Roman" w:hAnsi="Times New Roman"/>
                <w:sz w:val="24"/>
                <w:szCs w:val="24"/>
              </w:rPr>
              <w:t>ot</w:t>
            </w:r>
            <w:r w:rsidRPr="00242FE9" w:rsidR="00736B27">
              <w:rPr>
                <w:rFonts w:ascii="Times New Roman" w:hAnsi="Times New Roman"/>
                <w:sz w:val="24"/>
                <w:szCs w:val="24"/>
              </w:rPr>
              <w:t xml:space="preserve"> attieksmi pret visiem dzelzceļa pasažieru pārvadājumu veicējiem</w:t>
            </w:r>
            <w:r w:rsidRPr="00242FE9" w:rsidR="00DB540F">
              <w:rPr>
                <w:rFonts w:ascii="Times New Roman" w:hAnsi="Times New Roman"/>
                <w:sz w:val="24"/>
                <w:szCs w:val="24"/>
              </w:rPr>
              <w:t xml:space="preserve">, nosakot, ka </w:t>
            </w:r>
            <w:r w:rsidRPr="00242FE9" w:rsidR="00736B27">
              <w:rPr>
                <w:rFonts w:ascii="Times New Roman" w:hAnsi="Times New Roman"/>
                <w:sz w:val="24"/>
                <w:szCs w:val="24"/>
              </w:rPr>
              <w:t xml:space="preserve"> AS</w:t>
            </w:r>
            <w:r>
              <w:rPr>
                <w:rFonts w:ascii="Times New Roman" w:hAnsi="Times New Roman"/>
                <w:sz w:val="24"/>
                <w:szCs w:val="24"/>
              </w:rPr>
              <w:t> </w:t>
            </w:r>
            <w:r w:rsidRPr="00242FE9" w:rsidR="00736B27">
              <w:rPr>
                <w:rFonts w:ascii="Times New Roman" w:hAnsi="Times New Roman"/>
                <w:sz w:val="24"/>
                <w:szCs w:val="24"/>
              </w:rPr>
              <w:t>„Pasažieru vilciens” samaksu saņem transportlīdzeklī vai biļešu tirdzniecības vietās un izsnie</w:t>
            </w:r>
            <w:r>
              <w:rPr>
                <w:rFonts w:ascii="Times New Roman" w:hAnsi="Times New Roman"/>
                <w:sz w:val="24"/>
                <w:szCs w:val="24"/>
              </w:rPr>
              <w:t>dz</w:t>
            </w:r>
            <w:r w:rsidRPr="00242FE9" w:rsidR="00736B27">
              <w:rPr>
                <w:rFonts w:ascii="Times New Roman" w:hAnsi="Times New Roman"/>
                <w:sz w:val="24"/>
                <w:szCs w:val="24"/>
              </w:rPr>
              <w:t xml:space="preserve"> biļeti vai par maksu pārvadājamo bagāžas kvīti normatīvajos aktos par dzelzceļa pārvadājumiem noteiktajā kārtībā.</w:t>
            </w:r>
          </w:p>
        </w:tc>
      </w:tr>
    </w:tbl>
    <w:p w:rsidRPr="00242FE9" w:rsidR="00E5323B" w:rsidP="00E23C66" w:rsidRDefault="00E5323B" w14:paraId="5E553542" w14:textId="77777777">
      <w:pPr>
        <w:spacing w:after="0" w:line="240" w:lineRule="auto"/>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242FE9" w:rsidR="00242FE9" w:rsidTr="00E5323B" w14:paraId="582DD675"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242FE9" w:rsidR="00655F2C" w:rsidP="00E23C66" w:rsidRDefault="00E5323B" w14:paraId="05E909E9" w14:textId="77777777">
            <w:pPr>
              <w:spacing w:after="0" w:line="240" w:lineRule="auto"/>
              <w:jc w:val="center"/>
              <w:rPr>
                <w:rFonts w:ascii="Times New Roman" w:hAnsi="Times New Roman" w:eastAsia="Times New Roman" w:cs="Times New Roman"/>
                <w:b/>
                <w:bCs/>
                <w:iCs/>
                <w:sz w:val="24"/>
                <w:szCs w:val="24"/>
                <w:lang w:eastAsia="lv-LV"/>
              </w:rPr>
            </w:pPr>
            <w:r w:rsidRPr="00242FE9">
              <w:rPr>
                <w:rFonts w:ascii="Times New Roman" w:hAnsi="Times New Roman" w:eastAsia="Times New Roman" w:cs="Times New Roman"/>
                <w:b/>
                <w:bCs/>
                <w:iCs/>
                <w:sz w:val="24"/>
                <w:szCs w:val="24"/>
                <w:lang w:eastAsia="lv-LV"/>
              </w:rPr>
              <w:t>I. Tiesību akta projekta izstrādes nepieciešamība</w:t>
            </w:r>
          </w:p>
        </w:tc>
      </w:tr>
      <w:tr w:rsidRPr="00242FE9" w:rsidR="00242FE9" w:rsidTr="00383B02" w14:paraId="0F5E06A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42FE9" w:rsidR="00655F2C" w:rsidP="00E23C66" w:rsidRDefault="00E5323B" w14:paraId="718923C9" w14:textId="77777777">
            <w:pPr>
              <w:spacing w:after="0" w:line="240" w:lineRule="auto"/>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242FE9" w:rsidR="00E5323B" w:rsidP="00E23C66" w:rsidRDefault="00E5323B" w14:paraId="352EDBB1" w14:textId="77777777">
            <w:pPr>
              <w:spacing w:after="0" w:line="240" w:lineRule="auto"/>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Pamatojums</w:t>
            </w:r>
          </w:p>
        </w:tc>
        <w:tc>
          <w:tcPr>
            <w:tcW w:w="2960" w:type="pct"/>
            <w:tcBorders>
              <w:top w:val="outset" w:color="auto" w:sz="6" w:space="0"/>
              <w:left w:val="outset" w:color="auto" w:sz="6" w:space="0"/>
              <w:bottom w:val="outset" w:color="auto" w:sz="6" w:space="0"/>
              <w:right w:val="outset" w:color="auto" w:sz="6" w:space="0"/>
            </w:tcBorders>
          </w:tcPr>
          <w:p w:rsidRPr="00242FE9" w:rsidR="000F361E" w:rsidP="00E23C66" w:rsidRDefault="00DB540F" w14:paraId="61AEF0F0" w14:textId="74215819">
            <w:pPr>
              <w:spacing w:after="0" w:line="240" w:lineRule="auto"/>
              <w:jc w:val="both"/>
              <w:rPr>
                <w:rFonts w:ascii="Times New Roman" w:hAnsi="Times New Roman" w:eastAsia="Times New Roman" w:cs="Times New Roman"/>
                <w:iCs/>
                <w:sz w:val="24"/>
                <w:szCs w:val="24"/>
                <w:lang w:eastAsia="lv-LV"/>
              </w:rPr>
            </w:pPr>
            <w:r w:rsidRPr="00242FE9">
              <w:rPr>
                <w:rFonts w:ascii="Times New Roman" w:hAnsi="Times New Roman" w:eastAsia="Times New Roman"/>
                <w:sz w:val="24"/>
                <w:szCs w:val="24"/>
                <w:lang w:eastAsia="lv-LV"/>
              </w:rPr>
              <w:t xml:space="preserve">Satiksmes ministrijas </w:t>
            </w:r>
            <w:r w:rsidRPr="00242FE9" w:rsidR="00E87285">
              <w:rPr>
                <w:rFonts w:ascii="Times New Roman" w:hAnsi="Times New Roman" w:eastAsia="Times New Roman"/>
                <w:sz w:val="24"/>
                <w:szCs w:val="24"/>
                <w:lang w:eastAsia="lv-LV"/>
              </w:rPr>
              <w:t>iniciatīva.</w:t>
            </w:r>
          </w:p>
        </w:tc>
      </w:tr>
      <w:tr w:rsidRPr="00242FE9" w:rsidR="00242FE9" w:rsidTr="00383B02" w14:paraId="46A79C5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42FE9" w:rsidR="00383B02" w:rsidP="00E23C66" w:rsidRDefault="00383B02" w14:paraId="2531D184" w14:textId="77777777">
            <w:pPr>
              <w:spacing w:after="0" w:line="240" w:lineRule="auto"/>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242FE9" w:rsidR="00383B02" w:rsidP="00E23C66" w:rsidRDefault="00383B02" w14:paraId="033F8C2C" w14:textId="77777777">
            <w:pPr>
              <w:spacing w:after="0" w:line="240" w:lineRule="auto"/>
              <w:jc w:val="both"/>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242FE9" w:rsidR="00383B02" w:rsidP="00E23C66" w:rsidRDefault="00383B02" w14:paraId="37F137F2" w14:textId="77777777">
            <w:pPr>
              <w:spacing w:after="0" w:line="240" w:lineRule="auto"/>
              <w:rPr>
                <w:rFonts w:ascii="Times New Roman" w:hAnsi="Times New Roman" w:eastAsia="Times New Roman" w:cs="Times New Roman"/>
                <w:sz w:val="24"/>
                <w:szCs w:val="24"/>
                <w:lang w:eastAsia="lv-LV"/>
              </w:rPr>
            </w:pPr>
          </w:p>
          <w:p w:rsidRPr="00242FE9" w:rsidR="00383B02" w:rsidP="00E23C66" w:rsidRDefault="00383B02" w14:paraId="3BFC0F17" w14:textId="77777777">
            <w:pPr>
              <w:spacing w:after="0" w:line="240" w:lineRule="auto"/>
              <w:rPr>
                <w:rFonts w:ascii="Times New Roman" w:hAnsi="Times New Roman" w:eastAsia="Times New Roman" w:cs="Times New Roman"/>
                <w:sz w:val="24"/>
                <w:szCs w:val="24"/>
                <w:lang w:eastAsia="lv-LV"/>
              </w:rPr>
            </w:pPr>
          </w:p>
          <w:p w:rsidRPr="00242FE9" w:rsidR="00383B02" w:rsidP="00E23C66" w:rsidRDefault="00383B02" w14:paraId="4FDBBD78" w14:textId="77777777">
            <w:pPr>
              <w:spacing w:after="0" w:line="240" w:lineRule="auto"/>
              <w:rPr>
                <w:rFonts w:ascii="Times New Roman" w:hAnsi="Times New Roman" w:eastAsia="Times New Roman" w:cs="Times New Roman"/>
                <w:sz w:val="24"/>
                <w:szCs w:val="24"/>
                <w:lang w:eastAsia="lv-LV"/>
              </w:rPr>
            </w:pPr>
          </w:p>
          <w:p w:rsidRPr="00242FE9" w:rsidR="00383B02" w:rsidP="00E23C66" w:rsidRDefault="00383B02" w14:paraId="3C0095D0" w14:textId="77777777">
            <w:pPr>
              <w:spacing w:after="0" w:line="240" w:lineRule="auto"/>
              <w:rPr>
                <w:rFonts w:ascii="Times New Roman" w:hAnsi="Times New Roman" w:eastAsia="Times New Roman" w:cs="Times New Roman"/>
                <w:sz w:val="24"/>
                <w:szCs w:val="24"/>
                <w:lang w:eastAsia="lv-LV"/>
              </w:rPr>
            </w:pPr>
          </w:p>
          <w:p w:rsidRPr="00242FE9" w:rsidR="00383B02" w:rsidP="00E23C66" w:rsidRDefault="00383B02" w14:paraId="7D8011A5" w14:textId="77777777">
            <w:pPr>
              <w:spacing w:after="0" w:line="240" w:lineRule="auto"/>
              <w:rPr>
                <w:rFonts w:ascii="Times New Roman" w:hAnsi="Times New Roman" w:eastAsia="Times New Roman" w:cs="Times New Roman"/>
                <w:sz w:val="24"/>
                <w:szCs w:val="24"/>
                <w:lang w:eastAsia="lv-LV"/>
              </w:rPr>
            </w:pPr>
          </w:p>
          <w:p w:rsidRPr="00242FE9" w:rsidR="00383B02" w:rsidP="00E23C66" w:rsidRDefault="00383B02" w14:paraId="3531D2EA" w14:textId="77777777">
            <w:pPr>
              <w:spacing w:after="0" w:line="240" w:lineRule="auto"/>
              <w:rPr>
                <w:rFonts w:ascii="Times New Roman" w:hAnsi="Times New Roman" w:eastAsia="Times New Roman" w:cs="Times New Roman"/>
                <w:sz w:val="24"/>
                <w:szCs w:val="24"/>
                <w:lang w:eastAsia="lv-LV"/>
              </w:rPr>
            </w:pPr>
          </w:p>
          <w:p w:rsidRPr="00242FE9" w:rsidR="00383B02" w:rsidP="00E23C66" w:rsidRDefault="00383B02" w14:paraId="53752B1B" w14:textId="77777777">
            <w:pPr>
              <w:spacing w:after="0" w:line="240" w:lineRule="auto"/>
              <w:rPr>
                <w:rFonts w:ascii="Times New Roman" w:hAnsi="Times New Roman" w:eastAsia="Times New Roman" w:cs="Times New Roman"/>
                <w:sz w:val="24"/>
                <w:szCs w:val="24"/>
                <w:lang w:eastAsia="lv-LV"/>
              </w:rPr>
            </w:pPr>
          </w:p>
          <w:p w:rsidRPr="00242FE9" w:rsidR="00383B02" w:rsidP="00E23C66" w:rsidRDefault="00383B02" w14:paraId="51038B51" w14:textId="77777777">
            <w:pPr>
              <w:spacing w:after="0" w:line="240" w:lineRule="auto"/>
              <w:rPr>
                <w:rFonts w:ascii="Times New Roman" w:hAnsi="Times New Roman" w:eastAsia="Times New Roman" w:cs="Times New Roman"/>
                <w:sz w:val="24"/>
                <w:szCs w:val="24"/>
                <w:lang w:eastAsia="lv-LV"/>
              </w:rPr>
            </w:pPr>
          </w:p>
          <w:p w:rsidRPr="00242FE9" w:rsidR="00383B02" w:rsidP="00E23C66" w:rsidRDefault="00383B02" w14:paraId="10047A78" w14:textId="77777777">
            <w:pPr>
              <w:spacing w:after="0" w:line="240" w:lineRule="auto"/>
              <w:rPr>
                <w:rFonts w:ascii="Times New Roman" w:hAnsi="Times New Roman" w:eastAsia="Times New Roman" w:cs="Times New Roman"/>
                <w:sz w:val="24"/>
                <w:szCs w:val="24"/>
                <w:lang w:eastAsia="lv-LV"/>
              </w:rPr>
            </w:pPr>
          </w:p>
          <w:p w:rsidRPr="00242FE9" w:rsidR="00383B02" w:rsidP="00E23C66" w:rsidRDefault="00383B02" w14:paraId="16DB117B" w14:textId="77777777">
            <w:pPr>
              <w:spacing w:after="0" w:line="240" w:lineRule="auto"/>
              <w:rPr>
                <w:rFonts w:ascii="Times New Roman" w:hAnsi="Times New Roman" w:eastAsia="Times New Roman" w:cs="Times New Roman"/>
                <w:sz w:val="24"/>
                <w:szCs w:val="24"/>
                <w:lang w:eastAsia="lv-LV"/>
              </w:rPr>
            </w:pPr>
          </w:p>
          <w:p w:rsidRPr="00242FE9" w:rsidR="00383B02" w:rsidP="00E23C66" w:rsidRDefault="00383B02" w14:paraId="6D3A64E3" w14:textId="77777777">
            <w:pPr>
              <w:spacing w:after="0" w:line="240" w:lineRule="auto"/>
              <w:rPr>
                <w:rFonts w:ascii="Times New Roman" w:hAnsi="Times New Roman" w:eastAsia="Times New Roman" w:cs="Times New Roman"/>
                <w:sz w:val="24"/>
                <w:szCs w:val="24"/>
                <w:lang w:eastAsia="lv-LV"/>
              </w:rPr>
            </w:pPr>
          </w:p>
          <w:p w:rsidRPr="00242FE9" w:rsidR="00383B02" w:rsidP="00E23C66" w:rsidRDefault="00383B02" w14:paraId="743D440F" w14:textId="77777777">
            <w:pPr>
              <w:spacing w:after="0" w:line="240" w:lineRule="auto"/>
              <w:rPr>
                <w:rFonts w:ascii="Times New Roman" w:hAnsi="Times New Roman" w:eastAsia="Times New Roman" w:cs="Times New Roman"/>
                <w:sz w:val="24"/>
                <w:szCs w:val="24"/>
                <w:lang w:eastAsia="lv-LV"/>
              </w:rPr>
            </w:pPr>
          </w:p>
          <w:p w:rsidRPr="00242FE9" w:rsidR="00383B02" w:rsidP="00E23C66" w:rsidRDefault="00383B02" w14:paraId="6D68ED5B" w14:textId="77777777">
            <w:pPr>
              <w:spacing w:after="0" w:line="240" w:lineRule="auto"/>
              <w:rPr>
                <w:rFonts w:ascii="Times New Roman" w:hAnsi="Times New Roman" w:eastAsia="Times New Roman" w:cs="Times New Roman"/>
                <w:iCs/>
                <w:sz w:val="24"/>
                <w:szCs w:val="24"/>
                <w:lang w:eastAsia="lv-LV"/>
              </w:rPr>
            </w:pPr>
          </w:p>
          <w:p w:rsidR="00383B02" w:rsidP="00E23C66" w:rsidRDefault="00383B02" w14:paraId="2E297BD4" w14:textId="77777777">
            <w:pPr>
              <w:spacing w:after="0" w:line="240" w:lineRule="auto"/>
              <w:jc w:val="center"/>
              <w:rPr>
                <w:rFonts w:ascii="Times New Roman" w:hAnsi="Times New Roman" w:eastAsia="Times New Roman" w:cs="Times New Roman"/>
                <w:sz w:val="24"/>
                <w:szCs w:val="24"/>
                <w:lang w:eastAsia="lv-LV"/>
              </w:rPr>
            </w:pPr>
          </w:p>
          <w:p w:rsidRPr="00242FE9" w:rsidR="00242FE9" w:rsidP="00242FE9" w:rsidRDefault="00242FE9" w14:paraId="3915CBD3" w14:textId="77777777">
            <w:pPr>
              <w:rPr>
                <w:rFonts w:ascii="Times New Roman" w:hAnsi="Times New Roman" w:eastAsia="Times New Roman" w:cs="Times New Roman"/>
                <w:sz w:val="24"/>
                <w:szCs w:val="24"/>
                <w:lang w:eastAsia="lv-LV"/>
              </w:rPr>
            </w:pPr>
          </w:p>
          <w:p w:rsidRPr="00242FE9" w:rsidR="00242FE9" w:rsidP="00242FE9" w:rsidRDefault="00242FE9" w14:paraId="6F4F8E42" w14:textId="77777777">
            <w:pPr>
              <w:rPr>
                <w:rFonts w:ascii="Times New Roman" w:hAnsi="Times New Roman" w:eastAsia="Times New Roman" w:cs="Times New Roman"/>
                <w:sz w:val="24"/>
                <w:szCs w:val="24"/>
                <w:lang w:eastAsia="lv-LV"/>
              </w:rPr>
            </w:pPr>
          </w:p>
          <w:p w:rsidRPr="00242FE9" w:rsidR="00242FE9" w:rsidP="00242FE9" w:rsidRDefault="00242FE9" w14:paraId="682AAF41" w14:textId="77777777">
            <w:pPr>
              <w:rPr>
                <w:rFonts w:ascii="Times New Roman" w:hAnsi="Times New Roman" w:eastAsia="Times New Roman" w:cs="Times New Roman"/>
                <w:sz w:val="24"/>
                <w:szCs w:val="24"/>
                <w:lang w:eastAsia="lv-LV"/>
              </w:rPr>
            </w:pPr>
          </w:p>
          <w:p w:rsidRPr="00242FE9" w:rsidR="00242FE9" w:rsidP="00242FE9" w:rsidRDefault="00242FE9" w14:paraId="2CBAFB90" w14:textId="77777777">
            <w:pPr>
              <w:rPr>
                <w:rFonts w:ascii="Times New Roman" w:hAnsi="Times New Roman" w:eastAsia="Times New Roman" w:cs="Times New Roman"/>
                <w:sz w:val="24"/>
                <w:szCs w:val="24"/>
                <w:lang w:eastAsia="lv-LV"/>
              </w:rPr>
            </w:pPr>
          </w:p>
          <w:p w:rsidRPr="00242FE9" w:rsidR="00242FE9" w:rsidP="00242FE9" w:rsidRDefault="00242FE9" w14:paraId="7D524906" w14:textId="77777777">
            <w:pPr>
              <w:rPr>
                <w:rFonts w:ascii="Times New Roman" w:hAnsi="Times New Roman" w:eastAsia="Times New Roman" w:cs="Times New Roman"/>
                <w:sz w:val="24"/>
                <w:szCs w:val="24"/>
                <w:lang w:eastAsia="lv-LV"/>
              </w:rPr>
            </w:pPr>
          </w:p>
          <w:p w:rsidRPr="00242FE9" w:rsidR="00242FE9" w:rsidP="00242FE9" w:rsidRDefault="00242FE9" w14:paraId="1BC9808E" w14:textId="77777777">
            <w:pPr>
              <w:rPr>
                <w:rFonts w:ascii="Times New Roman" w:hAnsi="Times New Roman" w:eastAsia="Times New Roman" w:cs="Times New Roman"/>
                <w:sz w:val="24"/>
                <w:szCs w:val="24"/>
                <w:lang w:eastAsia="lv-LV"/>
              </w:rPr>
            </w:pPr>
          </w:p>
          <w:p w:rsidRPr="00242FE9" w:rsidR="00242FE9" w:rsidP="00242FE9" w:rsidRDefault="00242FE9" w14:paraId="19026818" w14:textId="77777777">
            <w:pPr>
              <w:rPr>
                <w:rFonts w:ascii="Times New Roman" w:hAnsi="Times New Roman" w:eastAsia="Times New Roman" w:cs="Times New Roman"/>
                <w:sz w:val="24"/>
                <w:szCs w:val="24"/>
                <w:lang w:eastAsia="lv-LV"/>
              </w:rPr>
            </w:pPr>
          </w:p>
          <w:p w:rsidR="00242FE9" w:rsidP="00242FE9" w:rsidRDefault="00242FE9" w14:paraId="613AC290" w14:textId="77777777">
            <w:pPr>
              <w:rPr>
                <w:rFonts w:ascii="Times New Roman" w:hAnsi="Times New Roman" w:eastAsia="Times New Roman" w:cs="Times New Roman"/>
                <w:sz w:val="24"/>
                <w:szCs w:val="24"/>
                <w:lang w:eastAsia="lv-LV"/>
              </w:rPr>
            </w:pPr>
          </w:p>
          <w:p w:rsidRPr="00242FE9" w:rsidR="00242FE9" w:rsidP="00242FE9" w:rsidRDefault="00242FE9" w14:paraId="6D66AA47" w14:textId="0C6030BF">
            <w:pPr>
              <w:rPr>
                <w:rFonts w:ascii="Times New Roman" w:hAnsi="Times New Roman" w:eastAsia="Times New Roman" w:cs="Times New Roman"/>
                <w:sz w:val="24"/>
                <w:szCs w:val="24"/>
                <w:lang w:eastAsia="lv-LV"/>
              </w:rPr>
            </w:pPr>
          </w:p>
        </w:tc>
        <w:tc>
          <w:tcPr>
            <w:tcW w:w="2960" w:type="pct"/>
            <w:tcBorders>
              <w:top w:val="outset" w:color="auto" w:sz="6" w:space="0"/>
              <w:left w:val="outset" w:color="auto" w:sz="6" w:space="0"/>
              <w:bottom w:val="outset" w:color="auto" w:sz="6" w:space="0"/>
              <w:right w:val="outset" w:color="auto" w:sz="6" w:space="0"/>
            </w:tcBorders>
          </w:tcPr>
          <w:p w:rsidRPr="00242FE9" w:rsidR="009E6C9E" w:rsidP="00C536DB" w:rsidRDefault="007F32F9" w14:paraId="169F4721" w14:textId="6AC14F64">
            <w:pPr>
              <w:pStyle w:val="ListParagraph"/>
              <w:ind w:left="0" w:right="57" w:firstLine="360"/>
              <w:contextualSpacing w:val="0"/>
              <w:jc w:val="both"/>
              <w:rPr>
                <w:lang w:val="lv-LV"/>
              </w:rPr>
            </w:pPr>
            <w:r w:rsidRPr="00242FE9">
              <w:rPr>
                <w:lang w:val="lv-LV"/>
              </w:rPr>
              <w:lastRenderedPageBreak/>
              <w:t>Ministru kabineta 2014.gada 11.februāra noteikum</w:t>
            </w:r>
            <w:r w:rsidRPr="00242FE9" w:rsidR="00DB540F">
              <w:rPr>
                <w:lang w:val="lv-LV"/>
              </w:rPr>
              <w:t>i</w:t>
            </w:r>
            <w:r w:rsidRPr="00242FE9">
              <w:rPr>
                <w:lang w:val="lv-LV"/>
              </w:rPr>
              <w:t xml:space="preserve"> Nr.95 “Noteikumi par nodokļu un citu maksājumu reģistrēšanas elektronisko ierīču un iekārtu tehniskajām prasībām” (turpmāk – MK noteikumi Nr.95) </w:t>
            </w:r>
            <w:r w:rsidRPr="00242FE9" w:rsidR="00E23C66">
              <w:rPr>
                <w:lang w:val="lv-LV"/>
              </w:rPr>
              <w:t>un Ministru kabineta 2014.gada 11.februāra noteikumi Nr.96 “</w:t>
            </w:r>
            <w:r w:rsidRPr="00242FE9" w:rsidR="00E23C66">
              <w:rPr>
                <w:bCs/>
                <w:lang w:val="lv-LV"/>
              </w:rPr>
              <w:t>Nodokļu un citu maksājumu reģistrēšanas elektronisko ierīču un iekārtu lietošanas kārtība</w:t>
            </w:r>
            <w:r w:rsidRPr="00242FE9" w:rsidR="00170091">
              <w:rPr>
                <w:bCs/>
                <w:lang w:val="lv-LV"/>
              </w:rPr>
              <w:t>”</w:t>
            </w:r>
            <w:r w:rsidRPr="00242FE9" w:rsidR="00E23C66">
              <w:rPr>
                <w:bCs/>
                <w:lang w:val="lv-LV"/>
              </w:rPr>
              <w:t xml:space="preserve"> (turpmāk </w:t>
            </w:r>
            <w:r w:rsidR="007B6C89">
              <w:rPr>
                <w:bCs/>
                <w:lang w:val="lv-LV"/>
              </w:rPr>
              <w:t xml:space="preserve">- </w:t>
            </w:r>
            <w:r w:rsidRPr="00242FE9" w:rsidR="00E23C66">
              <w:rPr>
                <w:bCs/>
                <w:lang w:val="lv-LV"/>
              </w:rPr>
              <w:t xml:space="preserve">MK noteikumi Nr.96) </w:t>
            </w:r>
            <w:r w:rsidRPr="00242FE9" w:rsidR="00E23C66">
              <w:rPr>
                <w:lang w:val="lv-LV"/>
              </w:rPr>
              <w:t xml:space="preserve"> </w:t>
            </w:r>
            <w:r w:rsidRPr="00242FE9" w:rsidR="005E4937">
              <w:rPr>
                <w:lang w:val="lv-LV"/>
              </w:rPr>
              <w:t>tika pieņemti ar mērķi mazināt ēnu ekonomikas apjomu – lai varētu izsekot nodokļu maksātāju veiktajiem darījumiem skaidrā naudā un mazinātu nodokļu nemaksāšanas riskus, lai samazinātu iespēju manipulēt ar kases aparātiem ar mērķi samazināt budžetā maksājamo nodokļu summu, kā rezultātā veicināt vienlīdzīgus konkurences apstākļus komercdarbības jomā.  2018.gada 18.decembr</w:t>
            </w:r>
            <w:r w:rsidR="006B23D2">
              <w:rPr>
                <w:lang w:val="lv-LV"/>
              </w:rPr>
              <w:t>ī</w:t>
            </w:r>
            <w:r w:rsidRPr="00242FE9" w:rsidR="005E4937">
              <w:rPr>
                <w:lang w:val="lv-LV"/>
              </w:rPr>
              <w:t xml:space="preserve"> </w:t>
            </w:r>
            <w:r w:rsidR="006B23D2">
              <w:rPr>
                <w:lang w:val="lv-LV"/>
              </w:rPr>
              <w:t xml:space="preserve">ir </w:t>
            </w:r>
            <w:r w:rsidRPr="00242FE9" w:rsidR="005E4937">
              <w:rPr>
                <w:lang w:val="lv-LV"/>
              </w:rPr>
              <w:t xml:space="preserve">pieņemti </w:t>
            </w:r>
            <w:r w:rsidRPr="00242FE9" w:rsidR="00B75496">
              <w:rPr>
                <w:lang w:val="lv-LV"/>
              </w:rPr>
              <w:t>M</w:t>
            </w:r>
            <w:r w:rsidRPr="00242FE9" w:rsidR="005E4937">
              <w:rPr>
                <w:lang w:val="lv-LV"/>
              </w:rPr>
              <w:t>inistru kabineta noteikumi Nr.</w:t>
            </w:r>
            <w:r w:rsidRPr="00242FE9" w:rsidR="009E6C9E">
              <w:rPr>
                <w:lang w:val="lv-LV"/>
              </w:rPr>
              <w:t>822</w:t>
            </w:r>
            <w:r w:rsidR="007B6C89">
              <w:rPr>
                <w:lang w:val="lv-LV"/>
              </w:rPr>
              <w:t> </w:t>
            </w:r>
            <w:r w:rsidRPr="00242FE9" w:rsidR="009E6C9E">
              <w:rPr>
                <w:lang w:val="lv-LV"/>
              </w:rPr>
              <w:t>“</w:t>
            </w:r>
            <w:r w:rsidRPr="00242FE9" w:rsidR="005E4937">
              <w:rPr>
                <w:lang w:val="lv-LV"/>
              </w:rPr>
              <w:t>Grozījumi Ministru kabineta 2014.gada 11.februāra noteikumos Nr.95</w:t>
            </w:r>
            <w:r w:rsidR="007B6C89">
              <w:rPr>
                <w:lang w:val="lv-LV"/>
              </w:rPr>
              <w:t> </w:t>
            </w:r>
            <w:r w:rsidRPr="00242FE9" w:rsidR="005E4937">
              <w:rPr>
                <w:lang w:val="lv-LV"/>
              </w:rPr>
              <w:t>"</w:t>
            </w:r>
            <w:hyperlink w:tgtFrame="_blank" w:history="1" r:id="rId8">
              <w:r w:rsidRPr="00242FE9" w:rsidR="005E4937">
                <w:rPr>
                  <w:lang w:val="lv-LV"/>
                </w:rPr>
                <w:t>Noteikumi par nodokļu un citu maksājumu reģistrēšanas elektronisko ierīču un iekārtu tehniskajām prasībām</w:t>
              </w:r>
            </w:hyperlink>
            <w:r w:rsidRPr="00242FE9" w:rsidR="005E4937">
              <w:rPr>
                <w:lang w:val="lv-LV"/>
              </w:rPr>
              <w:t>"</w:t>
            </w:r>
            <w:r w:rsidRPr="00242FE9" w:rsidR="009E6C9E">
              <w:rPr>
                <w:lang w:val="lv-LV"/>
              </w:rPr>
              <w:t>, kas paredz</w:t>
            </w:r>
            <w:r w:rsidRPr="00242FE9" w:rsidR="00DB540F">
              <w:rPr>
                <w:lang w:val="lv-LV"/>
              </w:rPr>
              <w:t xml:space="preserve">, ka </w:t>
            </w:r>
            <w:r w:rsidRPr="00242FE9" w:rsidR="00B75496">
              <w:rPr>
                <w:lang w:val="lv-LV"/>
              </w:rPr>
              <w:t>p</w:t>
            </w:r>
            <w:r w:rsidRPr="00242FE9" w:rsidR="005E4937">
              <w:rPr>
                <w:lang w:val="lv-LV"/>
              </w:rPr>
              <w:t>asažieru pārvadāšanas transportlīdzekļos un biļešu tirdzniecības vietās kases aparātus, hibrīda kases aparātus un kases sistēmas atbilstoši M</w:t>
            </w:r>
            <w:r w:rsidRPr="00242FE9" w:rsidR="00B75496">
              <w:rPr>
                <w:lang w:val="lv-LV"/>
              </w:rPr>
              <w:t>K</w:t>
            </w:r>
            <w:r w:rsidRPr="00242FE9" w:rsidR="005E4937">
              <w:rPr>
                <w:lang w:val="lv-LV"/>
              </w:rPr>
              <w:t xml:space="preserve"> noteikumiem Nr.95 un M</w:t>
            </w:r>
            <w:r w:rsidRPr="00242FE9" w:rsidR="00B75496">
              <w:rPr>
                <w:lang w:val="lv-LV"/>
              </w:rPr>
              <w:t>K</w:t>
            </w:r>
            <w:r w:rsidRPr="00242FE9" w:rsidR="005E4937">
              <w:rPr>
                <w:lang w:val="lv-LV"/>
              </w:rPr>
              <w:t xml:space="preserve"> noteikumiem Nr.96 ir jāsāk lietot ne vēlāk kā 20</w:t>
            </w:r>
            <w:r w:rsidRPr="00242FE9" w:rsidR="009E6C9E">
              <w:rPr>
                <w:lang w:val="lv-LV"/>
              </w:rPr>
              <w:t>21</w:t>
            </w:r>
            <w:r w:rsidRPr="00242FE9" w:rsidR="005E4937">
              <w:rPr>
                <w:lang w:val="lv-LV"/>
              </w:rPr>
              <w:t>.gada 1.janvārī.</w:t>
            </w:r>
          </w:p>
          <w:p w:rsidRPr="00242FE9" w:rsidR="009548D0" w:rsidP="00C536DB" w:rsidRDefault="00B75496" w14:paraId="77786EAA" w14:textId="0C7C1ED3">
            <w:pPr>
              <w:pStyle w:val="ListParagraph"/>
              <w:ind w:left="0" w:firstLine="360"/>
              <w:jc w:val="both"/>
              <w:rPr>
                <w:lang w:val="lv-LV"/>
              </w:rPr>
            </w:pPr>
            <w:r w:rsidRPr="00242FE9">
              <w:rPr>
                <w:lang w:val="lv-LV"/>
              </w:rPr>
              <w:t>AS</w:t>
            </w:r>
            <w:r w:rsidR="007B6C89">
              <w:rPr>
                <w:lang w:val="lv-LV"/>
              </w:rPr>
              <w:t> “</w:t>
            </w:r>
            <w:r w:rsidRPr="00242FE9">
              <w:rPr>
                <w:lang w:val="lv-LV"/>
              </w:rPr>
              <w:t xml:space="preserve">Pasažieru vilciens” </w:t>
            </w:r>
            <w:r w:rsidRPr="00242FE9" w:rsidR="007F32F9">
              <w:rPr>
                <w:lang w:val="lv-LV"/>
              </w:rPr>
              <w:t>2017.gada decembrī jaunizstrādāt</w:t>
            </w:r>
            <w:r w:rsidR="006B23D2">
              <w:rPr>
                <w:lang w:val="lv-LV"/>
              </w:rPr>
              <w:t>ai</w:t>
            </w:r>
            <w:r w:rsidRPr="00242FE9" w:rsidR="007F32F9">
              <w:rPr>
                <w:lang w:val="lv-LV"/>
              </w:rPr>
              <w:t xml:space="preserve"> kasu sistēmai tika uzsākts funkcionālais </w:t>
            </w:r>
            <w:r w:rsidRPr="00242FE9" w:rsidR="007F32F9">
              <w:rPr>
                <w:lang w:val="lv-LV"/>
              </w:rPr>
              <w:lastRenderedPageBreak/>
              <w:t>tests un 2018.gada februārī sistēma tika atzīta par gatavu iesniegšanai atbilstības pārbaudei, saskaņā ar MK noteikumi Nr.96.  VIII</w:t>
            </w:r>
            <w:r w:rsidRPr="00242FE9" w:rsidR="007F32F9">
              <w:rPr>
                <w:vertAlign w:val="superscript"/>
                <w:lang w:val="lv-LV"/>
              </w:rPr>
              <w:t>1</w:t>
            </w:r>
            <w:r w:rsidRPr="00242FE9" w:rsidR="007F32F9">
              <w:rPr>
                <w:lang w:val="lv-LV"/>
              </w:rPr>
              <w:t xml:space="preserve"> nodaļas prasībām.</w:t>
            </w:r>
            <w:r w:rsidRPr="00242FE9" w:rsidR="009548D0">
              <w:rPr>
                <w:lang w:val="lv-LV"/>
              </w:rPr>
              <w:t xml:space="preserve"> 2018.gada novembrī sistēmai bija veiktas visas atbilstības pārbaudes veicēju norādītās izmaiņas un tā bija gatava atbilstības apliecinājuma saņemšanai. Taču 2018.gada 30.novembrī atbilstības pārbaudes veicējs atsūtīja e-pasta vēstuli ar VID prasību par secīgu XML faila aizpildīšanu (informācijas pievienošana kontroles datiem, tiklīdz tā ir pieejama, pēc tam secīgi ierakstot pārējo informāciju). Šīs prasības izpilde paredz būtiski pārrakstīt programmatūru un mainīt biznesa loģiku. </w:t>
            </w:r>
          </w:p>
          <w:p w:rsidRPr="00242FE9" w:rsidR="00C27729" w:rsidP="00C536DB" w:rsidRDefault="00C27729" w14:paraId="623A5A01" w14:textId="4994A817">
            <w:pPr>
              <w:pStyle w:val="ListParagraph"/>
              <w:ind w:left="0" w:firstLine="411"/>
              <w:contextualSpacing w:val="0"/>
              <w:jc w:val="both"/>
              <w:rPr>
                <w:lang w:val="lv-LV"/>
              </w:rPr>
            </w:pPr>
            <w:r w:rsidRPr="00242FE9">
              <w:rPr>
                <w:lang w:val="lv-LV"/>
              </w:rPr>
              <w:t>Lai izpildītu pēdējās VID prasības</w:t>
            </w:r>
            <w:r w:rsidR="006B23D2">
              <w:rPr>
                <w:lang w:val="lv-LV"/>
              </w:rPr>
              <w:t>, pastāvēja</w:t>
            </w:r>
            <w:r w:rsidRPr="00242FE9">
              <w:rPr>
                <w:lang w:val="lv-LV"/>
              </w:rPr>
              <w:t xml:space="preserve"> divas iespējas:</w:t>
            </w:r>
          </w:p>
          <w:p w:rsidRPr="00242FE9" w:rsidR="00C27729" w:rsidP="00C536DB" w:rsidRDefault="00C27729" w14:paraId="739BC814" w14:textId="77777777">
            <w:pPr>
              <w:pStyle w:val="ListParagraph"/>
              <w:numPr>
                <w:ilvl w:val="0"/>
                <w:numId w:val="3"/>
              </w:numPr>
              <w:ind w:left="0" w:firstLine="391"/>
              <w:contextualSpacing w:val="0"/>
              <w:jc w:val="both"/>
              <w:rPr>
                <w:lang w:val="lv-LV"/>
              </w:rPr>
            </w:pPr>
            <w:r w:rsidRPr="00242FE9">
              <w:rPr>
                <w:lang w:val="lv-LV"/>
              </w:rPr>
              <w:t>Klientam, kurš vēlas iegādāties vairākas biļetes, ir jānorēķinās par katru biļeti atsevišķi. Šis risinājums nav pieļaujams, jo būtiski apgrūtina gan pasažiera biļešu iegādi, gan kasieru darbu.</w:t>
            </w:r>
          </w:p>
          <w:p w:rsidRPr="00242FE9" w:rsidR="00C27729" w:rsidP="00E23C66" w:rsidRDefault="00C27729" w14:paraId="3A57A0CD" w14:textId="7A7BF76B">
            <w:pPr>
              <w:pStyle w:val="ListParagraph"/>
              <w:numPr>
                <w:ilvl w:val="0"/>
                <w:numId w:val="3"/>
              </w:numPr>
              <w:ind w:left="0" w:right="57" w:firstLine="391"/>
              <w:contextualSpacing w:val="0"/>
              <w:jc w:val="both"/>
              <w:rPr>
                <w:lang w:val="lv-LV"/>
              </w:rPr>
            </w:pPr>
            <w:r w:rsidRPr="00242FE9">
              <w:rPr>
                <w:lang w:val="lv-LV"/>
              </w:rPr>
              <w:t>Lai radītu klientam un uzņēmumam pieņemamāku risinājumu</w:t>
            </w:r>
            <w:r w:rsidR="006B23D2">
              <w:rPr>
                <w:lang w:val="lv-LV"/>
              </w:rPr>
              <w:t>,</w:t>
            </w:r>
            <w:r w:rsidRPr="00242FE9">
              <w:rPr>
                <w:lang w:val="lv-LV"/>
              </w:rPr>
              <w:t xml:space="preserve"> ir jāmaina biznesa loģik</w:t>
            </w:r>
            <w:r w:rsidRPr="00242FE9" w:rsidR="00BA31CA">
              <w:rPr>
                <w:lang w:val="lv-LV"/>
              </w:rPr>
              <w:t>a</w:t>
            </w:r>
            <w:r w:rsidRPr="00242FE9">
              <w:rPr>
                <w:lang w:val="lv-LV"/>
              </w:rPr>
              <w:t xml:space="preserve"> un turpmāk ir jāpārdod biļetes kā prec</w:t>
            </w:r>
            <w:r w:rsidR="006B23D2">
              <w:rPr>
                <w:lang w:val="lv-LV"/>
              </w:rPr>
              <w:t>e</w:t>
            </w:r>
            <w:r w:rsidRPr="00242FE9">
              <w:rPr>
                <w:lang w:val="lv-LV"/>
              </w:rPr>
              <w:t>.</w:t>
            </w:r>
            <w:r w:rsidRPr="00242FE9" w:rsidR="0029438D">
              <w:rPr>
                <w:lang w:val="lv-LV"/>
              </w:rPr>
              <w:t xml:space="preserve"> </w:t>
            </w:r>
            <w:r w:rsidRPr="00242FE9">
              <w:rPr>
                <w:lang w:val="lv-LV"/>
              </w:rPr>
              <w:t xml:space="preserve">Ja </w:t>
            </w:r>
            <w:r w:rsidR="006B23D2">
              <w:rPr>
                <w:lang w:val="lv-LV"/>
              </w:rPr>
              <w:t>b</w:t>
            </w:r>
            <w:r w:rsidRPr="00242FE9">
              <w:rPr>
                <w:lang w:val="lv-LV"/>
              </w:rPr>
              <w:t xml:space="preserve">iļešu veida izvēles formā (Grozā) ir izvēlēta vairāk par vienu biļeti (jebkuras biļetes) un aktivizēta apmaksas veikšana, sistēmai saskaņā ar VID prasībām par XML faila secīgu aizpildīšanu ir jādrukā </w:t>
            </w:r>
            <w:r w:rsidR="006B23D2">
              <w:rPr>
                <w:lang w:val="lv-LV"/>
              </w:rPr>
              <w:t>n</w:t>
            </w:r>
            <w:r w:rsidRPr="00242FE9">
              <w:rPr>
                <w:lang w:val="lv-LV"/>
              </w:rPr>
              <w:t xml:space="preserve">efiskāli dokumenti – </w:t>
            </w:r>
            <w:r w:rsidR="006B23D2">
              <w:rPr>
                <w:lang w:val="lv-LV"/>
              </w:rPr>
              <w:t>b</w:t>
            </w:r>
            <w:r w:rsidRPr="00242FE9">
              <w:rPr>
                <w:lang w:val="lv-LV"/>
              </w:rPr>
              <w:t>iļetes, jāveic visas normatīvajos aktos nefiskālam dokumentam noteiktās darbības un pēc visu izvēlēto biļešu izdrukas, jādrukā viens čeks (fiskāls dokuments), kurā tiek norādītas visas izvēlētās biļetes, kā preces.</w:t>
            </w:r>
            <w:r w:rsidRPr="00242FE9" w:rsidR="0029438D">
              <w:rPr>
                <w:lang w:val="lv-LV"/>
              </w:rPr>
              <w:t xml:space="preserve"> </w:t>
            </w:r>
            <w:r w:rsidRPr="00242FE9">
              <w:rPr>
                <w:lang w:val="lv-LV"/>
              </w:rPr>
              <w:t xml:space="preserve">Sagatavojot un izdrukājot čeku, </w:t>
            </w:r>
            <w:r w:rsidR="006B23D2">
              <w:rPr>
                <w:lang w:val="lv-LV"/>
              </w:rPr>
              <w:t>s</w:t>
            </w:r>
            <w:r w:rsidRPr="00242FE9">
              <w:rPr>
                <w:lang w:val="lv-LV"/>
              </w:rPr>
              <w:t>istēmai jāveic visas normatīvajos aktos fiskālam dokumentam noteiktās darbības. Šāda veida pārdošana ir jāorganizē, neskatoties uz to, ka biļete satur visu fiskālam dokumentam (čekam) nepieciešamo, MK noteikum</w:t>
            </w:r>
            <w:r w:rsidRPr="00242FE9" w:rsidR="003B2B4B">
              <w:rPr>
                <w:lang w:val="lv-LV"/>
              </w:rPr>
              <w:t>os</w:t>
            </w:r>
            <w:r w:rsidR="006B23D2">
              <w:rPr>
                <w:lang w:val="lv-LV"/>
              </w:rPr>
              <w:t xml:space="preserve"> Nr.9</w:t>
            </w:r>
            <w:r w:rsidR="009A7E69">
              <w:rPr>
                <w:lang w:val="lv-LV"/>
              </w:rPr>
              <w:t>5</w:t>
            </w:r>
            <w:r w:rsidRPr="00242FE9">
              <w:rPr>
                <w:lang w:val="lv-LV"/>
              </w:rPr>
              <w:t xml:space="preserve"> pieprasīto informāciju</w:t>
            </w:r>
            <w:r w:rsidRPr="00242FE9" w:rsidR="003B2B4B">
              <w:rPr>
                <w:lang w:val="lv-LV"/>
              </w:rPr>
              <w:t>.</w:t>
            </w:r>
            <w:r w:rsidRPr="00242FE9">
              <w:rPr>
                <w:lang w:val="lv-LV"/>
              </w:rPr>
              <w:t xml:space="preserve"> </w:t>
            </w:r>
            <w:r w:rsidRPr="00242FE9" w:rsidR="003B2B4B">
              <w:rPr>
                <w:lang w:val="lv-LV"/>
              </w:rPr>
              <w:t>Vienlaikus</w:t>
            </w:r>
            <w:r w:rsidRPr="00242FE9">
              <w:rPr>
                <w:lang w:val="lv-LV"/>
              </w:rPr>
              <w:t xml:space="preserve"> MK noteikumu Nr.95  49.1. punktā papildus ir noteikts, ka drukājot biļeti, dokumenta nosaukuma "čeks" vietā norāda dokumenta nosaukumu "biļete". Šāds risinājums ļaus pasažierim, iegādājoties vairākas bi</w:t>
            </w:r>
            <w:r w:rsidRPr="00242FE9" w:rsidR="004A6350">
              <w:rPr>
                <w:lang w:val="lv-LV"/>
              </w:rPr>
              <w:t>ļ</w:t>
            </w:r>
            <w:r w:rsidRPr="00242FE9">
              <w:rPr>
                <w:lang w:val="lv-LV"/>
              </w:rPr>
              <w:t>etes, samaksāt par visu pirkumu vienā reizē, bet būtiski apgrūtinās biļešu atgriešanu, jo būs jāuzrāda ne tikai biļete, bet arī čeks, kuru iespējams pasažieris nebūs saglabājis. Šis aspekts radīs domstarpības un neapmierinātību klientu apkalpošanā.</w:t>
            </w:r>
          </w:p>
          <w:p w:rsidRPr="00242FE9" w:rsidR="00AB312F" w:rsidP="00E23C66" w:rsidRDefault="008D6FC3" w14:paraId="4EC0A3ED" w14:textId="04F6C958">
            <w:pPr>
              <w:spacing w:after="0" w:line="240" w:lineRule="auto"/>
              <w:ind w:right="57" w:firstLine="360"/>
              <w:jc w:val="both"/>
              <w:rPr>
                <w:rFonts w:ascii="Times New Roman" w:hAnsi="Times New Roman" w:cs="Times New Roman"/>
                <w:sz w:val="24"/>
                <w:szCs w:val="24"/>
              </w:rPr>
            </w:pPr>
            <w:r w:rsidRPr="00242FE9">
              <w:rPr>
                <w:rFonts w:ascii="Times New Roman" w:hAnsi="Times New Roman" w:cs="Times New Roman"/>
                <w:sz w:val="24"/>
                <w:szCs w:val="24"/>
              </w:rPr>
              <w:t>P</w:t>
            </w:r>
            <w:r w:rsidRPr="00242FE9" w:rsidR="00AB312F">
              <w:rPr>
                <w:rFonts w:ascii="Times New Roman" w:hAnsi="Times New Roman" w:cs="Times New Roman"/>
                <w:sz w:val="24"/>
                <w:szCs w:val="24"/>
              </w:rPr>
              <w:t xml:space="preserve">ilnveidojot sistēmu, saskaņā ar atbilstības pārbaudes veicēju ieteikumiem, tā ir palikusi vairākas reizes </w:t>
            </w:r>
            <w:proofErr w:type="spellStart"/>
            <w:r w:rsidRPr="00242FE9" w:rsidR="00AB312F">
              <w:rPr>
                <w:rFonts w:ascii="Times New Roman" w:hAnsi="Times New Roman" w:cs="Times New Roman"/>
                <w:sz w:val="24"/>
                <w:szCs w:val="24"/>
              </w:rPr>
              <w:t>lēndarbīgāka</w:t>
            </w:r>
            <w:proofErr w:type="spellEnd"/>
            <w:r w:rsidRPr="00242FE9" w:rsidR="00AB312F">
              <w:rPr>
                <w:rFonts w:ascii="Times New Roman" w:hAnsi="Times New Roman" w:cs="Times New Roman"/>
                <w:sz w:val="24"/>
                <w:szCs w:val="24"/>
              </w:rPr>
              <w:t xml:space="preserve">, kas ir būtisks trūkums lielas pasažieru plūsmas apkalpošanas gadījumā. Tā kā </w:t>
            </w:r>
            <w:r w:rsidR="006B23D2">
              <w:rPr>
                <w:rFonts w:ascii="Times New Roman" w:hAnsi="Times New Roman" w:cs="Times New Roman"/>
                <w:sz w:val="24"/>
                <w:szCs w:val="24"/>
              </w:rPr>
              <w:t>AS ”Pasažieru vilciens”</w:t>
            </w:r>
            <w:r w:rsidRPr="00242FE9" w:rsidR="00AB312F">
              <w:rPr>
                <w:rFonts w:ascii="Times New Roman" w:hAnsi="Times New Roman" w:cs="Times New Roman"/>
                <w:sz w:val="24"/>
                <w:szCs w:val="24"/>
              </w:rPr>
              <w:t xml:space="preserve"> izstrādātā kasu sistēma pašlaik ir vienīgā sabiedriskā transporta biļešu pārdošanas sistēma, k</w:t>
            </w:r>
            <w:r w:rsidR="006B23D2">
              <w:rPr>
                <w:rFonts w:ascii="Times New Roman" w:hAnsi="Times New Roman" w:cs="Times New Roman"/>
                <w:sz w:val="24"/>
                <w:szCs w:val="24"/>
              </w:rPr>
              <w:t>as</w:t>
            </w:r>
            <w:r w:rsidRPr="00242FE9" w:rsidR="00AB312F">
              <w:rPr>
                <w:rFonts w:ascii="Times New Roman" w:hAnsi="Times New Roman" w:cs="Times New Roman"/>
                <w:sz w:val="24"/>
                <w:szCs w:val="24"/>
              </w:rPr>
              <w:t xml:space="preserve"> ir izstrādāta un iesniegta </w:t>
            </w:r>
            <w:r w:rsidRPr="00242FE9" w:rsidR="00AB312F">
              <w:rPr>
                <w:rFonts w:ascii="Times New Roman" w:hAnsi="Times New Roman" w:cs="Times New Roman"/>
                <w:sz w:val="24"/>
                <w:szCs w:val="24"/>
              </w:rPr>
              <w:lastRenderedPageBreak/>
              <w:t>atbilstības pārbaudei, VID piekrita dot nozarei vēl divu gadu papildus laiku un 2018.gada 21.decembra MK noteikumu Nr.95 grozījumos, tika noteikts: "73.</w:t>
            </w:r>
            <w:r w:rsidRPr="00242FE9" w:rsidR="00AB312F">
              <w:rPr>
                <w:rFonts w:ascii="Times New Roman" w:hAnsi="Times New Roman" w:cs="Times New Roman"/>
                <w:sz w:val="24"/>
                <w:szCs w:val="24"/>
                <w:vertAlign w:val="superscript"/>
              </w:rPr>
              <w:t>2</w:t>
            </w:r>
            <w:r w:rsidRPr="00242FE9" w:rsidR="00AB312F">
              <w:rPr>
                <w:rFonts w:ascii="Times New Roman" w:hAnsi="Times New Roman" w:cs="Times New Roman"/>
                <w:sz w:val="24"/>
                <w:szCs w:val="24"/>
              </w:rPr>
              <w:t> Pasažieru pārvadāšanas transportlīdzekļos (izņemot vieglos taksometrus) un biļešu tirdzniecības vietās kases aparātus, hibrīda kases aparātus, kases sistēmas un specializētās ierīces vai iekārtas atbilstoši šo noteikumu prasībām sāk lietot ne vēlāk kā 2021.gada 1.janvārī."</w:t>
            </w:r>
          </w:p>
          <w:p w:rsidRPr="00242FE9" w:rsidR="004A6350" w:rsidP="00E23C66" w:rsidRDefault="004A6350" w14:paraId="4F5D9190" w14:textId="711845DD">
            <w:pPr>
              <w:spacing w:after="0" w:line="240" w:lineRule="auto"/>
              <w:ind w:right="57" w:firstLine="360"/>
              <w:jc w:val="both"/>
              <w:rPr>
                <w:rFonts w:ascii="Times New Roman" w:hAnsi="Times New Roman" w:cs="Times New Roman"/>
                <w:sz w:val="24"/>
                <w:szCs w:val="24"/>
              </w:rPr>
            </w:pPr>
            <w:r w:rsidRPr="00242FE9">
              <w:rPr>
                <w:rFonts w:ascii="Times New Roman" w:hAnsi="Times New Roman" w:cs="Times New Roman"/>
                <w:sz w:val="24"/>
                <w:szCs w:val="24"/>
              </w:rPr>
              <w:t xml:space="preserve">MK noteikumu Nr.95 un MK noteikumu Nr.96 prasību izpilde ir pilnībā apturējusi </w:t>
            </w:r>
            <w:r w:rsidR="006B23D2">
              <w:rPr>
                <w:rFonts w:ascii="Times New Roman" w:hAnsi="Times New Roman" w:cs="Times New Roman"/>
                <w:sz w:val="24"/>
                <w:szCs w:val="24"/>
              </w:rPr>
              <w:t xml:space="preserve">AS “Pasažieru vilciens” </w:t>
            </w:r>
            <w:r w:rsidRPr="00242FE9">
              <w:rPr>
                <w:rFonts w:ascii="Times New Roman" w:hAnsi="Times New Roman" w:cs="Times New Roman"/>
                <w:sz w:val="24"/>
                <w:szCs w:val="24"/>
              </w:rPr>
              <w:t>biļešu tirdzniecības sistēmu attīstību, jo veicot sistēmas pārveidi atbilstoši MK noteikumu</w:t>
            </w:r>
            <w:r w:rsidR="009A7E69">
              <w:rPr>
                <w:rFonts w:ascii="Times New Roman" w:hAnsi="Times New Roman" w:cs="Times New Roman"/>
                <w:sz w:val="24"/>
                <w:szCs w:val="24"/>
              </w:rPr>
              <w:t xml:space="preserve"> Nr.95</w:t>
            </w:r>
            <w:r w:rsidRPr="00242FE9">
              <w:rPr>
                <w:rFonts w:ascii="Times New Roman" w:hAnsi="Times New Roman" w:cs="Times New Roman"/>
                <w:sz w:val="24"/>
                <w:szCs w:val="24"/>
              </w:rPr>
              <w:t xml:space="preserve"> prasībām, tiek veidota </w:t>
            </w:r>
            <w:proofErr w:type="spellStart"/>
            <w:r w:rsidRPr="00242FE9">
              <w:rPr>
                <w:rFonts w:ascii="Times New Roman" w:hAnsi="Times New Roman" w:cs="Times New Roman"/>
                <w:sz w:val="24"/>
                <w:szCs w:val="24"/>
              </w:rPr>
              <w:t>lēndarbīga</w:t>
            </w:r>
            <w:proofErr w:type="spellEnd"/>
            <w:r w:rsidRPr="00242FE9">
              <w:rPr>
                <w:rFonts w:ascii="Times New Roman" w:hAnsi="Times New Roman" w:cs="Times New Roman"/>
                <w:sz w:val="24"/>
                <w:szCs w:val="24"/>
              </w:rPr>
              <w:t xml:space="preserve"> un pasažieru apkalpošanai neatbilstoša sistēma, kuras uzturēšanas izmaksas būs ievērojami augstākas par pašreizējām.  </w:t>
            </w:r>
          </w:p>
          <w:p w:rsidRPr="00242FE9" w:rsidR="004A6350" w:rsidP="00E23C66" w:rsidRDefault="004A6350" w14:paraId="53A632AE" w14:textId="77777777">
            <w:pPr>
              <w:spacing w:after="0" w:line="240" w:lineRule="auto"/>
              <w:ind w:right="57" w:firstLine="360"/>
              <w:jc w:val="both"/>
              <w:rPr>
                <w:rFonts w:ascii="Times New Roman" w:hAnsi="Times New Roman" w:cs="Times New Roman"/>
                <w:sz w:val="24"/>
                <w:szCs w:val="24"/>
              </w:rPr>
            </w:pPr>
            <w:r w:rsidRPr="00242FE9">
              <w:rPr>
                <w:rFonts w:ascii="Times New Roman" w:hAnsi="Times New Roman" w:cs="Times New Roman"/>
                <w:sz w:val="24"/>
                <w:szCs w:val="24"/>
              </w:rPr>
              <w:t xml:space="preserve"> Joprojām kases aparātu tirg</w:t>
            </w:r>
            <w:r w:rsidRPr="00242FE9" w:rsidR="008D6FC3">
              <w:rPr>
                <w:rFonts w:ascii="Times New Roman" w:hAnsi="Times New Roman" w:cs="Times New Roman"/>
                <w:sz w:val="24"/>
                <w:szCs w:val="24"/>
              </w:rPr>
              <w:t xml:space="preserve">ū nav pieejami </w:t>
            </w:r>
            <w:r w:rsidRPr="00242FE9">
              <w:rPr>
                <w:rFonts w:ascii="Times New Roman" w:hAnsi="Times New Roman" w:cs="Times New Roman"/>
                <w:sz w:val="24"/>
                <w:szCs w:val="24"/>
              </w:rPr>
              <w:t xml:space="preserve"> MK noteikumu</w:t>
            </w:r>
            <w:r w:rsidRPr="00242FE9" w:rsidR="008D6FC3">
              <w:rPr>
                <w:rFonts w:ascii="Times New Roman" w:hAnsi="Times New Roman" w:cs="Times New Roman"/>
                <w:sz w:val="24"/>
                <w:szCs w:val="24"/>
              </w:rPr>
              <w:t xml:space="preserve"> </w:t>
            </w:r>
            <w:r w:rsidRPr="00242FE9">
              <w:rPr>
                <w:rFonts w:ascii="Times New Roman" w:hAnsi="Times New Roman" w:cs="Times New Roman"/>
                <w:sz w:val="24"/>
                <w:szCs w:val="24"/>
              </w:rPr>
              <w:t xml:space="preserve"> prasībām atbilstoš</w:t>
            </w:r>
            <w:r w:rsidRPr="00242FE9" w:rsidR="008D6FC3">
              <w:rPr>
                <w:rFonts w:ascii="Times New Roman" w:hAnsi="Times New Roman" w:cs="Times New Roman"/>
                <w:sz w:val="24"/>
                <w:szCs w:val="24"/>
              </w:rPr>
              <w:t>i</w:t>
            </w:r>
            <w:r w:rsidRPr="00242FE9">
              <w:rPr>
                <w:rFonts w:ascii="Times New Roman" w:hAnsi="Times New Roman" w:cs="Times New Roman"/>
                <w:sz w:val="24"/>
                <w:szCs w:val="24"/>
              </w:rPr>
              <w:t xml:space="preserve"> un VID publiskojamā datu bāzē reģistrēt</w:t>
            </w:r>
            <w:r w:rsidRPr="00242FE9" w:rsidR="008D6FC3">
              <w:rPr>
                <w:rFonts w:ascii="Times New Roman" w:hAnsi="Times New Roman" w:cs="Times New Roman"/>
                <w:sz w:val="24"/>
                <w:szCs w:val="24"/>
              </w:rPr>
              <w:t>i</w:t>
            </w:r>
            <w:r w:rsidRPr="00242FE9">
              <w:rPr>
                <w:rFonts w:ascii="Times New Roman" w:hAnsi="Times New Roman" w:cs="Times New Roman"/>
                <w:sz w:val="24"/>
                <w:szCs w:val="24"/>
              </w:rPr>
              <w:t xml:space="preserve"> mobilo kases aparāt</w:t>
            </w:r>
            <w:r w:rsidRPr="00242FE9" w:rsidR="008D6FC3">
              <w:rPr>
                <w:rFonts w:ascii="Times New Roman" w:hAnsi="Times New Roman" w:cs="Times New Roman"/>
                <w:sz w:val="24"/>
                <w:szCs w:val="24"/>
              </w:rPr>
              <w:t>i</w:t>
            </w:r>
            <w:r w:rsidRPr="00242FE9">
              <w:rPr>
                <w:rFonts w:ascii="Times New Roman" w:hAnsi="Times New Roman" w:cs="Times New Roman"/>
                <w:sz w:val="24"/>
                <w:szCs w:val="24"/>
              </w:rPr>
              <w:t xml:space="preserve">, kuri būtu lietojami biļešu tirdzniecībai vilcienos. </w:t>
            </w:r>
            <w:r w:rsidRPr="00242FE9" w:rsidR="008D6FC3">
              <w:rPr>
                <w:rFonts w:ascii="Times New Roman" w:hAnsi="Times New Roman" w:cs="Times New Roman"/>
                <w:sz w:val="24"/>
                <w:szCs w:val="24"/>
              </w:rPr>
              <w:t>I</w:t>
            </w:r>
            <w:r w:rsidRPr="00242FE9">
              <w:rPr>
                <w:rFonts w:ascii="Times New Roman" w:hAnsi="Times New Roman" w:cs="Times New Roman"/>
                <w:sz w:val="24"/>
                <w:szCs w:val="24"/>
              </w:rPr>
              <w:t xml:space="preserve">zvirzītajām prasībām atbilstošus mobilos kases aparātus nav iespējams aprīkot ar biļešu kontrolei nepieciešamo programmatūru, interneta </w:t>
            </w:r>
            <w:proofErr w:type="spellStart"/>
            <w:r w:rsidRPr="00242FE9">
              <w:rPr>
                <w:rFonts w:ascii="Times New Roman" w:hAnsi="Times New Roman" w:cs="Times New Roman"/>
                <w:sz w:val="24"/>
                <w:szCs w:val="24"/>
              </w:rPr>
              <w:t>pieslēgumu</w:t>
            </w:r>
            <w:proofErr w:type="spellEnd"/>
            <w:r w:rsidRPr="00242FE9">
              <w:rPr>
                <w:rFonts w:ascii="Times New Roman" w:hAnsi="Times New Roman" w:cs="Times New Roman"/>
                <w:sz w:val="24"/>
                <w:szCs w:val="24"/>
              </w:rPr>
              <w:t xml:space="preserve"> un optisko svītrkodu lasītāju vienā korpusā. Tas </w:t>
            </w:r>
            <w:r w:rsidRPr="00242FE9" w:rsidR="008D6FC3">
              <w:rPr>
                <w:rFonts w:ascii="Times New Roman" w:hAnsi="Times New Roman" w:cs="Times New Roman"/>
                <w:sz w:val="24"/>
                <w:szCs w:val="24"/>
              </w:rPr>
              <w:t xml:space="preserve">būtiski  pasliktina </w:t>
            </w:r>
            <w:r w:rsidRPr="00242FE9">
              <w:rPr>
                <w:rFonts w:ascii="Times New Roman" w:hAnsi="Times New Roman" w:cs="Times New Roman"/>
                <w:sz w:val="24"/>
                <w:szCs w:val="24"/>
              </w:rPr>
              <w:t>vilcienu konduktoru darba apstākļu</w:t>
            </w:r>
            <w:r w:rsidRPr="00242FE9" w:rsidR="008D6FC3">
              <w:rPr>
                <w:rFonts w:ascii="Times New Roman" w:hAnsi="Times New Roman" w:cs="Times New Roman"/>
                <w:sz w:val="24"/>
                <w:szCs w:val="24"/>
              </w:rPr>
              <w:t>s</w:t>
            </w:r>
            <w:r w:rsidRPr="00242FE9">
              <w:rPr>
                <w:rFonts w:ascii="Times New Roman" w:hAnsi="Times New Roman" w:cs="Times New Roman"/>
                <w:sz w:val="24"/>
                <w:szCs w:val="24"/>
              </w:rPr>
              <w:t>, jo šiem darbiniekiem ir vienlaicīgi, jānēsā līdz</w:t>
            </w:r>
            <w:r w:rsidRPr="00242FE9" w:rsidR="007C358D">
              <w:rPr>
                <w:rFonts w:ascii="Times New Roman" w:hAnsi="Times New Roman" w:cs="Times New Roman"/>
                <w:sz w:val="24"/>
                <w:szCs w:val="24"/>
              </w:rPr>
              <w:t>i</w:t>
            </w:r>
            <w:r w:rsidRPr="00242FE9">
              <w:rPr>
                <w:rFonts w:ascii="Times New Roman" w:hAnsi="Times New Roman" w:cs="Times New Roman"/>
                <w:sz w:val="24"/>
                <w:szCs w:val="24"/>
              </w:rPr>
              <w:t xml:space="preserve"> un jāstrādā ar trim atsevišķām iekārtām – kases aparātu, maksājuma karšu pieņemšanas terminālu un biļešu kontroles optisko skeneri, papildus vēl darbojoties ar skaidras naudas pieņemšanu.</w:t>
            </w:r>
          </w:p>
          <w:p w:rsidRPr="00242FE9" w:rsidR="001C2C71" w:rsidP="00E23C66" w:rsidRDefault="001C2C71" w14:paraId="29F3103C" w14:textId="7070C124">
            <w:pPr>
              <w:pStyle w:val="ListParagraph"/>
              <w:ind w:left="0" w:firstLine="360"/>
              <w:contextualSpacing w:val="0"/>
              <w:jc w:val="both"/>
              <w:rPr>
                <w:lang w:val="lv-LV"/>
              </w:rPr>
            </w:pPr>
            <w:r w:rsidRPr="00242FE9">
              <w:rPr>
                <w:lang w:val="lv-LV"/>
              </w:rPr>
              <w:t xml:space="preserve">Šobrīd MK noteikumu </w:t>
            </w:r>
            <w:r w:rsidRPr="00242FE9" w:rsidR="00B75496">
              <w:rPr>
                <w:lang w:val="lv-LV"/>
              </w:rPr>
              <w:t xml:space="preserve">Nr.96 </w:t>
            </w:r>
            <w:r w:rsidRPr="00242FE9">
              <w:rPr>
                <w:lang w:val="lv-LV"/>
              </w:rPr>
              <w:t xml:space="preserve">84.7 apakšpunkts noteic, ka personas par dzelzceļa starptautiskajiem pasažieru un to bagāžas pārvadājumiem, vai vietējiem pasažieru un to bagāžas pārvadājumiem </w:t>
            </w:r>
            <w:proofErr w:type="spellStart"/>
            <w:r w:rsidRPr="00242FE9">
              <w:rPr>
                <w:lang w:val="lv-LV"/>
              </w:rPr>
              <w:t>šaursliežu</w:t>
            </w:r>
            <w:proofErr w:type="spellEnd"/>
            <w:r w:rsidRPr="00242FE9">
              <w:rPr>
                <w:lang w:val="lv-LV"/>
              </w:rPr>
              <w:t xml:space="preserve"> dzelzceļa maršrutā Gulbene–Alūksne, </w:t>
            </w:r>
            <w:bookmarkStart w:name="OLE_LINK1" w:id="0"/>
            <w:bookmarkStart w:name="OLE_LINK2" w:id="1"/>
            <w:r w:rsidRPr="00242FE9">
              <w:rPr>
                <w:lang w:val="lv-LV"/>
              </w:rPr>
              <w:t>samaksu saņemot transportlīdzeklī un izsniedzot biļeti vai par maksu pārvadājamās bagāžas kvīti normatīvajos aktos par dzelzceļa pārvadājumiem noteiktajā kārtībā</w:t>
            </w:r>
            <w:bookmarkEnd w:id="0"/>
            <w:bookmarkEnd w:id="1"/>
            <w:r w:rsidRPr="00242FE9" w:rsidR="00B75496">
              <w:rPr>
                <w:lang w:val="lv-LV"/>
              </w:rPr>
              <w:t>.</w:t>
            </w:r>
          </w:p>
          <w:p w:rsidRPr="00242FE9" w:rsidR="00EA0BDE" w:rsidP="00EA0BDE" w:rsidRDefault="00EA0BDE" w14:paraId="6CC28B29" w14:textId="13ED4A9D">
            <w:pPr>
              <w:pStyle w:val="ListParagraph"/>
              <w:ind w:left="0" w:firstLine="360"/>
              <w:contextualSpacing w:val="0"/>
              <w:jc w:val="both"/>
              <w:rPr>
                <w:lang w:val="lv-LV"/>
              </w:rPr>
            </w:pPr>
            <w:r w:rsidRPr="00242FE9">
              <w:rPr>
                <w:lang w:val="lv-LV"/>
              </w:rPr>
              <w:t xml:space="preserve">Ar </w:t>
            </w:r>
            <w:r w:rsidR="006B23D2">
              <w:rPr>
                <w:lang w:val="lv-LV"/>
              </w:rPr>
              <w:t xml:space="preserve">noteikumu </w:t>
            </w:r>
            <w:r w:rsidRPr="00242FE9">
              <w:rPr>
                <w:lang w:val="lv-LV"/>
              </w:rPr>
              <w:t>projektu tiktu noteiktas vienlīdzīgas prasības pasažieru pārvadātājiem pa dzelzceļu</w:t>
            </w:r>
            <w:r w:rsidRPr="00242FE9" w:rsidR="001A1AE8">
              <w:rPr>
                <w:lang w:val="lv-LV"/>
              </w:rPr>
              <w:t>, pārdodot biļetes vilcienos</w:t>
            </w:r>
            <w:r w:rsidRPr="00242FE9">
              <w:rPr>
                <w:lang w:val="lv-LV"/>
              </w:rPr>
              <w:t xml:space="preserve">, jo tas atbrīvotu no obligātās </w:t>
            </w:r>
            <w:r w:rsidR="006B23D2">
              <w:rPr>
                <w:lang w:val="lv-LV"/>
              </w:rPr>
              <w:t>n</w:t>
            </w:r>
            <w:r w:rsidRPr="00242FE9">
              <w:rPr>
                <w:lang w:val="lv-LV"/>
              </w:rPr>
              <w:t xml:space="preserve">odokļu un citu maksājumu reģistrēšanas elektronisko ierīču un iekārtu lietošanas, ne tikai starptautiskos dzelzceļa pārvadātājus un Alūksnes – Gulbenes </w:t>
            </w:r>
            <w:proofErr w:type="spellStart"/>
            <w:r w:rsidRPr="00242FE9">
              <w:rPr>
                <w:lang w:val="lv-LV"/>
              </w:rPr>
              <w:t>šaursliežu</w:t>
            </w:r>
            <w:proofErr w:type="spellEnd"/>
            <w:r w:rsidRPr="00242FE9">
              <w:rPr>
                <w:lang w:val="lv-LV"/>
              </w:rPr>
              <w:t xml:space="preserve"> dzelzceļa pārvadātāju, bet arī iekšzemes dzelzceļa pārvadātāju AS</w:t>
            </w:r>
            <w:r w:rsidR="009A7E69">
              <w:rPr>
                <w:lang w:val="lv-LV"/>
              </w:rPr>
              <w:t> “</w:t>
            </w:r>
            <w:r w:rsidRPr="00242FE9">
              <w:rPr>
                <w:lang w:val="lv-LV"/>
              </w:rPr>
              <w:t>Pasažieru vilciens”</w:t>
            </w:r>
            <w:r w:rsidRPr="00242FE9" w:rsidR="001A1AE8">
              <w:rPr>
                <w:lang w:val="lv-LV"/>
              </w:rPr>
              <w:t>, kā arī paredzēts atbrīvojums no obligātās kases aparātu un kases sistēmu, kas atbilst MK noteikumiem Nr.95, lietošanas pārdodot biļetes dzelzceļa kasēs un dzelzceļa pieturas punktos</w:t>
            </w:r>
            <w:r w:rsidRPr="00242FE9" w:rsidR="0036179A">
              <w:rPr>
                <w:lang w:val="lv-LV"/>
              </w:rPr>
              <w:t xml:space="preserve"> (biļešu tirdzniecības vietās)</w:t>
            </w:r>
            <w:r w:rsidRPr="00242FE9">
              <w:rPr>
                <w:lang w:val="lv-LV"/>
              </w:rPr>
              <w:t xml:space="preserve">. </w:t>
            </w:r>
          </w:p>
          <w:p w:rsidRPr="00242FE9" w:rsidR="00E23C66" w:rsidP="00E23C66" w:rsidRDefault="006B23D2" w14:paraId="7E619B07" w14:textId="62745416">
            <w:pPr>
              <w:spacing w:after="0" w:line="240" w:lineRule="auto"/>
              <w:ind w:right="57" w:firstLine="360"/>
              <w:jc w:val="both"/>
              <w:rPr>
                <w:rFonts w:ascii="Times New Roman" w:hAnsi="Times New Roman" w:cs="Times New Roman"/>
                <w:sz w:val="24"/>
                <w:szCs w:val="24"/>
              </w:rPr>
            </w:pPr>
            <w:r>
              <w:rPr>
                <w:rFonts w:ascii="Times New Roman" w:hAnsi="Times New Roman" w:cs="Times New Roman"/>
                <w:sz w:val="24"/>
                <w:szCs w:val="24"/>
              </w:rPr>
              <w:lastRenderedPageBreak/>
              <w:t>Noteikumu p</w:t>
            </w:r>
            <w:r w:rsidRPr="00242FE9" w:rsidR="00E23C66">
              <w:rPr>
                <w:rFonts w:ascii="Times New Roman" w:hAnsi="Times New Roman" w:cs="Times New Roman"/>
                <w:sz w:val="24"/>
                <w:szCs w:val="24"/>
              </w:rPr>
              <w:t>rojekts paredz, ka AS „Pasažieru vilciens” samaksu saņem transportlīdzeklī vai biļešu tirdzniecības vietās un izsnie</w:t>
            </w:r>
            <w:r w:rsidR="004C0E07">
              <w:rPr>
                <w:rFonts w:ascii="Times New Roman" w:hAnsi="Times New Roman" w:cs="Times New Roman"/>
                <w:sz w:val="24"/>
                <w:szCs w:val="24"/>
              </w:rPr>
              <w:t>dz</w:t>
            </w:r>
            <w:r w:rsidRPr="00242FE9" w:rsidR="00E23C66">
              <w:rPr>
                <w:rFonts w:ascii="Times New Roman" w:hAnsi="Times New Roman" w:cs="Times New Roman"/>
                <w:sz w:val="24"/>
                <w:szCs w:val="24"/>
              </w:rPr>
              <w:t xml:space="preserve"> biļeti vai par maksu pārvadājamo bagāžas kvīti normatīvajos aktos par dzelzceļa pārvadājumiem</w:t>
            </w:r>
            <w:r w:rsidRPr="00242FE9" w:rsidR="00577922">
              <w:rPr>
                <w:rFonts w:ascii="Times New Roman" w:hAnsi="Times New Roman" w:cs="Times New Roman"/>
                <w:sz w:val="24"/>
                <w:szCs w:val="24"/>
              </w:rPr>
              <w:t xml:space="preserve"> un </w:t>
            </w:r>
            <w:r w:rsidRPr="00191BD5" w:rsidR="00577922">
              <w:rPr>
                <w:rFonts w:ascii="Times New Roman" w:hAnsi="Times New Roman" w:cs="Times New Roman"/>
                <w:sz w:val="24"/>
                <w:szCs w:val="24"/>
              </w:rPr>
              <w:t>Ministru kabineta 2012.gada 28.augusta noteikumos Nr.599</w:t>
            </w:r>
            <w:r w:rsidR="00191BD5">
              <w:rPr>
                <w:rFonts w:ascii="Times New Roman" w:hAnsi="Times New Roman" w:cs="Times New Roman"/>
                <w:sz w:val="24"/>
                <w:szCs w:val="24"/>
              </w:rPr>
              <w:t xml:space="preserve"> </w:t>
            </w:r>
            <w:r w:rsidRPr="00191BD5" w:rsidR="00577922">
              <w:rPr>
                <w:rFonts w:ascii="Times New Roman" w:hAnsi="Times New Roman" w:cs="Times New Roman"/>
                <w:sz w:val="24"/>
                <w:szCs w:val="24"/>
              </w:rPr>
              <w:t xml:space="preserve">„Sabiedriskā transporta pakalpojumu sniegšanas un izmantošanas kārtība” </w:t>
            </w:r>
            <w:r w:rsidRPr="00242FE9" w:rsidR="00E23C66">
              <w:rPr>
                <w:rFonts w:ascii="Times New Roman" w:hAnsi="Times New Roman" w:cs="Times New Roman"/>
                <w:sz w:val="24"/>
                <w:szCs w:val="24"/>
              </w:rPr>
              <w:t xml:space="preserve">noteiktajā kārtībā. Tas samazinātu finansiālos ieguldījumus vilcienu biļešu pārdošanas tehnoloģiju attīstībā un radītu pasažieru vajadzībām un ērtībām piemērotu risinājumu. </w:t>
            </w:r>
          </w:p>
          <w:p w:rsidR="00383B02" w:rsidP="00895C8C" w:rsidRDefault="00A1473C" w14:paraId="7540C974" w14:textId="77777777">
            <w:pPr>
              <w:spacing w:after="0" w:line="240" w:lineRule="auto"/>
              <w:ind w:right="57" w:firstLine="360"/>
              <w:jc w:val="both"/>
              <w:rPr>
                <w:rFonts w:ascii="Times New Roman" w:hAnsi="Times New Roman" w:cs="Times New Roman"/>
                <w:sz w:val="24"/>
                <w:szCs w:val="24"/>
              </w:rPr>
            </w:pPr>
            <w:r w:rsidRPr="00242FE9">
              <w:rPr>
                <w:rFonts w:ascii="Times New Roman" w:hAnsi="Times New Roman" w:cs="Times New Roman"/>
                <w:sz w:val="24"/>
                <w:szCs w:val="24"/>
              </w:rPr>
              <w:t xml:space="preserve">Savukārt MK noteikumu </w:t>
            </w:r>
            <w:r w:rsidR="006B23D2">
              <w:rPr>
                <w:rFonts w:ascii="Times New Roman" w:hAnsi="Times New Roman" w:cs="Times New Roman"/>
                <w:sz w:val="24"/>
                <w:szCs w:val="24"/>
              </w:rPr>
              <w:t>Nr.9</w:t>
            </w:r>
            <w:r w:rsidR="009A7E69">
              <w:rPr>
                <w:rFonts w:ascii="Times New Roman" w:hAnsi="Times New Roman" w:cs="Times New Roman"/>
                <w:sz w:val="24"/>
                <w:szCs w:val="24"/>
              </w:rPr>
              <w:t>5</w:t>
            </w:r>
            <w:r w:rsidR="006B23D2">
              <w:rPr>
                <w:rFonts w:ascii="Times New Roman" w:hAnsi="Times New Roman" w:cs="Times New Roman"/>
                <w:sz w:val="24"/>
                <w:szCs w:val="24"/>
              </w:rPr>
              <w:t xml:space="preserve"> </w:t>
            </w:r>
            <w:r w:rsidRPr="00242FE9">
              <w:rPr>
                <w:rFonts w:ascii="Times New Roman" w:hAnsi="Times New Roman" w:cs="Times New Roman"/>
                <w:sz w:val="24"/>
                <w:szCs w:val="24"/>
              </w:rPr>
              <w:t>prasības, kuras nav pretrunā ar biļešu pārdošanas loģiku un nesamazina pasažieru apkalpošanas ātrumu, tiks izpildītas.</w:t>
            </w:r>
          </w:p>
          <w:p w:rsidRPr="00F87093" w:rsidR="00355DCF" w:rsidP="00355DCF" w:rsidRDefault="00FE2331" w14:paraId="517D6E9C" w14:textId="221DC1FE">
            <w:pPr>
              <w:spacing w:after="0" w:line="240" w:lineRule="auto"/>
              <w:ind w:right="57" w:firstLine="360"/>
              <w:jc w:val="both"/>
              <w:rPr>
                <w:rFonts w:ascii="Times New Roman" w:hAnsi="Times New Roman" w:cs="Times New Roman"/>
                <w:sz w:val="24"/>
                <w:szCs w:val="24"/>
              </w:rPr>
            </w:pPr>
            <w:r>
              <w:rPr>
                <w:rFonts w:ascii="Times New Roman" w:hAnsi="Times New Roman" w:cs="Times New Roman"/>
                <w:sz w:val="24"/>
                <w:szCs w:val="24"/>
              </w:rPr>
              <w:t xml:space="preserve">Ar šī noteikumu projekta pieņemšanu </w:t>
            </w:r>
            <w:r w:rsidR="006C3F25">
              <w:rPr>
                <w:rFonts w:ascii="Times New Roman" w:hAnsi="Times New Roman" w:cs="Times New Roman"/>
                <w:sz w:val="24"/>
                <w:szCs w:val="24"/>
              </w:rPr>
              <w:t>AS “</w:t>
            </w:r>
            <w:r w:rsidR="00355DCF">
              <w:rPr>
                <w:rFonts w:ascii="Times New Roman" w:hAnsi="Times New Roman" w:cs="Times New Roman"/>
                <w:sz w:val="24"/>
                <w:szCs w:val="24"/>
              </w:rPr>
              <w:t>P</w:t>
            </w:r>
            <w:r w:rsidR="006C3F25">
              <w:rPr>
                <w:rFonts w:ascii="Times New Roman" w:hAnsi="Times New Roman" w:cs="Times New Roman"/>
                <w:sz w:val="24"/>
                <w:szCs w:val="24"/>
              </w:rPr>
              <w:t>asažieru vilciens”</w:t>
            </w:r>
            <w:r w:rsidR="00355DCF">
              <w:rPr>
                <w:rFonts w:ascii="Times New Roman" w:hAnsi="Times New Roman" w:cs="Times New Roman"/>
                <w:sz w:val="24"/>
                <w:szCs w:val="24"/>
              </w:rPr>
              <w:t xml:space="preserve"> varēs netraucēti attīstīt vilcienu biļešu tirdzniecības sistēmas attīstību. </w:t>
            </w:r>
            <w:r w:rsidR="006C3F25">
              <w:rPr>
                <w:rFonts w:ascii="Times New Roman" w:hAnsi="Times New Roman" w:cs="Times New Roman"/>
                <w:sz w:val="24"/>
                <w:szCs w:val="24"/>
              </w:rPr>
              <w:t>I</w:t>
            </w:r>
            <w:r w:rsidR="00355DCF">
              <w:rPr>
                <w:rFonts w:ascii="Times New Roman" w:hAnsi="Times New Roman" w:cs="Times New Roman"/>
                <w:sz w:val="24"/>
                <w:szCs w:val="24"/>
              </w:rPr>
              <w:t>r paredzēts, ieviest jaunu biļešu kasu sistēmu, b</w:t>
            </w:r>
            <w:r w:rsidRPr="00F87093" w:rsidR="00355DCF">
              <w:rPr>
                <w:rFonts w:ascii="Times New Roman" w:hAnsi="Times New Roman" w:cs="Times New Roman"/>
                <w:sz w:val="24"/>
                <w:szCs w:val="24"/>
              </w:rPr>
              <w:t xml:space="preserve">iļešu </w:t>
            </w:r>
            <w:r w:rsidR="00355DCF">
              <w:rPr>
                <w:rFonts w:ascii="Times New Roman" w:hAnsi="Times New Roman" w:cs="Times New Roman"/>
                <w:sz w:val="24"/>
                <w:szCs w:val="24"/>
              </w:rPr>
              <w:t>tirdzniecības automātu</w:t>
            </w:r>
            <w:r w:rsidRPr="00F87093" w:rsidR="00355DCF">
              <w:rPr>
                <w:rFonts w:ascii="Times New Roman" w:hAnsi="Times New Roman" w:cs="Times New Roman"/>
                <w:sz w:val="24"/>
                <w:szCs w:val="24"/>
              </w:rPr>
              <w:t>s</w:t>
            </w:r>
            <w:r w:rsidR="00355DCF">
              <w:rPr>
                <w:rFonts w:ascii="Times New Roman" w:hAnsi="Times New Roman" w:cs="Times New Roman"/>
                <w:sz w:val="24"/>
                <w:szCs w:val="24"/>
              </w:rPr>
              <w:t xml:space="preserve"> un jaunus kases aparātus konduktoriem vilcienos. </w:t>
            </w:r>
            <w:r w:rsidRPr="00EB49F7" w:rsidR="00355DCF">
              <w:rPr>
                <w:rFonts w:ascii="Times New Roman" w:hAnsi="Times New Roman" w:cs="Times New Roman"/>
                <w:sz w:val="24"/>
                <w:szCs w:val="24"/>
              </w:rPr>
              <w:t>Pieturas punktos ar ļoti mazu pasažieru skaitu</w:t>
            </w:r>
            <w:r w:rsidR="00355DCF">
              <w:rPr>
                <w:rFonts w:ascii="Times New Roman" w:hAnsi="Times New Roman" w:cs="Times New Roman"/>
                <w:sz w:val="24"/>
                <w:szCs w:val="24"/>
              </w:rPr>
              <w:t>,</w:t>
            </w:r>
            <w:r w:rsidRPr="00EB49F7" w:rsidR="00355DCF">
              <w:rPr>
                <w:rFonts w:ascii="Times New Roman" w:hAnsi="Times New Roman" w:cs="Times New Roman"/>
                <w:sz w:val="24"/>
                <w:szCs w:val="24"/>
              </w:rPr>
              <w:t xml:space="preserve"> biļešu iegāde, tāpat kā līdz šim, tiks nodrošināta vilcienos, kuros biļetes kontrolēs un tirgos konduktori. Tikai uzsākot jaunu vilcienu iegādi</w:t>
            </w:r>
            <w:r w:rsidR="00355DCF">
              <w:rPr>
                <w:rFonts w:ascii="Times New Roman" w:hAnsi="Times New Roman" w:cs="Times New Roman"/>
                <w:sz w:val="24"/>
                <w:szCs w:val="24"/>
              </w:rPr>
              <w:t>,</w:t>
            </w:r>
            <w:r w:rsidRPr="00EB49F7" w:rsidR="00355DCF">
              <w:rPr>
                <w:rFonts w:ascii="Times New Roman" w:hAnsi="Times New Roman" w:cs="Times New Roman"/>
                <w:sz w:val="24"/>
                <w:szCs w:val="24"/>
              </w:rPr>
              <w:t xml:space="preserve"> ir plānots pakāpenisks konduktoru skaita samazinājums. Tiks paplašināta arī e-biļešu tirdzniecība</w:t>
            </w:r>
            <w:r w:rsidR="00355DCF">
              <w:rPr>
                <w:rFonts w:ascii="Times New Roman" w:hAnsi="Times New Roman" w:cs="Times New Roman"/>
                <w:sz w:val="24"/>
                <w:szCs w:val="24"/>
              </w:rPr>
              <w:t>,</w:t>
            </w:r>
            <w:r w:rsidRPr="00EB49F7" w:rsidR="00355DCF">
              <w:rPr>
                <w:rFonts w:ascii="Times New Roman" w:hAnsi="Times New Roman" w:cs="Times New Roman"/>
                <w:sz w:val="24"/>
                <w:szCs w:val="24"/>
              </w:rPr>
              <w:t xml:space="preserve"> palielinot aplikācijās pārdodamo biļešu skaitu un ieviešot lojalitātes programmas.</w:t>
            </w:r>
            <w:r w:rsidR="00355DCF">
              <w:rPr>
                <w:rFonts w:ascii="Times New Roman" w:hAnsi="Times New Roman" w:cs="Times New Roman"/>
                <w:sz w:val="24"/>
                <w:szCs w:val="24"/>
              </w:rPr>
              <w:t xml:space="preserve"> Biļešu tirdzniecības automāti,</w:t>
            </w:r>
            <w:r w:rsidRPr="00F87093" w:rsidR="00355DCF">
              <w:rPr>
                <w:rFonts w:ascii="Times New Roman" w:hAnsi="Times New Roman" w:cs="Times New Roman"/>
                <w:sz w:val="24"/>
                <w:szCs w:val="24"/>
              </w:rPr>
              <w:t xml:space="preserve"> tāpat kā biļešu kasēs</w:t>
            </w:r>
            <w:r w:rsidR="00355DCF">
              <w:rPr>
                <w:rFonts w:ascii="Times New Roman" w:hAnsi="Times New Roman" w:cs="Times New Roman"/>
                <w:sz w:val="24"/>
                <w:szCs w:val="24"/>
              </w:rPr>
              <w:t>,</w:t>
            </w:r>
            <w:r w:rsidRPr="00F87093" w:rsidR="00355DCF">
              <w:rPr>
                <w:rFonts w:ascii="Times New Roman" w:hAnsi="Times New Roman" w:cs="Times New Roman"/>
                <w:sz w:val="24"/>
                <w:szCs w:val="24"/>
              </w:rPr>
              <w:t xml:space="preserve"> tirgotas visa veida vilciena biļetes. Ievērojot to, ka </w:t>
            </w:r>
            <w:proofErr w:type="spellStart"/>
            <w:r w:rsidRPr="00F87093" w:rsidR="00355DCF">
              <w:rPr>
                <w:rFonts w:ascii="Times New Roman" w:hAnsi="Times New Roman" w:cs="Times New Roman"/>
                <w:sz w:val="24"/>
                <w:szCs w:val="24"/>
              </w:rPr>
              <w:t>maksimumstudās</w:t>
            </w:r>
            <w:proofErr w:type="spellEnd"/>
            <w:r w:rsidRPr="00F87093" w:rsidR="00355DCF">
              <w:rPr>
                <w:rFonts w:ascii="Times New Roman" w:hAnsi="Times New Roman" w:cs="Times New Roman"/>
                <w:sz w:val="24"/>
                <w:szCs w:val="24"/>
              </w:rPr>
              <w:t xml:space="preserve"> tikai apmēram 3 līdz 5 automāti spēj nodrošināt vienas biļešu kases aizvietošanu</w:t>
            </w:r>
            <w:r w:rsidR="00355DCF">
              <w:rPr>
                <w:rFonts w:ascii="Times New Roman" w:hAnsi="Times New Roman" w:cs="Times New Roman"/>
                <w:sz w:val="24"/>
                <w:szCs w:val="24"/>
              </w:rPr>
              <w:t>, sākotnēji biļešu automāti tik</w:t>
            </w:r>
            <w:r w:rsidRPr="00F87093" w:rsidR="00355DCF">
              <w:rPr>
                <w:rFonts w:ascii="Times New Roman" w:hAnsi="Times New Roman" w:cs="Times New Roman"/>
                <w:sz w:val="24"/>
                <w:szCs w:val="24"/>
              </w:rPr>
              <w:t xml:space="preserve">s uzstādīti stacijās, kurās šobrīd ir vairāk par vienu kasi. Savukārt turpmāk biļešu automāti tiks izvietoti uz </w:t>
            </w:r>
            <w:proofErr w:type="spellStart"/>
            <w:r w:rsidRPr="00F87093" w:rsidR="00355DCF">
              <w:rPr>
                <w:rFonts w:ascii="Times New Roman" w:hAnsi="Times New Roman" w:cs="Times New Roman"/>
                <w:sz w:val="24"/>
                <w:szCs w:val="24"/>
              </w:rPr>
              <w:t>jaun</w:t>
            </w:r>
            <w:r w:rsidR="00355DCF">
              <w:rPr>
                <w:rFonts w:ascii="Times New Roman" w:hAnsi="Times New Roman" w:cs="Times New Roman"/>
                <w:sz w:val="24"/>
                <w:szCs w:val="24"/>
              </w:rPr>
              <w:t>u</w:t>
            </w:r>
            <w:r w:rsidRPr="00F87093" w:rsidR="00355DCF">
              <w:rPr>
                <w:rFonts w:ascii="Times New Roman" w:hAnsi="Times New Roman" w:cs="Times New Roman"/>
                <w:sz w:val="24"/>
                <w:szCs w:val="24"/>
              </w:rPr>
              <w:t>zbūvējamajiem</w:t>
            </w:r>
            <w:proofErr w:type="spellEnd"/>
            <w:r w:rsidRPr="00F87093" w:rsidR="00355DCF">
              <w:rPr>
                <w:rFonts w:ascii="Times New Roman" w:hAnsi="Times New Roman" w:cs="Times New Roman"/>
                <w:sz w:val="24"/>
                <w:szCs w:val="24"/>
              </w:rPr>
              <w:t xml:space="preserve"> peroniem un biļešu kasēs, bet pieturas punktu un staciju secība, kur kases tiks aizvietotas ar automātiem tiks noteikta</w:t>
            </w:r>
            <w:r w:rsidR="00355DCF">
              <w:rPr>
                <w:rFonts w:ascii="Times New Roman" w:hAnsi="Times New Roman" w:cs="Times New Roman"/>
                <w:sz w:val="24"/>
                <w:szCs w:val="24"/>
              </w:rPr>
              <w:t>,</w:t>
            </w:r>
            <w:r w:rsidRPr="00F87093" w:rsidR="00355DCF">
              <w:rPr>
                <w:rFonts w:ascii="Times New Roman" w:hAnsi="Times New Roman" w:cs="Times New Roman"/>
                <w:sz w:val="24"/>
                <w:szCs w:val="24"/>
              </w:rPr>
              <w:t xml:space="preserve"> ņemot vērā kasu noslogojumu, kasu uzturēšanas un kasieru atalgojuma izmaksas, kā arī kasieru pieejamību darba tirgū.</w:t>
            </w:r>
            <w:r w:rsidR="00F536CF">
              <w:rPr>
                <w:rFonts w:ascii="Times New Roman" w:hAnsi="Times New Roman" w:cs="Times New Roman"/>
                <w:sz w:val="24"/>
                <w:szCs w:val="24"/>
              </w:rPr>
              <w:t xml:space="preserve"> </w:t>
            </w:r>
          </w:p>
          <w:p w:rsidR="00355DCF" w:rsidP="00355DCF" w:rsidRDefault="00355DCF" w14:paraId="64D3A62F" w14:textId="77777777">
            <w:pPr>
              <w:spacing w:after="0" w:line="240" w:lineRule="auto"/>
              <w:ind w:right="57" w:firstLine="360"/>
              <w:jc w:val="both"/>
              <w:rPr>
                <w:rFonts w:ascii="Times New Roman" w:hAnsi="Times New Roman" w:cs="Times New Roman"/>
                <w:sz w:val="24"/>
                <w:szCs w:val="24"/>
              </w:rPr>
            </w:pPr>
            <w:r w:rsidRPr="00F87093">
              <w:rPr>
                <w:rFonts w:ascii="Times New Roman" w:hAnsi="Times New Roman" w:cs="Times New Roman"/>
                <w:sz w:val="24"/>
                <w:szCs w:val="24"/>
              </w:rPr>
              <w:t>Paredzams, ka viena biļešu tirdz</w:t>
            </w:r>
            <w:r>
              <w:rPr>
                <w:rFonts w:ascii="Times New Roman" w:hAnsi="Times New Roman" w:cs="Times New Roman"/>
                <w:sz w:val="24"/>
                <w:szCs w:val="24"/>
              </w:rPr>
              <w:t>niecības automāta tehnikas cena</w:t>
            </w:r>
            <w:r w:rsidRPr="00F87093">
              <w:rPr>
                <w:rFonts w:ascii="Times New Roman" w:hAnsi="Times New Roman" w:cs="Times New Roman"/>
                <w:sz w:val="24"/>
                <w:szCs w:val="24"/>
              </w:rPr>
              <w:t xml:space="preserve"> var svārstīties no 7 000 līdz 12 000 EUR bez PVN, atkarībā no komplektācijas. Biļešu tirdzniecības automātu iegādei ir paredzēts rīkot atklātu konkursu, kurā varēs piedalīties visi ražotāji, kuri spēs piedāvāt tehniskajā specifikācijā aprakstītās iekārtas. Šādus biļešu automātus var nokomplektēt un piedāvāt jebkura ar IT un inženieriju saistīta kompānija, kā arī jebkurš cits ar tirdzniecības automātu ražošanu specializējies uzņēmums.</w:t>
            </w:r>
          </w:p>
          <w:p w:rsidRPr="00F536CF" w:rsidR="00F536CF" w:rsidP="007046E6" w:rsidRDefault="00F536CF" w14:paraId="3C706B3A" w14:textId="3AB7F975">
            <w:pPr>
              <w:spacing w:after="0" w:line="240" w:lineRule="auto"/>
              <w:ind w:firstLine="391"/>
              <w:contextualSpacing/>
              <w:jc w:val="both"/>
              <w:rPr>
                <w:rFonts w:ascii="Times New Roman" w:hAnsi="Times New Roman" w:eastAsia="Calibri" w:cs="Times New Roman"/>
                <w:color w:val="000000"/>
                <w:sz w:val="24"/>
                <w:szCs w:val="24"/>
                <w:lang w:eastAsia="lv-LV"/>
              </w:rPr>
            </w:pPr>
            <w:r w:rsidRPr="00F536CF">
              <w:rPr>
                <w:rFonts w:ascii="Times New Roman" w:hAnsi="Times New Roman" w:eastAsia="Calibri" w:cs="Times New Roman"/>
                <w:color w:val="000000"/>
                <w:sz w:val="24"/>
                <w:szCs w:val="24"/>
                <w:lang w:eastAsia="lv-LV"/>
              </w:rPr>
              <w:t xml:space="preserve">Autotransporta direkcijas </w:t>
            </w:r>
            <w:r>
              <w:rPr>
                <w:rFonts w:ascii="Times New Roman" w:hAnsi="Times New Roman" w:eastAsia="Calibri" w:cs="Times New Roman"/>
                <w:color w:val="000000"/>
                <w:sz w:val="24"/>
                <w:szCs w:val="24"/>
                <w:lang w:eastAsia="lv-LV"/>
              </w:rPr>
              <w:t xml:space="preserve">(turpmāk – ATD) </w:t>
            </w:r>
            <w:r w:rsidRPr="00F536CF">
              <w:rPr>
                <w:rFonts w:ascii="Times New Roman" w:hAnsi="Times New Roman" w:eastAsia="Calibri" w:cs="Times New Roman"/>
                <w:color w:val="000000"/>
                <w:sz w:val="24"/>
                <w:szCs w:val="24"/>
                <w:lang w:eastAsia="lv-LV"/>
              </w:rPr>
              <w:t xml:space="preserve">kompetencē saskaņā ar Sabiedriskā transporta </w:t>
            </w:r>
            <w:r w:rsidRPr="00F536CF">
              <w:rPr>
                <w:rFonts w:ascii="Times New Roman" w:hAnsi="Times New Roman" w:eastAsia="Calibri" w:cs="Times New Roman"/>
                <w:color w:val="000000"/>
                <w:sz w:val="24"/>
                <w:szCs w:val="24"/>
                <w:lang w:eastAsia="lv-LV"/>
              </w:rPr>
              <w:lastRenderedPageBreak/>
              <w:t xml:space="preserve">pakalpojumu likumu ir reģionālās nozīmes sabiedriskā transporta – pasažieru pārvadājumu ar autobusu un vilcienu – maršrutu plānošana, organizēšana (sabiedriskā transporta pakalpojumu līgumu slēgšana ar pārvadātājiem), kā arī ar sabiedrisko transportu saistīto pakalpojumu organizēšana, kas pašlaik ietver Braukšanas maksas atvieglojumu saņēmēju valsts informācijas sistēmas izveidi un uzturēšanu un vienotas Sabiedriskā transporta informācijas un finanšu statistikas sistēma (STIFSS) uzturēšanu. Veicot grozījumus Sabiedriskā transporta pakalpojumu likumā paredzēts paplašināt </w:t>
            </w:r>
            <w:r>
              <w:rPr>
                <w:rFonts w:ascii="Times New Roman" w:hAnsi="Times New Roman" w:eastAsia="Calibri" w:cs="Times New Roman"/>
                <w:color w:val="000000"/>
                <w:sz w:val="24"/>
                <w:szCs w:val="24"/>
                <w:lang w:eastAsia="lv-LV"/>
              </w:rPr>
              <w:t>ATD</w:t>
            </w:r>
            <w:r w:rsidRPr="00F536CF">
              <w:rPr>
                <w:rFonts w:ascii="Times New Roman" w:hAnsi="Times New Roman" w:eastAsia="Calibri" w:cs="Times New Roman"/>
                <w:color w:val="000000"/>
                <w:sz w:val="24"/>
                <w:szCs w:val="24"/>
                <w:lang w:eastAsia="lv-LV"/>
              </w:rPr>
              <w:t xml:space="preserve"> kompetenci, paredzot tai izveidot un uzturēt vienotu sabiedriskā transporta biļešu sistēmu reģionālās nozīmes maršrutu, tostarp dzelzceļa, biļešu tirdzniecībai. Vienotas biļešu noliktavas izveidei </w:t>
            </w:r>
            <w:r>
              <w:rPr>
                <w:rFonts w:ascii="Times New Roman" w:hAnsi="Times New Roman" w:eastAsia="Calibri" w:cs="Times New Roman"/>
                <w:color w:val="000000"/>
                <w:sz w:val="24"/>
                <w:szCs w:val="24"/>
                <w:lang w:eastAsia="lv-LV"/>
              </w:rPr>
              <w:t>ATD</w:t>
            </w:r>
            <w:r w:rsidRPr="00F536CF">
              <w:rPr>
                <w:rFonts w:ascii="Times New Roman" w:hAnsi="Times New Roman" w:eastAsia="Calibri" w:cs="Times New Roman"/>
                <w:color w:val="000000"/>
                <w:sz w:val="24"/>
                <w:szCs w:val="24"/>
                <w:lang w:eastAsia="lv-LV"/>
              </w:rPr>
              <w:t xml:space="preserve"> ir izvirzījusi mērķi radīt atvērtu IT risinājumu, kuram pieslēdzoties identificēts sistēmas lietotājs varētu iegūt informāciju par biļešu tirdzniecībai pieejamu biļeti un tās cenu uz visiem reģionālās nozīmes maršrutiem kasēs, internetā un transportlīdzekļos. </w:t>
            </w:r>
            <w:r w:rsidRPr="00F536CF">
              <w:rPr>
                <w:rFonts w:ascii="Times New Roman" w:hAnsi="Times New Roman" w:eastAsia="Calibri" w:cs="Times New Roman"/>
                <w:sz w:val="24"/>
                <w:szCs w:val="24"/>
                <w:lang w:eastAsia="lv-LV"/>
              </w:rPr>
              <w:t>Pārvadātājiem un ieinteresētajiem biļešu tirgotājiem normatīvajā aktā tiktu noteiktas vienotas prasības un standarti biļešu tirdzniecības nodrošināšanai vienotas sistēmas ietvaros, izmantojot elektroniskas ierīces.</w:t>
            </w:r>
            <w:r w:rsidRPr="00F536CF">
              <w:rPr>
                <w:rFonts w:ascii="Times New Roman" w:hAnsi="Times New Roman" w:eastAsia="Calibri" w:cs="Times New Roman"/>
                <w:color w:val="000000"/>
                <w:sz w:val="24"/>
                <w:szCs w:val="24"/>
                <w:lang w:eastAsia="lv-LV"/>
              </w:rPr>
              <w:t xml:space="preserve"> Plānots noteikt, ka biļešu tirdzniecība reģionālās nozīmes maršrutos, tostarp dzelzceļa maršrutos, būs veicama tikai izmantojot valsts uzturēto vienoto biļešu noliktavas sistēmu, un tādas biļetes, par kurām nebūs pieejama informācija biļešu noliktavas informācijas sistēmā, netiks akceptētas no biļešu kontroles puses.</w:t>
            </w:r>
          </w:p>
          <w:p w:rsidR="00F536CF" w:rsidP="00F536CF" w:rsidRDefault="00F536CF" w14:paraId="531945E9" w14:textId="77777777">
            <w:pPr>
              <w:spacing w:after="0" w:line="240" w:lineRule="auto"/>
              <w:ind w:right="57" w:firstLine="360"/>
              <w:jc w:val="both"/>
              <w:rPr>
                <w:rFonts w:ascii="Times New Roman" w:hAnsi="Times New Roman" w:cs="Times New Roman"/>
                <w:color w:val="000000"/>
                <w:sz w:val="24"/>
                <w:szCs w:val="24"/>
              </w:rPr>
            </w:pPr>
            <w:r w:rsidRPr="007046E6">
              <w:rPr>
                <w:rFonts w:ascii="Times New Roman" w:hAnsi="Times New Roman" w:cs="Times New Roman"/>
                <w:color w:val="000000"/>
                <w:sz w:val="24"/>
                <w:szCs w:val="24"/>
              </w:rPr>
              <w:t>Dzelzceļa pārvadājumu pakalpojumiem izsniedzamie darījumu apliecinošie dokumenti tiks ietverti plānotajā vienotās valsts uzturētās biļešu noliktavas sistēmā</w:t>
            </w:r>
            <w:r w:rsidRPr="00F536CF">
              <w:rPr>
                <w:rFonts w:ascii="Times New Roman" w:hAnsi="Times New Roman" w:cs="Times New Roman"/>
                <w:color w:val="000000"/>
                <w:sz w:val="24"/>
                <w:szCs w:val="24"/>
              </w:rPr>
              <w:t>.</w:t>
            </w:r>
          </w:p>
          <w:p w:rsidRPr="00C25C86" w:rsidR="00C25C86" w:rsidP="00183809" w:rsidRDefault="00281840" w14:paraId="7FC470CB" w14:textId="5F1864FE">
            <w:pPr>
              <w:spacing w:after="0" w:line="240" w:lineRule="auto"/>
              <w:ind w:firstLine="391"/>
              <w:jc w:val="both"/>
              <w:rPr>
                <w:rFonts w:ascii="Times New Roman" w:hAnsi="Times New Roman" w:cs="Times New Roman"/>
                <w:color w:val="000000" w:themeColor="text1"/>
                <w:sz w:val="24"/>
                <w:szCs w:val="24"/>
              </w:rPr>
            </w:pPr>
            <w:r w:rsidRPr="00C25C86">
              <w:rPr>
                <w:rFonts w:ascii="Times New Roman" w:hAnsi="Times New Roman" w:eastAsia="Times New Roman" w:cs="Times New Roman"/>
                <w:iCs/>
                <w:sz w:val="24"/>
                <w:szCs w:val="24"/>
                <w:lang w:eastAsia="lv-LV"/>
              </w:rPr>
              <w:t xml:space="preserve">Finanšu ministrija </w:t>
            </w:r>
            <w:r w:rsidRPr="00C25C86">
              <w:rPr>
                <w:rFonts w:ascii="Times New Roman" w:hAnsi="Times New Roman" w:cs="Times New Roman"/>
                <w:color w:val="000000"/>
                <w:sz w:val="24"/>
                <w:szCs w:val="24"/>
              </w:rPr>
              <w:t xml:space="preserve">04.07.2019 savā atzinumā Nr.12/A-31/3127 </w:t>
            </w:r>
            <w:r w:rsidRPr="00C25C86" w:rsidR="00C25C86">
              <w:rPr>
                <w:rFonts w:ascii="Times New Roman" w:hAnsi="Times New Roman" w:cs="Times New Roman"/>
                <w:sz w:val="24"/>
                <w:szCs w:val="24"/>
              </w:rPr>
              <w:t xml:space="preserve">ierosināja papildināt noteikumu projektu ar 62. un </w:t>
            </w:r>
            <w:r w:rsidRPr="00C25C86" w:rsidR="00C25C86">
              <w:rPr>
                <w:rFonts w:ascii="Times New Roman" w:hAnsi="Times New Roman" w:cs="Times New Roman"/>
                <w:color w:val="000000" w:themeColor="text1"/>
                <w:sz w:val="24"/>
                <w:szCs w:val="24"/>
              </w:rPr>
              <w:t>141.</w:t>
            </w:r>
            <w:r w:rsidRPr="00C25C86" w:rsidR="00C25C86">
              <w:rPr>
                <w:rFonts w:ascii="Times New Roman" w:hAnsi="Times New Roman" w:cs="Times New Roman"/>
                <w:color w:val="000000" w:themeColor="text1"/>
                <w:sz w:val="24"/>
                <w:szCs w:val="24"/>
                <w:vertAlign w:val="superscript"/>
              </w:rPr>
              <w:t xml:space="preserve">10 </w:t>
            </w:r>
            <w:r w:rsidRPr="00C25C86" w:rsidR="00C25C86">
              <w:rPr>
                <w:rFonts w:ascii="Times New Roman" w:hAnsi="Times New Roman" w:cs="Times New Roman"/>
                <w:color w:val="000000" w:themeColor="text1"/>
                <w:sz w:val="24"/>
                <w:szCs w:val="24"/>
              </w:rPr>
              <w:t>punktu</w:t>
            </w:r>
            <w:r w:rsidR="00183809">
              <w:rPr>
                <w:rFonts w:ascii="Times New Roman" w:hAnsi="Times New Roman" w:cs="Times New Roman"/>
                <w:color w:val="000000" w:themeColor="text1"/>
                <w:sz w:val="24"/>
                <w:szCs w:val="24"/>
              </w:rPr>
              <w:t xml:space="preserve">, </w:t>
            </w:r>
            <w:r w:rsidRPr="00C25C86" w:rsidR="00183809">
              <w:rPr>
                <w:rFonts w:ascii="Times New Roman" w:hAnsi="Times New Roman" w:cs="Times New Roman"/>
                <w:color w:val="000000" w:themeColor="text1"/>
                <w:sz w:val="24"/>
                <w:szCs w:val="24"/>
              </w:rPr>
              <w:t xml:space="preserve">lai noteiktu līdzvērtīgas prasības attiecībā uz informācijas sniegšanu VID, kā arī, lai mazinātu administratīvo slogu taksometru pakalpojumu sniegšanas nozarē, aizpildot reģistru papīra formā. </w:t>
            </w:r>
            <w:r w:rsidRPr="00C25C86" w:rsidR="00C25C86">
              <w:rPr>
                <w:rFonts w:ascii="Times New Roman" w:hAnsi="Times New Roman" w:cs="Times New Roman"/>
                <w:color w:val="000000" w:themeColor="text1"/>
                <w:sz w:val="24"/>
                <w:szCs w:val="24"/>
              </w:rPr>
              <w:t xml:space="preserve">Šobrīd atbilstoši </w:t>
            </w:r>
            <w:r w:rsidR="00C25C86">
              <w:rPr>
                <w:rFonts w:ascii="Times New Roman" w:hAnsi="Times New Roman" w:cs="Times New Roman"/>
                <w:color w:val="000000" w:themeColor="text1"/>
                <w:sz w:val="24"/>
                <w:szCs w:val="24"/>
              </w:rPr>
              <w:t xml:space="preserve">MK </w:t>
            </w:r>
            <w:r w:rsidRPr="00C25C86" w:rsidR="00C25C86">
              <w:rPr>
                <w:rFonts w:ascii="Times New Roman" w:hAnsi="Times New Roman" w:cs="Times New Roman"/>
                <w:color w:val="000000" w:themeColor="text1"/>
                <w:sz w:val="24"/>
                <w:szCs w:val="24"/>
              </w:rPr>
              <w:t>noteikum</w:t>
            </w:r>
            <w:r w:rsidR="00C25C86">
              <w:rPr>
                <w:rFonts w:ascii="Times New Roman" w:hAnsi="Times New Roman" w:cs="Times New Roman"/>
                <w:color w:val="000000" w:themeColor="text1"/>
                <w:sz w:val="24"/>
                <w:szCs w:val="24"/>
              </w:rPr>
              <w:t>u</w:t>
            </w:r>
            <w:r w:rsidRPr="00C25C86" w:rsidR="00C25C86">
              <w:rPr>
                <w:rFonts w:ascii="Times New Roman" w:hAnsi="Times New Roman" w:cs="Times New Roman"/>
                <w:color w:val="000000" w:themeColor="text1"/>
                <w:sz w:val="24"/>
                <w:szCs w:val="24"/>
              </w:rPr>
              <w:t xml:space="preserve"> Nr.96</w:t>
            </w:r>
            <w:r w:rsidR="00C25C86">
              <w:rPr>
                <w:rFonts w:ascii="Times New Roman" w:hAnsi="Times New Roman" w:cs="Times New Roman"/>
                <w:color w:val="000000" w:themeColor="text1"/>
                <w:sz w:val="24"/>
                <w:szCs w:val="24"/>
              </w:rPr>
              <w:t xml:space="preserve"> </w:t>
            </w:r>
            <w:r w:rsidRPr="00C25C86" w:rsidR="00C25C86">
              <w:rPr>
                <w:rFonts w:ascii="Times New Roman" w:hAnsi="Times New Roman" w:cs="Times New Roman"/>
                <w:color w:val="000000" w:themeColor="text1"/>
                <w:sz w:val="24"/>
                <w:szCs w:val="24"/>
              </w:rPr>
              <w:t xml:space="preserve">62.punktam taksometra skaitītāja lietotājam katras darbadienas beigās pēc skaitītāja rādījuma nolasīšanas jāaizpilda žurnāls. Žurnāls jāaizpilda rakstiski, norādot minēto noteikumu 51.punktā noteiktos rekvizītus. Veiktajos kontroles pasākumos konstatēts, ka 42% gadījumu taksometra skaitītāju žurnāls nav aizpildīts </w:t>
            </w:r>
            <w:r w:rsidRPr="00C25C86" w:rsidR="00C25C86">
              <w:rPr>
                <w:rFonts w:ascii="Times New Roman" w:hAnsi="Times New Roman" w:cs="Times New Roman"/>
                <w:bCs/>
                <w:color w:val="000000"/>
                <w:sz w:val="24"/>
                <w:szCs w:val="24"/>
                <w:lang w:eastAsia="lv-LV"/>
              </w:rPr>
              <w:t xml:space="preserve">atbilstoši noteikumos Nr.96 paredzētajām prasībām, </w:t>
            </w:r>
            <w:r w:rsidRPr="00C25C86" w:rsidR="00C25C86">
              <w:rPr>
                <w:rFonts w:ascii="Times New Roman" w:hAnsi="Times New Roman" w:cs="Times New Roman"/>
                <w:color w:val="000000" w:themeColor="text1"/>
                <w:sz w:val="24"/>
                <w:szCs w:val="24"/>
              </w:rPr>
              <w:t xml:space="preserve">vai tas </w:t>
            </w:r>
            <w:r w:rsidRPr="00C25C86" w:rsidR="00C25C86">
              <w:rPr>
                <w:rFonts w:ascii="Times New Roman" w:hAnsi="Times New Roman" w:cs="Times New Roman"/>
                <w:bCs/>
                <w:color w:val="000000"/>
                <w:sz w:val="24"/>
                <w:szCs w:val="24"/>
                <w:lang w:eastAsia="lv-LV"/>
              </w:rPr>
              <w:t xml:space="preserve">netiek aizpildīts vispār. </w:t>
            </w:r>
            <w:r w:rsidRPr="00C25C86" w:rsidR="00C25C86">
              <w:rPr>
                <w:rFonts w:ascii="Times New Roman" w:hAnsi="Times New Roman" w:cs="Times New Roman"/>
                <w:color w:val="000000" w:themeColor="text1"/>
                <w:sz w:val="24"/>
                <w:szCs w:val="24"/>
              </w:rPr>
              <w:t xml:space="preserve">Ņemot vērā augsto ēnu ekonomikas īpatsvaru </w:t>
            </w:r>
            <w:r w:rsidRPr="00C25C86" w:rsidR="00C25C86">
              <w:rPr>
                <w:rFonts w:ascii="Times New Roman" w:hAnsi="Times New Roman" w:cs="Times New Roman"/>
                <w:color w:val="000000" w:themeColor="text1"/>
                <w:sz w:val="24"/>
                <w:szCs w:val="24"/>
              </w:rPr>
              <w:lastRenderedPageBreak/>
              <w:t>pasažieru komercpārvadājumu ar taksometru pakalpojumu sniegšanas jomā, faktisko ienākumu slēpšanas risku, augsto nodokļu nemaksāšanas risku un to, ka nav nodrošināta saimniecisko darījumu izsekojamība, ir nepieciešams radīt mehānismu, kas nodrošinās taksometru skaitītājos reģistrēto datu uzskaiti un regulāru nodošanu VID.</w:t>
            </w:r>
            <w:r w:rsidR="00183809">
              <w:rPr>
                <w:rFonts w:ascii="Times New Roman" w:hAnsi="Times New Roman" w:cs="Times New Roman"/>
                <w:color w:val="000000" w:themeColor="text1"/>
                <w:sz w:val="24"/>
                <w:szCs w:val="24"/>
              </w:rPr>
              <w:t xml:space="preserve"> </w:t>
            </w:r>
            <w:r w:rsidRPr="00C25C86" w:rsidR="00C25C86">
              <w:rPr>
                <w:rFonts w:ascii="Times New Roman" w:hAnsi="Times New Roman" w:cs="Times New Roman"/>
                <w:color w:val="000000" w:themeColor="text1"/>
                <w:sz w:val="24"/>
                <w:szCs w:val="24"/>
              </w:rPr>
              <w:t xml:space="preserve">Turklāt šāds regulējums nepieciešams arī vienveidīgu prasību nodrošināšanai, jo saskaņā ar š.g. 13.jūnijā Saeimā pieņemtajiem grozījumiem Autopārvadājumu likumā attiecībā uz tīmekļvietnes vai mobilās lietotnes pakalpojumu sniedzējiem ir paredzēts pilnvarojums Ministru kabinetam noteikt prasību par tīmekļvietnes vai mobilās lietotnes uzkrātās informācijas sniegšanu VID – par piedāvāto pasažieru komercpārvadājumu pakalpojumu, tarifiem, braukšanas maksu, pārvadātāju, autovadītāju, transportlīdzekli. </w:t>
            </w:r>
          </w:p>
          <w:p w:rsidRPr="00C25C86" w:rsidR="00F536CF" w:rsidP="00C25C86" w:rsidRDefault="00F536CF" w14:paraId="4E34477E" w14:textId="7CDC75A9">
            <w:pPr>
              <w:spacing w:after="0" w:line="240" w:lineRule="auto"/>
              <w:ind w:right="57" w:firstLine="360"/>
              <w:jc w:val="both"/>
              <w:rPr>
                <w:rFonts w:ascii="Times New Roman" w:hAnsi="Times New Roman" w:cs="Times New Roman"/>
                <w:color w:val="000000" w:themeColor="text1"/>
                <w:sz w:val="24"/>
                <w:szCs w:val="24"/>
              </w:rPr>
            </w:pPr>
          </w:p>
        </w:tc>
      </w:tr>
      <w:tr w:rsidRPr="00242FE9" w:rsidR="00242FE9" w:rsidTr="00383B02" w14:paraId="129658E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42FE9" w:rsidR="00655F2C" w:rsidP="00E23C66" w:rsidRDefault="00E5323B" w14:paraId="2725A134" w14:textId="77777777">
            <w:pPr>
              <w:spacing w:after="0" w:line="240" w:lineRule="auto"/>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242FE9" w:rsidR="00E5323B" w:rsidP="00E23C66" w:rsidRDefault="00E5323B" w14:paraId="69A61B6F" w14:textId="77777777">
            <w:pPr>
              <w:spacing w:after="0" w:line="240" w:lineRule="auto"/>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Projekta izstrādē iesaistītās institūcijas un publiskas personas kapitālsabiedrības</w:t>
            </w:r>
          </w:p>
        </w:tc>
        <w:tc>
          <w:tcPr>
            <w:tcW w:w="2960" w:type="pct"/>
            <w:tcBorders>
              <w:top w:val="outset" w:color="auto" w:sz="6" w:space="0"/>
              <w:left w:val="outset" w:color="auto" w:sz="6" w:space="0"/>
              <w:bottom w:val="outset" w:color="auto" w:sz="6" w:space="0"/>
              <w:right w:val="outset" w:color="auto" w:sz="6" w:space="0"/>
            </w:tcBorders>
          </w:tcPr>
          <w:p w:rsidRPr="00242FE9" w:rsidR="00E5323B" w:rsidP="00E23C66" w:rsidRDefault="001C2C71" w14:paraId="24775F79" w14:textId="77777777">
            <w:pPr>
              <w:spacing w:after="0" w:line="240" w:lineRule="auto"/>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 xml:space="preserve">Satiksmes ministrija, </w:t>
            </w:r>
            <w:r w:rsidRPr="00242FE9" w:rsidR="00B56321">
              <w:rPr>
                <w:rFonts w:ascii="Times New Roman" w:hAnsi="Times New Roman" w:eastAsia="Times New Roman" w:cs="Times New Roman"/>
                <w:iCs/>
                <w:sz w:val="24"/>
                <w:szCs w:val="24"/>
                <w:lang w:eastAsia="lv-LV"/>
              </w:rPr>
              <w:t>AS “Pasažieru vilciens”</w:t>
            </w:r>
            <w:r w:rsidRPr="00242FE9" w:rsidR="00383B02">
              <w:rPr>
                <w:rFonts w:ascii="Times New Roman" w:hAnsi="Times New Roman" w:eastAsia="Times New Roman" w:cs="Times New Roman"/>
                <w:iCs/>
                <w:sz w:val="24"/>
                <w:szCs w:val="24"/>
                <w:lang w:eastAsia="lv-LV"/>
              </w:rPr>
              <w:t>.</w:t>
            </w:r>
          </w:p>
        </w:tc>
      </w:tr>
      <w:tr w:rsidRPr="00242FE9" w:rsidR="00242FE9" w:rsidTr="00383B02" w14:paraId="1FCC368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42FE9" w:rsidR="00655F2C" w:rsidP="00E23C66" w:rsidRDefault="00E5323B" w14:paraId="2CDCAB39" w14:textId="77777777">
            <w:pPr>
              <w:spacing w:after="0" w:line="240" w:lineRule="auto"/>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242FE9" w:rsidR="00E5323B" w:rsidP="00E23C66" w:rsidRDefault="00E5323B" w14:paraId="28A16A5F" w14:textId="77777777">
            <w:pPr>
              <w:spacing w:after="0" w:line="240" w:lineRule="auto"/>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242FE9" w:rsidR="00E5323B" w:rsidP="00E23C66" w:rsidRDefault="00A51DF5" w14:paraId="537A8EFC" w14:textId="77777777">
            <w:pPr>
              <w:spacing w:after="0" w:line="240" w:lineRule="auto"/>
              <w:jc w:val="both"/>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Nav.</w:t>
            </w:r>
          </w:p>
        </w:tc>
      </w:tr>
    </w:tbl>
    <w:p w:rsidRPr="00242FE9" w:rsidR="00E5323B" w:rsidP="00E23C66" w:rsidRDefault="00E5323B" w14:paraId="7854E934" w14:textId="77777777">
      <w:pPr>
        <w:spacing w:after="0" w:line="240" w:lineRule="auto"/>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 xml:space="preserve">  </w:t>
      </w:r>
    </w:p>
    <w:tbl>
      <w:tblPr>
        <w:tblW w:w="0" w:type="auto"/>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242FE9" w:rsidR="00242FE9" w:rsidTr="00B415DE" w14:paraId="066DBD2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242FE9" w:rsidR="00655F2C" w:rsidP="00E23C66" w:rsidRDefault="00E5323B" w14:paraId="6C835C02" w14:textId="77777777">
            <w:pPr>
              <w:spacing w:after="0" w:line="240" w:lineRule="auto"/>
              <w:jc w:val="center"/>
              <w:rPr>
                <w:rFonts w:ascii="Times New Roman" w:hAnsi="Times New Roman" w:eastAsia="Times New Roman" w:cs="Times New Roman"/>
                <w:b/>
                <w:bCs/>
                <w:iCs/>
                <w:sz w:val="24"/>
                <w:szCs w:val="24"/>
                <w:lang w:eastAsia="lv-LV"/>
              </w:rPr>
            </w:pPr>
            <w:r w:rsidRPr="00242FE9">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242FE9" w:rsidR="00B415DE" w:rsidTr="00B415DE" w14:paraId="227E7F7E" w14:textId="77777777">
        <w:trPr>
          <w:trHeight w:val="397"/>
          <w:tblCellSpacing w:w="15" w:type="dxa"/>
        </w:trPr>
        <w:tc>
          <w:tcPr>
            <w:tcW w:w="0" w:type="auto"/>
            <w:tcBorders>
              <w:top w:val="outset" w:color="auto" w:sz="6" w:space="0"/>
              <w:left w:val="outset" w:color="auto" w:sz="6" w:space="0"/>
              <w:bottom w:val="outset" w:color="auto" w:sz="6" w:space="0"/>
              <w:right w:val="outset" w:color="auto" w:sz="6" w:space="0"/>
            </w:tcBorders>
            <w:hideMark/>
          </w:tcPr>
          <w:p w:rsidRPr="00242FE9" w:rsidR="00B415DE" w:rsidP="00E23C66" w:rsidRDefault="00B415DE" w14:paraId="3AFD4CF7" w14:textId="77777777">
            <w:pPr>
              <w:spacing w:after="0" w:line="240" w:lineRule="auto"/>
              <w:jc w:val="center"/>
              <w:rPr>
                <w:rFonts w:ascii="Times New Roman" w:hAnsi="Times New Roman" w:eastAsia="Times New Roman" w:cs="Times New Roman"/>
                <w:bCs/>
                <w:iCs/>
                <w:sz w:val="24"/>
                <w:szCs w:val="24"/>
                <w:lang w:eastAsia="lv-LV"/>
              </w:rPr>
            </w:pPr>
            <w:r w:rsidRPr="00242FE9">
              <w:rPr>
                <w:rFonts w:ascii="Times New Roman" w:hAnsi="Times New Roman" w:eastAsia="Times New Roman" w:cs="Times New Roman"/>
                <w:bCs/>
                <w:iCs/>
                <w:sz w:val="24"/>
                <w:szCs w:val="24"/>
                <w:lang w:eastAsia="lv-LV"/>
              </w:rPr>
              <w:t>Projekts šo jomu neskar.</w:t>
            </w:r>
          </w:p>
        </w:tc>
      </w:tr>
    </w:tbl>
    <w:p w:rsidRPr="00242FE9" w:rsidR="00895C8C" w:rsidP="00E23C66" w:rsidRDefault="00895C8C" w14:paraId="32FC4FA8" w14:textId="77777777">
      <w:pPr>
        <w:spacing w:after="0" w:line="240" w:lineRule="auto"/>
        <w:rPr>
          <w:rFonts w:ascii="Times New Roman" w:hAnsi="Times New Roman" w:eastAsia="Times New Roman" w:cs="Times New Roman"/>
          <w:iCs/>
          <w:sz w:val="24"/>
          <w:szCs w:val="24"/>
          <w:lang w:eastAsia="lv-LV"/>
        </w:rPr>
      </w:pPr>
    </w:p>
    <w:p w:rsidRPr="00242FE9" w:rsidR="00895C8C" w:rsidP="00E23C66" w:rsidRDefault="00895C8C" w14:paraId="5D46A68F"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745"/>
        <w:gridCol w:w="960"/>
        <w:gridCol w:w="1061"/>
        <w:gridCol w:w="867"/>
        <w:gridCol w:w="1070"/>
        <w:gridCol w:w="867"/>
        <w:gridCol w:w="1071"/>
        <w:gridCol w:w="1414"/>
      </w:tblGrid>
      <w:tr w:rsidRPr="00242FE9" w:rsidR="00242FE9" w:rsidTr="00AD65B1" w14:paraId="5475156C" w14:textId="77777777">
        <w:trPr>
          <w:tblCellSpacing w:w="15" w:type="dxa"/>
        </w:trPr>
        <w:tc>
          <w:tcPr>
            <w:tcW w:w="0" w:type="auto"/>
            <w:gridSpan w:val="8"/>
            <w:tcBorders>
              <w:top w:val="outset" w:color="auto" w:sz="6" w:space="0"/>
              <w:left w:val="outset" w:color="auto" w:sz="6" w:space="0"/>
              <w:bottom w:val="outset" w:color="auto" w:sz="6" w:space="0"/>
              <w:right w:val="outset" w:color="auto" w:sz="6" w:space="0"/>
            </w:tcBorders>
            <w:vAlign w:val="center"/>
            <w:hideMark/>
          </w:tcPr>
          <w:p w:rsidRPr="003B5A3E" w:rsidR="00C536DB" w:rsidP="00AD65B1" w:rsidRDefault="00E5323B" w14:paraId="3D7BE10A" w14:textId="4EA63FDA">
            <w:pPr>
              <w:spacing w:after="0" w:line="240" w:lineRule="auto"/>
              <w:rPr>
                <w:rFonts w:ascii="Times New Roman" w:hAnsi="Times New Roman" w:eastAsia="Times New Roman" w:cs="Times New Roman"/>
                <w:b/>
                <w:bCs/>
                <w:iCs/>
                <w:sz w:val="24"/>
                <w:szCs w:val="24"/>
                <w:lang w:eastAsia="lv-LV"/>
              </w:rPr>
            </w:pPr>
            <w:r w:rsidRPr="00242FE9">
              <w:rPr>
                <w:rFonts w:ascii="Times New Roman" w:hAnsi="Times New Roman" w:eastAsia="Times New Roman" w:cs="Times New Roman"/>
                <w:iCs/>
                <w:sz w:val="24"/>
                <w:szCs w:val="24"/>
                <w:lang w:eastAsia="lv-LV"/>
              </w:rPr>
              <w:t xml:space="preserve">  </w:t>
            </w:r>
            <w:r w:rsidRPr="003B5A3E" w:rsidR="00C536DB">
              <w:rPr>
                <w:rFonts w:ascii="Times New Roman" w:hAnsi="Times New Roman" w:eastAsia="Times New Roman" w:cs="Times New Roman"/>
                <w:b/>
                <w:bCs/>
                <w:iCs/>
                <w:sz w:val="24"/>
                <w:szCs w:val="24"/>
                <w:lang w:eastAsia="lv-LV"/>
              </w:rPr>
              <w:t>III. Tiesību akta projekta ietekme uz valsts budžetu un pašvaldību budžetiem</w:t>
            </w:r>
          </w:p>
        </w:tc>
      </w:tr>
      <w:tr w:rsidRPr="00242FE9" w:rsidR="00242FE9" w:rsidTr="003C4124" w14:paraId="36CA8F51" w14:textId="77777777">
        <w:trPr>
          <w:tblCellSpacing w:w="15" w:type="dxa"/>
        </w:trPr>
        <w:tc>
          <w:tcPr>
            <w:tcW w:w="964" w:type="pct"/>
            <w:vMerge w:val="restart"/>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2AC3B371" w14:textId="77777777">
            <w:pPr>
              <w:spacing w:after="0" w:line="240" w:lineRule="auto"/>
              <w:rPr>
                <w:rFonts w:ascii="Times New Roman" w:hAnsi="Times New Roman" w:eastAsia="Times New Roman" w:cs="Times New Roman"/>
                <w:iCs/>
                <w:sz w:val="24"/>
                <w:szCs w:val="24"/>
                <w:lang w:val="en-US" w:eastAsia="lv-LV"/>
              </w:rPr>
            </w:pPr>
            <w:proofErr w:type="spellStart"/>
            <w:r w:rsidRPr="00242FE9">
              <w:rPr>
                <w:rFonts w:ascii="Times New Roman" w:hAnsi="Times New Roman" w:eastAsia="Times New Roman" w:cs="Times New Roman"/>
                <w:iCs/>
                <w:sz w:val="24"/>
                <w:szCs w:val="24"/>
                <w:lang w:val="en-US" w:eastAsia="lv-LV"/>
              </w:rPr>
              <w:t>Rādītāji</w:t>
            </w:r>
            <w:proofErr w:type="spellEnd"/>
          </w:p>
        </w:tc>
        <w:tc>
          <w:tcPr>
            <w:tcW w:w="1101"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242FE9" w:rsidR="00C536DB" w:rsidP="00C536DB" w:rsidRDefault="00C536DB" w14:paraId="30C7BC69" w14:textId="2886413E">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2019.gads</w:t>
            </w:r>
          </w:p>
        </w:tc>
        <w:tc>
          <w:tcPr>
            <w:tcW w:w="2869" w:type="pct"/>
            <w:gridSpan w:val="5"/>
            <w:tcBorders>
              <w:top w:val="outset" w:color="auto" w:sz="6" w:space="0"/>
              <w:left w:val="outset" w:color="auto" w:sz="6" w:space="0"/>
              <w:bottom w:val="outset" w:color="auto" w:sz="6" w:space="0"/>
              <w:right w:val="outset" w:color="auto" w:sz="6" w:space="0"/>
            </w:tcBorders>
            <w:vAlign w:val="center"/>
            <w:hideMark/>
          </w:tcPr>
          <w:p w:rsidRPr="00242FE9" w:rsidR="00C536DB" w:rsidP="00C536DB" w:rsidRDefault="00C536DB" w14:paraId="7993D11F" w14:textId="77777777">
            <w:pPr>
              <w:spacing w:after="0" w:line="240" w:lineRule="auto"/>
              <w:jc w:val="center"/>
              <w:rPr>
                <w:rFonts w:ascii="Times New Roman" w:hAnsi="Times New Roman" w:eastAsia="Times New Roman" w:cs="Times New Roman"/>
                <w:iCs/>
                <w:sz w:val="24"/>
                <w:szCs w:val="24"/>
                <w:lang w:val="en-US" w:eastAsia="lv-LV"/>
              </w:rPr>
            </w:pPr>
            <w:proofErr w:type="spellStart"/>
            <w:r w:rsidRPr="00242FE9">
              <w:rPr>
                <w:rFonts w:ascii="Times New Roman" w:hAnsi="Times New Roman" w:eastAsia="Times New Roman" w:cs="Times New Roman"/>
                <w:iCs/>
                <w:sz w:val="24"/>
                <w:szCs w:val="24"/>
                <w:lang w:val="en-US" w:eastAsia="lv-LV"/>
              </w:rPr>
              <w:t>Turpmākie</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trīs</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gadi</w:t>
            </w:r>
            <w:proofErr w:type="spellEnd"/>
            <w:r w:rsidRPr="00242FE9">
              <w:rPr>
                <w:rFonts w:ascii="Times New Roman" w:hAnsi="Times New Roman" w:eastAsia="Times New Roman" w:cs="Times New Roman"/>
                <w:iCs/>
                <w:sz w:val="24"/>
                <w:szCs w:val="24"/>
                <w:lang w:val="en-US" w:eastAsia="lv-LV"/>
              </w:rPr>
              <w:t xml:space="preserve"> (</w:t>
            </w:r>
            <w:r w:rsidRPr="00242FE9">
              <w:rPr>
                <w:rFonts w:ascii="Times New Roman" w:hAnsi="Times New Roman" w:eastAsia="Times New Roman" w:cs="Times New Roman"/>
                <w:i/>
                <w:iCs/>
                <w:sz w:val="24"/>
                <w:szCs w:val="24"/>
                <w:lang w:val="en-US" w:eastAsia="lv-LV"/>
              </w:rPr>
              <w:t>euro</w:t>
            </w:r>
            <w:r w:rsidRPr="00242FE9">
              <w:rPr>
                <w:rFonts w:ascii="Times New Roman" w:hAnsi="Times New Roman" w:eastAsia="Times New Roman" w:cs="Times New Roman"/>
                <w:iCs/>
                <w:sz w:val="24"/>
                <w:szCs w:val="24"/>
                <w:lang w:val="en-US" w:eastAsia="lv-LV"/>
              </w:rPr>
              <w:t>)</w:t>
            </w:r>
          </w:p>
        </w:tc>
      </w:tr>
      <w:tr w:rsidRPr="00242FE9" w:rsidR="00242FE9" w:rsidTr="003C4124" w14:paraId="0DB42C54"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13E8F669" w14:textId="77777777">
            <w:pPr>
              <w:spacing w:after="0" w:line="240" w:lineRule="auto"/>
              <w:rPr>
                <w:rFonts w:ascii="Times New Roman" w:hAnsi="Times New Roman" w:eastAsia="Times New Roman" w:cs="Times New Roman"/>
                <w:iCs/>
                <w:sz w:val="24"/>
                <w:szCs w:val="24"/>
                <w:lang w:val="en-US" w:eastAsia="lv-LV"/>
              </w:rPr>
            </w:pPr>
          </w:p>
        </w:tc>
        <w:tc>
          <w:tcPr>
            <w:tcW w:w="0" w:type="auto"/>
            <w:gridSpan w:val="2"/>
            <w:vMerge/>
            <w:tcBorders>
              <w:top w:val="outset" w:color="auto" w:sz="6" w:space="0"/>
              <w:left w:val="outset" w:color="auto" w:sz="6" w:space="0"/>
              <w:bottom w:val="outset" w:color="auto" w:sz="6" w:space="0"/>
              <w:right w:val="outset" w:color="auto" w:sz="6" w:space="0"/>
            </w:tcBorders>
            <w:vAlign w:val="center"/>
            <w:hideMark/>
          </w:tcPr>
          <w:p w:rsidRPr="00242FE9" w:rsidR="00C536DB" w:rsidP="00C536DB" w:rsidRDefault="00C536DB" w14:paraId="6B41E7C5" w14:textId="77777777">
            <w:pPr>
              <w:spacing w:after="0" w:line="240" w:lineRule="auto"/>
              <w:jc w:val="center"/>
              <w:rPr>
                <w:rFonts w:ascii="Times New Roman" w:hAnsi="Times New Roman" w:eastAsia="Times New Roman" w:cs="Times New Roman"/>
                <w:iCs/>
                <w:sz w:val="24"/>
                <w:szCs w:val="24"/>
                <w:lang w:val="en-US" w:eastAsia="lv-LV"/>
              </w:rPr>
            </w:pPr>
          </w:p>
        </w:tc>
        <w:tc>
          <w:tcPr>
            <w:tcW w:w="1054" w:type="pct"/>
            <w:gridSpan w:val="2"/>
            <w:tcBorders>
              <w:top w:val="outset" w:color="auto" w:sz="6" w:space="0"/>
              <w:left w:val="outset" w:color="auto" w:sz="6" w:space="0"/>
              <w:bottom w:val="outset" w:color="auto" w:sz="6" w:space="0"/>
              <w:right w:val="outset" w:color="auto" w:sz="6" w:space="0"/>
            </w:tcBorders>
            <w:vAlign w:val="center"/>
            <w:hideMark/>
          </w:tcPr>
          <w:p w:rsidRPr="00242FE9" w:rsidR="00C536DB" w:rsidP="00C536DB" w:rsidRDefault="00C536DB" w14:paraId="5A65514C" w14:textId="1431A215">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2020</w:t>
            </w:r>
          </w:p>
        </w:tc>
        <w:tc>
          <w:tcPr>
            <w:tcW w:w="1054" w:type="pct"/>
            <w:gridSpan w:val="2"/>
            <w:tcBorders>
              <w:top w:val="outset" w:color="auto" w:sz="6" w:space="0"/>
              <w:left w:val="outset" w:color="auto" w:sz="6" w:space="0"/>
              <w:bottom w:val="outset" w:color="auto" w:sz="6" w:space="0"/>
              <w:right w:val="outset" w:color="auto" w:sz="6" w:space="0"/>
            </w:tcBorders>
            <w:vAlign w:val="center"/>
            <w:hideMark/>
          </w:tcPr>
          <w:p w:rsidRPr="00242FE9" w:rsidR="00C536DB" w:rsidP="00C536DB" w:rsidRDefault="00C536DB" w14:paraId="7BECBDA0" w14:textId="3D9E6FB4">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2021</w:t>
            </w:r>
          </w:p>
        </w:tc>
        <w:tc>
          <w:tcPr>
            <w:tcW w:w="728" w:type="pct"/>
            <w:tcBorders>
              <w:top w:val="outset" w:color="auto" w:sz="6" w:space="0"/>
              <w:left w:val="outset" w:color="auto" w:sz="6" w:space="0"/>
              <w:bottom w:val="outset" w:color="auto" w:sz="6" w:space="0"/>
              <w:right w:val="outset" w:color="auto" w:sz="6" w:space="0"/>
            </w:tcBorders>
            <w:vAlign w:val="center"/>
            <w:hideMark/>
          </w:tcPr>
          <w:p w:rsidRPr="00242FE9" w:rsidR="00C536DB" w:rsidP="00C536DB" w:rsidRDefault="00C536DB" w14:paraId="4433AE58" w14:textId="2AEAB3B6">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2022</w:t>
            </w:r>
          </w:p>
        </w:tc>
      </w:tr>
      <w:tr w:rsidRPr="00242FE9" w:rsidR="00242FE9" w:rsidTr="003C4124" w14:paraId="29EDB938"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54155B7F" w14:textId="77777777">
            <w:pPr>
              <w:spacing w:after="0" w:line="240" w:lineRule="auto"/>
              <w:rPr>
                <w:rFonts w:ascii="Times New Roman" w:hAnsi="Times New Roman" w:eastAsia="Times New Roman" w:cs="Times New Roman"/>
                <w:iCs/>
                <w:sz w:val="24"/>
                <w:szCs w:val="24"/>
                <w:lang w:val="en-US" w:eastAsia="lv-LV"/>
              </w:rPr>
            </w:pPr>
          </w:p>
        </w:tc>
        <w:tc>
          <w:tcPr>
            <w:tcW w:w="514" w:type="pct"/>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5263EDD4" w14:textId="77777777">
            <w:pPr>
              <w:spacing w:after="0" w:line="240" w:lineRule="auto"/>
              <w:rPr>
                <w:rFonts w:ascii="Times New Roman" w:hAnsi="Times New Roman" w:eastAsia="Times New Roman" w:cs="Times New Roman"/>
                <w:iCs/>
                <w:sz w:val="24"/>
                <w:szCs w:val="24"/>
                <w:lang w:val="en-US" w:eastAsia="lv-LV"/>
              </w:rPr>
            </w:pPr>
            <w:proofErr w:type="spellStart"/>
            <w:r w:rsidRPr="00242FE9">
              <w:rPr>
                <w:rFonts w:ascii="Times New Roman" w:hAnsi="Times New Roman" w:eastAsia="Times New Roman" w:cs="Times New Roman"/>
                <w:iCs/>
                <w:sz w:val="24"/>
                <w:szCs w:val="24"/>
                <w:lang w:val="en-US" w:eastAsia="lv-LV"/>
              </w:rPr>
              <w:t>saskaņā</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ar</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valsts</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budžetu</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kārtējam</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gadam</w:t>
            </w:r>
            <w:proofErr w:type="spellEnd"/>
          </w:p>
        </w:tc>
        <w:tc>
          <w:tcPr>
            <w:tcW w:w="571" w:type="pct"/>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5EA7BDEC" w14:textId="77777777">
            <w:pPr>
              <w:spacing w:after="0" w:line="240" w:lineRule="auto"/>
              <w:rPr>
                <w:rFonts w:ascii="Times New Roman" w:hAnsi="Times New Roman" w:eastAsia="Times New Roman" w:cs="Times New Roman"/>
                <w:iCs/>
                <w:sz w:val="24"/>
                <w:szCs w:val="24"/>
                <w:lang w:val="en-US" w:eastAsia="lv-LV"/>
              </w:rPr>
            </w:pPr>
            <w:proofErr w:type="spellStart"/>
            <w:r w:rsidRPr="00242FE9">
              <w:rPr>
                <w:rFonts w:ascii="Times New Roman" w:hAnsi="Times New Roman" w:eastAsia="Times New Roman" w:cs="Times New Roman"/>
                <w:iCs/>
                <w:sz w:val="24"/>
                <w:szCs w:val="24"/>
                <w:lang w:val="en-US" w:eastAsia="lv-LV"/>
              </w:rPr>
              <w:t>izmaiņas</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kārtējā</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gadā</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salīdzinot</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ar</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valsts</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budžetu</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kārtējam</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gadam</w:t>
            </w:r>
            <w:proofErr w:type="spellEnd"/>
          </w:p>
        </w:tc>
        <w:tc>
          <w:tcPr>
            <w:tcW w:w="462" w:type="pct"/>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642DF3C1" w14:textId="77777777">
            <w:pPr>
              <w:spacing w:after="0" w:line="240" w:lineRule="auto"/>
              <w:rPr>
                <w:rFonts w:ascii="Times New Roman" w:hAnsi="Times New Roman" w:eastAsia="Times New Roman" w:cs="Times New Roman"/>
                <w:iCs/>
                <w:sz w:val="24"/>
                <w:szCs w:val="24"/>
                <w:lang w:val="sv-SE" w:eastAsia="lv-LV"/>
              </w:rPr>
            </w:pPr>
            <w:r w:rsidRPr="00242FE9">
              <w:rPr>
                <w:rFonts w:ascii="Times New Roman" w:hAnsi="Times New Roman" w:eastAsia="Times New Roman" w:cs="Times New Roman"/>
                <w:iCs/>
                <w:sz w:val="24"/>
                <w:szCs w:val="24"/>
                <w:lang w:val="sv-SE" w:eastAsia="lv-LV"/>
              </w:rPr>
              <w:t>saskaņā ar vidēja termiņa budžeta ietvaru</w:t>
            </w: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51ED17F7" w14:textId="77777777">
            <w:pPr>
              <w:spacing w:after="0" w:line="240" w:lineRule="auto"/>
              <w:rPr>
                <w:rFonts w:ascii="Times New Roman" w:hAnsi="Times New Roman" w:eastAsia="Times New Roman" w:cs="Times New Roman"/>
                <w:iCs/>
                <w:sz w:val="24"/>
                <w:szCs w:val="24"/>
                <w:lang w:val="sv-SE" w:eastAsia="lv-LV"/>
              </w:rPr>
            </w:pPr>
            <w:r w:rsidRPr="00242FE9">
              <w:rPr>
                <w:rFonts w:ascii="Times New Roman" w:hAnsi="Times New Roman" w:eastAsia="Times New Roman" w:cs="Times New Roman"/>
                <w:iCs/>
                <w:sz w:val="24"/>
                <w:szCs w:val="24"/>
                <w:lang w:val="sv-SE" w:eastAsia="lv-LV"/>
              </w:rPr>
              <w:t>izmaiņas, salīdzinot ar vidēja termiņa budžeta ietvaru n+1 gadam</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0FBD4B4E" w14:textId="77777777">
            <w:pPr>
              <w:spacing w:after="0" w:line="240" w:lineRule="auto"/>
              <w:rPr>
                <w:rFonts w:ascii="Times New Roman" w:hAnsi="Times New Roman" w:eastAsia="Times New Roman" w:cs="Times New Roman"/>
                <w:iCs/>
                <w:sz w:val="24"/>
                <w:szCs w:val="24"/>
                <w:lang w:val="sv-SE" w:eastAsia="lv-LV"/>
              </w:rPr>
            </w:pPr>
            <w:r w:rsidRPr="00242FE9">
              <w:rPr>
                <w:rFonts w:ascii="Times New Roman" w:hAnsi="Times New Roman" w:eastAsia="Times New Roman" w:cs="Times New Roman"/>
                <w:iCs/>
                <w:sz w:val="24"/>
                <w:szCs w:val="24"/>
                <w:lang w:val="sv-SE" w:eastAsia="lv-LV"/>
              </w:rPr>
              <w:t>saskaņā ar vidēja termiņa budžeta ietvaru</w:t>
            </w: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6BFEAA61" w14:textId="77777777">
            <w:pPr>
              <w:spacing w:after="0" w:line="240" w:lineRule="auto"/>
              <w:rPr>
                <w:rFonts w:ascii="Times New Roman" w:hAnsi="Times New Roman" w:eastAsia="Times New Roman" w:cs="Times New Roman"/>
                <w:iCs/>
                <w:sz w:val="24"/>
                <w:szCs w:val="24"/>
                <w:lang w:val="sv-SE" w:eastAsia="lv-LV"/>
              </w:rPr>
            </w:pPr>
            <w:r w:rsidRPr="00242FE9">
              <w:rPr>
                <w:rFonts w:ascii="Times New Roman" w:hAnsi="Times New Roman" w:eastAsia="Times New Roman" w:cs="Times New Roman"/>
                <w:iCs/>
                <w:sz w:val="24"/>
                <w:szCs w:val="24"/>
                <w:lang w:val="sv-SE" w:eastAsia="lv-LV"/>
              </w:rPr>
              <w:t>izmaiņas, salīdzinot ar vidēja termiņa budžeta ietvaru n+2 gadam</w:t>
            </w:r>
          </w:p>
        </w:tc>
        <w:tc>
          <w:tcPr>
            <w:tcW w:w="728" w:type="pct"/>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23DB2A2D" w14:textId="77777777">
            <w:pPr>
              <w:spacing w:after="0" w:line="240" w:lineRule="auto"/>
              <w:rPr>
                <w:rFonts w:ascii="Times New Roman" w:hAnsi="Times New Roman" w:eastAsia="Times New Roman" w:cs="Times New Roman"/>
                <w:iCs/>
                <w:sz w:val="24"/>
                <w:szCs w:val="24"/>
                <w:lang w:val="sv-SE" w:eastAsia="lv-LV"/>
              </w:rPr>
            </w:pPr>
            <w:r w:rsidRPr="00242FE9">
              <w:rPr>
                <w:rFonts w:ascii="Times New Roman" w:hAnsi="Times New Roman" w:eastAsia="Times New Roman" w:cs="Times New Roman"/>
                <w:iCs/>
                <w:sz w:val="24"/>
                <w:szCs w:val="24"/>
                <w:lang w:val="sv-SE" w:eastAsia="lv-LV"/>
              </w:rPr>
              <w:t>izmaiņas, salīdzinot ar vidēja termiņa budžeta ietvaru n+2 gadam</w:t>
            </w:r>
          </w:p>
        </w:tc>
      </w:tr>
      <w:tr w:rsidRPr="00242FE9" w:rsidR="00242FE9" w:rsidTr="003C4124" w14:paraId="7316ED01" w14:textId="77777777">
        <w:trPr>
          <w:tblCellSpacing w:w="15" w:type="dxa"/>
        </w:trPr>
        <w:tc>
          <w:tcPr>
            <w:tcW w:w="964" w:type="pct"/>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1FE76E04"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1</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0C744CAC"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2</w:t>
            </w:r>
          </w:p>
        </w:tc>
        <w:tc>
          <w:tcPr>
            <w:tcW w:w="571" w:type="pct"/>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64AE2552"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3</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07DA9588"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4</w:t>
            </w: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67A7349B"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5</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149A12FA"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6</w:t>
            </w: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75D6AD2D"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7</w:t>
            </w:r>
          </w:p>
        </w:tc>
        <w:tc>
          <w:tcPr>
            <w:tcW w:w="728" w:type="pct"/>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47BE8591"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8</w:t>
            </w:r>
          </w:p>
        </w:tc>
      </w:tr>
      <w:tr w:rsidRPr="00242FE9" w:rsidR="00242FE9" w:rsidTr="003C4124" w14:paraId="05068555" w14:textId="77777777">
        <w:trPr>
          <w:tblCellSpacing w:w="15" w:type="dxa"/>
        </w:trPr>
        <w:tc>
          <w:tcPr>
            <w:tcW w:w="964" w:type="pct"/>
            <w:tcBorders>
              <w:top w:val="outset" w:color="auto" w:sz="6" w:space="0"/>
              <w:left w:val="outset" w:color="auto" w:sz="6" w:space="0"/>
              <w:bottom w:val="outset" w:color="auto" w:sz="6" w:space="0"/>
              <w:right w:val="outset" w:color="auto" w:sz="6" w:space="0"/>
            </w:tcBorders>
            <w:hideMark/>
          </w:tcPr>
          <w:p w:rsidRPr="00242FE9" w:rsidR="00C536DB" w:rsidP="00AD65B1" w:rsidRDefault="00C536DB" w14:paraId="518F3DB1"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 xml:space="preserve">1. </w:t>
            </w:r>
            <w:proofErr w:type="spellStart"/>
            <w:r w:rsidRPr="00242FE9">
              <w:rPr>
                <w:rFonts w:ascii="Times New Roman" w:hAnsi="Times New Roman" w:eastAsia="Times New Roman" w:cs="Times New Roman"/>
                <w:iCs/>
                <w:sz w:val="24"/>
                <w:szCs w:val="24"/>
                <w:lang w:val="en-US" w:eastAsia="lv-LV"/>
              </w:rPr>
              <w:t>Budžeta</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ieņēmumi</w:t>
            </w:r>
            <w:proofErr w:type="spellEnd"/>
          </w:p>
        </w:tc>
        <w:tc>
          <w:tcPr>
            <w:tcW w:w="514" w:type="pct"/>
            <w:tcBorders>
              <w:top w:val="outset" w:color="auto" w:sz="6" w:space="0"/>
              <w:left w:val="outset" w:color="auto" w:sz="6" w:space="0"/>
              <w:bottom w:val="outset" w:color="auto" w:sz="6" w:space="0"/>
              <w:right w:val="outset" w:color="auto" w:sz="6" w:space="0"/>
            </w:tcBorders>
            <w:vAlign w:val="center"/>
          </w:tcPr>
          <w:p w:rsidRPr="00242FE9" w:rsidR="00C536DB" w:rsidP="003C4124" w:rsidRDefault="003C4124" w14:paraId="7F3E92BA" w14:textId="44775776">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1" w:type="pct"/>
            <w:tcBorders>
              <w:top w:val="outset" w:color="auto" w:sz="6" w:space="0"/>
              <w:left w:val="outset" w:color="auto" w:sz="6" w:space="0"/>
              <w:bottom w:val="outset" w:color="auto" w:sz="6" w:space="0"/>
              <w:right w:val="outset" w:color="auto" w:sz="6" w:space="0"/>
            </w:tcBorders>
            <w:vAlign w:val="center"/>
          </w:tcPr>
          <w:p w:rsidRPr="00242FE9" w:rsidR="00C536DB" w:rsidP="003C4124" w:rsidRDefault="003C4124" w14:paraId="1E8FEB33" w14:textId="13200085">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tcPr>
          <w:p w:rsidRPr="00242FE9" w:rsidR="00C536DB" w:rsidP="003C4124" w:rsidRDefault="003C4124" w14:paraId="123EC04C" w14:textId="4DC0B127">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5" w:type="pct"/>
            <w:tcBorders>
              <w:top w:val="outset" w:color="auto" w:sz="6" w:space="0"/>
              <w:left w:val="outset" w:color="auto" w:sz="6" w:space="0"/>
              <w:bottom w:val="outset" w:color="auto" w:sz="6" w:space="0"/>
              <w:right w:val="outset" w:color="auto" w:sz="6" w:space="0"/>
            </w:tcBorders>
            <w:vAlign w:val="center"/>
          </w:tcPr>
          <w:p w:rsidRPr="00242FE9" w:rsidR="00C536DB" w:rsidP="003C4124" w:rsidRDefault="003C4124" w14:paraId="0C63E301" w14:textId="7458FFE7">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tcPr>
          <w:p w:rsidRPr="00242FE9" w:rsidR="00C536DB" w:rsidP="003C4124" w:rsidRDefault="003C4124" w14:paraId="6F084419" w14:textId="155E3FD9">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5" w:type="pct"/>
            <w:tcBorders>
              <w:top w:val="outset" w:color="auto" w:sz="6" w:space="0"/>
              <w:left w:val="outset" w:color="auto" w:sz="6" w:space="0"/>
              <w:bottom w:val="outset" w:color="auto" w:sz="6" w:space="0"/>
              <w:right w:val="outset" w:color="auto" w:sz="6" w:space="0"/>
            </w:tcBorders>
            <w:vAlign w:val="center"/>
          </w:tcPr>
          <w:p w:rsidRPr="00242FE9" w:rsidR="00C536DB" w:rsidP="003C4124" w:rsidRDefault="003C4124" w14:paraId="2B296FC4" w14:textId="5BC43648">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728" w:type="pct"/>
            <w:tcBorders>
              <w:top w:val="outset" w:color="auto" w:sz="6" w:space="0"/>
              <w:left w:val="outset" w:color="auto" w:sz="6" w:space="0"/>
              <w:bottom w:val="outset" w:color="auto" w:sz="6" w:space="0"/>
              <w:right w:val="outset" w:color="auto" w:sz="6" w:space="0"/>
            </w:tcBorders>
            <w:vAlign w:val="center"/>
          </w:tcPr>
          <w:p w:rsidRPr="00242FE9" w:rsidR="00C536DB" w:rsidP="003C4124" w:rsidRDefault="003C4124" w14:paraId="6FB16F44" w14:textId="116348D1">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r>
      <w:tr w:rsidRPr="00242FE9" w:rsidR="00242FE9" w:rsidTr="003C4124" w14:paraId="1BA07597" w14:textId="77777777">
        <w:trPr>
          <w:tblCellSpacing w:w="15" w:type="dxa"/>
        </w:trPr>
        <w:tc>
          <w:tcPr>
            <w:tcW w:w="964" w:type="pct"/>
            <w:tcBorders>
              <w:top w:val="outset" w:color="auto" w:sz="6" w:space="0"/>
              <w:left w:val="outset" w:color="auto" w:sz="6" w:space="0"/>
              <w:bottom w:val="outset" w:color="auto" w:sz="6" w:space="0"/>
              <w:right w:val="outset" w:color="auto" w:sz="6" w:space="0"/>
            </w:tcBorders>
            <w:hideMark/>
          </w:tcPr>
          <w:p w:rsidRPr="00242FE9" w:rsidR="003C4124" w:rsidP="003C4124" w:rsidRDefault="003C4124" w14:paraId="6635CAA5"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 xml:space="preserve">1.1. </w:t>
            </w:r>
            <w:proofErr w:type="spellStart"/>
            <w:r w:rsidRPr="00242FE9">
              <w:rPr>
                <w:rFonts w:ascii="Times New Roman" w:hAnsi="Times New Roman" w:eastAsia="Times New Roman" w:cs="Times New Roman"/>
                <w:iCs/>
                <w:sz w:val="24"/>
                <w:szCs w:val="24"/>
                <w:lang w:val="en-US" w:eastAsia="lv-LV"/>
              </w:rPr>
              <w:t>valsts</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pamatbudžets</w:t>
            </w:r>
            <w:proofErr w:type="spellEnd"/>
            <w:r w:rsidRPr="00242FE9">
              <w:rPr>
                <w:rFonts w:ascii="Times New Roman" w:hAnsi="Times New Roman" w:eastAsia="Times New Roman" w:cs="Times New Roman"/>
                <w:iCs/>
                <w:sz w:val="24"/>
                <w:szCs w:val="24"/>
                <w:lang w:val="en-US" w:eastAsia="lv-LV"/>
              </w:rPr>
              <w:t xml:space="preserve">, tai </w:t>
            </w:r>
            <w:proofErr w:type="spellStart"/>
            <w:r w:rsidRPr="00242FE9">
              <w:rPr>
                <w:rFonts w:ascii="Times New Roman" w:hAnsi="Times New Roman" w:eastAsia="Times New Roman" w:cs="Times New Roman"/>
                <w:iCs/>
                <w:sz w:val="24"/>
                <w:szCs w:val="24"/>
                <w:lang w:val="en-US" w:eastAsia="lv-LV"/>
              </w:rPr>
              <w:t>skaitā</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lastRenderedPageBreak/>
              <w:t>ieņēmumi</w:t>
            </w:r>
            <w:proofErr w:type="spellEnd"/>
            <w:r w:rsidRPr="00242FE9">
              <w:rPr>
                <w:rFonts w:ascii="Times New Roman" w:hAnsi="Times New Roman" w:eastAsia="Times New Roman" w:cs="Times New Roman"/>
                <w:iCs/>
                <w:sz w:val="24"/>
                <w:szCs w:val="24"/>
                <w:lang w:val="en-US" w:eastAsia="lv-LV"/>
              </w:rPr>
              <w:t xml:space="preserve"> no </w:t>
            </w:r>
            <w:proofErr w:type="spellStart"/>
            <w:r w:rsidRPr="00242FE9">
              <w:rPr>
                <w:rFonts w:ascii="Times New Roman" w:hAnsi="Times New Roman" w:eastAsia="Times New Roman" w:cs="Times New Roman"/>
                <w:iCs/>
                <w:sz w:val="24"/>
                <w:szCs w:val="24"/>
                <w:lang w:val="en-US" w:eastAsia="lv-LV"/>
              </w:rPr>
              <w:t>maksas</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pakalpojumiem</w:t>
            </w:r>
            <w:proofErr w:type="spellEnd"/>
            <w:r w:rsidRPr="00242FE9">
              <w:rPr>
                <w:rFonts w:ascii="Times New Roman" w:hAnsi="Times New Roman" w:eastAsia="Times New Roman" w:cs="Times New Roman"/>
                <w:iCs/>
                <w:sz w:val="24"/>
                <w:szCs w:val="24"/>
                <w:lang w:val="en-US" w:eastAsia="lv-LV"/>
              </w:rPr>
              <w:t xml:space="preserve"> un </w:t>
            </w:r>
            <w:proofErr w:type="spellStart"/>
            <w:r w:rsidRPr="00242FE9">
              <w:rPr>
                <w:rFonts w:ascii="Times New Roman" w:hAnsi="Times New Roman" w:eastAsia="Times New Roman" w:cs="Times New Roman"/>
                <w:iCs/>
                <w:sz w:val="24"/>
                <w:szCs w:val="24"/>
                <w:lang w:val="en-US" w:eastAsia="lv-LV"/>
              </w:rPr>
              <w:t>citi</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pašu</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ieņēmumi</w:t>
            </w:r>
            <w:proofErr w:type="spellEnd"/>
          </w:p>
        </w:tc>
        <w:tc>
          <w:tcPr>
            <w:tcW w:w="514" w:type="pct"/>
            <w:tcBorders>
              <w:top w:val="outset" w:color="auto" w:sz="6" w:space="0"/>
              <w:left w:val="outset" w:color="auto" w:sz="6" w:space="0"/>
              <w:bottom w:val="outset" w:color="auto" w:sz="6" w:space="0"/>
              <w:right w:val="outset" w:color="auto" w:sz="6" w:space="0"/>
            </w:tcBorders>
            <w:vAlign w:val="center"/>
          </w:tcPr>
          <w:p w:rsidRPr="00242FE9" w:rsidR="003C4124" w:rsidP="003C4124" w:rsidRDefault="003C4124" w14:paraId="38AC01B2" w14:textId="28FFC1D8">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lastRenderedPageBreak/>
              <w:t>0</w:t>
            </w:r>
          </w:p>
        </w:tc>
        <w:tc>
          <w:tcPr>
            <w:tcW w:w="571" w:type="pct"/>
            <w:tcBorders>
              <w:top w:val="outset" w:color="auto" w:sz="6" w:space="0"/>
              <w:left w:val="outset" w:color="auto" w:sz="6" w:space="0"/>
              <w:bottom w:val="outset" w:color="auto" w:sz="6" w:space="0"/>
              <w:right w:val="outset" w:color="auto" w:sz="6" w:space="0"/>
            </w:tcBorders>
            <w:vAlign w:val="center"/>
          </w:tcPr>
          <w:p w:rsidRPr="00242FE9" w:rsidR="003C4124" w:rsidP="003C4124" w:rsidRDefault="003C4124" w14:paraId="39C9D6C4" w14:textId="76BC44BF">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tcPr>
          <w:p w:rsidRPr="00242FE9" w:rsidR="003C4124" w:rsidP="003C4124" w:rsidRDefault="003C4124" w14:paraId="0F40F386" w14:textId="2FA645F4">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5" w:type="pct"/>
            <w:tcBorders>
              <w:top w:val="outset" w:color="auto" w:sz="6" w:space="0"/>
              <w:left w:val="outset" w:color="auto" w:sz="6" w:space="0"/>
              <w:bottom w:val="outset" w:color="auto" w:sz="6" w:space="0"/>
              <w:right w:val="outset" w:color="auto" w:sz="6" w:space="0"/>
            </w:tcBorders>
            <w:vAlign w:val="center"/>
          </w:tcPr>
          <w:p w:rsidRPr="00242FE9" w:rsidR="003C4124" w:rsidP="003C4124" w:rsidRDefault="003C4124" w14:paraId="49CB18BF" w14:textId="18D67124">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tcPr>
          <w:p w:rsidRPr="00242FE9" w:rsidR="003C4124" w:rsidP="003C4124" w:rsidRDefault="003C4124" w14:paraId="0F8132A7" w14:textId="75BF4133">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5" w:type="pct"/>
            <w:tcBorders>
              <w:top w:val="outset" w:color="auto" w:sz="6" w:space="0"/>
              <w:left w:val="outset" w:color="auto" w:sz="6" w:space="0"/>
              <w:bottom w:val="outset" w:color="auto" w:sz="6" w:space="0"/>
              <w:right w:val="outset" w:color="auto" w:sz="6" w:space="0"/>
            </w:tcBorders>
            <w:vAlign w:val="center"/>
          </w:tcPr>
          <w:p w:rsidRPr="00242FE9" w:rsidR="003C4124" w:rsidP="003C4124" w:rsidRDefault="003C4124" w14:paraId="6A80ED48" w14:textId="45353A89">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728" w:type="pct"/>
            <w:tcBorders>
              <w:top w:val="outset" w:color="auto" w:sz="6" w:space="0"/>
              <w:left w:val="outset" w:color="auto" w:sz="6" w:space="0"/>
              <w:bottom w:val="outset" w:color="auto" w:sz="6" w:space="0"/>
              <w:right w:val="outset" w:color="auto" w:sz="6" w:space="0"/>
            </w:tcBorders>
            <w:vAlign w:val="center"/>
          </w:tcPr>
          <w:p w:rsidRPr="00242FE9" w:rsidR="003C4124" w:rsidP="003C4124" w:rsidRDefault="003C4124" w14:paraId="6F1BE155" w14:textId="26138119">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r>
      <w:tr w:rsidRPr="00242FE9" w:rsidR="00242FE9" w:rsidTr="003C4124" w14:paraId="19EC32CB" w14:textId="77777777">
        <w:trPr>
          <w:tblCellSpacing w:w="15" w:type="dxa"/>
        </w:trPr>
        <w:tc>
          <w:tcPr>
            <w:tcW w:w="964" w:type="pct"/>
            <w:tcBorders>
              <w:top w:val="outset" w:color="auto" w:sz="6" w:space="0"/>
              <w:left w:val="outset" w:color="auto" w:sz="6" w:space="0"/>
              <w:bottom w:val="outset" w:color="auto" w:sz="6" w:space="0"/>
              <w:right w:val="outset" w:color="auto" w:sz="6" w:space="0"/>
            </w:tcBorders>
            <w:hideMark/>
          </w:tcPr>
          <w:p w:rsidRPr="00242FE9" w:rsidR="003C4124" w:rsidP="003C4124" w:rsidRDefault="003C4124" w14:paraId="75CBD122"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 xml:space="preserve">1.2. </w:t>
            </w:r>
            <w:proofErr w:type="spellStart"/>
            <w:r w:rsidRPr="00242FE9">
              <w:rPr>
                <w:rFonts w:ascii="Times New Roman" w:hAnsi="Times New Roman" w:eastAsia="Times New Roman" w:cs="Times New Roman"/>
                <w:iCs/>
                <w:sz w:val="24"/>
                <w:szCs w:val="24"/>
                <w:lang w:val="en-US" w:eastAsia="lv-LV"/>
              </w:rPr>
              <w:t>valsts</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speciālais</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budžets</w:t>
            </w:r>
            <w:proofErr w:type="spellEnd"/>
          </w:p>
        </w:tc>
        <w:tc>
          <w:tcPr>
            <w:tcW w:w="514"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2722F6CB" w14:textId="6E5AF2AD">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1"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0362A3E4" w14:textId="1450E37B">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7A3602A5" w14:textId="1C4B2E49">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05106337" w14:textId="00628D05">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60BADE6A" w14:textId="2D61AF22">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7BF37381" w14:textId="68345F75">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728"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45A30463" w14:textId="58078391">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r>
      <w:tr w:rsidRPr="00242FE9" w:rsidR="00242FE9" w:rsidTr="003C4124" w14:paraId="4009291B" w14:textId="77777777">
        <w:trPr>
          <w:tblCellSpacing w:w="15" w:type="dxa"/>
        </w:trPr>
        <w:tc>
          <w:tcPr>
            <w:tcW w:w="964" w:type="pct"/>
            <w:tcBorders>
              <w:top w:val="outset" w:color="auto" w:sz="6" w:space="0"/>
              <w:left w:val="outset" w:color="auto" w:sz="6" w:space="0"/>
              <w:bottom w:val="outset" w:color="auto" w:sz="6" w:space="0"/>
              <w:right w:val="outset" w:color="auto" w:sz="6" w:space="0"/>
            </w:tcBorders>
            <w:hideMark/>
          </w:tcPr>
          <w:p w:rsidR="003C4124" w:rsidP="003C4124" w:rsidRDefault="003C4124" w14:paraId="11F2553A" w14:textId="7C825365">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 xml:space="preserve">1.3. </w:t>
            </w:r>
            <w:proofErr w:type="spellStart"/>
            <w:r w:rsidRPr="00242FE9">
              <w:rPr>
                <w:rFonts w:ascii="Times New Roman" w:hAnsi="Times New Roman" w:eastAsia="Times New Roman" w:cs="Times New Roman"/>
                <w:iCs/>
                <w:sz w:val="24"/>
                <w:szCs w:val="24"/>
                <w:lang w:val="en-US" w:eastAsia="lv-LV"/>
              </w:rPr>
              <w:t>pašvaldību</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budžets</w:t>
            </w:r>
            <w:proofErr w:type="spellEnd"/>
          </w:p>
          <w:p w:rsidRPr="00242FE9" w:rsidR="00242FE9" w:rsidP="00242FE9" w:rsidRDefault="00242FE9" w14:paraId="2EC633B7" w14:textId="77777777">
            <w:pPr>
              <w:rPr>
                <w:rFonts w:ascii="Times New Roman" w:hAnsi="Times New Roman" w:eastAsia="Times New Roman" w:cs="Times New Roman"/>
                <w:sz w:val="24"/>
                <w:szCs w:val="24"/>
                <w:lang w:val="en-US" w:eastAsia="lv-LV"/>
              </w:rPr>
            </w:pPr>
          </w:p>
          <w:p w:rsidRPr="00242FE9" w:rsidR="00242FE9" w:rsidP="00242FE9" w:rsidRDefault="00242FE9" w14:paraId="6D15E86B" w14:textId="77777777">
            <w:pPr>
              <w:rPr>
                <w:rFonts w:ascii="Times New Roman" w:hAnsi="Times New Roman" w:eastAsia="Times New Roman" w:cs="Times New Roman"/>
                <w:sz w:val="24"/>
                <w:szCs w:val="24"/>
                <w:lang w:val="en-US" w:eastAsia="lv-LV"/>
              </w:rPr>
            </w:pPr>
          </w:p>
          <w:p w:rsidRPr="00242FE9" w:rsidR="00242FE9" w:rsidP="00242FE9" w:rsidRDefault="00242FE9" w14:paraId="73AC2C24" w14:textId="77777777">
            <w:pPr>
              <w:rPr>
                <w:rFonts w:ascii="Times New Roman" w:hAnsi="Times New Roman" w:eastAsia="Times New Roman" w:cs="Times New Roman"/>
                <w:sz w:val="24"/>
                <w:szCs w:val="24"/>
                <w:lang w:val="en-US" w:eastAsia="lv-LV"/>
              </w:rPr>
            </w:pPr>
          </w:p>
          <w:p w:rsidRPr="00242FE9" w:rsidR="00242FE9" w:rsidP="00242FE9" w:rsidRDefault="00242FE9" w14:paraId="15654DA5" w14:textId="18BC5270">
            <w:pPr>
              <w:rPr>
                <w:rFonts w:ascii="Times New Roman" w:hAnsi="Times New Roman" w:eastAsia="Times New Roman" w:cs="Times New Roman"/>
                <w:sz w:val="24"/>
                <w:szCs w:val="24"/>
                <w:lang w:val="en-US" w:eastAsia="lv-LV"/>
              </w:rPr>
            </w:pPr>
          </w:p>
        </w:tc>
        <w:tc>
          <w:tcPr>
            <w:tcW w:w="514"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6A6079BF" w14:textId="7E9E801F">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1"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122B872E" w14:textId="7F3A097D">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2AEDADAE" w14:textId="206F6FAD">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7B2CA800" w14:textId="457FD8B7">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7B360640" w14:textId="0F251F65">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629AC800" w14:textId="04890673">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728"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66F7807D" w14:textId="1A658D6D">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r>
      <w:tr w:rsidRPr="00242FE9" w:rsidR="00242FE9" w:rsidTr="003C4124" w14:paraId="6BFF32D7" w14:textId="77777777">
        <w:trPr>
          <w:tblCellSpacing w:w="15" w:type="dxa"/>
        </w:trPr>
        <w:tc>
          <w:tcPr>
            <w:tcW w:w="964" w:type="pct"/>
            <w:tcBorders>
              <w:top w:val="outset" w:color="auto" w:sz="6" w:space="0"/>
              <w:left w:val="outset" w:color="auto" w:sz="6" w:space="0"/>
              <w:bottom w:val="outset" w:color="auto" w:sz="6" w:space="0"/>
              <w:right w:val="outset" w:color="auto" w:sz="6" w:space="0"/>
            </w:tcBorders>
            <w:hideMark/>
          </w:tcPr>
          <w:p w:rsidRPr="00242FE9" w:rsidR="003C4124" w:rsidP="003C4124" w:rsidRDefault="003C4124" w14:paraId="3A7AC7A7"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 xml:space="preserve">2. </w:t>
            </w:r>
            <w:proofErr w:type="spellStart"/>
            <w:r w:rsidRPr="00242FE9">
              <w:rPr>
                <w:rFonts w:ascii="Times New Roman" w:hAnsi="Times New Roman" w:eastAsia="Times New Roman" w:cs="Times New Roman"/>
                <w:iCs/>
                <w:sz w:val="24"/>
                <w:szCs w:val="24"/>
                <w:lang w:val="en-US" w:eastAsia="lv-LV"/>
              </w:rPr>
              <w:t>Budžeta</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izdevumi</w:t>
            </w:r>
            <w:proofErr w:type="spellEnd"/>
          </w:p>
        </w:tc>
        <w:tc>
          <w:tcPr>
            <w:tcW w:w="514" w:type="pct"/>
            <w:tcBorders>
              <w:top w:val="outset" w:color="auto" w:sz="6" w:space="0"/>
              <w:left w:val="outset" w:color="auto" w:sz="6" w:space="0"/>
              <w:bottom w:val="outset" w:color="auto" w:sz="6" w:space="0"/>
              <w:right w:val="outset" w:color="auto" w:sz="6" w:space="0"/>
            </w:tcBorders>
            <w:vAlign w:val="center"/>
          </w:tcPr>
          <w:p w:rsidRPr="00242FE9" w:rsidR="003C4124" w:rsidP="003C4124" w:rsidRDefault="003C4124" w14:paraId="134A1927" w14:textId="44EF40BA">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1" w:type="pct"/>
            <w:tcBorders>
              <w:top w:val="outset" w:color="auto" w:sz="6" w:space="0"/>
              <w:left w:val="outset" w:color="auto" w:sz="6" w:space="0"/>
              <w:bottom w:val="outset" w:color="auto" w:sz="6" w:space="0"/>
              <w:right w:val="outset" w:color="auto" w:sz="6" w:space="0"/>
            </w:tcBorders>
            <w:vAlign w:val="center"/>
          </w:tcPr>
          <w:p w:rsidRPr="00242FE9" w:rsidR="003C4124" w:rsidP="003C4124" w:rsidRDefault="003C4124" w14:paraId="1CB3AB96" w14:textId="2992E6E7">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tcPr>
          <w:p w:rsidRPr="00242FE9" w:rsidR="003C4124" w:rsidP="003C4124" w:rsidRDefault="003C4124" w14:paraId="33CA58BC" w14:textId="03B102C4">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5" w:type="pct"/>
            <w:tcBorders>
              <w:top w:val="outset" w:color="auto" w:sz="6" w:space="0"/>
              <w:left w:val="outset" w:color="auto" w:sz="6" w:space="0"/>
              <w:bottom w:val="outset" w:color="auto" w:sz="6" w:space="0"/>
              <w:right w:val="outset" w:color="auto" w:sz="6" w:space="0"/>
            </w:tcBorders>
            <w:vAlign w:val="center"/>
          </w:tcPr>
          <w:p w:rsidRPr="00242FE9" w:rsidR="003C4124" w:rsidP="003C4124" w:rsidRDefault="003C4124" w14:paraId="74BAE375" w14:textId="38C3BA52">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tcPr>
          <w:p w:rsidRPr="00242FE9" w:rsidR="003C4124" w:rsidP="003C4124" w:rsidRDefault="003C4124" w14:paraId="40B5046D" w14:textId="47CFC091">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5" w:type="pct"/>
            <w:tcBorders>
              <w:top w:val="outset" w:color="auto" w:sz="6" w:space="0"/>
              <w:left w:val="outset" w:color="auto" w:sz="6" w:space="0"/>
              <w:bottom w:val="outset" w:color="auto" w:sz="6" w:space="0"/>
              <w:right w:val="outset" w:color="auto" w:sz="6" w:space="0"/>
            </w:tcBorders>
            <w:vAlign w:val="center"/>
          </w:tcPr>
          <w:p w:rsidRPr="00242FE9" w:rsidR="003C4124" w:rsidP="003C4124" w:rsidRDefault="003C4124" w14:paraId="7B77AC6D" w14:textId="081B6048">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728" w:type="pct"/>
            <w:tcBorders>
              <w:top w:val="outset" w:color="auto" w:sz="6" w:space="0"/>
              <w:left w:val="outset" w:color="auto" w:sz="6" w:space="0"/>
              <w:bottom w:val="outset" w:color="auto" w:sz="6" w:space="0"/>
              <w:right w:val="outset" w:color="auto" w:sz="6" w:space="0"/>
            </w:tcBorders>
            <w:vAlign w:val="center"/>
          </w:tcPr>
          <w:p w:rsidRPr="00242FE9" w:rsidR="003C4124" w:rsidP="003C4124" w:rsidRDefault="003C4124" w14:paraId="391EC1D7" w14:textId="1D496953">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r>
      <w:tr w:rsidRPr="00242FE9" w:rsidR="00242FE9" w:rsidTr="003C4124" w14:paraId="6842D368" w14:textId="77777777">
        <w:trPr>
          <w:tblCellSpacing w:w="15" w:type="dxa"/>
        </w:trPr>
        <w:tc>
          <w:tcPr>
            <w:tcW w:w="964" w:type="pct"/>
            <w:tcBorders>
              <w:top w:val="outset" w:color="auto" w:sz="6" w:space="0"/>
              <w:left w:val="outset" w:color="auto" w:sz="6" w:space="0"/>
              <w:bottom w:val="outset" w:color="auto" w:sz="6" w:space="0"/>
              <w:right w:val="outset" w:color="auto" w:sz="6" w:space="0"/>
            </w:tcBorders>
            <w:hideMark/>
          </w:tcPr>
          <w:p w:rsidRPr="00242FE9" w:rsidR="003C4124" w:rsidP="003C4124" w:rsidRDefault="003C4124" w14:paraId="384E44DD"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 xml:space="preserve">2.1. </w:t>
            </w:r>
            <w:proofErr w:type="spellStart"/>
            <w:r w:rsidRPr="00242FE9">
              <w:rPr>
                <w:rFonts w:ascii="Times New Roman" w:hAnsi="Times New Roman" w:eastAsia="Times New Roman" w:cs="Times New Roman"/>
                <w:iCs/>
                <w:sz w:val="24"/>
                <w:szCs w:val="24"/>
                <w:lang w:val="en-US" w:eastAsia="lv-LV"/>
              </w:rPr>
              <w:t>valsts</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pamatbudžets</w:t>
            </w:r>
            <w:proofErr w:type="spellEnd"/>
          </w:p>
        </w:tc>
        <w:tc>
          <w:tcPr>
            <w:tcW w:w="514" w:type="pct"/>
            <w:tcBorders>
              <w:top w:val="outset" w:color="auto" w:sz="6" w:space="0"/>
              <w:left w:val="outset" w:color="auto" w:sz="6" w:space="0"/>
              <w:bottom w:val="outset" w:color="auto" w:sz="6" w:space="0"/>
              <w:right w:val="outset" w:color="auto" w:sz="6" w:space="0"/>
            </w:tcBorders>
            <w:vAlign w:val="center"/>
          </w:tcPr>
          <w:p w:rsidRPr="00242FE9" w:rsidR="003C4124" w:rsidP="003C4124" w:rsidRDefault="003C4124" w14:paraId="2DB49559" w14:textId="245A4D5A">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1" w:type="pct"/>
            <w:tcBorders>
              <w:top w:val="outset" w:color="auto" w:sz="6" w:space="0"/>
              <w:left w:val="outset" w:color="auto" w:sz="6" w:space="0"/>
              <w:bottom w:val="outset" w:color="auto" w:sz="6" w:space="0"/>
              <w:right w:val="outset" w:color="auto" w:sz="6" w:space="0"/>
            </w:tcBorders>
            <w:vAlign w:val="center"/>
          </w:tcPr>
          <w:p w:rsidRPr="00242FE9" w:rsidR="003C4124" w:rsidP="003C4124" w:rsidRDefault="003C4124" w14:paraId="03D2409E" w14:textId="37563203">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tcPr>
          <w:p w:rsidRPr="00242FE9" w:rsidR="003C4124" w:rsidP="003C4124" w:rsidRDefault="003C4124" w14:paraId="3405933D" w14:textId="00C97F66">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5" w:type="pct"/>
            <w:tcBorders>
              <w:top w:val="outset" w:color="auto" w:sz="6" w:space="0"/>
              <w:left w:val="outset" w:color="auto" w:sz="6" w:space="0"/>
              <w:bottom w:val="outset" w:color="auto" w:sz="6" w:space="0"/>
              <w:right w:val="outset" w:color="auto" w:sz="6" w:space="0"/>
            </w:tcBorders>
            <w:vAlign w:val="center"/>
          </w:tcPr>
          <w:p w:rsidRPr="00242FE9" w:rsidR="003C4124" w:rsidP="003C4124" w:rsidRDefault="003C4124" w14:paraId="54EE5A95" w14:textId="4D292B85">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tcPr>
          <w:p w:rsidRPr="00242FE9" w:rsidR="003C4124" w:rsidP="003C4124" w:rsidRDefault="003C4124" w14:paraId="5715F4A6" w14:textId="3F776163">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5" w:type="pct"/>
            <w:tcBorders>
              <w:top w:val="outset" w:color="auto" w:sz="6" w:space="0"/>
              <w:left w:val="outset" w:color="auto" w:sz="6" w:space="0"/>
              <w:bottom w:val="outset" w:color="auto" w:sz="6" w:space="0"/>
              <w:right w:val="outset" w:color="auto" w:sz="6" w:space="0"/>
            </w:tcBorders>
            <w:vAlign w:val="center"/>
          </w:tcPr>
          <w:p w:rsidRPr="00242FE9" w:rsidR="003C4124" w:rsidP="003C4124" w:rsidRDefault="003C4124" w14:paraId="00575B13" w14:textId="61DFF0A0">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728" w:type="pct"/>
            <w:tcBorders>
              <w:top w:val="outset" w:color="auto" w:sz="6" w:space="0"/>
              <w:left w:val="outset" w:color="auto" w:sz="6" w:space="0"/>
              <w:bottom w:val="outset" w:color="auto" w:sz="6" w:space="0"/>
              <w:right w:val="outset" w:color="auto" w:sz="6" w:space="0"/>
            </w:tcBorders>
            <w:vAlign w:val="center"/>
          </w:tcPr>
          <w:p w:rsidRPr="00242FE9" w:rsidR="003C4124" w:rsidP="003C4124" w:rsidRDefault="003C4124" w14:paraId="324DA86B" w14:textId="671F05E9">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r>
      <w:tr w:rsidRPr="00242FE9" w:rsidR="00242FE9" w:rsidTr="003C4124" w14:paraId="2C22D0BF" w14:textId="77777777">
        <w:trPr>
          <w:tblCellSpacing w:w="15" w:type="dxa"/>
        </w:trPr>
        <w:tc>
          <w:tcPr>
            <w:tcW w:w="964" w:type="pct"/>
            <w:tcBorders>
              <w:top w:val="outset" w:color="auto" w:sz="6" w:space="0"/>
              <w:left w:val="outset" w:color="auto" w:sz="6" w:space="0"/>
              <w:bottom w:val="outset" w:color="auto" w:sz="6" w:space="0"/>
              <w:right w:val="outset" w:color="auto" w:sz="6" w:space="0"/>
            </w:tcBorders>
            <w:hideMark/>
          </w:tcPr>
          <w:p w:rsidRPr="00242FE9" w:rsidR="003C4124" w:rsidP="003C4124" w:rsidRDefault="003C4124" w14:paraId="66B53065"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 xml:space="preserve">2.2. </w:t>
            </w:r>
            <w:proofErr w:type="spellStart"/>
            <w:r w:rsidRPr="00242FE9">
              <w:rPr>
                <w:rFonts w:ascii="Times New Roman" w:hAnsi="Times New Roman" w:eastAsia="Times New Roman" w:cs="Times New Roman"/>
                <w:iCs/>
                <w:sz w:val="24"/>
                <w:szCs w:val="24"/>
                <w:lang w:val="en-US" w:eastAsia="lv-LV"/>
              </w:rPr>
              <w:t>valsts</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speciālais</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budžets</w:t>
            </w:r>
            <w:proofErr w:type="spellEnd"/>
          </w:p>
        </w:tc>
        <w:tc>
          <w:tcPr>
            <w:tcW w:w="514"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500E76F2" w14:textId="2E8BC5F7">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1"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55F5FD1A" w14:textId="19F4CBF2">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58FBAA75" w14:textId="54819F62">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49C72671" w14:textId="37330182">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781A9204" w14:textId="7FFE6A4D">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2E60A2E8" w14:textId="00A80A3C">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728"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4C567712" w14:textId="3212274E">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r>
      <w:tr w:rsidRPr="00242FE9" w:rsidR="00242FE9" w:rsidTr="003C4124" w14:paraId="16B91E78" w14:textId="77777777">
        <w:trPr>
          <w:tblCellSpacing w:w="15" w:type="dxa"/>
        </w:trPr>
        <w:tc>
          <w:tcPr>
            <w:tcW w:w="964" w:type="pct"/>
            <w:tcBorders>
              <w:top w:val="outset" w:color="auto" w:sz="6" w:space="0"/>
              <w:left w:val="outset" w:color="auto" w:sz="6" w:space="0"/>
              <w:bottom w:val="outset" w:color="auto" w:sz="6" w:space="0"/>
              <w:right w:val="outset" w:color="auto" w:sz="6" w:space="0"/>
            </w:tcBorders>
            <w:hideMark/>
          </w:tcPr>
          <w:p w:rsidRPr="00242FE9" w:rsidR="003C4124" w:rsidP="003C4124" w:rsidRDefault="003C4124" w14:paraId="4EAEF5BE"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 xml:space="preserve">2.3. </w:t>
            </w:r>
            <w:proofErr w:type="spellStart"/>
            <w:r w:rsidRPr="00242FE9">
              <w:rPr>
                <w:rFonts w:ascii="Times New Roman" w:hAnsi="Times New Roman" w:eastAsia="Times New Roman" w:cs="Times New Roman"/>
                <w:iCs/>
                <w:sz w:val="24"/>
                <w:szCs w:val="24"/>
                <w:lang w:val="en-US" w:eastAsia="lv-LV"/>
              </w:rPr>
              <w:t>pašvaldību</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budžets</w:t>
            </w:r>
            <w:proofErr w:type="spellEnd"/>
          </w:p>
        </w:tc>
        <w:tc>
          <w:tcPr>
            <w:tcW w:w="514"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2916695E" w14:textId="6512AD36">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1"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5BD511D7" w14:textId="4838A147">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181A4504" w14:textId="0F83C210">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42D6711C" w14:textId="6310ABDC">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37BE2407" w14:textId="751E6402">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1478E6C1" w14:textId="64F2CAC3">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728"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7D393527" w14:textId="74B4F124">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r>
      <w:tr w:rsidRPr="00242FE9" w:rsidR="00242FE9" w:rsidTr="003C4124" w14:paraId="6E3129F8" w14:textId="77777777">
        <w:trPr>
          <w:tblCellSpacing w:w="15" w:type="dxa"/>
        </w:trPr>
        <w:tc>
          <w:tcPr>
            <w:tcW w:w="964" w:type="pct"/>
            <w:tcBorders>
              <w:top w:val="outset" w:color="auto" w:sz="6" w:space="0"/>
              <w:left w:val="outset" w:color="auto" w:sz="6" w:space="0"/>
              <w:bottom w:val="outset" w:color="auto" w:sz="6" w:space="0"/>
              <w:right w:val="outset" w:color="auto" w:sz="6" w:space="0"/>
            </w:tcBorders>
            <w:hideMark/>
          </w:tcPr>
          <w:p w:rsidRPr="00242FE9" w:rsidR="003C4124" w:rsidP="003C4124" w:rsidRDefault="003C4124" w14:paraId="56D29A77"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 xml:space="preserve">3. </w:t>
            </w:r>
            <w:proofErr w:type="spellStart"/>
            <w:r w:rsidRPr="00242FE9">
              <w:rPr>
                <w:rFonts w:ascii="Times New Roman" w:hAnsi="Times New Roman" w:eastAsia="Times New Roman" w:cs="Times New Roman"/>
                <w:iCs/>
                <w:sz w:val="24"/>
                <w:szCs w:val="24"/>
                <w:lang w:val="en-US" w:eastAsia="lv-LV"/>
              </w:rPr>
              <w:t>Finansiālā</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ietekme</w:t>
            </w:r>
            <w:proofErr w:type="spellEnd"/>
          </w:p>
        </w:tc>
        <w:tc>
          <w:tcPr>
            <w:tcW w:w="514"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687C9BE6" w14:textId="30F97A64">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1"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0F75AA23" w14:textId="3F4B66C4">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300CC38D" w14:textId="35AF7369">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74B6D2F5" w14:textId="2A672EBE">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24C7FFEF" w14:textId="6430A525">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27B24247" w14:textId="60361B3C">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728"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7CA55815" w14:textId="5162CD25">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r>
      <w:tr w:rsidRPr="00242FE9" w:rsidR="00242FE9" w:rsidTr="003C4124" w14:paraId="4A501592" w14:textId="77777777">
        <w:trPr>
          <w:tblCellSpacing w:w="15" w:type="dxa"/>
        </w:trPr>
        <w:tc>
          <w:tcPr>
            <w:tcW w:w="964" w:type="pct"/>
            <w:tcBorders>
              <w:top w:val="outset" w:color="auto" w:sz="6" w:space="0"/>
              <w:left w:val="outset" w:color="auto" w:sz="6" w:space="0"/>
              <w:bottom w:val="outset" w:color="auto" w:sz="6" w:space="0"/>
              <w:right w:val="outset" w:color="auto" w:sz="6" w:space="0"/>
            </w:tcBorders>
            <w:hideMark/>
          </w:tcPr>
          <w:p w:rsidRPr="00242FE9" w:rsidR="003C4124" w:rsidP="003C4124" w:rsidRDefault="003C4124" w14:paraId="6F23F12C"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 xml:space="preserve">3.1. </w:t>
            </w:r>
            <w:proofErr w:type="spellStart"/>
            <w:r w:rsidRPr="00242FE9">
              <w:rPr>
                <w:rFonts w:ascii="Times New Roman" w:hAnsi="Times New Roman" w:eastAsia="Times New Roman" w:cs="Times New Roman"/>
                <w:iCs/>
                <w:sz w:val="24"/>
                <w:szCs w:val="24"/>
                <w:lang w:val="en-US" w:eastAsia="lv-LV"/>
              </w:rPr>
              <w:t>valsts</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pamatbudžets</w:t>
            </w:r>
            <w:proofErr w:type="spellEnd"/>
          </w:p>
        </w:tc>
        <w:tc>
          <w:tcPr>
            <w:tcW w:w="514"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50E81C58" w14:textId="77DB3460">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1"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73944371" w14:textId="4026682B">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19EC4056" w14:textId="20BC35D3">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176CE781" w14:textId="41CDB8AF">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47FA058C" w14:textId="18D44F4D">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5DB3A2DA" w14:textId="3E660AC1">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728"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4F7B5A9D" w14:textId="75699554">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r>
      <w:tr w:rsidRPr="00242FE9" w:rsidR="00242FE9" w:rsidTr="003C4124" w14:paraId="600A0D52" w14:textId="77777777">
        <w:trPr>
          <w:tblCellSpacing w:w="15" w:type="dxa"/>
        </w:trPr>
        <w:tc>
          <w:tcPr>
            <w:tcW w:w="964" w:type="pct"/>
            <w:tcBorders>
              <w:top w:val="outset" w:color="auto" w:sz="6" w:space="0"/>
              <w:left w:val="outset" w:color="auto" w:sz="6" w:space="0"/>
              <w:bottom w:val="outset" w:color="auto" w:sz="6" w:space="0"/>
              <w:right w:val="outset" w:color="auto" w:sz="6" w:space="0"/>
            </w:tcBorders>
            <w:hideMark/>
          </w:tcPr>
          <w:p w:rsidRPr="00242FE9" w:rsidR="003C4124" w:rsidP="003C4124" w:rsidRDefault="003C4124" w14:paraId="7D586863"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 xml:space="preserve">3.2. </w:t>
            </w:r>
            <w:proofErr w:type="spellStart"/>
            <w:r w:rsidRPr="00242FE9">
              <w:rPr>
                <w:rFonts w:ascii="Times New Roman" w:hAnsi="Times New Roman" w:eastAsia="Times New Roman" w:cs="Times New Roman"/>
                <w:iCs/>
                <w:sz w:val="24"/>
                <w:szCs w:val="24"/>
                <w:lang w:val="en-US" w:eastAsia="lv-LV"/>
              </w:rPr>
              <w:t>speciālais</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budžets</w:t>
            </w:r>
            <w:proofErr w:type="spellEnd"/>
          </w:p>
        </w:tc>
        <w:tc>
          <w:tcPr>
            <w:tcW w:w="514"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43A9A2D0" w14:textId="0B9976DF">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1"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5DD7E159" w14:textId="47DB7775">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3DED00BA" w14:textId="333146C3">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4841C0E7" w14:textId="03207468">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1D9235E3" w14:textId="1CA016AC">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0D2A0263" w14:textId="437DF99D">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728"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1FAA36EE" w14:textId="255F8D28">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r>
      <w:tr w:rsidRPr="00242FE9" w:rsidR="00242FE9" w:rsidTr="003C4124" w14:paraId="322AE750" w14:textId="77777777">
        <w:trPr>
          <w:tblCellSpacing w:w="15" w:type="dxa"/>
        </w:trPr>
        <w:tc>
          <w:tcPr>
            <w:tcW w:w="964" w:type="pct"/>
            <w:tcBorders>
              <w:top w:val="outset" w:color="auto" w:sz="6" w:space="0"/>
              <w:left w:val="outset" w:color="auto" w:sz="6" w:space="0"/>
              <w:bottom w:val="outset" w:color="auto" w:sz="6" w:space="0"/>
              <w:right w:val="outset" w:color="auto" w:sz="6" w:space="0"/>
            </w:tcBorders>
            <w:hideMark/>
          </w:tcPr>
          <w:p w:rsidRPr="00242FE9" w:rsidR="003C4124" w:rsidP="003C4124" w:rsidRDefault="003C4124" w14:paraId="7CADD9DA"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 xml:space="preserve">3.3. </w:t>
            </w:r>
            <w:proofErr w:type="spellStart"/>
            <w:r w:rsidRPr="00242FE9">
              <w:rPr>
                <w:rFonts w:ascii="Times New Roman" w:hAnsi="Times New Roman" w:eastAsia="Times New Roman" w:cs="Times New Roman"/>
                <w:iCs/>
                <w:sz w:val="24"/>
                <w:szCs w:val="24"/>
                <w:lang w:val="en-US" w:eastAsia="lv-LV"/>
              </w:rPr>
              <w:t>pašvaldību</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budžets</w:t>
            </w:r>
            <w:proofErr w:type="spellEnd"/>
          </w:p>
        </w:tc>
        <w:tc>
          <w:tcPr>
            <w:tcW w:w="514"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348B82F2" w14:textId="52FCDCDD">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1"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672B5667" w14:textId="4ABFB7D2">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049E9B1E" w14:textId="50F9682B">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53B17E60" w14:textId="1F052333">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5B4A16B8" w14:textId="3DFDD5E2">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4456759F" w14:textId="66F211F4">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728" w:type="pct"/>
            <w:tcBorders>
              <w:top w:val="outset" w:color="auto" w:sz="6" w:space="0"/>
              <w:left w:val="outset" w:color="auto" w:sz="6" w:space="0"/>
              <w:bottom w:val="outset" w:color="auto" w:sz="6" w:space="0"/>
              <w:right w:val="outset" w:color="auto" w:sz="6" w:space="0"/>
            </w:tcBorders>
            <w:vAlign w:val="center"/>
            <w:hideMark/>
          </w:tcPr>
          <w:p w:rsidRPr="00242FE9" w:rsidR="003C4124" w:rsidP="003C4124" w:rsidRDefault="003C4124" w14:paraId="43EB3A5D" w14:textId="109DFF7B">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r>
      <w:tr w:rsidRPr="00242FE9" w:rsidR="00242FE9" w:rsidTr="003C4124" w14:paraId="41432BF7" w14:textId="77777777">
        <w:trPr>
          <w:tblCellSpacing w:w="15" w:type="dxa"/>
        </w:trPr>
        <w:tc>
          <w:tcPr>
            <w:tcW w:w="964" w:type="pct"/>
            <w:tcBorders>
              <w:top w:val="outset" w:color="auto" w:sz="6" w:space="0"/>
              <w:left w:val="outset" w:color="auto" w:sz="6" w:space="0"/>
              <w:bottom w:val="outset" w:color="auto" w:sz="6" w:space="0"/>
              <w:right w:val="outset" w:color="auto" w:sz="6" w:space="0"/>
            </w:tcBorders>
            <w:hideMark/>
          </w:tcPr>
          <w:p w:rsidRPr="00242FE9" w:rsidR="00C536DB" w:rsidP="00AD65B1" w:rsidRDefault="00C536DB" w14:paraId="32F8C6A0" w14:textId="77777777">
            <w:pPr>
              <w:spacing w:after="0" w:line="240" w:lineRule="auto"/>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4. Finanšu līdzekļi papildu izdevumu finansēšanai (kompensējošu izdevumu samazinājumu norāda ar "+" zīmi)</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0CE8A472" w14:textId="77777777">
            <w:pPr>
              <w:spacing w:after="0" w:line="240" w:lineRule="auto"/>
              <w:jc w:val="center"/>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X</w:t>
            </w:r>
          </w:p>
        </w:tc>
        <w:tc>
          <w:tcPr>
            <w:tcW w:w="571" w:type="pct"/>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3C4124" w14:paraId="53F9655B" w14:textId="185ECEE7">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21B239E3" w14:textId="77777777">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X</w:t>
            </w: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3C4124" w14:paraId="4D638D89" w14:textId="083436C2">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7F3992F6" w14:textId="77777777">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X</w:t>
            </w: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C536DB" w:rsidP="003C4124" w:rsidRDefault="003C4124" w14:paraId="5EC7F189" w14:textId="16542225">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728" w:type="pct"/>
            <w:tcBorders>
              <w:top w:val="outset" w:color="auto" w:sz="6" w:space="0"/>
              <w:left w:val="outset" w:color="auto" w:sz="6" w:space="0"/>
              <w:bottom w:val="outset" w:color="auto" w:sz="6" w:space="0"/>
              <w:right w:val="outset" w:color="auto" w:sz="6" w:space="0"/>
            </w:tcBorders>
            <w:vAlign w:val="center"/>
            <w:hideMark/>
          </w:tcPr>
          <w:p w:rsidRPr="00242FE9" w:rsidR="00C536DB" w:rsidP="003C4124" w:rsidRDefault="003C4124" w14:paraId="3789EC83" w14:textId="34AE91E0">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r>
      <w:tr w:rsidRPr="00242FE9" w:rsidR="00242FE9" w:rsidTr="003C4124" w14:paraId="06590EC9" w14:textId="77777777">
        <w:trPr>
          <w:tblCellSpacing w:w="15" w:type="dxa"/>
        </w:trPr>
        <w:tc>
          <w:tcPr>
            <w:tcW w:w="964" w:type="pct"/>
            <w:tcBorders>
              <w:top w:val="outset" w:color="auto" w:sz="6" w:space="0"/>
              <w:left w:val="outset" w:color="auto" w:sz="6" w:space="0"/>
              <w:bottom w:val="outset" w:color="auto" w:sz="6" w:space="0"/>
              <w:right w:val="outset" w:color="auto" w:sz="6" w:space="0"/>
            </w:tcBorders>
            <w:hideMark/>
          </w:tcPr>
          <w:p w:rsidRPr="00242FE9" w:rsidR="00C536DB" w:rsidP="00AD65B1" w:rsidRDefault="00C536DB" w14:paraId="48FA7C6B"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 xml:space="preserve">5. </w:t>
            </w:r>
            <w:proofErr w:type="spellStart"/>
            <w:r w:rsidRPr="00242FE9">
              <w:rPr>
                <w:rFonts w:ascii="Times New Roman" w:hAnsi="Times New Roman" w:eastAsia="Times New Roman" w:cs="Times New Roman"/>
                <w:iCs/>
                <w:sz w:val="24"/>
                <w:szCs w:val="24"/>
                <w:lang w:val="en-US" w:eastAsia="lv-LV"/>
              </w:rPr>
              <w:t>Precizēta</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finansiālā</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ietekme</w:t>
            </w:r>
            <w:proofErr w:type="spellEnd"/>
          </w:p>
        </w:tc>
        <w:tc>
          <w:tcPr>
            <w:tcW w:w="514" w:type="pct"/>
            <w:vMerge w:val="restart"/>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4C83FEF8" w14:textId="77777777">
            <w:pPr>
              <w:spacing w:after="0" w:line="240" w:lineRule="auto"/>
              <w:jc w:val="center"/>
              <w:rPr>
                <w:rFonts w:ascii="Times New Roman" w:hAnsi="Times New Roman" w:eastAsia="Times New Roman" w:cs="Times New Roman"/>
                <w:iCs/>
                <w:sz w:val="24"/>
                <w:szCs w:val="24"/>
                <w:lang w:val="en-US" w:eastAsia="lv-LV"/>
              </w:rPr>
            </w:pPr>
          </w:p>
          <w:p w:rsidRPr="00242FE9" w:rsidR="00C536DB" w:rsidP="00AD65B1" w:rsidRDefault="00C536DB" w14:paraId="7ED951B9" w14:textId="77777777">
            <w:pPr>
              <w:spacing w:after="0" w:line="240" w:lineRule="auto"/>
              <w:jc w:val="center"/>
              <w:rPr>
                <w:rFonts w:ascii="Times New Roman" w:hAnsi="Times New Roman" w:eastAsia="Times New Roman" w:cs="Times New Roman"/>
                <w:iCs/>
                <w:sz w:val="24"/>
                <w:szCs w:val="24"/>
                <w:lang w:val="en-US" w:eastAsia="lv-LV"/>
              </w:rPr>
            </w:pPr>
          </w:p>
          <w:p w:rsidRPr="00242FE9" w:rsidR="00C536DB" w:rsidP="00AD65B1" w:rsidRDefault="00C536DB" w14:paraId="72211A0B" w14:textId="77777777">
            <w:pPr>
              <w:spacing w:after="0" w:line="240" w:lineRule="auto"/>
              <w:jc w:val="center"/>
              <w:rPr>
                <w:rFonts w:ascii="Times New Roman" w:hAnsi="Times New Roman" w:eastAsia="Times New Roman" w:cs="Times New Roman"/>
                <w:iCs/>
                <w:sz w:val="24"/>
                <w:szCs w:val="24"/>
                <w:lang w:val="en-US" w:eastAsia="lv-LV"/>
              </w:rPr>
            </w:pPr>
          </w:p>
          <w:p w:rsidRPr="00242FE9" w:rsidR="00C536DB" w:rsidP="00AD65B1" w:rsidRDefault="00C536DB" w14:paraId="7AF1114D" w14:textId="77777777">
            <w:pPr>
              <w:spacing w:after="0" w:line="240" w:lineRule="auto"/>
              <w:jc w:val="center"/>
              <w:rPr>
                <w:rFonts w:ascii="Times New Roman" w:hAnsi="Times New Roman" w:eastAsia="Times New Roman" w:cs="Times New Roman"/>
                <w:iCs/>
                <w:sz w:val="24"/>
                <w:szCs w:val="24"/>
                <w:lang w:val="en-US" w:eastAsia="lv-LV"/>
              </w:rPr>
            </w:pPr>
          </w:p>
          <w:p w:rsidRPr="00242FE9" w:rsidR="00C536DB" w:rsidP="00AD65B1" w:rsidRDefault="00C536DB" w14:paraId="0D31BA2D" w14:textId="77777777">
            <w:pPr>
              <w:spacing w:after="0" w:line="240" w:lineRule="auto"/>
              <w:jc w:val="center"/>
              <w:rPr>
                <w:rFonts w:ascii="Times New Roman" w:hAnsi="Times New Roman" w:eastAsia="Times New Roman" w:cs="Times New Roman"/>
                <w:iCs/>
                <w:sz w:val="24"/>
                <w:szCs w:val="24"/>
                <w:lang w:val="en-US" w:eastAsia="lv-LV"/>
              </w:rPr>
            </w:pPr>
          </w:p>
          <w:p w:rsidRPr="00242FE9" w:rsidR="00C536DB" w:rsidP="00AD65B1" w:rsidRDefault="00C536DB" w14:paraId="47C005EC" w14:textId="77777777">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X</w:t>
            </w:r>
          </w:p>
        </w:tc>
        <w:tc>
          <w:tcPr>
            <w:tcW w:w="571" w:type="pct"/>
            <w:tcBorders>
              <w:top w:val="outset" w:color="auto" w:sz="6" w:space="0"/>
              <w:left w:val="outset" w:color="auto" w:sz="6" w:space="0"/>
              <w:bottom w:val="outset" w:color="auto" w:sz="6" w:space="0"/>
              <w:right w:val="outset" w:color="auto" w:sz="6" w:space="0"/>
            </w:tcBorders>
            <w:vAlign w:val="center"/>
            <w:hideMark/>
          </w:tcPr>
          <w:p w:rsidRPr="00242FE9" w:rsidR="00C536DB" w:rsidP="003C4124" w:rsidRDefault="003C4124" w14:paraId="2CB003B4" w14:textId="4A4A3AAA">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lastRenderedPageBreak/>
              <w:t>0</w:t>
            </w:r>
          </w:p>
        </w:tc>
        <w:tc>
          <w:tcPr>
            <w:tcW w:w="462" w:type="pct"/>
            <w:vMerge w:val="restart"/>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778AE97A" w14:textId="77777777">
            <w:pPr>
              <w:spacing w:after="0" w:line="240" w:lineRule="auto"/>
              <w:jc w:val="center"/>
              <w:rPr>
                <w:rFonts w:ascii="Times New Roman" w:hAnsi="Times New Roman" w:eastAsia="Times New Roman" w:cs="Times New Roman"/>
                <w:iCs/>
                <w:sz w:val="24"/>
                <w:szCs w:val="24"/>
                <w:lang w:val="en-US" w:eastAsia="lv-LV"/>
              </w:rPr>
            </w:pPr>
          </w:p>
          <w:p w:rsidRPr="00242FE9" w:rsidR="00C536DB" w:rsidP="00AD65B1" w:rsidRDefault="00C536DB" w14:paraId="272BEC67" w14:textId="77777777">
            <w:pPr>
              <w:spacing w:after="0" w:line="240" w:lineRule="auto"/>
              <w:jc w:val="center"/>
              <w:rPr>
                <w:rFonts w:ascii="Times New Roman" w:hAnsi="Times New Roman" w:eastAsia="Times New Roman" w:cs="Times New Roman"/>
                <w:iCs/>
                <w:sz w:val="24"/>
                <w:szCs w:val="24"/>
                <w:lang w:val="en-US" w:eastAsia="lv-LV"/>
              </w:rPr>
            </w:pPr>
          </w:p>
          <w:p w:rsidRPr="00242FE9" w:rsidR="00C536DB" w:rsidP="00AD65B1" w:rsidRDefault="00C536DB" w14:paraId="5B18E14A" w14:textId="77777777">
            <w:pPr>
              <w:spacing w:after="0" w:line="240" w:lineRule="auto"/>
              <w:jc w:val="center"/>
              <w:rPr>
                <w:rFonts w:ascii="Times New Roman" w:hAnsi="Times New Roman" w:eastAsia="Times New Roman" w:cs="Times New Roman"/>
                <w:iCs/>
                <w:sz w:val="24"/>
                <w:szCs w:val="24"/>
                <w:lang w:val="en-US" w:eastAsia="lv-LV"/>
              </w:rPr>
            </w:pPr>
          </w:p>
          <w:p w:rsidRPr="00242FE9" w:rsidR="00C536DB" w:rsidP="00AD65B1" w:rsidRDefault="00C536DB" w14:paraId="6487C4B9" w14:textId="77777777">
            <w:pPr>
              <w:spacing w:after="0" w:line="240" w:lineRule="auto"/>
              <w:jc w:val="center"/>
              <w:rPr>
                <w:rFonts w:ascii="Times New Roman" w:hAnsi="Times New Roman" w:eastAsia="Times New Roman" w:cs="Times New Roman"/>
                <w:iCs/>
                <w:sz w:val="24"/>
                <w:szCs w:val="24"/>
                <w:lang w:val="en-US" w:eastAsia="lv-LV"/>
              </w:rPr>
            </w:pPr>
          </w:p>
          <w:p w:rsidRPr="00242FE9" w:rsidR="00C536DB" w:rsidP="00AD65B1" w:rsidRDefault="00C536DB" w14:paraId="4792DC2D" w14:textId="77777777">
            <w:pPr>
              <w:spacing w:after="0" w:line="240" w:lineRule="auto"/>
              <w:jc w:val="center"/>
              <w:rPr>
                <w:rFonts w:ascii="Times New Roman" w:hAnsi="Times New Roman" w:eastAsia="Times New Roman" w:cs="Times New Roman"/>
                <w:iCs/>
                <w:sz w:val="24"/>
                <w:szCs w:val="24"/>
                <w:lang w:val="en-US" w:eastAsia="lv-LV"/>
              </w:rPr>
            </w:pPr>
          </w:p>
          <w:p w:rsidRPr="00242FE9" w:rsidR="00C536DB" w:rsidP="00AD65B1" w:rsidRDefault="00C536DB" w14:paraId="6815848F" w14:textId="77777777">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X</w:t>
            </w: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C536DB" w:rsidP="003C4124" w:rsidRDefault="003C4124" w14:paraId="1C8B5677" w14:textId="7CCE72BB">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lastRenderedPageBreak/>
              <w:t>0</w:t>
            </w:r>
          </w:p>
        </w:tc>
        <w:tc>
          <w:tcPr>
            <w:tcW w:w="462" w:type="pct"/>
            <w:vMerge w:val="restart"/>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2880D804" w14:textId="77777777">
            <w:pPr>
              <w:spacing w:after="0" w:line="240" w:lineRule="auto"/>
              <w:jc w:val="center"/>
              <w:rPr>
                <w:rFonts w:ascii="Times New Roman" w:hAnsi="Times New Roman" w:eastAsia="Times New Roman" w:cs="Times New Roman"/>
                <w:iCs/>
                <w:sz w:val="24"/>
                <w:szCs w:val="24"/>
                <w:lang w:val="en-US" w:eastAsia="lv-LV"/>
              </w:rPr>
            </w:pPr>
          </w:p>
          <w:p w:rsidRPr="00242FE9" w:rsidR="00C536DB" w:rsidP="00AD65B1" w:rsidRDefault="00C536DB" w14:paraId="71EBE18C" w14:textId="77777777">
            <w:pPr>
              <w:spacing w:after="0" w:line="240" w:lineRule="auto"/>
              <w:jc w:val="center"/>
              <w:rPr>
                <w:rFonts w:ascii="Times New Roman" w:hAnsi="Times New Roman" w:eastAsia="Times New Roman" w:cs="Times New Roman"/>
                <w:iCs/>
                <w:sz w:val="24"/>
                <w:szCs w:val="24"/>
                <w:lang w:val="en-US" w:eastAsia="lv-LV"/>
              </w:rPr>
            </w:pPr>
          </w:p>
          <w:p w:rsidRPr="00242FE9" w:rsidR="00C536DB" w:rsidP="00AD65B1" w:rsidRDefault="00C536DB" w14:paraId="0138BEBC" w14:textId="77777777">
            <w:pPr>
              <w:spacing w:after="0" w:line="240" w:lineRule="auto"/>
              <w:jc w:val="center"/>
              <w:rPr>
                <w:rFonts w:ascii="Times New Roman" w:hAnsi="Times New Roman" w:eastAsia="Times New Roman" w:cs="Times New Roman"/>
                <w:iCs/>
                <w:sz w:val="24"/>
                <w:szCs w:val="24"/>
                <w:lang w:val="en-US" w:eastAsia="lv-LV"/>
              </w:rPr>
            </w:pPr>
          </w:p>
          <w:p w:rsidRPr="00242FE9" w:rsidR="00C536DB" w:rsidP="00AD65B1" w:rsidRDefault="00C536DB" w14:paraId="78F9E3F9" w14:textId="77777777">
            <w:pPr>
              <w:spacing w:after="0" w:line="240" w:lineRule="auto"/>
              <w:jc w:val="center"/>
              <w:rPr>
                <w:rFonts w:ascii="Times New Roman" w:hAnsi="Times New Roman" w:eastAsia="Times New Roman" w:cs="Times New Roman"/>
                <w:iCs/>
                <w:sz w:val="24"/>
                <w:szCs w:val="24"/>
                <w:lang w:val="en-US" w:eastAsia="lv-LV"/>
              </w:rPr>
            </w:pPr>
          </w:p>
          <w:p w:rsidRPr="00242FE9" w:rsidR="00C536DB" w:rsidP="00AD65B1" w:rsidRDefault="00C536DB" w14:paraId="25ABB1B5" w14:textId="77777777">
            <w:pPr>
              <w:spacing w:after="0" w:line="240" w:lineRule="auto"/>
              <w:jc w:val="center"/>
              <w:rPr>
                <w:rFonts w:ascii="Times New Roman" w:hAnsi="Times New Roman" w:eastAsia="Times New Roman" w:cs="Times New Roman"/>
                <w:iCs/>
                <w:sz w:val="24"/>
                <w:szCs w:val="24"/>
                <w:lang w:val="en-US" w:eastAsia="lv-LV"/>
              </w:rPr>
            </w:pPr>
          </w:p>
          <w:p w:rsidRPr="00242FE9" w:rsidR="00C536DB" w:rsidP="00AD65B1" w:rsidRDefault="00C536DB" w14:paraId="46CD417F" w14:textId="77777777">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X</w:t>
            </w: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C536DB" w:rsidP="003C4124" w:rsidRDefault="003C4124" w14:paraId="4B568FAF" w14:textId="4050C26C">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lastRenderedPageBreak/>
              <w:t>0</w:t>
            </w:r>
          </w:p>
        </w:tc>
        <w:tc>
          <w:tcPr>
            <w:tcW w:w="728" w:type="pct"/>
            <w:tcBorders>
              <w:top w:val="outset" w:color="auto" w:sz="6" w:space="0"/>
              <w:left w:val="outset" w:color="auto" w:sz="6" w:space="0"/>
              <w:bottom w:val="outset" w:color="auto" w:sz="6" w:space="0"/>
              <w:right w:val="outset" w:color="auto" w:sz="6" w:space="0"/>
            </w:tcBorders>
            <w:vAlign w:val="center"/>
            <w:hideMark/>
          </w:tcPr>
          <w:p w:rsidRPr="00242FE9" w:rsidR="00C536DB" w:rsidP="003C4124" w:rsidRDefault="003C4124" w14:paraId="52D311A7" w14:textId="753F89F7">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r>
      <w:tr w:rsidRPr="00242FE9" w:rsidR="00242FE9" w:rsidTr="003C4124" w14:paraId="2E121FEF" w14:textId="77777777">
        <w:trPr>
          <w:tblCellSpacing w:w="15" w:type="dxa"/>
        </w:trPr>
        <w:tc>
          <w:tcPr>
            <w:tcW w:w="964" w:type="pct"/>
            <w:tcBorders>
              <w:top w:val="outset" w:color="auto" w:sz="6" w:space="0"/>
              <w:left w:val="outset" w:color="auto" w:sz="6" w:space="0"/>
              <w:bottom w:val="outset" w:color="auto" w:sz="6" w:space="0"/>
              <w:right w:val="outset" w:color="auto" w:sz="6" w:space="0"/>
            </w:tcBorders>
            <w:hideMark/>
          </w:tcPr>
          <w:p w:rsidRPr="00242FE9" w:rsidR="00C536DB" w:rsidP="00AD65B1" w:rsidRDefault="00C536DB" w14:paraId="2198E3B4"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lastRenderedPageBreak/>
              <w:t xml:space="preserve">5.1. </w:t>
            </w:r>
            <w:proofErr w:type="spellStart"/>
            <w:r w:rsidRPr="00242FE9">
              <w:rPr>
                <w:rFonts w:ascii="Times New Roman" w:hAnsi="Times New Roman" w:eastAsia="Times New Roman" w:cs="Times New Roman"/>
                <w:iCs/>
                <w:sz w:val="24"/>
                <w:szCs w:val="24"/>
                <w:lang w:val="en-US" w:eastAsia="lv-LV"/>
              </w:rPr>
              <w:t>valsts</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pamatbudžets</w:t>
            </w:r>
            <w:proofErr w:type="spellEnd"/>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01642A17" w14:textId="77777777">
            <w:pPr>
              <w:spacing w:after="0" w:line="240" w:lineRule="auto"/>
              <w:rPr>
                <w:rFonts w:ascii="Times New Roman" w:hAnsi="Times New Roman" w:eastAsia="Times New Roman" w:cs="Times New Roman"/>
                <w:iCs/>
                <w:sz w:val="24"/>
                <w:szCs w:val="24"/>
                <w:lang w:val="en-US" w:eastAsia="lv-LV"/>
              </w:rPr>
            </w:pPr>
          </w:p>
        </w:tc>
        <w:tc>
          <w:tcPr>
            <w:tcW w:w="571" w:type="pct"/>
            <w:tcBorders>
              <w:top w:val="outset" w:color="auto" w:sz="6" w:space="0"/>
              <w:left w:val="outset" w:color="auto" w:sz="6" w:space="0"/>
              <w:bottom w:val="outset" w:color="auto" w:sz="6" w:space="0"/>
              <w:right w:val="outset" w:color="auto" w:sz="6" w:space="0"/>
            </w:tcBorders>
            <w:vAlign w:val="center"/>
            <w:hideMark/>
          </w:tcPr>
          <w:p w:rsidRPr="00242FE9" w:rsidR="00C536DB" w:rsidP="003C4124" w:rsidRDefault="003C4124" w14:paraId="7AAF6295" w14:textId="50363D8E">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3565F11B" w14:textId="77777777">
            <w:pPr>
              <w:spacing w:after="0" w:line="240" w:lineRule="auto"/>
              <w:rPr>
                <w:rFonts w:ascii="Times New Roman" w:hAnsi="Times New Roman" w:eastAsia="Times New Roman" w:cs="Times New Roman"/>
                <w:iCs/>
                <w:sz w:val="24"/>
                <w:szCs w:val="24"/>
                <w:lang w:val="en-US" w:eastAsia="lv-LV"/>
              </w:rPr>
            </w:pP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C536DB" w:rsidP="003C4124" w:rsidRDefault="003C4124" w14:paraId="22DF6B4F" w14:textId="238394E8">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702468A6" w14:textId="77777777">
            <w:pPr>
              <w:spacing w:after="0" w:line="240" w:lineRule="auto"/>
              <w:rPr>
                <w:rFonts w:ascii="Times New Roman" w:hAnsi="Times New Roman" w:eastAsia="Times New Roman" w:cs="Times New Roman"/>
                <w:iCs/>
                <w:sz w:val="24"/>
                <w:szCs w:val="24"/>
                <w:lang w:val="en-US" w:eastAsia="lv-LV"/>
              </w:rPr>
            </w:pP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C536DB" w:rsidP="003C4124" w:rsidRDefault="003C4124" w14:paraId="3FCF95ED" w14:textId="219CB5AE">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728" w:type="pct"/>
            <w:tcBorders>
              <w:top w:val="outset" w:color="auto" w:sz="6" w:space="0"/>
              <w:left w:val="outset" w:color="auto" w:sz="6" w:space="0"/>
              <w:bottom w:val="outset" w:color="auto" w:sz="6" w:space="0"/>
              <w:right w:val="outset" w:color="auto" w:sz="6" w:space="0"/>
            </w:tcBorders>
            <w:vAlign w:val="center"/>
            <w:hideMark/>
          </w:tcPr>
          <w:p w:rsidRPr="00242FE9" w:rsidR="00C536DB" w:rsidP="003C4124" w:rsidRDefault="003C4124" w14:paraId="19B7750C" w14:textId="13F28BE3">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r>
      <w:tr w:rsidRPr="00242FE9" w:rsidR="00242FE9" w:rsidTr="003C4124" w14:paraId="51DCBEC2" w14:textId="77777777">
        <w:trPr>
          <w:tblCellSpacing w:w="15" w:type="dxa"/>
        </w:trPr>
        <w:tc>
          <w:tcPr>
            <w:tcW w:w="964" w:type="pct"/>
            <w:tcBorders>
              <w:top w:val="outset" w:color="auto" w:sz="6" w:space="0"/>
              <w:left w:val="outset" w:color="auto" w:sz="6" w:space="0"/>
              <w:bottom w:val="outset" w:color="auto" w:sz="6" w:space="0"/>
              <w:right w:val="outset" w:color="auto" w:sz="6" w:space="0"/>
            </w:tcBorders>
            <w:hideMark/>
          </w:tcPr>
          <w:p w:rsidRPr="00242FE9" w:rsidR="00C536DB" w:rsidP="00AD65B1" w:rsidRDefault="00C536DB" w14:paraId="085FCDBF"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 xml:space="preserve">5.2. </w:t>
            </w:r>
            <w:proofErr w:type="spellStart"/>
            <w:r w:rsidRPr="00242FE9">
              <w:rPr>
                <w:rFonts w:ascii="Times New Roman" w:hAnsi="Times New Roman" w:eastAsia="Times New Roman" w:cs="Times New Roman"/>
                <w:iCs/>
                <w:sz w:val="24"/>
                <w:szCs w:val="24"/>
                <w:lang w:val="en-US" w:eastAsia="lv-LV"/>
              </w:rPr>
              <w:t>speciālais</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budžets</w:t>
            </w:r>
            <w:proofErr w:type="spellEnd"/>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5E64DB85" w14:textId="77777777">
            <w:pPr>
              <w:spacing w:after="0" w:line="240" w:lineRule="auto"/>
              <w:rPr>
                <w:rFonts w:ascii="Times New Roman" w:hAnsi="Times New Roman" w:eastAsia="Times New Roman" w:cs="Times New Roman"/>
                <w:iCs/>
                <w:sz w:val="24"/>
                <w:szCs w:val="24"/>
                <w:lang w:val="en-US" w:eastAsia="lv-LV"/>
              </w:rPr>
            </w:pPr>
          </w:p>
        </w:tc>
        <w:tc>
          <w:tcPr>
            <w:tcW w:w="571" w:type="pct"/>
            <w:tcBorders>
              <w:top w:val="outset" w:color="auto" w:sz="6" w:space="0"/>
              <w:left w:val="outset" w:color="auto" w:sz="6" w:space="0"/>
              <w:bottom w:val="outset" w:color="auto" w:sz="6" w:space="0"/>
              <w:right w:val="outset" w:color="auto" w:sz="6" w:space="0"/>
            </w:tcBorders>
            <w:vAlign w:val="center"/>
            <w:hideMark/>
          </w:tcPr>
          <w:p w:rsidRPr="00242FE9" w:rsidR="00C536DB" w:rsidP="003C4124" w:rsidRDefault="003C4124" w14:paraId="5E4673ED" w14:textId="4BE44135">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4FDA398B" w14:textId="77777777">
            <w:pPr>
              <w:spacing w:after="0" w:line="240" w:lineRule="auto"/>
              <w:rPr>
                <w:rFonts w:ascii="Times New Roman" w:hAnsi="Times New Roman" w:eastAsia="Times New Roman" w:cs="Times New Roman"/>
                <w:iCs/>
                <w:sz w:val="24"/>
                <w:szCs w:val="24"/>
                <w:lang w:val="en-US" w:eastAsia="lv-LV"/>
              </w:rPr>
            </w:pP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C536DB" w:rsidP="003C4124" w:rsidRDefault="003C4124" w14:paraId="01DE594D" w14:textId="09F44ECB">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4A147D3E" w14:textId="77777777">
            <w:pPr>
              <w:spacing w:after="0" w:line="240" w:lineRule="auto"/>
              <w:rPr>
                <w:rFonts w:ascii="Times New Roman" w:hAnsi="Times New Roman" w:eastAsia="Times New Roman" w:cs="Times New Roman"/>
                <w:iCs/>
                <w:sz w:val="24"/>
                <w:szCs w:val="24"/>
                <w:lang w:val="en-US" w:eastAsia="lv-LV"/>
              </w:rPr>
            </w:pP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C536DB" w:rsidP="003C4124" w:rsidRDefault="003C4124" w14:paraId="0F159C0E" w14:textId="5AED355E">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728" w:type="pct"/>
            <w:tcBorders>
              <w:top w:val="outset" w:color="auto" w:sz="6" w:space="0"/>
              <w:left w:val="outset" w:color="auto" w:sz="6" w:space="0"/>
              <w:bottom w:val="outset" w:color="auto" w:sz="6" w:space="0"/>
              <w:right w:val="outset" w:color="auto" w:sz="6" w:space="0"/>
            </w:tcBorders>
            <w:vAlign w:val="center"/>
            <w:hideMark/>
          </w:tcPr>
          <w:p w:rsidRPr="00242FE9" w:rsidR="00C536DB" w:rsidP="003C4124" w:rsidRDefault="003C4124" w14:paraId="4B10781D" w14:textId="59252FF0">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r>
      <w:tr w:rsidRPr="00242FE9" w:rsidR="00242FE9" w:rsidTr="003C4124" w14:paraId="632157DC" w14:textId="77777777">
        <w:trPr>
          <w:tblCellSpacing w:w="15" w:type="dxa"/>
        </w:trPr>
        <w:tc>
          <w:tcPr>
            <w:tcW w:w="964" w:type="pct"/>
            <w:tcBorders>
              <w:top w:val="outset" w:color="auto" w:sz="6" w:space="0"/>
              <w:left w:val="outset" w:color="auto" w:sz="6" w:space="0"/>
              <w:bottom w:val="outset" w:color="auto" w:sz="6" w:space="0"/>
              <w:right w:val="outset" w:color="auto" w:sz="6" w:space="0"/>
            </w:tcBorders>
            <w:hideMark/>
          </w:tcPr>
          <w:p w:rsidRPr="00242FE9" w:rsidR="00C536DB" w:rsidP="00AD65B1" w:rsidRDefault="00C536DB" w14:paraId="1C8F0A98"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 xml:space="preserve">5.3. </w:t>
            </w:r>
            <w:proofErr w:type="spellStart"/>
            <w:r w:rsidRPr="00242FE9">
              <w:rPr>
                <w:rFonts w:ascii="Times New Roman" w:hAnsi="Times New Roman" w:eastAsia="Times New Roman" w:cs="Times New Roman"/>
                <w:iCs/>
                <w:sz w:val="24"/>
                <w:szCs w:val="24"/>
                <w:lang w:val="en-US" w:eastAsia="lv-LV"/>
              </w:rPr>
              <w:t>pašvaldību</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budžets</w:t>
            </w:r>
            <w:proofErr w:type="spellEnd"/>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36963532" w14:textId="77777777">
            <w:pPr>
              <w:spacing w:after="0" w:line="240" w:lineRule="auto"/>
              <w:rPr>
                <w:rFonts w:ascii="Times New Roman" w:hAnsi="Times New Roman" w:eastAsia="Times New Roman" w:cs="Times New Roman"/>
                <w:iCs/>
                <w:sz w:val="24"/>
                <w:szCs w:val="24"/>
                <w:lang w:val="en-US" w:eastAsia="lv-LV"/>
              </w:rPr>
            </w:pPr>
          </w:p>
        </w:tc>
        <w:tc>
          <w:tcPr>
            <w:tcW w:w="571" w:type="pct"/>
            <w:tcBorders>
              <w:top w:val="outset" w:color="auto" w:sz="6" w:space="0"/>
              <w:left w:val="outset" w:color="auto" w:sz="6" w:space="0"/>
              <w:bottom w:val="outset" w:color="auto" w:sz="6" w:space="0"/>
              <w:right w:val="outset" w:color="auto" w:sz="6" w:space="0"/>
            </w:tcBorders>
            <w:vAlign w:val="center"/>
            <w:hideMark/>
          </w:tcPr>
          <w:p w:rsidRPr="00242FE9" w:rsidR="00C536DB" w:rsidP="003C4124" w:rsidRDefault="003C4124" w14:paraId="3B83A00C" w14:textId="0EA6792E">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439FC0E1" w14:textId="77777777">
            <w:pPr>
              <w:spacing w:after="0" w:line="240" w:lineRule="auto"/>
              <w:rPr>
                <w:rFonts w:ascii="Times New Roman" w:hAnsi="Times New Roman" w:eastAsia="Times New Roman" w:cs="Times New Roman"/>
                <w:iCs/>
                <w:sz w:val="24"/>
                <w:szCs w:val="24"/>
                <w:lang w:val="en-US" w:eastAsia="lv-LV"/>
              </w:rPr>
            </w:pP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C536DB" w:rsidP="003C4124" w:rsidRDefault="003C4124" w14:paraId="62B74D61" w14:textId="7C7F724C">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42FE9" w:rsidR="00C536DB" w:rsidP="00AD65B1" w:rsidRDefault="00C536DB" w14:paraId="2D2073AE" w14:textId="77777777">
            <w:pPr>
              <w:spacing w:after="0" w:line="240" w:lineRule="auto"/>
              <w:rPr>
                <w:rFonts w:ascii="Times New Roman" w:hAnsi="Times New Roman" w:eastAsia="Times New Roman" w:cs="Times New Roman"/>
                <w:iCs/>
                <w:sz w:val="24"/>
                <w:szCs w:val="24"/>
                <w:lang w:val="en-US" w:eastAsia="lv-LV"/>
              </w:rPr>
            </w:pPr>
          </w:p>
        </w:tc>
        <w:tc>
          <w:tcPr>
            <w:tcW w:w="575" w:type="pct"/>
            <w:tcBorders>
              <w:top w:val="outset" w:color="auto" w:sz="6" w:space="0"/>
              <w:left w:val="outset" w:color="auto" w:sz="6" w:space="0"/>
              <w:bottom w:val="outset" w:color="auto" w:sz="6" w:space="0"/>
              <w:right w:val="outset" w:color="auto" w:sz="6" w:space="0"/>
            </w:tcBorders>
            <w:vAlign w:val="center"/>
            <w:hideMark/>
          </w:tcPr>
          <w:p w:rsidRPr="00242FE9" w:rsidR="00C536DB" w:rsidP="003C4124" w:rsidRDefault="003C4124" w14:paraId="5102B433" w14:textId="02ACED66">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c>
          <w:tcPr>
            <w:tcW w:w="728" w:type="pct"/>
            <w:tcBorders>
              <w:top w:val="outset" w:color="auto" w:sz="6" w:space="0"/>
              <w:left w:val="outset" w:color="auto" w:sz="6" w:space="0"/>
              <w:bottom w:val="outset" w:color="auto" w:sz="6" w:space="0"/>
              <w:right w:val="outset" w:color="auto" w:sz="6" w:space="0"/>
            </w:tcBorders>
            <w:vAlign w:val="center"/>
            <w:hideMark/>
          </w:tcPr>
          <w:p w:rsidRPr="00242FE9" w:rsidR="00C536DB" w:rsidP="003C4124" w:rsidRDefault="003C4124" w14:paraId="6FC7E822" w14:textId="3F1C020D">
            <w:pPr>
              <w:spacing w:after="0" w:line="240" w:lineRule="auto"/>
              <w:jc w:val="center"/>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0</w:t>
            </w:r>
          </w:p>
        </w:tc>
      </w:tr>
      <w:tr w:rsidRPr="00242FE9" w:rsidR="00242FE9" w:rsidTr="003C4124" w14:paraId="05FF20BF" w14:textId="77777777">
        <w:trPr>
          <w:tblCellSpacing w:w="15" w:type="dxa"/>
        </w:trPr>
        <w:tc>
          <w:tcPr>
            <w:tcW w:w="964" w:type="pct"/>
            <w:tcBorders>
              <w:top w:val="outset" w:color="auto" w:sz="6" w:space="0"/>
              <w:left w:val="outset" w:color="auto" w:sz="6" w:space="0"/>
              <w:bottom w:val="outset" w:color="auto" w:sz="6" w:space="0"/>
              <w:right w:val="outset" w:color="auto" w:sz="6" w:space="0"/>
            </w:tcBorders>
            <w:hideMark/>
          </w:tcPr>
          <w:p w:rsidRPr="00242FE9" w:rsidR="00C536DB" w:rsidP="00AD65B1" w:rsidRDefault="00C536DB" w14:paraId="51C76C97" w14:textId="77777777">
            <w:pPr>
              <w:spacing w:after="0" w:line="240" w:lineRule="auto"/>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6. Detalizēts ieņēmumu un izdevumu aprēķins (ja nepieciešams, detalizētu ieņēmumu un izdevumu aprēķinu var pievienot anotācijas pielikumā)</w:t>
            </w:r>
          </w:p>
          <w:p w:rsidRPr="00242FE9" w:rsidR="00C566BB" w:rsidP="00AD65B1" w:rsidRDefault="00C566BB" w14:paraId="11348856" w14:textId="1AADD3DA">
            <w:pPr>
              <w:spacing w:after="0" w:line="240" w:lineRule="auto"/>
              <w:rPr>
                <w:rFonts w:ascii="Times New Roman" w:hAnsi="Times New Roman" w:eastAsia="Times New Roman" w:cs="Times New Roman"/>
                <w:iCs/>
                <w:sz w:val="24"/>
                <w:szCs w:val="24"/>
                <w:lang w:eastAsia="lv-LV"/>
              </w:rPr>
            </w:pPr>
          </w:p>
        </w:tc>
        <w:tc>
          <w:tcPr>
            <w:tcW w:w="3986" w:type="pct"/>
            <w:gridSpan w:val="7"/>
            <w:vMerge w:val="restart"/>
            <w:tcBorders>
              <w:top w:val="outset" w:color="auto" w:sz="6" w:space="0"/>
              <w:left w:val="outset" w:color="auto" w:sz="6" w:space="0"/>
              <w:bottom w:val="outset" w:color="auto" w:sz="6" w:space="0"/>
              <w:right w:val="outset" w:color="auto" w:sz="6" w:space="0"/>
            </w:tcBorders>
            <w:vAlign w:val="center"/>
          </w:tcPr>
          <w:p w:rsidRPr="00242FE9" w:rsidR="00C536DB" w:rsidP="00895C8C" w:rsidRDefault="00C536DB" w14:paraId="275F16EC" w14:textId="77777777">
            <w:pPr>
              <w:spacing w:after="0" w:line="240" w:lineRule="auto"/>
              <w:jc w:val="both"/>
              <w:rPr>
                <w:rFonts w:ascii="Times New Roman" w:hAnsi="Times New Roman" w:eastAsia="Times New Roman" w:cs="Times New Roman"/>
                <w:iCs/>
                <w:sz w:val="24"/>
                <w:szCs w:val="24"/>
                <w:lang w:eastAsia="lv-LV"/>
              </w:rPr>
            </w:pPr>
          </w:p>
        </w:tc>
      </w:tr>
      <w:tr w:rsidRPr="00242FE9" w:rsidR="00242FE9" w:rsidTr="003C4124" w14:paraId="4D4E071A" w14:textId="77777777">
        <w:trPr>
          <w:tblCellSpacing w:w="15" w:type="dxa"/>
        </w:trPr>
        <w:tc>
          <w:tcPr>
            <w:tcW w:w="964" w:type="pct"/>
            <w:tcBorders>
              <w:top w:val="outset" w:color="auto" w:sz="6" w:space="0"/>
              <w:left w:val="outset" w:color="auto" w:sz="6" w:space="0"/>
              <w:bottom w:val="outset" w:color="auto" w:sz="6" w:space="0"/>
              <w:right w:val="outset" w:color="auto" w:sz="6" w:space="0"/>
            </w:tcBorders>
            <w:hideMark/>
          </w:tcPr>
          <w:p w:rsidRPr="00242FE9" w:rsidR="00C536DB" w:rsidP="00AD65B1" w:rsidRDefault="00C536DB" w14:paraId="07D37274"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 xml:space="preserve">6.1. </w:t>
            </w:r>
            <w:proofErr w:type="spellStart"/>
            <w:r w:rsidRPr="00242FE9">
              <w:rPr>
                <w:rFonts w:ascii="Times New Roman" w:hAnsi="Times New Roman" w:eastAsia="Times New Roman" w:cs="Times New Roman"/>
                <w:iCs/>
                <w:sz w:val="24"/>
                <w:szCs w:val="24"/>
                <w:lang w:val="en-US" w:eastAsia="lv-LV"/>
              </w:rPr>
              <w:t>detalizēts</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ieņēmumu</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aprēķins</w:t>
            </w:r>
            <w:proofErr w:type="spellEnd"/>
          </w:p>
          <w:p w:rsidRPr="00242FE9" w:rsidR="00C566BB" w:rsidP="00AD65B1" w:rsidRDefault="00C566BB" w14:paraId="388FD6E4" w14:textId="77777777">
            <w:pPr>
              <w:spacing w:after="0" w:line="240" w:lineRule="auto"/>
              <w:rPr>
                <w:rFonts w:ascii="Times New Roman" w:hAnsi="Times New Roman" w:eastAsia="Times New Roman" w:cs="Times New Roman"/>
                <w:iCs/>
                <w:sz w:val="24"/>
                <w:szCs w:val="24"/>
                <w:lang w:val="en-US" w:eastAsia="lv-LV"/>
              </w:rPr>
            </w:pPr>
          </w:p>
          <w:p w:rsidRPr="00242FE9" w:rsidR="00C566BB" w:rsidP="00AD65B1" w:rsidRDefault="00C566BB" w14:paraId="2797FE07" w14:textId="3C2F0AE1">
            <w:pPr>
              <w:spacing w:after="0" w:line="240" w:lineRule="auto"/>
              <w:rPr>
                <w:rFonts w:ascii="Times New Roman" w:hAnsi="Times New Roman" w:eastAsia="Times New Roman" w:cs="Times New Roman"/>
                <w:iCs/>
                <w:sz w:val="24"/>
                <w:szCs w:val="24"/>
                <w:lang w:val="en-US" w:eastAsia="lv-LV"/>
              </w:rPr>
            </w:pPr>
          </w:p>
        </w:tc>
        <w:tc>
          <w:tcPr>
            <w:tcW w:w="0" w:type="auto"/>
            <w:gridSpan w:val="7"/>
            <w:vMerge/>
            <w:tcBorders>
              <w:top w:val="outset" w:color="auto" w:sz="6" w:space="0"/>
              <w:left w:val="outset" w:color="auto" w:sz="6" w:space="0"/>
              <w:bottom w:val="outset" w:color="auto" w:sz="6" w:space="0"/>
              <w:right w:val="outset" w:color="auto" w:sz="6" w:space="0"/>
            </w:tcBorders>
            <w:vAlign w:val="center"/>
          </w:tcPr>
          <w:p w:rsidRPr="00242FE9" w:rsidR="00C536DB" w:rsidP="00AD65B1" w:rsidRDefault="00C536DB" w14:paraId="0CF926B1" w14:textId="77777777">
            <w:pPr>
              <w:spacing w:after="0" w:line="240" w:lineRule="auto"/>
              <w:rPr>
                <w:rFonts w:ascii="Times New Roman" w:hAnsi="Times New Roman" w:eastAsia="Times New Roman" w:cs="Times New Roman"/>
                <w:iCs/>
                <w:sz w:val="24"/>
                <w:szCs w:val="24"/>
                <w:lang w:val="en-US" w:eastAsia="lv-LV"/>
              </w:rPr>
            </w:pPr>
          </w:p>
        </w:tc>
      </w:tr>
      <w:tr w:rsidRPr="00242FE9" w:rsidR="00242FE9" w:rsidTr="003C4124" w14:paraId="6E1D08A9" w14:textId="77777777">
        <w:trPr>
          <w:tblCellSpacing w:w="15" w:type="dxa"/>
        </w:trPr>
        <w:tc>
          <w:tcPr>
            <w:tcW w:w="964" w:type="pct"/>
            <w:tcBorders>
              <w:top w:val="outset" w:color="auto" w:sz="6" w:space="0"/>
              <w:left w:val="outset" w:color="auto" w:sz="6" w:space="0"/>
              <w:bottom w:val="outset" w:color="auto" w:sz="6" w:space="0"/>
              <w:right w:val="outset" w:color="auto" w:sz="6" w:space="0"/>
            </w:tcBorders>
            <w:hideMark/>
          </w:tcPr>
          <w:p w:rsidRPr="00242FE9" w:rsidR="00C536DB" w:rsidP="00AD65B1" w:rsidRDefault="00C536DB" w14:paraId="45735021"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 xml:space="preserve">6.2. </w:t>
            </w:r>
            <w:proofErr w:type="spellStart"/>
            <w:r w:rsidRPr="00242FE9">
              <w:rPr>
                <w:rFonts w:ascii="Times New Roman" w:hAnsi="Times New Roman" w:eastAsia="Times New Roman" w:cs="Times New Roman"/>
                <w:iCs/>
                <w:sz w:val="24"/>
                <w:szCs w:val="24"/>
                <w:lang w:val="en-US" w:eastAsia="lv-LV"/>
              </w:rPr>
              <w:t>detalizēts</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izdevumu</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aprēķins</w:t>
            </w:r>
            <w:proofErr w:type="spellEnd"/>
          </w:p>
        </w:tc>
        <w:tc>
          <w:tcPr>
            <w:tcW w:w="0" w:type="auto"/>
            <w:gridSpan w:val="7"/>
            <w:vMerge/>
            <w:tcBorders>
              <w:top w:val="outset" w:color="auto" w:sz="6" w:space="0"/>
              <w:left w:val="outset" w:color="auto" w:sz="6" w:space="0"/>
              <w:bottom w:val="outset" w:color="auto" w:sz="6" w:space="0"/>
              <w:right w:val="outset" w:color="auto" w:sz="6" w:space="0"/>
            </w:tcBorders>
            <w:vAlign w:val="center"/>
          </w:tcPr>
          <w:p w:rsidRPr="00242FE9" w:rsidR="00C536DB" w:rsidP="00AD65B1" w:rsidRDefault="00C536DB" w14:paraId="73D5DA1A" w14:textId="77777777">
            <w:pPr>
              <w:spacing w:after="0" w:line="240" w:lineRule="auto"/>
              <w:rPr>
                <w:rFonts w:ascii="Times New Roman" w:hAnsi="Times New Roman" w:eastAsia="Times New Roman" w:cs="Times New Roman"/>
                <w:iCs/>
                <w:sz w:val="24"/>
                <w:szCs w:val="24"/>
                <w:lang w:val="en-US" w:eastAsia="lv-LV"/>
              </w:rPr>
            </w:pPr>
          </w:p>
        </w:tc>
      </w:tr>
      <w:tr w:rsidRPr="00242FE9" w:rsidR="00242FE9" w:rsidTr="003C4124" w14:paraId="57B50320" w14:textId="77777777">
        <w:trPr>
          <w:tblCellSpacing w:w="15" w:type="dxa"/>
        </w:trPr>
        <w:tc>
          <w:tcPr>
            <w:tcW w:w="964" w:type="pct"/>
            <w:tcBorders>
              <w:top w:val="outset" w:color="auto" w:sz="6" w:space="0"/>
              <w:left w:val="outset" w:color="auto" w:sz="6" w:space="0"/>
              <w:bottom w:val="outset" w:color="auto" w:sz="6" w:space="0"/>
              <w:right w:val="outset" w:color="auto" w:sz="6" w:space="0"/>
            </w:tcBorders>
            <w:hideMark/>
          </w:tcPr>
          <w:p w:rsidRPr="00242FE9" w:rsidR="00C536DB" w:rsidP="00AD65B1" w:rsidRDefault="00C536DB" w14:paraId="6AE226EA" w14:textId="7777777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 xml:space="preserve">7. Amata </w:t>
            </w:r>
            <w:proofErr w:type="spellStart"/>
            <w:r w:rsidRPr="00242FE9">
              <w:rPr>
                <w:rFonts w:ascii="Times New Roman" w:hAnsi="Times New Roman" w:eastAsia="Times New Roman" w:cs="Times New Roman"/>
                <w:iCs/>
                <w:sz w:val="24"/>
                <w:szCs w:val="24"/>
                <w:lang w:val="en-US" w:eastAsia="lv-LV"/>
              </w:rPr>
              <w:t>vietu</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skaita</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izmaiņas</w:t>
            </w:r>
            <w:proofErr w:type="spellEnd"/>
          </w:p>
        </w:tc>
        <w:tc>
          <w:tcPr>
            <w:tcW w:w="3986" w:type="pct"/>
            <w:gridSpan w:val="7"/>
            <w:tcBorders>
              <w:top w:val="outset" w:color="auto" w:sz="6" w:space="0"/>
              <w:left w:val="outset" w:color="auto" w:sz="6" w:space="0"/>
              <w:bottom w:val="outset" w:color="auto" w:sz="6" w:space="0"/>
              <w:right w:val="outset" w:color="auto" w:sz="6" w:space="0"/>
            </w:tcBorders>
          </w:tcPr>
          <w:p w:rsidRPr="00242FE9" w:rsidR="00C536DB" w:rsidP="00AD65B1" w:rsidRDefault="003C4124" w14:paraId="00FBD207" w14:textId="2886C0A7">
            <w:pPr>
              <w:spacing w:after="0" w:line="240" w:lineRule="auto"/>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val="en-US" w:eastAsia="lv-LV"/>
              </w:rPr>
              <w:t>Nav.</w:t>
            </w:r>
          </w:p>
        </w:tc>
      </w:tr>
      <w:tr w:rsidRPr="00242FE9" w:rsidR="00C536DB" w:rsidTr="003C4124" w14:paraId="4CF44F42" w14:textId="77777777">
        <w:trPr>
          <w:tblCellSpacing w:w="15" w:type="dxa"/>
        </w:trPr>
        <w:tc>
          <w:tcPr>
            <w:tcW w:w="964" w:type="pct"/>
            <w:tcBorders>
              <w:top w:val="outset" w:color="auto" w:sz="6" w:space="0"/>
              <w:left w:val="outset" w:color="auto" w:sz="6" w:space="0"/>
              <w:bottom w:val="outset" w:color="auto" w:sz="6" w:space="0"/>
              <w:right w:val="outset" w:color="auto" w:sz="6" w:space="0"/>
            </w:tcBorders>
            <w:hideMark/>
          </w:tcPr>
          <w:p w:rsidRPr="00242FE9" w:rsidR="00C536DB" w:rsidP="00AD65B1" w:rsidRDefault="00C536DB" w14:paraId="5645BF63" w14:textId="77777777">
            <w:pPr>
              <w:spacing w:after="0" w:line="240" w:lineRule="auto"/>
              <w:rPr>
                <w:rFonts w:ascii="Times New Roman" w:hAnsi="Times New Roman" w:eastAsia="Times New Roman" w:cs="Times New Roman"/>
                <w:iCs/>
                <w:sz w:val="24"/>
                <w:szCs w:val="24"/>
                <w:lang w:val="en-US" w:eastAsia="lv-LV"/>
              </w:rPr>
            </w:pPr>
            <w:bookmarkStart w:name="_Hlk9585078" w:id="2"/>
            <w:r w:rsidRPr="00242FE9">
              <w:rPr>
                <w:rFonts w:ascii="Times New Roman" w:hAnsi="Times New Roman" w:eastAsia="Times New Roman" w:cs="Times New Roman"/>
                <w:iCs/>
                <w:sz w:val="24"/>
                <w:szCs w:val="24"/>
                <w:lang w:val="en-US" w:eastAsia="lv-LV"/>
              </w:rPr>
              <w:t xml:space="preserve">8. </w:t>
            </w:r>
            <w:proofErr w:type="spellStart"/>
            <w:r w:rsidRPr="00242FE9">
              <w:rPr>
                <w:rFonts w:ascii="Times New Roman" w:hAnsi="Times New Roman" w:eastAsia="Times New Roman" w:cs="Times New Roman"/>
                <w:iCs/>
                <w:sz w:val="24"/>
                <w:szCs w:val="24"/>
                <w:lang w:val="en-US" w:eastAsia="lv-LV"/>
              </w:rPr>
              <w:t>Cita</w:t>
            </w:r>
            <w:proofErr w:type="spellEnd"/>
            <w:r w:rsidRPr="00242FE9">
              <w:rPr>
                <w:rFonts w:ascii="Times New Roman" w:hAnsi="Times New Roman" w:eastAsia="Times New Roman" w:cs="Times New Roman"/>
                <w:iCs/>
                <w:sz w:val="24"/>
                <w:szCs w:val="24"/>
                <w:lang w:val="en-US" w:eastAsia="lv-LV"/>
              </w:rPr>
              <w:t xml:space="preserve"> </w:t>
            </w:r>
            <w:proofErr w:type="spellStart"/>
            <w:r w:rsidRPr="00242FE9">
              <w:rPr>
                <w:rFonts w:ascii="Times New Roman" w:hAnsi="Times New Roman" w:eastAsia="Times New Roman" w:cs="Times New Roman"/>
                <w:iCs/>
                <w:sz w:val="24"/>
                <w:szCs w:val="24"/>
                <w:lang w:val="en-US" w:eastAsia="lv-LV"/>
              </w:rPr>
              <w:t>informācija</w:t>
            </w:r>
            <w:proofErr w:type="spellEnd"/>
          </w:p>
        </w:tc>
        <w:tc>
          <w:tcPr>
            <w:tcW w:w="3986" w:type="pct"/>
            <w:gridSpan w:val="7"/>
            <w:tcBorders>
              <w:top w:val="outset" w:color="auto" w:sz="6" w:space="0"/>
              <w:left w:val="outset" w:color="auto" w:sz="6" w:space="0"/>
              <w:bottom w:val="outset" w:color="auto" w:sz="6" w:space="0"/>
              <w:right w:val="outset" w:color="auto" w:sz="6" w:space="0"/>
            </w:tcBorders>
          </w:tcPr>
          <w:p w:rsidRPr="00242FE9" w:rsidR="00C536DB" w:rsidP="003C4124" w:rsidRDefault="003C4124" w14:paraId="4CCC1952" w14:textId="6D7886B4">
            <w:pPr>
              <w:spacing w:after="0" w:line="240" w:lineRule="auto"/>
              <w:jc w:val="both"/>
              <w:rPr>
                <w:rFonts w:ascii="Times New Roman" w:hAnsi="Times New Roman" w:eastAsia="Times New Roman" w:cs="Times New Roman"/>
                <w:iCs/>
                <w:sz w:val="24"/>
                <w:szCs w:val="24"/>
                <w:lang w:val="en-US" w:eastAsia="lv-LV"/>
              </w:rPr>
            </w:pPr>
            <w:r w:rsidRPr="00242FE9">
              <w:rPr>
                <w:rFonts w:ascii="Times New Roman" w:hAnsi="Times New Roman" w:eastAsia="Times New Roman" w:cs="Times New Roman"/>
                <w:iCs/>
                <w:sz w:val="24"/>
                <w:szCs w:val="24"/>
                <w:lang w:eastAsia="lv-LV"/>
              </w:rPr>
              <w:t>Projektam nav ietekmes uz budžetu, jo s</w:t>
            </w:r>
            <w:r w:rsidRPr="00242FE9">
              <w:rPr>
                <w:rFonts w:ascii="Times New Roman" w:hAnsi="Times New Roman" w:cs="Times New Roman"/>
                <w:sz w:val="24"/>
                <w:szCs w:val="24"/>
              </w:rPr>
              <w:t>askaņā ar Ministru kabineta 2015.gada 28.jūlija noteikumiem Nr.435 “Kārtība, kādā nosaka un kompensē ar sabiedriskā transporta pakalpojumu sniegšanu saistītos zaudējumus un izdevumus un nosaka sabiedriskā transporta pakalpojumu tarifu” pārvadātājiem no valsts budžeta kompensē zaudējumus, kas radušies, ja ar sabiedriskā transporta pakalpojumu pasūtījuma līguma izpildi saistītās nepieciešamās izmaksas pārsniedz gūtos ieņēmumus, t</w:t>
            </w:r>
            <w:r w:rsidR="006F0600">
              <w:rPr>
                <w:rFonts w:ascii="Times New Roman" w:hAnsi="Times New Roman" w:cs="Times New Roman"/>
                <w:sz w:val="24"/>
                <w:szCs w:val="24"/>
              </w:rPr>
              <w:t>ostarp</w:t>
            </w:r>
            <w:r w:rsidRPr="00242FE9">
              <w:rPr>
                <w:rFonts w:ascii="Times New Roman" w:hAnsi="Times New Roman" w:cs="Times New Roman"/>
                <w:sz w:val="24"/>
                <w:szCs w:val="24"/>
              </w:rPr>
              <w:t xml:space="preserve"> izmaksas, kas saistītas ar kases aparātu izmantošanu, kā arī biļešu izplatīšanu.</w:t>
            </w:r>
            <w:r w:rsidRPr="00242FE9">
              <w:rPr>
                <w:rFonts w:ascii="Times New Roman" w:hAnsi="Times New Roman" w:eastAsia="Times New Roman" w:cs="Times New Roman"/>
                <w:iCs/>
                <w:sz w:val="24"/>
                <w:szCs w:val="24"/>
                <w:lang w:eastAsia="lv-LV"/>
              </w:rPr>
              <w:t xml:space="preserve"> Valsts budžeta programmā 31.00 “Sabiedriskais transports”, apakšprogrammā 31.06. Piešķirtais finansējums no  valsts budžeta ir </w:t>
            </w:r>
            <w:r w:rsidRPr="00242FE9">
              <w:rPr>
                <w:rFonts w:ascii="Times New Roman" w:hAnsi="Times New Roman" w:cs="Times New Roman"/>
                <w:bCs/>
                <w:sz w:val="24"/>
                <w:szCs w:val="24"/>
                <w:lang w:eastAsia="lv-LV"/>
              </w:rPr>
              <w:t>40</w:t>
            </w:r>
            <w:r w:rsidR="00355DCF">
              <w:rPr>
                <w:rFonts w:ascii="Times New Roman" w:hAnsi="Times New Roman" w:cs="Times New Roman"/>
                <w:bCs/>
                <w:sz w:val="24"/>
                <w:szCs w:val="24"/>
                <w:lang w:eastAsia="lv-LV"/>
              </w:rPr>
              <w:t> </w:t>
            </w:r>
            <w:r w:rsidRPr="00242FE9">
              <w:rPr>
                <w:rFonts w:ascii="Times New Roman" w:hAnsi="Times New Roman" w:cs="Times New Roman"/>
                <w:bCs/>
                <w:sz w:val="24"/>
                <w:szCs w:val="24"/>
                <w:lang w:eastAsia="lv-LV"/>
              </w:rPr>
              <w:t>953</w:t>
            </w:r>
            <w:r w:rsidR="00355DCF">
              <w:rPr>
                <w:rFonts w:ascii="Times New Roman" w:hAnsi="Times New Roman" w:cs="Times New Roman"/>
                <w:bCs/>
                <w:sz w:val="24"/>
                <w:szCs w:val="24"/>
                <w:lang w:eastAsia="lv-LV"/>
              </w:rPr>
              <w:t> </w:t>
            </w:r>
            <w:r w:rsidRPr="00242FE9">
              <w:rPr>
                <w:rFonts w:ascii="Times New Roman" w:hAnsi="Times New Roman" w:cs="Times New Roman"/>
                <w:bCs/>
                <w:sz w:val="24"/>
                <w:szCs w:val="24"/>
                <w:lang w:eastAsia="lv-LV"/>
              </w:rPr>
              <w:t>076</w:t>
            </w:r>
            <w:r w:rsidRPr="00242FE9">
              <w:rPr>
                <w:rFonts w:ascii="Times New Roman" w:hAnsi="Times New Roman" w:eastAsia="Times New Roman" w:cs="Times New Roman"/>
                <w:iCs/>
                <w:sz w:val="24"/>
                <w:szCs w:val="24"/>
                <w:lang w:eastAsia="lv-LV"/>
              </w:rPr>
              <w:t xml:space="preserve"> </w:t>
            </w:r>
            <w:proofErr w:type="spellStart"/>
            <w:r w:rsidRPr="00242FE9">
              <w:rPr>
                <w:rFonts w:ascii="Times New Roman" w:hAnsi="Times New Roman" w:eastAsia="Times New Roman" w:cs="Times New Roman"/>
                <w:iCs/>
                <w:sz w:val="24"/>
                <w:szCs w:val="24"/>
                <w:lang w:eastAsia="lv-LV"/>
              </w:rPr>
              <w:t>euro</w:t>
            </w:r>
            <w:proofErr w:type="spellEnd"/>
            <w:r w:rsidRPr="00242FE9">
              <w:rPr>
                <w:rFonts w:ascii="Times New Roman" w:hAnsi="Times New Roman" w:eastAsia="Times New Roman" w:cs="Times New Roman"/>
                <w:iCs/>
                <w:sz w:val="24"/>
                <w:szCs w:val="24"/>
                <w:lang w:eastAsia="lv-LV"/>
              </w:rPr>
              <w:t xml:space="preserve"> gadā.</w:t>
            </w:r>
            <w:r w:rsidRPr="00242FE9">
              <w:rPr>
                <w:rFonts w:ascii="Times New Roman" w:hAnsi="Times New Roman" w:cs="Times New Roman"/>
                <w:sz w:val="24"/>
                <w:szCs w:val="24"/>
              </w:rPr>
              <w:t xml:space="preserve"> Ievērojot to, ka sabiedriskā transporta pakalpojumu sniegšanai ik gadu piešķirtais valsts budžeta finansējums ir nepietiekams un neatbilst faktiskām preču un pakalpojumu tirgus cenām, kā arī ieviestajām nodokļu politikas izmaiņām, </w:t>
            </w:r>
            <w:r w:rsidRPr="00242FE9">
              <w:rPr>
                <w:rFonts w:ascii="Times New Roman" w:hAnsi="Times New Roman" w:eastAsia="Times New Roman" w:cs="Times New Roman"/>
                <w:sz w:val="24"/>
                <w:szCs w:val="24"/>
              </w:rPr>
              <w:t xml:space="preserve">lai nodrošinātu pārvadājumu nepārtrauktību, </w:t>
            </w:r>
            <w:r w:rsidRPr="00242FE9">
              <w:rPr>
                <w:rFonts w:ascii="Times New Roman" w:hAnsi="Times New Roman" w:cs="Times New Roman"/>
                <w:sz w:val="24"/>
                <w:szCs w:val="24"/>
              </w:rPr>
              <w:t xml:space="preserve">Satiksmes ministrija vēršas  Ministru kabinetā ar lūgumu piešķirt papildus finansējumu. </w:t>
            </w:r>
            <w:r w:rsidRPr="00242FE9">
              <w:rPr>
                <w:rFonts w:ascii="Times New Roman" w:hAnsi="Times New Roman" w:eastAsia="Times New Roman" w:cs="Times New Roman"/>
                <w:sz w:val="24"/>
                <w:szCs w:val="24"/>
              </w:rPr>
              <w:t>Piešķirtā finansējuma un faktisko sedzamo izmaksu starpība gadu no gada sastāda apmēram 7 milj. EUR.</w:t>
            </w:r>
          </w:p>
        </w:tc>
      </w:tr>
      <w:bookmarkEnd w:id="2"/>
    </w:tbl>
    <w:p w:rsidRPr="00242FE9" w:rsidR="009C48CC" w:rsidP="00E23C66" w:rsidRDefault="009C48CC" w14:paraId="027E8783" w14:textId="4B215E58">
      <w:pPr>
        <w:spacing w:after="0" w:line="240" w:lineRule="auto"/>
        <w:rPr>
          <w:rFonts w:ascii="Times New Roman" w:hAnsi="Times New Roman" w:eastAsia="Times New Roman" w:cs="Times New Roman"/>
          <w:iCs/>
          <w:sz w:val="24"/>
          <w:szCs w:val="24"/>
          <w:lang w:eastAsia="lv-LV"/>
        </w:rPr>
      </w:pPr>
    </w:p>
    <w:p w:rsidRPr="00242FE9" w:rsidR="00C536DB" w:rsidP="00E23C66" w:rsidRDefault="00E5323B" w14:paraId="7008879F" w14:textId="4120F093">
      <w:pPr>
        <w:spacing w:after="0" w:line="240" w:lineRule="auto"/>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242FE9" w:rsidR="00242FE9" w:rsidTr="00E5323B" w14:paraId="53671794"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242FE9" w:rsidR="00655F2C" w:rsidP="00E23C66" w:rsidRDefault="00E5323B" w14:paraId="1914F0D0" w14:textId="77777777">
            <w:pPr>
              <w:spacing w:after="0" w:line="240" w:lineRule="auto"/>
              <w:jc w:val="center"/>
              <w:rPr>
                <w:rFonts w:ascii="Times New Roman" w:hAnsi="Times New Roman" w:eastAsia="Times New Roman" w:cs="Times New Roman"/>
                <w:b/>
                <w:bCs/>
                <w:iCs/>
                <w:sz w:val="24"/>
                <w:szCs w:val="24"/>
                <w:lang w:eastAsia="lv-LV"/>
              </w:rPr>
            </w:pPr>
            <w:r w:rsidRPr="00242FE9">
              <w:rPr>
                <w:rFonts w:ascii="Times New Roman" w:hAnsi="Times New Roman" w:eastAsia="Times New Roman" w:cs="Times New Roman"/>
                <w:b/>
                <w:bCs/>
                <w:iCs/>
                <w:sz w:val="24"/>
                <w:szCs w:val="24"/>
                <w:lang w:eastAsia="lv-LV"/>
              </w:rPr>
              <w:lastRenderedPageBreak/>
              <w:t>V. Tiesību akta projekta atbilstība Latvijas Republikas starptautiskajām saistībām</w:t>
            </w:r>
          </w:p>
        </w:tc>
      </w:tr>
      <w:tr w:rsidRPr="00242FE9" w:rsidR="00242FE9" w:rsidTr="00FD1AB4" w14:paraId="6DAAE542"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242FE9" w:rsidR="00FD1AB4" w:rsidP="00E23C66" w:rsidRDefault="00FD1AB4" w14:paraId="35007590" w14:textId="77777777">
            <w:pPr>
              <w:spacing w:after="0" w:line="240" w:lineRule="auto"/>
              <w:jc w:val="center"/>
              <w:rPr>
                <w:rFonts w:ascii="Times New Roman" w:hAnsi="Times New Roman" w:eastAsia="Times New Roman"/>
                <w:sz w:val="24"/>
                <w:szCs w:val="24"/>
                <w:lang w:eastAsia="lv-LV"/>
              </w:rPr>
            </w:pPr>
            <w:r w:rsidRPr="00242FE9">
              <w:rPr>
                <w:rFonts w:ascii="Times New Roman" w:hAnsi="Times New Roman" w:eastAsia="Times New Roman" w:cs="Times New Roman"/>
                <w:bCs/>
                <w:iCs/>
                <w:sz w:val="24"/>
                <w:szCs w:val="24"/>
                <w:lang w:eastAsia="lv-LV"/>
              </w:rPr>
              <w:t>Projekts šo jomu neskar.</w:t>
            </w:r>
          </w:p>
        </w:tc>
      </w:tr>
    </w:tbl>
    <w:p w:rsidRPr="00242FE9" w:rsidR="00E5323B" w:rsidP="00E23C66" w:rsidRDefault="00E5323B" w14:paraId="502A0DE9" w14:textId="77777777">
      <w:pPr>
        <w:spacing w:after="0" w:line="240" w:lineRule="auto"/>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 xml:space="preserve">   </w:t>
      </w:r>
    </w:p>
    <w:p w:rsidR="00AA4AE6" w:rsidP="00E23C66" w:rsidRDefault="00AA4AE6" w14:paraId="5A39624B" w14:textId="24234C04">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2C4066" w:rsidR="00EC05F4" w:rsidTr="0026481C" w14:paraId="4678D8D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2C4066" w:rsidR="00EC05F4" w:rsidP="0026481C" w:rsidRDefault="00EC05F4" w14:paraId="130874E3" w14:textId="77777777">
            <w:pPr>
              <w:spacing w:after="0" w:line="240" w:lineRule="auto"/>
              <w:rPr>
                <w:rFonts w:ascii="Times New Roman" w:hAnsi="Times New Roman" w:eastAsia="Times New Roman" w:cs="Times New Roman"/>
                <w:b/>
                <w:bCs/>
                <w:iCs/>
                <w:sz w:val="24"/>
                <w:szCs w:val="24"/>
                <w:lang w:eastAsia="lv-LV"/>
              </w:rPr>
            </w:pPr>
            <w:r w:rsidRPr="002C4066">
              <w:rPr>
                <w:rFonts w:ascii="Times New Roman" w:hAnsi="Times New Roman" w:eastAsia="Times New Roman" w:cs="Times New Roman"/>
                <w:b/>
                <w:bCs/>
                <w:iCs/>
                <w:sz w:val="24"/>
                <w:szCs w:val="24"/>
                <w:lang w:eastAsia="lv-LV"/>
              </w:rPr>
              <w:t>VI. Sabiedrības līdzdalība un komunikācijas aktivitātes</w:t>
            </w:r>
          </w:p>
        </w:tc>
      </w:tr>
      <w:tr w:rsidRPr="002C4066" w:rsidR="006535ED" w:rsidTr="0026481C" w14:paraId="5A368C7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C4066" w:rsidR="006535ED" w:rsidP="006535ED" w:rsidRDefault="006535ED" w14:paraId="2524A387" w14:textId="77777777">
            <w:pPr>
              <w:spacing w:after="0" w:line="240" w:lineRule="auto"/>
              <w:rPr>
                <w:rFonts w:ascii="Times New Roman" w:hAnsi="Times New Roman" w:eastAsia="Times New Roman" w:cs="Times New Roman"/>
                <w:iCs/>
                <w:sz w:val="24"/>
                <w:szCs w:val="24"/>
                <w:lang w:eastAsia="lv-LV"/>
              </w:rPr>
            </w:pPr>
            <w:r w:rsidRPr="002C4066">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2C4066" w:rsidR="006535ED" w:rsidP="006535ED" w:rsidRDefault="006535ED" w14:paraId="09A23495" w14:textId="77777777">
            <w:pPr>
              <w:spacing w:after="0" w:line="240" w:lineRule="auto"/>
              <w:rPr>
                <w:rFonts w:ascii="Times New Roman" w:hAnsi="Times New Roman" w:eastAsia="Times New Roman" w:cs="Times New Roman"/>
                <w:iCs/>
                <w:sz w:val="24"/>
                <w:szCs w:val="24"/>
                <w:lang w:eastAsia="lv-LV"/>
              </w:rPr>
            </w:pPr>
            <w:r w:rsidRPr="002C4066">
              <w:rPr>
                <w:rFonts w:ascii="Times New Roman" w:hAnsi="Times New Roman" w:eastAsia="Times New Roman" w:cs="Times New Roman"/>
                <w:iCs/>
                <w:sz w:val="24"/>
                <w:szCs w:val="24"/>
                <w:lang w:eastAsia="lv-LV"/>
              </w:rPr>
              <w:t>Plānotās sabiedrības līdzdalības un komunikācijas aktivitātes saistībā ar projektu</w:t>
            </w:r>
          </w:p>
        </w:tc>
        <w:tc>
          <w:tcPr>
            <w:tcW w:w="2960" w:type="pct"/>
            <w:tcBorders>
              <w:top w:val="outset" w:color="auto" w:sz="6" w:space="0"/>
              <w:left w:val="outset" w:color="auto" w:sz="6" w:space="0"/>
              <w:bottom w:val="outset" w:color="auto" w:sz="6" w:space="0"/>
              <w:right w:val="outset" w:color="auto" w:sz="6" w:space="0"/>
            </w:tcBorders>
            <w:hideMark/>
          </w:tcPr>
          <w:p w:rsidR="006B014A" w:rsidP="00F21C54" w:rsidRDefault="006F0600" w14:paraId="30BD7184" w14:textId="04414940">
            <w:pPr>
              <w:spacing w:after="0" w:line="240" w:lineRule="auto"/>
              <w:jc w:val="both"/>
              <w:rPr>
                <w:rStyle w:val="Hyperlink"/>
                <w:rFonts w:ascii="Times New Roman" w:hAnsi="Times New Roman" w:cs="Times New Roman"/>
                <w:sz w:val="24"/>
                <w:szCs w:val="24"/>
              </w:rPr>
            </w:pPr>
            <w:r w:rsidRPr="00606288">
              <w:rPr>
                <w:rFonts w:ascii="Times New Roman" w:hAnsi="Times New Roman" w:eastAsia="Times New Roman" w:cs="Times New Roman"/>
                <w:color w:val="000000"/>
                <w:sz w:val="24"/>
                <w:szCs w:val="24"/>
                <w:lang w:eastAsia="lv-LV"/>
              </w:rPr>
              <w:t>Atbilstoši Ministru kabineta 2009.gada 25.augusta noteikumu Nr.970 „Sabiedrības līdzdalības kārtība attīstības plānošanas procesā” 7.4.</w:t>
            </w:r>
            <w:r w:rsidRPr="00606288">
              <w:rPr>
                <w:rFonts w:ascii="Times New Roman" w:hAnsi="Times New Roman" w:eastAsia="Times New Roman" w:cs="Times New Roman"/>
                <w:color w:val="000000"/>
                <w:sz w:val="24"/>
                <w:szCs w:val="24"/>
                <w:vertAlign w:val="superscript"/>
                <w:lang w:eastAsia="lv-LV"/>
              </w:rPr>
              <w:t>1</w:t>
            </w:r>
            <w:r w:rsidRPr="00606288">
              <w:rPr>
                <w:rFonts w:ascii="Times New Roman" w:hAnsi="Times New Roman" w:eastAsia="Times New Roman" w:cs="Times New Roman"/>
                <w:color w:val="000000"/>
                <w:sz w:val="24"/>
                <w:szCs w:val="24"/>
                <w:lang w:eastAsia="lv-LV"/>
              </w:rPr>
              <w:t xml:space="preserve"> apakšpunktam, sabiedrībai tika dota iespēja rakstiski sniegt viedokli par noteikumu projektu tā izstrādes stadijā.</w:t>
            </w:r>
            <w:r>
              <w:rPr>
                <w:rFonts w:ascii="Times New Roman" w:hAnsi="Times New Roman" w:eastAsia="Times New Roman" w:cs="Times New Roman"/>
                <w:color w:val="000000"/>
                <w:sz w:val="24"/>
                <w:szCs w:val="24"/>
                <w:lang w:eastAsia="lv-LV"/>
              </w:rPr>
              <w:t xml:space="preserve"> </w:t>
            </w:r>
          </w:p>
          <w:p w:rsidRPr="006535ED" w:rsidR="006535ED" w:rsidP="006535ED" w:rsidRDefault="006535ED" w14:paraId="7331D7F3" w14:textId="25C67270">
            <w:pPr>
              <w:spacing w:after="0" w:line="240" w:lineRule="auto"/>
              <w:rPr>
                <w:rFonts w:ascii="Times New Roman" w:hAnsi="Times New Roman" w:cs="Times New Roman"/>
                <w:color w:val="0000FF"/>
                <w:sz w:val="24"/>
                <w:szCs w:val="24"/>
                <w:u w:val="single"/>
              </w:rPr>
            </w:pPr>
          </w:p>
        </w:tc>
      </w:tr>
      <w:tr w:rsidRPr="002C4066" w:rsidR="006535ED" w:rsidTr="0026481C" w14:paraId="0A2BDDD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C4066" w:rsidR="006535ED" w:rsidP="006535ED" w:rsidRDefault="006535ED" w14:paraId="79B6E553" w14:textId="77777777">
            <w:pPr>
              <w:spacing w:after="0" w:line="240" w:lineRule="auto"/>
              <w:rPr>
                <w:rFonts w:ascii="Times New Roman" w:hAnsi="Times New Roman" w:eastAsia="Times New Roman" w:cs="Times New Roman"/>
                <w:iCs/>
                <w:sz w:val="24"/>
                <w:szCs w:val="24"/>
                <w:lang w:eastAsia="lv-LV"/>
              </w:rPr>
            </w:pPr>
            <w:r w:rsidRPr="002C4066">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2C4066" w:rsidR="006535ED" w:rsidP="006535ED" w:rsidRDefault="006535ED" w14:paraId="7888A147" w14:textId="77777777">
            <w:pPr>
              <w:spacing w:after="0" w:line="240" w:lineRule="auto"/>
              <w:rPr>
                <w:rFonts w:ascii="Times New Roman" w:hAnsi="Times New Roman" w:eastAsia="Times New Roman" w:cs="Times New Roman"/>
                <w:iCs/>
                <w:sz w:val="24"/>
                <w:szCs w:val="24"/>
                <w:lang w:eastAsia="lv-LV"/>
              </w:rPr>
            </w:pPr>
            <w:r w:rsidRPr="002C4066">
              <w:rPr>
                <w:rFonts w:ascii="Times New Roman" w:hAnsi="Times New Roman" w:eastAsia="Times New Roman" w:cs="Times New Roman"/>
                <w:iCs/>
                <w:sz w:val="24"/>
                <w:szCs w:val="24"/>
                <w:lang w:eastAsia="lv-LV"/>
              </w:rPr>
              <w:t>Sabiedrības līdzdalība projekta izstrādē</w:t>
            </w:r>
          </w:p>
        </w:tc>
        <w:tc>
          <w:tcPr>
            <w:tcW w:w="2960" w:type="pct"/>
            <w:tcBorders>
              <w:top w:val="outset" w:color="auto" w:sz="6" w:space="0"/>
              <w:left w:val="outset" w:color="auto" w:sz="6" w:space="0"/>
              <w:bottom w:val="outset" w:color="auto" w:sz="6" w:space="0"/>
              <w:right w:val="outset" w:color="auto" w:sz="6" w:space="0"/>
            </w:tcBorders>
            <w:hideMark/>
          </w:tcPr>
          <w:p w:rsidR="006535ED" w:rsidP="006535ED" w:rsidRDefault="006F0600" w14:paraId="6386EC07" w14:textId="24D21155">
            <w:pPr>
              <w:spacing w:after="0" w:line="240" w:lineRule="auto"/>
              <w:jc w:val="both"/>
              <w:rPr>
                <w:rStyle w:val="Hyperlink"/>
                <w:rFonts w:ascii="Times New Roman" w:hAnsi="Times New Roman" w:eastAsia="Times New Roman" w:cs="Times New Roman"/>
                <w:sz w:val="24"/>
                <w:szCs w:val="24"/>
              </w:rPr>
            </w:pPr>
            <w:r w:rsidRPr="00606288">
              <w:rPr>
                <w:rFonts w:ascii="Times New Roman" w:hAnsi="Times New Roman" w:eastAsia="Times New Roman" w:cs="Times New Roman"/>
                <w:sz w:val="24"/>
                <w:szCs w:val="24"/>
              </w:rPr>
              <w:t>Atbilstoši Ministru kabineta 2009.gada 25.augusta noteikumiem Nr.970 „Sabiedrības līdzdalības kārtība attīstības plānošanas procesā” par projekta izstrādi tika informēti sabiedrības pārstāvji, ievietojot Paziņojumu par līdzdalības iespējām tiesību akta izstrādes procesā Satiksmes ministr</w:t>
            </w:r>
            <w:r>
              <w:rPr>
                <w:rFonts w:ascii="Times New Roman" w:hAnsi="Times New Roman" w:eastAsia="Times New Roman" w:cs="Times New Roman"/>
                <w:sz w:val="24"/>
                <w:szCs w:val="24"/>
              </w:rPr>
              <w:t>ijas tīmekļa vietnē 2019.gada 27.maijā</w:t>
            </w:r>
            <w:r w:rsidRPr="00606288">
              <w:rPr>
                <w:rFonts w:ascii="Times New Roman" w:hAnsi="Times New Roman" w:eastAsia="Times New Roman" w:cs="Times New Roman"/>
                <w:sz w:val="24"/>
                <w:szCs w:val="24"/>
              </w:rPr>
              <w:t xml:space="preserve"> </w:t>
            </w:r>
            <w:hyperlink w:history="1" r:id="rId9">
              <w:r w:rsidRPr="001958C0">
                <w:rPr>
                  <w:rStyle w:val="Hyperlink"/>
                  <w:rFonts w:ascii="Times New Roman" w:hAnsi="Times New Roman" w:eastAsia="Times New Roman" w:cs="Times New Roman"/>
                  <w:sz w:val="24"/>
                  <w:szCs w:val="24"/>
                </w:rPr>
                <w:t>http://www.sam.gov.lv/sm/content/?cat=553</w:t>
              </w:r>
            </w:hyperlink>
          </w:p>
          <w:p w:rsidR="000E5885" w:rsidP="006535ED" w:rsidRDefault="000E5885" w14:paraId="29EFBCE7" w14:textId="7895D99C">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Saņemta AS “Latvijas Gāze” 2019.gada 7.jūnija elektroniskā pasta vēstule un Latvijas Pasažieru pārvadātāju asociācijas 2019.gada 27.jūnija atzinums.</w:t>
            </w:r>
          </w:p>
          <w:p w:rsidRPr="002C4066" w:rsidR="006F0600" w:rsidP="006535ED" w:rsidRDefault="006F0600" w14:paraId="13DFC240" w14:textId="3C27F24B">
            <w:pPr>
              <w:spacing w:after="0" w:line="240" w:lineRule="auto"/>
              <w:jc w:val="both"/>
              <w:rPr>
                <w:rFonts w:ascii="Times New Roman" w:hAnsi="Times New Roman" w:cs="Times New Roman"/>
                <w:sz w:val="24"/>
                <w:szCs w:val="24"/>
              </w:rPr>
            </w:pPr>
          </w:p>
        </w:tc>
      </w:tr>
      <w:tr w:rsidRPr="002C4066" w:rsidR="000E5885" w:rsidTr="0026481C" w14:paraId="36B9D22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C4066" w:rsidR="000E5885" w:rsidP="000E5885" w:rsidRDefault="000E5885" w14:paraId="4FE9D9EB" w14:textId="77777777">
            <w:pPr>
              <w:spacing w:after="0" w:line="240" w:lineRule="auto"/>
              <w:rPr>
                <w:rFonts w:ascii="Times New Roman" w:hAnsi="Times New Roman" w:eastAsia="Times New Roman" w:cs="Times New Roman"/>
                <w:iCs/>
                <w:sz w:val="24"/>
                <w:szCs w:val="24"/>
                <w:lang w:eastAsia="lv-LV"/>
              </w:rPr>
            </w:pPr>
            <w:r w:rsidRPr="002C4066">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000E5885" w:rsidP="000E5885" w:rsidRDefault="000E5885" w14:paraId="5959E649" w14:textId="77777777">
            <w:pPr>
              <w:spacing w:after="0" w:line="240" w:lineRule="auto"/>
              <w:rPr>
                <w:rFonts w:ascii="Times New Roman" w:hAnsi="Times New Roman" w:eastAsia="Times New Roman" w:cs="Times New Roman"/>
                <w:iCs/>
                <w:sz w:val="24"/>
                <w:szCs w:val="24"/>
                <w:lang w:eastAsia="lv-LV"/>
              </w:rPr>
            </w:pPr>
            <w:r w:rsidRPr="002C4066">
              <w:rPr>
                <w:rFonts w:ascii="Times New Roman" w:hAnsi="Times New Roman" w:eastAsia="Times New Roman" w:cs="Times New Roman"/>
                <w:iCs/>
                <w:sz w:val="24"/>
                <w:szCs w:val="24"/>
                <w:lang w:eastAsia="lv-LV"/>
              </w:rPr>
              <w:t>Sabiedrības līdzdalības rezultāti</w:t>
            </w:r>
          </w:p>
          <w:p w:rsidR="000E5885" w:rsidP="000E5885" w:rsidRDefault="000E5885" w14:paraId="68E45728" w14:textId="77777777">
            <w:pPr>
              <w:spacing w:after="0" w:line="240" w:lineRule="auto"/>
              <w:rPr>
                <w:rFonts w:ascii="Times New Roman" w:hAnsi="Times New Roman" w:eastAsia="Times New Roman" w:cs="Times New Roman"/>
                <w:iCs/>
                <w:sz w:val="24"/>
                <w:szCs w:val="24"/>
                <w:lang w:eastAsia="lv-LV"/>
              </w:rPr>
            </w:pPr>
          </w:p>
          <w:p w:rsidRPr="002C4066" w:rsidR="000E5885" w:rsidP="000E5885" w:rsidRDefault="000E5885" w14:paraId="1AF0952A" w14:textId="77777777">
            <w:pPr>
              <w:spacing w:after="0" w:line="240" w:lineRule="auto"/>
              <w:rPr>
                <w:rFonts w:ascii="Times New Roman" w:hAnsi="Times New Roman" w:eastAsia="Times New Roman" w:cs="Times New Roman"/>
                <w:iCs/>
                <w:sz w:val="24"/>
                <w:szCs w:val="24"/>
                <w:lang w:eastAsia="lv-LV"/>
              </w:rPr>
            </w:pPr>
          </w:p>
        </w:tc>
        <w:tc>
          <w:tcPr>
            <w:tcW w:w="2960" w:type="pct"/>
            <w:tcBorders>
              <w:top w:val="outset" w:color="auto" w:sz="6" w:space="0"/>
              <w:left w:val="outset" w:color="auto" w:sz="6" w:space="0"/>
              <w:bottom w:val="outset" w:color="auto" w:sz="6" w:space="0"/>
              <w:right w:val="outset" w:color="auto" w:sz="6" w:space="0"/>
            </w:tcBorders>
            <w:hideMark/>
          </w:tcPr>
          <w:p w:rsidR="000E5885" w:rsidP="000E5885" w:rsidRDefault="000E5885" w14:paraId="09885328" w14:textId="7E6EE28B">
            <w:pPr>
              <w:pStyle w:val="naiskr"/>
              <w:tabs>
                <w:tab w:val="left" w:pos="2628"/>
              </w:tabs>
              <w:spacing w:before="0" w:after="0"/>
              <w:jc w:val="both"/>
              <w:rPr>
                <w:iCs/>
              </w:rPr>
            </w:pPr>
            <w:r w:rsidRPr="007046E6">
              <w:rPr>
                <w:iCs/>
              </w:rPr>
              <w:t>AS “Latvijas Gāze” 2019.gada 7.jūnija atzinumā sniegtie priekšlikumi tiks vērtēti kopsakarā ar atbildīg</w:t>
            </w:r>
            <w:r w:rsidR="00DB20AE">
              <w:rPr>
                <w:iCs/>
              </w:rPr>
              <w:t>ās</w:t>
            </w:r>
            <w:r w:rsidRPr="007046E6">
              <w:rPr>
                <w:iCs/>
              </w:rPr>
              <w:t xml:space="preserve"> ministrij</w:t>
            </w:r>
            <w:r w:rsidR="00DB20AE">
              <w:rPr>
                <w:iCs/>
              </w:rPr>
              <w:t>as</w:t>
            </w:r>
            <w:r w:rsidRPr="007046E6">
              <w:rPr>
                <w:iCs/>
              </w:rPr>
              <w:t xml:space="preserve"> viedok</w:t>
            </w:r>
            <w:r w:rsidR="00DB20AE">
              <w:rPr>
                <w:iCs/>
              </w:rPr>
              <w:t>li</w:t>
            </w:r>
            <w:r w:rsidRPr="007046E6">
              <w:rPr>
                <w:iCs/>
              </w:rPr>
              <w:t>.</w:t>
            </w:r>
            <w:r>
              <w:rPr>
                <w:iCs/>
              </w:rPr>
              <w:t xml:space="preserve"> </w:t>
            </w:r>
          </w:p>
          <w:p w:rsidRPr="000E5885" w:rsidR="00DB20AE" w:rsidP="00C96400" w:rsidRDefault="00DB20AE" w14:paraId="1A973ADC" w14:textId="1C00472E">
            <w:pPr>
              <w:pStyle w:val="naiskr"/>
              <w:tabs>
                <w:tab w:val="left" w:pos="2628"/>
              </w:tabs>
              <w:spacing w:before="0" w:after="0"/>
              <w:jc w:val="both"/>
              <w:rPr>
                <w:iCs/>
              </w:rPr>
            </w:pPr>
            <w:r>
              <w:t>Latvijas Pasažieru pārvadātāju asociācija</w:t>
            </w:r>
            <w:r w:rsidR="00C96400">
              <w:t>s atzinums ir pieņemts zināšanai.</w:t>
            </w:r>
          </w:p>
        </w:tc>
      </w:tr>
      <w:tr w:rsidRPr="002C4066" w:rsidR="000E5885" w:rsidTr="0026481C" w14:paraId="494B51F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C4066" w:rsidR="000E5885" w:rsidP="000E5885" w:rsidRDefault="000E5885" w14:paraId="11BFFFE8" w14:textId="77777777">
            <w:pPr>
              <w:spacing w:after="0" w:line="240" w:lineRule="auto"/>
              <w:rPr>
                <w:rFonts w:ascii="Times New Roman" w:hAnsi="Times New Roman" w:eastAsia="Times New Roman" w:cs="Times New Roman"/>
                <w:iCs/>
                <w:sz w:val="24"/>
                <w:szCs w:val="24"/>
                <w:lang w:eastAsia="lv-LV"/>
              </w:rPr>
            </w:pPr>
            <w:r w:rsidRPr="002C4066">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000E5885" w:rsidP="000E5885" w:rsidRDefault="000E5885" w14:paraId="0DC923AD" w14:textId="77777777">
            <w:pPr>
              <w:spacing w:after="0" w:line="240" w:lineRule="auto"/>
              <w:rPr>
                <w:rFonts w:ascii="Times New Roman" w:hAnsi="Times New Roman" w:eastAsia="Times New Roman" w:cs="Times New Roman"/>
                <w:iCs/>
                <w:sz w:val="24"/>
                <w:szCs w:val="24"/>
                <w:lang w:eastAsia="lv-LV"/>
              </w:rPr>
            </w:pPr>
            <w:r w:rsidRPr="002C4066">
              <w:rPr>
                <w:rFonts w:ascii="Times New Roman" w:hAnsi="Times New Roman" w:eastAsia="Times New Roman" w:cs="Times New Roman"/>
                <w:iCs/>
                <w:sz w:val="24"/>
                <w:szCs w:val="24"/>
                <w:lang w:eastAsia="lv-LV"/>
              </w:rPr>
              <w:t>Cita informācija</w:t>
            </w:r>
          </w:p>
          <w:p w:rsidR="000E5885" w:rsidP="000E5885" w:rsidRDefault="000E5885" w14:paraId="786A66C1" w14:textId="77777777">
            <w:pPr>
              <w:spacing w:after="0" w:line="240" w:lineRule="auto"/>
              <w:rPr>
                <w:rFonts w:ascii="Times New Roman" w:hAnsi="Times New Roman" w:eastAsia="Times New Roman" w:cs="Times New Roman"/>
                <w:iCs/>
                <w:sz w:val="24"/>
                <w:szCs w:val="24"/>
                <w:lang w:eastAsia="lv-LV"/>
              </w:rPr>
            </w:pPr>
          </w:p>
          <w:p w:rsidRPr="002C4066" w:rsidR="000E5885" w:rsidP="000E5885" w:rsidRDefault="000E5885" w14:paraId="24F5022F" w14:textId="77777777">
            <w:pPr>
              <w:spacing w:after="0" w:line="240" w:lineRule="auto"/>
              <w:rPr>
                <w:rFonts w:ascii="Times New Roman" w:hAnsi="Times New Roman" w:eastAsia="Times New Roman" w:cs="Times New Roman"/>
                <w:iCs/>
                <w:sz w:val="24"/>
                <w:szCs w:val="24"/>
                <w:lang w:eastAsia="lv-LV"/>
              </w:rPr>
            </w:pPr>
          </w:p>
        </w:tc>
        <w:tc>
          <w:tcPr>
            <w:tcW w:w="2960" w:type="pct"/>
            <w:tcBorders>
              <w:top w:val="outset" w:color="auto" w:sz="6" w:space="0"/>
              <w:left w:val="outset" w:color="auto" w:sz="6" w:space="0"/>
              <w:bottom w:val="outset" w:color="auto" w:sz="6" w:space="0"/>
              <w:right w:val="outset" w:color="auto" w:sz="6" w:space="0"/>
            </w:tcBorders>
            <w:hideMark/>
          </w:tcPr>
          <w:p w:rsidRPr="002C4066" w:rsidR="000E5885" w:rsidP="000E5885" w:rsidRDefault="000E5885" w14:paraId="66619984" w14:textId="77777777">
            <w:pPr>
              <w:spacing w:after="0" w:line="240" w:lineRule="auto"/>
              <w:rPr>
                <w:rFonts w:ascii="Times New Roman" w:hAnsi="Times New Roman" w:eastAsia="Times New Roman" w:cs="Times New Roman"/>
                <w:iCs/>
                <w:sz w:val="24"/>
                <w:szCs w:val="24"/>
                <w:lang w:eastAsia="lv-LV"/>
              </w:rPr>
            </w:pPr>
            <w:r w:rsidRPr="002C4066">
              <w:rPr>
                <w:rFonts w:ascii="Times New Roman" w:hAnsi="Times New Roman" w:eastAsia="Times New Roman" w:cs="Times New Roman"/>
                <w:iCs/>
                <w:sz w:val="24"/>
                <w:szCs w:val="24"/>
                <w:lang w:eastAsia="lv-LV"/>
              </w:rPr>
              <w:t>Nav</w:t>
            </w:r>
          </w:p>
        </w:tc>
      </w:tr>
    </w:tbl>
    <w:p w:rsidRPr="00242FE9" w:rsidR="00E5323B" w:rsidP="00E23C66" w:rsidRDefault="00E5323B" w14:paraId="0B4A10C2" w14:textId="69954C78">
      <w:pPr>
        <w:spacing w:after="0" w:line="240" w:lineRule="auto"/>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242FE9" w:rsidR="00242FE9" w:rsidTr="00E5323B" w14:paraId="26FFE9E9"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242FE9" w:rsidR="00655F2C" w:rsidP="00E23C66" w:rsidRDefault="00E5323B" w14:paraId="33719222" w14:textId="77777777">
            <w:pPr>
              <w:spacing w:after="0" w:line="240" w:lineRule="auto"/>
              <w:rPr>
                <w:rFonts w:ascii="Times New Roman" w:hAnsi="Times New Roman" w:eastAsia="Times New Roman" w:cs="Times New Roman"/>
                <w:b/>
                <w:bCs/>
                <w:iCs/>
                <w:sz w:val="24"/>
                <w:szCs w:val="24"/>
                <w:lang w:eastAsia="lv-LV"/>
              </w:rPr>
            </w:pPr>
            <w:r w:rsidRPr="00242FE9">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242FE9" w:rsidR="00242FE9" w:rsidTr="00F020B2" w14:paraId="4E62A532"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242FE9" w:rsidR="00655F2C" w:rsidP="00E23C66" w:rsidRDefault="00E5323B" w14:paraId="42BD5507" w14:textId="77777777">
            <w:pPr>
              <w:spacing w:after="0" w:line="240" w:lineRule="auto"/>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242FE9" w:rsidR="006535ED" w:rsidP="00E23C66" w:rsidRDefault="00E5323B" w14:paraId="1BDD594F" w14:textId="3DBD42D2">
            <w:pPr>
              <w:spacing w:after="0" w:line="240" w:lineRule="auto"/>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Projekta izpildē iesaistītās institūcijas</w:t>
            </w:r>
          </w:p>
          <w:p w:rsidRPr="00242FE9" w:rsidR="0057524A" w:rsidP="00E23C66" w:rsidRDefault="0057524A" w14:paraId="19D9FF16" w14:textId="77777777">
            <w:pPr>
              <w:spacing w:after="0" w:line="240" w:lineRule="auto"/>
              <w:rPr>
                <w:rFonts w:ascii="Times New Roman" w:hAnsi="Times New Roman" w:eastAsia="Times New Roman" w:cs="Times New Roman"/>
                <w:iCs/>
                <w:sz w:val="24"/>
                <w:szCs w:val="24"/>
                <w:lang w:eastAsia="lv-LV"/>
              </w:rPr>
            </w:pPr>
          </w:p>
        </w:tc>
        <w:tc>
          <w:tcPr>
            <w:tcW w:w="3000" w:type="pct"/>
            <w:tcBorders>
              <w:top w:val="outset" w:color="auto" w:sz="6" w:space="0"/>
              <w:left w:val="outset" w:color="auto" w:sz="6" w:space="0"/>
              <w:bottom w:val="outset" w:color="auto" w:sz="6" w:space="0"/>
              <w:right w:val="outset" w:color="auto" w:sz="6" w:space="0"/>
            </w:tcBorders>
          </w:tcPr>
          <w:p w:rsidRPr="00242FE9" w:rsidR="00E5323B" w:rsidP="00E23C66" w:rsidRDefault="001C2C71" w14:paraId="5B1BA3AA" w14:textId="77777777">
            <w:pPr>
              <w:spacing w:after="0" w:line="240" w:lineRule="auto"/>
              <w:jc w:val="both"/>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 xml:space="preserve">Satiksmes ministrija, </w:t>
            </w:r>
            <w:r w:rsidRPr="00242FE9" w:rsidR="002453D9">
              <w:rPr>
                <w:rFonts w:ascii="Times New Roman" w:hAnsi="Times New Roman" w:eastAsia="Times New Roman" w:cs="Times New Roman"/>
                <w:iCs/>
                <w:sz w:val="24"/>
                <w:szCs w:val="24"/>
                <w:lang w:eastAsia="lv-LV"/>
              </w:rPr>
              <w:t>AS “Pasažieru vilciens”.</w:t>
            </w:r>
          </w:p>
        </w:tc>
      </w:tr>
      <w:tr w:rsidRPr="00242FE9" w:rsidR="00242FE9" w:rsidTr="00F020B2" w14:paraId="3F2E484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242FE9" w:rsidR="00655F2C" w:rsidP="00E23C66" w:rsidRDefault="00E5323B" w14:paraId="39685358" w14:textId="77777777">
            <w:pPr>
              <w:spacing w:after="0" w:line="240" w:lineRule="auto"/>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242FE9" w:rsidR="0095110C" w:rsidP="00E23C66" w:rsidRDefault="00E5323B" w14:paraId="487D43EF" w14:textId="4CC0582E">
            <w:pPr>
              <w:spacing w:after="0" w:line="240" w:lineRule="auto"/>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Projekta izpildes ietekme uz pārvaldes funkcijām un institucionālo struktūru.</w:t>
            </w:r>
            <w:r w:rsidRPr="00242FE9">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p w:rsidRPr="00242FE9" w:rsidR="0057524A" w:rsidP="00E23C66" w:rsidRDefault="0057524A" w14:paraId="554FB092" w14:textId="77777777">
            <w:pPr>
              <w:spacing w:after="0" w:line="240" w:lineRule="auto"/>
              <w:rPr>
                <w:rFonts w:ascii="Times New Roman" w:hAnsi="Times New Roman" w:eastAsia="Times New Roman" w:cs="Times New Roman"/>
                <w:iCs/>
                <w:sz w:val="24"/>
                <w:szCs w:val="24"/>
                <w:lang w:eastAsia="lv-LV"/>
              </w:rPr>
            </w:pPr>
          </w:p>
        </w:tc>
        <w:tc>
          <w:tcPr>
            <w:tcW w:w="3000" w:type="pct"/>
            <w:tcBorders>
              <w:top w:val="outset" w:color="auto" w:sz="6" w:space="0"/>
              <w:left w:val="outset" w:color="auto" w:sz="6" w:space="0"/>
              <w:bottom w:val="outset" w:color="auto" w:sz="6" w:space="0"/>
              <w:right w:val="outset" w:color="auto" w:sz="6" w:space="0"/>
            </w:tcBorders>
          </w:tcPr>
          <w:p w:rsidR="00E5323B" w:rsidP="00E23C66" w:rsidRDefault="006F0600" w14:paraId="709F6568" w14:textId="77777777">
            <w:pPr>
              <w:spacing w:after="0" w:line="240" w:lineRule="auto"/>
              <w:jc w:val="both"/>
              <w:rPr>
                <w:rFonts w:ascii="Times New Roman" w:hAnsi="Times New Roman" w:eastAsia="Times New Roman"/>
                <w:sz w:val="24"/>
                <w:szCs w:val="24"/>
                <w:lang w:eastAsia="lv-LV"/>
              </w:rPr>
            </w:pPr>
            <w:r w:rsidRPr="003C6917">
              <w:rPr>
                <w:rFonts w:ascii="Times New Roman" w:hAnsi="Times New Roman" w:eastAsia="Times New Roman"/>
                <w:sz w:val="24"/>
                <w:szCs w:val="24"/>
                <w:lang w:eastAsia="lv-LV"/>
              </w:rPr>
              <w:t>Projekta īstenošana tiks veikta esošo cilvēkresursu ietvaros. Saistībā ar projekta izpildi nebūs nepieciešams veidot jaunas institūcijas vai likvidēt vai reorganizēt esošās.</w:t>
            </w:r>
          </w:p>
          <w:p w:rsidR="00F536CF" w:rsidP="007046E6" w:rsidRDefault="00F536CF" w14:paraId="2E023FDE"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Projekta īstenošana ļaus esošo institucionālo struktūru ietvaros attīstīt biļešu tirdzniecības sistēmas atbilstoši biznesa vajadzībām, ieviest </w:t>
            </w:r>
            <w:r w:rsidRPr="00D9708A">
              <w:rPr>
                <w:rFonts w:ascii="Times New Roman" w:hAnsi="Times New Roman" w:cs="Times New Roman"/>
                <w:sz w:val="24"/>
                <w:szCs w:val="24"/>
              </w:rPr>
              <w:t xml:space="preserve">mūsdienīgas, klientiem un darbiniekiem </w:t>
            </w:r>
            <w:r>
              <w:rPr>
                <w:rFonts w:ascii="Times New Roman" w:hAnsi="Times New Roman" w:cs="Times New Roman"/>
                <w:sz w:val="24"/>
                <w:szCs w:val="24"/>
              </w:rPr>
              <w:t xml:space="preserve">nepieciešamas tehnoloģijas, kas </w:t>
            </w:r>
            <w:r w:rsidRPr="00D9708A">
              <w:rPr>
                <w:rFonts w:ascii="Times New Roman" w:hAnsi="Times New Roman" w:cs="Times New Roman"/>
                <w:sz w:val="24"/>
                <w:szCs w:val="24"/>
              </w:rPr>
              <w:t xml:space="preserve">nodrošinās pasažieriem kvalitatīvu un </w:t>
            </w:r>
            <w:r>
              <w:rPr>
                <w:rFonts w:ascii="Times New Roman" w:hAnsi="Times New Roman" w:cs="Times New Roman"/>
                <w:sz w:val="24"/>
                <w:szCs w:val="24"/>
              </w:rPr>
              <w:t>ā</w:t>
            </w:r>
            <w:r w:rsidRPr="00D9708A">
              <w:rPr>
                <w:rFonts w:ascii="Times New Roman" w:hAnsi="Times New Roman" w:cs="Times New Roman"/>
                <w:sz w:val="24"/>
                <w:szCs w:val="24"/>
              </w:rPr>
              <w:t>t</w:t>
            </w:r>
            <w:r>
              <w:rPr>
                <w:rFonts w:ascii="Times New Roman" w:hAnsi="Times New Roman" w:cs="Times New Roman"/>
                <w:sz w:val="24"/>
                <w:szCs w:val="24"/>
              </w:rPr>
              <w:t>r</w:t>
            </w:r>
            <w:r w:rsidRPr="00D9708A">
              <w:rPr>
                <w:rFonts w:ascii="Times New Roman" w:hAnsi="Times New Roman" w:cs="Times New Roman"/>
                <w:sz w:val="24"/>
                <w:szCs w:val="24"/>
              </w:rPr>
              <w:t>u pakalpojumu sniegšanu</w:t>
            </w:r>
            <w:r>
              <w:rPr>
                <w:rFonts w:ascii="Times New Roman" w:hAnsi="Times New Roman" w:cs="Times New Roman"/>
                <w:sz w:val="24"/>
                <w:szCs w:val="24"/>
              </w:rPr>
              <w:t xml:space="preserve">, neiesaistot ārpus nozares darbojošās auditoru kompānijas, un arī būtiski </w:t>
            </w:r>
            <w:r>
              <w:rPr>
                <w:rFonts w:ascii="Times New Roman" w:hAnsi="Times New Roman" w:cs="Times New Roman"/>
                <w:sz w:val="24"/>
                <w:szCs w:val="24"/>
              </w:rPr>
              <w:lastRenderedPageBreak/>
              <w:t>samazinās klientu apkalpošanā iesaistītos cilvēkresursus.</w:t>
            </w:r>
          </w:p>
          <w:p w:rsidRPr="00242FE9" w:rsidR="00F536CF" w:rsidP="00E23C66" w:rsidRDefault="00F536CF" w14:paraId="6D35ACAD" w14:textId="5559C9CB">
            <w:pPr>
              <w:spacing w:after="0" w:line="240" w:lineRule="auto"/>
              <w:jc w:val="both"/>
              <w:rPr>
                <w:rFonts w:ascii="Times New Roman" w:hAnsi="Times New Roman" w:eastAsia="Times New Roman" w:cs="Times New Roman"/>
                <w:iCs/>
                <w:sz w:val="24"/>
                <w:szCs w:val="24"/>
                <w:lang w:eastAsia="lv-LV"/>
              </w:rPr>
            </w:pPr>
          </w:p>
        </w:tc>
      </w:tr>
      <w:tr w:rsidRPr="00242FE9" w:rsidR="00E5323B" w:rsidTr="00E5323B" w14:paraId="778D0E7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242FE9" w:rsidR="00655F2C" w:rsidP="00E23C66" w:rsidRDefault="00E5323B" w14:paraId="6D98C20F" w14:textId="77777777">
            <w:pPr>
              <w:spacing w:after="0" w:line="240" w:lineRule="auto"/>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242FE9" w:rsidR="00E5323B" w:rsidP="00E23C66" w:rsidRDefault="00E5323B" w14:paraId="18599E9B" w14:textId="77777777">
            <w:pPr>
              <w:spacing w:after="0" w:line="240" w:lineRule="auto"/>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0057524A" w:rsidP="00E23C66" w:rsidRDefault="00F020B2" w14:paraId="41265C2D" w14:textId="66A51EC0">
            <w:pPr>
              <w:spacing w:after="0" w:line="240" w:lineRule="auto"/>
              <w:rPr>
                <w:rFonts w:ascii="Times New Roman" w:hAnsi="Times New Roman" w:eastAsia="Times New Roman" w:cs="Times New Roman"/>
                <w:iCs/>
                <w:sz w:val="24"/>
                <w:szCs w:val="24"/>
                <w:lang w:eastAsia="lv-LV"/>
              </w:rPr>
            </w:pPr>
            <w:r w:rsidRPr="00242FE9">
              <w:rPr>
                <w:rFonts w:ascii="Times New Roman" w:hAnsi="Times New Roman" w:eastAsia="Times New Roman" w:cs="Times New Roman"/>
                <w:iCs/>
                <w:sz w:val="24"/>
                <w:szCs w:val="24"/>
                <w:lang w:eastAsia="lv-LV"/>
              </w:rPr>
              <w:t>Nav.</w:t>
            </w:r>
          </w:p>
          <w:p w:rsidRPr="00242FE9" w:rsidR="006535ED" w:rsidP="00E23C66" w:rsidRDefault="006535ED" w14:paraId="2ED3099A" w14:textId="77777777">
            <w:pPr>
              <w:spacing w:after="0" w:line="240" w:lineRule="auto"/>
              <w:rPr>
                <w:rFonts w:ascii="Times New Roman" w:hAnsi="Times New Roman" w:eastAsia="Times New Roman" w:cs="Times New Roman"/>
                <w:iCs/>
                <w:sz w:val="24"/>
                <w:szCs w:val="24"/>
                <w:lang w:eastAsia="lv-LV"/>
              </w:rPr>
            </w:pPr>
            <w:bookmarkStart w:name="_GoBack" w:id="3"/>
            <w:bookmarkEnd w:id="3"/>
          </w:p>
          <w:p w:rsidRPr="00242FE9" w:rsidR="0057524A" w:rsidP="00E23C66" w:rsidRDefault="0057524A" w14:paraId="77AB0934" w14:textId="77777777">
            <w:pPr>
              <w:spacing w:after="0" w:line="240" w:lineRule="auto"/>
              <w:rPr>
                <w:rFonts w:ascii="Times New Roman" w:hAnsi="Times New Roman" w:eastAsia="Times New Roman" w:cs="Times New Roman"/>
                <w:iCs/>
                <w:sz w:val="24"/>
                <w:szCs w:val="24"/>
                <w:lang w:eastAsia="lv-LV"/>
              </w:rPr>
            </w:pPr>
          </w:p>
        </w:tc>
      </w:tr>
    </w:tbl>
    <w:p w:rsidRPr="00242FE9" w:rsidR="00C25B49" w:rsidP="00E23C66" w:rsidRDefault="00C25B49" w14:paraId="796FFD4F" w14:textId="77777777">
      <w:pPr>
        <w:spacing w:after="0" w:line="240" w:lineRule="auto"/>
        <w:rPr>
          <w:rFonts w:ascii="Times New Roman" w:hAnsi="Times New Roman" w:cs="Times New Roman"/>
          <w:sz w:val="24"/>
          <w:szCs w:val="24"/>
        </w:rPr>
      </w:pPr>
    </w:p>
    <w:p w:rsidRPr="00242FE9" w:rsidR="00C93BFF" w:rsidP="00E23C66" w:rsidRDefault="00C93BFF" w14:paraId="5855AE11" w14:textId="77777777">
      <w:pPr>
        <w:spacing w:after="0" w:line="240" w:lineRule="auto"/>
        <w:rPr>
          <w:rFonts w:ascii="Times New Roman" w:hAnsi="Times New Roman" w:cs="Times New Roman"/>
          <w:sz w:val="24"/>
          <w:szCs w:val="24"/>
        </w:rPr>
      </w:pPr>
    </w:p>
    <w:p w:rsidRPr="00242FE9" w:rsidR="00C93BFF" w:rsidP="00E23C66" w:rsidRDefault="00C93BFF" w14:paraId="6A03B171" w14:textId="77777777">
      <w:pPr>
        <w:spacing w:after="0" w:line="240" w:lineRule="auto"/>
        <w:rPr>
          <w:rFonts w:ascii="Times New Roman" w:hAnsi="Times New Roman" w:cs="Times New Roman"/>
          <w:sz w:val="24"/>
          <w:szCs w:val="24"/>
        </w:rPr>
      </w:pPr>
    </w:p>
    <w:p w:rsidRPr="00242FE9" w:rsidR="00024FF2" w:rsidP="00E23C66" w:rsidRDefault="00024FF2" w14:paraId="2ABB3224" w14:textId="77777777">
      <w:pPr>
        <w:spacing w:after="0" w:line="240" w:lineRule="auto"/>
        <w:rPr>
          <w:rFonts w:ascii="Times New Roman" w:hAnsi="Times New Roman" w:cs="Times New Roman"/>
          <w:sz w:val="24"/>
          <w:szCs w:val="24"/>
        </w:rPr>
      </w:pPr>
      <w:r w:rsidRPr="00242FE9">
        <w:rPr>
          <w:rFonts w:ascii="Times New Roman" w:hAnsi="Times New Roman" w:cs="Times New Roman"/>
          <w:sz w:val="24"/>
          <w:szCs w:val="24"/>
        </w:rPr>
        <w:t>Satiksmes ministrs</w:t>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sidR="00896BB0">
        <w:rPr>
          <w:rFonts w:ascii="Times New Roman" w:hAnsi="Times New Roman" w:cs="Times New Roman"/>
          <w:sz w:val="24"/>
          <w:szCs w:val="24"/>
        </w:rPr>
        <w:t>T</w:t>
      </w:r>
      <w:r w:rsidRPr="00242FE9">
        <w:rPr>
          <w:rFonts w:ascii="Times New Roman" w:hAnsi="Times New Roman" w:cs="Times New Roman"/>
          <w:sz w:val="24"/>
          <w:szCs w:val="24"/>
        </w:rPr>
        <w:t>.</w:t>
      </w:r>
      <w:r w:rsidRPr="00242FE9" w:rsidR="00383B02">
        <w:rPr>
          <w:rFonts w:ascii="Times New Roman" w:hAnsi="Times New Roman" w:cs="Times New Roman"/>
          <w:sz w:val="24"/>
          <w:szCs w:val="24"/>
        </w:rPr>
        <w:t> </w:t>
      </w:r>
      <w:proofErr w:type="spellStart"/>
      <w:r w:rsidRPr="00242FE9" w:rsidR="00896BB0">
        <w:rPr>
          <w:rFonts w:ascii="Times New Roman" w:hAnsi="Times New Roman" w:cs="Times New Roman"/>
          <w:sz w:val="24"/>
          <w:szCs w:val="24"/>
        </w:rPr>
        <w:t>Linkaits</w:t>
      </w:r>
      <w:proofErr w:type="spellEnd"/>
    </w:p>
    <w:p w:rsidRPr="00242FE9" w:rsidR="002D3105" w:rsidP="00E23C66" w:rsidRDefault="002D3105" w14:paraId="6A7F4CBE" w14:textId="77777777">
      <w:pPr>
        <w:spacing w:after="0" w:line="240" w:lineRule="auto"/>
        <w:rPr>
          <w:rFonts w:ascii="Times New Roman" w:hAnsi="Times New Roman" w:cs="Times New Roman"/>
          <w:sz w:val="24"/>
          <w:szCs w:val="24"/>
        </w:rPr>
      </w:pPr>
    </w:p>
    <w:p w:rsidRPr="00242FE9" w:rsidR="00C93BFF" w:rsidP="00E23C66" w:rsidRDefault="00C93BFF" w14:paraId="30B001AC" w14:textId="77777777">
      <w:pPr>
        <w:spacing w:after="0" w:line="240" w:lineRule="auto"/>
        <w:rPr>
          <w:rFonts w:ascii="Times New Roman" w:hAnsi="Times New Roman" w:cs="Times New Roman"/>
          <w:sz w:val="24"/>
          <w:szCs w:val="24"/>
        </w:rPr>
      </w:pPr>
    </w:p>
    <w:p w:rsidRPr="00242FE9" w:rsidR="00024FF2" w:rsidP="00E23C66" w:rsidRDefault="004F2A46" w14:paraId="6B3CE57E" w14:textId="77777777">
      <w:pPr>
        <w:spacing w:after="0" w:line="240" w:lineRule="auto"/>
        <w:rPr>
          <w:rFonts w:ascii="Times New Roman" w:hAnsi="Times New Roman" w:cs="Times New Roman"/>
          <w:sz w:val="24"/>
          <w:szCs w:val="24"/>
        </w:rPr>
      </w:pPr>
      <w:r w:rsidRPr="00242FE9">
        <w:rPr>
          <w:rFonts w:ascii="Times New Roman" w:hAnsi="Times New Roman" w:cs="Times New Roman"/>
          <w:sz w:val="24"/>
          <w:szCs w:val="24"/>
        </w:rPr>
        <w:t>V</w:t>
      </w:r>
      <w:r w:rsidRPr="00242FE9" w:rsidR="00024FF2">
        <w:rPr>
          <w:rFonts w:ascii="Times New Roman" w:hAnsi="Times New Roman" w:cs="Times New Roman"/>
          <w:sz w:val="24"/>
          <w:szCs w:val="24"/>
        </w:rPr>
        <w:t>īza:</w:t>
      </w:r>
    </w:p>
    <w:p w:rsidRPr="00242FE9" w:rsidR="00024FF2" w:rsidP="00E23C66" w:rsidRDefault="00024FF2" w14:paraId="1A3D13F4" w14:textId="77777777">
      <w:pPr>
        <w:spacing w:after="0" w:line="240" w:lineRule="auto"/>
        <w:rPr>
          <w:rFonts w:ascii="Times New Roman" w:hAnsi="Times New Roman" w:cs="Times New Roman"/>
          <w:sz w:val="24"/>
          <w:szCs w:val="24"/>
        </w:rPr>
      </w:pPr>
      <w:r w:rsidRPr="00242FE9">
        <w:rPr>
          <w:rFonts w:ascii="Times New Roman" w:hAnsi="Times New Roman" w:cs="Times New Roman"/>
          <w:sz w:val="24"/>
          <w:szCs w:val="24"/>
        </w:rPr>
        <w:t>Valsts sekretār</w:t>
      </w:r>
      <w:r w:rsidRPr="00242FE9" w:rsidR="006A2AFA">
        <w:rPr>
          <w:rFonts w:ascii="Times New Roman" w:hAnsi="Times New Roman" w:cs="Times New Roman"/>
          <w:sz w:val="24"/>
          <w:szCs w:val="24"/>
        </w:rPr>
        <w:t xml:space="preserve">a </w:t>
      </w:r>
      <w:proofErr w:type="spellStart"/>
      <w:r w:rsidRPr="00242FE9" w:rsidR="006A2AFA">
        <w:rPr>
          <w:rFonts w:ascii="Times New Roman" w:hAnsi="Times New Roman" w:cs="Times New Roman"/>
          <w:sz w:val="24"/>
          <w:szCs w:val="24"/>
        </w:rPr>
        <w:t>p.i</w:t>
      </w:r>
      <w:proofErr w:type="spellEnd"/>
      <w:r w:rsidRPr="00242FE9" w:rsidR="006A2AFA">
        <w:rPr>
          <w:rFonts w:ascii="Times New Roman" w:hAnsi="Times New Roman" w:cs="Times New Roman"/>
          <w:sz w:val="24"/>
          <w:szCs w:val="24"/>
        </w:rPr>
        <w:t>.</w:t>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Pr>
          <w:rFonts w:ascii="Times New Roman" w:hAnsi="Times New Roman" w:cs="Times New Roman"/>
          <w:sz w:val="24"/>
          <w:szCs w:val="24"/>
        </w:rPr>
        <w:tab/>
      </w:r>
      <w:proofErr w:type="spellStart"/>
      <w:r w:rsidRPr="00242FE9" w:rsidR="006A2AFA">
        <w:rPr>
          <w:rFonts w:ascii="Times New Roman" w:hAnsi="Times New Roman" w:cs="Times New Roman"/>
          <w:sz w:val="24"/>
          <w:szCs w:val="24"/>
        </w:rPr>
        <w:t>Dž</w:t>
      </w:r>
      <w:proofErr w:type="spellEnd"/>
      <w:r w:rsidRPr="00242FE9">
        <w:rPr>
          <w:rFonts w:ascii="Times New Roman" w:hAnsi="Times New Roman" w:cs="Times New Roman"/>
          <w:sz w:val="24"/>
          <w:szCs w:val="24"/>
        </w:rPr>
        <w:t>.</w:t>
      </w:r>
      <w:r w:rsidRPr="00242FE9" w:rsidR="006A2AFA">
        <w:rPr>
          <w:rFonts w:ascii="Times New Roman" w:hAnsi="Times New Roman" w:cs="Times New Roman"/>
          <w:sz w:val="24"/>
          <w:szCs w:val="24"/>
        </w:rPr>
        <w:t> Innusa</w:t>
      </w:r>
    </w:p>
    <w:p w:rsidRPr="00242FE9" w:rsidR="00894C55" w:rsidP="00E23C66" w:rsidRDefault="00894C55" w14:paraId="343330D0" w14:textId="77777777">
      <w:pPr>
        <w:spacing w:after="0" w:line="240" w:lineRule="auto"/>
        <w:ind w:firstLine="720"/>
        <w:rPr>
          <w:rFonts w:ascii="Times New Roman" w:hAnsi="Times New Roman" w:cs="Times New Roman"/>
          <w:sz w:val="24"/>
          <w:szCs w:val="24"/>
        </w:rPr>
      </w:pPr>
    </w:p>
    <w:p w:rsidRPr="00242FE9" w:rsidR="00C93BFF" w:rsidP="00E23C66" w:rsidRDefault="00C93BFF" w14:paraId="2AE465BE" w14:textId="77777777">
      <w:pPr>
        <w:spacing w:after="0" w:line="240" w:lineRule="auto"/>
        <w:ind w:firstLine="720"/>
        <w:rPr>
          <w:rFonts w:ascii="Times New Roman" w:hAnsi="Times New Roman" w:cs="Times New Roman"/>
          <w:sz w:val="24"/>
          <w:szCs w:val="24"/>
        </w:rPr>
      </w:pPr>
    </w:p>
    <w:p w:rsidRPr="00242FE9" w:rsidR="00C93BFF" w:rsidP="00E23C66" w:rsidRDefault="00C93BFF" w14:paraId="171FFD1F" w14:textId="77777777">
      <w:pPr>
        <w:spacing w:after="0" w:line="240" w:lineRule="auto"/>
        <w:ind w:firstLine="720"/>
        <w:rPr>
          <w:rFonts w:ascii="Times New Roman" w:hAnsi="Times New Roman" w:cs="Times New Roman"/>
          <w:sz w:val="24"/>
          <w:szCs w:val="24"/>
        </w:rPr>
      </w:pPr>
    </w:p>
    <w:sectPr w:rsidRPr="00242FE9" w:rsidR="00C93BFF"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EC15B" w14:textId="77777777" w:rsidR="00823D54" w:rsidRDefault="00823D54" w:rsidP="00894C55">
      <w:pPr>
        <w:spacing w:after="0" w:line="240" w:lineRule="auto"/>
      </w:pPr>
      <w:r>
        <w:separator/>
      </w:r>
    </w:p>
  </w:endnote>
  <w:endnote w:type="continuationSeparator" w:id="0">
    <w:p w14:paraId="3FB47ED1" w14:textId="77777777" w:rsidR="00823D54" w:rsidRDefault="00823D5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034F" w14:textId="0E12BAFB" w:rsidR="000C0D51" w:rsidRPr="00894C55" w:rsidRDefault="00024FF2">
    <w:pPr>
      <w:pStyle w:val="Footer"/>
      <w:rPr>
        <w:rFonts w:ascii="Times New Roman" w:hAnsi="Times New Roman" w:cs="Times New Roman"/>
        <w:sz w:val="20"/>
        <w:szCs w:val="20"/>
      </w:rPr>
    </w:pPr>
    <w:r>
      <w:rPr>
        <w:rFonts w:ascii="Times New Roman" w:hAnsi="Times New Roman" w:cs="Times New Roman"/>
        <w:sz w:val="20"/>
        <w:szCs w:val="20"/>
      </w:rPr>
      <w:t>SManot_</w:t>
    </w:r>
    <w:r w:rsidR="00F1009A">
      <w:rPr>
        <w:rFonts w:ascii="Times New Roman" w:hAnsi="Times New Roman" w:cs="Times New Roman"/>
        <w:sz w:val="20"/>
        <w:szCs w:val="20"/>
      </w:rPr>
      <w:t>0407</w:t>
    </w:r>
    <w:r w:rsidR="00820353">
      <w:rPr>
        <w:rFonts w:ascii="Times New Roman" w:hAnsi="Times New Roman" w:cs="Times New Roman"/>
        <w:sz w:val="20"/>
        <w:szCs w:val="20"/>
      </w:rPr>
      <w:t>19</w:t>
    </w:r>
    <w:r w:rsidR="000C0D51">
      <w:rPr>
        <w:rFonts w:ascii="Times New Roman" w:hAnsi="Times New Roman" w:cs="Times New Roman"/>
        <w:sz w:val="20"/>
        <w:szCs w:val="20"/>
      </w:rPr>
      <w:t>_</w:t>
    </w:r>
    <w:r w:rsidR="008103A7">
      <w:rPr>
        <w:rFonts w:ascii="Times New Roman" w:hAnsi="Times New Roman" w:cs="Times New Roman"/>
        <w:sz w:val="20"/>
        <w:szCs w:val="20"/>
      </w:rPr>
      <w:t>MK96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66742" w14:textId="3C1EB26B" w:rsidR="00024FF2" w:rsidRPr="00894C55" w:rsidRDefault="00024FF2" w:rsidP="00024FF2">
    <w:pPr>
      <w:pStyle w:val="Footer"/>
      <w:rPr>
        <w:rFonts w:ascii="Times New Roman" w:hAnsi="Times New Roman" w:cs="Times New Roman"/>
        <w:sz w:val="20"/>
        <w:szCs w:val="20"/>
      </w:rPr>
    </w:pPr>
    <w:r>
      <w:rPr>
        <w:rFonts w:ascii="Times New Roman" w:hAnsi="Times New Roman" w:cs="Times New Roman"/>
        <w:sz w:val="20"/>
        <w:szCs w:val="20"/>
      </w:rPr>
      <w:t>SManot_</w:t>
    </w:r>
    <w:r w:rsidR="00F1009A">
      <w:rPr>
        <w:rFonts w:ascii="Times New Roman" w:hAnsi="Times New Roman" w:cs="Times New Roman"/>
        <w:sz w:val="20"/>
        <w:szCs w:val="20"/>
      </w:rPr>
      <w:t>0407</w:t>
    </w:r>
    <w:r>
      <w:rPr>
        <w:rFonts w:ascii="Times New Roman" w:hAnsi="Times New Roman" w:cs="Times New Roman"/>
        <w:sz w:val="20"/>
        <w:szCs w:val="20"/>
      </w:rPr>
      <w:t>1</w:t>
    </w:r>
    <w:r w:rsidR="00FB3740">
      <w:rPr>
        <w:rFonts w:ascii="Times New Roman" w:hAnsi="Times New Roman" w:cs="Times New Roman"/>
        <w:sz w:val="20"/>
        <w:szCs w:val="20"/>
      </w:rPr>
      <w:t>9</w:t>
    </w:r>
    <w:r>
      <w:rPr>
        <w:rFonts w:ascii="Times New Roman" w:hAnsi="Times New Roman" w:cs="Times New Roman"/>
        <w:sz w:val="20"/>
        <w:szCs w:val="20"/>
      </w:rPr>
      <w:t>_</w:t>
    </w:r>
    <w:r w:rsidR="008103A7">
      <w:rPr>
        <w:rFonts w:ascii="Times New Roman" w:hAnsi="Times New Roman" w:cs="Times New Roman"/>
        <w:sz w:val="20"/>
        <w:szCs w:val="20"/>
      </w:rPr>
      <w:t>MK96</w:t>
    </w:r>
  </w:p>
  <w:p w14:paraId="4FF41A47" w14:textId="77777777" w:rsidR="000C0D51" w:rsidRPr="00024FF2" w:rsidRDefault="000C0D51" w:rsidP="00024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D2B09" w14:textId="77777777" w:rsidR="00823D54" w:rsidRDefault="00823D54" w:rsidP="00894C55">
      <w:pPr>
        <w:spacing w:after="0" w:line="240" w:lineRule="auto"/>
      </w:pPr>
      <w:r>
        <w:separator/>
      </w:r>
    </w:p>
  </w:footnote>
  <w:footnote w:type="continuationSeparator" w:id="0">
    <w:p w14:paraId="3EE99856" w14:textId="77777777" w:rsidR="00823D54" w:rsidRDefault="00823D5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0C0D51" w:rsidRDefault="00D561DF" w14:paraId="47446371"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0C0D51">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D062C">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72C3E"/>
    <w:multiLevelType w:val="hybridMultilevel"/>
    <w:tmpl w:val="38149F0E"/>
    <w:lvl w:ilvl="0" w:tplc="BA945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F0FA6"/>
    <w:multiLevelType w:val="hybridMultilevel"/>
    <w:tmpl w:val="99A24B8A"/>
    <w:lvl w:ilvl="0" w:tplc="58064B2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3A42E13"/>
    <w:multiLevelType w:val="hybridMultilevel"/>
    <w:tmpl w:val="7D5A8C3E"/>
    <w:lvl w:ilvl="0" w:tplc="37B8E3C4">
      <w:start w:val="1"/>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56C8"/>
    <w:rsid w:val="00024FF2"/>
    <w:rsid w:val="00030FC8"/>
    <w:rsid w:val="0004055D"/>
    <w:rsid w:val="000414FF"/>
    <w:rsid w:val="000415B6"/>
    <w:rsid w:val="000459A8"/>
    <w:rsid w:val="000561A4"/>
    <w:rsid w:val="00075E08"/>
    <w:rsid w:val="0008292F"/>
    <w:rsid w:val="00083799"/>
    <w:rsid w:val="00090432"/>
    <w:rsid w:val="00090A13"/>
    <w:rsid w:val="00094003"/>
    <w:rsid w:val="000B1D9B"/>
    <w:rsid w:val="000C0D51"/>
    <w:rsid w:val="000C17F0"/>
    <w:rsid w:val="000C1C0A"/>
    <w:rsid w:val="000E5885"/>
    <w:rsid w:val="000F361E"/>
    <w:rsid w:val="000F5833"/>
    <w:rsid w:val="0010472D"/>
    <w:rsid w:val="0012121A"/>
    <w:rsid w:val="00137059"/>
    <w:rsid w:val="00142CD7"/>
    <w:rsid w:val="001527AA"/>
    <w:rsid w:val="00170091"/>
    <w:rsid w:val="00183809"/>
    <w:rsid w:val="00191BD5"/>
    <w:rsid w:val="00196CA6"/>
    <w:rsid w:val="001A0278"/>
    <w:rsid w:val="001A1AE8"/>
    <w:rsid w:val="001C2440"/>
    <w:rsid w:val="001C2C71"/>
    <w:rsid w:val="001C6929"/>
    <w:rsid w:val="001D65FF"/>
    <w:rsid w:val="001E368D"/>
    <w:rsid w:val="001F3DF4"/>
    <w:rsid w:val="001F6E18"/>
    <w:rsid w:val="00215A9A"/>
    <w:rsid w:val="002347BE"/>
    <w:rsid w:val="00242FE9"/>
    <w:rsid w:val="00243426"/>
    <w:rsid w:val="002453D9"/>
    <w:rsid w:val="00261DC2"/>
    <w:rsid w:val="002621EF"/>
    <w:rsid w:val="00281840"/>
    <w:rsid w:val="0029438D"/>
    <w:rsid w:val="00294893"/>
    <w:rsid w:val="002D3105"/>
    <w:rsid w:val="002D709B"/>
    <w:rsid w:val="002E1C05"/>
    <w:rsid w:val="002F0C98"/>
    <w:rsid w:val="002F23F7"/>
    <w:rsid w:val="002F2B41"/>
    <w:rsid w:val="003053B6"/>
    <w:rsid w:val="0031156B"/>
    <w:rsid w:val="003149DF"/>
    <w:rsid w:val="00331AAE"/>
    <w:rsid w:val="00333D10"/>
    <w:rsid w:val="00355DCF"/>
    <w:rsid w:val="0036179A"/>
    <w:rsid w:val="00383B02"/>
    <w:rsid w:val="003913C2"/>
    <w:rsid w:val="00391F8B"/>
    <w:rsid w:val="003B0BF9"/>
    <w:rsid w:val="003B2B4B"/>
    <w:rsid w:val="003B5A3E"/>
    <w:rsid w:val="003C4124"/>
    <w:rsid w:val="003C507E"/>
    <w:rsid w:val="003C7045"/>
    <w:rsid w:val="003D3994"/>
    <w:rsid w:val="003D4C4F"/>
    <w:rsid w:val="003E0791"/>
    <w:rsid w:val="003E630A"/>
    <w:rsid w:val="003F28AC"/>
    <w:rsid w:val="003F39F7"/>
    <w:rsid w:val="00401428"/>
    <w:rsid w:val="00415AB4"/>
    <w:rsid w:val="004454FE"/>
    <w:rsid w:val="00456E40"/>
    <w:rsid w:val="0046173A"/>
    <w:rsid w:val="004700ED"/>
    <w:rsid w:val="00471F27"/>
    <w:rsid w:val="00474C4C"/>
    <w:rsid w:val="00487872"/>
    <w:rsid w:val="004911A8"/>
    <w:rsid w:val="00492F93"/>
    <w:rsid w:val="004A6350"/>
    <w:rsid w:val="004B5A78"/>
    <w:rsid w:val="004C0E07"/>
    <w:rsid w:val="004E504F"/>
    <w:rsid w:val="004F2A46"/>
    <w:rsid w:val="0050178F"/>
    <w:rsid w:val="00537F1C"/>
    <w:rsid w:val="005660C9"/>
    <w:rsid w:val="005749DD"/>
    <w:rsid w:val="0057524A"/>
    <w:rsid w:val="00577922"/>
    <w:rsid w:val="0058123B"/>
    <w:rsid w:val="005911EA"/>
    <w:rsid w:val="00591705"/>
    <w:rsid w:val="00592866"/>
    <w:rsid w:val="005C2827"/>
    <w:rsid w:val="005E4937"/>
    <w:rsid w:val="005F78C6"/>
    <w:rsid w:val="00604290"/>
    <w:rsid w:val="00626FA7"/>
    <w:rsid w:val="00633A65"/>
    <w:rsid w:val="006534C5"/>
    <w:rsid w:val="006535ED"/>
    <w:rsid w:val="00655F2C"/>
    <w:rsid w:val="00676947"/>
    <w:rsid w:val="00676EFE"/>
    <w:rsid w:val="00685BE9"/>
    <w:rsid w:val="00697058"/>
    <w:rsid w:val="00697A6F"/>
    <w:rsid w:val="006A2AFA"/>
    <w:rsid w:val="006B014A"/>
    <w:rsid w:val="006B23D2"/>
    <w:rsid w:val="006B5167"/>
    <w:rsid w:val="006B7A89"/>
    <w:rsid w:val="006C3749"/>
    <w:rsid w:val="006C3F25"/>
    <w:rsid w:val="006D011F"/>
    <w:rsid w:val="006D30C9"/>
    <w:rsid w:val="006E1081"/>
    <w:rsid w:val="006F0600"/>
    <w:rsid w:val="007046E6"/>
    <w:rsid w:val="00720585"/>
    <w:rsid w:val="00735BDA"/>
    <w:rsid w:val="00736B27"/>
    <w:rsid w:val="00736E99"/>
    <w:rsid w:val="00745FFC"/>
    <w:rsid w:val="007565CD"/>
    <w:rsid w:val="00762476"/>
    <w:rsid w:val="007641CA"/>
    <w:rsid w:val="00765B54"/>
    <w:rsid w:val="00773AF6"/>
    <w:rsid w:val="007872A9"/>
    <w:rsid w:val="00787425"/>
    <w:rsid w:val="00795F71"/>
    <w:rsid w:val="007B4433"/>
    <w:rsid w:val="007B6C89"/>
    <w:rsid w:val="007C358D"/>
    <w:rsid w:val="007C5B20"/>
    <w:rsid w:val="007E2055"/>
    <w:rsid w:val="007E26C9"/>
    <w:rsid w:val="007E2ED7"/>
    <w:rsid w:val="007E5F7A"/>
    <w:rsid w:val="007E6834"/>
    <w:rsid w:val="007E73AB"/>
    <w:rsid w:val="007E74E0"/>
    <w:rsid w:val="007F32F9"/>
    <w:rsid w:val="007F474F"/>
    <w:rsid w:val="008103A7"/>
    <w:rsid w:val="00812C9F"/>
    <w:rsid w:val="00813E29"/>
    <w:rsid w:val="00816C11"/>
    <w:rsid w:val="008178DE"/>
    <w:rsid w:val="00820353"/>
    <w:rsid w:val="00823D54"/>
    <w:rsid w:val="00833CC8"/>
    <w:rsid w:val="00842A2B"/>
    <w:rsid w:val="00870161"/>
    <w:rsid w:val="008778DB"/>
    <w:rsid w:val="00894C55"/>
    <w:rsid w:val="00895C8C"/>
    <w:rsid w:val="00896BB0"/>
    <w:rsid w:val="008A1F27"/>
    <w:rsid w:val="008B51BF"/>
    <w:rsid w:val="008D062C"/>
    <w:rsid w:val="008D1A48"/>
    <w:rsid w:val="008D6FC3"/>
    <w:rsid w:val="008F6BE2"/>
    <w:rsid w:val="00906DA2"/>
    <w:rsid w:val="00926FD4"/>
    <w:rsid w:val="00936AB2"/>
    <w:rsid w:val="0095110C"/>
    <w:rsid w:val="009548D0"/>
    <w:rsid w:val="0097313D"/>
    <w:rsid w:val="00982C11"/>
    <w:rsid w:val="00986A28"/>
    <w:rsid w:val="00994CEB"/>
    <w:rsid w:val="009A2654"/>
    <w:rsid w:val="009A4F44"/>
    <w:rsid w:val="009A7E69"/>
    <w:rsid w:val="009C48CC"/>
    <w:rsid w:val="009C7F3C"/>
    <w:rsid w:val="009E6C9E"/>
    <w:rsid w:val="009E78F4"/>
    <w:rsid w:val="00A10FC3"/>
    <w:rsid w:val="00A1473C"/>
    <w:rsid w:val="00A1673B"/>
    <w:rsid w:val="00A33F93"/>
    <w:rsid w:val="00A45CC6"/>
    <w:rsid w:val="00A51DF5"/>
    <w:rsid w:val="00A6073E"/>
    <w:rsid w:val="00A70A76"/>
    <w:rsid w:val="00A851B5"/>
    <w:rsid w:val="00AA4AE6"/>
    <w:rsid w:val="00AA721B"/>
    <w:rsid w:val="00AB312F"/>
    <w:rsid w:val="00AC487E"/>
    <w:rsid w:val="00AC48CF"/>
    <w:rsid w:val="00AD4059"/>
    <w:rsid w:val="00AD7E91"/>
    <w:rsid w:val="00AE2921"/>
    <w:rsid w:val="00AE5567"/>
    <w:rsid w:val="00AF1239"/>
    <w:rsid w:val="00AF734B"/>
    <w:rsid w:val="00B16480"/>
    <w:rsid w:val="00B2165C"/>
    <w:rsid w:val="00B26B5C"/>
    <w:rsid w:val="00B415DE"/>
    <w:rsid w:val="00B41E3F"/>
    <w:rsid w:val="00B56321"/>
    <w:rsid w:val="00B75409"/>
    <w:rsid w:val="00B75496"/>
    <w:rsid w:val="00B82AE1"/>
    <w:rsid w:val="00B93521"/>
    <w:rsid w:val="00BA0E93"/>
    <w:rsid w:val="00BA20AA"/>
    <w:rsid w:val="00BA2D3B"/>
    <w:rsid w:val="00BA31CA"/>
    <w:rsid w:val="00BC168C"/>
    <w:rsid w:val="00BD4425"/>
    <w:rsid w:val="00BD562B"/>
    <w:rsid w:val="00BE020F"/>
    <w:rsid w:val="00BF297D"/>
    <w:rsid w:val="00C00824"/>
    <w:rsid w:val="00C25B49"/>
    <w:rsid w:val="00C25C86"/>
    <w:rsid w:val="00C25CCC"/>
    <w:rsid w:val="00C27729"/>
    <w:rsid w:val="00C42ABA"/>
    <w:rsid w:val="00C536DB"/>
    <w:rsid w:val="00C566BB"/>
    <w:rsid w:val="00C67191"/>
    <w:rsid w:val="00C73402"/>
    <w:rsid w:val="00C80D86"/>
    <w:rsid w:val="00C82DDA"/>
    <w:rsid w:val="00C93BFF"/>
    <w:rsid w:val="00C96400"/>
    <w:rsid w:val="00CA1E1D"/>
    <w:rsid w:val="00CB7385"/>
    <w:rsid w:val="00CC0D2D"/>
    <w:rsid w:val="00CC4213"/>
    <w:rsid w:val="00CC4F51"/>
    <w:rsid w:val="00CD6517"/>
    <w:rsid w:val="00CD7456"/>
    <w:rsid w:val="00CE5657"/>
    <w:rsid w:val="00D133F8"/>
    <w:rsid w:val="00D14A3E"/>
    <w:rsid w:val="00D20745"/>
    <w:rsid w:val="00D53738"/>
    <w:rsid w:val="00D561DF"/>
    <w:rsid w:val="00D60092"/>
    <w:rsid w:val="00D61D49"/>
    <w:rsid w:val="00D810C5"/>
    <w:rsid w:val="00D8797C"/>
    <w:rsid w:val="00D9708A"/>
    <w:rsid w:val="00DB20AE"/>
    <w:rsid w:val="00DB540F"/>
    <w:rsid w:val="00E161A9"/>
    <w:rsid w:val="00E23C66"/>
    <w:rsid w:val="00E36FAF"/>
    <w:rsid w:val="00E3716B"/>
    <w:rsid w:val="00E41896"/>
    <w:rsid w:val="00E5323B"/>
    <w:rsid w:val="00E56182"/>
    <w:rsid w:val="00E65F9E"/>
    <w:rsid w:val="00E816E8"/>
    <w:rsid w:val="00E87285"/>
    <w:rsid w:val="00E8749E"/>
    <w:rsid w:val="00E90C01"/>
    <w:rsid w:val="00EA0BDE"/>
    <w:rsid w:val="00EA1CC5"/>
    <w:rsid w:val="00EA486E"/>
    <w:rsid w:val="00EB375D"/>
    <w:rsid w:val="00EC05F4"/>
    <w:rsid w:val="00EF7742"/>
    <w:rsid w:val="00F01BEB"/>
    <w:rsid w:val="00F01F7C"/>
    <w:rsid w:val="00F020B2"/>
    <w:rsid w:val="00F1009A"/>
    <w:rsid w:val="00F12B5A"/>
    <w:rsid w:val="00F12F34"/>
    <w:rsid w:val="00F21C54"/>
    <w:rsid w:val="00F310D1"/>
    <w:rsid w:val="00F536CF"/>
    <w:rsid w:val="00F560D9"/>
    <w:rsid w:val="00F56D7F"/>
    <w:rsid w:val="00F57B0C"/>
    <w:rsid w:val="00F871A7"/>
    <w:rsid w:val="00F9739E"/>
    <w:rsid w:val="00FB3740"/>
    <w:rsid w:val="00FB3C9E"/>
    <w:rsid w:val="00FC5970"/>
    <w:rsid w:val="00FD1444"/>
    <w:rsid w:val="00FD1AB4"/>
    <w:rsid w:val="00FE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036B1"/>
  <w15:docId w15:val="{B8CEECC7-1329-47F1-8F00-9062F341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E816E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tv213">
    <w:name w:val="tv213"/>
    <w:basedOn w:val="Normal"/>
    <w:rsid w:val="00B754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383B02"/>
    <w:pPr>
      <w:spacing w:after="120" w:line="480" w:lineRule="auto"/>
    </w:pPr>
    <w:rPr>
      <w:rFonts w:ascii="Arial" w:eastAsia="Calibri" w:hAnsi="Arial" w:cs="Times New Roman"/>
      <w:sz w:val="20"/>
    </w:rPr>
  </w:style>
  <w:style w:type="character" w:customStyle="1" w:styleId="BodyText2Char">
    <w:name w:val="Body Text 2 Char"/>
    <w:basedOn w:val="DefaultParagraphFont"/>
    <w:link w:val="BodyText2"/>
    <w:rsid w:val="00383B02"/>
    <w:rPr>
      <w:rFonts w:ascii="Arial" w:eastAsia="Calibri" w:hAnsi="Arial" w:cs="Times New Roman"/>
      <w:sz w:val="20"/>
    </w:rPr>
  </w:style>
  <w:style w:type="paragraph" w:customStyle="1" w:styleId="Parastais1">
    <w:name w:val="Parastais1"/>
    <w:qFormat/>
    <w:rsid w:val="00383B02"/>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AA4AE6"/>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ListParagraphChar">
    <w:name w:val="List Paragraph Char"/>
    <w:link w:val="ListParagraph"/>
    <w:uiPriority w:val="99"/>
    <w:locked/>
    <w:rsid w:val="007F32F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A0BDE"/>
    <w:rPr>
      <w:sz w:val="16"/>
      <w:szCs w:val="16"/>
    </w:rPr>
  </w:style>
  <w:style w:type="paragraph" w:styleId="CommentText">
    <w:name w:val="annotation text"/>
    <w:basedOn w:val="Normal"/>
    <w:link w:val="CommentTextChar"/>
    <w:uiPriority w:val="99"/>
    <w:semiHidden/>
    <w:unhideWhenUsed/>
    <w:rsid w:val="00EA0BDE"/>
    <w:pPr>
      <w:spacing w:line="240" w:lineRule="auto"/>
    </w:pPr>
    <w:rPr>
      <w:sz w:val="20"/>
      <w:szCs w:val="20"/>
    </w:rPr>
  </w:style>
  <w:style w:type="character" w:customStyle="1" w:styleId="CommentTextChar">
    <w:name w:val="Comment Text Char"/>
    <w:basedOn w:val="DefaultParagraphFont"/>
    <w:link w:val="CommentText"/>
    <w:uiPriority w:val="99"/>
    <w:semiHidden/>
    <w:rsid w:val="00EA0BDE"/>
    <w:rPr>
      <w:sz w:val="20"/>
      <w:szCs w:val="20"/>
    </w:rPr>
  </w:style>
  <w:style w:type="paragraph" w:styleId="CommentSubject">
    <w:name w:val="annotation subject"/>
    <w:basedOn w:val="CommentText"/>
    <w:next w:val="CommentText"/>
    <w:link w:val="CommentSubjectChar"/>
    <w:uiPriority w:val="99"/>
    <w:semiHidden/>
    <w:unhideWhenUsed/>
    <w:rsid w:val="00EA0BDE"/>
    <w:rPr>
      <w:b/>
      <w:bCs/>
    </w:rPr>
  </w:style>
  <w:style w:type="character" w:customStyle="1" w:styleId="CommentSubjectChar">
    <w:name w:val="Comment Subject Char"/>
    <w:basedOn w:val="CommentTextChar"/>
    <w:link w:val="CommentSubject"/>
    <w:uiPriority w:val="99"/>
    <w:semiHidden/>
    <w:rsid w:val="00EA0BDE"/>
    <w:rPr>
      <w:b/>
      <w:bCs/>
      <w:sz w:val="20"/>
      <w:szCs w:val="20"/>
    </w:rPr>
  </w:style>
  <w:style w:type="paragraph" w:customStyle="1" w:styleId="naiskr">
    <w:name w:val="naiskr"/>
    <w:basedOn w:val="Normal"/>
    <w:rsid w:val="00EC05F4"/>
    <w:pPr>
      <w:spacing w:before="75" w:after="75"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653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7886465">
      <w:bodyDiv w:val="1"/>
      <w:marLeft w:val="0"/>
      <w:marRight w:val="0"/>
      <w:marTop w:val="0"/>
      <w:marBottom w:val="0"/>
      <w:divBdr>
        <w:top w:val="none" w:sz="0" w:space="0" w:color="auto"/>
        <w:left w:val="none" w:sz="0" w:space="0" w:color="auto"/>
        <w:bottom w:val="none" w:sz="0" w:space="0" w:color="auto"/>
        <w:right w:val="none" w:sz="0" w:space="0" w:color="auto"/>
      </w:divBdr>
    </w:div>
    <w:div w:id="555359617">
      <w:bodyDiv w:val="1"/>
      <w:marLeft w:val="0"/>
      <w:marRight w:val="0"/>
      <w:marTop w:val="0"/>
      <w:marBottom w:val="0"/>
      <w:divBdr>
        <w:top w:val="none" w:sz="0" w:space="0" w:color="auto"/>
        <w:left w:val="none" w:sz="0" w:space="0" w:color="auto"/>
        <w:bottom w:val="none" w:sz="0" w:space="0" w:color="auto"/>
        <w:right w:val="none" w:sz="0" w:space="0" w:color="auto"/>
      </w:divBdr>
    </w:div>
    <w:div w:id="609092946">
      <w:bodyDiv w:val="1"/>
      <w:marLeft w:val="0"/>
      <w:marRight w:val="0"/>
      <w:marTop w:val="0"/>
      <w:marBottom w:val="0"/>
      <w:divBdr>
        <w:top w:val="none" w:sz="0" w:space="0" w:color="auto"/>
        <w:left w:val="none" w:sz="0" w:space="0" w:color="auto"/>
        <w:bottom w:val="none" w:sz="0" w:space="0" w:color="auto"/>
        <w:right w:val="none" w:sz="0" w:space="0" w:color="auto"/>
      </w:divBdr>
    </w:div>
    <w:div w:id="854149996">
      <w:bodyDiv w:val="1"/>
      <w:marLeft w:val="0"/>
      <w:marRight w:val="0"/>
      <w:marTop w:val="0"/>
      <w:marBottom w:val="0"/>
      <w:divBdr>
        <w:top w:val="none" w:sz="0" w:space="0" w:color="auto"/>
        <w:left w:val="none" w:sz="0" w:space="0" w:color="auto"/>
        <w:bottom w:val="none" w:sz="0" w:space="0" w:color="auto"/>
        <w:right w:val="none" w:sz="0" w:space="0" w:color="auto"/>
      </w:divBdr>
    </w:div>
    <w:div w:id="134528195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53553635">
      <w:bodyDiv w:val="1"/>
      <w:marLeft w:val="0"/>
      <w:marRight w:val="0"/>
      <w:marTop w:val="0"/>
      <w:marBottom w:val="0"/>
      <w:divBdr>
        <w:top w:val="none" w:sz="0" w:space="0" w:color="auto"/>
        <w:left w:val="none" w:sz="0" w:space="0" w:color="auto"/>
        <w:bottom w:val="none" w:sz="0" w:space="0" w:color="auto"/>
        <w:right w:val="none" w:sz="0" w:space="0" w:color="auto"/>
      </w:divBdr>
    </w:div>
    <w:div w:id="1571578909">
      <w:bodyDiv w:val="1"/>
      <w:marLeft w:val="0"/>
      <w:marRight w:val="0"/>
      <w:marTop w:val="0"/>
      <w:marBottom w:val="0"/>
      <w:divBdr>
        <w:top w:val="none" w:sz="0" w:space="0" w:color="auto"/>
        <w:left w:val="none" w:sz="0" w:space="0" w:color="auto"/>
        <w:bottom w:val="none" w:sz="0" w:space="0" w:color="auto"/>
        <w:right w:val="none" w:sz="0" w:space="0" w:color="auto"/>
      </w:divBdr>
    </w:div>
    <w:div w:id="1705207175">
      <w:bodyDiv w:val="1"/>
      <w:marLeft w:val="0"/>
      <w:marRight w:val="0"/>
      <w:marTop w:val="0"/>
      <w:marBottom w:val="0"/>
      <w:divBdr>
        <w:top w:val="none" w:sz="0" w:space="0" w:color="auto"/>
        <w:left w:val="none" w:sz="0" w:space="0" w:color="auto"/>
        <w:bottom w:val="none" w:sz="0" w:space="0" w:color="auto"/>
        <w:right w:val="none" w:sz="0" w:space="0" w:color="auto"/>
      </w:divBdr>
    </w:div>
    <w:div w:id="20339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5486-noteikumi-par-nodoklu-un-citu-maksajumu-registresanas-elektronisko-iericu-un-iekartu-tehniskajam-prasib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m.gov.lv/sm/content/?cat=5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4A79D-0EF6-4871-BAE9-624F93B3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12218</Words>
  <Characters>6965</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Grozījumu Ministru kabineta 2014.gada 11.februāra noteikumos Nr.96 “Nodokļu un citu maksājumu reģistrēšanas elektronisko ierīču un iekārtu lietošanas kārtība”” sākotnējās ietekmes novērtējuma ziņojums (anotācija)</vt:lpstr>
    </vt:vector>
  </TitlesOfParts>
  <Company>Iestādes nosaukums</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Grozījumu Ministru kabineta 2014.gada 11.februāra noteikumos Nr.96 “Nodokļu un citu maksājumu reģistrēšanas elektronisko ierīču un iekārtu lietošanas kārtība”” sākotnējās ietekmes novērtējuma ziņojums (anotācija)</dc:title>
  <dc:subject>Anotācija</dc:subject>
  <dc:creator>Dana.Ziemele-Adricka@sam.gov.lv</dc:creator>
  <dc:description>viktorija.tabakurska@sam.gov.lv
67028051</dc:description>
  <cp:lastModifiedBy>Baiba Jirgena</cp:lastModifiedBy>
  <cp:revision>5</cp:revision>
  <cp:lastPrinted>2019-02-15T13:41:00Z</cp:lastPrinted>
  <dcterms:created xsi:type="dcterms:W3CDTF">2019-07-05T10:33:00Z</dcterms:created>
  <dcterms:modified xsi:type="dcterms:W3CDTF">2019-07-05T11:17:00Z</dcterms:modified>
</cp:coreProperties>
</file>