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06B6" w14:textId="31B86FEE" w:rsidR="00A37CCE" w:rsidRPr="00641981" w:rsidRDefault="00006873" w:rsidP="00A37CCE">
      <w:pPr>
        <w:jc w:val="center"/>
        <w:rPr>
          <w:b/>
        </w:rPr>
      </w:pPr>
      <w:r w:rsidRPr="00641981">
        <w:rPr>
          <w:b/>
        </w:rPr>
        <w:t>Ministru kabineta noteikumu projekta</w:t>
      </w:r>
      <w:r w:rsidR="00A50EE1" w:rsidRPr="00641981">
        <w:rPr>
          <w:b/>
        </w:rPr>
        <w:t xml:space="preserve"> „</w:t>
      </w:r>
      <w:r w:rsidRPr="00641981">
        <w:rPr>
          <w:b/>
        </w:rPr>
        <w:t>Grozījums Ministru kabineta 2017. gada 24. oktobra noteikumos Nr. 634 “Valsts akciju sabiedrības “Latvijas Jūras administrācija”</w:t>
      </w:r>
      <w:r w:rsidR="003119AA" w:rsidRPr="00641981">
        <w:rPr>
          <w:b/>
        </w:rPr>
        <w:t>”</w:t>
      </w:r>
      <w:r w:rsidRPr="00641981">
        <w:rPr>
          <w:b/>
        </w:rPr>
        <w:t xml:space="preserve"> maksas pakalpojumu cenrādis” </w:t>
      </w:r>
      <w:r w:rsidR="00A37CCE" w:rsidRPr="00641981">
        <w:rPr>
          <w:b/>
        </w:rPr>
        <w:t>sākotnējās ietekmes novērtējuma ziņojums (anotācija)</w:t>
      </w:r>
    </w:p>
    <w:p w14:paraId="4B7F6C14" w14:textId="77777777" w:rsidR="00A37CCE" w:rsidRPr="00641981" w:rsidRDefault="00A37CCE" w:rsidP="00A9251F">
      <w:pPr>
        <w:pStyle w:val="naislab"/>
        <w:spacing w:before="0" w:after="120"/>
        <w:jc w:val="center"/>
        <w:outlineLvl w:val="0"/>
        <w:rPr>
          <w:b/>
        </w:rPr>
      </w:pPr>
    </w:p>
    <w:tbl>
      <w:tblPr>
        <w:tblStyle w:val="TableGrid"/>
        <w:tblW w:w="9720" w:type="dxa"/>
        <w:tblInd w:w="-185" w:type="dxa"/>
        <w:tblLook w:val="04A0" w:firstRow="1" w:lastRow="0" w:firstColumn="1" w:lastColumn="0" w:noHBand="0" w:noVBand="1"/>
      </w:tblPr>
      <w:tblGrid>
        <w:gridCol w:w="9720"/>
      </w:tblGrid>
      <w:tr w:rsidR="00641981" w:rsidRPr="00641981" w14:paraId="36B6CB28" w14:textId="77777777" w:rsidTr="00AF1311">
        <w:trPr>
          <w:trHeight w:val="227"/>
        </w:trPr>
        <w:tc>
          <w:tcPr>
            <w:tcW w:w="9720" w:type="dxa"/>
          </w:tcPr>
          <w:p w14:paraId="72620DC2" w14:textId="77777777" w:rsidR="00D15B22" w:rsidRPr="00641981" w:rsidRDefault="00D15B22" w:rsidP="00D15B22">
            <w:pPr>
              <w:pStyle w:val="naislab"/>
              <w:spacing w:before="60" w:after="60"/>
              <w:jc w:val="center"/>
              <w:outlineLvl w:val="0"/>
              <w:rPr>
                <w:b/>
              </w:rPr>
            </w:pPr>
            <w:r w:rsidRPr="00641981">
              <w:rPr>
                <w:b/>
              </w:rPr>
              <w:t>Tiesību akta projekta anotācijas kopsavilkums</w:t>
            </w:r>
          </w:p>
        </w:tc>
      </w:tr>
      <w:tr w:rsidR="00641981" w:rsidRPr="00641981" w14:paraId="189F0942" w14:textId="77777777" w:rsidTr="00AF1311">
        <w:trPr>
          <w:trHeight w:val="227"/>
        </w:trPr>
        <w:tc>
          <w:tcPr>
            <w:tcW w:w="9720" w:type="dxa"/>
          </w:tcPr>
          <w:p w14:paraId="1D9C84CA" w14:textId="77777777" w:rsidR="00D15B22" w:rsidRPr="00641981" w:rsidRDefault="00D15B22" w:rsidP="00D15B22">
            <w:pPr>
              <w:pStyle w:val="naislab"/>
              <w:spacing w:before="60" w:after="60"/>
              <w:jc w:val="center"/>
              <w:outlineLvl w:val="0"/>
            </w:pPr>
            <w:r w:rsidRPr="00641981">
              <w:t>Nav jāaizpilda, jo anotācijas I sadaļas 2. punkts nepārsniedz divas lapaspuses</w:t>
            </w:r>
            <w:r w:rsidR="00753D6F" w:rsidRPr="00641981">
              <w:t>.</w:t>
            </w:r>
            <w:r w:rsidRPr="00641981">
              <w:t xml:space="preserve"> </w:t>
            </w:r>
          </w:p>
        </w:tc>
      </w:tr>
    </w:tbl>
    <w:p w14:paraId="2832F495" w14:textId="77777777" w:rsidR="00D15B22" w:rsidRPr="00641981" w:rsidRDefault="00D15B22" w:rsidP="00877492">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1970"/>
        <w:gridCol w:w="7300"/>
      </w:tblGrid>
      <w:tr w:rsidR="00641981" w:rsidRPr="00641981" w14:paraId="65A278BE" w14:textId="77777777" w:rsidTr="00877492">
        <w:trPr>
          <w:trHeight w:val="227"/>
        </w:trPr>
        <w:tc>
          <w:tcPr>
            <w:tcW w:w="9725" w:type="dxa"/>
            <w:gridSpan w:val="3"/>
            <w:vAlign w:val="center"/>
          </w:tcPr>
          <w:p w14:paraId="45DDB62B" w14:textId="77777777" w:rsidR="00A37CCE" w:rsidRPr="00641981" w:rsidRDefault="00A37CCE" w:rsidP="003F4710">
            <w:pPr>
              <w:pStyle w:val="naisnod"/>
              <w:spacing w:before="60" w:after="60"/>
            </w:pPr>
            <w:r w:rsidRPr="00641981">
              <w:t>I. Tiesību akta projekta izstrādes nepieciešamība</w:t>
            </w:r>
          </w:p>
        </w:tc>
      </w:tr>
      <w:tr w:rsidR="00641981" w:rsidRPr="00641981" w14:paraId="3446814F" w14:textId="77777777" w:rsidTr="00690EED">
        <w:trPr>
          <w:trHeight w:val="227"/>
        </w:trPr>
        <w:tc>
          <w:tcPr>
            <w:tcW w:w="455" w:type="dxa"/>
          </w:tcPr>
          <w:p w14:paraId="24FF0B29" w14:textId="77777777" w:rsidR="00A37CCE" w:rsidRPr="00641981" w:rsidRDefault="00A37CCE" w:rsidP="00D35F39">
            <w:pPr>
              <w:pStyle w:val="naiskr"/>
              <w:spacing w:before="60" w:after="0"/>
              <w:ind w:left="-14" w:right="-173"/>
            </w:pPr>
            <w:r w:rsidRPr="00641981">
              <w:t xml:space="preserve"> 1.</w:t>
            </w:r>
          </w:p>
        </w:tc>
        <w:tc>
          <w:tcPr>
            <w:tcW w:w="1970" w:type="dxa"/>
          </w:tcPr>
          <w:p w14:paraId="675BDA37" w14:textId="77777777" w:rsidR="00A37CCE" w:rsidRPr="00641981" w:rsidRDefault="00A37CCE" w:rsidP="00D35F39">
            <w:pPr>
              <w:pStyle w:val="naiskr"/>
              <w:spacing w:before="60" w:after="0"/>
              <w:ind w:left="86" w:hanging="14"/>
            </w:pPr>
            <w:r w:rsidRPr="00641981">
              <w:t>Pamatojums</w:t>
            </w:r>
          </w:p>
        </w:tc>
        <w:tc>
          <w:tcPr>
            <w:tcW w:w="7300" w:type="dxa"/>
          </w:tcPr>
          <w:p w14:paraId="49CF6445" w14:textId="77777777" w:rsidR="00DC3D82" w:rsidRPr="00641981" w:rsidRDefault="00C2068B" w:rsidP="00EB666B">
            <w:pPr>
              <w:pStyle w:val="naiskr"/>
              <w:spacing w:before="60" w:after="60"/>
              <w:ind w:left="142" w:right="86"/>
              <w:jc w:val="both"/>
            </w:pPr>
            <w:r w:rsidRPr="00641981">
              <w:t xml:space="preserve">Likuma par ostām 15. panta trešā daļa; </w:t>
            </w:r>
            <w:r w:rsidR="00006873" w:rsidRPr="00641981">
              <w:t xml:space="preserve">Jūrlietu pārvaldes un jūras drošības likuma 6. panta otrā daļa. </w:t>
            </w:r>
          </w:p>
        </w:tc>
      </w:tr>
      <w:tr w:rsidR="00641981" w:rsidRPr="00641981" w14:paraId="18A5415F" w14:textId="77777777" w:rsidTr="00690EED">
        <w:trPr>
          <w:trHeight w:val="227"/>
        </w:trPr>
        <w:tc>
          <w:tcPr>
            <w:tcW w:w="455" w:type="dxa"/>
          </w:tcPr>
          <w:p w14:paraId="0FDB902A" w14:textId="77777777" w:rsidR="00D72BDC" w:rsidRPr="00641981" w:rsidRDefault="00D72BDC" w:rsidP="00D72BDC">
            <w:pPr>
              <w:pStyle w:val="naiskr"/>
              <w:spacing w:before="60" w:after="0"/>
              <w:ind w:left="-17" w:right="-173"/>
            </w:pPr>
            <w:r w:rsidRPr="00641981">
              <w:t xml:space="preserve"> 2.</w:t>
            </w:r>
          </w:p>
        </w:tc>
        <w:tc>
          <w:tcPr>
            <w:tcW w:w="1970" w:type="dxa"/>
          </w:tcPr>
          <w:p w14:paraId="75365446" w14:textId="46F21A40" w:rsidR="00683615" w:rsidRDefault="00D72BDC" w:rsidP="00006873">
            <w:pPr>
              <w:pStyle w:val="naiskr"/>
              <w:spacing w:before="60" w:after="0"/>
              <w:ind w:left="86" w:right="130" w:hanging="14"/>
            </w:pPr>
            <w:r w:rsidRPr="00641981">
              <w:t>Pašreizējā situācija un problēmas, kuru risināšanai tiesību akta projekts izstrādāts, tiesiskā regulējuma mērķis un būtība</w:t>
            </w:r>
          </w:p>
          <w:p w14:paraId="1B46AC2D" w14:textId="77777777" w:rsidR="00683615" w:rsidRPr="00683615" w:rsidRDefault="00683615" w:rsidP="00683615"/>
          <w:p w14:paraId="3F92884A" w14:textId="77777777" w:rsidR="00683615" w:rsidRPr="00683615" w:rsidRDefault="00683615" w:rsidP="00683615"/>
          <w:p w14:paraId="11AD45D0" w14:textId="77777777" w:rsidR="00683615" w:rsidRPr="00683615" w:rsidRDefault="00683615" w:rsidP="00683615"/>
          <w:p w14:paraId="434E55BD" w14:textId="77777777" w:rsidR="00683615" w:rsidRPr="00683615" w:rsidRDefault="00683615" w:rsidP="00683615"/>
          <w:p w14:paraId="2DA53BC3" w14:textId="77777777" w:rsidR="00683615" w:rsidRPr="00683615" w:rsidRDefault="00683615" w:rsidP="00683615"/>
          <w:p w14:paraId="0B6F3B0C" w14:textId="77777777" w:rsidR="00683615" w:rsidRPr="00683615" w:rsidRDefault="00683615" w:rsidP="00683615"/>
          <w:p w14:paraId="36E13A60" w14:textId="77777777" w:rsidR="00683615" w:rsidRPr="00683615" w:rsidRDefault="00683615" w:rsidP="00683615"/>
          <w:p w14:paraId="24CE4672" w14:textId="77777777" w:rsidR="00683615" w:rsidRPr="00683615" w:rsidRDefault="00683615" w:rsidP="00683615"/>
          <w:p w14:paraId="4DC8F2AB" w14:textId="77777777" w:rsidR="00683615" w:rsidRPr="00683615" w:rsidRDefault="00683615" w:rsidP="00683615"/>
          <w:p w14:paraId="2901EC82" w14:textId="77777777" w:rsidR="00683615" w:rsidRPr="00683615" w:rsidRDefault="00683615" w:rsidP="00683615"/>
          <w:p w14:paraId="707BB544" w14:textId="77777777" w:rsidR="00683615" w:rsidRPr="00683615" w:rsidRDefault="00683615" w:rsidP="00683615"/>
          <w:p w14:paraId="10061681" w14:textId="77777777" w:rsidR="00683615" w:rsidRPr="00683615" w:rsidRDefault="00683615" w:rsidP="00683615"/>
          <w:p w14:paraId="3381EE52" w14:textId="77777777" w:rsidR="00683615" w:rsidRPr="00683615" w:rsidRDefault="00683615" w:rsidP="00683615"/>
          <w:p w14:paraId="1F381B65" w14:textId="77777777" w:rsidR="00683615" w:rsidRPr="00683615" w:rsidRDefault="00683615" w:rsidP="00683615"/>
          <w:p w14:paraId="50E5ED34" w14:textId="467FAD56" w:rsidR="00683615" w:rsidRDefault="00683615" w:rsidP="00683615"/>
          <w:p w14:paraId="2B298633" w14:textId="730E10B7" w:rsidR="00683615" w:rsidRDefault="00683615" w:rsidP="00683615"/>
          <w:p w14:paraId="7DA4338A" w14:textId="77777777" w:rsidR="00D72BDC" w:rsidRPr="00683615" w:rsidRDefault="00D72BDC" w:rsidP="00683615">
            <w:pPr>
              <w:jc w:val="center"/>
            </w:pPr>
          </w:p>
        </w:tc>
        <w:tc>
          <w:tcPr>
            <w:tcW w:w="7300" w:type="dxa"/>
          </w:tcPr>
          <w:p w14:paraId="7E29EAA7" w14:textId="39616AD6" w:rsidR="00536709" w:rsidRPr="00641981" w:rsidRDefault="00C2068B" w:rsidP="00EB666B">
            <w:pPr>
              <w:pStyle w:val="naiskr"/>
              <w:spacing w:before="0" w:after="0"/>
              <w:ind w:left="130" w:right="101"/>
              <w:jc w:val="both"/>
            </w:pPr>
            <w:r w:rsidRPr="00641981">
              <w:t xml:space="preserve">    Likuma par ostām 15. panta trešajā daļā</w:t>
            </w:r>
            <w:r w:rsidR="00A86479" w:rsidRPr="00641981">
              <w:t xml:space="preserve"> ir noteikts, ka kuģiem, kas ienāk Latvijas ostās, ir jāmaksā maksa par </w:t>
            </w:r>
            <w:r w:rsidRPr="00641981">
              <w:t xml:space="preserve">navigācijas pakalpojumiem. </w:t>
            </w:r>
            <w:r w:rsidR="00A86479" w:rsidRPr="00641981">
              <w:t>Šo maksu i</w:t>
            </w:r>
            <w:r w:rsidRPr="00641981">
              <w:t xml:space="preserve">ekasē </w:t>
            </w:r>
            <w:r w:rsidR="00A86479" w:rsidRPr="00641981">
              <w:t>valsts akciju sabiedrība “</w:t>
            </w:r>
            <w:r w:rsidRPr="00641981">
              <w:t>Latvijas Jūras administrācija</w:t>
            </w:r>
            <w:r w:rsidR="00A86479" w:rsidRPr="00641981">
              <w:t>”</w:t>
            </w:r>
            <w:r w:rsidR="006623DC" w:rsidRPr="00641981">
              <w:t xml:space="preserve"> (turpmāk – Jūras administrācija)</w:t>
            </w:r>
            <w:r w:rsidR="00A86479" w:rsidRPr="00641981">
              <w:t xml:space="preserve"> </w:t>
            </w:r>
            <w:r w:rsidR="009067D6" w:rsidRPr="00641981">
              <w:t>Ministru kabineta noteiktajā apmērā un kārtībā. 2008. gada 22. decembrī tika pieņemti Ministru kabineta noteikumi Nr.</w:t>
            </w:r>
            <w:r w:rsidR="000E26BF" w:rsidRPr="00641981">
              <w:t xml:space="preserve"> </w:t>
            </w:r>
            <w:r w:rsidR="009067D6" w:rsidRPr="00641981">
              <w:t>1074 “Noteikumi par valsts akciju sabiedrības “Latvijas Jūras administrācija” valsts pārvaldes uzdevumu ietvaros sniegto maksas pakalpojumu cenrādi”</w:t>
            </w:r>
            <w:r w:rsidR="001A6D71" w:rsidRPr="00641981">
              <w:t xml:space="preserve"> (turpmāk – 2008. gada cenrādis)</w:t>
            </w:r>
            <w:r w:rsidR="009067D6" w:rsidRPr="00641981">
              <w:t xml:space="preserve">. </w:t>
            </w:r>
            <w:r w:rsidR="001A6D71" w:rsidRPr="00641981">
              <w:t xml:space="preserve">2008. gada cenrādī </w:t>
            </w:r>
            <w:r w:rsidR="009067D6" w:rsidRPr="00641981">
              <w:t xml:space="preserve">maksas par navigācijas pakalpojumiem tarifs </w:t>
            </w:r>
            <w:r w:rsidR="00B27494" w:rsidRPr="00641981">
              <w:t>tika noteikts</w:t>
            </w:r>
            <w:r w:rsidR="000E26BF" w:rsidRPr="00641981">
              <w:t xml:space="preserve"> </w:t>
            </w:r>
            <w:r w:rsidR="00496205" w:rsidRPr="00641981">
              <w:t>LVL 0,045</w:t>
            </w:r>
            <w:r w:rsidR="00961764" w:rsidRPr="00641981">
              <w:t xml:space="preserve"> </w:t>
            </w:r>
            <w:r w:rsidR="009067D6" w:rsidRPr="00641981">
              <w:t xml:space="preserve">par vienu kuģa </w:t>
            </w:r>
            <w:r w:rsidR="00EB666B">
              <w:t xml:space="preserve">bruto tilpības (turpmāk – </w:t>
            </w:r>
            <w:r w:rsidR="009067D6" w:rsidRPr="00641981">
              <w:t>BT</w:t>
            </w:r>
            <w:r w:rsidR="00EB666B">
              <w:t xml:space="preserve">) </w:t>
            </w:r>
            <w:r w:rsidR="009067D6" w:rsidRPr="00641981">
              <w:t>vienību.</w:t>
            </w:r>
            <w:r w:rsidR="001A6D71" w:rsidRPr="00641981">
              <w:t xml:space="preserve"> 2013. gada 17. septembrī 2008. gada cenrāža vietā tika pieņemti Ministru kabineta </w:t>
            </w:r>
            <w:r w:rsidR="009067D6" w:rsidRPr="00641981">
              <w:t>n</w:t>
            </w:r>
            <w:r w:rsidR="001A6D71" w:rsidRPr="00641981">
              <w:t>oteikumi Nr.</w:t>
            </w:r>
            <w:r w:rsidR="000E26BF" w:rsidRPr="00641981">
              <w:t xml:space="preserve"> </w:t>
            </w:r>
            <w:r w:rsidR="001A6D71" w:rsidRPr="00641981">
              <w:t>867 “Valsts akciju sabiedrības “Latvijas Jūras administrācija”</w:t>
            </w:r>
            <w:r w:rsidR="009067D6" w:rsidRPr="00641981">
              <w:t xml:space="preserve"> maksas pakalpojumu cenrādis</w:t>
            </w:r>
            <w:r w:rsidR="001A6D71" w:rsidRPr="00641981">
              <w:t>” (</w:t>
            </w:r>
            <w:r w:rsidR="000E26BF" w:rsidRPr="00641981">
              <w:t xml:space="preserve">turpmāk – </w:t>
            </w:r>
            <w:r w:rsidR="001A6D71" w:rsidRPr="00641981">
              <w:t xml:space="preserve">2013. gada cenrādis). </w:t>
            </w:r>
            <w:r w:rsidR="00496205" w:rsidRPr="00641981">
              <w:t xml:space="preserve">2013. gada cenrādī iepriekš noteiktais </w:t>
            </w:r>
            <w:r w:rsidR="00646E46" w:rsidRPr="00641981">
              <w:t xml:space="preserve">maksas par navigācijas pakalpojumiem </w:t>
            </w:r>
            <w:r w:rsidR="00496205" w:rsidRPr="00641981">
              <w:t>tarifs tika</w:t>
            </w:r>
            <w:r w:rsidR="001A6D71" w:rsidRPr="00641981">
              <w:t xml:space="preserve"> </w:t>
            </w:r>
            <w:r w:rsidR="00496205" w:rsidRPr="00641981">
              <w:t>pārrēķināts uz EUR (LVL 0,045 = EUR 0,064)</w:t>
            </w:r>
            <w:r w:rsidR="00AC052A">
              <w:t xml:space="preserve"> </w:t>
            </w:r>
            <w:r w:rsidR="00AC052A" w:rsidRPr="00690EED">
              <w:t>atbilstoši oficiālajam maiņas kursam</w:t>
            </w:r>
            <w:r w:rsidR="00496205" w:rsidRPr="00690EED">
              <w:t xml:space="preserve">. </w:t>
            </w:r>
            <w:r w:rsidR="001A6D71" w:rsidRPr="00641981">
              <w:t>2017. gada 4. oktobrī 2013. g</w:t>
            </w:r>
            <w:r w:rsidR="000E26BF" w:rsidRPr="00641981">
              <w:t>ada cenrāža vietā tika pieņemti</w:t>
            </w:r>
            <w:r w:rsidR="001A6D71" w:rsidRPr="00641981">
              <w:t xml:space="preserve"> </w:t>
            </w:r>
            <w:r w:rsidR="000E26BF" w:rsidRPr="00641981">
              <w:t xml:space="preserve">pašlaik spēkā esošie </w:t>
            </w:r>
            <w:r w:rsidR="001A6D71" w:rsidRPr="00641981">
              <w:t xml:space="preserve">Ministru kabineta </w:t>
            </w:r>
            <w:r w:rsidR="000E26BF" w:rsidRPr="00641981">
              <w:t>noteikumi</w:t>
            </w:r>
            <w:r w:rsidR="001A6D71" w:rsidRPr="00641981">
              <w:t xml:space="preserve"> Nr. 634 „Valsts akciju sabiedrības „Latvijas Jūras administrācija” maksas pakalpojumu cenrādis” (turpmāk – </w:t>
            </w:r>
            <w:r w:rsidR="00496205" w:rsidRPr="00641981">
              <w:t>2017. gada cenrādis). Arī</w:t>
            </w:r>
            <w:r w:rsidR="00F4100C" w:rsidRPr="00641981">
              <w:t xml:space="preserve"> ar 2017. gada cenrādi</w:t>
            </w:r>
            <w:r w:rsidR="00B27494" w:rsidRPr="00641981">
              <w:t xml:space="preserve"> </w:t>
            </w:r>
            <w:r w:rsidR="000E26BF" w:rsidRPr="00641981">
              <w:t>maksas par navigācijas pakalpojumiem tarifs netika mainīts. Tādējādi tas joprojām ir tāds pats kā 2008. gadā</w:t>
            </w:r>
            <w:r w:rsidR="00B27494" w:rsidRPr="00641981">
              <w:t xml:space="preserve"> – </w:t>
            </w:r>
            <w:r w:rsidR="00496205" w:rsidRPr="00641981">
              <w:t xml:space="preserve">EUR 0,064 par </w:t>
            </w:r>
            <w:r w:rsidR="000E26BF" w:rsidRPr="00641981">
              <w:t xml:space="preserve">vienu kuģa BT vienību. </w:t>
            </w:r>
            <w:r w:rsidR="00536709" w:rsidRPr="00641981">
              <w:t>Salīdzinājumam</w:t>
            </w:r>
            <w:r w:rsidR="002D2869" w:rsidRPr="00641981">
              <w:t>, ostas</w:t>
            </w:r>
            <w:r w:rsidR="00E20806" w:rsidRPr="00641981">
              <w:t xml:space="preserve"> maksas</w:t>
            </w:r>
            <w:r w:rsidR="00F13397" w:rsidRPr="00641981">
              <w:t>, kas tiek noteiktas saskaņā ar Likuma par ostām 13</w:t>
            </w:r>
            <w:r w:rsidR="00E20806" w:rsidRPr="00641981">
              <w:t>.</w:t>
            </w:r>
            <w:r w:rsidR="00F13397" w:rsidRPr="00641981">
              <w:t xml:space="preserve"> pantu</w:t>
            </w:r>
            <w:r w:rsidR="00646E46" w:rsidRPr="00641981">
              <w:t>, ostu pārvaldes</w:t>
            </w:r>
            <w:r w:rsidR="00E20806" w:rsidRPr="00641981">
              <w:t xml:space="preserve"> šo gadu laikā ir paaugstinājušas. </w:t>
            </w:r>
          </w:p>
          <w:p w14:paraId="70C8C118" w14:textId="752FF09A" w:rsidR="00AD2FAA" w:rsidRPr="00641981" w:rsidRDefault="000E26BF" w:rsidP="00EB666B">
            <w:pPr>
              <w:pStyle w:val="naiskr"/>
              <w:spacing w:before="0" w:after="0"/>
              <w:ind w:left="130" w:right="101"/>
              <w:jc w:val="both"/>
            </w:pPr>
            <w:r w:rsidRPr="00641981">
              <w:t xml:space="preserve"> </w:t>
            </w:r>
            <w:r w:rsidR="001A6D71" w:rsidRPr="00641981">
              <w:t xml:space="preserve">  </w:t>
            </w:r>
            <w:r w:rsidR="009067D6" w:rsidRPr="00641981">
              <w:t xml:space="preserve">  </w:t>
            </w:r>
            <w:r w:rsidR="00C35E04" w:rsidRPr="00641981">
              <w:t xml:space="preserve">Krievijai mērķtiecīgi pārorientējot kravas uz savām ostām, pēdējo gadu laikā ir vērojams kritums Latvijas tranzīta nozarē. </w:t>
            </w:r>
            <w:r w:rsidR="003769B1" w:rsidRPr="00641981">
              <w:t>Tā rezultātā</w:t>
            </w:r>
            <w:r w:rsidR="004853DA" w:rsidRPr="00641981">
              <w:t xml:space="preserve"> krītas arī</w:t>
            </w:r>
            <w:r w:rsidR="002C79B9" w:rsidRPr="00641981">
              <w:t xml:space="preserve"> </w:t>
            </w:r>
            <w:r w:rsidR="00C35E04" w:rsidRPr="00641981">
              <w:t>ieņēmumi</w:t>
            </w:r>
            <w:r w:rsidR="007B481F" w:rsidRPr="00641981">
              <w:t xml:space="preserve"> no maksas par navigācijas</w:t>
            </w:r>
            <w:r w:rsidR="004826B6" w:rsidRPr="00641981">
              <w:t xml:space="preserve"> pakalpojumiem</w:t>
            </w:r>
            <w:r w:rsidR="004853DA" w:rsidRPr="00641981">
              <w:t>. Šādam ieņēmumu kritumam ir būtiska negatīva ietekme uz Jūras administrācijas</w:t>
            </w:r>
            <w:r w:rsidR="00AC052A">
              <w:t xml:space="preserve"> </w:t>
            </w:r>
            <w:r w:rsidR="00AC052A" w:rsidRPr="00690EED">
              <w:t>spēju sniegt tai deleģētos valsts pakalpojumus</w:t>
            </w:r>
            <w:r w:rsidR="004853DA" w:rsidRPr="00641981">
              <w:t xml:space="preserve">, jo maksa par navigācijas pakalpojumiem ir </w:t>
            </w:r>
            <w:r w:rsidR="009F4AFA" w:rsidRPr="00641981">
              <w:t>Jūras administrācijas</w:t>
            </w:r>
            <w:r w:rsidR="004853DA" w:rsidRPr="00641981">
              <w:t xml:space="preserve"> ieņēmumu </w:t>
            </w:r>
            <w:proofErr w:type="spellStart"/>
            <w:r w:rsidR="004853DA" w:rsidRPr="00641981">
              <w:t>pamatavots</w:t>
            </w:r>
            <w:proofErr w:type="spellEnd"/>
            <w:r w:rsidR="004853DA" w:rsidRPr="00641981">
              <w:t xml:space="preserve"> (65-70% no kopējiem ieņēmumiem).</w:t>
            </w:r>
            <w:r w:rsidR="00F95F3E" w:rsidRPr="00641981">
              <w:t xml:space="preserve"> </w:t>
            </w:r>
            <w:r w:rsidR="004853DA" w:rsidRPr="00641981">
              <w:t>Tajā pašā laikā</w:t>
            </w:r>
            <w:r w:rsidR="00BF1E0D" w:rsidRPr="00641981">
              <w:t xml:space="preserve"> </w:t>
            </w:r>
            <w:r w:rsidR="00181BA0" w:rsidRPr="00641981">
              <w:t xml:space="preserve">izdevumi ir palielinājušies, </w:t>
            </w:r>
            <w:r w:rsidR="00BF1E0D" w:rsidRPr="00641981">
              <w:t>cita starpā tādēļ, ka ir palielinājies piekrastes valsts funkciju apjoms</w:t>
            </w:r>
            <w:r w:rsidR="00AC052A">
              <w:t xml:space="preserve"> </w:t>
            </w:r>
            <w:r w:rsidR="00AC052A" w:rsidRPr="00690EED">
              <w:t>(nākušas klāt jaunas funkcijas)</w:t>
            </w:r>
            <w:r w:rsidR="005B11E7" w:rsidRPr="00690EED">
              <w:t xml:space="preserve">, </w:t>
            </w:r>
            <w:r w:rsidR="007C4841" w:rsidRPr="00641981">
              <w:t>ir būtiski augušas</w:t>
            </w:r>
            <w:r w:rsidR="005B11E7" w:rsidRPr="00641981">
              <w:t xml:space="preserve"> </w:t>
            </w:r>
            <w:r w:rsidR="00D63544" w:rsidRPr="00641981">
              <w:t>darbaspēka izmaksas</w:t>
            </w:r>
            <w:r w:rsidR="007C4841" w:rsidRPr="00641981">
              <w:t xml:space="preserve"> (</w:t>
            </w:r>
            <w:r w:rsidR="00DD1D92" w:rsidRPr="00641981">
              <w:t>60-65</w:t>
            </w:r>
            <w:r w:rsidR="00D63544" w:rsidRPr="00641981">
              <w:t>% no kopējām izmaksām</w:t>
            </w:r>
            <w:r w:rsidR="007C4841" w:rsidRPr="00641981">
              <w:t>)</w:t>
            </w:r>
            <w:r w:rsidR="009F4AFA" w:rsidRPr="00641981">
              <w:t xml:space="preserve"> un, ņ</w:t>
            </w:r>
            <w:r w:rsidR="00DD4703" w:rsidRPr="00641981">
              <w:t xml:space="preserve">emot vērā inflāciju, </w:t>
            </w:r>
            <w:r w:rsidR="009F4AFA" w:rsidRPr="00641981">
              <w:t xml:space="preserve">pieaugušas </w:t>
            </w:r>
            <w:r w:rsidR="00152EAA" w:rsidRPr="00641981">
              <w:t>arī citas saimnieciska rakstura izmaksas</w:t>
            </w:r>
            <w:r w:rsidR="005B11E7" w:rsidRPr="00641981">
              <w:t xml:space="preserve">. </w:t>
            </w:r>
            <w:r w:rsidR="00D85FD6" w:rsidRPr="00641981">
              <w:t xml:space="preserve">Šajā </w:t>
            </w:r>
            <w:r w:rsidR="007C4841" w:rsidRPr="00641981">
              <w:t xml:space="preserve">sakarā jāņem vērā, ka </w:t>
            </w:r>
            <w:r w:rsidR="005B11E7" w:rsidRPr="00641981">
              <w:t xml:space="preserve">Jūras </w:t>
            </w:r>
            <w:r w:rsidR="005B11E7" w:rsidRPr="00641981">
              <w:lastRenderedPageBreak/>
              <w:t>administrācijas darbinieku algu pakāpeniska</w:t>
            </w:r>
            <w:r w:rsidR="00F95F3E" w:rsidRPr="00641981">
              <w:t xml:space="preserve"> paaugstināšana</w:t>
            </w:r>
            <w:r w:rsidR="005B11E7" w:rsidRPr="00641981">
              <w:t xml:space="preserve"> ir nepieciešam</w:t>
            </w:r>
            <w:r w:rsidR="00F95F3E" w:rsidRPr="00641981">
              <w:t>a</w:t>
            </w:r>
            <w:r w:rsidR="005B11E7" w:rsidRPr="00641981">
              <w:t xml:space="preserve">, jo darbaspēka piesaistē </w:t>
            </w:r>
            <w:r w:rsidR="007C4841" w:rsidRPr="00641981">
              <w:t>Jūras administrācija</w:t>
            </w:r>
            <w:r w:rsidR="00AB7748" w:rsidRPr="00641981">
              <w:t xml:space="preserve"> </w:t>
            </w:r>
            <w:r w:rsidR="00D63544" w:rsidRPr="00641981">
              <w:t>konkur</w:t>
            </w:r>
            <w:r w:rsidR="007C4841" w:rsidRPr="00641981">
              <w:t>ē ar</w:t>
            </w:r>
            <w:r w:rsidR="00D63544" w:rsidRPr="00641981">
              <w:t xml:space="preserve"> privāto sektoru, kurā algas ir ievērojami lielākas</w:t>
            </w:r>
            <w:r w:rsidR="005B11E7" w:rsidRPr="00641981">
              <w:t>.</w:t>
            </w:r>
            <w:r w:rsidR="00F95F3E" w:rsidRPr="00641981">
              <w:t xml:space="preserve"> </w:t>
            </w:r>
          </w:p>
          <w:p w14:paraId="4DABBE2D" w14:textId="026886A2" w:rsidR="002455E7" w:rsidRDefault="00AD2FAA" w:rsidP="00EB666B">
            <w:pPr>
              <w:pStyle w:val="naiskr"/>
              <w:spacing w:before="0" w:after="0"/>
              <w:ind w:left="130" w:right="101"/>
              <w:jc w:val="both"/>
            </w:pPr>
            <w:r w:rsidRPr="00641981">
              <w:t xml:space="preserve">    </w:t>
            </w:r>
            <w:r w:rsidR="007C4841" w:rsidRPr="00641981">
              <w:t xml:space="preserve">Pa šiem gadiem </w:t>
            </w:r>
            <w:r w:rsidR="00AB7748" w:rsidRPr="00641981">
              <w:t>Jūras administrācija</w:t>
            </w:r>
            <w:r w:rsidR="00444097">
              <w:t>,</w:t>
            </w:r>
            <w:r w:rsidR="00AB7748" w:rsidRPr="00641981">
              <w:t xml:space="preserve"> </w:t>
            </w:r>
            <w:r w:rsidR="00AC052A" w:rsidRPr="00690EED">
              <w:t>veiksmīgi optimizējot resursus un</w:t>
            </w:r>
            <w:r w:rsidR="00AB7748" w:rsidRPr="00690EED">
              <w:t xml:space="preserve"> savu darbību</w:t>
            </w:r>
            <w:r w:rsidR="00444097" w:rsidRPr="00690EED">
              <w:t>,</w:t>
            </w:r>
            <w:r w:rsidR="00AC052A" w:rsidRPr="00690EED">
              <w:t xml:space="preserve"> ir spējusi </w:t>
            </w:r>
            <w:r w:rsidR="00FA1FB5" w:rsidRPr="00690EED">
              <w:t>veikt deleģētos valsts pārvaldes uzdevumus atbilstoši labai starptautiskai praksei un augstā kvalitātes līmenī</w:t>
            </w:r>
            <w:r w:rsidR="00AB7748" w:rsidRPr="00690EED">
              <w:t xml:space="preserve">, </w:t>
            </w:r>
            <w:r w:rsidR="00AB7748" w:rsidRPr="00641981">
              <w:t>tomēr pēdējo gadu finanšu rādītāji liecina, ka situācija ir kritiska –</w:t>
            </w:r>
            <w:r w:rsidRPr="00641981">
              <w:t xml:space="preserve"> </w:t>
            </w:r>
            <w:r w:rsidR="00AB7748" w:rsidRPr="00641981">
              <w:t>tiek strādāts ar zaudējumiem (2017.</w:t>
            </w:r>
            <w:r w:rsidR="00F95F3E" w:rsidRPr="00641981">
              <w:t xml:space="preserve"> gadā EUR 174 825 zaudējumi, 2018. gadā EUR 74 218 zaudējumi).</w:t>
            </w:r>
            <w:r w:rsidR="00536709" w:rsidRPr="00641981">
              <w:t xml:space="preserve"> </w:t>
            </w:r>
            <w:r w:rsidR="00F95F3E" w:rsidRPr="00641981">
              <w:t>Finanšu trūkums ievērojami apgrūtina Jūras administrācijas attīstību un tai uzticēto uzdevumu kvalitatīvu veikšanu.</w:t>
            </w:r>
            <w:r w:rsidRPr="00641981">
              <w:t xml:space="preserve"> </w:t>
            </w:r>
          </w:p>
          <w:p w14:paraId="67D32574" w14:textId="5F4ED71B" w:rsidR="00FA1FB5" w:rsidRPr="00690EED" w:rsidRDefault="00FA1FB5" w:rsidP="00EB666B">
            <w:pPr>
              <w:pStyle w:val="naiskr"/>
              <w:spacing w:before="0" w:after="0"/>
              <w:ind w:left="130" w:right="101"/>
              <w:jc w:val="both"/>
            </w:pPr>
            <w:r>
              <w:t xml:space="preserve">     </w:t>
            </w:r>
            <w:r w:rsidRPr="00690EED">
              <w:t xml:space="preserve">Maksa par navigācijas pakalpojumiem sedz to Jūras administrācijai deleģēto valsts pakalpojumu izmaksas, kas netiek finansēti no valsts budžeta, bet </w:t>
            </w:r>
            <w:r w:rsidR="00444097" w:rsidRPr="00690EED">
              <w:t xml:space="preserve">ko </w:t>
            </w:r>
            <w:r w:rsidRPr="00690EED">
              <w:t>Latvijas Republika, kā valsts</w:t>
            </w:r>
            <w:r w:rsidR="00444097" w:rsidRPr="00690EED">
              <w:t>,</w:t>
            </w:r>
            <w:r w:rsidRPr="00690EED">
              <w:t xml:space="preserve"> uzņemoties starptautiskas saistības, pievienojoties konvencijām un citiem starptautiskiem instrumentiem, ap</w:t>
            </w:r>
            <w:r w:rsidR="00444097" w:rsidRPr="00690EED">
              <w:t>ņēmusies nodroš</w:t>
            </w:r>
            <w:r w:rsidRPr="00690EED">
              <w:t>ināt savos ūdeņos atbilstoši starptautiskiem standartiem un labai jūras praksei. Starp šādiem pakalpojumiem var minēt</w:t>
            </w:r>
            <w:r w:rsidR="004E31BA" w:rsidRPr="00690EED">
              <w:t>:</w:t>
            </w:r>
          </w:p>
          <w:p w14:paraId="2C0F0CA3" w14:textId="64FFC6A6" w:rsidR="004E31BA" w:rsidRPr="00690EED" w:rsidRDefault="004E31BA" w:rsidP="00EB666B">
            <w:pPr>
              <w:pStyle w:val="naiskr"/>
              <w:numPr>
                <w:ilvl w:val="0"/>
                <w:numId w:val="4"/>
              </w:numPr>
              <w:spacing w:before="0" w:after="0"/>
              <w:ind w:left="810" w:right="101" w:hanging="270"/>
              <w:jc w:val="both"/>
            </w:pPr>
            <w:r w:rsidRPr="00690EED">
              <w:t>Latvijas ostās ienākošo ārvalstu karogu kuģu tehniskā stāvokļa uzraudzība un pārbaudes gan no drošības (</w:t>
            </w:r>
            <w:proofErr w:type="spellStart"/>
            <w:r w:rsidRPr="00690EED">
              <w:t>safety</w:t>
            </w:r>
            <w:proofErr w:type="spellEnd"/>
            <w:r w:rsidRPr="00690EED">
              <w:t xml:space="preserve">), gan </w:t>
            </w:r>
            <w:r w:rsidR="00444097" w:rsidRPr="00690EED">
              <w:t>aizsardzības</w:t>
            </w:r>
            <w:r w:rsidRPr="00690EED">
              <w:t xml:space="preserve"> (</w:t>
            </w:r>
            <w:proofErr w:type="spellStart"/>
            <w:r w:rsidRPr="00690EED">
              <w:t>securtity</w:t>
            </w:r>
            <w:proofErr w:type="spellEnd"/>
            <w:r w:rsidRPr="00690EED">
              <w:t>) viedokļa;</w:t>
            </w:r>
          </w:p>
          <w:p w14:paraId="3865A0F1" w14:textId="5F3A8909" w:rsidR="004E31BA" w:rsidRPr="00690EED" w:rsidRDefault="00444097" w:rsidP="00EB666B">
            <w:pPr>
              <w:pStyle w:val="naiskr"/>
              <w:numPr>
                <w:ilvl w:val="0"/>
                <w:numId w:val="4"/>
              </w:numPr>
              <w:spacing w:before="0" w:after="0"/>
              <w:ind w:left="810" w:right="101" w:hanging="270"/>
              <w:jc w:val="both"/>
            </w:pPr>
            <w:r w:rsidRPr="00690EED">
              <w:t>g</w:t>
            </w:r>
            <w:r w:rsidR="004E31BA" w:rsidRPr="00690EED">
              <w:t xml:space="preserve">alveno kravu un pasažieru pārvadājumu kuģu ceļu uzmērīšana Baltijas jūrā un Rīgas </w:t>
            </w:r>
            <w:r w:rsidR="005829DB" w:rsidRPr="00690EED">
              <w:t xml:space="preserve">jūras </w:t>
            </w:r>
            <w:r w:rsidR="004E31BA" w:rsidRPr="00690EED">
              <w:t>līcī;</w:t>
            </w:r>
          </w:p>
          <w:p w14:paraId="4C98D9B3" w14:textId="1A763716" w:rsidR="004E31BA" w:rsidRPr="00690EED" w:rsidRDefault="00444097" w:rsidP="00EB666B">
            <w:pPr>
              <w:pStyle w:val="naiskr"/>
              <w:numPr>
                <w:ilvl w:val="0"/>
                <w:numId w:val="4"/>
              </w:numPr>
              <w:spacing w:before="0" w:after="0"/>
              <w:ind w:left="810" w:right="101" w:hanging="270"/>
              <w:jc w:val="both"/>
            </w:pPr>
            <w:r w:rsidRPr="00690EED">
              <w:t>j</w:t>
            </w:r>
            <w:r w:rsidR="00E43FFA" w:rsidRPr="00690EED">
              <w:t>ūras</w:t>
            </w:r>
            <w:r w:rsidR="00FB4B8A" w:rsidRPr="00690EED">
              <w:t xml:space="preserve"> ģeotelpiskās informācijas un </w:t>
            </w:r>
            <w:r w:rsidR="00E43FFA" w:rsidRPr="00690EED">
              <w:t xml:space="preserve"> navigācijas karšu sagatavošana gan papīra, gan elektroniskā formātā</w:t>
            </w:r>
            <w:r w:rsidR="00FB4B8A" w:rsidRPr="00690EED">
              <w:t xml:space="preserve"> un izplatīšana kuģotājiem;</w:t>
            </w:r>
          </w:p>
          <w:p w14:paraId="0927F777" w14:textId="442C0C00" w:rsidR="00FB4B8A" w:rsidRPr="00690EED" w:rsidRDefault="00FB4B8A" w:rsidP="00EB666B">
            <w:pPr>
              <w:pStyle w:val="naiskr"/>
              <w:numPr>
                <w:ilvl w:val="0"/>
                <w:numId w:val="4"/>
              </w:numPr>
              <w:spacing w:before="0" w:after="0"/>
              <w:ind w:left="810" w:right="101" w:hanging="270"/>
              <w:jc w:val="both"/>
            </w:pPr>
            <w:r w:rsidRPr="00690EED">
              <w:t>aktuālās kuģošanas drošības informācijas apkopošana un izplatīšana visiem kuģotājiem;</w:t>
            </w:r>
          </w:p>
          <w:p w14:paraId="574E98C2" w14:textId="290C1E35" w:rsidR="00FB4B8A" w:rsidRPr="00690EED" w:rsidRDefault="00C23C23" w:rsidP="00EB666B">
            <w:pPr>
              <w:pStyle w:val="naiskr"/>
              <w:numPr>
                <w:ilvl w:val="0"/>
                <w:numId w:val="4"/>
              </w:numPr>
              <w:spacing w:before="0" w:after="0"/>
              <w:ind w:left="810" w:right="101" w:hanging="270"/>
              <w:jc w:val="both"/>
            </w:pPr>
            <w:r w:rsidRPr="00690EED">
              <w:t>bāku, boju un citu navigācijas līdzekļu vienotās s</w:t>
            </w:r>
            <w:r w:rsidR="00444097" w:rsidRPr="00690EED">
              <w:t>istēmas izveide un uzraudzība Latvijas Republikas</w:t>
            </w:r>
            <w:r w:rsidRPr="00690EED">
              <w:t xml:space="preserve"> ūdeņos</w:t>
            </w:r>
            <w:r w:rsidR="00444097" w:rsidRPr="00690EED">
              <w:t>;</w:t>
            </w:r>
          </w:p>
          <w:p w14:paraId="6E675866" w14:textId="50EFA21B" w:rsidR="00C23C23" w:rsidRPr="00690EED" w:rsidRDefault="00C23C23" w:rsidP="00EB666B">
            <w:pPr>
              <w:pStyle w:val="naiskr"/>
              <w:numPr>
                <w:ilvl w:val="0"/>
                <w:numId w:val="4"/>
              </w:numPr>
              <w:spacing w:before="0" w:after="0"/>
              <w:ind w:left="810" w:right="101" w:hanging="270"/>
              <w:jc w:val="both"/>
            </w:pPr>
            <w:r w:rsidRPr="00690EED">
              <w:t>citas normatīvos aktos minētās funkcijas.</w:t>
            </w:r>
          </w:p>
          <w:p w14:paraId="786A149A" w14:textId="0851E399" w:rsidR="00BC758C" w:rsidRPr="00641981" w:rsidRDefault="002455E7" w:rsidP="00EB666B">
            <w:pPr>
              <w:pStyle w:val="naiskr"/>
              <w:spacing w:before="0" w:after="0"/>
              <w:ind w:left="130" w:right="101"/>
              <w:jc w:val="both"/>
              <w:rPr>
                <w:b/>
                <w:i/>
              </w:rPr>
            </w:pPr>
            <w:r w:rsidRPr="00690EED">
              <w:t xml:space="preserve">    </w:t>
            </w:r>
            <w:r w:rsidR="00F95F3E" w:rsidRPr="00690EED">
              <w:t>Projekt</w:t>
            </w:r>
            <w:r w:rsidR="00646E46" w:rsidRPr="00690EED">
              <w:t xml:space="preserve">s ir izstrādāts, lai </w:t>
            </w:r>
            <w:r w:rsidR="00FA1FB5" w:rsidRPr="00690EED">
              <w:t>nodrošinātu Jūras administrā</w:t>
            </w:r>
            <w:r w:rsidR="001220AE" w:rsidRPr="00690EED">
              <w:t>ciju ar pienācīgu resursu apjomu,</w:t>
            </w:r>
            <w:r w:rsidR="00FA1FB5" w:rsidRPr="00690EED">
              <w:t xml:space="preserve"> tādejādi arī pildot Latvijas Republikas uzņemtās starptautiskās saistības jūrniecības jomā</w:t>
            </w:r>
            <w:r w:rsidR="00F95F3E" w:rsidRPr="00690EED">
              <w:t>.</w:t>
            </w:r>
            <w:r w:rsidR="00646E46" w:rsidRPr="00690EED">
              <w:t xml:space="preserve"> </w:t>
            </w:r>
            <w:r w:rsidR="007C4841" w:rsidRPr="00690EED">
              <w:t>Ar projektu paredzēts maksas par navigācijas pakalpojumiem pamattarifu paaugstināt uz EUR 0,075 par vienu kuģa BT vienību, proporcionāli paaugstinot arī pakārtotos tarifus.</w:t>
            </w:r>
            <w:r w:rsidR="00D914A3" w:rsidRPr="00690EED">
              <w:t xml:space="preserve"> </w:t>
            </w:r>
            <w:r w:rsidR="003C594E" w:rsidRPr="00690EED">
              <w:t xml:space="preserve">Šāds paaugstinājums ir samērīgs, jo no vienas puses tas </w:t>
            </w:r>
            <w:r w:rsidR="00641981" w:rsidRPr="00690EED">
              <w:t xml:space="preserve">ir tikai 1,1 centu liels un tādējādi </w:t>
            </w:r>
            <w:r w:rsidR="003C594E" w:rsidRPr="00690EED">
              <w:t>nerada būtisku negatīvu ietekmi uz tautsaimniecību</w:t>
            </w:r>
            <w:r w:rsidR="003C594E" w:rsidRPr="00690EED">
              <w:rPr>
                <w:rStyle w:val="FootnoteReference"/>
              </w:rPr>
              <w:footnoteReference w:id="1"/>
            </w:r>
            <w:r w:rsidR="00EA09D8" w:rsidRPr="00690EED">
              <w:t>, bet no otras puses nodrošina</w:t>
            </w:r>
            <w:r w:rsidR="003C594E" w:rsidRPr="00690EED">
              <w:t xml:space="preserve"> Jūras administrācijas attīstību un tai uzticēto uzdevumu kvalitatīvu veikšanu, kas uz doto brīdi ir apdraudēta. </w:t>
            </w:r>
            <w:r w:rsidR="00EA09D8" w:rsidRPr="00690EED">
              <w:t>Jūras administrācijas darba kvalitātes uzturēšana augstā līmenī i</w:t>
            </w:r>
            <w:r w:rsidR="00710D41" w:rsidRPr="00690EED">
              <w:t>r vitāli svarīga, ņemot vērā</w:t>
            </w:r>
            <w:r w:rsidR="00641981" w:rsidRPr="00690EED">
              <w:t>, ka ša</w:t>
            </w:r>
            <w:r w:rsidR="001E3A55" w:rsidRPr="00690EED">
              <w:t>i kapitālsabiedrībai ir deleģēts absolūtais vairākums no valsts pārvaldes uzdevumiem jūrlietu jomā (skat. Jūrlietu pārvaldes un jūras drošības likuma 6. panta pirmo daļu), turklāt</w:t>
            </w:r>
            <w:r w:rsidR="00B92964" w:rsidRPr="00690EED">
              <w:t xml:space="preserve"> </w:t>
            </w:r>
            <w:r w:rsidR="007F4697" w:rsidRPr="00690EED">
              <w:t>nepārtraukti nāk klāt jauni uzdevumi (skat., piemēram, Jūrlietu pārvaldes un jūras drošības likuma 6. panta pirmās daļas 15.</w:t>
            </w:r>
            <w:r w:rsidR="007F4697" w:rsidRPr="00690EED">
              <w:rPr>
                <w:vertAlign w:val="superscript"/>
              </w:rPr>
              <w:t>1</w:t>
            </w:r>
            <w:r w:rsidR="007F4697" w:rsidRPr="00690EED">
              <w:t>, 20.</w:t>
            </w:r>
            <w:r w:rsidR="007F4697" w:rsidRPr="00690EED">
              <w:rPr>
                <w:vertAlign w:val="superscript"/>
              </w:rPr>
              <w:t>1</w:t>
            </w:r>
            <w:r w:rsidR="007F4697" w:rsidRPr="00690EED">
              <w:t>, 20.</w:t>
            </w:r>
            <w:r w:rsidR="007F4697" w:rsidRPr="00690EED">
              <w:rPr>
                <w:vertAlign w:val="superscript"/>
              </w:rPr>
              <w:t>2</w:t>
            </w:r>
            <w:r w:rsidR="007F4697" w:rsidRPr="00690EED">
              <w:t>, 21.</w:t>
            </w:r>
            <w:r w:rsidR="007F4697" w:rsidRPr="00690EED">
              <w:rPr>
                <w:vertAlign w:val="superscript"/>
              </w:rPr>
              <w:t>1</w:t>
            </w:r>
            <w:r w:rsidR="007F4697" w:rsidRPr="00690EED">
              <w:t xml:space="preserve">  un 21.</w:t>
            </w:r>
            <w:r w:rsidR="007F4697" w:rsidRPr="00690EED">
              <w:rPr>
                <w:vertAlign w:val="superscript"/>
              </w:rPr>
              <w:t>2</w:t>
            </w:r>
            <w:r w:rsidR="007F4697" w:rsidRPr="00690EED">
              <w:t xml:space="preserve"> punktā minētos klāt nākušos uzdevumus) un arī esošo uzdevumu tvērums paplašinās, </w:t>
            </w:r>
            <w:r w:rsidR="00346BA8" w:rsidRPr="00690EED">
              <w:t xml:space="preserve">piemēram, Jūrlietu pārvaldes un jūras drošības likuma 6. panta pirmās </w:t>
            </w:r>
            <w:r w:rsidR="00346BA8" w:rsidRPr="00690EED">
              <w:lastRenderedPageBreak/>
              <w:t>daļas 8. punktā noteiktās ostas valsts kontroles ietvaros ve</w:t>
            </w:r>
            <w:r w:rsidR="007F4697" w:rsidRPr="00690EED">
              <w:t>ikto</w:t>
            </w:r>
            <w:r w:rsidR="00346BA8" w:rsidRPr="00690EED">
              <w:t xml:space="preserve"> ārvalstu kuģu </w:t>
            </w:r>
            <w:r w:rsidR="007F4697" w:rsidRPr="00690EED">
              <w:t>pārbaudes</w:t>
            </w:r>
            <w:r w:rsidR="00B92964" w:rsidRPr="00690EED">
              <w:t xml:space="preserve">, lai pārliecinātos par šo kuģu atbilstību starptautiskajam regulējumam kuģu drošības, vides aizsardzības, jūrnieku labklājības utt. jomā, </w:t>
            </w:r>
            <w:r w:rsidR="00346BA8" w:rsidRPr="00690EED">
              <w:t>kļūst aizvien plašākas, j</w:t>
            </w:r>
            <w:r w:rsidR="00B92964" w:rsidRPr="00690EED">
              <w:t>o paplašinās pats</w:t>
            </w:r>
            <w:r w:rsidR="007F4697" w:rsidRPr="00690EED">
              <w:t xml:space="preserve"> šis starptautiskais regulējums (jaunas konvencija, esošo konvenciju </w:t>
            </w:r>
            <w:r w:rsidR="00B3051F" w:rsidRPr="00690EED">
              <w:t>papildinājumi</w:t>
            </w:r>
            <w:r w:rsidR="007F4697" w:rsidRPr="00690EED">
              <w:t xml:space="preserve"> u.tml.).</w:t>
            </w:r>
          </w:p>
        </w:tc>
      </w:tr>
      <w:tr w:rsidR="00641981" w:rsidRPr="00641981" w14:paraId="11D51FC1" w14:textId="77777777" w:rsidTr="00690EED">
        <w:trPr>
          <w:trHeight w:val="227"/>
        </w:trPr>
        <w:tc>
          <w:tcPr>
            <w:tcW w:w="455" w:type="dxa"/>
          </w:tcPr>
          <w:p w14:paraId="16C9A2DF" w14:textId="0DB720D1" w:rsidR="00F97EDF" w:rsidRPr="00641981" w:rsidRDefault="00006873" w:rsidP="00D72BDC">
            <w:pPr>
              <w:pStyle w:val="naiskr"/>
              <w:spacing w:before="60" w:after="0"/>
              <w:ind w:left="-17" w:right="-173"/>
            </w:pPr>
            <w:r w:rsidRPr="00641981">
              <w:lastRenderedPageBreak/>
              <w:t xml:space="preserve"> </w:t>
            </w:r>
            <w:r w:rsidR="00F97EDF" w:rsidRPr="00641981">
              <w:t>3.</w:t>
            </w:r>
          </w:p>
        </w:tc>
        <w:tc>
          <w:tcPr>
            <w:tcW w:w="1970" w:type="dxa"/>
          </w:tcPr>
          <w:p w14:paraId="5079F1D1" w14:textId="77777777" w:rsidR="00F97EDF" w:rsidRPr="00641981" w:rsidRDefault="00F97EDF" w:rsidP="00701B26">
            <w:pPr>
              <w:pStyle w:val="naiskr"/>
              <w:spacing w:before="60" w:after="60"/>
              <w:ind w:left="86" w:right="130" w:hanging="14"/>
            </w:pPr>
            <w:r w:rsidRPr="00641981">
              <w:t>Projekta izstrādē iesaistītās institūcijas</w:t>
            </w:r>
            <w:r w:rsidR="00701B26" w:rsidRPr="00641981">
              <w:t xml:space="preserve"> un publiskas personas kapitālsabiedrības</w:t>
            </w:r>
          </w:p>
        </w:tc>
        <w:tc>
          <w:tcPr>
            <w:tcW w:w="7300" w:type="dxa"/>
          </w:tcPr>
          <w:p w14:paraId="713ED097" w14:textId="77777777" w:rsidR="00F97EDF" w:rsidRPr="00641981" w:rsidRDefault="00A97E6D" w:rsidP="009E118B">
            <w:pPr>
              <w:pStyle w:val="naiskr"/>
              <w:spacing w:before="60" w:after="60"/>
              <w:ind w:left="97" w:right="86"/>
            </w:pPr>
            <w:r w:rsidRPr="00641981">
              <w:t>Satiksmes ministrija sadarbībā ar</w:t>
            </w:r>
            <w:r w:rsidR="005C3C23" w:rsidRPr="00641981">
              <w:t xml:space="preserve"> </w:t>
            </w:r>
            <w:r w:rsidR="009E118B" w:rsidRPr="00641981">
              <w:t>Jūras administrāciju</w:t>
            </w:r>
            <w:r w:rsidR="00D9190D" w:rsidRPr="00641981">
              <w:t>.</w:t>
            </w:r>
          </w:p>
        </w:tc>
      </w:tr>
      <w:tr w:rsidR="00641981" w:rsidRPr="00641981" w14:paraId="0C5C0EB6" w14:textId="77777777" w:rsidTr="00690EED">
        <w:trPr>
          <w:trHeight w:val="227"/>
        </w:trPr>
        <w:tc>
          <w:tcPr>
            <w:tcW w:w="455" w:type="dxa"/>
          </w:tcPr>
          <w:p w14:paraId="382FDBFF" w14:textId="77777777" w:rsidR="00B75047" w:rsidRPr="00641981" w:rsidRDefault="00B75047" w:rsidP="004930FF">
            <w:pPr>
              <w:pStyle w:val="naiskr"/>
              <w:spacing w:before="60" w:after="60"/>
              <w:ind w:left="-17" w:right="-173"/>
            </w:pPr>
            <w:r w:rsidRPr="00641981">
              <w:t xml:space="preserve"> 4.</w:t>
            </w:r>
          </w:p>
        </w:tc>
        <w:tc>
          <w:tcPr>
            <w:tcW w:w="1970" w:type="dxa"/>
          </w:tcPr>
          <w:p w14:paraId="1F1797E9" w14:textId="77777777" w:rsidR="00B75047" w:rsidRPr="00641981" w:rsidRDefault="00B75047" w:rsidP="004930FF">
            <w:pPr>
              <w:pStyle w:val="naiskr"/>
              <w:spacing w:before="60" w:after="60"/>
              <w:ind w:left="86" w:right="130" w:hanging="14"/>
            </w:pPr>
            <w:r w:rsidRPr="00641981">
              <w:t>Cita informācija</w:t>
            </w:r>
          </w:p>
        </w:tc>
        <w:tc>
          <w:tcPr>
            <w:tcW w:w="7300" w:type="dxa"/>
          </w:tcPr>
          <w:p w14:paraId="672B8A0D" w14:textId="77777777" w:rsidR="00B75047" w:rsidRPr="00641981" w:rsidRDefault="00B75047" w:rsidP="001068CB">
            <w:pPr>
              <w:pStyle w:val="naiskr"/>
              <w:spacing w:before="60" w:after="60"/>
              <w:ind w:left="90" w:right="86"/>
            </w:pPr>
            <w:r w:rsidRPr="00641981">
              <w:t>Nav</w:t>
            </w:r>
            <w:r w:rsidR="004930FF" w:rsidRPr="00641981">
              <w:t>.</w:t>
            </w:r>
          </w:p>
        </w:tc>
      </w:tr>
    </w:tbl>
    <w:p w14:paraId="1033C868" w14:textId="77777777" w:rsidR="00511116" w:rsidRDefault="00511116"/>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1970"/>
        <w:gridCol w:w="7300"/>
      </w:tblGrid>
      <w:tr w:rsidR="007F4697" w:rsidRPr="00641981" w14:paraId="5EF09544" w14:textId="77777777" w:rsidTr="007F4697">
        <w:trPr>
          <w:trHeight w:val="227"/>
        </w:trPr>
        <w:tc>
          <w:tcPr>
            <w:tcW w:w="9725" w:type="dxa"/>
            <w:gridSpan w:val="3"/>
            <w:vAlign w:val="center"/>
          </w:tcPr>
          <w:p w14:paraId="762AB1B6" w14:textId="77777777" w:rsidR="007F4697" w:rsidRPr="00641981" w:rsidRDefault="007F4697" w:rsidP="007F4697">
            <w:pPr>
              <w:pStyle w:val="naisnod"/>
              <w:spacing w:before="60" w:after="60"/>
            </w:pPr>
            <w:r w:rsidRPr="00641981">
              <w:t>II. Tiesību akta projekta ietekme uz sabiedrību, tautsaimniecības attīstību un administratīvo slogu</w:t>
            </w:r>
          </w:p>
        </w:tc>
      </w:tr>
      <w:tr w:rsidR="007F4697" w:rsidRPr="00641981" w14:paraId="430432DB" w14:textId="77777777" w:rsidTr="00690EED">
        <w:trPr>
          <w:trHeight w:val="227"/>
        </w:trPr>
        <w:tc>
          <w:tcPr>
            <w:tcW w:w="455" w:type="dxa"/>
          </w:tcPr>
          <w:p w14:paraId="4E9B3F2C" w14:textId="77777777" w:rsidR="007F4697" w:rsidRPr="00641981" w:rsidRDefault="007F4697" w:rsidP="007F4697">
            <w:pPr>
              <w:pStyle w:val="naiskr"/>
              <w:spacing w:before="60" w:after="0"/>
              <w:ind w:left="-14" w:right="-173"/>
            </w:pPr>
            <w:r w:rsidRPr="00641981">
              <w:t xml:space="preserve"> 1.</w:t>
            </w:r>
          </w:p>
        </w:tc>
        <w:tc>
          <w:tcPr>
            <w:tcW w:w="1970" w:type="dxa"/>
          </w:tcPr>
          <w:p w14:paraId="34D36349" w14:textId="77777777" w:rsidR="007F4697" w:rsidRPr="00641981" w:rsidRDefault="007F4697" w:rsidP="007F4697">
            <w:pPr>
              <w:pStyle w:val="naiskr"/>
              <w:spacing w:before="60" w:after="60"/>
              <w:ind w:left="86" w:hanging="14"/>
            </w:pPr>
            <w:r w:rsidRPr="00641981">
              <w:t xml:space="preserve">Sabiedrības </w:t>
            </w:r>
            <w:proofErr w:type="spellStart"/>
            <w:r w:rsidRPr="00641981">
              <w:t>mērķgrupas</w:t>
            </w:r>
            <w:proofErr w:type="spellEnd"/>
            <w:r w:rsidRPr="00641981">
              <w:t>, kuras tiesiskais regulējums ietekmē vai varētu ietekmēt</w:t>
            </w:r>
          </w:p>
        </w:tc>
        <w:tc>
          <w:tcPr>
            <w:tcW w:w="7300" w:type="dxa"/>
          </w:tcPr>
          <w:p w14:paraId="2C94BB5E" w14:textId="77777777" w:rsidR="007F4697" w:rsidRPr="00641981" w:rsidRDefault="007F4697" w:rsidP="00EB666B">
            <w:pPr>
              <w:pStyle w:val="naiskr"/>
              <w:spacing w:before="60" w:after="60"/>
              <w:ind w:left="90" w:right="90"/>
              <w:jc w:val="both"/>
            </w:pPr>
            <w:r w:rsidRPr="00641981">
              <w:t>Latvijas ostās ienākošo kuģu īpašnieki; Latvijas ostas; Jūras administrācija.</w:t>
            </w:r>
          </w:p>
          <w:p w14:paraId="60E4C270" w14:textId="77777777" w:rsidR="007F4697" w:rsidRPr="00641981" w:rsidRDefault="007F4697" w:rsidP="00EB666B">
            <w:pPr>
              <w:pStyle w:val="naiskr"/>
              <w:spacing w:before="60" w:after="60"/>
              <w:ind w:left="90" w:right="90"/>
              <w:jc w:val="both"/>
            </w:pPr>
          </w:p>
        </w:tc>
      </w:tr>
      <w:tr w:rsidR="007F4697" w:rsidRPr="00641981" w14:paraId="43F97044" w14:textId="77777777" w:rsidTr="00690EED">
        <w:trPr>
          <w:trHeight w:val="227"/>
        </w:trPr>
        <w:tc>
          <w:tcPr>
            <w:tcW w:w="455" w:type="dxa"/>
          </w:tcPr>
          <w:p w14:paraId="131FD22E" w14:textId="77777777" w:rsidR="007F4697" w:rsidRPr="00641981" w:rsidRDefault="007F4697" w:rsidP="007F4697">
            <w:pPr>
              <w:pStyle w:val="naiskr"/>
              <w:spacing w:before="60" w:after="0"/>
              <w:ind w:left="-14" w:right="-173"/>
            </w:pPr>
            <w:r w:rsidRPr="00641981">
              <w:t xml:space="preserve"> 2.</w:t>
            </w:r>
          </w:p>
        </w:tc>
        <w:tc>
          <w:tcPr>
            <w:tcW w:w="1970" w:type="dxa"/>
          </w:tcPr>
          <w:p w14:paraId="46CEE14A" w14:textId="77777777" w:rsidR="007F4697" w:rsidRPr="00641981" w:rsidRDefault="007F4697" w:rsidP="007F4697">
            <w:pPr>
              <w:pStyle w:val="naiskr"/>
              <w:spacing w:before="60" w:after="0"/>
              <w:ind w:left="86" w:hanging="14"/>
            </w:pPr>
            <w:r w:rsidRPr="00641981">
              <w:t>Tiesiskā regulējuma ietekme uz tautsaimniecību un administratīvo slogu</w:t>
            </w:r>
          </w:p>
        </w:tc>
        <w:tc>
          <w:tcPr>
            <w:tcW w:w="7300" w:type="dxa"/>
          </w:tcPr>
          <w:p w14:paraId="09A59EAA" w14:textId="77777777" w:rsidR="007F4697" w:rsidRPr="00641981" w:rsidRDefault="007F4697" w:rsidP="00EB666B">
            <w:pPr>
              <w:shd w:val="clear" w:color="auto" w:fill="FFFFFF"/>
              <w:spacing w:before="60"/>
              <w:ind w:left="91"/>
              <w:jc w:val="both"/>
              <w:rPr>
                <w:u w:val="single"/>
              </w:rPr>
            </w:pPr>
            <w:r w:rsidRPr="00641981">
              <w:rPr>
                <w:u w:val="single"/>
              </w:rPr>
              <w:t>Ietekme uz tautsaimniecību</w:t>
            </w:r>
          </w:p>
          <w:p w14:paraId="31C49DE0" w14:textId="77777777" w:rsidR="007F4697" w:rsidRPr="00641981" w:rsidRDefault="007F4697" w:rsidP="00EB666B">
            <w:pPr>
              <w:shd w:val="clear" w:color="auto" w:fill="FFFFFF"/>
              <w:spacing w:before="60"/>
              <w:ind w:left="91"/>
              <w:jc w:val="both"/>
            </w:pPr>
            <w:r w:rsidRPr="00641981">
              <w:t xml:space="preserve">    Projektā ietvertais regulējums potenciāli var mazināt Latvijas ostu konkurētspēju attiecībā pret kaimiņvalstu ostām. Tomēr konkurētspējas mazināšanās risks ir relatīvi mazs.</w:t>
            </w:r>
          </w:p>
          <w:p w14:paraId="5EE9641A" w14:textId="77777777" w:rsidR="007F4697" w:rsidRPr="00641981" w:rsidRDefault="007F4697" w:rsidP="00EB666B">
            <w:pPr>
              <w:shd w:val="clear" w:color="auto" w:fill="FFFFFF"/>
              <w:ind w:left="86"/>
              <w:jc w:val="both"/>
            </w:pPr>
            <w:r w:rsidRPr="00641981">
              <w:t xml:space="preserve">    Pirmkārt, lai arī projektā ietvertais regulējums palielinās kuģu, kas ienāk Latvijas ostās, īpašnieku izdevumus, attiecīgie izdevumi palielināsies minimāli. To iespējams ilustrēt, par pamatu ņemot maksu par navigācijas pakalpojumiem, ko 2018. gadā maksāja Latvijas ostās ienākušais „vidējais” kuģis: ar tarifu EUR 0,064 tas maksāja EUR 559,58; ar  tarifu EUR 0,075 tas maksās EUR 655,76 (EUR 96,18 pieaugums). Tā kā maksa par navigācijas pakalpojumiem “vidējam” kuģim sastāda tikai 4-5% no visām ar kuģa ienākšanu ostā saistītajām maksām, tad minētais pieaugums nav uzskatāms par būtisku.</w:t>
            </w:r>
          </w:p>
          <w:p w14:paraId="3AB22F75" w14:textId="77777777" w:rsidR="007F4697" w:rsidRPr="00641981" w:rsidRDefault="007F4697" w:rsidP="00EB666B">
            <w:pPr>
              <w:shd w:val="clear" w:color="auto" w:fill="FFFFFF"/>
              <w:ind w:left="142"/>
              <w:jc w:val="both"/>
            </w:pPr>
            <w:r w:rsidRPr="00641981">
              <w:t xml:space="preserve">    Otrkārt, lai arī projektā ietvertais regulējums paaugstinās Latvijā iekasējamo maksu par navigācijas pakalpojumiem, attiecīgā maksa paliks konkurētspējīga ar maksu, kas tiek iekasēta kaimiņvalstīs. Pēc Jūras administrācijas rīcībā esošās pēdējās informācijas Lietuvā attiecīgā maksa pašlaik ir no EUR 0,01 līdz EUR 2,02 par vienu kuģa BT vienību (atkarībā no kuģa tipa, reisu regularitātes u.tml.), Igaunijā – no EUR 0,12 līdz EUR 0,35 par vienu kuģa BT vienību.</w:t>
            </w:r>
          </w:p>
          <w:p w14:paraId="60D37890" w14:textId="77777777" w:rsidR="007F4697" w:rsidRPr="00641981" w:rsidRDefault="007F4697" w:rsidP="00EB666B">
            <w:pPr>
              <w:shd w:val="clear" w:color="auto" w:fill="FFFFFF"/>
              <w:spacing w:before="60"/>
              <w:ind w:left="142"/>
              <w:jc w:val="both"/>
              <w:rPr>
                <w:u w:val="single"/>
              </w:rPr>
            </w:pPr>
            <w:r w:rsidRPr="00641981">
              <w:rPr>
                <w:u w:val="single"/>
              </w:rPr>
              <w:t>Ietekme uz administratīvo slogu</w:t>
            </w:r>
          </w:p>
          <w:p w14:paraId="2BC51D15" w14:textId="77777777" w:rsidR="007F4697" w:rsidRPr="00641981" w:rsidRDefault="007F4697" w:rsidP="00EB666B">
            <w:pPr>
              <w:shd w:val="clear" w:color="auto" w:fill="FFFFFF"/>
              <w:spacing w:before="60" w:after="60"/>
              <w:ind w:left="142"/>
              <w:jc w:val="both"/>
            </w:pPr>
            <w:r w:rsidRPr="00641981">
              <w:t xml:space="preserve">Sabiedrības grupām un institūcijām projekta tiesiskais regulējums nemaina tiesības un pienākumus, kā arī veicamās darbības.  </w:t>
            </w:r>
          </w:p>
        </w:tc>
      </w:tr>
      <w:tr w:rsidR="007F4697" w:rsidRPr="00641981" w14:paraId="3305448F" w14:textId="77777777" w:rsidTr="00690EED">
        <w:trPr>
          <w:trHeight w:val="227"/>
        </w:trPr>
        <w:tc>
          <w:tcPr>
            <w:tcW w:w="455" w:type="dxa"/>
            <w:tcBorders>
              <w:bottom w:val="single" w:sz="4" w:space="0" w:color="auto"/>
            </w:tcBorders>
          </w:tcPr>
          <w:p w14:paraId="5354BF09" w14:textId="77777777" w:rsidR="007F4697" w:rsidRPr="00641981" w:rsidRDefault="007F4697" w:rsidP="007F4697">
            <w:pPr>
              <w:pStyle w:val="naiskr"/>
              <w:spacing w:before="60" w:after="0"/>
              <w:ind w:left="-14" w:right="-173"/>
            </w:pPr>
            <w:r w:rsidRPr="00641981">
              <w:lastRenderedPageBreak/>
              <w:t xml:space="preserve"> 3.</w:t>
            </w:r>
          </w:p>
        </w:tc>
        <w:tc>
          <w:tcPr>
            <w:tcW w:w="1970" w:type="dxa"/>
            <w:tcBorders>
              <w:bottom w:val="single" w:sz="4" w:space="0" w:color="auto"/>
            </w:tcBorders>
          </w:tcPr>
          <w:p w14:paraId="7531B068" w14:textId="77777777" w:rsidR="007F4697" w:rsidRPr="00641981" w:rsidRDefault="007F4697" w:rsidP="007F4697">
            <w:pPr>
              <w:pStyle w:val="naiskr"/>
              <w:spacing w:before="60" w:after="60"/>
              <w:ind w:left="86" w:hanging="14"/>
            </w:pPr>
            <w:r w:rsidRPr="00641981">
              <w:t>Administratīvo izmaksu monetārs novērtējums</w:t>
            </w:r>
          </w:p>
        </w:tc>
        <w:tc>
          <w:tcPr>
            <w:tcW w:w="7300" w:type="dxa"/>
            <w:tcBorders>
              <w:bottom w:val="single" w:sz="4" w:space="0" w:color="auto"/>
            </w:tcBorders>
          </w:tcPr>
          <w:p w14:paraId="0E497474" w14:textId="77777777" w:rsidR="007F4697" w:rsidRPr="00641981" w:rsidRDefault="007F4697" w:rsidP="007F4697">
            <w:pPr>
              <w:pStyle w:val="naiskr"/>
              <w:spacing w:before="60" w:after="60"/>
              <w:ind w:left="86" w:right="86"/>
            </w:pPr>
            <w:r w:rsidRPr="00641981">
              <w:t>Projekts šo jomu neskar.</w:t>
            </w:r>
          </w:p>
        </w:tc>
      </w:tr>
      <w:tr w:rsidR="007F4697" w:rsidRPr="00641981" w14:paraId="7C449E6E" w14:textId="77777777" w:rsidTr="00690EED">
        <w:trPr>
          <w:trHeight w:val="227"/>
        </w:trPr>
        <w:tc>
          <w:tcPr>
            <w:tcW w:w="455" w:type="dxa"/>
            <w:tcBorders>
              <w:bottom w:val="single" w:sz="4" w:space="0" w:color="auto"/>
            </w:tcBorders>
          </w:tcPr>
          <w:p w14:paraId="6C23E130" w14:textId="77777777" w:rsidR="007F4697" w:rsidRPr="00641981" w:rsidRDefault="007F4697" w:rsidP="007F4697">
            <w:pPr>
              <w:pStyle w:val="naiskr"/>
              <w:spacing w:before="60" w:after="0"/>
              <w:ind w:left="-14" w:right="-173"/>
            </w:pPr>
            <w:r w:rsidRPr="00641981">
              <w:t xml:space="preserve"> 4.</w:t>
            </w:r>
          </w:p>
        </w:tc>
        <w:tc>
          <w:tcPr>
            <w:tcW w:w="1970" w:type="dxa"/>
            <w:tcBorders>
              <w:bottom w:val="single" w:sz="4" w:space="0" w:color="auto"/>
            </w:tcBorders>
          </w:tcPr>
          <w:p w14:paraId="3782D3F7" w14:textId="77777777" w:rsidR="007F4697" w:rsidRPr="00641981" w:rsidRDefault="007F4697" w:rsidP="007F4697">
            <w:pPr>
              <w:pStyle w:val="naiskr"/>
              <w:spacing w:before="60" w:after="60"/>
              <w:ind w:left="86" w:hanging="14"/>
            </w:pPr>
            <w:r w:rsidRPr="00641981">
              <w:t>Atbilstības izmaksu monetārs novērtējums</w:t>
            </w:r>
          </w:p>
        </w:tc>
        <w:tc>
          <w:tcPr>
            <w:tcW w:w="7300" w:type="dxa"/>
            <w:tcBorders>
              <w:bottom w:val="single" w:sz="4" w:space="0" w:color="auto"/>
            </w:tcBorders>
          </w:tcPr>
          <w:p w14:paraId="310A895E" w14:textId="77777777" w:rsidR="007F4697" w:rsidRPr="00641981" w:rsidRDefault="007F4697" w:rsidP="007F4697">
            <w:pPr>
              <w:pStyle w:val="naiskr"/>
              <w:spacing w:before="60" w:after="0"/>
              <w:ind w:left="90" w:right="86"/>
            </w:pPr>
            <w:r w:rsidRPr="00641981">
              <w:t>Projekts šo jomu neskar.</w:t>
            </w:r>
          </w:p>
        </w:tc>
      </w:tr>
      <w:tr w:rsidR="007F4697" w:rsidRPr="00641981" w14:paraId="3289EC05" w14:textId="77777777" w:rsidTr="00690EED">
        <w:trPr>
          <w:trHeight w:val="227"/>
        </w:trPr>
        <w:tc>
          <w:tcPr>
            <w:tcW w:w="455" w:type="dxa"/>
            <w:tcBorders>
              <w:bottom w:val="single" w:sz="4" w:space="0" w:color="auto"/>
            </w:tcBorders>
          </w:tcPr>
          <w:p w14:paraId="6F7EE682" w14:textId="77777777" w:rsidR="007F4697" w:rsidRPr="00641981" w:rsidRDefault="007F4697" w:rsidP="007F4697">
            <w:pPr>
              <w:pStyle w:val="naiskr"/>
              <w:spacing w:before="60" w:after="0"/>
              <w:ind w:left="-17" w:right="-173"/>
            </w:pPr>
            <w:r w:rsidRPr="00641981">
              <w:t xml:space="preserve"> 5.</w:t>
            </w:r>
          </w:p>
        </w:tc>
        <w:tc>
          <w:tcPr>
            <w:tcW w:w="1970" w:type="dxa"/>
            <w:tcBorders>
              <w:bottom w:val="single" w:sz="4" w:space="0" w:color="auto"/>
            </w:tcBorders>
          </w:tcPr>
          <w:p w14:paraId="725DEF80" w14:textId="77777777" w:rsidR="007F4697" w:rsidRPr="00641981" w:rsidRDefault="007F4697" w:rsidP="007F4697">
            <w:pPr>
              <w:pStyle w:val="naiskr"/>
              <w:spacing w:before="60" w:after="0"/>
              <w:ind w:left="86" w:right="130" w:hanging="14"/>
            </w:pPr>
            <w:r w:rsidRPr="00641981">
              <w:t>Cita informācija</w:t>
            </w:r>
          </w:p>
        </w:tc>
        <w:tc>
          <w:tcPr>
            <w:tcW w:w="7300" w:type="dxa"/>
            <w:tcBorders>
              <w:bottom w:val="single" w:sz="4" w:space="0" w:color="auto"/>
            </w:tcBorders>
          </w:tcPr>
          <w:p w14:paraId="18B9FF75" w14:textId="7D10B45A" w:rsidR="007F4697" w:rsidRPr="00690EED" w:rsidRDefault="00062F28" w:rsidP="00EB666B">
            <w:pPr>
              <w:pStyle w:val="naiskr"/>
              <w:spacing w:before="60" w:after="60"/>
              <w:ind w:left="86" w:right="86"/>
              <w:jc w:val="both"/>
            </w:pPr>
            <w:r>
              <w:t>Saistībā ar Valsts kancelejas pieprasījumu lūgums sniegt viedokli par projektu tika nosūtīts Ekonomikas ministrijai, kura sniedza atbildi</w:t>
            </w:r>
            <w:r w:rsidR="002F05D4" w:rsidRPr="00690EED">
              <w:t xml:space="preserve"> 2019.</w:t>
            </w:r>
            <w:r w:rsidR="00EB666B">
              <w:t> </w:t>
            </w:r>
            <w:r w:rsidR="002F05D4" w:rsidRPr="00690EED">
              <w:t>gada 28.</w:t>
            </w:r>
            <w:r w:rsidR="00EB666B">
              <w:t> </w:t>
            </w:r>
            <w:r w:rsidR="002F05D4" w:rsidRPr="00690EED">
              <w:t>maija vēstul</w:t>
            </w:r>
            <w:r>
              <w:t>ē</w:t>
            </w:r>
            <w:r w:rsidR="002F05D4" w:rsidRPr="00690EED">
              <w:t xml:space="preserve"> Nr.</w:t>
            </w:r>
            <w:r w:rsidR="005B2B2F" w:rsidRPr="00690EED">
              <w:t xml:space="preserve"> </w:t>
            </w:r>
            <w:r w:rsidR="002F05D4" w:rsidRPr="00690EED">
              <w:t>3.3-4/2019/2819. N</w:t>
            </w:r>
            <w:bookmarkStart w:id="0" w:name="_GoBack"/>
            <w:bookmarkEnd w:id="0"/>
            <w:r w:rsidR="002F05D4" w:rsidRPr="00690EED">
              <w:t>o šīs vēstules izriet, ka</w:t>
            </w:r>
            <w:r w:rsidR="005B2B2F" w:rsidRPr="00690EED">
              <w:t xml:space="preserve"> </w:t>
            </w:r>
            <w:r w:rsidR="002F05D4" w:rsidRPr="00690EED">
              <w:t xml:space="preserve">Ekonomikas ministrijas ieskatā plānotais </w:t>
            </w:r>
            <w:r w:rsidR="005B2B2F" w:rsidRPr="00690EED">
              <w:t>maksas par navigācijas pakalpojumiem tarifa paaugstinājums ir pamatots un nav atzīstams par būtisku Latvijas ostu konkurētspēju ietekmējošu faktoru.</w:t>
            </w:r>
          </w:p>
        </w:tc>
      </w:tr>
    </w:tbl>
    <w:p w14:paraId="5AD2467A" w14:textId="77777777" w:rsidR="007F4697" w:rsidRPr="00641981" w:rsidRDefault="007F4697"/>
    <w:tbl>
      <w:tblPr>
        <w:tblW w:w="5176" w:type="pct"/>
        <w:tblInd w:w="-18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719"/>
      </w:tblGrid>
      <w:tr w:rsidR="00641981" w:rsidRPr="00641981" w14:paraId="557460C4" w14:textId="77777777" w:rsidTr="00646E46">
        <w:tc>
          <w:tcPr>
            <w:tcW w:w="5000" w:type="pct"/>
            <w:tcBorders>
              <w:top w:val="outset" w:sz="6" w:space="0" w:color="414142"/>
              <w:left w:val="outset" w:sz="6" w:space="0" w:color="414142"/>
              <w:bottom w:val="outset" w:sz="6" w:space="0" w:color="414142"/>
              <w:right w:val="outset" w:sz="6" w:space="0" w:color="414142"/>
            </w:tcBorders>
            <w:vAlign w:val="center"/>
            <w:hideMark/>
          </w:tcPr>
          <w:p w14:paraId="2D9C04E4" w14:textId="77777777" w:rsidR="00925EAE" w:rsidRPr="00641981" w:rsidRDefault="00925EAE" w:rsidP="007A5BDF">
            <w:pPr>
              <w:spacing w:before="60" w:after="60"/>
              <w:jc w:val="center"/>
              <w:rPr>
                <w:b/>
                <w:bCs/>
              </w:rPr>
            </w:pPr>
            <w:r w:rsidRPr="00641981">
              <w:rPr>
                <w:b/>
                <w:bCs/>
              </w:rPr>
              <w:t>III. Tiesību akta projekta ietekme uz valsts budžetu un pašvaldību budžetiem</w:t>
            </w:r>
          </w:p>
        </w:tc>
      </w:tr>
      <w:tr w:rsidR="00641981" w:rsidRPr="00641981" w14:paraId="60349703" w14:textId="77777777" w:rsidTr="00646E46">
        <w:tc>
          <w:tcPr>
            <w:tcW w:w="5000" w:type="pct"/>
            <w:tcBorders>
              <w:top w:val="outset" w:sz="6" w:space="0" w:color="414142"/>
              <w:left w:val="outset" w:sz="6" w:space="0" w:color="414142"/>
              <w:bottom w:val="outset" w:sz="6" w:space="0" w:color="414142"/>
              <w:right w:val="outset" w:sz="6" w:space="0" w:color="414142"/>
            </w:tcBorders>
            <w:vAlign w:val="center"/>
            <w:hideMark/>
          </w:tcPr>
          <w:p w14:paraId="6CB1130C" w14:textId="77777777" w:rsidR="00DA5C7F" w:rsidRPr="00641981" w:rsidRDefault="00DA5C7F" w:rsidP="007A5BDF">
            <w:pPr>
              <w:spacing w:before="60" w:after="60"/>
              <w:jc w:val="center"/>
              <w:rPr>
                <w:bCs/>
              </w:rPr>
            </w:pPr>
            <w:r w:rsidRPr="00641981">
              <w:rPr>
                <w:bCs/>
              </w:rPr>
              <w:t>Projekts šo jomu neskar.</w:t>
            </w:r>
          </w:p>
        </w:tc>
      </w:tr>
    </w:tbl>
    <w:p w14:paraId="5C923E68" w14:textId="77777777" w:rsidR="002952B7" w:rsidRPr="00641981" w:rsidRDefault="002952B7"/>
    <w:tbl>
      <w:tblPr>
        <w:tblW w:w="9753"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753"/>
      </w:tblGrid>
      <w:tr w:rsidR="00641981" w:rsidRPr="00641981" w14:paraId="1726B3F1" w14:textId="77777777" w:rsidTr="0005551B">
        <w:trPr>
          <w:trHeight w:val="227"/>
          <w:jc w:val="center"/>
        </w:trPr>
        <w:tc>
          <w:tcPr>
            <w:tcW w:w="9753" w:type="dxa"/>
            <w:tcBorders>
              <w:top w:val="single" w:sz="6" w:space="0" w:color="414142"/>
              <w:left w:val="single" w:sz="6" w:space="0" w:color="414142"/>
              <w:bottom w:val="single" w:sz="6" w:space="0" w:color="414142"/>
              <w:right w:val="single" w:sz="6" w:space="0" w:color="414142"/>
            </w:tcBorders>
            <w:vAlign w:val="center"/>
            <w:hideMark/>
          </w:tcPr>
          <w:p w14:paraId="71710055" w14:textId="77777777" w:rsidR="003F4710" w:rsidRPr="00641981" w:rsidRDefault="003F4710" w:rsidP="006E3F44">
            <w:pPr>
              <w:spacing w:before="60" w:after="60"/>
              <w:jc w:val="center"/>
            </w:pPr>
            <w:r w:rsidRPr="00641981">
              <w:rPr>
                <w:b/>
              </w:rPr>
              <w:t>IV. Tiesību akta projekta ietekme uz spēkā esošo tiesību normu sistēmu</w:t>
            </w:r>
          </w:p>
        </w:tc>
      </w:tr>
      <w:tr w:rsidR="0085125D" w:rsidRPr="00641981" w14:paraId="0AF6EC93" w14:textId="77777777" w:rsidTr="0005551B">
        <w:trPr>
          <w:trHeight w:val="227"/>
          <w:jc w:val="center"/>
        </w:trPr>
        <w:tc>
          <w:tcPr>
            <w:tcW w:w="9753" w:type="dxa"/>
            <w:tcBorders>
              <w:top w:val="single" w:sz="6" w:space="0" w:color="414142"/>
              <w:left w:val="single" w:sz="6" w:space="0" w:color="414142"/>
              <w:bottom w:val="single" w:sz="6" w:space="0" w:color="414142"/>
              <w:right w:val="single" w:sz="6" w:space="0" w:color="414142"/>
            </w:tcBorders>
            <w:vAlign w:val="center"/>
          </w:tcPr>
          <w:p w14:paraId="42D1F027" w14:textId="77777777" w:rsidR="0085125D" w:rsidRPr="00641981" w:rsidRDefault="0085125D" w:rsidP="006E3F44">
            <w:pPr>
              <w:spacing w:before="60" w:after="60"/>
              <w:jc w:val="center"/>
            </w:pPr>
            <w:r w:rsidRPr="00641981">
              <w:t>Projekts šo jomu neskar.</w:t>
            </w:r>
          </w:p>
        </w:tc>
      </w:tr>
    </w:tbl>
    <w:p w14:paraId="23089039" w14:textId="77777777" w:rsidR="008001FC" w:rsidRPr="00641981" w:rsidRDefault="008001FC" w:rsidP="00C57BDB"/>
    <w:tbl>
      <w:tblPr>
        <w:tblStyle w:val="TableGrid"/>
        <w:tblW w:w="5177" w:type="pct"/>
        <w:tblInd w:w="-185" w:type="dxa"/>
        <w:tblLayout w:type="fixed"/>
        <w:tblLook w:val="04A0" w:firstRow="1" w:lastRow="0" w:firstColumn="1" w:lastColumn="0" w:noHBand="0" w:noVBand="1"/>
      </w:tblPr>
      <w:tblGrid>
        <w:gridCol w:w="9728"/>
      </w:tblGrid>
      <w:tr w:rsidR="00641981" w:rsidRPr="00641981" w14:paraId="3CA92D60" w14:textId="77777777" w:rsidTr="005C2237">
        <w:tc>
          <w:tcPr>
            <w:tcW w:w="5000" w:type="pct"/>
            <w:hideMark/>
          </w:tcPr>
          <w:p w14:paraId="1F2A8125" w14:textId="77777777" w:rsidR="005C2237" w:rsidRPr="00641981" w:rsidRDefault="005C2237" w:rsidP="005C2237">
            <w:pPr>
              <w:spacing w:before="60" w:after="60"/>
              <w:ind w:firstLine="302"/>
              <w:jc w:val="center"/>
              <w:rPr>
                <w:b/>
                <w:bCs/>
              </w:rPr>
            </w:pPr>
            <w:r w:rsidRPr="00641981">
              <w:rPr>
                <w:b/>
                <w:bCs/>
              </w:rPr>
              <w:t>V. Tiesību akta projekta atbilstība Latvijas Republikas starptautiskajām saistībām</w:t>
            </w:r>
          </w:p>
        </w:tc>
      </w:tr>
      <w:tr w:rsidR="00641981" w:rsidRPr="00641981" w14:paraId="19A357EA" w14:textId="77777777" w:rsidTr="005C2237">
        <w:trPr>
          <w:trHeight w:val="227"/>
        </w:trPr>
        <w:tc>
          <w:tcPr>
            <w:tcW w:w="5000" w:type="pct"/>
          </w:tcPr>
          <w:p w14:paraId="413E99E9" w14:textId="77777777" w:rsidR="005C2237" w:rsidRPr="00641981" w:rsidRDefault="005C2237" w:rsidP="005C2237">
            <w:pPr>
              <w:spacing w:before="60" w:after="60"/>
              <w:jc w:val="center"/>
            </w:pPr>
            <w:r w:rsidRPr="00641981">
              <w:t>Projekts šo jomu neskar.</w:t>
            </w:r>
          </w:p>
        </w:tc>
      </w:tr>
    </w:tbl>
    <w:p w14:paraId="08998B58" w14:textId="77777777" w:rsidR="005C2237" w:rsidRPr="00641981" w:rsidRDefault="005C2237" w:rsidP="00C57BDB"/>
    <w:tbl>
      <w:tblPr>
        <w:tblW w:w="5173" w:type="pct"/>
        <w:tblInd w:w="-185" w:type="dxa"/>
        <w:tblCellMar>
          <w:left w:w="0" w:type="dxa"/>
          <w:right w:w="0" w:type="dxa"/>
        </w:tblCellMar>
        <w:tblLook w:val="0000" w:firstRow="0" w:lastRow="0" w:firstColumn="0" w:lastColumn="0" w:noHBand="0" w:noVBand="0"/>
      </w:tblPr>
      <w:tblGrid>
        <w:gridCol w:w="9720"/>
      </w:tblGrid>
      <w:tr w:rsidR="00641981" w:rsidRPr="00641981" w14:paraId="3F80A522" w14:textId="77777777" w:rsidTr="00710D41">
        <w:trPr>
          <w:trHeight w:val="22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F5F20F8" w14:textId="77777777" w:rsidR="001A36A0" w:rsidRPr="00641981" w:rsidRDefault="001A36A0" w:rsidP="00710D41">
            <w:pPr>
              <w:pStyle w:val="naiskr"/>
              <w:spacing w:before="60" w:after="60"/>
              <w:ind w:left="142" w:right="85"/>
              <w:jc w:val="center"/>
            </w:pPr>
            <w:r w:rsidRPr="00641981">
              <w:rPr>
                <w:rFonts w:eastAsia="Calibri"/>
                <w:b/>
                <w:bCs/>
                <w:lang w:eastAsia="en-US"/>
              </w:rPr>
              <w:t>VI. Sabiedrības līdzdalība un komunikācijas aktivitātes</w:t>
            </w:r>
          </w:p>
        </w:tc>
      </w:tr>
      <w:tr w:rsidR="00641981" w:rsidRPr="00641981" w14:paraId="2E585515" w14:textId="77777777" w:rsidTr="00710D41">
        <w:trPr>
          <w:trHeight w:val="227"/>
        </w:trPr>
        <w:tc>
          <w:tcPr>
            <w:tcW w:w="5000" w:type="pct"/>
            <w:tcBorders>
              <w:top w:val="single" w:sz="4" w:space="0" w:color="000000"/>
              <w:left w:val="single" w:sz="4" w:space="0" w:color="000000"/>
            </w:tcBorders>
            <w:shd w:val="clear" w:color="auto" w:fill="auto"/>
          </w:tcPr>
          <w:tbl>
            <w:tblPr>
              <w:tblW w:w="5000" w:type="pct"/>
              <w:shd w:val="clear" w:color="auto" w:fill="FFFFFF"/>
              <w:tblCellMar>
                <w:left w:w="0" w:type="dxa"/>
                <w:right w:w="0" w:type="dxa"/>
              </w:tblCellMar>
              <w:tblLook w:val="04A0" w:firstRow="1" w:lastRow="0" w:firstColumn="1" w:lastColumn="0" w:noHBand="0" w:noVBand="1"/>
            </w:tblPr>
            <w:tblGrid>
              <w:gridCol w:w="440"/>
              <w:gridCol w:w="3335"/>
              <w:gridCol w:w="5930"/>
            </w:tblGrid>
            <w:tr w:rsidR="00641981" w:rsidRPr="00641981" w14:paraId="01BCC3BA" w14:textId="77777777" w:rsidTr="00710D41">
              <w:trPr>
                <w:trHeight w:val="476"/>
              </w:trPr>
              <w:tc>
                <w:tcPr>
                  <w:tcW w:w="227" w:type="pct"/>
                  <w:tcBorders>
                    <w:top w:val="nil"/>
                    <w:left w:val="single" w:sz="4" w:space="0" w:color="auto"/>
                    <w:bottom w:val="single" w:sz="8" w:space="0" w:color="000000"/>
                    <w:right w:val="nil"/>
                  </w:tcBorders>
                  <w:shd w:val="clear" w:color="auto" w:fill="FFFFFF"/>
                  <w:hideMark/>
                </w:tcPr>
                <w:p w14:paraId="454BD76D" w14:textId="77777777" w:rsidR="001A36A0" w:rsidRPr="00641981" w:rsidRDefault="001A36A0" w:rsidP="00710D41">
                  <w:pPr>
                    <w:spacing w:before="60"/>
                    <w:jc w:val="both"/>
                  </w:pPr>
                  <w:r w:rsidRPr="00641981">
                    <w:t> 1.</w:t>
                  </w:r>
                </w:p>
              </w:tc>
              <w:tc>
                <w:tcPr>
                  <w:tcW w:w="1718" w:type="pct"/>
                  <w:tcBorders>
                    <w:top w:val="nil"/>
                    <w:left w:val="single" w:sz="8" w:space="0" w:color="000000"/>
                    <w:bottom w:val="single" w:sz="8" w:space="0" w:color="000000"/>
                    <w:right w:val="nil"/>
                  </w:tcBorders>
                  <w:shd w:val="clear" w:color="auto" w:fill="FFFFFF"/>
                  <w:hideMark/>
                </w:tcPr>
                <w:p w14:paraId="099454C8" w14:textId="77777777" w:rsidR="001A36A0" w:rsidRPr="00641981" w:rsidRDefault="001A36A0" w:rsidP="00710D41">
                  <w:pPr>
                    <w:spacing w:before="60" w:after="60"/>
                    <w:ind w:left="86" w:right="130"/>
                  </w:pPr>
                  <w:r w:rsidRPr="00641981">
                    <w:t>Plānotās sabiedrības līdzdalības un komunikācijas aktivitātes saistībā ar projektu</w:t>
                  </w:r>
                </w:p>
              </w:tc>
              <w:tc>
                <w:tcPr>
                  <w:tcW w:w="3055" w:type="pct"/>
                  <w:tcBorders>
                    <w:top w:val="nil"/>
                    <w:left w:val="single" w:sz="8" w:space="0" w:color="000000"/>
                    <w:bottom w:val="single" w:sz="8" w:space="0" w:color="000000"/>
                    <w:right w:val="single" w:sz="4" w:space="0" w:color="auto"/>
                  </w:tcBorders>
                  <w:shd w:val="clear" w:color="auto" w:fill="FFFFFF"/>
                  <w:hideMark/>
                </w:tcPr>
                <w:p w14:paraId="1A852A84" w14:textId="77777777" w:rsidR="001A36A0" w:rsidRPr="00690EED" w:rsidRDefault="001A36A0" w:rsidP="00710D41">
                  <w:pPr>
                    <w:spacing w:before="60" w:after="60"/>
                    <w:ind w:left="72" w:right="86"/>
                  </w:pPr>
                  <w:r w:rsidRPr="00690EED">
                    <w:t>Projekts šo jomu neskar.</w:t>
                  </w:r>
                </w:p>
              </w:tc>
            </w:tr>
            <w:tr w:rsidR="00641981" w:rsidRPr="00641981" w14:paraId="609B5ACB" w14:textId="77777777" w:rsidTr="00710D41">
              <w:trPr>
                <w:trHeight w:val="252"/>
              </w:trPr>
              <w:tc>
                <w:tcPr>
                  <w:tcW w:w="227" w:type="pct"/>
                  <w:tcBorders>
                    <w:top w:val="nil"/>
                    <w:left w:val="single" w:sz="4" w:space="0" w:color="auto"/>
                    <w:bottom w:val="single" w:sz="8" w:space="0" w:color="000000"/>
                    <w:right w:val="nil"/>
                  </w:tcBorders>
                  <w:shd w:val="clear" w:color="auto" w:fill="FFFFFF"/>
                  <w:hideMark/>
                </w:tcPr>
                <w:p w14:paraId="41AD6BC5" w14:textId="77777777" w:rsidR="001A36A0" w:rsidRPr="00641981" w:rsidRDefault="001A36A0" w:rsidP="00710D41">
                  <w:pPr>
                    <w:spacing w:before="60"/>
                    <w:jc w:val="both"/>
                  </w:pPr>
                  <w:r w:rsidRPr="00641981">
                    <w:t xml:space="preserve"> 2.</w:t>
                  </w:r>
                </w:p>
              </w:tc>
              <w:tc>
                <w:tcPr>
                  <w:tcW w:w="1718" w:type="pct"/>
                  <w:tcBorders>
                    <w:top w:val="nil"/>
                    <w:left w:val="single" w:sz="8" w:space="0" w:color="000000"/>
                    <w:bottom w:val="single" w:sz="8" w:space="0" w:color="000000"/>
                    <w:right w:val="nil"/>
                  </w:tcBorders>
                  <w:shd w:val="clear" w:color="auto" w:fill="FFFFFF"/>
                  <w:hideMark/>
                </w:tcPr>
                <w:p w14:paraId="350C3D0F" w14:textId="77777777" w:rsidR="001A36A0" w:rsidRPr="00641981" w:rsidRDefault="001A36A0" w:rsidP="00710D41">
                  <w:pPr>
                    <w:spacing w:before="60" w:after="60"/>
                    <w:ind w:left="86" w:right="130"/>
                  </w:pPr>
                  <w:r w:rsidRPr="00641981">
                    <w:t>Sabiedrības līdzdalība projekta izstrādē</w:t>
                  </w:r>
                </w:p>
              </w:tc>
              <w:tc>
                <w:tcPr>
                  <w:tcW w:w="3055" w:type="pct"/>
                  <w:tcBorders>
                    <w:top w:val="nil"/>
                    <w:left w:val="single" w:sz="8" w:space="0" w:color="000000"/>
                    <w:bottom w:val="single" w:sz="8" w:space="0" w:color="000000"/>
                    <w:right w:val="single" w:sz="4" w:space="0" w:color="auto"/>
                  </w:tcBorders>
                  <w:shd w:val="clear" w:color="auto" w:fill="FFFFFF"/>
                  <w:hideMark/>
                </w:tcPr>
                <w:p w14:paraId="318F46C9" w14:textId="77777777" w:rsidR="001A36A0" w:rsidRPr="00690EED" w:rsidRDefault="001A36A0" w:rsidP="00EB666B">
                  <w:pPr>
                    <w:spacing w:before="60" w:after="60"/>
                    <w:ind w:left="72" w:right="86"/>
                    <w:jc w:val="both"/>
                  </w:pPr>
                  <w:r w:rsidRPr="00690EED">
                    <w:t>2019. gada 2. aprīlī projekts tika publicēts Satiksmes ministrijas tīmekļa vietnē, sadaļā “Sabiedrības līdzdalība” (</w:t>
                  </w:r>
                  <w:hyperlink r:id="rId8" w:history="1">
                    <w:r w:rsidRPr="00690EED">
                      <w:rPr>
                        <w:rStyle w:val="Hyperlink"/>
                        <w:color w:val="auto"/>
                      </w:rPr>
                      <w:t>http://www.sam.gov.lv/satmin/content/?cat=553</w:t>
                    </w:r>
                  </w:hyperlink>
                  <w:r w:rsidRPr="00690EED">
                    <w:t>). Tādējādi savus priekšlikumus par projektu varēja izteikt ikviena ieinteresētā persona. Visas Latvijas ostas, nosūtot tām atbilstošu vēstuli, tika īpaši aicinātas sniegt savus komentārus par sagatavoto projektu.</w:t>
                  </w:r>
                </w:p>
              </w:tc>
            </w:tr>
            <w:tr w:rsidR="00641981" w:rsidRPr="00641981" w14:paraId="43EE59E6" w14:textId="77777777" w:rsidTr="00710D41">
              <w:trPr>
                <w:trHeight w:val="316"/>
              </w:trPr>
              <w:tc>
                <w:tcPr>
                  <w:tcW w:w="227" w:type="pct"/>
                  <w:tcBorders>
                    <w:top w:val="nil"/>
                    <w:left w:val="single" w:sz="4" w:space="0" w:color="auto"/>
                    <w:bottom w:val="single" w:sz="8" w:space="0" w:color="000000"/>
                    <w:right w:val="nil"/>
                  </w:tcBorders>
                  <w:shd w:val="clear" w:color="auto" w:fill="FFFFFF"/>
                  <w:hideMark/>
                </w:tcPr>
                <w:p w14:paraId="42F70C6A" w14:textId="77777777" w:rsidR="001A36A0" w:rsidRPr="00641981" w:rsidRDefault="001A36A0" w:rsidP="00710D41">
                  <w:pPr>
                    <w:spacing w:before="60"/>
                  </w:pPr>
                  <w:r w:rsidRPr="00641981">
                    <w:t xml:space="preserve"> 3.</w:t>
                  </w:r>
                </w:p>
              </w:tc>
              <w:tc>
                <w:tcPr>
                  <w:tcW w:w="1718" w:type="pct"/>
                  <w:tcBorders>
                    <w:top w:val="nil"/>
                    <w:left w:val="single" w:sz="8" w:space="0" w:color="000000"/>
                    <w:bottom w:val="single" w:sz="8" w:space="0" w:color="000000"/>
                    <w:right w:val="nil"/>
                  </w:tcBorders>
                  <w:shd w:val="clear" w:color="auto" w:fill="FFFFFF"/>
                  <w:hideMark/>
                </w:tcPr>
                <w:p w14:paraId="1AA42337" w14:textId="77777777" w:rsidR="001A36A0" w:rsidRPr="00641981" w:rsidRDefault="001A36A0" w:rsidP="00710D41">
                  <w:pPr>
                    <w:spacing w:before="60" w:after="60"/>
                    <w:ind w:left="86" w:right="130"/>
                  </w:pPr>
                  <w:r w:rsidRPr="00641981">
                    <w:t>Sabiedrības līdzdalības rezultāti</w:t>
                  </w:r>
                </w:p>
              </w:tc>
              <w:tc>
                <w:tcPr>
                  <w:tcW w:w="3055" w:type="pct"/>
                  <w:tcBorders>
                    <w:top w:val="nil"/>
                    <w:left w:val="single" w:sz="8" w:space="0" w:color="000000"/>
                    <w:bottom w:val="single" w:sz="8" w:space="0" w:color="000000"/>
                    <w:right w:val="single" w:sz="4" w:space="0" w:color="auto"/>
                  </w:tcBorders>
                  <w:shd w:val="clear" w:color="auto" w:fill="FFFFFF"/>
                  <w:hideMark/>
                </w:tcPr>
                <w:p w14:paraId="25E7AD41" w14:textId="77777777" w:rsidR="001A36A0" w:rsidRPr="00641981" w:rsidRDefault="001A36A0" w:rsidP="00EB666B">
                  <w:pPr>
                    <w:spacing w:before="60"/>
                    <w:ind w:left="72" w:right="86"/>
                    <w:jc w:val="both"/>
                    <w:rPr>
                      <w:b/>
                    </w:rPr>
                  </w:pPr>
                  <w:r w:rsidRPr="00641981">
                    <w:t xml:space="preserve">Iebildumi vai priekšlikumi netika saņemti. </w:t>
                  </w:r>
                  <w:r w:rsidRPr="00690EED">
                    <w:t>Ventspils brīvostas pārvalde sniedza atbildi, ka piekrīt projektam.</w:t>
                  </w:r>
                </w:p>
              </w:tc>
            </w:tr>
            <w:tr w:rsidR="00641981" w:rsidRPr="00641981" w14:paraId="629F8F55" w14:textId="77777777" w:rsidTr="00710D41">
              <w:tc>
                <w:tcPr>
                  <w:tcW w:w="227" w:type="pct"/>
                  <w:tcBorders>
                    <w:top w:val="nil"/>
                    <w:left w:val="single" w:sz="4" w:space="0" w:color="auto"/>
                    <w:bottom w:val="single" w:sz="4" w:space="0" w:color="auto"/>
                    <w:right w:val="nil"/>
                  </w:tcBorders>
                  <w:shd w:val="clear" w:color="auto" w:fill="FFFFFF"/>
                  <w:hideMark/>
                </w:tcPr>
                <w:p w14:paraId="29FBAABE" w14:textId="77777777" w:rsidR="001A36A0" w:rsidRPr="00641981" w:rsidRDefault="001A36A0" w:rsidP="00710D41">
                  <w:pPr>
                    <w:spacing w:before="60" w:after="60"/>
                  </w:pPr>
                  <w:r w:rsidRPr="00641981">
                    <w:t xml:space="preserve"> 4.</w:t>
                  </w:r>
                </w:p>
              </w:tc>
              <w:tc>
                <w:tcPr>
                  <w:tcW w:w="1718" w:type="pct"/>
                  <w:tcBorders>
                    <w:top w:val="nil"/>
                    <w:left w:val="single" w:sz="8" w:space="0" w:color="000000"/>
                    <w:bottom w:val="single" w:sz="4" w:space="0" w:color="auto"/>
                    <w:right w:val="nil"/>
                  </w:tcBorders>
                  <w:shd w:val="clear" w:color="auto" w:fill="FFFFFF"/>
                  <w:hideMark/>
                </w:tcPr>
                <w:p w14:paraId="36D1FADD" w14:textId="77777777" w:rsidR="001A36A0" w:rsidRPr="00641981" w:rsidRDefault="001A36A0" w:rsidP="00710D41">
                  <w:pPr>
                    <w:spacing w:before="60"/>
                    <w:ind w:left="86" w:right="130"/>
                  </w:pPr>
                  <w:r w:rsidRPr="00641981">
                    <w:t>Cita informācija</w:t>
                  </w:r>
                </w:p>
              </w:tc>
              <w:tc>
                <w:tcPr>
                  <w:tcW w:w="3055" w:type="pct"/>
                  <w:tcBorders>
                    <w:top w:val="nil"/>
                    <w:left w:val="single" w:sz="8" w:space="0" w:color="000000"/>
                    <w:bottom w:val="single" w:sz="4" w:space="0" w:color="auto"/>
                    <w:right w:val="single" w:sz="4" w:space="0" w:color="auto"/>
                  </w:tcBorders>
                  <w:shd w:val="clear" w:color="auto" w:fill="FFFFFF"/>
                  <w:hideMark/>
                </w:tcPr>
                <w:p w14:paraId="3091C0D6" w14:textId="77777777" w:rsidR="001A36A0" w:rsidRPr="00641981" w:rsidRDefault="001A36A0" w:rsidP="00710D41">
                  <w:pPr>
                    <w:spacing w:before="60"/>
                    <w:ind w:left="72" w:right="86"/>
                  </w:pPr>
                  <w:r w:rsidRPr="00641981">
                    <w:t>Nav.</w:t>
                  </w:r>
                </w:p>
              </w:tc>
            </w:tr>
          </w:tbl>
          <w:p w14:paraId="1E4A958F" w14:textId="77777777" w:rsidR="001A36A0" w:rsidRPr="00641981" w:rsidRDefault="001A36A0" w:rsidP="00710D41">
            <w:pPr>
              <w:pStyle w:val="naiskr"/>
              <w:spacing w:before="60" w:after="60"/>
              <w:ind w:left="142" w:right="85"/>
              <w:jc w:val="center"/>
              <w:rPr>
                <w:rFonts w:eastAsia="Calibri"/>
                <w:bCs/>
                <w:lang w:eastAsia="en-US"/>
              </w:rPr>
            </w:pPr>
          </w:p>
        </w:tc>
      </w:tr>
    </w:tbl>
    <w:p w14:paraId="1B640224" w14:textId="77777777" w:rsidR="001220AE" w:rsidRPr="00641981" w:rsidRDefault="001220AE" w:rsidP="001A36A0"/>
    <w:tbl>
      <w:tblPr>
        <w:tblW w:w="5176" w:type="pct"/>
        <w:tblInd w:w="-18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1"/>
        <w:gridCol w:w="3345"/>
        <w:gridCol w:w="5923"/>
      </w:tblGrid>
      <w:tr w:rsidR="00641981" w:rsidRPr="00641981" w14:paraId="42DCB238" w14:textId="77777777" w:rsidTr="00710D41">
        <w:tc>
          <w:tcPr>
            <w:tcW w:w="5000" w:type="pct"/>
            <w:gridSpan w:val="3"/>
            <w:tcBorders>
              <w:top w:val="single" w:sz="4" w:space="0" w:color="auto"/>
              <w:left w:val="outset" w:sz="6" w:space="0" w:color="000000"/>
              <w:bottom w:val="outset" w:sz="6" w:space="0" w:color="000000"/>
              <w:right w:val="outset" w:sz="6" w:space="0" w:color="000000"/>
            </w:tcBorders>
          </w:tcPr>
          <w:p w14:paraId="54FB2C3B" w14:textId="77777777" w:rsidR="001A36A0" w:rsidRPr="00641981" w:rsidRDefault="001A36A0" w:rsidP="00710D41">
            <w:pPr>
              <w:spacing w:before="60" w:after="60"/>
              <w:jc w:val="center"/>
              <w:rPr>
                <w:b/>
                <w:bCs/>
              </w:rPr>
            </w:pPr>
            <w:r w:rsidRPr="00641981">
              <w:rPr>
                <w:b/>
                <w:bCs/>
              </w:rPr>
              <w:t>VII. Tiesību akta projekta izpildes nodrošināšana un tās ietekme uz institūcijām</w:t>
            </w:r>
          </w:p>
        </w:tc>
      </w:tr>
      <w:tr w:rsidR="00641981" w:rsidRPr="00641981" w14:paraId="116C7534" w14:textId="77777777" w:rsidTr="00710D41">
        <w:tc>
          <w:tcPr>
            <w:tcW w:w="232" w:type="pct"/>
            <w:tcBorders>
              <w:top w:val="outset" w:sz="6" w:space="0" w:color="000000"/>
              <w:left w:val="outset" w:sz="6" w:space="0" w:color="000000"/>
              <w:bottom w:val="outset" w:sz="6" w:space="0" w:color="000000"/>
              <w:right w:val="outset" w:sz="6" w:space="0" w:color="000000"/>
            </w:tcBorders>
          </w:tcPr>
          <w:p w14:paraId="27ADDF91" w14:textId="77777777" w:rsidR="001A36A0" w:rsidRPr="00641981" w:rsidRDefault="001A36A0" w:rsidP="00710D41">
            <w:pPr>
              <w:spacing w:before="60"/>
              <w:jc w:val="center"/>
            </w:pPr>
            <w:r w:rsidRPr="00641981">
              <w:lastRenderedPageBreak/>
              <w:t>1.</w:t>
            </w:r>
          </w:p>
        </w:tc>
        <w:tc>
          <w:tcPr>
            <w:tcW w:w="1721" w:type="pct"/>
            <w:tcBorders>
              <w:top w:val="outset" w:sz="6" w:space="0" w:color="000000"/>
              <w:left w:val="outset" w:sz="6" w:space="0" w:color="000000"/>
              <w:bottom w:val="outset" w:sz="6" w:space="0" w:color="000000"/>
              <w:right w:val="outset" w:sz="6" w:space="0" w:color="000000"/>
            </w:tcBorders>
          </w:tcPr>
          <w:p w14:paraId="5466939E" w14:textId="77777777" w:rsidR="001A36A0" w:rsidRPr="00641981" w:rsidRDefault="001A36A0" w:rsidP="00710D41">
            <w:pPr>
              <w:spacing w:before="60" w:after="60"/>
              <w:ind w:left="58"/>
            </w:pPr>
            <w:r w:rsidRPr="00641981">
              <w:t>Projekta izpildē iesaistītās institūcijas</w:t>
            </w:r>
          </w:p>
        </w:tc>
        <w:tc>
          <w:tcPr>
            <w:tcW w:w="3047" w:type="pct"/>
            <w:tcBorders>
              <w:top w:val="outset" w:sz="6" w:space="0" w:color="000000"/>
              <w:left w:val="outset" w:sz="6" w:space="0" w:color="000000"/>
              <w:bottom w:val="outset" w:sz="6" w:space="0" w:color="000000"/>
              <w:right w:val="outset" w:sz="6" w:space="0" w:color="000000"/>
            </w:tcBorders>
          </w:tcPr>
          <w:p w14:paraId="7E39FB59" w14:textId="77777777" w:rsidR="001A36A0" w:rsidRPr="00641981" w:rsidRDefault="001A36A0" w:rsidP="00710D41">
            <w:pPr>
              <w:spacing w:before="60"/>
              <w:ind w:left="101" w:right="115"/>
            </w:pPr>
            <w:r w:rsidRPr="00641981">
              <w:t>Projekta izpildi nodrošinās Jūras administrācija.</w:t>
            </w:r>
          </w:p>
        </w:tc>
      </w:tr>
      <w:tr w:rsidR="00641981" w:rsidRPr="00641981" w14:paraId="10D303DD" w14:textId="77777777" w:rsidTr="00710D41">
        <w:tc>
          <w:tcPr>
            <w:tcW w:w="232" w:type="pct"/>
            <w:tcBorders>
              <w:top w:val="outset" w:sz="6" w:space="0" w:color="000000"/>
              <w:left w:val="outset" w:sz="6" w:space="0" w:color="000000"/>
              <w:bottom w:val="outset" w:sz="6" w:space="0" w:color="000000"/>
              <w:right w:val="outset" w:sz="6" w:space="0" w:color="000000"/>
            </w:tcBorders>
          </w:tcPr>
          <w:p w14:paraId="08D906B7" w14:textId="77777777" w:rsidR="001A36A0" w:rsidRPr="00641981" w:rsidRDefault="001A36A0" w:rsidP="00710D41">
            <w:pPr>
              <w:spacing w:before="60"/>
              <w:jc w:val="center"/>
            </w:pPr>
            <w:r w:rsidRPr="00641981">
              <w:t>2.</w:t>
            </w:r>
          </w:p>
        </w:tc>
        <w:tc>
          <w:tcPr>
            <w:tcW w:w="1721" w:type="pct"/>
            <w:tcBorders>
              <w:top w:val="outset" w:sz="6" w:space="0" w:color="000000"/>
              <w:left w:val="outset" w:sz="6" w:space="0" w:color="000000"/>
              <w:bottom w:val="outset" w:sz="6" w:space="0" w:color="000000"/>
              <w:right w:val="outset" w:sz="6" w:space="0" w:color="000000"/>
            </w:tcBorders>
          </w:tcPr>
          <w:p w14:paraId="08E33E26" w14:textId="77777777" w:rsidR="001A36A0" w:rsidRPr="00641981" w:rsidRDefault="001A36A0" w:rsidP="00710D41">
            <w:pPr>
              <w:spacing w:before="60"/>
              <w:ind w:left="58"/>
            </w:pPr>
            <w:r w:rsidRPr="00641981">
              <w:t>Projekta izpildes ietekme uz pārvaldes funkcijām un institucionālo struktūru.</w:t>
            </w:r>
          </w:p>
          <w:p w14:paraId="10D3FCF7" w14:textId="77777777" w:rsidR="001A36A0" w:rsidRPr="00641981" w:rsidRDefault="001A36A0" w:rsidP="00710D41">
            <w:pPr>
              <w:spacing w:after="60"/>
              <w:ind w:left="58"/>
            </w:pPr>
            <w:r w:rsidRPr="00641981">
              <w:t>Jaunu institūciju izveide, esošu institūciju likvidācija vai reorganizācija, to ietekme uz institūcijas cilvēkresursiem</w:t>
            </w:r>
          </w:p>
        </w:tc>
        <w:tc>
          <w:tcPr>
            <w:tcW w:w="3047" w:type="pct"/>
            <w:tcBorders>
              <w:top w:val="outset" w:sz="6" w:space="0" w:color="000000"/>
              <w:left w:val="outset" w:sz="6" w:space="0" w:color="000000"/>
              <w:bottom w:val="outset" w:sz="6" w:space="0" w:color="000000"/>
              <w:right w:val="outset" w:sz="6" w:space="0" w:color="000000"/>
            </w:tcBorders>
          </w:tcPr>
          <w:p w14:paraId="2F9C5C4F" w14:textId="77777777" w:rsidR="001A36A0" w:rsidRPr="00641981" w:rsidRDefault="001A36A0" w:rsidP="00EB666B">
            <w:pPr>
              <w:spacing w:before="60"/>
              <w:ind w:left="101"/>
              <w:jc w:val="both"/>
            </w:pPr>
            <w:r w:rsidRPr="00641981">
              <w:t>Projekta izpildē iesaistīto institūciju funkcijas nepaplašinās un nesašaurinās. Saistībā ar projekta izpildi papildus cilvēkresursi nav nepieciešami. Nav nepieciešams arī veidot jaunas institūcijas vai likvidēt vai reorganizēt esošās.</w:t>
            </w:r>
          </w:p>
          <w:p w14:paraId="1C8E0E9B" w14:textId="77777777" w:rsidR="001A36A0" w:rsidRPr="00641981" w:rsidRDefault="001A36A0" w:rsidP="00EB666B">
            <w:pPr>
              <w:ind w:left="103" w:right="112"/>
              <w:jc w:val="both"/>
            </w:pPr>
          </w:p>
        </w:tc>
      </w:tr>
      <w:tr w:rsidR="00641981" w:rsidRPr="00641981" w14:paraId="7F611C29" w14:textId="77777777" w:rsidTr="00710D41">
        <w:tc>
          <w:tcPr>
            <w:tcW w:w="232" w:type="pct"/>
            <w:tcBorders>
              <w:top w:val="outset" w:sz="6" w:space="0" w:color="000000"/>
              <w:left w:val="outset" w:sz="6" w:space="0" w:color="000000"/>
              <w:bottom w:val="outset" w:sz="6" w:space="0" w:color="000000"/>
              <w:right w:val="outset" w:sz="6" w:space="0" w:color="000000"/>
            </w:tcBorders>
          </w:tcPr>
          <w:p w14:paraId="0A47E791" w14:textId="77777777" w:rsidR="001A36A0" w:rsidRPr="00641981" w:rsidRDefault="001A36A0" w:rsidP="00710D41">
            <w:pPr>
              <w:spacing w:before="60" w:after="60"/>
              <w:jc w:val="center"/>
            </w:pPr>
            <w:r w:rsidRPr="00641981">
              <w:t>3.</w:t>
            </w:r>
          </w:p>
        </w:tc>
        <w:tc>
          <w:tcPr>
            <w:tcW w:w="1721" w:type="pct"/>
            <w:tcBorders>
              <w:top w:val="outset" w:sz="6" w:space="0" w:color="000000"/>
              <w:left w:val="outset" w:sz="6" w:space="0" w:color="000000"/>
              <w:bottom w:val="outset" w:sz="6" w:space="0" w:color="000000"/>
              <w:right w:val="outset" w:sz="6" w:space="0" w:color="000000"/>
            </w:tcBorders>
          </w:tcPr>
          <w:p w14:paraId="038B5496" w14:textId="77777777" w:rsidR="001A36A0" w:rsidRPr="00641981" w:rsidRDefault="001A36A0" w:rsidP="00710D41">
            <w:pPr>
              <w:spacing w:before="60"/>
              <w:ind w:left="58"/>
            </w:pPr>
            <w:r w:rsidRPr="00641981">
              <w:t>Cita informācija</w:t>
            </w:r>
          </w:p>
        </w:tc>
        <w:tc>
          <w:tcPr>
            <w:tcW w:w="3047" w:type="pct"/>
            <w:tcBorders>
              <w:top w:val="outset" w:sz="6" w:space="0" w:color="000000"/>
              <w:left w:val="outset" w:sz="6" w:space="0" w:color="000000"/>
              <w:bottom w:val="outset" w:sz="6" w:space="0" w:color="000000"/>
              <w:right w:val="outset" w:sz="6" w:space="0" w:color="000000"/>
            </w:tcBorders>
          </w:tcPr>
          <w:p w14:paraId="1338A6BB" w14:textId="77777777" w:rsidR="001A36A0" w:rsidRPr="00641981" w:rsidRDefault="001A36A0" w:rsidP="00710D41">
            <w:pPr>
              <w:spacing w:before="60"/>
              <w:ind w:left="101" w:right="115"/>
            </w:pPr>
            <w:r w:rsidRPr="00641981">
              <w:t>Nav.</w:t>
            </w:r>
          </w:p>
        </w:tc>
      </w:tr>
    </w:tbl>
    <w:p w14:paraId="058374F5" w14:textId="77777777" w:rsidR="005C2237" w:rsidRPr="00641981" w:rsidRDefault="005C2237" w:rsidP="00C57BDB"/>
    <w:p w14:paraId="63B905C8" w14:textId="77777777" w:rsidR="0005551B" w:rsidRDefault="0005551B" w:rsidP="00C57BDB"/>
    <w:p w14:paraId="3BCCE3A5" w14:textId="77777777" w:rsidR="005E10A0" w:rsidRDefault="005E10A0" w:rsidP="00C57BDB"/>
    <w:p w14:paraId="1F7D3350" w14:textId="77777777" w:rsidR="005E10A0" w:rsidRPr="00641981" w:rsidRDefault="005E10A0" w:rsidP="00C57BDB"/>
    <w:p w14:paraId="73A3C61C" w14:textId="77777777" w:rsidR="00A26B9A" w:rsidRPr="00641981" w:rsidRDefault="00A26B9A" w:rsidP="00A26B9A">
      <w:pPr>
        <w:ind w:firstLine="720"/>
        <w:jc w:val="both"/>
      </w:pPr>
      <w:r w:rsidRPr="00641981">
        <w:t>Satiksmes ministrs</w:t>
      </w:r>
      <w:r w:rsidRPr="00641981">
        <w:tab/>
      </w:r>
      <w:r w:rsidR="00302844" w:rsidRPr="00641981">
        <w:tab/>
      </w:r>
      <w:r w:rsidR="00302844" w:rsidRPr="00641981">
        <w:tab/>
      </w:r>
      <w:r w:rsidR="00302844" w:rsidRPr="00641981">
        <w:tab/>
      </w:r>
      <w:r w:rsidR="00302844" w:rsidRPr="00641981">
        <w:tab/>
        <w:t xml:space="preserve">                  </w:t>
      </w:r>
      <w:r w:rsidR="00302844" w:rsidRPr="00641981">
        <w:tab/>
        <w:t xml:space="preserve">T. </w:t>
      </w:r>
      <w:proofErr w:type="spellStart"/>
      <w:r w:rsidR="00302844" w:rsidRPr="00641981">
        <w:t>Linkaits</w:t>
      </w:r>
      <w:proofErr w:type="spellEnd"/>
    </w:p>
    <w:p w14:paraId="6CF41E93" w14:textId="77777777" w:rsidR="00A26B9A" w:rsidRPr="00641981" w:rsidRDefault="00A26B9A" w:rsidP="00A26B9A">
      <w:pPr>
        <w:ind w:firstLine="720"/>
        <w:jc w:val="both"/>
      </w:pPr>
    </w:p>
    <w:p w14:paraId="724A1D33" w14:textId="77777777" w:rsidR="00646E46" w:rsidRPr="00641981" w:rsidRDefault="00646E46" w:rsidP="00E40443">
      <w:pPr>
        <w:jc w:val="both"/>
      </w:pPr>
    </w:p>
    <w:p w14:paraId="7E7EA271" w14:textId="2EEC1129" w:rsidR="00B44CF4" w:rsidRPr="00641981" w:rsidRDefault="001F7B5E" w:rsidP="001A36A0">
      <w:pPr>
        <w:pStyle w:val="NoSpacing"/>
        <w:ind w:firstLine="720"/>
      </w:pPr>
      <w:r w:rsidRPr="00641981">
        <w:t xml:space="preserve">Vīza: </w:t>
      </w:r>
      <w:r w:rsidR="00A26B9A" w:rsidRPr="00641981">
        <w:t>valsts sekretār</w:t>
      </w:r>
      <w:r w:rsidR="00FB78BF" w:rsidRPr="00641981">
        <w:t xml:space="preserve">a </w:t>
      </w:r>
      <w:proofErr w:type="spellStart"/>
      <w:r w:rsidR="00FB78BF" w:rsidRPr="00641981">
        <w:t>p.i</w:t>
      </w:r>
      <w:proofErr w:type="spellEnd"/>
      <w:r w:rsidR="00FB78BF" w:rsidRPr="00641981">
        <w:t>.</w:t>
      </w:r>
      <w:r w:rsidRPr="00641981">
        <w:tab/>
      </w:r>
      <w:r w:rsidRPr="00641981">
        <w:tab/>
      </w:r>
      <w:r w:rsidRPr="00641981">
        <w:tab/>
      </w:r>
      <w:r w:rsidRPr="00641981">
        <w:tab/>
      </w:r>
      <w:r w:rsidRPr="00641981">
        <w:tab/>
      </w:r>
      <w:r w:rsidRPr="00641981">
        <w:tab/>
      </w:r>
      <w:proofErr w:type="spellStart"/>
      <w:r w:rsidR="00FB78BF" w:rsidRPr="00641981">
        <w:t>Dž</w:t>
      </w:r>
      <w:proofErr w:type="spellEnd"/>
      <w:r w:rsidR="00FB78BF" w:rsidRPr="00641981">
        <w:t>. Innusa</w:t>
      </w:r>
    </w:p>
    <w:p w14:paraId="5B2AC62E" w14:textId="77777777" w:rsidR="00785A9A" w:rsidRDefault="00785A9A" w:rsidP="007A7FBC">
      <w:pPr>
        <w:jc w:val="both"/>
      </w:pPr>
    </w:p>
    <w:p w14:paraId="3E4606BC" w14:textId="77777777" w:rsidR="005E10A0" w:rsidRPr="00641981" w:rsidRDefault="005E10A0" w:rsidP="007A7FBC">
      <w:pPr>
        <w:jc w:val="both"/>
      </w:pPr>
    </w:p>
    <w:p w14:paraId="0240D791" w14:textId="77777777" w:rsidR="00646E46" w:rsidRDefault="00646E46" w:rsidP="007A5BDF">
      <w:pPr>
        <w:jc w:val="both"/>
        <w:rPr>
          <w:sz w:val="20"/>
          <w:szCs w:val="20"/>
        </w:rPr>
      </w:pPr>
    </w:p>
    <w:p w14:paraId="212655D0" w14:textId="77777777" w:rsidR="005E10A0" w:rsidRDefault="005E10A0" w:rsidP="007A5BDF">
      <w:pPr>
        <w:jc w:val="both"/>
        <w:rPr>
          <w:sz w:val="20"/>
          <w:szCs w:val="20"/>
        </w:rPr>
      </w:pPr>
    </w:p>
    <w:p w14:paraId="56B6C68E" w14:textId="77777777" w:rsidR="005E10A0" w:rsidRDefault="005E10A0" w:rsidP="007A5BDF">
      <w:pPr>
        <w:jc w:val="both"/>
        <w:rPr>
          <w:sz w:val="20"/>
          <w:szCs w:val="20"/>
        </w:rPr>
      </w:pPr>
    </w:p>
    <w:p w14:paraId="3CEC260E" w14:textId="77777777" w:rsidR="005E10A0" w:rsidRPr="00641981" w:rsidRDefault="005E10A0" w:rsidP="007A5BDF">
      <w:pPr>
        <w:jc w:val="both"/>
        <w:rPr>
          <w:sz w:val="20"/>
          <w:szCs w:val="20"/>
        </w:rPr>
      </w:pPr>
    </w:p>
    <w:p w14:paraId="1CB1E60B" w14:textId="77777777" w:rsidR="00692B74" w:rsidRPr="00641981" w:rsidRDefault="00692B74" w:rsidP="00692B74">
      <w:pPr>
        <w:jc w:val="both"/>
        <w:rPr>
          <w:sz w:val="20"/>
          <w:szCs w:val="20"/>
        </w:rPr>
      </w:pPr>
      <w:r w:rsidRPr="00641981">
        <w:rPr>
          <w:sz w:val="20"/>
          <w:szCs w:val="20"/>
        </w:rPr>
        <w:t>Logina, 67062133</w:t>
      </w:r>
    </w:p>
    <w:p w14:paraId="6FD2F9C0" w14:textId="77777777" w:rsidR="00692B74" w:rsidRPr="00641981" w:rsidRDefault="00692B74" w:rsidP="00692B74">
      <w:pPr>
        <w:jc w:val="both"/>
        <w:rPr>
          <w:sz w:val="20"/>
          <w:szCs w:val="20"/>
        </w:rPr>
      </w:pPr>
      <w:r w:rsidRPr="00641981">
        <w:rPr>
          <w:sz w:val="20"/>
          <w:szCs w:val="20"/>
        </w:rPr>
        <w:t>anete.logina@lja.lv</w:t>
      </w:r>
    </w:p>
    <w:p w14:paraId="0BC43F14" w14:textId="77777777" w:rsidR="00692B74" w:rsidRPr="00641981" w:rsidRDefault="00692B74" w:rsidP="007A5BDF">
      <w:pPr>
        <w:jc w:val="both"/>
        <w:rPr>
          <w:sz w:val="20"/>
          <w:szCs w:val="20"/>
        </w:rPr>
      </w:pPr>
    </w:p>
    <w:p w14:paraId="02B48D5A" w14:textId="77777777" w:rsidR="007A5BDF" w:rsidRPr="00641981" w:rsidRDefault="00302844" w:rsidP="007A5BDF">
      <w:pPr>
        <w:jc w:val="both"/>
        <w:rPr>
          <w:sz w:val="20"/>
          <w:szCs w:val="20"/>
        </w:rPr>
      </w:pPr>
      <w:r w:rsidRPr="00641981">
        <w:rPr>
          <w:sz w:val="20"/>
          <w:szCs w:val="20"/>
        </w:rPr>
        <w:t>Liepiņ</w:t>
      </w:r>
      <w:r w:rsidR="0089477A" w:rsidRPr="00641981">
        <w:rPr>
          <w:sz w:val="20"/>
          <w:szCs w:val="20"/>
        </w:rPr>
        <w:t>a</w:t>
      </w:r>
      <w:r w:rsidRPr="00641981">
        <w:rPr>
          <w:sz w:val="20"/>
          <w:szCs w:val="20"/>
        </w:rPr>
        <w:t>, 67062103</w:t>
      </w:r>
    </w:p>
    <w:p w14:paraId="781F114C" w14:textId="7E88D048" w:rsidR="00C1079B" w:rsidRPr="00641981" w:rsidRDefault="00C1079B" w:rsidP="00266191">
      <w:pPr>
        <w:jc w:val="both"/>
        <w:rPr>
          <w:sz w:val="20"/>
          <w:szCs w:val="20"/>
        </w:rPr>
      </w:pPr>
      <w:r w:rsidRPr="00641981">
        <w:rPr>
          <w:sz w:val="20"/>
          <w:szCs w:val="20"/>
        </w:rPr>
        <w:t>aija.liepina@lja.lv</w:t>
      </w:r>
    </w:p>
    <w:sectPr w:rsidR="00C1079B" w:rsidRPr="00641981" w:rsidSect="00164AEA">
      <w:headerReference w:type="default" r:id="rId9"/>
      <w:footerReference w:type="default" r:id="rId10"/>
      <w:footerReference w:type="first" r:id="rId11"/>
      <w:pgSz w:w="12240" w:h="15840"/>
      <w:pgMar w:top="1418"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D48E" w14:textId="77777777" w:rsidR="00C62F9F" w:rsidRDefault="00C62F9F" w:rsidP="000A349B">
      <w:r>
        <w:separator/>
      </w:r>
    </w:p>
  </w:endnote>
  <w:endnote w:type="continuationSeparator" w:id="0">
    <w:p w14:paraId="75DAA5EC" w14:textId="77777777" w:rsidR="00C62F9F" w:rsidRDefault="00C62F9F"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3360" w14:textId="29EB1E5C" w:rsidR="00E43FFA" w:rsidRPr="00932D2B" w:rsidRDefault="00E43FFA" w:rsidP="00932D2B">
    <w:pPr>
      <w:jc w:val="both"/>
      <w:rPr>
        <w:bCs/>
        <w:color w:val="000000"/>
        <w:sz w:val="20"/>
        <w:szCs w:val="20"/>
      </w:rPr>
    </w:pPr>
    <w:r>
      <w:rPr>
        <w:bCs/>
        <w:color w:val="000000"/>
        <w:sz w:val="20"/>
        <w:szCs w:val="20"/>
      </w:rPr>
      <w:t>SMa</w:t>
    </w:r>
    <w:r w:rsidRPr="00932D2B">
      <w:rPr>
        <w:bCs/>
        <w:color w:val="000000"/>
        <w:sz w:val="20"/>
        <w:szCs w:val="20"/>
      </w:rPr>
      <w:t>not_</w:t>
    </w:r>
    <w:r w:rsidR="00683615">
      <w:rPr>
        <w:bCs/>
        <w:color w:val="000000"/>
        <w:sz w:val="20"/>
        <w:szCs w:val="20"/>
      </w:rPr>
      <w:t>17</w:t>
    </w:r>
    <w:r w:rsidR="00690EED">
      <w:rPr>
        <w:bCs/>
        <w:color w:val="000000"/>
        <w:sz w:val="20"/>
        <w:szCs w:val="20"/>
      </w:rPr>
      <w:t>06</w:t>
    </w:r>
    <w:r>
      <w:rPr>
        <w:bCs/>
        <w:color w:val="000000"/>
        <w:sz w:val="20"/>
        <w:szCs w:val="20"/>
      </w:rPr>
      <w:t>19</w:t>
    </w:r>
    <w:r w:rsidRPr="00932D2B">
      <w:rPr>
        <w:bCs/>
        <w:color w:val="000000"/>
        <w:sz w:val="20"/>
        <w:szCs w:val="20"/>
      </w:rPr>
      <w:t>_</w:t>
    </w:r>
    <w:r>
      <w:rPr>
        <w:bCs/>
        <w:color w:val="000000"/>
        <w:sz w:val="20"/>
        <w:szCs w:val="20"/>
      </w:rPr>
      <w:t xml:space="preserve">VSS-349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8D57" w14:textId="793E9737" w:rsidR="00E43FFA" w:rsidRPr="00932D2B" w:rsidRDefault="00E43FFA" w:rsidP="00932D2B">
    <w:pPr>
      <w:jc w:val="both"/>
      <w:rPr>
        <w:bCs/>
        <w:color w:val="000000"/>
        <w:sz w:val="20"/>
        <w:szCs w:val="20"/>
      </w:rPr>
    </w:pPr>
    <w:r>
      <w:rPr>
        <w:bCs/>
        <w:color w:val="000000"/>
        <w:sz w:val="20"/>
        <w:szCs w:val="20"/>
      </w:rPr>
      <w:t>SMa</w:t>
    </w:r>
    <w:r w:rsidRPr="00932D2B">
      <w:rPr>
        <w:bCs/>
        <w:color w:val="000000"/>
        <w:sz w:val="20"/>
        <w:szCs w:val="20"/>
      </w:rPr>
      <w:t>not_</w:t>
    </w:r>
    <w:r w:rsidR="00683615">
      <w:rPr>
        <w:bCs/>
        <w:color w:val="000000"/>
        <w:sz w:val="20"/>
        <w:szCs w:val="20"/>
      </w:rPr>
      <w:t>17</w:t>
    </w:r>
    <w:r w:rsidR="00690EED">
      <w:rPr>
        <w:bCs/>
        <w:color w:val="000000"/>
        <w:sz w:val="20"/>
        <w:szCs w:val="20"/>
      </w:rPr>
      <w:t>06</w:t>
    </w:r>
    <w:r>
      <w:rPr>
        <w:bCs/>
        <w:color w:val="000000"/>
        <w:sz w:val="20"/>
        <w:szCs w:val="20"/>
      </w:rPr>
      <w:t>19</w:t>
    </w:r>
    <w:r w:rsidRPr="00932D2B">
      <w:rPr>
        <w:bCs/>
        <w:color w:val="000000"/>
        <w:sz w:val="20"/>
        <w:szCs w:val="20"/>
      </w:rPr>
      <w:t>_</w:t>
    </w:r>
    <w:r>
      <w:rPr>
        <w:bCs/>
        <w:color w:val="000000"/>
        <w:sz w:val="20"/>
        <w:szCs w:val="20"/>
      </w:rPr>
      <w:t>VSS-349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9A6E" w14:textId="77777777" w:rsidR="00C62F9F" w:rsidRDefault="00C62F9F" w:rsidP="000A349B">
      <w:r>
        <w:separator/>
      </w:r>
    </w:p>
  </w:footnote>
  <w:footnote w:type="continuationSeparator" w:id="0">
    <w:p w14:paraId="4331064A" w14:textId="77777777" w:rsidR="00C62F9F" w:rsidRDefault="00C62F9F" w:rsidP="000A349B">
      <w:r>
        <w:continuationSeparator/>
      </w:r>
    </w:p>
  </w:footnote>
  <w:footnote w:id="1">
    <w:p w14:paraId="15266EFE" w14:textId="77777777" w:rsidR="00E43FFA" w:rsidRDefault="00E43FFA" w:rsidP="003C594E">
      <w:pPr>
        <w:pStyle w:val="FootnoteText"/>
      </w:pPr>
      <w:r>
        <w:rPr>
          <w:rStyle w:val="FootnoteReference"/>
        </w:rPr>
        <w:footnoteRef/>
      </w:r>
      <w:r>
        <w:t xml:space="preserve"> Par projektā ietvertā regulējuma ietekmi uz tautsaimniecību skat. anotācijas II sadaļas 2.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36891"/>
      <w:docPartObj>
        <w:docPartGallery w:val="Page Numbers (Top of Page)"/>
        <w:docPartUnique/>
      </w:docPartObj>
    </w:sdtPr>
    <w:sdtEndPr>
      <w:rPr>
        <w:noProof/>
      </w:rPr>
    </w:sdtEndPr>
    <w:sdtContent>
      <w:p w14:paraId="5E322270" w14:textId="77777777" w:rsidR="00E43FFA" w:rsidRDefault="00E43FFA">
        <w:pPr>
          <w:pStyle w:val="Header"/>
          <w:jc w:val="center"/>
        </w:pPr>
        <w:r>
          <w:rPr>
            <w:noProof/>
          </w:rPr>
          <w:fldChar w:fldCharType="begin"/>
        </w:r>
        <w:r>
          <w:rPr>
            <w:noProof/>
          </w:rPr>
          <w:instrText xml:space="preserve"> PAGE   \* MERGEFORMAT </w:instrText>
        </w:r>
        <w:r>
          <w:rPr>
            <w:noProof/>
          </w:rPr>
          <w:fldChar w:fldCharType="separate"/>
        </w:r>
        <w:r w:rsidR="00683615">
          <w:rPr>
            <w:noProof/>
          </w:rPr>
          <w:t>5</w:t>
        </w:r>
        <w:r>
          <w:rPr>
            <w:noProof/>
          </w:rPr>
          <w:fldChar w:fldCharType="end"/>
        </w:r>
      </w:p>
    </w:sdtContent>
  </w:sdt>
  <w:p w14:paraId="446003B8" w14:textId="77777777" w:rsidR="00E43FFA" w:rsidRDefault="00E4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B5EFB"/>
    <w:multiLevelType w:val="hybridMultilevel"/>
    <w:tmpl w:val="1630A88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343B07FC"/>
    <w:multiLevelType w:val="hybridMultilevel"/>
    <w:tmpl w:val="0A084010"/>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2" w15:restartNumberingAfterBreak="0">
    <w:nsid w:val="67DE6D73"/>
    <w:multiLevelType w:val="hybridMultilevel"/>
    <w:tmpl w:val="4BA09406"/>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 w15:restartNumberingAfterBreak="0">
    <w:nsid w:val="6E9E650D"/>
    <w:multiLevelType w:val="hybridMultilevel"/>
    <w:tmpl w:val="CF26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CE"/>
    <w:rsid w:val="000031A4"/>
    <w:rsid w:val="0000329C"/>
    <w:rsid w:val="00004675"/>
    <w:rsid w:val="0000511C"/>
    <w:rsid w:val="00006541"/>
    <w:rsid w:val="00006873"/>
    <w:rsid w:val="0001190C"/>
    <w:rsid w:val="0001397E"/>
    <w:rsid w:val="0001479E"/>
    <w:rsid w:val="00015E55"/>
    <w:rsid w:val="000177FF"/>
    <w:rsid w:val="00017ED7"/>
    <w:rsid w:val="0002030A"/>
    <w:rsid w:val="00024763"/>
    <w:rsid w:val="0002791B"/>
    <w:rsid w:val="00034061"/>
    <w:rsid w:val="00034B2D"/>
    <w:rsid w:val="00045F77"/>
    <w:rsid w:val="00050639"/>
    <w:rsid w:val="00050784"/>
    <w:rsid w:val="00054F6C"/>
    <w:rsid w:val="0005551B"/>
    <w:rsid w:val="0005567B"/>
    <w:rsid w:val="00060245"/>
    <w:rsid w:val="0006047C"/>
    <w:rsid w:val="0006225E"/>
    <w:rsid w:val="00062F28"/>
    <w:rsid w:val="00066AEE"/>
    <w:rsid w:val="00067832"/>
    <w:rsid w:val="00071562"/>
    <w:rsid w:val="0007228F"/>
    <w:rsid w:val="000741AD"/>
    <w:rsid w:val="0007421A"/>
    <w:rsid w:val="00074734"/>
    <w:rsid w:val="00085889"/>
    <w:rsid w:val="0009060A"/>
    <w:rsid w:val="00091A27"/>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36E8"/>
    <w:rsid w:val="000C426B"/>
    <w:rsid w:val="000C443A"/>
    <w:rsid w:val="000C566C"/>
    <w:rsid w:val="000D0BE0"/>
    <w:rsid w:val="000D67BB"/>
    <w:rsid w:val="000D69D9"/>
    <w:rsid w:val="000D6BA3"/>
    <w:rsid w:val="000E2043"/>
    <w:rsid w:val="000E26BF"/>
    <w:rsid w:val="000E2736"/>
    <w:rsid w:val="000E340D"/>
    <w:rsid w:val="000E46A4"/>
    <w:rsid w:val="000E5C46"/>
    <w:rsid w:val="000E6A61"/>
    <w:rsid w:val="000F1267"/>
    <w:rsid w:val="000F1CD2"/>
    <w:rsid w:val="00104254"/>
    <w:rsid w:val="001054F2"/>
    <w:rsid w:val="001057E5"/>
    <w:rsid w:val="001068CB"/>
    <w:rsid w:val="00111EDA"/>
    <w:rsid w:val="001126E8"/>
    <w:rsid w:val="00117602"/>
    <w:rsid w:val="00121207"/>
    <w:rsid w:val="001220AE"/>
    <w:rsid w:val="00123EFF"/>
    <w:rsid w:val="00124961"/>
    <w:rsid w:val="00126123"/>
    <w:rsid w:val="001268A4"/>
    <w:rsid w:val="00131DD4"/>
    <w:rsid w:val="001362C5"/>
    <w:rsid w:val="00136734"/>
    <w:rsid w:val="00137974"/>
    <w:rsid w:val="001418DF"/>
    <w:rsid w:val="001430C9"/>
    <w:rsid w:val="00143508"/>
    <w:rsid w:val="00146F6D"/>
    <w:rsid w:val="00152EAA"/>
    <w:rsid w:val="001531FD"/>
    <w:rsid w:val="001549DC"/>
    <w:rsid w:val="0015558A"/>
    <w:rsid w:val="00157900"/>
    <w:rsid w:val="0016054D"/>
    <w:rsid w:val="0016226A"/>
    <w:rsid w:val="00164390"/>
    <w:rsid w:val="00164AEA"/>
    <w:rsid w:val="00165345"/>
    <w:rsid w:val="00170EC3"/>
    <w:rsid w:val="00174995"/>
    <w:rsid w:val="00177533"/>
    <w:rsid w:val="00180F22"/>
    <w:rsid w:val="0018155D"/>
    <w:rsid w:val="00181BA0"/>
    <w:rsid w:val="001858B2"/>
    <w:rsid w:val="0018665B"/>
    <w:rsid w:val="00186754"/>
    <w:rsid w:val="00187FC2"/>
    <w:rsid w:val="00194FF9"/>
    <w:rsid w:val="0019669E"/>
    <w:rsid w:val="00196DAF"/>
    <w:rsid w:val="001A36A0"/>
    <w:rsid w:val="001A6D71"/>
    <w:rsid w:val="001B0F1D"/>
    <w:rsid w:val="001B3B3C"/>
    <w:rsid w:val="001B4700"/>
    <w:rsid w:val="001B5176"/>
    <w:rsid w:val="001B5236"/>
    <w:rsid w:val="001B672F"/>
    <w:rsid w:val="001C3C94"/>
    <w:rsid w:val="001D1698"/>
    <w:rsid w:val="001D2524"/>
    <w:rsid w:val="001D3636"/>
    <w:rsid w:val="001E3A55"/>
    <w:rsid w:val="001E53D0"/>
    <w:rsid w:val="001E7621"/>
    <w:rsid w:val="001E7C9C"/>
    <w:rsid w:val="001F358C"/>
    <w:rsid w:val="001F4285"/>
    <w:rsid w:val="001F641A"/>
    <w:rsid w:val="001F78EA"/>
    <w:rsid w:val="001F7B5E"/>
    <w:rsid w:val="001F7C45"/>
    <w:rsid w:val="001F7DAA"/>
    <w:rsid w:val="002019A0"/>
    <w:rsid w:val="0020276E"/>
    <w:rsid w:val="00206264"/>
    <w:rsid w:val="002114B8"/>
    <w:rsid w:val="0021199D"/>
    <w:rsid w:val="00212B6C"/>
    <w:rsid w:val="00213A42"/>
    <w:rsid w:val="00215CA2"/>
    <w:rsid w:val="00216F69"/>
    <w:rsid w:val="00220225"/>
    <w:rsid w:val="00220B57"/>
    <w:rsid w:val="00224BFC"/>
    <w:rsid w:val="00225B09"/>
    <w:rsid w:val="00225E9D"/>
    <w:rsid w:val="002304A8"/>
    <w:rsid w:val="00232E35"/>
    <w:rsid w:val="00233B45"/>
    <w:rsid w:val="00234E5F"/>
    <w:rsid w:val="00235FC7"/>
    <w:rsid w:val="002424BD"/>
    <w:rsid w:val="00243A5C"/>
    <w:rsid w:val="002455E7"/>
    <w:rsid w:val="002468A1"/>
    <w:rsid w:val="00251BD2"/>
    <w:rsid w:val="0025286F"/>
    <w:rsid w:val="002635A5"/>
    <w:rsid w:val="00266191"/>
    <w:rsid w:val="00270EE1"/>
    <w:rsid w:val="002802BF"/>
    <w:rsid w:val="00280A92"/>
    <w:rsid w:val="002819D7"/>
    <w:rsid w:val="002832EE"/>
    <w:rsid w:val="00283E24"/>
    <w:rsid w:val="002857E8"/>
    <w:rsid w:val="00285A2F"/>
    <w:rsid w:val="00287713"/>
    <w:rsid w:val="00290294"/>
    <w:rsid w:val="002921B2"/>
    <w:rsid w:val="00292743"/>
    <w:rsid w:val="002940EF"/>
    <w:rsid w:val="00294F61"/>
    <w:rsid w:val="002952B7"/>
    <w:rsid w:val="00296C98"/>
    <w:rsid w:val="002A18AF"/>
    <w:rsid w:val="002A6915"/>
    <w:rsid w:val="002B35DF"/>
    <w:rsid w:val="002B6C04"/>
    <w:rsid w:val="002B6F71"/>
    <w:rsid w:val="002B7759"/>
    <w:rsid w:val="002C20E9"/>
    <w:rsid w:val="002C3088"/>
    <w:rsid w:val="002C4F23"/>
    <w:rsid w:val="002C79B9"/>
    <w:rsid w:val="002D2869"/>
    <w:rsid w:val="002D310E"/>
    <w:rsid w:val="002D4681"/>
    <w:rsid w:val="002D5D04"/>
    <w:rsid w:val="002D69B7"/>
    <w:rsid w:val="002D78D1"/>
    <w:rsid w:val="002D799D"/>
    <w:rsid w:val="002D7ABC"/>
    <w:rsid w:val="002E0218"/>
    <w:rsid w:val="002E0458"/>
    <w:rsid w:val="002E0654"/>
    <w:rsid w:val="002E269E"/>
    <w:rsid w:val="002E3C78"/>
    <w:rsid w:val="002E46B7"/>
    <w:rsid w:val="002E552E"/>
    <w:rsid w:val="002E5D26"/>
    <w:rsid w:val="002E77D5"/>
    <w:rsid w:val="002F05D4"/>
    <w:rsid w:val="002F162D"/>
    <w:rsid w:val="002F324A"/>
    <w:rsid w:val="002F40D3"/>
    <w:rsid w:val="002F45C9"/>
    <w:rsid w:val="002F72D2"/>
    <w:rsid w:val="002F7999"/>
    <w:rsid w:val="002F7A51"/>
    <w:rsid w:val="00301BA4"/>
    <w:rsid w:val="003021D8"/>
    <w:rsid w:val="00302844"/>
    <w:rsid w:val="00303D93"/>
    <w:rsid w:val="00305312"/>
    <w:rsid w:val="003064CE"/>
    <w:rsid w:val="0030692A"/>
    <w:rsid w:val="00307810"/>
    <w:rsid w:val="0031174A"/>
    <w:rsid w:val="003119AA"/>
    <w:rsid w:val="00314188"/>
    <w:rsid w:val="00314CBE"/>
    <w:rsid w:val="00316041"/>
    <w:rsid w:val="00316C7D"/>
    <w:rsid w:val="00317C07"/>
    <w:rsid w:val="00321673"/>
    <w:rsid w:val="00327C3D"/>
    <w:rsid w:val="00337E2A"/>
    <w:rsid w:val="00342F00"/>
    <w:rsid w:val="003433BA"/>
    <w:rsid w:val="00346BA8"/>
    <w:rsid w:val="00347662"/>
    <w:rsid w:val="00351FEA"/>
    <w:rsid w:val="00352FB7"/>
    <w:rsid w:val="00353884"/>
    <w:rsid w:val="00353FA1"/>
    <w:rsid w:val="00354409"/>
    <w:rsid w:val="003618B1"/>
    <w:rsid w:val="0036219F"/>
    <w:rsid w:val="003633B3"/>
    <w:rsid w:val="003650CA"/>
    <w:rsid w:val="00366D8C"/>
    <w:rsid w:val="00370F42"/>
    <w:rsid w:val="0037352C"/>
    <w:rsid w:val="00374D4D"/>
    <w:rsid w:val="0037545E"/>
    <w:rsid w:val="003769B1"/>
    <w:rsid w:val="003774FE"/>
    <w:rsid w:val="00384E22"/>
    <w:rsid w:val="00390A29"/>
    <w:rsid w:val="0039179D"/>
    <w:rsid w:val="00394447"/>
    <w:rsid w:val="003A037F"/>
    <w:rsid w:val="003A3643"/>
    <w:rsid w:val="003B0E07"/>
    <w:rsid w:val="003B5954"/>
    <w:rsid w:val="003B5B42"/>
    <w:rsid w:val="003C2BF3"/>
    <w:rsid w:val="003C30EE"/>
    <w:rsid w:val="003C594E"/>
    <w:rsid w:val="003D0686"/>
    <w:rsid w:val="003E294C"/>
    <w:rsid w:val="003E2F8A"/>
    <w:rsid w:val="003E647A"/>
    <w:rsid w:val="003F0805"/>
    <w:rsid w:val="003F0ED9"/>
    <w:rsid w:val="003F2013"/>
    <w:rsid w:val="003F27C7"/>
    <w:rsid w:val="003F4710"/>
    <w:rsid w:val="003F7130"/>
    <w:rsid w:val="004021ED"/>
    <w:rsid w:val="00403B14"/>
    <w:rsid w:val="00404313"/>
    <w:rsid w:val="00404A1F"/>
    <w:rsid w:val="00404C81"/>
    <w:rsid w:val="00404F11"/>
    <w:rsid w:val="0041107A"/>
    <w:rsid w:val="0041448A"/>
    <w:rsid w:val="0041501C"/>
    <w:rsid w:val="00415E1B"/>
    <w:rsid w:val="004167C0"/>
    <w:rsid w:val="00420006"/>
    <w:rsid w:val="00420107"/>
    <w:rsid w:val="004214DE"/>
    <w:rsid w:val="00423DA0"/>
    <w:rsid w:val="004251AF"/>
    <w:rsid w:val="00426218"/>
    <w:rsid w:val="00432733"/>
    <w:rsid w:val="00432F44"/>
    <w:rsid w:val="0043619D"/>
    <w:rsid w:val="0043623A"/>
    <w:rsid w:val="004372FD"/>
    <w:rsid w:val="00441C08"/>
    <w:rsid w:val="00444097"/>
    <w:rsid w:val="00446356"/>
    <w:rsid w:val="00450436"/>
    <w:rsid w:val="00450DBB"/>
    <w:rsid w:val="00451995"/>
    <w:rsid w:val="00454DE0"/>
    <w:rsid w:val="004557F6"/>
    <w:rsid w:val="004560CB"/>
    <w:rsid w:val="004575BD"/>
    <w:rsid w:val="004602E3"/>
    <w:rsid w:val="00463A19"/>
    <w:rsid w:val="00463FBD"/>
    <w:rsid w:val="0046531F"/>
    <w:rsid w:val="004674E3"/>
    <w:rsid w:val="00471386"/>
    <w:rsid w:val="0047695F"/>
    <w:rsid w:val="00476AD1"/>
    <w:rsid w:val="00477404"/>
    <w:rsid w:val="00480E79"/>
    <w:rsid w:val="00481464"/>
    <w:rsid w:val="004826B6"/>
    <w:rsid w:val="004853DA"/>
    <w:rsid w:val="00486F54"/>
    <w:rsid w:val="004915CC"/>
    <w:rsid w:val="00491ED1"/>
    <w:rsid w:val="004930FF"/>
    <w:rsid w:val="0049340D"/>
    <w:rsid w:val="00496205"/>
    <w:rsid w:val="0049633F"/>
    <w:rsid w:val="004A1C70"/>
    <w:rsid w:val="004A2C47"/>
    <w:rsid w:val="004A2FD3"/>
    <w:rsid w:val="004A6525"/>
    <w:rsid w:val="004A6CC2"/>
    <w:rsid w:val="004A6F0C"/>
    <w:rsid w:val="004B2756"/>
    <w:rsid w:val="004B7BFC"/>
    <w:rsid w:val="004C6C91"/>
    <w:rsid w:val="004D285C"/>
    <w:rsid w:val="004D4B1A"/>
    <w:rsid w:val="004D5DB0"/>
    <w:rsid w:val="004D6D6B"/>
    <w:rsid w:val="004D7E20"/>
    <w:rsid w:val="004E31BA"/>
    <w:rsid w:val="004E5713"/>
    <w:rsid w:val="004E5844"/>
    <w:rsid w:val="004E687B"/>
    <w:rsid w:val="004F545D"/>
    <w:rsid w:val="004F7005"/>
    <w:rsid w:val="00501650"/>
    <w:rsid w:val="00501C69"/>
    <w:rsid w:val="00506D2E"/>
    <w:rsid w:val="00510A34"/>
    <w:rsid w:val="00511116"/>
    <w:rsid w:val="0051792C"/>
    <w:rsid w:val="00517E33"/>
    <w:rsid w:val="005204FB"/>
    <w:rsid w:val="00526418"/>
    <w:rsid w:val="00527623"/>
    <w:rsid w:val="005338C2"/>
    <w:rsid w:val="00536709"/>
    <w:rsid w:val="00537DD3"/>
    <w:rsid w:val="00541AD2"/>
    <w:rsid w:val="00550566"/>
    <w:rsid w:val="00551120"/>
    <w:rsid w:val="00551328"/>
    <w:rsid w:val="005537BE"/>
    <w:rsid w:val="00555DC5"/>
    <w:rsid w:val="005577EA"/>
    <w:rsid w:val="00562357"/>
    <w:rsid w:val="00564B03"/>
    <w:rsid w:val="00564C51"/>
    <w:rsid w:val="00564DA4"/>
    <w:rsid w:val="00572E26"/>
    <w:rsid w:val="00574644"/>
    <w:rsid w:val="0057531B"/>
    <w:rsid w:val="00575730"/>
    <w:rsid w:val="00576FCC"/>
    <w:rsid w:val="005810D1"/>
    <w:rsid w:val="005829DB"/>
    <w:rsid w:val="005928E4"/>
    <w:rsid w:val="005A1F4D"/>
    <w:rsid w:val="005A3392"/>
    <w:rsid w:val="005A7F2B"/>
    <w:rsid w:val="005B07C9"/>
    <w:rsid w:val="005B09FE"/>
    <w:rsid w:val="005B0BC6"/>
    <w:rsid w:val="005B11E7"/>
    <w:rsid w:val="005B2B2F"/>
    <w:rsid w:val="005B6695"/>
    <w:rsid w:val="005B7BF1"/>
    <w:rsid w:val="005C1DDE"/>
    <w:rsid w:val="005C2237"/>
    <w:rsid w:val="005C2D77"/>
    <w:rsid w:val="005C3260"/>
    <w:rsid w:val="005C3C23"/>
    <w:rsid w:val="005D0B6C"/>
    <w:rsid w:val="005D3F6E"/>
    <w:rsid w:val="005D5576"/>
    <w:rsid w:val="005D60C8"/>
    <w:rsid w:val="005D6D46"/>
    <w:rsid w:val="005D7141"/>
    <w:rsid w:val="005E0334"/>
    <w:rsid w:val="005E10A0"/>
    <w:rsid w:val="005E1462"/>
    <w:rsid w:val="005E1FF8"/>
    <w:rsid w:val="005F082B"/>
    <w:rsid w:val="005F2BE1"/>
    <w:rsid w:val="005F381E"/>
    <w:rsid w:val="005F4BAE"/>
    <w:rsid w:val="0060072F"/>
    <w:rsid w:val="00600A5F"/>
    <w:rsid w:val="00602AFC"/>
    <w:rsid w:val="00604941"/>
    <w:rsid w:val="0060645F"/>
    <w:rsid w:val="00610904"/>
    <w:rsid w:val="00611D4F"/>
    <w:rsid w:val="00614DA4"/>
    <w:rsid w:val="00615C1A"/>
    <w:rsid w:val="00616291"/>
    <w:rsid w:val="00622930"/>
    <w:rsid w:val="0062418A"/>
    <w:rsid w:val="006271EE"/>
    <w:rsid w:val="00633A4E"/>
    <w:rsid w:val="00634EA6"/>
    <w:rsid w:val="00636184"/>
    <w:rsid w:val="00636DA0"/>
    <w:rsid w:val="00641981"/>
    <w:rsid w:val="0064572E"/>
    <w:rsid w:val="00646E46"/>
    <w:rsid w:val="00650DE1"/>
    <w:rsid w:val="0065276F"/>
    <w:rsid w:val="00653596"/>
    <w:rsid w:val="00661B2B"/>
    <w:rsid w:val="006623DC"/>
    <w:rsid w:val="0066241F"/>
    <w:rsid w:val="0066300B"/>
    <w:rsid w:val="00663723"/>
    <w:rsid w:val="00663D2B"/>
    <w:rsid w:val="006653E3"/>
    <w:rsid w:val="00670B3E"/>
    <w:rsid w:val="00670F50"/>
    <w:rsid w:val="00671877"/>
    <w:rsid w:val="00672865"/>
    <w:rsid w:val="00672DD1"/>
    <w:rsid w:val="0067350F"/>
    <w:rsid w:val="00674F33"/>
    <w:rsid w:val="00681735"/>
    <w:rsid w:val="00681891"/>
    <w:rsid w:val="00681E4A"/>
    <w:rsid w:val="00682122"/>
    <w:rsid w:val="006827DF"/>
    <w:rsid w:val="00682D8B"/>
    <w:rsid w:val="00683615"/>
    <w:rsid w:val="0068386B"/>
    <w:rsid w:val="006841DF"/>
    <w:rsid w:val="006860FE"/>
    <w:rsid w:val="00690EED"/>
    <w:rsid w:val="00692B74"/>
    <w:rsid w:val="00695247"/>
    <w:rsid w:val="006A0860"/>
    <w:rsid w:val="006A461A"/>
    <w:rsid w:val="006A50B0"/>
    <w:rsid w:val="006B0D46"/>
    <w:rsid w:val="006B4F96"/>
    <w:rsid w:val="006B78C1"/>
    <w:rsid w:val="006B7D2C"/>
    <w:rsid w:val="006B7EB6"/>
    <w:rsid w:val="006C3E8E"/>
    <w:rsid w:val="006D224B"/>
    <w:rsid w:val="006D224C"/>
    <w:rsid w:val="006D253A"/>
    <w:rsid w:val="006D3D5C"/>
    <w:rsid w:val="006D4582"/>
    <w:rsid w:val="006D5DA0"/>
    <w:rsid w:val="006E3E04"/>
    <w:rsid w:val="006E3F44"/>
    <w:rsid w:val="006E40F7"/>
    <w:rsid w:val="006E4317"/>
    <w:rsid w:val="006E6038"/>
    <w:rsid w:val="006E7E83"/>
    <w:rsid w:val="006F0645"/>
    <w:rsid w:val="006F0A9C"/>
    <w:rsid w:val="006F1F85"/>
    <w:rsid w:val="006F39C5"/>
    <w:rsid w:val="006F51CE"/>
    <w:rsid w:val="006F77E2"/>
    <w:rsid w:val="006F7D3C"/>
    <w:rsid w:val="00701B26"/>
    <w:rsid w:val="00701B44"/>
    <w:rsid w:val="00703F3F"/>
    <w:rsid w:val="00705579"/>
    <w:rsid w:val="0070597E"/>
    <w:rsid w:val="0070733F"/>
    <w:rsid w:val="007105B9"/>
    <w:rsid w:val="00710D41"/>
    <w:rsid w:val="007114D2"/>
    <w:rsid w:val="00714C91"/>
    <w:rsid w:val="00716556"/>
    <w:rsid w:val="007205DB"/>
    <w:rsid w:val="00722E88"/>
    <w:rsid w:val="0072505E"/>
    <w:rsid w:val="00725614"/>
    <w:rsid w:val="00725B1D"/>
    <w:rsid w:val="00725BCA"/>
    <w:rsid w:val="0073149C"/>
    <w:rsid w:val="00734822"/>
    <w:rsid w:val="00734D6E"/>
    <w:rsid w:val="00737003"/>
    <w:rsid w:val="007425BB"/>
    <w:rsid w:val="00743936"/>
    <w:rsid w:val="00745E6D"/>
    <w:rsid w:val="0074638D"/>
    <w:rsid w:val="00752B97"/>
    <w:rsid w:val="00753D6F"/>
    <w:rsid w:val="007563CF"/>
    <w:rsid w:val="0075674D"/>
    <w:rsid w:val="00764555"/>
    <w:rsid w:val="00770F36"/>
    <w:rsid w:val="007710BF"/>
    <w:rsid w:val="007725D6"/>
    <w:rsid w:val="00773612"/>
    <w:rsid w:val="00773CAC"/>
    <w:rsid w:val="00775C8B"/>
    <w:rsid w:val="00781D31"/>
    <w:rsid w:val="00781FAC"/>
    <w:rsid w:val="00782BBD"/>
    <w:rsid w:val="007833AC"/>
    <w:rsid w:val="00784D92"/>
    <w:rsid w:val="00785A9A"/>
    <w:rsid w:val="00787D34"/>
    <w:rsid w:val="00791E5B"/>
    <w:rsid w:val="00791EB2"/>
    <w:rsid w:val="00794CF5"/>
    <w:rsid w:val="007966FB"/>
    <w:rsid w:val="00797FDD"/>
    <w:rsid w:val="007A0A1C"/>
    <w:rsid w:val="007A13A4"/>
    <w:rsid w:val="007A515B"/>
    <w:rsid w:val="007A5BDF"/>
    <w:rsid w:val="007A6038"/>
    <w:rsid w:val="007A69E1"/>
    <w:rsid w:val="007A7FBC"/>
    <w:rsid w:val="007B1BB7"/>
    <w:rsid w:val="007B2C68"/>
    <w:rsid w:val="007B453C"/>
    <w:rsid w:val="007B481F"/>
    <w:rsid w:val="007B5FA7"/>
    <w:rsid w:val="007C3585"/>
    <w:rsid w:val="007C4841"/>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364"/>
    <w:rsid w:val="007E57B0"/>
    <w:rsid w:val="007F0B5B"/>
    <w:rsid w:val="007F1A79"/>
    <w:rsid w:val="007F1DE7"/>
    <w:rsid w:val="007F4043"/>
    <w:rsid w:val="007F4697"/>
    <w:rsid w:val="007F58B9"/>
    <w:rsid w:val="007F5DE6"/>
    <w:rsid w:val="007F7A50"/>
    <w:rsid w:val="008001FC"/>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0DCD"/>
    <w:rsid w:val="00832003"/>
    <w:rsid w:val="00832470"/>
    <w:rsid w:val="00834873"/>
    <w:rsid w:val="00835411"/>
    <w:rsid w:val="00835442"/>
    <w:rsid w:val="00841E51"/>
    <w:rsid w:val="00846182"/>
    <w:rsid w:val="0085125D"/>
    <w:rsid w:val="00852BBF"/>
    <w:rsid w:val="00852D5F"/>
    <w:rsid w:val="0085396C"/>
    <w:rsid w:val="008578DB"/>
    <w:rsid w:val="008711B0"/>
    <w:rsid w:val="00871CB7"/>
    <w:rsid w:val="00873866"/>
    <w:rsid w:val="008755C6"/>
    <w:rsid w:val="00876252"/>
    <w:rsid w:val="008763AB"/>
    <w:rsid w:val="00877075"/>
    <w:rsid w:val="00877492"/>
    <w:rsid w:val="00877DFD"/>
    <w:rsid w:val="00880334"/>
    <w:rsid w:val="00880780"/>
    <w:rsid w:val="00881CE0"/>
    <w:rsid w:val="00883730"/>
    <w:rsid w:val="00885448"/>
    <w:rsid w:val="00885E37"/>
    <w:rsid w:val="00892F97"/>
    <w:rsid w:val="0089477A"/>
    <w:rsid w:val="00895B2A"/>
    <w:rsid w:val="00896A1C"/>
    <w:rsid w:val="008A2B12"/>
    <w:rsid w:val="008A38AE"/>
    <w:rsid w:val="008A41F7"/>
    <w:rsid w:val="008A5CA9"/>
    <w:rsid w:val="008B1A12"/>
    <w:rsid w:val="008B3C20"/>
    <w:rsid w:val="008B4906"/>
    <w:rsid w:val="008B58B4"/>
    <w:rsid w:val="008B7706"/>
    <w:rsid w:val="008C0937"/>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5080"/>
    <w:rsid w:val="008E691E"/>
    <w:rsid w:val="008E6F01"/>
    <w:rsid w:val="008E740D"/>
    <w:rsid w:val="008E7E31"/>
    <w:rsid w:val="008F4871"/>
    <w:rsid w:val="008F5F0C"/>
    <w:rsid w:val="00901544"/>
    <w:rsid w:val="00904C3E"/>
    <w:rsid w:val="00905A66"/>
    <w:rsid w:val="00905E73"/>
    <w:rsid w:val="009067D6"/>
    <w:rsid w:val="00907459"/>
    <w:rsid w:val="00907888"/>
    <w:rsid w:val="00910BBC"/>
    <w:rsid w:val="009147EC"/>
    <w:rsid w:val="009216A3"/>
    <w:rsid w:val="00922385"/>
    <w:rsid w:val="00923ED7"/>
    <w:rsid w:val="00925EAE"/>
    <w:rsid w:val="0092689F"/>
    <w:rsid w:val="00932D2B"/>
    <w:rsid w:val="00933DB1"/>
    <w:rsid w:val="00935D3A"/>
    <w:rsid w:val="009363F6"/>
    <w:rsid w:val="00936632"/>
    <w:rsid w:val="00940DF9"/>
    <w:rsid w:val="009433F9"/>
    <w:rsid w:val="00943460"/>
    <w:rsid w:val="00947312"/>
    <w:rsid w:val="0095034A"/>
    <w:rsid w:val="00951005"/>
    <w:rsid w:val="00951290"/>
    <w:rsid w:val="00954BFC"/>
    <w:rsid w:val="009567E4"/>
    <w:rsid w:val="00956F9E"/>
    <w:rsid w:val="0095791D"/>
    <w:rsid w:val="00960C41"/>
    <w:rsid w:val="00961764"/>
    <w:rsid w:val="00961FEE"/>
    <w:rsid w:val="00963BFC"/>
    <w:rsid w:val="00966B9A"/>
    <w:rsid w:val="0097165A"/>
    <w:rsid w:val="00973483"/>
    <w:rsid w:val="009748A0"/>
    <w:rsid w:val="009812B9"/>
    <w:rsid w:val="009835AF"/>
    <w:rsid w:val="00983E67"/>
    <w:rsid w:val="0098513C"/>
    <w:rsid w:val="00986B4A"/>
    <w:rsid w:val="00993CBC"/>
    <w:rsid w:val="009962A2"/>
    <w:rsid w:val="009974E9"/>
    <w:rsid w:val="009978C6"/>
    <w:rsid w:val="009A4787"/>
    <w:rsid w:val="009A7BF0"/>
    <w:rsid w:val="009B0C1B"/>
    <w:rsid w:val="009B0EB2"/>
    <w:rsid w:val="009B1B57"/>
    <w:rsid w:val="009B2AC6"/>
    <w:rsid w:val="009B67EB"/>
    <w:rsid w:val="009C0DA0"/>
    <w:rsid w:val="009C62F6"/>
    <w:rsid w:val="009C6CA3"/>
    <w:rsid w:val="009D005B"/>
    <w:rsid w:val="009D2D1C"/>
    <w:rsid w:val="009D436D"/>
    <w:rsid w:val="009D7580"/>
    <w:rsid w:val="009E118B"/>
    <w:rsid w:val="009F15E5"/>
    <w:rsid w:val="009F4374"/>
    <w:rsid w:val="009F4AFA"/>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45EEB"/>
    <w:rsid w:val="00A50EE1"/>
    <w:rsid w:val="00A554B3"/>
    <w:rsid w:val="00A578E7"/>
    <w:rsid w:val="00A61E1B"/>
    <w:rsid w:val="00A62D0D"/>
    <w:rsid w:val="00A6440D"/>
    <w:rsid w:val="00A6797E"/>
    <w:rsid w:val="00A67C42"/>
    <w:rsid w:val="00A71313"/>
    <w:rsid w:val="00A71487"/>
    <w:rsid w:val="00A717D4"/>
    <w:rsid w:val="00A73504"/>
    <w:rsid w:val="00A73543"/>
    <w:rsid w:val="00A75430"/>
    <w:rsid w:val="00A7626D"/>
    <w:rsid w:val="00A76734"/>
    <w:rsid w:val="00A82941"/>
    <w:rsid w:val="00A85651"/>
    <w:rsid w:val="00A86479"/>
    <w:rsid w:val="00A87039"/>
    <w:rsid w:val="00A902AD"/>
    <w:rsid w:val="00A9251F"/>
    <w:rsid w:val="00A93A68"/>
    <w:rsid w:val="00A95E09"/>
    <w:rsid w:val="00A96EEA"/>
    <w:rsid w:val="00A97873"/>
    <w:rsid w:val="00A97E6D"/>
    <w:rsid w:val="00AA04C9"/>
    <w:rsid w:val="00AA04D1"/>
    <w:rsid w:val="00AA056E"/>
    <w:rsid w:val="00AA0A6D"/>
    <w:rsid w:val="00AA303E"/>
    <w:rsid w:val="00AA6163"/>
    <w:rsid w:val="00AA6CE0"/>
    <w:rsid w:val="00AB1C39"/>
    <w:rsid w:val="00AB2A9A"/>
    <w:rsid w:val="00AB3ED8"/>
    <w:rsid w:val="00AB673C"/>
    <w:rsid w:val="00AB6E2D"/>
    <w:rsid w:val="00AB7748"/>
    <w:rsid w:val="00AB7ED8"/>
    <w:rsid w:val="00AC00DF"/>
    <w:rsid w:val="00AC052A"/>
    <w:rsid w:val="00AC07CE"/>
    <w:rsid w:val="00AC43F0"/>
    <w:rsid w:val="00AC5C10"/>
    <w:rsid w:val="00AC7E67"/>
    <w:rsid w:val="00AD1B2F"/>
    <w:rsid w:val="00AD2FAA"/>
    <w:rsid w:val="00AD4137"/>
    <w:rsid w:val="00AD7470"/>
    <w:rsid w:val="00AE2238"/>
    <w:rsid w:val="00AE3145"/>
    <w:rsid w:val="00AE385E"/>
    <w:rsid w:val="00AE484F"/>
    <w:rsid w:val="00AE5BF6"/>
    <w:rsid w:val="00AE7086"/>
    <w:rsid w:val="00AF1311"/>
    <w:rsid w:val="00AF22C6"/>
    <w:rsid w:val="00AF241F"/>
    <w:rsid w:val="00AF39DF"/>
    <w:rsid w:val="00AF6F3A"/>
    <w:rsid w:val="00AF7E94"/>
    <w:rsid w:val="00B0199F"/>
    <w:rsid w:val="00B02A0E"/>
    <w:rsid w:val="00B036A7"/>
    <w:rsid w:val="00B0641F"/>
    <w:rsid w:val="00B10277"/>
    <w:rsid w:val="00B10EF1"/>
    <w:rsid w:val="00B14FDE"/>
    <w:rsid w:val="00B15C3A"/>
    <w:rsid w:val="00B17145"/>
    <w:rsid w:val="00B25EE7"/>
    <w:rsid w:val="00B27494"/>
    <w:rsid w:val="00B278B6"/>
    <w:rsid w:val="00B3051F"/>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1C5A"/>
    <w:rsid w:val="00B62661"/>
    <w:rsid w:val="00B65AD6"/>
    <w:rsid w:val="00B6666A"/>
    <w:rsid w:val="00B66BA4"/>
    <w:rsid w:val="00B712AF"/>
    <w:rsid w:val="00B728F9"/>
    <w:rsid w:val="00B72B9E"/>
    <w:rsid w:val="00B73002"/>
    <w:rsid w:val="00B74D85"/>
    <w:rsid w:val="00B74FFD"/>
    <w:rsid w:val="00B75047"/>
    <w:rsid w:val="00B7680F"/>
    <w:rsid w:val="00B80A09"/>
    <w:rsid w:val="00B87405"/>
    <w:rsid w:val="00B90393"/>
    <w:rsid w:val="00B9052A"/>
    <w:rsid w:val="00B90A22"/>
    <w:rsid w:val="00B91336"/>
    <w:rsid w:val="00B92964"/>
    <w:rsid w:val="00BA75CE"/>
    <w:rsid w:val="00BB05A7"/>
    <w:rsid w:val="00BB1347"/>
    <w:rsid w:val="00BC03F3"/>
    <w:rsid w:val="00BC4FC3"/>
    <w:rsid w:val="00BC758C"/>
    <w:rsid w:val="00BD291E"/>
    <w:rsid w:val="00BD6DD5"/>
    <w:rsid w:val="00BE42F3"/>
    <w:rsid w:val="00BE456A"/>
    <w:rsid w:val="00BE4EC2"/>
    <w:rsid w:val="00BE58DE"/>
    <w:rsid w:val="00BE72F4"/>
    <w:rsid w:val="00BF0F36"/>
    <w:rsid w:val="00BF1E0D"/>
    <w:rsid w:val="00BF2EDA"/>
    <w:rsid w:val="00BF364E"/>
    <w:rsid w:val="00BF3E8B"/>
    <w:rsid w:val="00BF4CE1"/>
    <w:rsid w:val="00BF545E"/>
    <w:rsid w:val="00BF7ADD"/>
    <w:rsid w:val="00C0169E"/>
    <w:rsid w:val="00C045B5"/>
    <w:rsid w:val="00C04C80"/>
    <w:rsid w:val="00C1079B"/>
    <w:rsid w:val="00C10A55"/>
    <w:rsid w:val="00C2068B"/>
    <w:rsid w:val="00C21C75"/>
    <w:rsid w:val="00C234D3"/>
    <w:rsid w:val="00C23C23"/>
    <w:rsid w:val="00C26BD1"/>
    <w:rsid w:val="00C30BEB"/>
    <w:rsid w:val="00C32DEC"/>
    <w:rsid w:val="00C3509E"/>
    <w:rsid w:val="00C358C8"/>
    <w:rsid w:val="00C35E04"/>
    <w:rsid w:val="00C420DF"/>
    <w:rsid w:val="00C42FAB"/>
    <w:rsid w:val="00C44781"/>
    <w:rsid w:val="00C462F2"/>
    <w:rsid w:val="00C47F6D"/>
    <w:rsid w:val="00C525D6"/>
    <w:rsid w:val="00C530D7"/>
    <w:rsid w:val="00C5374B"/>
    <w:rsid w:val="00C5651C"/>
    <w:rsid w:val="00C56B88"/>
    <w:rsid w:val="00C57BDB"/>
    <w:rsid w:val="00C57FD8"/>
    <w:rsid w:val="00C62F9F"/>
    <w:rsid w:val="00C63F3A"/>
    <w:rsid w:val="00C646B3"/>
    <w:rsid w:val="00C64E69"/>
    <w:rsid w:val="00C704DC"/>
    <w:rsid w:val="00C71D78"/>
    <w:rsid w:val="00C745A5"/>
    <w:rsid w:val="00C750E9"/>
    <w:rsid w:val="00C8158A"/>
    <w:rsid w:val="00C8221F"/>
    <w:rsid w:val="00C848E6"/>
    <w:rsid w:val="00C84B0B"/>
    <w:rsid w:val="00C85C5A"/>
    <w:rsid w:val="00C87A0C"/>
    <w:rsid w:val="00C912AA"/>
    <w:rsid w:val="00C92540"/>
    <w:rsid w:val="00C961DF"/>
    <w:rsid w:val="00CA1D42"/>
    <w:rsid w:val="00CA2824"/>
    <w:rsid w:val="00CA5DF4"/>
    <w:rsid w:val="00CB0520"/>
    <w:rsid w:val="00CB281E"/>
    <w:rsid w:val="00CB3EEC"/>
    <w:rsid w:val="00CB5743"/>
    <w:rsid w:val="00CC07B3"/>
    <w:rsid w:val="00CC1739"/>
    <w:rsid w:val="00CC1ABD"/>
    <w:rsid w:val="00CC2084"/>
    <w:rsid w:val="00CC2486"/>
    <w:rsid w:val="00CC2C74"/>
    <w:rsid w:val="00CC3BDB"/>
    <w:rsid w:val="00CC7E6C"/>
    <w:rsid w:val="00CC7F66"/>
    <w:rsid w:val="00CD353C"/>
    <w:rsid w:val="00CD40E5"/>
    <w:rsid w:val="00CD7263"/>
    <w:rsid w:val="00CE0D99"/>
    <w:rsid w:val="00CE1447"/>
    <w:rsid w:val="00CE14D4"/>
    <w:rsid w:val="00CE1776"/>
    <w:rsid w:val="00CE2606"/>
    <w:rsid w:val="00CE402E"/>
    <w:rsid w:val="00CE695A"/>
    <w:rsid w:val="00CE70F2"/>
    <w:rsid w:val="00CF077D"/>
    <w:rsid w:val="00CF0AC2"/>
    <w:rsid w:val="00CF10DF"/>
    <w:rsid w:val="00CF20DE"/>
    <w:rsid w:val="00CF2F22"/>
    <w:rsid w:val="00CF6C3B"/>
    <w:rsid w:val="00D03B02"/>
    <w:rsid w:val="00D04A80"/>
    <w:rsid w:val="00D058C2"/>
    <w:rsid w:val="00D07E46"/>
    <w:rsid w:val="00D105D3"/>
    <w:rsid w:val="00D109A5"/>
    <w:rsid w:val="00D134CF"/>
    <w:rsid w:val="00D14ECF"/>
    <w:rsid w:val="00D1553E"/>
    <w:rsid w:val="00D15B22"/>
    <w:rsid w:val="00D27C8B"/>
    <w:rsid w:val="00D30067"/>
    <w:rsid w:val="00D31468"/>
    <w:rsid w:val="00D321BE"/>
    <w:rsid w:val="00D32498"/>
    <w:rsid w:val="00D32AB1"/>
    <w:rsid w:val="00D32AFF"/>
    <w:rsid w:val="00D35550"/>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544"/>
    <w:rsid w:val="00D63AF0"/>
    <w:rsid w:val="00D64475"/>
    <w:rsid w:val="00D6479A"/>
    <w:rsid w:val="00D67C29"/>
    <w:rsid w:val="00D72462"/>
    <w:rsid w:val="00D72BDC"/>
    <w:rsid w:val="00D74439"/>
    <w:rsid w:val="00D746A5"/>
    <w:rsid w:val="00D754BC"/>
    <w:rsid w:val="00D769BC"/>
    <w:rsid w:val="00D80C85"/>
    <w:rsid w:val="00D82D88"/>
    <w:rsid w:val="00D85FD6"/>
    <w:rsid w:val="00D86D29"/>
    <w:rsid w:val="00D914A3"/>
    <w:rsid w:val="00D9190D"/>
    <w:rsid w:val="00D973E6"/>
    <w:rsid w:val="00DA23E7"/>
    <w:rsid w:val="00DA5A98"/>
    <w:rsid w:val="00DA5C7F"/>
    <w:rsid w:val="00DB1859"/>
    <w:rsid w:val="00DB2EFC"/>
    <w:rsid w:val="00DB4ED2"/>
    <w:rsid w:val="00DB5568"/>
    <w:rsid w:val="00DC3D82"/>
    <w:rsid w:val="00DD02BD"/>
    <w:rsid w:val="00DD1D92"/>
    <w:rsid w:val="00DD4703"/>
    <w:rsid w:val="00DD6E6C"/>
    <w:rsid w:val="00DE1F4B"/>
    <w:rsid w:val="00DE53C7"/>
    <w:rsid w:val="00DF71D2"/>
    <w:rsid w:val="00E002B7"/>
    <w:rsid w:val="00E021CF"/>
    <w:rsid w:val="00E03D73"/>
    <w:rsid w:val="00E043D5"/>
    <w:rsid w:val="00E0500B"/>
    <w:rsid w:val="00E10774"/>
    <w:rsid w:val="00E13F82"/>
    <w:rsid w:val="00E1483D"/>
    <w:rsid w:val="00E15750"/>
    <w:rsid w:val="00E20806"/>
    <w:rsid w:val="00E311EE"/>
    <w:rsid w:val="00E321EB"/>
    <w:rsid w:val="00E34029"/>
    <w:rsid w:val="00E373A4"/>
    <w:rsid w:val="00E37D9D"/>
    <w:rsid w:val="00E40443"/>
    <w:rsid w:val="00E40AA2"/>
    <w:rsid w:val="00E42481"/>
    <w:rsid w:val="00E42634"/>
    <w:rsid w:val="00E437E4"/>
    <w:rsid w:val="00E43FFA"/>
    <w:rsid w:val="00E442A3"/>
    <w:rsid w:val="00E5003F"/>
    <w:rsid w:val="00E5253A"/>
    <w:rsid w:val="00E52ED7"/>
    <w:rsid w:val="00E5301E"/>
    <w:rsid w:val="00E54ED8"/>
    <w:rsid w:val="00E564E6"/>
    <w:rsid w:val="00E61AB7"/>
    <w:rsid w:val="00E63076"/>
    <w:rsid w:val="00E66031"/>
    <w:rsid w:val="00E716A7"/>
    <w:rsid w:val="00E71DFB"/>
    <w:rsid w:val="00E77AED"/>
    <w:rsid w:val="00E81C54"/>
    <w:rsid w:val="00E838FA"/>
    <w:rsid w:val="00E85E4B"/>
    <w:rsid w:val="00E9075B"/>
    <w:rsid w:val="00E96921"/>
    <w:rsid w:val="00E97386"/>
    <w:rsid w:val="00E97ED5"/>
    <w:rsid w:val="00EA09D8"/>
    <w:rsid w:val="00EA0A9F"/>
    <w:rsid w:val="00EA0FD6"/>
    <w:rsid w:val="00EA23DB"/>
    <w:rsid w:val="00EA43FA"/>
    <w:rsid w:val="00EA693F"/>
    <w:rsid w:val="00EA7C1B"/>
    <w:rsid w:val="00EB0FD9"/>
    <w:rsid w:val="00EB1594"/>
    <w:rsid w:val="00EB4F41"/>
    <w:rsid w:val="00EB666B"/>
    <w:rsid w:val="00EB7627"/>
    <w:rsid w:val="00EC13B7"/>
    <w:rsid w:val="00EC42D0"/>
    <w:rsid w:val="00EC6A69"/>
    <w:rsid w:val="00EC798A"/>
    <w:rsid w:val="00ED1CCF"/>
    <w:rsid w:val="00ED2EE5"/>
    <w:rsid w:val="00ED319C"/>
    <w:rsid w:val="00ED3CC1"/>
    <w:rsid w:val="00ED41C7"/>
    <w:rsid w:val="00ED449C"/>
    <w:rsid w:val="00ED53E0"/>
    <w:rsid w:val="00ED5516"/>
    <w:rsid w:val="00EE171E"/>
    <w:rsid w:val="00EE3CAE"/>
    <w:rsid w:val="00EE5A20"/>
    <w:rsid w:val="00EE63F0"/>
    <w:rsid w:val="00EF3AD0"/>
    <w:rsid w:val="00EF7655"/>
    <w:rsid w:val="00EF7AFE"/>
    <w:rsid w:val="00F0139B"/>
    <w:rsid w:val="00F0249D"/>
    <w:rsid w:val="00F0336A"/>
    <w:rsid w:val="00F03BB2"/>
    <w:rsid w:val="00F04017"/>
    <w:rsid w:val="00F04BFD"/>
    <w:rsid w:val="00F10BE3"/>
    <w:rsid w:val="00F13397"/>
    <w:rsid w:val="00F13690"/>
    <w:rsid w:val="00F150E4"/>
    <w:rsid w:val="00F16037"/>
    <w:rsid w:val="00F16885"/>
    <w:rsid w:val="00F17C4F"/>
    <w:rsid w:val="00F17C88"/>
    <w:rsid w:val="00F2139E"/>
    <w:rsid w:val="00F2376C"/>
    <w:rsid w:val="00F27109"/>
    <w:rsid w:val="00F3032E"/>
    <w:rsid w:val="00F32BC2"/>
    <w:rsid w:val="00F32E05"/>
    <w:rsid w:val="00F3660D"/>
    <w:rsid w:val="00F402C3"/>
    <w:rsid w:val="00F40E2D"/>
    <w:rsid w:val="00F4100C"/>
    <w:rsid w:val="00F43185"/>
    <w:rsid w:val="00F435DF"/>
    <w:rsid w:val="00F4532D"/>
    <w:rsid w:val="00F56CDF"/>
    <w:rsid w:val="00F57409"/>
    <w:rsid w:val="00F621E5"/>
    <w:rsid w:val="00F658E7"/>
    <w:rsid w:val="00F661F6"/>
    <w:rsid w:val="00F75709"/>
    <w:rsid w:val="00F75760"/>
    <w:rsid w:val="00F7629E"/>
    <w:rsid w:val="00F81F6E"/>
    <w:rsid w:val="00F821E1"/>
    <w:rsid w:val="00F82454"/>
    <w:rsid w:val="00F834D4"/>
    <w:rsid w:val="00F834DF"/>
    <w:rsid w:val="00F845E9"/>
    <w:rsid w:val="00F95F3E"/>
    <w:rsid w:val="00F96382"/>
    <w:rsid w:val="00F97BE3"/>
    <w:rsid w:val="00F97EDF"/>
    <w:rsid w:val="00FA0422"/>
    <w:rsid w:val="00FA0C76"/>
    <w:rsid w:val="00FA0CF3"/>
    <w:rsid w:val="00FA1E77"/>
    <w:rsid w:val="00FA1FB5"/>
    <w:rsid w:val="00FA356D"/>
    <w:rsid w:val="00FA3851"/>
    <w:rsid w:val="00FA4154"/>
    <w:rsid w:val="00FA62E5"/>
    <w:rsid w:val="00FB25B0"/>
    <w:rsid w:val="00FB3B23"/>
    <w:rsid w:val="00FB48DC"/>
    <w:rsid w:val="00FB4B8A"/>
    <w:rsid w:val="00FB5E0C"/>
    <w:rsid w:val="00FB602B"/>
    <w:rsid w:val="00FB78BF"/>
    <w:rsid w:val="00FC40C8"/>
    <w:rsid w:val="00FC60EA"/>
    <w:rsid w:val="00FD01BC"/>
    <w:rsid w:val="00FD29E0"/>
    <w:rsid w:val="00FD355B"/>
    <w:rsid w:val="00FD69A3"/>
    <w:rsid w:val="00FD7709"/>
    <w:rsid w:val="00FE2B5B"/>
    <w:rsid w:val="00FE347F"/>
    <w:rsid w:val="00FE48A3"/>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6DEB9"/>
  <w15:docId w15:val="{4B84FC54-3E5C-4045-B0A1-8B810AF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 w:type="paragraph" w:styleId="NoSpacing">
    <w:name w:val="No Spacing"/>
    <w:uiPriority w:val="1"/>
    <w:qFormat/>
    <w:rsid w:val="00ED3CC1"/>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278801891">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508912049">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257862752">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9DBC-DB50-460D-B5A2-B82DD14A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6945</Words>
  <Characters>3959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Grozījums Ministru kabineta 2017.gada 24.oktobra noteikumos Nr.634 "Valsts akciju sabiedrības "Latvijas Jūras administrācija" maksas pakalpojumu cenrādis"</vt:lpstr>
    </vt:vector>
  </TitlesOfParts>
  <Company>Satiksmes ministrija</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2017.gada 24.oktobra noteikumos Nr.634 "Valsts akciju sabiedrības "Latvijas Jūras administrācija" maksas pakalpojumu cenrādis"</dc:title>
  <dc:subject>Anotācija</dc:subject>
  <dc:creator>anete.logina@lja.lv;aija.liepina@lja.lv</dc:creator>
  <cp:keywords/>
  <dc:description>67062133, anete.logina@lja.lv; 67062103, aija.liepina@lja.lv</dc:description>
  <cp:lastModifiedBy>Laima Rituma</cp:lastModifiedBy>
  <cp:revision>9</cp:revision>
  <cp:lastPrinted>2019-06-21T07:00:00Z</cp:lastPrinted>
  <dcterms:created xsi:type="dcterms:W3CDTF">2019-06-14T10:44:00Z</dcterms:created>
  <dcterms:modified xsi:type="dcterms:W3CDTF">2019-06-21T07:00:00Z</dcterms:modified>
</cp:coreProperties>
</file>