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0797" w:rsidR="00BA0797" w:rsidP="00BA0797" w:rsidRDefault="001A3C77" w14:paraId="1E757B7B" w14:textId="7FB408EE">
      <w:pPr>
        <w:spacing w:after="0"/>
        <w:jc w:val="center"/>
        <w:rPr>
          <w:rFonts w:eastAsia="Times New Roman"/>
          <w:b/>
          <w:bCs/>
          <w:lang w:eastAsia="lv-LV"/>
        </w:rPr>
      </w:pPr>
      <w:r w:rsidRPr="001A3C77">
        <w:rPr>
          <w:rFonts w:eastAsia="Times New Roman"/>
          <w:b/>
          <w:bCs/>
          <w:lang w:eastAsia="lv-LV"/>
        </w:rPr>
        <w:t>Likumprojekta „Grozījumi likumā „Par aviāciju””</w:t>
      </w:r>
    </w:p>
    <w:p w:rsidR="008C0EDC" w:rsidP="00BA0797" w:rsidRDefault="00BA0797" w14:paraId="1C0EE9BD" w14:textId="77777777">
      <w:pPr>
        <w:spacing w:after="0"/>
        <w:jc w:val="center"/>
        <w:rPr>
          <w:rFonts w:eastAsia="Times New Roman"/>
          <w:b/>
          <w:bCs/>
          <w:lang w:eastAsia="lv-LV"/>
        </w:rPr>
      </w:pPr>
      <w:r w:rsidRPr="00BA0797">
        <w:rPr>
          <w:rFonts w:eastAsia="Times New Roman"/>
          <w:b/>
          <w:bCs/>
          <w:lang w:eastAsia="lv-LV"/>
        </w:rPr>
        <w:t>sākotnējās ietekmes novērtējuma ziņojums (anotācija)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176"/>
      </w:tblGrid>
      <w:tr w:rsidRPr="008C0EDC" w:rsidR="008C0EDC" w:rsidTr="008C0EDC" w14:paraId="72B0B73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0329B927" w14:textId="77777777">
            <w:pPr>
              <w:spacing w:before="100" w:beforeAutospacing="1" w:after="100" w:afterAutospacing="1"/>
              <w:jc w:val="center"/>
              <w:rPr>
                <w:rFonts w:eastAsia="Times New Roman"/>
                <w:b/>
                <w:bCs/>
                <w:lang w:eastAsia="lv-LV"/>
              </w:rPr>
            </w:pPr>
            <w:r w:rsidRPr="008C0EDC">
              <w:rPr>
                <w:rFonts w:eastAsia="Times New Roman"/>
                <w:b/>
                <w:bCs/>
                <w:lang w:eastAsia="lv-LV"/>
              </w:rPr>
              <w:t>Tiesību akta projekta anotācijas kopsavilkums</w:t>
            </w:r>
          </w:p>
        </w:tc>
      </w:tr>
      <w:tr w:rsidRPr="008C0EDC" w:rsidR="000820DD" w:rsidTr="008C0EDC" w14:paraId="1534ED2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0820DD" w:rsidR="000820DD" w:rsidP="008C0EDC" w:rsidRDefault="000820DD" w14:paraId="00494050" w14:textId="5F8F53C4">
            <w:pPr>
              <w:spacing w:before="100" w:beforeAutospacing="1" w:after="100" w:afterAutospacing="1"/>
              <w:jc w:val="center"/>
              <w:rPr>
                <w:rFonts w:eastAsia="Times New Roman"/>
                <w:bCs/>
                <w:lang w:eastAsia="lv-LV"/>
              </w:rPr>
            </w:pPr>
            <w:r w:rsidRPr="000820DD">
              <w:rPr>
                <w:rFonts w:eastAsia="Times New Roman"/>
                <w:bCs/>
                <w:lang w:eastAsia="lv-LV"/>
              </w:rPr>
              <w:t>Projekts šo jomu neskar.</w:t>
            </w:r>
          </w:p>
        </w:tc>
      </w:tr>
    </w:tbl>
    <w:p w:rsidRPr="008C0EDC" w:rsidR="008C0EDC" w:rsidP="008C0EDC" w:rsidRDefault="008C0EDC" w14:paraId="70F65FF0"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Pr="008C0EDC" w:rsidR="008C0EDC" w:rsidTr="008C0EDC" w14:paraId="32A3E3E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36CB5C62" w14:textId="77777777">
            <w:pPr>
              <w:spacing w:before="100" w:beforeAutospacing="1" w:after="100" w:afterAutospacing="1"/>
              <w:jc w:val="center"/>
              <w:rPr>
                <w:rFonts w:eastAsia="Times New Roman"/>
                <w:b/>
                <w:bCs/>
                <w:lang w:eastAsia="lv-LV"/>
              </w:rPr>
            </w:pPr>
            <w:r w:rsidRPr="008C0EDC">
              <w:rPr>
                <w:rFonts w:eastAsia="Times New Roman"/>
                <w:b/>
                <w:bCs/>
                <w:lang w:eastAsia="lv-LV"/>
              </w:rPr>
              <w:t>I. Tiesību akta projekta izstrādes nepieciešamība</w:t>
            </w:r>
          </w:p>
        </w:tc>
      </w:tr>
      <w:tr w:rsidRPr="008C0EDC" w:rsidR="008C0EDC" w:rsidTr="00BA0797" w14:paraId="5F8B4A9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546B1FFC" w14:textId="77777777">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2CB6E52F" w14:textId="77777777">
            <w:pPr>
              <w:spacing w:after="0"/>
              <w:rPr>
                <w:rFonts w:eastAsia="Times New Roman"/>
                <w:lang w:eastAsia="lv-LV"/>
              </w:rPr>
            </w:pPr>
            <w:r w:rsidRPr="008C0EDC">
              <w:rPr>
                <w:rFonts w:eastAsia="Times New Roman"/>
                <w:lang w:eastAsia="lv-LV"/>
              </w:rPr>
              <w:t>Pamatojums</w:t>
            </w:r>
          </w:p>
        </w:tc>
        <w:tc>
          <w:tcPr>
            <w:tcW w:w="3000" w:type="pct"/>
            <w:tcBorders>
              <w:top w:val="outset" w:color="auto" w:sz="6" w:space="0"/>
              <w:left w:val="outset" w:color="auto" w:sz="6" w:space="0"/>
              <w:bottom w:val="outset" w:color="auto" w:sz="6" w:space="0"/>
              <w:right w:val="outset" w:color="auto" w:sz="6" w:space="0"/>
            </w:tcBorders>
          </w:tcPr>
          <w:p w:rsidRPr="008C0EDC" w:rsidR="008C0EDC" w:rsidP="00805357" w:rsidRDefault="00C251C8" w14:paraId="7F82FF5B" w14:textId="6C2A9D1B">
            <w:pPr>
              <w:spacing w:after="0"/>
              <w:rPr>
                <w:rFonts w:eastAsia="Times New Roman"/>
                <w:lang w:eastAsia="lv-LV"/>
              </w:rPr>
            </w:pPr>
            <w:r w:rsidRPr="00C251C8">
              <w:rPr>
                <w:rFonts w:eastAsia="Times New Roman"/>
                <w:lang w:eastAsia="lv-LV"/>
              </w:rPr>
              <w:t>Nav attiecināms.</w:t>
            </w:r>
            <w:r w:rsidRPr="00C251C8" w:rsidR="006A6389">
              <w:rPr>
                <w:rFonts w:eastAsia="Times New Roman"/>
                <w:lang w:eastAsia="lv-LV"/>
              </w:rPr>
              <w:t xml:space="preserve"> </w:t>
            </w:r>
          </w:p>
        </w:tc>
      </w:tr>
      <w:tr w:rsidRPr="008C0EDC" w:rsidR="008C0EDC" w:rsidTr="00BA0797" w14:paraId="3463CEB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7DBA0295" w14:textId="77777777">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4020C02" w14:textId="77777777">
            <w:pPr>
              <w:spacing w:after="0"/>
              <w:rPr>
                <w:rFonts w:eastAsia="Times New Roman"/>
                <w:lang w:eastAsia="lv-LV"/>
              </w:rPr>
            </w:pPr>
            <w:r w:rsidRPr="008C0EDC">
              <w:rPr>
                <w:rFonts w:eastAsia="Times New Roman"/>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tcPr>
          <w:p w:rsidRPr="00A23038" w:rsidR="00077CA4" w:rsidP="00077CA4" w:rsidRDefault="00DA28EF" w14:paraId="6117159B" w14:textId="55B61535">
            <w:pPr>
              <w:spacing w:after="0"/>
              <w:jc w:val="both"/>
            </w:pPr>
            <w:r>
              <w:t>Šobrīd</w:t>
            </w:r>
            <w:r w:rsidRPr="004C1513" w:rsidR="00516211">
              <w:t xml:space="preserve"> Latvijas Republikā </w:t>
            </w:r>
            <w:r w:rsidRPr="004C1513" w:rsidR="00E80004">
              <w:t>saskaņā ar likuma “Par aviāciju” 57.</w:t>
            </w:r>
            <w:r w:rsidRPr="004C1513" w:rsidR="00117EE7">
              <w:rPr>
                <w:vertAlign w:val="superscript"/>
              </w:rPr>
              <w:t>2</w:t>
            </w:r>
            <w:r w:rsidRPr="004C1513" w:rsidR="00E80004">
              <w:t xml:space="preserve">panta prasībām uz starptautiskos pasažieru, kravas vai pasta gaisa pārvadājumus nodrošinošas lidostas, starptautiskos pasažieru, kravas vai pasta gaisa pārvadājumus veicošo gaisa kuģa ekspluatanta un aeronavigācijas pakalpojumu sniedzēja īpašniekiem (patiesā labuma guvēju) un darbiniekiem, kas ieņem vadošu amatu vai ar saviem lēmumiem var būtiski ietekmēt uzņēmuma darbību, attiecināmas īpašas prasības attiecībā uz </w:t>
            </w:r>
            <w:r w:rsidRPr="004C1513" w:rsidR="002B090E">
              <w:t>saistību ar terorismu, darbošanos noziedzīgā vai pretvalstiskā organizācijā, saistību ar noziedzīgi iegūtu līdzekļu legalizāciju, saukšanu pie kriminālatbildības par tīša nozieguma izdarīšanu un citiem aspektiem</w:t>
            </w:r>
            <w:r w:rsidRPr="00A23038" w:rsidR="002B090E">
              <w:t>.</w:t>
            </w:r>
            <w:r w:rsidRPr="00A23038" w:rsidR="00077CA4">
              <w:t xml:space="preserve"> Minētais pants likumā “Par aviāciju” tika iekļauts</w:t>
            </w:r>
            <w:r>
              <w:t>,</w:t>
            </w:r>
            <w:r w:rsidRPr="00A23038" w:rsidR="00077CA4">
              <w:t xml:space="preserve"> </w:t>
            </w:r>
            <w:r w:rsidR="00D7504E">
              <w:t xml:space="preserve">pamatojoties </w:t>
            </w:r>
            <w:r w:rsidRPr="00A23038" w:rsidR="00077CA4">
              <w:t xml:space="preserve">uz </w:t>
            </w:r>
            <w:r w:rsidRPr="00A23038" w:rsidR="002B090E">
              <w:t xml:space="preserve"> </w:t>
            </w:r>
            <w:r w:rsidRPr="00A23038" w:rsidR="00077CA4">
              <w:t>2014.gada 11.februār</w:t>
            </w:r>
            <w:r w:rsidRPr="00A23038" w:rsidR="004C1513">
              <w:t>a</w:t>
            </w:r>
            <w:r w:rsidRPr="00A23038" w:rsidR="00077CA4">
              <w:t xml:space="preserve"> Nacionālās civilās aviācijas drošības komisijas sēd</w:t>
            </w:r>
            <w:r w:rsidRPr="00A23038" w:rsidR="004C1513">
              <w:t>ē izskanējušo informāciju</w:t>
            </w:r>
            <w:r w:rsidRPr="00A23038" w:rsidR="00077CA4">
              <w:t>, kurā Satiksmes ministrija informēja par tendenci, kas saistīta ar trešo valstu pilsoņu mēģinājumiem iekļūt Eiropas Savienības valstu tirgū, veidojot aviokompānijas, kuru īpašnieki fiktīvi ir Eiropas Savienības pilsoņi, bet patiesībā ir trešo valstu pilsoņi, kuru naudas izcelsmes avoti nav skaidri</w:t>
            </w:r>
            <w:r w:rsidR="005405B3">
              <w:t>, tādēļ n</w:t>
            </w:r>
            <w:r w:rsidRPr="00A23038" w:rsidR="00077CA4">
              <w:t xml:space="preserve">epieciešama  valsts institūciju iesaistīšanās jaundibināmu aviācijas uzņēmumu izvērtēšanā, lai aizsargātu Eiropas Savienības ekonomisko telpu no nelegāli iegūtu līdzekļu iepludināšanas tajā. </w:t>
            </w:r>
          </w:p>
          <w:p w:rsidRPr="00A23038" w:rsidR="00077CA4" w:rsidP="00077CA4" w:rsidRDefault="00077CA4" w14:paraId="4DA4D6F1" w14:textId="45587EFA">
            <w:pPr>
              <w:spacing w:after="0"/>
              <w:jc w:val="both"/>
            </w:pPr>
            <w:r w:rsidRPr="00A23038">
              <w:t>Nacionālās civilās aviācijas drošības komisija atbalstīja Satiksmes ministrijas priekšlikumu veikt grozījumu likumā „Par aviāciju”, paredzot noteikt ierobežojumus aviācijas uzņēmumu īpašniekiem</w:t>
            </w:r>
            <w:r w:rsidR="00D7504E">
              <w:t xml:space="preserve"> (patiesā labuma guvējiem)</w:t>
            </w:r>
            <w:r w:rsidRPr="00A23038">
              <w:t xml:space="preserve"> un darbiniekiem, kas ieņem vadošu amatu vai ar savu lēmumu var būtiski ietekmēt aviācijas uzņēmuma darbību. </w:t>
            </w:r>
          </w:p>
          <w:p w:rsidR="00D7504E" w:rsidP="003E4254" w:rsidRDefault="00077CA4" w14:paraId="4DDCD4E4" w14:textId="77777777">
            <w:pPr>
              <w:spacing w:after="0"/>
              <w:jc w:val="both"/>
            </w:pPr>
            <w:r w:rsidRPr="00A23038">
              <w:t xml:space="preserve">Rezultātā tika izveidota darba grupa, kuru pārstāvēja valsts aģentūras „Civilās aviācijas aģentūra”, Valsts ieņēmuma dienesta Muitas pārvaldes, Valsts robežsardzes, Neatliekamās medicīniskās palīdzības dienesta Katastrofu medicīnas centra, Satiksmes ministrijas, Iekšlietu ministrijas, Drošības </w:t>
            </w:r>
            <w:r w:rsidRPr="00B03854">
              <w:t xml:space="preserve">policijas un Satversmes aizsardzības biroja darbinieki. </w:t>
            </w:r>
          </w:p>
          <w:p w:rsidRPr="0086052C" w:rsidR="0086052C" w:rsidP="003E4254" w:rsidRDefault="00077CA4" w14:paraId="4943E5F5" w14:textId="42D9ED8A">
            <w:pPr>
              <w:spacing w:after="0"/>
              <w:jc w:val="both"/>
            </w:pPr>
            <w:r w:rsidRPr="00B03854">
              <w:lastRenderedPageBreak/>
              <w:t xml:space="preserve">Darba grupas pārstāvji identificēja, kuru aviācijas uzņēmumu īpašnieku un darbinieku reputāciju būtu nepieciešams pārbaudīt, </w:t>
            </w:r>
            <w:r w:rsidR="00D7504E">
              <w:t>secinot, ka tās būtu</w:t>
            </w:r>
            <w:r w:rsidRPr="00B03854">
              <w:t xml:space="preserve"> lidostas, no kurām tiek veikti starptautiskie pasažieru, kravas vai pasta gaisa pārvadājumi, gaisa kuģu ekspluatant</w:t>
            </w:r>
            <w:r w:rsidR="00D7504E">
              <w:t>i</w:t>
            </w:r>
            <w:r w:rsidRPr="00B03854">
              <w:t>, kuri veic starptautiskos pasažieru, kravas vai pasta gaisa pārvadājumus, un aeronavigācijas pakalpojumu sniedzēj</w:t>
            </w:r>
            <w:r w:rsidR="00D7504E">
              <w:t>i</w:t>
            </w:r>
            <w:r w:rsidRPr="00B03854">
              <w:t>, kā arī izstrādāja prasības, kādām jāatbilst minēto aviācijas uzņēmumu īpašniekiem un atbildīgajiem darbiniekiem</w:t>
            </w:r>
            <w:r w:rsidR="0086052C">
              <w:t>.</w:t>
            </w:r>
          </w:p>
          <w:p w:rsidRPr="00740469" w:rsidR="00117EE7" w:rsidP="00117EE7" w:rsidRDefault="001353F9" w14:paraId="0882C7C9" w14:textId="3D7A8DB7">
            <w:pPr>
              <w:spacing w:after="0"/>
              <w:jc w:val="both"/>
            </w:pPr>
            <w:r>
              <w:rPr>
                <w:rFonts w:eastAsia="Times New Roman"/>
                <w:lang w:eastAsia="lv-LV"/>
              </w:rPr>
              <w:t xml:space="preserve">Kopš 2014.gada, kad </w:t>
            </w:r>
            <w:r w:rsidR="007B12F0">
              <w:rPr>
                <w:rFonts w:eastAsia="Times New Roman"/>
                <w:lang w:eastAsia="lv-LV"/>
              </w:rPr>
              <w:t>likumā “Par aviāciju”</w:t>
            </w:r>
            <w:r>
              <w:rPr>
                <w:rFonts w:eastAsia="Times New Roman"/>
                <w:lang w:eastAsia="lv-LV"/>
              </w:rPr>
              <w:t xml:space="preserve"> tika iekļauta</w:t>
            </w:r>
            <w:r w:rsidR="007B12F0">
              <w:rPr>
                <w:rFonts w:eastAsia="Times New Roman"/>
                <w:lang w:eastAsia="lv-LV"/>
              </w:rPr>
              <w:t>s</w:t>
            </w:r>
            <w:r>
              <w:rPr>
                <w:rFonts w:eastAsia="Times New Roman"/>
                <w:lang w:eastAsia="lv-LV"/>
              </w:rPr>
              <w:t xml:space="preserve"> </w:t>
            </w:r>
            <w:r w:rsidR="0086052C">
              <w:rPr>
                <w:rFonts w:eastAsia="Times New Roman"/>
                <w:lang w:eastAsia="lv-LV"/>
              </w:rPr>
              <w:t xml:space="preserve">minētās </w:t>
            </w:r>
            <w:r>
              <w:rPr>
                <w:rFonts w:eastAsia="Times New Roman"/>
                <w:lang w:eastAsia="lv-LV"/>
              </w:rPr>
              <w:t>prasība</w:t>
            </w:r>
            <w:r w:rsidR="007B12F0">
              <w:rPr>
                <w:rFonts w:eastAsia="Times New Roman"/>
                <w:lang w:eastAsia="lv-LV"/>
              </w:rPr>
              <w:t>s</w:t>
            </w:r>
            <w:r>
              <w:rPr>
                <w:rFonts w:eastAsia="Times New Roman"/>
                <w:lang w:eastAsia="lv-LV"/>
              </w:rPr>
              <w:t xml:space="preserve"> attiecībā uz starptautiskos pasažieru, kravas vai pasta gaisa pārvadājumus nodrošinošu lidostu īpaš</w:t>
            </w:r>
            <w:r w:rsidR="0002429A">
              <w:rPr>
                <w:rFonts w:eastAsia="Times New Roman"/>
                <w:lang w:eastAsia="lv-LV"/>
              </w:rPr>
              <w:t>n</w:t>
            </w:r>
            <w:r>
              <w:rPr>
                <w:rFonts w:eastAsia="Times New Roman"/>
                <w:lang w:eastAsia="lv-LV"/>
              </w:rPr>
              <w:t>iekiem (patiesā labuma guvējiem)</w:t>
            </w:r>
            <w:r w:rsidR="0002429A">
              <w:rPr>
                <w:rFonts w:eastAsia="Times New Roman"/>
                <w:lang w:eastAsia="lv-LV"/>
              </w:rPr>
              <w:t xml:space="preserve"> un</w:t>
            </w:r>
            <w:r w:rsidR="009B7CD0">
              <w:rPr>
                <w:rFonts w:eastAsia="Times New Roman"/>
                <w:lang w:eastAsia="lv-LV"/>
              </w:rPr>
              <w:t xml:space="preserve"> </w:t>
            </w:r>
            <w:r w:rsidR="00D7504E">
              <w:rPr>
                <w:rFonts w:eastAsia="Times New Roman"/>
                <w:lang w:eastAsia="lv-LV"/>
              </w:rPr>
              <w:t xml:space="preserve">atbildīgajiem </w:t>
            </w:r>
            <w:r w:rsidR="00BA7EAF">
              <w:rPr>
                <w:rFonts w:eastAsia="Times New Roman"/>
                <w:lang w:eastAsia="lv-LV"/>
              </w:rPr>
              <w:t xml:space="preserve">darbiniekiem, ir </w:t>
            </w:r>
            <w:r>
              <w:rPr>
                <w:rFonts w:eastAsia="Times New Roman"/>
                <w:lang w:eastAsia="lv-LV"/>
              </w:rPr>
              <w:t>pieaudzis civilās aviācijas lidlauku skaits</w:t>
            </w:r>
            <w:r w:rsidR="007B12F0">
              <w:rPr>
                <w:rFonts w:eastAsia="Times New Roman"/>
                <w:lang w:eastAsia="lv-LV"/>
              </w:rPr>
              <w:t xml:space="preserve"> (2016.gadā sertificēti trīs civilās aviācijas lidlauki, </w:t>
            </w:r>
            <w:r w:rsidRPr="00740469" w:rsidR="007B12F0">
              <w:rPr>
                <w:rFonts w:eastAsia="Times New Roman"/>
                <w:lang w:eastAsia="lv-LV"/>
              </w:rPr>
              <w:t>2019.gadā sertificēts viens civilās aviācijas lidlauks)</w:t>
            </w:r>
            <w:r w:rsidRPr="00740469" w:rsidR="00BA7EAF">
              <w:rPr>
                <w:rFonts w:eastAsia="Times New Roman"/>
                <w:lang w:eastAsia="lv-LV"/>
              </w:rPr>
              <w:t xml:space="preserve">. </w:t>
            </w:r>
            <w:r w:rsidRPr="00740469" w:rsidR="00117EE7">
              <w:rPr>
                <w:rFonts w:eastAsia="Times New Roman"/>
                <w:lang w:eastAsia="lv-LV"/>
              </w:rPr>
              <w:t xml:space="preserve">Lai arī </w:t>
            </w:r>
            <w:r w:rsidRPr="00740469" w:rsidR="00117EE7">
              <w:t xml:space="preserve">to mēroga un sniegto pakalpojumu ziņā </w:t>
            </w:r>
            <w:r w:rsidRPr="00740469" w:rsidR="00E0448B">
              <w:t xml:space="preserve"> pēdējā laikā sertificētie </w:t>
            </w:r>
            <w:r w:rsidRPr="00740469" w:rsidR="009E09F3">
              <w:t xml:space="preserve">civilās aviācijas </w:t>
            </w:r>
            <w:r w:rsidRPr="00740469" w:rsidR="00117EE7">
              <w:t xml:space="preserve"> lidlauki ir nelieli, iespējamie riski sabiedrības un valsts drošībai būtiski neatšķiras no likuma 57.</w:t>
            </w:r>
            <w:r w:rsidRPr="00740469" w:rsidR="00117EE7">
              <w:rPr>
                <w:vertAlign w:val="superscript"/>
              </w:rPr>
              <w:t>2</w:t>
            </w:r>
            <w:r w:rsidRPr="00740469" w:rsidR="00117EE7">
              <w:t>panta pirmajā daļā (tās pašreizējā redakcijā) identificētajām lidostām.</w:t>
            </w:r>
          </w:p>
          <w:p w:rsidR="00BE0875" w:rsidP="003E4254" w:rsidRDefault="00740469" w14:paraId="301C24BE" w14:textId="11F1E774">
            <w:pPr>
              <w:spacing w:after="0"/>
              <w:jc w:val="both"/>
            </w:pPr>
            <w:r>
              <w:rPr>
                <w:rFonts w:eastAsia="Times New Roman"/>
                <w:lang w:eastAsia="lv-LV"/>
              </w:rPr>
              <w:t>Atsaucoties uz</w:t>
            </w:r>
            <w:r w:rsidRPr="00740469" w:rsidR="00117EE7">
              <w:rPr>
                <w:rFonts w:eastAsia="Times New Roman"/>
                <w:lang w:eastAsia="lv-LV"/>
              </w:rPr>
              <w:t xml:space="preserve"> iepriekšminēto</w:t>
            </w:r>
            <w:r w:rsidRPr="00740469" w:rsidR="00117EE7">
              <w:t xml:space="preserve"> un lai vispusīgāk mazinātu esošos riskus, ņemot vērā to īstenošanās neparedzamību un iespējamās sekas, uz starptautiskajām lidostām attiecināmie priekšnoteikumi būtu piemērojami arī vietēja mēroga lidlaukiem</w:t>
            </w:r>
            <w:r w:rsidRPr="00740469" w:rsidR="00117EE7">
              <w:rPr>
                <w:rFonts w:eastAsia="Times New Roman"/>
                <w:lang w:eastAsia="lv-LV"/>
              </w:rPr>
              <w:t>, vienādojot prasības visu Latvijas Republikas teritorijā esošo civilās aviācijas lidlauku  īpašniekiem (patiesā labuma guvējiem) un darbiniekiem, kas ieņem vadošus amatus vai var būtiski ietekmēt lidlauka darbību, un tādējādi mazinot riskus a</w:t>
            </w:r>
            <w:r w:rsidRPr="00740469" w:rsidR="00117EE7">
              <w:t>r preventīviem risinājumiem, kas jau ir iestrādāti likuma 57.</w:t>
            </w:r>
            <w:r w:rsidRPr="00740469" w:rsidR="00117EE7">
              <w:rPr>
                <w:vertAlign w:val="superscript"/>
              </w:rPr>
              <w:t>2</w:t>
            </w:r>
            <w:r w:rsidRPr="00740469" w:rsidR="00117EE7">
              <w:t>pantā</w:t>
            </w:r>
            <w:r w:rsidR="00D7504E">
              <w:t>,</w:t>
            </w:r>
            <w:r w:rsidRPr="00740469" w:rsidR="00117EE7">
              <w:t xml:space="preserve"> ņemot vērā iespējamo sabiedriskās drošības apdraudējumu dažādību, kā arī ģeopolitisko situāciju Eiropā un tuvākajos reģionos kopumā. </w:t>
            </w:r>
          </w:p>
          <w:p w:rsidR="00A50B3E" w:rsidP="00A50B3E" w:rsidRDefault="00A50B3E" w14:paraId="72BD74D5" w14:textId="516A2C4F">
            <w:pPr>
              <w:spacing w:after="0"/>
              <w:jc w:val="both"/>
            </w:pPr>
            <w:r>
              <w:t>Papildus minētajam atbilstoši</w:t>
            </w:r>
            <w:r>
              <w:t xml:space="preserve"> Valsts drošības iestāžu likumā </w:t>
            </w:r>
            <w:r>
              <w:t>izdarītajiem grozījumiem</w:t>
            </w:r>
            <w:r>
              <w:t xml:space="preserve"> </w:t>
            </w:r>
            <w:r w:rsidRPr="004C1513">
              <w:t>likuma “Par aviāciju” 57.</w:t>
            </w:r>
            <w:r>
              <w:rPr>
                <w:vertAlign w:val="superscript"/>
              </w:rPr>
              <w:t>1</w:t>
            </w:r>
            <w:r w:rsidRPr="004C1513">
              <w:t>pant</w:t>
            </w:r>
            <w:r>
              <w:t xml:space="preserve">ā </w:t>
            </w:r>
            <w:r>
              <w:t>paredzēts mainīt</w:t>
            </w:r>
            <w:r>
              <w:t xml:space="preserve"> Drošības policijas nosaukumu uz </w:t>
            </w:r>
            <w:r>
              <w:t>iestādes</w:t>
            </w:r>
            <w:bookmarkStart w:name="_GoBack" w:id="0"/>
            <w:bookmarkEnd w:id="0"/>
            <w:r>
              <w:t xml:space="preserve"> jauno nosaukumu - Valsts drošības dienests.</w:t>
            </w:r>
          </w:p>
          <w:p w:rsidRPr="00BA7EAF" w:rsidR="0012667B" w:rsidP="003E4254" w:rsidRDefault="00D7504E" w14:paraId="10374BCE" w14:textId="721F8047">
            <w:pPr>
              <w:spacing w:after="0"/>
              <w:jc w:val="both"/>
              <w:rPr>
                <w:rFonts w:eastAsia="Times New Roman"/>
                <w:lang w:eastAsia="lv-LV"/>
              </w:rPr>
            </w:pPr>
            <w:r>
              <w:t xml:space="preserve">Likumprojekts stāsies spēkā </w:t>
            </w:r>
            <w:r w:rsidR="00396054">
              <w:t>Oficiālo publikāciju un tiesiskās informācijas likumā noteiktajā kārtībā.</w:t>
            </w:r>
          </w:p>
        </w:tc>
      </w:tr>
      <w:tr w:rsidRPr="008C0EDC" w:rsidR="008C0EDC" w:rsidTr="00BA0797" w14:paraId="7911AED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73FD2042" w14:textId="77777777">
            <w:pPr>
              <w:spacing w:before="100" w:beforeAutospacing="1" w:after="100" w:afterAutospacing="1"/>
              <w:jc w:val="center"/>
              <w:rPr>
                <w:rFonts w:eastAsia="Times New Roman"/>
                <w:lang w:eastAsia="lv-LV"/>
              </w:rPr>
            </w:pPr>
            <w:r w:rsidRPr="008C0EDC">
              <w:rPr>
                <w:rFonts w:eastAsia="Times New Roman"/>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50CB7A83" w14:textId="77777777">
            <w:pPr>
              <w:spacing w:after="0"/>
              <w:rPr>
                <w:rFonts w:eastAsia="Times New Roman"/>
                <w:lang w:eastAsia="lv-LV"/>
              </w:rPr>
            </w:pPr>
            <w:r w:rsidRPr="008C0EDC">
              <w:rPr>
                <w:rFonts w:eastAsia="Times New Roman"/>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tcPr>
          <w:p w:rsidR="008C0EDC" w:rsidP="001A3C77" w:rsidRDefault="00C97E54" w14:paraId="20FA2CEE" w14:textId="77777777">
            <w:pPr>
              <w:spacing w:after="0"/>
              <w:jc w:val="both"/>
              <w:rPr>
                <w:rFonts w:eastAsia="Times New Roman"/>
                <w:lang w:eastAsia="lv-LV"/>
              </w:rPr>
            </w:pPr>
            <w:r>
              <w:rPr>
                <w:rFonts w:eastAsia="Times New Roman"/>
                <w:lang w:eastAsia="lv-LV"/>
              </w:rPr>
              <w:t>Satiksmes ministrija</w:t>
            </w:r>
            <w:r w:rsidR="00B5062F">
              <w:rPr>
                <w:rFonts w:eastAsia="Times New Roman"/>
                <w:lang w:eastAsia="lv-LV"/>
              </w:rPr>
              <w:t xml:space="preserve"> un valsts aģentūra “Civilās aviācijas aģentūra”</w:t>
            </w:r>
            <w:r w:rsidR="001A3C77">
              <w:rPr>
                <w:rFonts w:eastAsia="Times New Roman"/>
                <w:lang w:eastAsia="lv-LV"/>
              </w:rPr>
              <w:t>.</w:t>
            </w:r>
          </w:p>
          <w:p w:rsidRPr="008C0EDC" w:rsidR="00D7504E" w:rsidP="001A3C77" w:rsidRDefault="00D7504E" w14:paraId="2927DB38" w14:textId="389A78F5">
            <w:pPr>
              <w:spacing w:after="0"/>
              <w:jc w:val="both"/>
              <w:rPr>
                <w:rFonts w:eastAsia="Times New Roman"/>
                <w:lang w:eastAsia="lv-LV"/>
              </w:rPr>
            </w:pPr>
            <w:r>
              <w:t>Par</w:t>
            </w:r>
            <w:r w:rsidRPr="00740469">
              <w:t xml:space="preserve"> likumprojekta redakciju 2019.gada 30.maijā saņemts saskaņojums no Militārā izlūkošanas</w:t>
            </w:r>
            <w:r>
              <w:t xml:space="preserve"> un drošības dienesta, 2019.gada 7.jūnijā </w:t>
            </w:r>
            <w:r w:rsidRPr="004C1513">
              <w:t>sa</w:t>
            </w:r>
            <w:r>
              <w:t>ņ</w:t>
            </w:r>
            <w:r w:rsidRPr="004C1513">
              <w:t xml:space="preserve">emts </w:t>
            </w:r>
            <w:r w:rsidRPr="004C1513">
              <w:lastRenderedPageBreak/>
              <w:t xml:space="preserve">saskaņojums no </w:t>
            </w:r>
            <w:r>
              <w:t>Satversmes aizsardzības biroja, kā arī  2019.gada 18.jūnijā saņemts saskaņojums no Valsts drošības dienesta.</w:t>
            </w:r>
          </w:p>
        </w:tc>
      </w:tr>
      <w:tr w:rsidRPr="008C0EDC" w:rsidR="008C0EDC" w:rsidTr="00BA0797" w14:paraId="517E1AA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366D2A20" w14:textId="77777777">
            <w:pPr>
              <w:spacing w:before="100" w:beforeAutospacing="1" w:after="100" w:afterAutospacing="1"/>
              <w:jc w:val="center"/>
              <w:rPr>
                <w:rFonts w:eastAsia="Times New Roman"/>
                <w:lang w:eastAsia="lv-LV"/>
              </w:rPr>
            </w:pPr>
            <w:r w:rsidRPr="008C0EDC">
              <w:rPr>
                <w:rFonts w:eastAsia="Times New Roman"/>
                <w:lang w:eastAsia="lv-LV"/>
              </w:rPr>
              <w:lastRenderedPageBreak/>
              <w:t>4.</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14F5D423" w14:textId="77777777">
            <w:pPr>
              <w:spacing w:after="0"/>
              <w:rPr>
                <w:rFonts w:eastAsia="Times New Roman"/>
                <w:lang w:eastAsia="lv-LV"/>
              </w:rPr>
            </w:pPr>
            <w:r w:rsidRPr="008C0EDC">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E94F95" w:rsidR="00553ABF" w:rsidP="00B5062F" w:rsidRDefault="00B6479A" w14:paraId="63FBE49C" w14:textId="079B7B49">
            <w:pPr>
              <w:spacing w:after="0"/>
              <w:jc w:val="both"/>
            </w:pPr>
            <w:r>
              <w:t>Nav</w:t>
            </w:r>
            <w:r w:rsidR="00E94F95">
              <w:t>.</w:t>
            </w:r>
          </w:p>
        </w:tc>
      </w:tr>
    </w:tbl>
    <w:p w:rsidRPr="008C0EDC" w:rsidR="008C0EDC" w:rsidP="008C0EDC" w:rsidRDefault="008C0EDC" w14:paraId="6DD1344F"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Pr="008C0EDC" w:rsidR="008C0EDC" w:rsidTr="008C0EDC" w14:paraId="193D9D1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0DD0AB05" w14:textId="77777777">
            <w:pPr>
              <w:spacing w:before="100" w:beforeAutospacing="1" w:after="100" w:afterAutospacing="1"/>
              <w:jc w:val="center"/>
              <w:rPr>
                <w:rFonts w:eastAsia="Times New Roman"/>
                <w:b/>
                <w:bCs/>
                <w:lang w:eastAsia="lv-LV"/>
              </w:rPr>
            </w:pPr>
            <w:r w:rsidRPr="008C0EDC">
              <w:rPr>
                <w:rFonts w:eastAsia="Times New Roman"/>
                <w:b/>
                <w:bCs/>
                <w:lang w:eastAsia="lv-LV"/>
              </w:rPr>
              <w:t>II. Tiesību akta projekta ietekme uz sabiedrību, tautsaimniecības attīstību un administratīvo slogu</w:t>
            </w:r>
          </w:p>
        </w:tc>
      </w:tr>
      <w:tr w:rsidRPr="008C0EDC" w:rsidR="008C0EDC" w:rsidTr="00463DF9" w14:paraId="32D0EFE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BC0064B" w14:textId="77777777">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40BE5904" w14:textId="77777777">
            <w:pPr>
              <w:spacing w:after="0"/>
              <w:rPr>
                <w:rFonts w:eastAsia="Times New Roman"/>
                <w:lang w:eastAsia="lv-LV"/>
              </w:rPr>
            </w:pPr>
            <w:r w:rsidRPr="008C0EDC">
              <w:rPr>
                <w:rFonts w:eastAsia="Times New Roman"/>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tcPr>
          <w:p w:rsidRPr="008C0EDC" w:rsidR="008C0EDC" w:rsidP="00B6479A" w:rsidRDefault="00147E2E" w14:paraId="6169CC56" w14:textId="1E8B7411">
            <w:pPr>
              <w:spacing w:after="0"/>
              <w:jc w:val="both"/>
              <w:rPr>
                <w:rFonts w:eastAsia="Times New Roman"/>
                <w:lang w:eastAsia="lv-LV"/>
              </w:rPr>
            </w:pPr>
            <w:r>
              <w:rPr>
                <w:rFonts w:eastAsia="Times New Roman"/>
                <w:lang w:eastAsia="lv-LV"/>
              </w:rPr>
              <w:t xml:space="preserve"> </w:t>
            </w:r>
            <w:r w:rsidRPr="001457EF" w:rsidR="00A66A4B">
              <w:rPr>
                <w:rFonts w:eastAsia="Times New Roman"/>
                <w:lang w:eastAsia="lv-LV"/>
              </w:rPr>
              <w:t xml:space="preserve">Civilās </w:t>
            </w:r>
            <w:r w:rsidRPr="001457EF" w:rsidR="00B6479A">
              <w:rPr>
                <w:rFonts w:eastAsia="Times New Roman"/>
                <w:lang w:eastAsia="lv-LV"/>
              </w:rPr>
              <w:t>aviācijas lidlauku ekspluatanti.</w:t>
            </w:r>
          </w:p>
        </w:tc>
      </w:tr>
      <w:tr w:rsidRPr="008C0EDC" w:rsidR="008C0EDC" w:rsidTr="00463DF9" w14:paraId="2EED936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149184DC" w14:textId="77777777">
            <w:pPr>
              <w:spacing w:before="100" w:beforeAutospacing="1" w:after="100" w:afterAutospacing="1"/>
              <w:jc w:val="center"/>
              <w:rPr>
                <w:rFonts w:eastAsia="Times New Roman"/>
                <w:lang w:eastAsia="lv-LV"/>
              </w:rPr>
            </w:pPr>
            <w:r w:rsidRPr="008C0EDC">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2DA2A804" w14:textId="77777777">
            <w:pPr>
              <w:spacing w:after="0"/>
              <w:rPr>
                <w:rFonts w:eastAsia="Times New Roman"/>
                <w:lang w:eastAsia="lv-LV"/>
              </w:rPr>
            </w:pPr>
            <w:r w:rsidRPr="008C0EDC">
              <w:rPr>
                <w:rFonts w:eastAsia="Times New Roman"/>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tcPr>
          <w:p w:rsidRPr="008C0EDC" w:rsidR="008C169C" w:rsidP="00E94F95" w:rsidRDefault="008C169C" w14:paraId="54146EDA" w14:textId="3A593E82">
            <w:pPr>
              <w:spacing w:after="0"/>
              <w:jc w:val="both"/>
              <w:rPr>
                <w:rFonts w:eastAsia="Times New Roman"/>
                <w:lang w:eastAsia="lv-LV"/>
              </w:rPr>
            </w:pPr>
            <w:r w:rsidRPr="00E94F95">
              <w:rPr>
                <w:rFonts w:eastAsia="Times New Roman"/>
                <w:lang w:eastAsia="lv-LV"/>
              </w:rPr>
              <w:t>Tiesisk</w:t>
            </w:r>
            <w:r w:rsidRPr="00E94F95" w:rsidR="001801D2">
              <w:rPr>
                <w:rFonts w:eastAsia="Times New Roman"/>
                <w:lang w:eastAsia="lv-LV"/>
              </w:rPr>
              <w:t>ajam</w:t>
            </w:r>
            <w:r w:rsidRPr="00E94F95">
              <w:rPr>
                <w:rFonts w:eastAsia="Times New Roman"/>
                <w:lang w:eastAsia="lv-LV"/>
              </w:rPr>
              <w:t xml:space="preserve"> regulējuma</w:t>
            </w:r>
            <w:r w:rsidRPr="00E94F95" w:rsidR="001801D2">
              <w:rPr>
                <w:rFonts w:eastAsia="Times New Roman"/>
                <w:lang w:eastAsia="lv-LV"/>
              </w:rPr>
              <w:t>m nav paredzama</w:t>
            </w:r>
            <w:r w:rsidRPr="00E94F95">
              <w:rPr>
                <w:rFonts w:eastAsia="Times New Roman"/>
                <w:lang w:eastAsia="lv-LV"/>
              </w:rPr>
              <w:t xml:space="preserve"> ietekme uz tautsaimniecību, </w:t>
            </w:r>
            <w:r w:rsidRPr="00E94F95" w:rsidR="00F566E3">
              <w:rPr>
                <w:rFonts w:eastAsia="Times New Roman"/>
                <w:lang w:eastAsia="lv-LV"/>
              </w:rPr>
              <w:t xml:space="preserve">kā arī </w:t>
            </w:r>
            <w:r w:rsidRPr="00E94F95">
              <w:rPr>
                <w:rFonts w:eastAsia="Times New Roman"/>
                <w:lang w:eastAsia="lv-LV"/>
              </w:rPr>
              <w:t xml:space="preserve">administratīvais slogs nemainās, jo </w:t>
            </w:r>
            <w:r w:rsidRPr="00E94F95" w:rsidR="00E94F95">
              <w:rPr>
                <w:rFonts w:eastAsia="Times New Roman"/>
                <w:lang w:eastAsia="lv-LV"/>
              </w:rPr>
              <w:t>paredzamais pārbaudāmo personu skaits netiek būtiski paplašināts</w:t>
            </w:r>
            <w:r w:rsidRPr="00E94F95" w:rsidR="00B85BA2">
              <w:rPr>
                <w:rFonts w:eastAsia="Times New Roman"/>
                <w:lang w:eastAsia="lv-LV"/>
              </w:rPr>
              <w:t>.</w:t>
            </w:r>
            <w:r w:rsidR="00B85BA2">
              <w:rPr>
                <w:rFonts w:eastAsia="Times New Roman"/>
                <w:lang w:eastAsia="lv-LV"/>
              </w:rPr>
              <w:t xml:space="preserve"> </w:t>
            </w:r>
          </w:p>
        </w:tc>
      </w:tr>
      <w:tr w:rsidRPr="008C0EDC" w:rsidR="008C0EDC" w:rsidTr="00463DF9" w14:paraId="248D8AC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B3C0FE8" w14:textId="77777777">
            <w:pPr>
              <w:spacing w:before="100" w:beforeAutospacing="1" w:after="100" w:afterAutospacing="1"/>
              <w:jc w:val="center"/>
              <w:rPr>
                <w:rFonts w:eastAsia="Times New Roman"/>
                <w:lang w:eastAsia="lv-LV"/>
              </w:rPr>
            </w:pPr>
            <w:r w:rsidRPr="008C0EDC">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7A3B3A67" w14:textId="77777777">
            <w:pPr>
              <w:spacing w:after="0"/>
              <w:rPr>
                <w:rFonts w:eastAsia="Times New Roman"/>
                <w:lang w:eastAsia="lv-LV"/>
              </w:rPr>
            </w:pPr>
            <w:r w:rsidRPr="008C0EDC">
              <w:rPr>
                <w:rFonts w:eastAsia="Times New Roman"/>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8C0EDC" w:rsidR="008C0EDC" w:rsidP="00E94F95" w:rsidRDefault="00B85BA2" w14:paraId="4D3C7CD3" w14:textId="52770350">
            <w:pPr>
              <w:spacing w:after="0"/>
              <w:jc w:val="both"/>
              <w:rPr>
                <w:rFonts w:eastAsia="Times New Roman"/>
                <w:lang w:eastAsia="lv-LV"/>
              </w:rPr>
            </w:pPr>
            <w:r w:rsidRPr="00B85BA2">
              <w:rPr>
                <w:rFonts w:eastAsia="Times New Roman"/>
                <w:lang w:eastAsia="lv-LV"/>
              </w:rPr>
              <w:t xml:space="preserve">Administratīvās izmaksas (naudas izteiksmē) </w:t>
            </w:r>
            <w:r w:rsidR="00326473">
              <w:rPr>
                <w:rFonts w:eastAsia="Times New Roman"/>
                <w:lang w:eastAsia="lv-LV"/>
              </w:rPr>
              <w:t>nav aprēķināmas, jo nav paredzams</w:t>
            </w:r>
            <w:r w:rsidR="001801D2">
              <w:rPr>
                <w:rFonts w:eastAsia="Times New Roman"/>
                <w:lang w:eastAsia="lv-LV"/>
              </w:rPr>
              <w:t>,</w:t>
            </w:r>
            <w:r w:rsidR="00326473">
              <w:rPr>
                <w:rFonts w:eastAsia="Times New Roman"/>
                <w:lang w:eastAsia="lv-LV"/>
              </w:rPr>
              <w:t xml:space="preserve"> cik </w:t>
            </w:r>
            <w:r w:rsidR="00E94F95">
              <w:rPr>
                <w:rFonts w:eastAsia="Times New Roman"/>
                <w:lang w:eastAsia="lv-LV"/>
              </w:rPr>
              <w:t>personu būs nepieciešams pakļaut likuma “Par aviāciju” 57</w:t>
            </w:r>
            <w:r w:rsidR="00326473">
              <w:rPr>
                <w:rFonts w:eastAsia="Times New Roman"/>
                <w:lang w:eastAsia="lv-LV"/>
              </w:rPr>
              <w:t>.</w:t>
            </w:r>
            <w:r w:rsidRPr="00740469" w:rsidR="00740469">
              <w:rPr>
                <w:rFonts w:eastAsia="Times New Roman"/>
                <w:vertAlign w:val="superscript"/>
                <w:lang w:eastAsia="lv-LV"/>
              </w:rPr>
              <w:t>2</w:t>
            </w:r>
            <w:r w:rsidR="00740469">
              <w:rPr>
                <w:rFonts w:eastAsia="Times New Roman"/>
                <w:lang w:eastAsia="lv-LV"/>
              </w:rPr>
              <w:t xml:space="preserve"> </w:t>
            </w:r>
            <w:r w:rsidR="00E94F95">
              <w:rPr>
                <w:rFonts w:eastAsia="Times New Roman"/>
                <w:lang w:eastAsia="lv-LV"/>
              </w:rPr>
              <w:t>pantā minētajām pārbaudēm.</w:t>
            </w:r>
            <w:r w:rsidR="00326473">
              <w:rPr>
                <w:rFonts w:eastAsia="Times New Roman"/>
                <w:lang w:eastAsia="lv-LV"/>
              </w:rPr>
              <w:t xml:space="preserve"> </w:t>
            </w:r>
            <w:r w:rsidRPr="00B85BA2">
              <w:rPr>
                <w:rFonts w:eastAsia="Times New Roman"/>
                <w:lang w:eastAsia="lv-LV"/>
              </w:rPr>
              <w:t xml:space="preserve"> </w:t>
            </w:r>
          </w:p>
        </w:tc>
      </w:tr>
      <w:tr w:rsidRPr="008C0EDC" w:rsidR="008C0EDC" w:rsidTr="00463DF9" w14:paraId="33B2D69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5121C94" w14:textId="77777777">
            <w:pPr>
              <w:spacing w:before="100" w:beforeAutospacing="1" w:after="100" w:afterAutospacing="1"/>
              <w:jc w:val="center"/>
              <w:rPr>
                <w:rFonts w:eastAsia="Times New Roman"/>
                <w:lang w:eastAsia="lv-LV"/>
              </w:rPr>
            </w:pPr>
            <w:r w:rsidRPr="008C0EDC">
              <w:rPr>
                <w:rFonts w:eastAsia="Times New Roman"/>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02DF58A0" w14:textId="77777777">
            <w:pPr>
              <w:spacing w:after="0"/>
              <w:rPr>
                <w:rFonts w:eastAsia="Times New Roman"/>
                <w:lang w:eastAsia="lv-LV"/>
              </w:rPr>
            </w:pPr>
            <w:r w:rsidRPr="008C0EDC">
              <w:rPr>
                <w:rFonts w:eastAsia="Times New Roman"/>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8C0EDC" w:rsidR="008C0EDC" w:rsidP="008C0EDC" w:rsidRDefault="00B85BA2" w14:paraId="4D579318" w14:textId="77777777">
            <w:pPr>
              <w:spacing w:after="0"/>
              <w:rPr>
                <w:rFonts w:eastAsia="Times New Roman"/>
                <w:lang w:eastAsia="lv-LV"/>
              </w:rPr>
            </w:pPr>
            <w:r>
              <w:rPr>
                <w:rFonts w:eastAsia="Times New Roman"/>
                <w:lang w:eastAsia="lv-LV"/>
              </w:rPr>
              <w:t>Projekts šo jomu neskar.</w:t>
            </w:r>
          </w:p>
        </w:tc>
      </w:tr>
      <w:tr w:rsidRPr="008C0EDC" w:rsidR="008C0EDC" w:rsidTr="00463DF9" w14:paraId="17A2FCF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EDE30CB" w14:textId="77777777">
            <w:pPr>
              <w:spacing w:before="100" w:beforeAutospacing="1" w:after="100" w:afterAutospacing="1"/>
              <w:jc w:val="center"/>
              <w:rPr>
                <w:rFonts w:eastAsia="Times New Roman"/>
                <w:lang w:eastAsia="lv-LV"/>
              </w:rPr>
            </w:pPr>
            <w:r w:rsidRPr="008C0EDC">
              <w:rPr>
                <w:rFonts w:eastAsia="Times New Roman"/>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5D02DDD2" w14:textId="77777777">
            <w:pPr>
              <w:spacing w:after="0"/>
              <w:rPr>
                <w:rFonts w:eastAsia="Times New Roman"/>
                <w:lang w:eastAsia="lv-LV"/>
              </w:rPr>
            </w:pPr>
            <w:r w:rsidRPr="008C0EDC">
              <w:rPr>
                <w:rFonts w:eastAsia="Times New Roman"/>
                <w:lang w:eastAsia="lv-LV"/>
              </w:rPr>
              <w:t>Cita informācija</w:t>
            </w:r>
          </w:p>
        </w:tc>
        <w:tc>
          <w:tcPr>
            <w:tcW w:w="2961" w:type="pct"/>
            <w:tcBorders>
              <w:top w:val="outset" w:color="auto" w:sz="6" w:space="0"/>
              <w:left w:val="outset" w:color="auto" w:sz="6" w:space="0"/>
              <w:bottom w:val="outset" w:color="auto" w:sz="6" w:space="0"/>
              <w:right w:val="outset" w:color="auto" w:sz="6" w:space="0"/>
            </w:tcBorders>
          </w:tcPr>
          <w:p w:rsidRPr="008C0EDC" w:rsidR="008C0EDC" w:rsidP="008C0EDC" w:rsidRDefault="00411269" w14:paraId="5204A7B7" w14:textId="77777777">
            <w:pPr>
              <w:spacing w:after="0"/>
              <w:rPr>
                <w:rFonts w:eastAsia="Times New Roman"/>
                <w:lang w:eastAsia="lv-LV"/>
              </w:rPr>
            </w:pPr>
            <w:r>
              <w:rPr>
                <w:rFonts w:eastAsia="Times New Roman"/>
                <w:lang w:eastAsia="lv-LV"/>
              </w:rPr>
              <w:t>Nav.</w:t>
            </w:r>
          </w:p>
        </w:tc>
      </w:tr>
      <w:tr w:rsidRPr="008C0EDC" w:rsidR="00463DF9" w:rsidTr="00463DF9" w14:paraId="56E3B64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8C0EDC" w:rsidR="00463DF9" w:rsidP="008C0EDC" w:rsidRDefault="00463DF9" w14:paraId="7EEA5355" w14:textId="77777777">
            <w:pPr>
              <w:spacing w:before="100" w:beforeAutospacing="1" w:after="100" w:afterAutospacing="1"/>
              <w:jc w:val="center"/>
              <w:rPr>
                <w:rFonts w:eastAsia="Times New Roman"/>
                <w:lang w:eastAsia="lv-LV"/>
              </w:rPr>
            </w:pPr>
          </w:p>
        </w:tc>
        <w:tc>
          <w:tcPr>
            <w:tcW w:w="1678" w:type="pct"/>
            <w:tcBorders>
              <w:top w:val="outset" w:color="auto" w:sz="6" w:space="0"/>
              <w:left w:val="outset" w:color="auto" w:sz="6" w:space="0"/>
              <w:bottom w:val="outset" w:color="auto" w:sz="6" w:space="0"/>
              <w:right w:val="outset" w:color="auto" w:sz="6" w:space="0"/>
            </w:tcBorders>
          </w:tcPr>
          <w:p w:rsidRPr="008C0EDC" w:rsidR="00463DF9" w:rsidP="008C0EDC" w:rsidRDefault="00463DF9" w14:paraId="7E8BD7DD" w14:textId="77777777">
            <w:pPr>
              <w:spacing w:after="0"/>
              <w:rPr>
                <w:rFonts w:eastAsia="Times New Roman"/>
                <w:lang w:eastAsia="lv-LV"/>
              </w:rPr>
            </w:pPr>
          </w:p>
        </w:tc>
        <w:tc>
          <w:tcPr>
            <w:tcW w:w="2961" w:type="pct"/>
            <w:tcBorders>
              <w:top w:val="outset" w:color="auto" w:sz="6" w:space="0"/>
              <w:left w:val="outset" w:color="auto" w:sz="6" w:space="0"/>
              <w:bottom w:val="outset" w:color="auto" w:sz="6" w:space="0"/>
              <w:right w:val="outset" w:color="auto" w:sz="6" w:space="0"/>
            </w:tcBorders>
          </w:tcPr>
          <w:p w:rsidR="00463DF9" w:rsidP="008C0EDC" w:rsidRDefault="00463DF9" w14:paraId="55E54061" w14:textId="77777777">
            <w:pPr>
              <w:spacing w:after="0"/>
              <w:rPr>
                <w:rFonts w:eastAsia="Times New Roman"/>
                <w:lang w:eastAsia="lv-LV"/>
              </w:rPr>
            </w:pPr>
          </w:p>
        </w:tc>
      </w:tr>
      <w:tr w:rsidRPr="00516211" w:rsidR="00516211" w:rsidTr="00516211" w14:paraId="1BBDAD5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16211" w:rsidR="00516211" w:rsidP="00516211" w:rsidRDefault="00516211" w14:paraId="62CE346A" w14:textId="77777777">
            <w:pPr>
              <w:spacing w:before="100" w:beforeAutospacing="1" w:after="100" w:afterAutospacing="1"/>
              <w:jc w:val="center"/>
              <w:rPr>
                <w:rFonts w:eastAsia="Times New Roman"/>
                <w:b/>
                <w:bCs/>
                <w:lang w:eastAsia="lv-LV"/>
              </w:rPr>
            </w:pPr>
            <w:r w:rsidRPr="00516211">
              <w:rPr>
                <w:rFonts w:eastAsia="Times New Roman"/>
                <w:b/>
                <w:bCs/>
                <w:lang w:eastAsia="lv-LV"/>
              </w:rPr>
              <w:t>III. Tiesību akta projekta ietekme uz valsts budžetu un pašvaldību budžetiem</w:t>
            </w:r>
          </w:p>
        </w:tc>
      </w:tr>
      <w:tr w:rsidRPr="00516211" w:rsidR="005B0D13" w:rsidTr="00516211" w14:paraId="0215B6D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tcPr>
          <w:p w:rsidRPr="00516211" w:rsidR="005B0D13" w:rsidP="00516211" w:rsidRDefault="005B0D13" w14:paraId="56AE91A1" w14:textId="77777777">
            <w:pPr>
              <w:spacing w:before="100" w:beforeAutospacing="1" w:after="100" w:afterAutospacing="1"/>
              <w:jc w:val="center"/>
              <w:rPr>
                <w:rFonts w:eastAsia="Times New Roman"/>
                <w:b/>
                <w:bCs/>
                <w:lang w:eastAsia="lv-LV"/>
              </w:rPr>
            </w:pPr>
            <w:r>
              <w:rPr>
                <w:rFonts w:eastAsia="Times New Roman"/>
                <w:lang w:eastAsia="lv-LV"/>
              </w:rPr>
              <w:t>Projekts šo jomu neskar.</w:t>
            </w:r>
          </w:p>
        </w:tc>
      </w:tr>
      <w:tr w:rsidRPr="00516211" w:rsidR="00463DF9" w:rsidTr="00516211" w14:paraId="2D5B778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tcPr>
          <w:p w:rsidR="00463DF9" w:rsidP="00516211" w:rsidRDefault="00463DF9" w14:paraId="620678F7" w14:textId="77777777">
            <w:pPr>
              <w:spacing w:before="100" w:beforeAutospacing="1" w:after="100" w:afterAutospacing="1"/>
              <w:jc w:val="center"/>
              <w:rPr>
                <w:rFonts w:eastAsia="Times New Roman"/>
                <w:lang w:eastAsia="lv-LV"/>
              </w:rPr>
            </w:pPr>
          </w:p>
        </w:tc>
      </w:tr>
      <w:tr w:rsidRPr="00516211" w:rsidR="00516211" w:rsidTr="00516211" w14:paraId="1BF99133"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16211" w:rsidR="00516211" w:rsidP="00516211" w:rsidRDefault="00516211" w14:paraId="1614186B" w14:textId="77777777">
            <w:pPr>
              <w:spacing w:before="100" w:beforeAutospacing="1" w:after="100" w:afterAutospacing="1"/>
              <w:jc w:val="center"/>
              <w:rPr>
                <w:rFonts w:eastAsia="Times New Roman"/>
                <w:b/>
                <w:bCs/>
                <w:lang w:eastAsia="lv-LV"/>
              </w:rPr>
            </w:pPr>
            <w:r w:rsidRPr="00516211">
              <w:rPr>
                <w:rFonts w:eastAsia="Times New Roman"/>
                <w:b/>
                <w:bCs/>
                <w:lang w:eastAsia="lv-LV"/>
              </w:rPr>
              <w:t>IV. Tiesību akta projekta ietekme uz spēkā esošo tiesību normu sistēmu</w:t>
            </w:r>
          </w:p>
        </w:tc>
      </w:tr>
      <w:tr w:rsidRPr="00516211" w:rsidR="00D7504E" w:rsidTr="00516211" w14:paraId="72A504B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tcPr>
          <w:p w:rsidRPr="00516211" w:rsidR="00D7504E" w:rsidP="00516211" w:rsidRDefault="00D7504E" w14:paraId="4310B2B8" w14:textId="150AB078">
            <w:pPr>
              <w:spacing w:before="100" w:beforeAutospacing="1" w:after="100" w:afterAutospacing="1"/>
              <w:jc w:val="center"/>
              <w:rPr>
                <w:rFonts w:eastAsia="Times New Roman"/>
                <w:b/>
                <w:bCs/>
                <w:lang w:eastAsia="lv-LV"/>
              </w:rPr>
            </w:pPr>
            <w:r>
              <w:rPr>
                <w:rFonts w:eastAsia="Times New Roman"/>
                <w:lang w:eastAsia="lv-LV"/>
              </w:rPr>
              <w:t>Projekts šo jomu neskar.</w:t>
            </w:r>
          </w:p>
        </w:tc>
      </w:tr>
    </w:tbl>
    <w:p w:rsidRPr="008C0EDC" w:rsidR="008C0EDC" w:rsidP="008C0EDC" w:rsidRDefault="00516211" w14:paraId="2D5FB335" w14:textId="5AFDD0BC">
      <w:pPr>
        <w:spacing w:after="0"/>
        <w:rPr>
          <w:rFonts w:eastAsia="Times New Roman"/>
          <w:lang w:eastAsia="lv-LV"/>
        </w:rPr>
      </w:pPr>
      <w:r w:rsidRPr="00516211">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176"/>
      </w:tblGrid>
      <w:tr w:rsidRPr="008C0EDC" w:rsidR="008C0EDC" w:rsidTr="008C0EDC" w14:paraId="57536AB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4B6AB29F" w14:textId="77777777">
            <w:pPr>
              <w:spacing w:before="100" w:beforeAutospacing="1" w:after="100" w:afterAutospacing="1"/>
              <w:jc w:val="center"/>
              <w:rPr>
                <w:rFonts w:eastAsia="Times New Roman"/>
                <w:b/>
                <w:bCs/>
                <w:lang w:eastAsia="lv-LV"/>
              </w:rPr>
            </w:pPr>
            <w:r w:rsidRPr="008C0EDC">
              <w:rPr>
                <w:rFonts w:eastAsia="Times New Roman"/>
                <w:b/>
                <w:bCs/>
                <w:lang w:eastAsia="lv-LV"/>
              </w:rPr>
              <w:t>V. Tiesību akta projekta atbilstība Latvijas Republikas starptautiskajām saistībām</w:t>
            </w:r>
          </w:p>
        </w:tc>
      </w:tr>
      <w:tr w:rsidRPr="008C0EDC" w:rsidR="00C34EAF" w:rsidTr="008C0EDC" w14:paraId="5A908BD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C34EAF" w:rsidR="00C34EAF" w:rsidP="008C0EDC" w:rsidRDefault="00C34EAF" w14:paraId="0869B6A5" w14:textId="60F4C1D2">
            <w:pPr>
              <w:spacing w:before="100" w:beforeAutospacing="1" w:after="100" w:afterAutospacing="1"/>
              <w:jc w:val="center"/>
              <w:rPr>
                <w:rFonts w:eastAsia="Times New Roman"/>
                <w:bCs/>
                <w:lang w:eastAsia="lv-LV"/>
              </w:rPr>
            </w:pPr>
            <w:r w:rsidRPr="00C34EAF">
              <w:rPr>
                <w:rFonts w:eastAsia="Times New Roman"/>
                <w:bCs/>
                <w:lang w:eastAsia="lv-LV"/>
              </w:rPr>
              <w:t>Projekts šo jomu neskar.</w:t>
            </w:r>
          </w:p>
        </w:tc>
      </w:tr>
    </w:tbl>
    <w:p w:rsidRPr="008C0EDC" w:rsidR="008C0EDC" w:rsidP="008C0EDC" w:rsidRDefault="008C0EDC" w14:paraId="44D34BAE"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6"/>
        <w:gridCol w:w="546"/>
        <w:gridCol w:w="2867"/>
        <w:gridCol w:w="5672"/>
        <w:gridCol w:w="45"/>
      </w:tblGrid>
      <w:tr w:rsidRPr="008C0EDC" w:rsidR="008C0EDC" w:rsidTr="008C0EDC" w14:paraId="3ED9270C"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790B3ABC" w14:textId="77777777">
            <w:pPr>
              <w:spacing w:before="100" w:beforeAutospacing="1" w:after="100" w:afterAutospacing="1"/>
              <w:jc w:val="center"/>
              <w:rPr>
                <w:rFonts w:eastAsia="Times New Roman"/>
                <w:b/>
                <w:bCs/>
                <w:lang w:eastAsia="lv-LV"/>
              </w:rPr>
            </w:pPr>
            <w:r w:rsidRPr="008C0EDC">
              <w:rPr>
                <w:rFonts w:eastAsia="Times New Roman"/>
                <w:b/>
                <w:bCs/>
                <w:lang w:eastAsia="lv-LV"/>
              </w:rPr>
              <w:t>VI. Sabiedrības līdzdalība un komunikācijas aktivitātes</w:t>
            </w:r>
          </w:p>
        </w:tc>
      </w:tr>
      <w:tr w:rsidRPr="007B3844" w:rsidR="00D7504E" w:rsidTr="00396054" w14:paraId="5AA5F9C2" w14:textId="77777777">
        <w:tblPrEx>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PrEx>
        <w:trPr>
          <w:gridBefore w:val="1"/>
          <w:gridAfter w:val="1"/>
          <w:tblCellSpacing w:w="15" w:type="dxa"/>
        </w:trPr>
        <w:tc>
          <w:tcPr>
            <w:tcW w:w="281" w:type="pct"/>
            <w:tcBorders>
              <w:top w:val="outset" w:color="414142" w:sz="6" w:space="0"/>
              <w:left w:val="outset" w:color="414142" w:sz="6" w:space="0"/>
              <w:bottom w:val="outset" w:color="414142" w:sz="6" w:space="0"/>
              <w:right w:val="outset" w:color="414142" w:sz="6" w:space="0"/>
            </w:tcBorders>
            <w:hideMark/>
          </w:tcPr>
          <w:p w:rsidRPr="00913F35" w:rsidR="00D7504E" w:rsidP="00A85D6C" w:rsidRDefault="00D7504E" w14:paraId="3E6F74B9" w14:textId="77777777">
            <w:pPr>
              <w:spacing w:before="100" w:beforeAutospacing="1" w:after="100" w:afterAutospacing="1" w:line="234" w:lineRule="atLeast"/>
              <w:jc w:val="center"/>
              <w:rPr>
                <w:rFonts w:eastAsia="Times New Roman"/>
                <w:lang w:eastAsia="lv-LV"/>
              </w:rPr>
            </w:pPr>
            <w:r w:rsidRPr="00913F35">
              <w:rPr>
                <w:rFonts w:eastAsia="Times New Roman"/>
                <w:lang w:eastAsia="lv-LV"/>
              </w:rPr>
              <w:t>1.</w:t>
            </w:r>
          </w:p>
        </w:tc>
        <w:tc>
          <w:tcPr>
            <w:tcW w:w="1546" w:type="pct"/>
            <w:tcBorders>
              <w:top w:val="outset" w:color="414142" w:sz="6" w:space="0"/>
              <w:left w:val="outset" w:color="414142" w:sz="6" w:space="0"/>
              <w:bottom w:val="outset" w:color="414142" w:sz="6" w:space="0"/>
              <w:right w:val="outset" w:color="414142" w:sz="6" w:space="0"/>
            </w:tcBorders>
            <w:hideMark/>
          </w:tcPr>
          <w:p w:rsidRPr="00913F35" w:rsidR="00D7504E" w:rsidP="00A85D6C" w:rsidRDefault="00D7504E" w14:paraId="54DDAE81" w14:textId="77777777">
            <w:pPr>
              <w:spacing w:after="0"/>
              <w:rPr>
                <w:rFonts w:eastAsia="Times New Roman"/>
                <w:lang w:eastAsia="lv-LV"/>
              </w:rPr>
            </w:pPr>
            <w:r w:rsidRPr="00913F35">
              <w:rPr>
                <w:rFonts w:eastAsia="Times New Roman"/>
                <w:lang w:eastAsia="lv-LV"/>
              </w:rPr>
              <w:t>Plānotās sabiedrības līdzdalības un komunikācijas aktivitātes saistībā ar projektu</w:t>
            </w:r>
          </w:p>
        </w:tc>
        <w:tc>
          <w:tcPr>
            <w:tcW w:w="3074" w:type="pct"/>
            <w:tcBorders>
              <w:top w:val="outset" w:color="414142" w:sz="6" w:space="0"/>
              <w:left w:val="outset" w:color="414142" w:sz="6" w:space="0"/>
              <w:bottom w:val="outset" w:color="414142" w:sz="6" w:space="0"/>
              <w:right w:val="outset" w:color="414142" w:sz="6" w:space="0"/>
            </w:tcBorders>
            <w:hideMark/>
          </w:tcPr>
          <w:p w:rsidRPr="006F53A0" w:rsidR="00D7504E" w:rsidP="00A85D6C" w:rsidRDefault="00F6520C" w14:paraId="577C67C6" w14:textId="7A5E124C">
            <w:pPr>
              <w:spacing w:after="0"/>
              <w:jc w:val="both"/>
              <w:rPr>
                <w:rFonts w:eastAsia="Times New Roman"/>
                <w:lang w:eastAsia="lv-LV"/>
              </w:rPr>
            </w:pPr>
            <w:r>
              <w:rPr>
                <w:rFonts w:eastAsia="Times New Roman"/>
                <w:color w:val="000000"/>
                <w:lang w:eastAsia="lv-LV"/>
              </w:rPr>
              <w:t xml:space="preserve">Sabiedrība </w:t>
            </w:r>
            <w:r w:rsidR="00396054">
              <w:rPr>
                <w:rFonts w:eastAsia="Times New Roman"/>
                <w:color w:val="000000"/>
                <w:lang w:eastAsia="lv-LV"/>
              </w:rPr>
              <w:t xml:space="preserve">tiesību akta projekta izstrādē </w:t>
            </w:r>
            <w:r>
              <w:rPr>
                <w:rFonts w:eastAsia="Times New Roman"/>
                <w:color w:val="000000"/>
                <w:lang w:eastAsia="lv-LV"/>
              </w:rPr>
              <w:t>tika pārstāvēta ar iesaistīto institūciju starpniecību.</w:t>
            </w:r>
          </w:p>
        </w:tc>
      </w:tr>
      <w:tr w:rsidRPr="007B3844" w:rsidR="00D7504E" w:rsidTr="00396054" w14:paraId="40A1E43B" w14:textId="77777777">
        <w:tblPrEx>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PrEx>
        <w:trPr>
          <w:gridBefore w:val="1"/>
          <w:gridAfter w:val="1"/>
          <w:tblCellSpacing w:w="15" w:type="dxa"/>
        </w:trPr>
        <w:tc>
          <w:tcPr>
            <w:tcW w:w="281" w:type="pct"/>
            <w:tcBorders>
              <w:top w:val="outset" w:color="414142" w:sz="6" w:space="0"/>
              <w:left w:val="outset" w:color="414142" w:sz="6" w:space="0"/>
              <w:bottom w:val="outset" w:color="414142" w:sz="6" w:space="0"/>
              <w:right w:val="outset" w:color="414142" w:sz="6" w:space="0"/>
            </w:tcBorders>
            <w:hideMark/>
          </w:tcPr>
          <w:p w:rsidRPr="00913F35" w:rsidR="00D7504E" w:rsidP="00A85D6C" w:rsidRDefault="00D7504E" w14:paraId="2C6B77B8" w14:textId="77777777">
            <w:pPr>
              <w:spacing w:before="100" w:beforeAutospacing="1" w:after="100" w:afterAutospacing="1" w:line="234" w:lineRule="atLeast"/>
              <w:jc w:val="center"/>
              <w:rPr>
                <w:rFonts w:eastAsia="Times New Roman"/>
                <w:lang w:eastAsia="lv-LV"/>
              </w:rPr>
            </w:pPr>
            <w:r w:rsidRPr="00913F35">
              <w:rPr>
                <w:rFonts w:eastAsia="Times New Roman"/>
                <w:lang w:eastAsia="lv-LV"/>
              </w:rPr>
              <w:t>2.</w:t>
            </w:r>
          </w:p>
        </w:tc>
        <w:tc>
          <w:tcPr>
            <w:tcW w:w="1546" w:type="pct"/>
            <w:tcBorders>
              <w:top w:val="outset" w:color="414142" w:sz="6" w:space="0"/>
              <w:left w:val="outset" w:color="414142" w:sz="6" w:space="0"/>
              <w:bottom w:val="outset" w:color="414142" w:sz="6" w:space="0"/>
              <w:right w:val="outset" w:color="414142" w:sz="6" w:space="0"/>
            </w:tcBorders>
            <w:hideMark/>
          </w:tcPr>
          <w:p w:rsidRPr="00913F35" w:rsidR="00D7504E" w:rsidP="00A85D6C" w:rsidRDefault="00D7504E" w14:paraId="31DCAB6E" w14:textId="77777777">
            <w:pPr>
              <w:spacing w:after="0"/>
              <w:rPr>
                <w:rFonts w:eastAsia="Times New Roman"/>
                <w:lang w:eastAsia="lv-LV"/>
              </w:rPr>
            </w:pPr>
            <w:r w:rsidRPr="00913F35">
              <w:rPr>
                <w:rFonts w:eastAsia="Times New Roman"/>
                <w:lang w:eastAsia="lv-LV"/>
              </w:rPr>
              <w:t>Sabiedrības līdzdalība projekta izstrādē</w:t>
            </w:r>
          </w:p>
        </w:tc>
        <w:tc>
          <w:tcPr>
            <w:tcW w:w="3074" w:type="pct"/>
            <w:tcBorders>
              <w:top w:val="outset" w:color="414142" w:sz="6" w:space="0"/>
              <w:left w:val="outset" w:color="414142" w:sz="6" w:space="0"/>
              <w:bottom w:val="outset" w:color="414142" w:sz="6" w:space="0"/>
              <w:right w:val="outset" w:color="414142" w:sz="6" w:space="0"/>
            </w:tcBorders>
            <w:hideMark/>
          </w:tcPr>
          <w:p w:rsidRPr="006F53A0" w:rsidR="00D7504E" w:rsidP="001F5604" w:rsidRDefault="001F5604" w14:paraId="743216CE" w14:textId="08617272">
            <w:pPr>
              <w:spacing w:after="0"/>
              <w:jc w:val="both"/>
              <w:rPr>
                <w:rFonts w:eastAsia="Times New Roman"/>
                <w:lang w:eastAsia="lv-LV"/>
              </w:rPr>
            </w:pPr>
            <w:r w:rsidRPr="001F5604">
              <w:rPr>
                <w:color w:val="000000"/>
              </w:rPr>
              <w:t>Ņemot vērā to, ka ar tiesību akt</w:t>
            </w:r>
            <w:r w:rsidR="00396054">
              <w:rPr>
                <w:color w:val="000000"/>
              </w:rPr>
              <w:t>a projektā ietverto risinājumu</w:t>
            </w:r>
            <w:r w:rsidRPr="001F5604">
              <w:rPr>
                <w:color w:val="000000"/>
              </w:rPr>
              <w:t xml:space="preserve"> ir paredzēts risināt jutīgus problēmjautājumus aviācijas drošības jomā, kā arī mazināt noziedzīgi iegūtu līdzekļu legalizācijas riskus, kā to paredz </w:t>
            </w:r>
            <w:r w:rsidR="00254796">
              <w:rPr>
                <w:i/>
                <w:iCs/>
                <w:color w:val="000000"/>
              </w:rPr>
              <w:t>Money</w:t>
            </w:r>
            <w:r w:rsidRPr="00396054">
              <w:rPr>
                <w:i/>
                <w:iCs/>
                <w:color w:val="000000"/>
              </w:rPr>
              <w:t xml:space="preserve">Val </w:t>
            </w:r>
            <w:r w:rsidRPr="001F5604">
              <w:rPr>
                <w:color w:val="000000"/>
              </w:rPr>
              <w:t xml:space="preserve">2018.gada 25.augusta ziņojums, ir mērķtiecīgi sašaurināt </w:t>
            </w:r>
            <w:r w:rsidRPr="001F5604">
              <w:rPr>
                <w:color w:val="000000"/>
              </w:rPr>
              <w:lastRenderedPageBreak/>
              <w:t>apspriešanā iesaistīto subjektu loku.</w:t>
            </w:r>
          </w:p>
        </w:tc>
      </w:tr>
      <w:tr w:rsidRPr="007B3844" w:rsidR="00D7504E" w:rsidTr="00396054" w14:paraId="1A45DD7E" w14:textId="77777777">
        <w:tblPrEx>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PrEx>
        <w:trPr>
          <w:gridBefore w:val="1"/>
          <w:gridAfter w:val="1"/>
          <w:tblCellSpacing w:w="15" w:type="dxa"/>
        </w:trPr>
        <w:tc>
          <w:tcPr>
            <w:tcW w:w="281" w:type="pct"/>
            <w:tcBorders>
              <w:top w:val="outset" w:color="414142" w:sz="6" w:space="0"/>
              <w:left w:val="outset" w:color="414142" w:sz="6" w:space="0"/>
              <w:bottom w:val="outset" w:color="414142" w:sz="6" w:space="0"/>
              <w:right w:val="outset" w:color="414142" w:sz="6" w:space="0"/>
            </w:tcBorders>
            <w:hideMark/>
          </w:tcPr>
          <w:p w:rsidRPr="00913F35" w:rsidR="00D7504E" w:rsidP="00A85D6C" w:rsidRDefault="00D7504E" w14:paraId="1DBD8DF7" w14:textId="77777777">
            <w:pPr>
              <w:spacing w:before="100" w:beforeAutospacing="1" w:after="100" w:afterAutospacing="1" w:line="234" w:lineRule="atLeast"/>
              <w:jc w:val="center"/>
              <w:rPr>
                <w:rFonts w:eastAsia="Times New Roman"/>
                <w:lang w:eastAsia="lv-LV"/>
              </w:rPr>
            </w:pPr>
            <w:r>
              <w:rPr>
                <w:rFonts w:eastAsia="Times New Roman"/>
                <w:lang w:eastAsia="lv-LV"/>
              </w:rPr>
              <w:lastRenderedPageBreak/>
              <w:t>0</w:t>
            </w:r>
            <w:r w:rsidRPr="00913F35">
              <w:rPr>
                <w:rFonts w:eastAsia="Times New Roman"/>
                <w:lang w:eastAsia="lv-LV"/>
              </w:rPr>
              <w:t>3.</w:t>
            </w:r>
          </w:p>
        </w:tc>
        <w:tc>
          <w:tcPr>
            <w:tcW w:w="1546" w:type="pct"/>
            <w:tcBorders>
              <w:top w:val="outset" w:color="414142" w:sz="6" w:space="0"/>
              <w:left w:val="outset" w:color="414142" w:sz="6" w:space="0"/>
              <w:bottom w:val="outset" w:color="414142" w:sz="6" w:space="0"/>
              <w:right w:val="outset" w:color="414142" w:sz="6" w:space="0"/>
            </w:tcBorders>
            <w:hideMark/>
          </w:tcPr>
          <w:p w:rsidRPr="00913F35" w:rsidR="00D7504E" w:rsidP="00A85D6C" w:rsidRDefault="00D7504E" w14:paraId="0BFC111A" w14:textId="77777777">
            <w:pPr>
              <w:spacing w:after="0"/>
              <w:rPr>
                <w:rFonts w:eastAsia="Times New Roman"/>
                <w:lang w:eastAsia="lv-LV"/>
              </w:rPr>
            </w:pPr>
            <w:r w:rsidRPr="00913F35">
              <w:rPr>
                <w:rFonts w:eastAsia="Times New Roman"/>
                <w:lang w:eastAsia="lv-LV"/>
              </w:rPr>
              <w:t>Sabiedrības līdzdalības rezultāti</w:t>
            </w:r>
          </w:p>
        </w:tc>
        <w:tc>
          <w:tcPr>
            <w:tcW w:w="3074" w:type="pct"/>
            <w:tcBorders>
              <w:top w:val="outset" w:color="414142" w:sz="6" w:space="0"/>
              <w:left w:val="outset" w:color="414142" w:sz="6" w:space="0"/>
              <w:bottom w:val="outset" w:color="414142" w:sz="6" w:space="0"/>
              <w:right w:val="outset" w:color="414142" w:sz="6" w:space="0"/>
            </w:tcBorders>
            <w:hideMark/>
          </w:tcPr>
          <w:p w:rsidRPr="006F53A0" w:rsidR="00D7504E" w:rsidP="00A85D6C" w:rsidRDefault="00396054" w14:paraId="6028DA26" w14:textId="0D2FB328">
            <w:pPr>
              <w:spacing w:after="0"/>
              <w:jc w:val="both"/>
              <w:rPr>
                <w:rFonts w:eastAsia="Times New Roman"/>
                <w:lang w:eastAsia="lv-LV"/>
              </w:rPr>
            </w:pPr>
            <w:r>
              <w:t>Projekts šo jomu neskar</w:t>
            </w:r>
            <w:r w:rsidR="00D7504E">
              <w:t>.</w:t>
            </w:r>
          </w:p>
        </w:tc>
      </w:tr>
      <w:tr w:rsidRPr="007B3844" w:rsidR="00D7504E" w:rsidTr="00396054" w14:paraId="22B7113B" w14:textId="77777777">
        <w:tblPrEx>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PrEx>
        <w:trPr>
          <w:gridBefore w:val="1"/>
          <w:gridAfter w:val="1"/>
          <w:tblCellSpacing w:w="15" w:type="dxa"/>
        </w:trPr>
        <w:tc>
          <w:tcPr>
            <w:tcW w:w="281" w:type="pct"/>
            <w:tcBorders>
              <w:top w:val="outset" w:color="414142" w:sz="6" w:space="0"/>
              <w:left w:val="outset" w:color="414142" w:sz="6" w:space="0"/>
              <w:bottom w:val="outset" w:color="414142" w:sz="6" w:space="0"/>
              <w:right w:val="outset" w:color="414142" w:sz="6" w:space="0"/>
            </w:tcBorders>
            <w:hideMark/>
          </w:tcPr>
          <w:p w:rsidRPr="00913F35" w:rsidR="00D7504E" w:rsidP="00A85D6C" w:rsidRDefault="00D7504E" w14:paraId="054EDDA7" w14:textId="77777777">
            <w:pPr>
              <w:spacing w:before="100" w:beforeAutospacing="1" w:after="100" w:afterAutospacing="1" w:line="234" w:lineRule="atLeast"/>
              <w:jc w:val="center"/>
              <w:rPr>
                <w:rFonts w:eastAsia="Times New Roman"/>
                <w:lang w:eastAsia="lv-LV"/>
              </w:rPr>
            </w:pPr>
            <w:r w:rsidRPr="00913F35">
              <w:rPr>
                <w:rFonts w:eastAsia="Times New Roman"/>
                <w:lang w:eastAsia="lv-LV"/>
              </w:rPr>
              <w:t>4.</w:t>
            </w:r>
          </w:p>
        </w:tc>
        <w:tc>
          <w:tcPr>
            <w:tcW w:w="1546" w:type="pct"/>
            <w:tcBorders>
              <w:top w:val="outset" w:color="414142" w:sz="6" w:space="0"/>
              <w:left w:val="outset" w:color="414142" w:sz="6" w:space="0"/>
              <w:bottom w:val="outset" w:color="414142" w:sz="6" w:space="0"/>
              <w:right w:val="outset" w:color="414142" w:sz="6" w:space="0"/>
            </w:tcBorders>
            <w:hideMark/>
          </w:tcPr>
          <w:p w:rsidRPr="00913F35" w:rsidR="00D7504E" w:rsidP="00A85D6C" w:rsidRDefault="00D7504E" w14:paraId="3D9A0FF5" w14:textId="77777777">
            <w:pPr>
              <w:spacing w:after="0"/>
              <w:rPr>
                <w:rFonts w:eastAsia="Times New Roman"/>
                <w:lang w:eastAsia="lv-LV"/>
              </w:rPr>
            </w:pPr>
            <w:r w:rsidRPr="00913F35">
              <w:rPr>
                <w:rFonts w:eastAsia="Times New Roman"/>
                <w:lang w:eastAsia="lv-LV"/>
              </w:rPr>
              <w:t>Cita informācija</w:t>
            </w:r>
          </w:p>
        </w:tc>
        <w:tc>
          <w:tcPr>
            <w:tcW w:w="3074" w:type="pct"/>
            <w:tcBorders>
              <w:top w:val="outset" w:color="414142" w:sz="6" w:space="0"/>
              <w:left w:val="outset" w:color="414142" w:sz="6" w:space="0"/>
              <w:bottom w:val="outset" w:color="414142" w:sz="6" w:space="0"/>
              <w:right w:val="outset" w:color="414142" w:sz="6" w:space="0"/>
            </w:tcBorders>
            <w:hideMark/>
          </w:tcPr>
          <w:p w:rsidRPr="00913F35" w:rsidR="00D7504E" w:rsidP="00A85D6C" w:rsidRDefault="00D7504E" w14:paraId="5A62FDFF" w14:textId="77777777">
            <w:pPr>
              <w:pStyle w:val="BodyTextIndent2"/>
              <w:ind w:firstLine="0"/>
              <w:rPr>
                <w:sz w:val="24"/>
                <w:szCs w:val="24"/>
                <w:lang w:val="lv-LV" w:eastAsia="lv-LV"/>
              </w:rPr>
            </w:pPr>
            <w:r w:rsidRPr="00913F35">
              <w:rPr>
                <w:sz w:val="24"/>
                <w:szCs w:val="24"/>
                <w:lang w:val="lv-LV" w:eastAsia="lv-LV"/>
              </w:rPr>
              <w:t>Nav</w:t>
            </w:r>
            <w:r>
              <w:rPr>
                <w:sz w:val="24"/>
                <w:szCs w:val="24"/>
                <w:lang w:val="lv-LV" w:eastAsia="lv-LV"/>
              </w:rPr>
              <w:t>.</w:t>
            </w:r>
          </w:p>
        </w:tc>
      </w:tr>
    </w:tbl>
    <w:p w:rsidR="008C0EDC" w:rsidP="008C0EDC" w:rsidRDefault="008C0EDC" w14:paraId="6C8A8AC7" w14:textId="02738313">
      <w:pPr>
        <w:spacing w:after="0"/>
        <w:rPr>
          <w:rFonts w:eastAsia="Times New Roman"/>
          <w:lang w:eastAsia="lv-LV"/>
        </w:rPr>
      </w:pPr>
    </w:p>
    <w:p w:rsidRPr="008C0EDC" w:rsidR="00D7504E" w:rsidP="008C0EDC" w:rsidRDefault="00D7504E" w14:paraId="247833DD"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Pr="008C0EDC" w:rsidR="008C0EDC" w:rsidTr="008C0EDC" w14:paraId="49F5CFB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19FAEA28" w14:textId="77777777">
            <w:pPr>
              <w:spacing w:before="100" w:beforeAutospacing="1" w:after="100" w:afterAutospacing="1"/>
              <w:jc w:val="center"/>
              <w:rPr>
                <w:rFonts w:eastAsia="Times New Roman"/>
                <w:b/>
                <w:bCs/>
                <w:lang w:eastAsia="lv-LV"/>
              </w:rPr>
            </w:pPr>
            <w:r w:rsidRPr="008C0EDC">
              <w:rPr>
                <w:rFonts w:eastAsia="Times New Roman"/>
                <w:b/>
                <w:bCs/>
                <w:lang w:eastAsia="lv-LV"/>
              </w:rPr>
              <w:t>VII. Tiesību akta projekta izpildes nodrošināšana un tās ietekme uz institūcijām</w:t>
            </w:r>
          </w:p>
        </w:tc>
      </w:tr>
      <w:tr w:rsidRPr="008C0EDC" w:rsidR="008C0EDC" w:rsidTr="000B6C51" w14:paraId="231338B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457EF" w:rsidR="008C0EDC" w:rsidP="008C0EDC" w:rsidRDefault="008C0EDC" w14:paraId="762F128B" w14:textId="77777777">
            <w:pPr>
              <w:spacing w:before="100" w:beforeAutospacing="1" w:after="100" w:afterAutospacing="1"/>
              <w:jc w:val="center"/>
              <w:rPr>
                <w:rFonts w:eastAsia="Times New Roman"/>
                <w:lang w:eastAsia="lv-LV"/>
              </w:rPr>
            </w:pPr>
            <w:r w:rsidRPr="001457EF">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457EF" w:rsidR="008C0EDC" w:rsidP="008C0EDC" w:rsidRDefault="008C0EDC" w14:paraId="06E767FE" w14:textId="77777777">
            <w:pPr>
              <w:spacing w:after="0"/>
              <w:rPr>
                <w:rFonts w:eastAsia="Times New Roman"/>
                <w:lang w:eastAsia="lv-LV"/>
              </w:rPr>
            </w:pPr>
            <w:r w:rsidRPr="001457EF">
              <w:rPr>
                <w:rFonts w:eastAsia="Times New Roman"/>
                <w:lang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tcPr>
          <w:p w:rsidRPr="008C0EDC" w:rsidR="008C0EDC" w:rsidP="00057C6A" w:rsidRDefault="00057C6A" w14:paraId="768D3ABC" w14:textId="3DE60AE6">
            <w:pPr>
              <w:spacing w:after="0"/>
              <w:jc w:val="both"/>
              <w:rPr>
                <w:rFonts w:eastAsia="Times New Roman"/>
                <w:lang w:eastAsia="lv-LV"/>
              </w:rPr>
            </w:pPr>
            <w:r w:rsidRPr="001457EF">
              <w:rPr>
                <w:rFonts w:eastAsia="Times New Roman"/>
                <w:lang w:eastAsia="lv-LV"/>
              </w:rPr>
              <w:t xml:space="preserve">Valsts institūcijas, kuru kompetencē ir </w:t>
            </w:r>
            <w:r w:rsidRPr="001457EF" w:rsidR="00EA67CA">
              <w:rPr>
                <w:rFonts w:eastAsia="Times New Roman"/>
                <w:lang w:eastAsia="lv-LV"/>
              </w:rPr>
              <w:t>veikt</w:t>
            </w:r>
            <w:r w:rsidRPr="001457EF" w:rsidR="001457EF">
              <w:rPr>
                <w:rFonts w:eastAsia="Times New Roman"/>
                <w:lang w:eastAsia="lv-LV"/>
              </w:rPr>
              <w:t xml:space="preserve"> likuma “Par aviāciju” 57.</w:t>
            </w:r>
            <w:r w:rsidRPr="00740469" w:rsidR="00740469">
              <w:rPr>
                <w:rFonts w:eastAsia="Times New Roman"/>
                <w:vertAlign w:val="superscript"/>
                <w:lang w:eastAsia="lv-LV"/>
              </w:rPr>
              <w:t>2</w:t>
            </w:r>
            <w:r w:rsidR="00740469">
              <w:rPr>
                <w:rFonts w:eastAsia="Times New Roman"/>
                <w:lang w:eastAsia="lv-LV"/>
              </w:rPr>
              <w:t xml:space="preserve"> </w:t>
            </w:r>
            <w:r w:rsidRPr="001457EF" w:rsidR="001457EF">
              <w:rPr>
                <w:rFonts w:eastAsia="Times New Roman"/>
                <w:lang w:eastAsia="lv-LV"/>
              </w:rPr>
              <w:t>pantā noteiktās darbības</w:t>
            </w:r>
            <w:r w:rsidRPr="001457EF">
              <w:rPr>
                <w:rFonts w:eastAsia="Times New Roman"/>
                <w:lang w:eastAsia="lv-LV"/>
              </w:rPr>
              <w:t>.</w:t>
            </w:r>
          </w:p>
        </w:tc>
      </w:tr>
      <w:tr w:rsidRPr="008C0EDC" w:rsidR="008C0EDC" w:rsidTr="000B6C51" w14:paraId="1967AE3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33743048" w14:textId="77777777">
            <w:pPr>
              <w:spacing w:before="100" w:beforeAutospacing="1" w:after="100" w:afterAutospacing="1"/>
              <w:jc w:val="center"/>
              <w:rPr>
                <w:rFonts w:eastAsia="Times New Roman"/>
                <w:lang w:eastAsia="lv-LV"/>
              </w:rPr>
            </w:pPr>
            <w:r w:rsidRPr="008C0EDC">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0B6D058A" w14:textId="77777777">
            <w:pPr>
              <w:spacing w:after="0"/>
              <w:rPr>
                <w:rFonts w:eastAsia="Times New Roman"/>
                <w:lang w:eastAsia="lv-LV"/>
              </w:rPr>
            </w:pPr>
            <w:r w:rsidRPr="008C0EDC">
              <w:rPr>
                <w:rFonts w:eastAsia="Times New Roman"/>
                <w:lang w:eastAsia="lv-LV"/>
              </w:rPr>
              <w:t>Projekta izpildes ietekme uz pārvaldes funkcijām un institucionālo struktūru.</w:t>
            </w:r>
            <w:r w:rsidRPr="008C0EDC">
              <w:rPr>
                <w:rFonts w:eastAsia="Times New Roman"/>
                <w:lang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tcPr>
          <w:p w:rsidRPr="008C0EDC" w:rsidR="008C0EDC" w:rsidP="00D935AC" w:rsidRDefault="00057C6A" w14:paraId="707A2844" w14:textId="04BBDDEC">
            <w:pPr>
              <w:spacing w:after="0"/>
              <w:jc w:val="both"/>
              <w:rPr>
                <w:rFonts w:eastAsia="Times New Roman"/>
                <w:lang w:eastAsia="lv-LV"/>
              </w:rPr>
            </w:pPr>
            <w:r w:rsidRPr="00D935AC">
              <w:rPr>
                <w:rFonts w:eastAsia="Times New Roman"/>
                <w:lang w:eastAsia="lv-LV"/>
              </w:rPr>
              <w:t>Noteikumu projekta izpilde neietekmēs pārvaldes funkcijas vai institucionālo struktūru, jo tā izpilde tiks nodrošināta jau esošās valsts pārvaldes institucionālās uzbūves ietvaros</w:t>
            </w:r>
            <w:r>
              <w:rPr>
                <w:rFonts w:eastAsia="Times New Roman"/>
                <w:lang w:eastAsia="lv-LV"/>
              </w:rPr>
              <w:t>.</w:t>
            </w:r>
          </w:p>
        </w:tc>
      </w:tr>
      <w:tr w:rsidRPr="008C0EDC" w:rsidR="008C0EDC" w:rsidTr="000B6C51" w14:paraId="368F4E5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39926073" w14:textId="77777777">
            <w:pPr>
              <w:spacing w:before="100" w:beforeAutospacing="1" w:after="100" w:afterAutospacing="1"/>
              <w:jc w:val="center"/>
              <w:rPr>
                <w:rFonts w:eastAsia="Times New Roman"/>
                <w:lang w:eastAsia="lv-LV"/>
              </w:rPr>
            </w:pPr>
            <w:r w:rsidRPr="008C0EDC">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3F8ADCAA" w14:textId="77777777">
            <w:pPr>
              <w:spacing w:after="0"/>
              <w:rPr>
                <w:rFonts w:eastAsia="Times New Roman"/>
                <w:lang w:eastAsia="lv-LV"/>
              </w:rPr>
            </w:pPr>
            <w:r w:rsidRPr="008C0EDC">
              <w:rPr>
                <w:rFonts w:eastAsia="Times New Roman"/>
                <w:lang w:eastAsia="lv-LV"/>
              </w:rPr>
              <w:t>Cita informācija</w:t>
            </w:r>
          </w:p>
        </w:tc>
        <w:tc>
          <w:tcPr>
            <w:tcW w:w="2961" w:type="pct"/>
            <w:tcBorders>
              <w:top w:val="outset" w:color="auto" w:sz="6" w:space="0"/>
              <w:left w:val="outset" w:color="auto" w:sz="6" w:space="0"/>
              <w:bottom w:val="outset" w:color="auto" w:sz="6" w:space="0"/>
              <w:right w:val="outset" w:color="auto" w:sz="6" w:space="0"/>
            </w:tcBorders>
          </w:tcPr>
          <w:p w:rsidRPr="008C0EDC" w:rsidR="008C0EDC" w:rsidP="008C0EDC" w:rsidRDefault="00366604" w14:paraId="4D404B23" w14:textId="77777777">
            <w:pPr>
              <w:spacing w:after="0"/>
              <w:rPr>
                <w:rFonts w:eastAsia="Times New Roman"/>
                <w:lang w:eastAsia="lv-LV"/>
              </w:rPr>
            </w:pPr>
            <w:r>
              <w:rPr>
                <w:rFonts w:eastAsia="Times New Roman"/>
                <w:lang w:eastAsia="lv-LV"/>
              </w:rPr>
              <w:t>Nav</w:t>
            </w:r>
          </w:p>
        </w:tc>
      </w:tr>
    </w:tbl>
    <w:p w:rsidR="000B6C51" w:rsidP="000B6C51" w:rsidRDefault="000B6C51" w14:paraId="32BD242A" w14:textId="77777777">
      <w:pPr>
        <w:tabs>
          <w:tab w:val="left" w:pos="6237"/>
        </w:tabs>
        <w:spacing w:after="0"/>
        <w:ind w:firstLine="720"/>
        <w:rPr>
          <w:sz w:val="28"/>
          <w:szCs w:val="28"/>
        </w:rPr>
      </w:pPr>
    </w:p>
    <w:p w:rsidR="000B6C51" w:rsidP="000B6C51" w:rsidRDefault="000B6C51" w14:paraId="1D2140D1" w14:textId="77777777">
      <w:pPr>
        <w:tabs>
          <w:tab w:val="left" w:pos="6237"/>
        </w:tabs>
        <w:spacing w:after="0"/>
        <w:ind w:firstLine="720"/>
        <w:rPr>
          <w:sz w:val="28"/>
          <w:szCs w:val="28"/>
        </w:rPr>
      </w:pPr>
    </w:p>
    <w:p w:rsidRPr="00F01236" w:rsidR="000B6C51" w:rsidP="000B6C51" w:rsidRDefault="009F337F" w14:paraId="1FC05870" w14:textId="554C5B63">
      <w:pPr>
        <w:tabs>
          <w:tab w:val="left" w:pos="6237"/>
        </w:tabs>
        <w:spacing w:after="0"/>
        <w:ind w:firstLine="720"/>
      </w:pPr>
      <w:r>
        <w:t>Satiksmes ministrs</w:t>
      </w:r>
      <w:r>
        <w:tab/>
        <w:t>T.Linkaits</w:t>
      </w:r>
    </w:p>
    <w:p w:rsidRPr="00F01236" w:rsidR="000B6C51" w:rsidP="000B6C51" w:rsidRDefault="000B6C51" w14:paraId="310D713E" w14:textId="77777777">
      <w:pPr>
        <w:tabs>
          <w:tab w:val="left" w:pos="6237"/>
        </w:tabs>
        <w:spacing w:after="0"/>
        <w:ind w:firstLine="720"/>
      </w:pPr>
    </w:p>
    <w:p w:rsidRPr="00F01236" w:rsidR="000B6C51" w:rsidP="000B6C51" w:rsidRDefault="000B6C51" w14:paraId="6BBE25F9" w14:textId="77777777">
      <w:pPr>
        <w:tabs>
          <w:tab w:val="left" w:pos="6237"/>
        </w:tabs>
        <w:spacing w:after="0"/>
        <w:ind w:firstLine="720"/>
      </w:pPr>
      <w:r w:rsidRPr="00F01236">
        <w:t>Vīza:</w:t>
      </w:r>
    </w:p>
    <w:p w:rsidRPr="00F01236" w:rsidR="000B6C51" w:rsidP="000B6C51" w:rsidRDefault="00554F03" w14:paraId="78C3A21D" w14:textId="1EAA25FC">
      <w:pPr>
        <w:tabs>
          <w:tab w:val="left" w:pos="6237"/>
        </w:tabs>
        <w:spacing w:after="0"/>
        <w:ind w:firstLine="720"/>
      </w:pPr>
      <w:r>
        <w:t>Valsts sekretāra p.i.</w:t>
      </w:r>
      <w:r w:rsidRPr="00F01236" w:rsidR="000B6C51">
        <w:tab/>
      </w:r>
      <w:r w:rsidRPr="00554F03">
        <w:t>Dž.Innusa</w:t>
      </w:r>
      <w:r w:rsidRPr="00F01236" w:rsidR="000B6C51">
        <w:t xml:space="preserve"> </w:t>
      </w:r>
    </w:p>
    <w:p w:rsidRPr="00F01236" w:rsidR="000B6C51" w:rsidP="000B6C51" w:rsidRDefault="000B6C51" w14:paraId="042F18AB" w14:textId="77777777">
      <w:pPr>
        <w:tabs>
          <w:tab w:val="left" w:pos="6237"/>
        </w:tabs>
        <w:spacing w:after="0"/>
        <w:ind w:firstLine="720"/>
      </w:pPr>
    </w:p>
    <w:p w:rsidR="00AE7DAA" w:rsidP="000B6C51" w:rsidRDefault="00AE7DAA" w14:paraId="1DD1FB6A" w14:textId="77777777">
      <w:pPr>
        <w:tabs>
          <w:tab w:val="left" w:pos="6237"/>
        </w:tabs>
        <w:spacing w:after="0"/>
        <w:ind w:firstLine="720"/>
        <w:rPr>
          <w:sz w:val="28"/>
          <w:szCs w:val="28"/>
        </w:rPr>
      </w:pPr>
    </w:p>
    <w:p w:rsidRPr="003A4796" w:rsidR="00AE7DAA" w:rsidP="000B6C51" w:rsidRDefault="00AE7DAA" w14:paraId="1BA6DA31" w14:textId="77777777">
      <w:pPr>
        <w:tabs>
          <w:tab w:val="left" w:pos="6237"/>
        </w:tabs>
        <w:spacing w:after="0"/>
        <w:ind w:firstLine="720"/>
        <w:rPr>
          <w:sz w:val="28"/>
          <w:szCs w:val="28"/>
        </w:rPr>
      </w:pPr>
    </w:p>
    <w:p w:rsidRPr="001C044F" w:rsidR="008C0EDC" w:rsidP="00057C6A" w:rsidRDefault="000B6C51" w14:paraId="044EBA55" w14:textId="44D4AB3D">
      <w:pPr>
        <w:tabs>
          <w:tab w:val="left" w:pos="1500"/>
        </w:tabs>
        <w:spacing w:after="0"/>
      </w:pPr>
      <w:r>
        <w:tab/>
      </w:r>
    </w:p>
    <w:sectPr w:rsidRPr="001C044F" w:rsidR="008C0EDC" w:rsidSect="0055695F">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8960" w14:textId="77777777" w:rsidR="00ED300C" w:rsidRDefault="00ED300C" w:rsidP="0055695F">
      <w:pPr>
        <w:spacing w:after="0"/>
      </w:pPr>
      <w:r>
        <w:separator/>
      </w:r>
    </w:p>
  </w:endnote>
  <w:endnote w:type="continuationSeparator" w:id="0">
    <w:p w14:paraId="16FB1374" w14:textId="77777777" w:rsidR="00ED300C" w:rsidRDefault="00ED300C"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B1FF" w14:textId="5AF39D80" w:rsidR="00C72D28" w:rsidRDefault="00F566E3">
    <w:pPr>
      <w:pStyle w:val="Footer"/>
    </w:pPr>
    <w:r>
      <w:t>S</w:t>
    </w:r>
    <w:r w:rsidR="00FB3BA8">
      <w:t>AMa</w:t>
    </w:r>
    <w:r w:rsidR="00057C6A">
      <w:t>not_</w:t>
    </w:r>
    <w:r w:rsidR="00237A81">
      <w:t>1</w:t>
    </w:r>
    <w:r w:rsidR="00FB60BA">
      <w:t>8</w:t>
    </w:r>
    <w:r w:rsidR="00B6479A">
      <w:t>0619</w:t>
    </w:r>
    <w:r>
      <w:t>_</w:t>
    </w:r>
    <w:r w:rsidR="00B6479A">
      <w:t>lidl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9E98" w14:textId="323A64E4" w:rsidR="00C72D28" w:rsidRDefault="00F566E3" w:rsidP="0055695F">
    <w:pPr>
      <w:pStyle w:val="Footer"/>
    </w:pPr>
    <w:r>
      <w:t>S</w:t>
    </w:r>
    <w:r w:rsidR="00FB3BA8">
      <w:t>AMa</w:t>
    </w:r>
    <w:r w:rsidR="00057C6A">
      <w:t>not_</w:t>
    </w:r>
    <w:r w:rsidR="00237A81">
      <w:t>1</w:t>
    </w:r>
    <w:r w:rsidR="00FB60BA">
      <w:t>8</w:t>
    </w:r>
    <w:r w:rsidR="00B6479A">
      <w:t>0619</w:t>
    </w:r>
    <w:r>
      <w:t>_</w:t>
    </w:r>
    <w:r w:rsidR="00B6479A">
      <w:t>lidl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3732" w14:textId="77777777" w:rsidR="00ED300C" w:rsidRDefault="00ED300C" w:rsidP="0055695F">
      <w:pPr>
        <w:spacing w:after="0"/>
      </w:pPr>
      <w:r>
        <w:separator/>
      </w:r>
    </w:p>
  </w:footnote>
  <w:footnote w:type="continuationSeparator" w:id="0">
    <w:p w14:paraId="0FCCA3E2" w14:textId="77777777" w:rsidR="00ED300C" w:rsidRDefault="00ED300C"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7376"/>
      <w:docPartObj>
        <w:docPartGallery w:val="Page Numbers (Top of Page)"/>
        <w:docPartUnique/>
      </w:docPartObj>
    </w:sdtPr>
    <w:sdtEndPr>
      <w:rPr>
        <w:noProof/>
      </w:rPr>
    </w:sdtEndPr>
    <w:sdtContent>
      <w:p w:rsidR="00C72D28" w:rsidRDefault="00C72D28" w14:paraId="5B4EFD68" w14:textId="129C308A">
        <w:pPr>
          <w:pStyle w:val="Header"/>
          <w:jc w:val="center"/>
        </w:pPr>
        <w:r>
          <w:fldChar w:fldCharType="begin"/>
        </w:r>
        <w:r>
          <w:instrText xml:space="preserve"> PAGE   \* MERGEFORMAT </w:instrText>
        </w:r>
        <w:r>
          <w:fldChar w:fldCharType="separate"/>
        </w:r>
        <w:r w:rsidR="002D548A">
          <w:rPr>
            <w:noProof/>
          </w:rPr>
          <w:t>4</w:t>
        </w:r>
        <w:r>
          <w:rPr>
            <w:noProof/>
          </w:rPr>
          <w:fldChar w:fldCharType="end"/>
        </w:r>
      </w:p>
    </w:sdtContent>
  </w:sdt>
  <w:p w:rsidR="00C72D28" w:rsidRDefault="00C72D28" w14:paraId="005C774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830"/>
    <w:rsid w:val="00020E3E"/>
    <w:rsid w:val="0002429A"/>
    <w:rsid w:val="000270AD"/>
    <w:rsid w:val="000424C2"/>
    <w:rsid w:val="000500F4"/>
    <w:rsid w:val="00057C6A"/>
    <w:rsid w:val="00057F7E"/>
    <w:rsid w:val="00065D74"/>
    <w:rsid w:val="00077CA4"/>
    <w:rsid w:val="000820DD"/>
    <w:rsid w:val="000A774F"/>
    <w:rsid w:val="000B4180"/>
    <w:rsid w:val="000B6C51"/>
    <w:rsid w:val="000C52BA"/>
    <w:rsid w:val="000D23CF"/>
    <w:rsid w:val="000E06A8"/>
    <w:rsid w:val="000E397E"/>
    <w:rsid w:val="000E548E"/>
    <w:rsid w:val="000E60B4"/>
    <w:rsid w:val="00115AF5"/>
    <w:rsid w:val="00117EE7"/>
    <w:rsid w:val="0012667B"/>
    <w:rsid w:val="001353F9"/>
    <w:rsid w:val="0014200E"/>
    <w:rsid w:val="001457EF"/>
    <w:rsid w:val="001476EE"/>
    <w:rsid w:val="00147E2E"/>
    <w:rsid w:val="0016585B"/>
    <w:rsid w:val="001801D2"/>
    <w:rsid w:val="00185E17"/>
    <w:rsid w:val="00192936"/>
    <w:rsid w:val="00196B8A"/>
    <w:rsid w:val="001A3C77"/>
    <w:rsid w:val="001A503E"/>
    <w:rsid w:val="001C044F"/>
    <w:rsid w:val="001D5FAD"/>
    <w:rsid w:val="001F2184"/>
    <w:rsid w:val="001F5604"/>
    <w:rsid w:val="00230B14"/>
    <w:rsid w:val="00230CEE"/>
    <w:rsid w:val="00237A81"/>
    <w:rsid w:val="0024686E"/>
    <w:rsid w:val="00254796"/>
    <w:rsid w:val="0026249E"/>
    <w:rsid w:val="00291D54"/>
    <w:rsid w:val="00297F33"/>
    <w:rsid w:val="002A1307"/>
    <w:rsid w:val="002B090E"/>
    <w:rsid w:val="002D548A"/>
    <w:rsid w:val="00306057"/>
    <w:rsid w:val="00326473"/>
    <w:rsid w:val="00326816"/>
    <w:rsid w:val="0033190B"/>
    <w:rsid w:val="003439A7"/>
    <w:rsid w:val="003607CC"/>
    <w:rsid w:val="00366604"/>
    <w:rsid w:val="00385E81"/>
    <w:rsid w:val="00393B1F"/>
    <w:rsid w:val="003957E3"/>
    <w:rsid w:val="00395F1F"/>
    <w:rsid w:val="00396054"/>
    <w:rsid w:val="003D0104"/>
    <w:rsid w:val="003E4254"/>
    <w:rsid w:val="003E5A78"/>
    <w:rsid w:val="00411269"/>
    <w:rsid w:val="0045152E"/>
    <w:rsid w:val="00463DF9"/>
    <w:rsid w:val="0048744B"/>
    <w:rsid w:val="004948ED"/>
    <w:rsid w:val="004A20A8"/>
    <w:rsid w:val="004B05B8"/>
    <w:rsid w:val="004C1513"/>
    <w:rsid w:val="004C5834"/>
    <w:rsid w:val="004C7E1E"/>
    <w:rsid w:val="004D0D71"/>
    <w:rsid w:val="004D4026"/>
    <w:rsid w:val="004E2FC5"/>
    <w:rsid w:val="004E307E"/>
    <w:rsid w:val="004E5E3B"/>
    <w:rsid w:val="00502818"/>
    <w:rsid w:val="0051412F"/>
    <w:rsid w:val="00516211"/>
    <w:rsid w:val="005405B3"/>
    <w:rsid w:val="005431A9"/>
    <w:rsid w:val="00553ABF"/>
    <w:rsid w:val="00554F03"/>
    <w:rsid w:val="0055695F"/>
    <w:rsid w:val="00576320"/>
    <w:rsid w:val="00592C89"/>
    <w:rsid w:val="005B0D13"/>
    <w:rsid w:val="005B2637"/>
    <w:rsid w:val="005B547B"/>
    <w:rsid w:val="005D5C0C"/>
    <w:rsid w:val="00640824"/>
    <w:rsid w:val="0064375B"/>
    <w:rsid w:val="0067328B"/>
    <w:rsid w:val="00677C84"/>
    <w:rsid w:val="006861B3"/>
    <w:rsid w:val="0069769F"/>
    <w:rsid w:val="006A19BA"/>
    <w:rsid w:val="006A6389"/>
    <w:rsid w:val="006B7B23"/>
    <w:rsid w:val="006F1590"/>
    <w:rsid w:val="006F3586"/>
    <w:rsid w:val="0072270E"/>
    <w:rsid w:val="00740469"/>
    <w:rsid w:val="007552C2"/>
    <w:rsid w:val="00770A3A"/>
    <w:rsid w:val="00771723"/>
    <w:rsid w:val="0078175A"/>
    <w:rsid w:val="007A315E"/>
    <w:rsid w:val="007B10F2"/>
    <w:rsid w:val="007B12F0"/>
    <w:rsid w:val="007F19E4"/>
    <w:rsid w:val="007F2F01"/>
    <w:rsid w:val="00805357"/>
    <w:rsid w:val="008341DC"/>
    <w:rsid w:val="008374B6"/>
    <w:rsid w:val="00845E84"/>
    <w:rsid w:val="00850AB4"/>
    <w:rsid w:val="00857898"/>
    <w:rsid w:val="0086052C"/>
    <w:rsid w:val="008C0EDC"/>
    <w:rsid w:val="008C169C"/>
    <w:rsid w:val="008C362A"/>
    <w:rsid w:val="008C7656"/>
    <w:rsid w:val="008F2FD2"/>
    <w:rsid w:val="008F7A8F"/>
    <w:rsid w:val="009365E8"/>
    <w:rsid w:val="009572E4"/>
    <w:rsid w:val="00967A17"/>
    <w:rsid w:val="00987C4B"/>
    <w:rsid w:val="009A77B7"/>
    <w:rsid w:val="009B7CD0"/>
    <w:rsid w:val="009C4178"/>
    <w:rsid w:val="009E09F3"/>
    <w:rsid w:val="009E49EF"/>
    <w:rsid w:val="009F337F"/>
    <w:rsid w:val="00A046F2"/>
    <w:rsid w:val="00A23038"/>
    <w:rsid w:val="00A30DFC"/>
    <w:rsid w:val="00A33D25"/>
    <w:rsid w:val="00A373C8"/>
    <w:rsid w:val="00A50B3E"/>
    <w:rsid w:val="00A60425"/>
    <w:rsid w:val="00A66A4B"/>
    <w:rsid w:val="00AA1CFA"/>
    <w:rsid w:val="00AC007A"/>
    <w:rsid w:val="00AC3F7F"/>
    <w:rsid w:val="00AD520C"/>
    <w:rsid w:val="00AE5C9E"/>
    <w:rsid w:val="00AE7DAA"/>
    <w:rsid w:val="00AF5101"/>
    <w:rsid w:val="00B008D8"/>
    <w:rsid w:val="00B03854"/>
    <w:rsid w:val="00B5062F"/>
    <w:rsid w:val="00B6479A"/>
    <w:rsid w:val="00B70C85"/>
    <w:rsid w:val="00B85BA2"/>
    <w:rsid w:val="00B85C86"/>
    <w:rsid w:val="00B9211A"/>
    <w:rsid w:val="00BA0797"/>
    <w:rsid w:val="00BA7EAF"/>
    <w:rsid w:val="00BD12ED"/>
    <w:rsid w:val="00BD256C"/>
    <w:rsid w:val="00BE0875"/>
    <w:rsid w:val="00C04DDE"/>
    <w:rsid w:val="00C05F77"/>
    <w:rsid w:val="00C2265B"/>
    <w:rsid w:val="00C251C8"/>
    <w:rsid w:val="00C34EAF"/>
    <w:rsid w:val="00C41E24"/>
    <w:rsid w:val="00C4757E"/>
    <w:rsid w:val="00C572D8"/>
    <w:rsid w:val="00C574D5"/>
    <w:rsid w:val="00C7283D"/>
    <w:rsid w:val="00C72D28"/>
    <w:rsid w:val="00C97E54"/>
    <w:rsid w:val="00CC0074"/>
    <w:rsid w:val="00CD765F"/>
    <w:rsid w:val="00D02A51"/>
    <w:rsid w:val="00D12846"/>
    <w:rsid w:val="00D44486"/>
    <w:rsid w:val="00D47830"/>
    <w:rsid w:val="00D47EFD"/>
    <w:rsid w:val="00D658FD"/>
    <w:rsid w:val="00D7504E"/>
    <w:rsid w:val="00D935AC"/>
    <w:rsid w:val="00DA28EF"/>
    <w:rsid w:val="00DC4D0A"/>
    <w:rsid w:val="00DE637D"/>
    <w:rsid w:val="00DE7677"/>
    <w:rsid w:val="00E021D5"/>
    <w:rsid w:val="00E02AA1"/>
    <w:rsid w:val="00E03B15"/>
    <w:rsid w:val="00E0448B"/>
    <w:rsid w:val="00E127B4"/>
    <w:rsid w:val="00E47C0C"/>
    <w:rsid w:val="00E52A05"/>
    <w:rsid w:val="00E80004"/>
    <w:rsid w:val="00E83853"/>
    <w:rsid w:val="00E94F95"/>
    <w:rsid w:val="00EA67CA"/>
    <w:rsid w:val="00EB6C39"/>
    <w:rsid w:val="00EC1DF5"/>
    <w:rsid w:val="00ED300C"/>
    <w:rsid w:val="00EE16A0"/>
    <w:rsid w:val="00EE358A"/>
    <w:rsid w:val="00F01236"/>
    <w:rsid w:val="00F26D0D"/>
    <w:rsid w:val="00F54D4B"/>
    <w:rsid w:val="00F566E3"/>
    <w:rsid w:val="00F61CB9"/>
    <w:rsid w:val="00F6520C"/>
    <w:rsid w:val="00F73462"/>
    <w:rsid w:val="00F7470F"/>
    <w:rsid w:val="00F90413"/>
    <w:rsid w:val="00F927BC"/>
    <w:rsid w:val="00FA1AC8"/>
    <w:rsid w:val="00FB3BA8"/>
    <w:rsid w:val="00FB4C99"/>
    <w:rsid w:val="00FB60BA"/>
    <w:rsid w:val="00FB6BF8"/>
    <w:rsid w:val="00FD7AD2"/>
    <w:rsid w:val="00FE28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B846A"/>
  <w15:docId w15:val="{B034E2ED-8224-4F9C-8B6A-0F24EB5E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paragraph" w:styleId="Revision">
    <w:name w:val="Revision"/>
    <w:hidden/>
    <w:uiPriority w:val="99"/>
    <w:semiHidden/>
    <w:rsid w:val="00D7504E"/>
    <w:pPr>
      <w:spacing w:after="0"/>
    </w:pPr>
  </w:style>
  <w:style w:type="paragraph" w:styleId="BodyTextIndent2">
    <w:name w:val="Body Text Indent 2"/>
    <w:basedOn w:val="Normal"/>
    <w:link w:val="BodyTextIndent2Char"/>
    <w:rsid w:val="00D7504E"/>
    <w:pPr>
      <w:spacing w:after="0"/>
      <w:ind w:firstLine="720"/>
      <w:jc w:val="both"/>
    </w:pPr>
    <w:rPr>
      <w:rFonts w:eastAsia="Times New Roman"/>
      <w:sz w:val="28"/>
      <w:szCs w:val="20"/>
      <w:lang w:val="en-US"/>
    </w:rPr>
  </w:style>
  <w:style w:type="character" w:customStyle="1" w:styleId="BodyTextIndent2Char">
    <w:name w:val="Body Text Indent 2 Char"/>
    <w:basedOn w:val="DefaultParagraphFont"/>
    <w:link w:val="BodyTextIndent2"/>
    <w:rsid w:val="00D7504E"/>
    <w:rPr>
      <w:rFonts w:eastAsia="Times New Roman"/>
      <w:sz w:val="28"/>
      <w:szCs w:val="20"/>
      <w:lang w:val="en-US"/>
    </w:rPr>
  </w:style>
  <w:style w:type="character" w:customStyle="1" w:styleId="UnresolvedMention1">
    <w:name w:val="Unresolved Mention1"/>
    <w:basedOn w:val="DefaultParagraphFont"/>
    <w:uiPriority w:val="99"/>
    <w:semiHidden/>
    <w:unhideWhenUsed/>
    <w:rsid w:val="00D7504E"/>
    <w:rPr>
      <w:color w:val="605E5C"/>
      <w:shd w:val="clear" w:color="auto" w:fill="E1DFDD"/>
    </w:rPr>
  </w:style>
  <w:style w:type="character" w:styleId="FollowedHyperlink">
    <w:name w:val="FollowedHyperlink"/>
    <w:basedOn w:val="DefaultParagraphFont"/>
    <w:uiPriority w:val="99"/>
    <w:semiHidden/>
    <w:unhideWhenUsed/>
    <w:rsid w:val="00D7504E"/>
    <w:rPr>
      <w:color w:val="800080" w:themeColor="followedHyperlink"/>
      <w:u w:val="single"/>
    </w:rPr>
  </w:style>
  <w:style w:type="character" w:styleId="CommentReference">
    <w:name w:val="annotation reference"/>
    <w:basedOn w:val="DefaultParagraphFont"/>
    <w:uiPriority w:val="99"/>
    <w:semiHidden/>
    <w:unhideWhenUsed/>
    <w:rsid w:val="00D7504E"/>
    <w:rPr>
      <w:sz w:val="16"/>
      <w:szCs w:val="16"/>
    </w:rPr>
  </w:style>
  <w:style w:type="paragraph" w:styleId="CommentText">
    <w:name w:val="annotation text"/>
    <w:basedOn w:val="Normal"/>
    <w:link w:val="CommentTextChar"/>
    <w:uiPriority w:val="99"/>
    <w:semiHidden/>
    <w:unhideWhenUsed/>
    <w:rsid w:val="00D7504E"/>
    <w:rPr>
      <w:sz w:val="20"/>
      <w:szCs w:val="20"/>
    </w:rPr>
  </w:style>
  <w:style w:type="character" w:customStyle="1" w:styleId="CommentTextChar">
    <w:name w:val="Comment Text Char"/>
    <w:basedOn w:val="DefaultParagraphFont"/>
    <w:link w:val="CommentText"/>
    <w:uiPriority w:val="99"/>
    <w:semiHidden/>
    <w:rsid w:val="00D7504E"/>
    <w:rPr>
      <w:sz w:val="20"/>
      <w:szCs w:val="20"/>
    </w:rPr>
  </w:style>
  <w:style w:type="paragraph" w:styleId="CommentSubject">
    <w:name w:val="annotation subject"/>
    <w:basedOn w:val="CommentText"/>
    <w:next w:val="CommentText"/>
    <w:link w:val="CommentSubjectChar"/>
    <w:uiPriority w:val="99"/>
    <w:semiHidden/>
    <w:unhideWhenUsed/>
    <w:rsid w:val="00D7504E"/>
    <w:rPr>
      <w:b/>
      <w:bCs/>
    </w:rPr>
  </w:style>
  <w:style w:type="character" w:customStyle="1" w:styleId="CommentSubjectChar">
    <w:name w:val="Comment Subject Char"/>
    <w:basedOn w:val="CommentTextChar"/>
    <w:link w:val="CommentSubject"/>
    <w:uiPriority w:val="99"/>
    <w:semiHidden/>
    <w:rsid w:val="00D750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4A5B-B921-4FF2-90A4-499C3ECE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4815</Words>
  <Characters>2746</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Likumprojekts „Grozījumi likumā „Par aviāciju””</vt:lpstr>
    </vt:vector>
  </TitlesOfParts>
  <Company>Satiksmes ministrija</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aviāciju””</dc:title>
  <dc:subject>Likumprojekta anotācija</dc:subject>
  <dc:creator>D.Revizore. 67830954. D.Reichmane;67830965;VA "Civilās aviācijas aģentūra"</dc:creator>
  <dc:description>D.Revizore, 67830954
dace.revizore@caa.gov.lv
D.Reichmane, 67830965
dace.reichmane@caa.gov.lv</dc:description>
  <cp:lastModifiedBy>Baiba Jirgena</cp:lastModifiedBy>
  <cp:revision>3</cp:revision>
  <cp:lastPrinted>2019-06-21T09:29:00Z</cp:lastPrinted>
  <dcterms:created xsi:type="dcterms:W3CDTF">2019-07-03T13:12:00Z</dcterms:created>
  <dcterms:modified xsi:type="dcterms:W3CDTF">2019-07-04T08:02:00Z</dcterms:modified>
</cp:coreProperties>
</file>