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25306" w14:textId="77777777" w:rsidR="000A531F" w:rsidRPr="00F71C64" w:rsidRDefault="000A531F" w:rsidP="000A531F">
      <w:pPr>
        <w:jc w:val="center"/>
        <w:rPr>
          <w:b/>
          <w:sz w:val="28"/>
          <w:szCs w:val="28"/>
        </w:rPr>
      </w:pPr>
      <w:bookmarkStart w:id="0" w:name="_Hlk520114501"/>
      <w:bookmarkStart w:id="1" w:name="_GoBack"/>
      <w:bookmarkEnd w:id="1"/>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14:paraId="0DC95222" w14:textId="60A904B4" w:rsidR="00EA4FB1" w:rsidRPr="00B95E1C" w:rsidRDefault="000A531F" w:rsidP="00B95E1C">
      <w:pPr>
        <w:ind w:firstLine="720"/>
        <w:jc w:val="center"/>
        <w:rPr>
          <w:b/>
          <w:sz w:val="28"/>
        </w:rPr>
      </w:pPr>
      <w:r w:rsidRPr="00F71C64">
        <w:rPr>
          <w:b/>
          <w:sz w:val="28"/>
        </w:rPr>
        <w:t>Min</w:t>
      </w:r>
      <w:r w:rsidR="00705DBC">
        <w:rPr>
          <w:b/>
          <w:sz w:val="28"/>
        </w:rPr>
        <w:t>istru kabineta rīkojuma projektam</w:t>
      </w:r>
      <w:r w:rsidRPr="00F71C64">
        <w:rPr>
          <w:b/>
          <w:sz w:val="28"/>
        </w:rPr>
        <w:t xml:space="preserve"> </w:t>
      </w:r>
      <w:r w:rsidRPr="00AA30C8">
        <w:rPr>
          <w:b/>
          <w:sz w:val="28"/>
          <w:szCs w:val="28"/>
        </w:rPr>
        <w:t>„</w:t>
      </w:r>
      <w:r w:rsidR="005A79C1" w:rsidRPr="005A79C1">
        <w:rPr>
          <w:b/>
          <w:sz w:val="28"/>
          <w:szCs w:val="28"/>
        </w:rPr>
        <w:t>Par valsts nekustamo īpašumu pārdošanu</w:t>
      </w:r>
      <w:r w:rsidRPr="00AA30C8">
        <w:rPr>
          <w:b/>
          <w:sz w:val="28"/>
          <w:szCs w:val="28"/>
        </w:rPr>
        <w:t>”</w:t>
      </w:r>
      <w:bookmarkEnd w:id="0"/>
    </w:p>
    <w:p w14:paraId="7F60A93B" w14:textId="77777777" w:rsidR="000A531F" w:rsidRPr="0053729A" w:rsidRDefault="000A531F" w:rsidP="000A531F">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000A531F" w:rsidRPr="008F6980" w14:paraId="325B19CA" w14:textId="77777777" w:rsidTr="0072110C">
        <w:tc>
          <w:tcPr>
            <w:tcW w:w="648" w:type="dxa"/>
            <w:vAlign w:val="center"/>
          </w:tcPr>
          <w:p w14:paraId="3A493631" w14:textId="77777777" w:rsidR="000A531F" w:rsidRPr="008F6980" w:rsidRDefault="000A531F" w:rsidP="0072110C">
            <w:pPr>
              <w:jc w:val="center"/>
            </w:pPr>
            <w:proofErr w:type="spellStart"/>
            <w:r w:rsidRPr="008F6980">
              <w:t>Nr.p.k</w:t>
            </w:r>
            <w:proofErr w:type="spellEnd"/>
            <w:r w:rsidRPr="008F6980">
              <w:t>.</w:t>
            </w:r>
          </w:p>
        </w:tc>
        <w:tc>
          <w:tcPr>
            <w:tcW w:w="1980" w:type="dxa"/>
            <w:vAlign w:val="center"/>
          </w:tcPr>
          <w:p w14:paraId="25B0D616" w14:textId="77777777" w:rsidR="000A531F" w:rsidRPr="008F6980" w:rsidRDefault="000A531F" w:rsidP="0072110C">
            <w:pPr>
              <w:jc w:val="center"/>
            </w:pPr>
            <w:r w:rsidRPr="008F6980">
              <w:t>Saskaņošanai nosūtītā projekta redakcija (konkrēta punkta (panta) redakcija)</w:t>
            </w:r>
          </w:p>
        </w:tc>
        <w:tc>
          <w:tcPr>
            <w:tcW w:w="4500" w:type="dxa"/>
            <w:vAlign w:val="center"/>
          </w:tcPr>
          <w:p w14:paraId="0C11CD22" w14:textId="77777777" w:rsidR="000A531F" w:rsidRPr="008F6980" w:rsidRDefault="000A531F" w:rsidP="0072110C">
            <w:pPr>
              <w:jc w:val="center"/>
            </w:pPr>
            <w:r w:rsidRPr="008F6980">
              <w:t>Atzinumā norādītais ministrijas (citas institūcijas) iebildums, kā arī saskaņošanā papildus izteiktais iebildums par projekta konkrēto punktu (pantu)</w:t>
            </w:r>
          </w:p>
        </w:tc>
        <w:tc>
          <w:tcPr>
            <w:tcW w:w="3240" w:type="dxa"/>
            <w:vAlign w:val="center"/>
          </w:tcPr>
          <w:p w14:paraId="21F73B3D" w14:textId="77777777" w:rsidR="000A531F" w:rsidRPr="008F6980" w:rsidRDefault="000A531F" w:rsidP="0072110C">
            <w:pPr>
              <w:jc w:val="center"/>
            </w:pPr>
            <w:r w:rsidRPr="008F6980">
              <w:t>Atbildīgās ministrijas pamatojums iebilduma noraidījumam</w:t>
            </w:r>
          </w:p>
        </w:tc>
        <w:tc>
          <w:tcPr>
            <w:tcW w:w="1620" w:type="dxa"/>
            <w:vAlign w:val="center"/>
          </w:tcPr>
          <w:p w14:paraId="24A85B3E" w14:textId="77777777" w:rsidR="000A531F" w:rsidRPr="008F6980" w:rsidRDefault="000A531F" w:rsidP="0072110C">
            <w:pPr>
              <w:jc w:val="center"/>
            </w:pPr>
            <w:r w:rsidRPr="008F6980">
              <w:t>Atzinuma sniedzēja uzturētais iebildums, ja tas atšķiras no atzinumā norādītā iebilduma pamatojuma</w:t>
            </w:r>
          </w:p>
        </w:tc>
        <w:tc>
          <w:tcPr>
            <w:tcW w:w="2186" w:type="dxa"/>
            <w:vAlign w:val="center"/>
          </w:tcPr>
          <w:p w14:paraId="69C12952" w14:textId="77777777" w:rsidR="000A531F" w:rsidRPr="008F6980" w:rsidRDefault="000A531F" w:rsidP="0072110C">
            <w:pPr>
              <w:jc w:val="center"/>
            </w:pPr>
            <w:r w:rsidRPr="008F6980">
              <w:t>Projekta attiecīgā punkta (panta) galīgā redakcija</w:t>
            </w:r>
          </w:p>
        </w:tc>
      </w:tr>
      <w:tr w:rsidR="000A531F" w:rsidRPr="00B945F5" w14:paraId="5ED8EFBD" w14:textId="77777777" w:rsidTr="0072110C">
        <w:tc>
          <w:tcPr>
            <w:tcW w:w="648" w:type="dxa"/>
          </w:tcPr>
          <w:p w14:paraId="6BF91C8B" w14:textId="77777777" w:rsidR="000A531F" w:rsidRDefault="000A531F" w:rsidP="0072110C">
            <w:pPr>
              <w:jc w:val="center"/>
            </w:pPr>
            <w:r>
              <w:t>1.</w:t>
            </w:r>
          </w:p>
        </w:tc>
        <w:tc>
          <w:tcPr>
            <w:tcW w:w="1980" w:type="dxa"/>
          </w:tcPr>
          <w:p w14:paraId="4EC8E93F" w14:textId="77777777" w:rsidR="000A531F" w:rsidRDefault="000A531F" w:rsidP="0072110C">
            <w:pPr>
              <w:jc w:val="center"/>
            </w:pPr>
            <w:r>
              <w:t>2.</w:t>
            </w:r>
          </w:p>
        </w:tc>
        <w:tc>
          <w:tcPr>
            <w:tcW w:w="4500" w:type="dxa"/>
          </w:tcPr>
          <w:p w14:paraId="0CA8ED55" w14:textId="77777777" w:rsidR="000A531F" w:rsidRDefault="000A531F" w:rsidP="0072110C">
            <w:pPr>
              <w:jc w:val="center"/>
            </w:pPr>
            <w:r>
              <w:t>3.</w:t>
            </w:r>
          </w:p>
        </w:tc>
        <w:tc>
          <w:tcPr>
            <w:tcW w:w="3240" w:type="dxa"/>
          </w:tcPr>
          <w:p w14:paraId="47A58861" w14:textId="77777777" w:rsidR="000A531F" w:rsidRDefault="000A531F" w:rsidP="0072110C">
            <w:pPr>
              <w:jc w:val="center"/>
            </w:pPr>
            <w:r>
              <w:t>4.</w:t>
            </w:r>
          </w:p>
        </w:tc>
        <w:tc>
          <w:tcPr>
            <w:tcW w:w="1620" w:type="dxa"/>
          </w:tcPr>
          <w:p w14:paraId="346DDB6A" w14:textId="77777777" w:rsidR="000A531F" w:rsidRDefault="000A531F" w:rsidP="0072110C">
            <w:pPr>
              <w:jc w:val="center"/>
            </w:pPr>
            <w:r>
              <w:t>5.</w:t>
            </w:r>
          </w:p>
        </w:tc>
        <w:tc>
          <w:tcPr>
            <w:tcW w:w="2186" w:type="dxa"/>
          </w:tcPr>
          <w:p w14:paraId="758733BE" w14:textId="77777777" w:rsidR="000A531F" w:rsidRDefault="000A531F" w:rsidP="0072110C">
            <w:pPr>
              <w:jc w:val="center"/>
            </w:pPr>
            <w:r>
              <w:t>6.</w:t>
            </w:r>
          </w:p>
        </w:tc>
      </w:tr>
    </w:tbl>
    <w:p w14:paraId="0C266C57" w14:textId="77777777" w:rsidR="000A531F" w:rsidRPr="0053729A" w:rsidRDefault="000A531F" w:rsidP="00B95E1C">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000A531F" w:rsidRPr="003A7944" w14:paraId="38971AA7" w14:textId="77777777" w:rsidTr="00906110">
        <w:trPr>
          <w:trHeight w:val="258"/>
        </w:trPr>
        <w:tc>
          <w:tcPr>
            <w:tcW w:w="3663" w:type="dxa"/>
            <w:vAlign w:val="bottom"/>
          </w:tcPr>
          <w:p w14:paraId="39170A04" w14:textId="77777777" w:rsidR="000A531F" w:rsidRPr="003A7944" w:rsidRDefault="000A531F" w:rsidP="0072110C">
            <w:r w:rsidRPr="003A7944">
              <w:t>Datums</w:t>
            </w:r>
          </w:p>
        </w:tc>
        <w:tc>
          <w:tcPr>
            <w:tcW w:w="10507" w:type="dxa"/>
            <w:gridSpan w:val="2"/>
            <w:vAlign w:val="bottom"/>
          </w:tcPr>
          <w:p w14:paraId="43E80F13" w14:textId="04704E6E" w:rsidR="004227B4" w:rsidRPr="003A7944" w:rsidRDefault="00517539" w:rsidP="000A531F">
            <w:r>
              <w:t>201</w:t>
            </w:r>
            <w:r w:rsidR="005A79C1">
              <w:t>9</w:t>
            </w:r>
            <w:r>
              <w:t xml:space="preserve">.gada </w:t>
            </w:r>
            <w:r w:rsidR="005A79C1">
              <w:t>15.maijs</w:t>
            </w:r>
            <w:r w:rsidR="000A531F" w:rsidRPr="003E112E">
              <w:t xml:space="preserve"> </w:t>
            </w:r>
            <w:r w:rsidR="000A531F">
              <w:t>(elektroniskā saskaņošana).</w:t>
            </w:r>
          </w:p>
        </w:tc>
      </w:tr>
      <w:tr w:rsidR="000A531F" w:rsidRPr="003A7944" w14:paraId="22190A4E" w14:textId="77777777" w:rsidTr="00906110">
        <w:trPr>
          <w:trHeight w:val="340"/>
        </w:trPr>
        <w:tc>
          <w:tcPr>
            <w:tcW w:w="3663" w:type="dxa"/>
            <w:vMerge w:val="restart"/>
          </w:tcPr>
          <w:p w14:paraId="17E64ED7" w14:textId="77777777" w:rsidR="000A531F" w:rsidRPr="003A7944" w:rsidRDefault="000A531F" w:rsidP="0072110C">
            <w:r w:rsidRPr="003A7944">
              <w:t>Saskaņošanas dalībnieki</w:t>
            </w:r>
          </w:p>
        </w:tc>
        <w:tc>
          <w:tcPr>
            <w:tcW w:w="10507" w:type="dxa"/>
            <w:gridSpan w:val="2"/>
            <w:vAlign w:val="bottom"/>
          </w:tcPr>
          <w:p w14:paraId="796B3D3B" w14:textId="77777777" w:rsidR="000A531F" w:rsidRPr="003A7944" w:rsidRDefault="000A531F" w:rsidP="0072110C">
            <w:pPr>
              <w:ind w:left="72"/>
            </w:pPr>
            <w:r w:rsidRPr="003A7944">
              <w:t>Tieslietu ministrija</w:t>
            </w:r>
          </w:p>
        </w:tc>
      </w:tr>
      <w:tr w:rsidR="00FC51C5" w:rsidRPr="003A7944" w14:paraId="5CF700F0" w14:textId="77777777" w:rsidTr="00906110">
        <w:trPr>
          <w:trHeight w:val="340"/>
        </w:trPr>
        <w:tc>
          <w:tcPr>
            <w:tcW w:w="3663" w:type="dxa"/>
            <w:vMerge/>
          </w:tcPr>
          <w:p w14:paraId="35AD0E34" w14:textId="77777777" w:rsidR="00FC51C5" w:rsidRPr="003A7944" w:rsidRDefault="00FC51C5" w:rsidP="0072110C"/>
        </w:tc>
        <w:tc>
          <w:tcPr>
            <w:tcW w:w="10507" w:type="dxa"/>
            <w:gridSpan w:val="2"/>
            <w:vAlign w:val="bottom"/>
          </w:tcPr>
          <w:p w14:paraId="4B06BFC0" w14:textId="77777777" w:rsidR="00FC51C5" w:rsidRPr="003A7944" w:rsidRDefault="00FC51C5" w:rsidP="0072110C">
            <w:pPr>
              <w:ind w:left="72"/>
            </w:pPr>
            <w:r w:rsidRPr="003A7944">
              <w:t>Finanšu ministrija</w:t>
            </w:r>
          </w:p>
        </w:tc>
      </w:tr>
      <w:tr w:rsidR="000A531F" w:rsidRPr="003A7944" w14:paraId="0EEC5C18" w14:textId="77777777" w:rsidTr="00906110">
        <w:trPr>
          <w:trHeight w:val="340"/>
        </w:trPr>
        <w:tc>
          <w:tcPr>
            <w:tcW w:w="3663" w:type="dxa"/>
            <w:vMerge/>
          </w:tcPr>
          <w:p w14:paraId="0AEBEF60" w14:textId="77777777" w:rsidR="000A531F" w:rsidRPr="003A7944" w:rsidRDefault="000A531F" w:rsidP="0072110C"/>
        </w:tc>
        <w:tc>
          <w:tcPr>
            <w:tcW w:w="10507" w:type="dxa"/>
            <w:gridSpan w:val="2"/>
            <w:vAlign w:val="bottom"/>
          </w:tcPr>
          <w:p w14:paraId="184AF6D7" w14:textId="637D952B" w:rsidR="000A531F" w:rsidRPr="003A7944" w:rsidRDefault="000A531F" w:rsidP="0072110C">
            <w:pPr>
              <w:ind w:left="72"/>
            </w:pPr>
          </w:p>
        </w:tc>
      </w:tr>
      <w:tr w:rsidR="000A531F" w:rsidRPr="003A7944" w14:paraId="0AB77599" w14:textId="77777777" w:rsidTr="00906110">
        <w:trPr>
          <w:trHeight w:val="135"/>
        </w:trPr>
        <w:tc>
          <w:tcPr>
            <w:tcW w:w="3663" w:type="dxa"/>
            <w:vMerge/>
            <w:vAlign w:val="bottom"/>
          </w:tcPr>
          <w:p w14:paraId="1C95AADC" w14:textId="77777777" w:rsidR="000A531F" w:rsidRPr="003A7944" w:rsidRDefault="000A531F" w:rsidP="0072110C"/>
        </w:tc>
        <w:tc>
          <w:tcPr>
            <w:tcW w:w="10507" w:type="dxa"/>
            <w:gridSpan w:val="2"/>
            <w:vAlign w:val="bottom"/>
          </w:tcPr>
          <w:p w14:paraId="34C87EDB" w14:textId="63D09033" w:rsidR="000A531F" w:rsidRPr="003A7944" w:rsidRDefault="000A531F" w:rsidP="0072110C">
            <w:pPr>
              <w:ind w:left="72"/>
            </w:pPr>
          </w:p>
        </w:tc>
      </w:tr>
      <w:tr w:rsidR="00AA30C8" w:rsidRPr="003A7944" w14:paraId="67160DD6" w14:textId="77777777" w:rsidTr="00906110">
        <w:trPr>
          <w:gridAfter w:val="2"/>
          <w:wAfter w:w="10507" w:type="dxa"/>
          <w:trHeight w:val="276"/>
        </w:trPr>
        <w:tc>
          <w:tcPr>
            <w:tcW w:w="3663" w:type="dxa"/>
            <w:vMerge/>
            <w:vAlign w:val="bottom"/>
          </w:tcPr>
          <w:p w14:paraId="3B27207C" w14:textId="77777777" w:rsidR="00AA30C8" w:rsidRPr="003A7944" w:rsidRDefault="00AA30C8" w:rsidP="0072110C"/>
        </w:tc>
      </w:tr>
      <w:tr w:rsidR="000A531F" w:rsidRPr="003A7944" w14:paraId="50297B32" w14:textId="77777777" w:rsidTr="005A79C1">
        <w:trPr>
          <w:trHeight w:val="926"/>
        </w:trPr>
        <w:tc>
          <w:tcPr>
            <w:tcW w:w="6132" w:type="dxa"/>
            <w:gridSpan w:val="2"/>
            <w:vAlign w:val="bottom"/>
          </w:tcPr>
          <w:p w14:paraId="541DADF2" w14:textId="77777777" w:rsidR="000A531F" w:rsidRPr="003A7944" w:rsidRDefault="000A531F" w:rsidP="005A79C1">
            <w:pPr>
              <w:spacing w:before="240"/>
            </w:pPr>
            <w:r w:rsidRPr="003A7944">
              <w:t>Saskaņošanas dalībnieki izskatīja šādu ministrij</w:t>
            </w:r>
            <w:r>
              <w:t xml:space="preserve">u (citu </w:t>
            </w:r>
            <w:r w:rsidRPr="003A7944">
              <w:t>institūciju) iebildumus</w:t>
            </w:r>
          </w:p>
        </w:tc>
        <w:tc>
          <w:tcPr>
            <w:tcW w:w="8038" w:type="dxa"/>
            <w:vAlign w:val="bottom"/>
          </w:tcPr>
          <w:p w14:paraId="11A709A3" w14:textId="1D24B8FB" w:rsidR="00B14512" w:rsidRPr="003A7944" w:rsidRDefault="00B14512" w:rsidP="005A79C1">
            <w:r>
              <w:t>Finanšu ministrijas 2018.gada 2</w:t>
            </w:r>
            <w:r w:rsidR="005A79C1">
              <w:t>0.novembra</w:t>
            </w:r>
            <w:r>
              <w:t xml:space="preserve"> atzinums Nr.12/A-7/</w:t>
            </w:r>
            <w:r w:rsidR="005A79C1">
              <w:t>5643</w:t>
            </w:r>
            <w:r>
              <w:t xml:space="preserve"> </w:t>
            </w:r>
          </w:p>
        </w:tc>
      </w:tr>
      <w:tr w:rsidR="000A531F" w:rsidRPr="003A7944" w14:paraId="0DDF6A41" w14:textId="77777777" w:rsidTr="00906110">
        <w:trPr>
          <w:trHeight w:val="80"/>
        </w:trPr>
        <w:tc>
          <w:tcPr>
            <w:tcW w:w="6132" w:type="dxa"/>
            <w:gridSpan w:val="2"/>
            <w:vAlign w:val="bottom"/>
          </w:tcPr>
          <w:p w14:paraId="626803DB" w14:textId="77777777" w:rsidR="000A531F" w:rsidRPr="003A7944" w:rsidRDefault="000A531F" w:rsidP="0072110C">
            <w:r w:rsidRPr="003A7944">
              <w:t>Ministrijas (citas institūcijas), kuras nav ieradušās uz sanāksmi vai kuras nav atbildējušas uz uzaicinājumu piedalīties elektroniskajā saskaņošanā</w:t>
            </w:r>
          </w:p>
        </w:tc>
        <w:tc>
          <w:tcPr>
            <w:tcW w:w="8038" w:type="dxa"/>
          </w:tcPr>
          <w:p w14:paraId="4B68C877" w14:textId="77777777" w:rsidR="000A531F" w:rsidRPr="0073295B" w:rsidRDefault="000A531F" w:rsidP="0072110C"/>
        </w:tc>
      </w:tr>
    </w:tbl>
    <w:p w14:paraId="7FB632DB" w14:textId="77777777" w:rsidR="00C73711" w:rsidRDefault="000A531F" w:rsidP="00B95E1C">
      <w:pPr>
        <w:pStyle w:val="naisf"/>
        <w:spacing w:before="0" w:after="0"/>
        <w:ind w:firstLine="0"/>
        <w:jc w:val="center"/>
        <w:rPr>
          <w:b/>
        </w:rPr>
      </w:pPr>
      <w:r w:rsidRPr="00B05446">
        <w:rPr>
          <w:b/>
          <w:sz w:val="28"/>
          <w:szCs w:val="28"/>
        </w:rPr>
        <w:t xml:space="preserve">II. </w:t>
      </w:r>
      <w:r w:rsidR="00930695" w:rsidRP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14:paraId="19535BC7" w14:textId="77777777" w:rsidTr="0091003F">
        <w:tc>
          <w:tcPr>
            <w:tcW w:w="675" w:type="dxa"/>
          </w:tcPr>
          <w:p w14:paraId="0BCA00DC" w14:textId="77777777" w:rsidR="005D403F" w:rsidRDefault="005D403F" w:rsidP="005D403F">
            <w:pPr>
              <w:pStyle w:val="naisf"/>
              <w:spacing w:before="0" w:after="0"/>
              <w:ind w:firstLine="0"/>
              <w:jc w:val="center"/>
            </w:pPr>
            <w:r>
              <w:t>Nr.</w:t>
            </w:r>
          </w:p>
          <w:p w14:paraId="5F8FB0CA" w14:textId="77777777" w:rsidR="005D403F" w:rsidRDefault="005D403F" w:rsidP="005D403F">
            <w:pPr>
              <w:pStyle w:val="naisf"/>
              <w:spacing w:before="0" w:after="0"/>
              <w:ind w:firstLine="0"/>
              <w:jc w:val="center"/>
            </w:pPr>
            <w:r>
              <w:t>p.k.</w:t>
            </w:r>
          </w:p>
        </w:tc>
        <w:tc>
          <w:tcPr>
            <w:tcW w:w="3119" w:type="dxa"/>
          </w:tcPr>
          <w:p w14:paraId="267E306B" w14:textId="77777777" w:rsidR="005D403F" w:rsidRDefault="005D403F" w:rsidP="005D403F">
            <w:pPr>
              <w:pStyle w:val="naisf"/>
              <w:spacing w:before="0" w:after="0"/>
              <w:ind w:firstLine="0"/>
              <w:jc w:val="center"/>
            </w:pPr>
            <w:r w:rsidRPr="00930695">
              <w:t>Saskaņošanai nosūtītā projekta redakcija (konkrēta punkta (panta) redakcija)</w:t>
            </w:r>
          </w:p>
        </w:tc>
        <w:tc>
          <w:tcPr>
            <w:tcW w:w="4678" w:type="dxa"/>
          </w:tcPr>
          <w:p w14:paraId="52143616" w14:textId="77777777" w:rsidR="005D403F" w:rsidRDefault="005D403F" w:rsidP="005D403F">
            <w:pPr>
              <w:pStyle w:val="naisf"/>
              <w:spacing w:before="0" w:after="0"/>
              <w:ind w:firstLine="0"/>
              <w:jc w:val="center"/>
            </w:pPr>
            <w:r w:rsidRPr="00930695">
              <w:t xml:space="preserve">Atzinumā norādītais ministrijas (citas institūcijas) iebildums, kā arī saskaņošanā </w:t>
            </w:r>
            <w:r w:rsidRPr="00930695">
              <w:lastRenderedPageBreak/>
              <w:t>papildus izteiktais iebildums par projekta konkrēto punktu (pantu)</w:t>
            </w:r>
          </w:p>
        </w:tc>
        <w:tc>
          <w:tcPr>
            <w:tcW w:w="2722" w:type="dxa"/>
          </w:tcPr>
          <w:p w14:paraId="6C6BD330" w14:textId="77777777" w:rsidR="005D403F" w:rsidRDefault="005D403F" w:rsidP="005D403F">
            <w:pPr>
              <w:pStyle w:val="naisf"/>
              <w:spacing w:before="0" w:after="0"/>
              <w:ind w:firstLine="0"/>
              <w:jc w:val="center"/>
            </w:pPr>
            <w:r w:rsidRPr="00930695">
              <w:lastRenderedPageBreak/>
              <w:t xml:space="preserve">Atbildīgās ministrijas norāde par to, ka iebildums ir ņemts vērā, </w:t>
            </w:r>
            <w:r w:rsidRPr="00930695">
              <w:lastRenderedPageBreak/>
              <w:t>vai informācija par saskaņošanā panākto alternatīvo risinājumu</w:t>
            </w:r>
          </w:p>
        </w:tc>
        <w:tc>
          <w:tcPr>
            <w:tcW w:w="2980" w:type="dxa"/>
          </w:tcPr>
          <w:p w14:paraId="7F91D989" w14:textId="77777777" w:rsidR="005D403F" w:rsidRDefault="005D403F" w:rsidP="005D403F">
            <w:pPr>
              <w:pStyle w:val="naisf"/>
              <w:spacing w:before="0" w:after="0"/>
              <w:ind w:firstLine="0"/>
              <w:jc w:val="center"/>
            </w:pPr>
            <w:r w:rsidRPr="00930695">
              <w:lastRenderedPageBreak/>
              <w:t>Projekta attiecīgā punkta (panta) galīgā redakcija</w:t>
            </w:r>
          </w:p>
        </w:tc>
      </w:tr>
      <w:tr w:rsidR="005D403F" w14:paraId="4254AEA4" w14:textId="77777777" w:rsidTr="0091003F">
        <w:tc>
          <w:tcPr>
            <w:tcW w:w="675" w:type="dxa"/>
          </w:tcPr>
          <w:p w14:paraId="2DF49046" w14:textId="77777777" w:rsidR="005D403F" w:rsidRDefault="005D403F" w:rsidP="005D403F">
            <w:pPr>
              <w:pStyle w:val="naisf"/>
              <w:spacing w:before="0" w:after="0"/>
              <w:ind w:firstLine="0"/>
              <w:jc w:val="center"/>
            </w:pPr>
            <w:r>
              <w:t>1</w:t>
            </w:r>
          </w:p>
        </w:tc>
        <w:tc>
          <w:tcPr>
            <w:tcW w:w="3119" w:type="dxa"/>
          </w:tcPr>
          <w:p w14:paraId="1A4FA300" w14:textId="77777777" w:rsidR="00AA30C8" w:rsidRDefault="00AA30C8" w:rsidP="00CA0484">
            <w:pPr>
              <w:ind w:firstLine="294"/>
              <w:jc w:val="both"/>
              <w:rPr>
                <w:lang w:eastAsia="ko-KR"/>
              </w:rPr>
            </w:pPr>
          </w:p>
        </w:tc>
        <w:tc>
          <w:tcPr>
            <w:tcW w:w="4678" w:type="dxa"/>
          </w:tcPr>
          <w:p w14:paraId="5D1489C8" w14:textId="313620D5" w:rsidR="003E112E" w:rsidRDefault="005A79C1" w:rsidP="00B14512">
            <w:pPr>
              <w:widowControl w:val="0"/>
              <w:jc w:val="both"/>
            </w:pPr>
            <w:r w:rsidRPr="00BE50D6">
              <w:rPr>
                <w:b/>
              </w:rPr>
              <w:t>Finanšu ministrijas</w:t>
            </w:r>
            <w:r>
              <w:t xml:space="preserve"> </w:t>
            </w:r>
            <w:r w:rsidR="00BE50D6">
              <w:t>2018.gada 20.novembra atzinums Nr.12/A-7/5643:</w:t>
            </w:r>
          </w:p>
          <w:p w14:paraId="724A8C63" w14:textId="7EA5DB5E" w:rsidR="00BE50D6" w:rsidRPr="00B14512" w:rsidRDefault="00BE50D6" w:rsidP="00B14512">
            <w:pPr>
              <w:widowControl w:val="0"/>
              <w:jc w:val="both"/>
            </w:pPr>
            <w:r>
              <w:t xml:space="preserve"> 1. </w:t>
            </w:r>
            <w:r w:rsidRPr="00BE50D6">
              <w:t>Uzskatām, ka nav iespējama sagatavotā rīkojuma projekta izpilde līdz 2018.gada 31.decembrim atbilstoši likuma “Par valsts budžetu 2018.gadam” 56.pantā noteiktajam. Likums “Par valsts budžetu 2018.gadam” ir spēkā līdz 2018.gada 31.decembrim, kā arī 2019.gada valsts budžeta likumprojekts vēl nav pieņemts un ir izstrādes procesā, līdz ar to šobrīd nevar apgalvot, ka 2019.gada budžeta likumā tiks iekļauta līdzvērtīga norma likuma “Par valsts budžetu 2018.gadam” 56.pantā noteiktajam. Attiecīgi lūdzam izvērtēt rīkojuma projekta īstenošanas iespējamību 2018.gadā, nepieciešamības gadījumā precizējot rīkojuma projekta 1.punktu un anotācijas VII sadaļas “Tiesību akta projekta izpildes nodrošināšana un tās ietekme uz institūcijām” 3.punktā “Cita informācija” pirmā rindkopā sniegto informāciju.</w:t>
            </w:r>
          </w:p>
        </w:tc>
        <w:tc>
          <w:tcPr>
            <w:tcW w:w="2722" w:type="dxa"/>
          </w:tcPr>
          <w:p w14:paraId="4F11965E" w14:textId="3C78F1F8" w:rsidR="004021B9" w:rsidRPr="00BE50D6" w:rsidRDefault="00BE50D6" w:rsidP="004021B9">
            <w:pPr>
              <w:pStyle w:val="naisf"/>
              <w:spacing w:before="0" w:after="0"/>
              <w:ind w:firstLine="0"/>
              <w:rPr>
                <w:rFonts w:eastAsia="Calibri"/>
                <w:b/>
                <w:lang w:eastAsia="ko-KR"/>
              </w:rPr>
            </w:pPr>
            <w:r w:rsidRPr="00BE50D6">
              <w:rPr>
                <w:rFonts w:eastAsia="Calibri"/>
                <w:b/>
                <w:lang w:eastAsia="ko-KR"/>
              </w:rPr>
              <w:t>Iebildums ir ņemts vērā.</w:t>
            </w:r>
          </w:p>
        </w:tc>
        <w:tc>
          <w:tcPr>
            <w:tcW w:w="2980" w:type="dxa"/>
          </w:tcPr>
          <w:p w14:paraId="2BB4635D" w14:textId="119278E3" w:rsidR="00AA30C8" w:rsidRPr="00732176" w:rsidRDefault="00BE50D6" w:rsidP="00732176">
            <w:pPr>
              <w:ind w:firstLine="297"/>
              <w:jc w:val="both"/>
              <w:rPr>
                <w:b/>
              </w:rPr>
            </w:pPr>
            <w:r>
              <w:rPr>
                <w:b/>
              </w:rPr>
              <w:t>Rīkojuma projekta virzība ir īstenojama saskaņā ar likuma “Par valsts budžetu 2019.gadam” 42.panta pirmo daļu.</w:t>
            </w:r>
          </w:p>
        </w:tc>
      </w:tr>
      <w:tr w:rsidR="001914B9" w14:paraId="031ABAFE" w14:textId="77777777" w:rsidTr="0091003F">
        <w:tc>
          <w:tcPr>
            <w:tcW w:w="675" w:type="dxa"/>
          </w:tcPr>
          <w:p w14:paraId="45BCAAD6" w14:textId="77777777" w:rsidR="001914B9" w:rsidRDefault="007C24D1" w:rsidP="005D403F">
            <w:pPr>
              <w:pStyle w:val="naisf"/>
              <w:spacing w:before="0" w:after="0"/>
              <w:ind w:firstLine="0"/>
              <w:jc w:val="center"/>
            </w:pPr>
            <w:r>
              <w:t>2.</w:t>
            </w:r>
          </w:p>
        </w:tc>
        <w:tc>
          <w:tcPr>
            <w:tcW w:w="3119" w:type="dxa"/>
          </w:tcPr>
          <w:p w14:paraId="71F2A4BD" w14:textId="77777777" w:rsidR="001914B9" w:rsidRDefault="001914B9" w:rsidP="004021B9">
            <w:pPr>
              <w:jc w:val="both"/>
              <w:rPr>
                <w:szCs w:val="28"/>
              </w:rPr>
            </w:pPr>
          </w:p>
        </w:tc>
        <w:tc>
          <w:tcPr>
            <w:tcW w:w="4678" w:type="dxa"/>
          </w:tcPr>
          <w:p w14:paraId="287C6B79" w14:textId="1DB0BABE" w:rsidR="00BE50D6" w:rsidRDefault="00BE50D6" w:rsidP="00BA5981">
            <w:pPr>
              <w:widowControl w:val="0"/>
              <w:jc w:val="both"/>
            </w:pPr>
            <w:r w:rsidRPr="00BE50D6">
              <w:rPr>
                <w:b/>
              </w:rPr>
              <w:t>Finanšu ministrijas</w:t>
            </w:r>
            <w:r w:rsidRPr="00BE50D6">
              <w:t xml:space="preserve"> 2018.gada 20.novembra atzinum</w:t>
            </w:r>
            <w:r>
              <w:t>s</w:t>
            </w:r>
            <w:r w:rsidRPr="00BE50D6">
              <w:t xml:space="preserve"> Nr.12/A-7/5643:</w:t>
            </w:r>
          </w:p>
          <w:p w14:paraId="0E3C08C4" w14:textId="30863A6E" w:rsidR="001914B9" w:rsidRPr="00BA5981" w:rsidRDefault="00BE50D6" w:rsidP="00BA5981">
            <w:pPr>
              <w:widowControl w:val="0"/>
              <w:jc w:val="both"/>
            </w:pPr>
            <w:r w:rsidRPr="00BE50D6">
              <w:t xml:space="preserve">2. Lūdzam papildināt tīkojuma projektu ar jaunu punktu, kurā tiek noteikts termiņš un kārtība, kādā Satiksmes ministrija nodos pircējiem  nekustamos īpašumus. Rīkojuma projektā ir jāparedz uzdevumu ministrijai nodot pircējiem valsts nekustamos īpašumus </w:t>
            </w:r>
            <w:r w:rsidRPr="00BE50D6">
              <w:lastRenderedPageBreak/>
              <w:t>noteiktā termiņā un kārtībā. Publiskas personas mantas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Termiņu dokumentu nodošanai nekustamā īpašuma pircējam nosaka, izvērtējot nekustamā īpašuma pircēja pienākumu veikt noteiktas darbības noteiktos termiņos, samērīgi ar nekustamā īpašuma pārdevēja pienākumiem. Papildus vēršam uzmanību, ka Ministru kabineta rīkojumos ir jau izstrādāta prakse norādīt termiņu un kārtību, kādā ministrija nodos pircējam nekustamo īpašumu.</w:t>
            </w:r>
          </w:p>
        </w:tc>
        <w:tc>
          <w:tcPr>
            <w:tcW w:w="2722" w:type="dxa"/>
          </w:tcPr>
          <w:p w14:paraId="27FFEECE" w14:textId="77777777" w:rsidR="001914B9" w:rsidRDefault="00B3319E" w:rsidP="001914B9">
            <w:pPr>
              <w:pStyle w:val="naisf"/>
              <w:spacing w:before="0" w:after="0"/>
              <w:ind w:firstLine="0"/>
              <w:rPr>
                <w:rFonts w:eastAsia="Calibri"/>
                <w:b/>
                <w:lang w:eastAsia="en-US"/>
              </w:rPr>
            </w:pPr>
            <w:r>
              <w:rPr>
                <w:rFonts w:eastAsia="Calibri"/>
                <w:b/>
                <w:lang w:eastAsia="en-US"/>
              </w:rPr>
              <w:lastRenderedPageBreak/>
              <w:t>Iebildums ir ņemts vērā.</w:t>
            </w:r>
          </w:p>
          <w:p w14:paraId="3247B2CD" w14:textId="6897044B" w:rsidR="00F12072" w:rsidRPr="00C908F5" w:rsidRDefault="00F12072" w:rsidP="001914B9">
            <w:pPr>
              <w:pStyle w:val="naisf"/>
              <w:spacing w:before="0" w:after="0"/>
              <w:ind w:firstLine="0"/>
              <w:rPr>
                <w:rFonts w:eastAsia="Calibri"/>
                <w:b/>
                <w:lang w:eastAsia="en-US"/>
              </w:rPr>
            </w:pPr>
            <w:r>
              <w:rPr>
                <w:rFonts w:eastAsia="Calibri"/>
                <w:b/>
                <w:lang w:eastAsia="en-US"/>
              </w:rPr>
              <w:t>Attiecīgi papildināts rīkojuma projekts.</w:t>
            </w:r>
          </w:p>
        </w:tc>
        <w:tc>
          <w:tcPr>
            <w:tcW w:w="2980" w:type="dxa"/>
          </w:tcPr>
          <w:p w14:paraId="7AA66BB7" w14:textId="441FF1C7" w:rsidR="00B3319E" w:rsidRDefault="00B3319E" w:rsidP="00B14512">
            <w:pPr>
              <w:ind w:firstLine="297"/>
              <w:jc w:val="both"/>
              <w:rPr>
                <w:b/>
              </w:rPr>
            </w:pPr>
            <w:r>
              <w:rPr>
                <w:b/>
              </w:rPr>
              <w:t>Rīkojuma projekts papildināts ar 3.punktu šādā redakcijā:</w:t>
            </w:r>
          </w:p>
          <w:p w14:paraId="24AFB0B4" w14:textId="7195FCB8" w:rsidR="001914B9" w:rsidRPr="007C24D1" w:rsidRDefault="00B3319E" w:rsidP="00B3319E">
            <w:pPr>
              <w:jc w:val="both"/>
              <w:rPr>
                <w:b/>
              </w:rPr>
            </w:pPr>
            <w:r>
              <w:rPr>
                <w:b/>
              </w:rPr>
              <w:t>“</w:t>
            </w:r>
            <w:r w:rsidRPr="00B3319E">
              <w:rPr>
                <w:b/>
              </w:rPr>
              <w:t xml:space="preserve">3. Šā rīkojuma 1. punktā minētos nekustamos īpašumus Satiksmes ministrijai nodot pircējiem 30 dienu laikā no pirkuma </w:t>
            </w:r>
            <w:r w:rsidRPr="00B3319E">
              <w:rPr>
                <w:b/>
              </w:rPr>
              <w:lastRenderedPageBreak/>
              <w:t>līguma noslēgšanas dienas, sastādot attiecīgu pieņemšanas un nodošanas aktu.</w:t>
            </w:r>
            <w:r>
              <w:rPr>
                <w:b/>
              </w:rPr>
              <w:t>”.</w:t>
            </w:r>
          </w:p>
        </w:tc>
      </w:tr>
      <w:tr w:rsidR="007C24D1" w14:paraId="1E3E5D73" w14:textId="77777777" w:rsidTr="0091003F">
        <w:tc>
          <w:tcPr>
            <w:tcW w:w="675" w:type="dxa"/>
          </w:tcPr>
          <w:p w14:paraId="33844E55" w14:textId="77777777" w:rsidR="007C24D1" w:rsidRDefault="007C24D1" w:rsidP="005D403F">
            <w:pPr>
              <w:pStyle w:val="naisf"/>
              <w:spacing w:before="0" w:after="0"/>
              <w:ind w:firstLine="0"/>
              <w:jc w:val="center"/>
            </w:pPr>
            <w:r>
              <w:lastRenderedPageBreak/>
              <w:t>3.</w:t>
            </w:r>
          </w:p>
        </w:tc>
        <w:tc>
          <w:tcPr>
            <w:tcW w:w="3119" w:type="dxa"/>
          </w:tcPr>
          <w:p w14:paraId="75BDE539" w14:textId="77777777" w:rsidR="007C24D1" w:rsidRDefault="007C24D1" w:rsidP="004021B9">
            <w:pPr>
              <w:jc w:val="both"/>
              <w:rPr>
                <w:szCs w:val="28"/>
              </w:rPr>
            </w:pPr>
          </w:p>
          <w:p w14:paraId="48C73FE8" w14:textId="77777777" w:rsidR="009E765A" w:rsidRDefault="009E765A" w:rsidP="009E765A">
            <w:pPr>
              <w:jc w:val="both"/>
              <w:rPr>
                <w:szCs w:val="28"/>
              </w:rPr>
            </w:pPr>
          </w:p>
        </w:tc>
        <w:tc>
          <w:tcPr>
            <w:tcW w:w="4678" w:type="dxa"/>
          </w:tcPr>
          <w:p w14:paraId="2F4F7B83" w14:textId="77777777" w:rsidR="007C24D1" w:rsidRDefault="002925B6" w:rsidP="00940187">
            <w:pPr>
              <w:widowControl w:val="0"/>
              <w:jc w:val="both"/>
            </w:pPr>
            <w:r w:rsidRPr="002925B6">
              <w:rPr>
                <w:b/>
              </w:rPr>
              <w:t>Finanšu ministrijas</w:t>
            </w:r>
            <w:r w:rsidRPr="002925B6">
              <w:t xml:space="preserve"> 2018.gada 20.novembra atzinums Nr.12/A-7/5643:</w:t>
            </w:r>
          </w:p>
          <w:p w14:paraId="4F3CC66D" w14:textId="77777777" w:rsidR="002925B6" w:rsidRDefault="002925B6" w:rsidP="002925B6">
            <w:pPr>
              <w:widowControl w:val="0"/>
              <w:jc w:val="both"/>
            </w:pPr>
            <w:r>
              <w:t xml:space="preserve">3. Lūdzam precizēt rīkojuma projekta anotācijā informāciju par minēto nekustamo īpašumu valdītāja maiņu. Lūdzam papildināt rīkojuma projektu ar šādu informāciju: </w:t>
            </w:r>
          </w:p>
          <w:p w14:paraId="4D607871" w14:textId="6995121F" w:rsidR="002925B6" w:rsidRPr="00940187" w:rsidRDefault="002925B6" w:rsidP="002925B6">
            <w:pPr>
              <w:widowControl w:val="0"/>
              <w:jc w:val="both"/>
            </w:pPr>
            <w:r>
              <w:t xml:space="preserve">“Valsts akciju sabiedrība “Valsts nekustamie īpašumi” pamatojoties uz Valsts nekustamā īpašuma vienotas apsaimniekošanas koncepcijas (apstiprināta ar Ministru kabineta 2006.gada 9.maija rīkojumu Nr.319 “Par Valsts nekustamā īpašuma vienotas pārvaldīšanas un apsaimniekošanas </w:t>
            </w:r>
            <w:r>
              <w:lastRenderedPageBreak/>
              <w:t>koncepciju”) 8.1.apakšpunktu, ņemot vērā, ka nav zināmas valsts pārvaldes funkcijas, kuru īstenošanai nekustamie īpašumi būtu saglabājami valsts īpašumā, neatbalstīja nekustamo īpašumu pārņemšanu Finanšu ministrijas valdījumā, vienlaikus aicinot izvērtēt nekustamo īpašumu virzīšanu atsavināšanai, nemainot valdītāju, saskaņā ar minētās koncepcijas 8.2.apakšpunktu.“.</w:t>
            </w:r>
          </w:p>
        </w:tc>
        <w:tc>
          <w:tcPr>
            <w:tcW w:w="2722" w:type="dxa"/>
          </w:tcPr>
          <w:p w14:paraId="23D3E236" w14:textId="77777777" w:rsidR="007C24D1" w:rsidRDefault="002925B6" w:rsidP="00640D28">
            <w:pPr>
              <w:pStyle w:val="naisf"/>
              <w:spacing w:before="0" w:after="0"/>
              <w:ind w:firstLine="0"/>
              <w:rPr>
                <w:rFonts w:eastAsia="Calibri"/>
                <w:b/>
                <w:lang w:eastAsia="en-US"/>
              </w:rPr>
            </w:pPr>
            <w:r>
              <w:rPr>
                <w:rFonts w:eastAsia="Calibri"/>
                <w:b/>
                <w:lang w:eastAsia="en-US"/>
              </w:rPr>
              <w:lastRenderedPageBreak/>
              <w:t>Iebildums ir ņemts vērā.</w:t>
            </w:r>
          </w:p>
          <w:p w14:paraId="6445C2A2" w14:textId="56DC4617" w:rsidR="00F12072" w:rsidRDefault="00F12072" w:rsidP="00640D28">
            <w:pPr>
              <w:pStyle w:val="naisf"/>
              <w:spacing w:before="0" w:after="0"/>
              <w:ind w:firstLine="0"/>
              <w:rPr>
                <w:rFonts w:eastAsia="Calibri"/>
                <w:b/>
                <w:lang w:eastAsia="en-US"/>
              </w:rPr>
            </w:pPr>
            <w:r>
              <w:rPr>
                <w:rFonts w:eastAsia="Calibri"/>
                <w:b/>
                <w:lang w:eastAsia="en-US"/>
              </w:rPr>
              <w:t>Attiecīgi papildināta anotācija.</w:t>
            </w:r>
          </w:p>
        </w:tc>
        <w:tc>
          <w:tcPr>
            <w:tcW w:w="2980" w:type="dxa"/>
          </w:tcPr>
          <w:p w14:paraId="5B9B830E" w14:textId="0EBA1B95" w:rsidR="009E765A" w:rsidRDefault="002925B6" w:rsidP="003501C0">
            <w:pPr>
              <w:ind w:right="-7" w:firstLine="297"/>
              <w:jc w:val="both"/>
              <w:rPr>
                <w:rFonts w:eastAsia="Calibri"/>
                <w:b/>
                <w:lang w:eastAsia="en-US"/>
              </w:rPr>
            </w:pPr>
            <w:r>
              <w:rPr>
                <w:rFonts w:eastAsia="Calibri"/>
                <w:b/>
                <w:lang w:eastAsia="en-US"/>
              </w:rPr>
              <w:t>Anotācijas I. sadaļas 2.punkts (</w:t>
            </w:r>
            <w:r w:rsidR="00DA55CF">
              <w:rPr>
                <w:rFonts w:eastAsia="Calibri"/>
                <w:b/>
                <w:lang w:eastAsia="en-US"/>
              </w:rPr>
              <w:t>2</w:t>
            </w:r>
            <w:r>
              <w:rPr>
                <w:rFonts w:eastAsia="Calibri"/>
                <w:b/>
                <w:lang w:eastAsia="en-US"/>
              </w:rPr>
              <w:t xml:space="preserve">.lapa) papildināts ar šādu </w:t>
            </w:r>
            <w:r w:rsidR="00DA55CF">
              <w:rPr>
                <w:rFonts w:eastAsia="Calibri"/>
                <w:b/>
                <w:lang w:eastAsia="en-US"/>
              </w:rPr>
              <w:t>informāciju</w:t>
            </w:r>
            <w:r>
              <w:rPr>
                <w:rFonts w:eastAsia="Calibri"/>
                <w:b/>
                <w:lang w:eastAsia="en-US"/>
              </w:rPr>
              <w:t>:</w:t>
            </w:r>
          </w:p>
          <w:p w14:paraId="661066A3" w14:textId="25302EFD" w:rsidR="002925B6" w:rsidRPr="00EB2FCF" w:rsidRDefault="002925B6" w:rsidP="002925B6">
            <w:pPr>
              <w:ind w:right="-7"/>
              <w:jc w:val="both"/>
              <w:rPr>
                <w:rFonts w:eastAsia="Calibri"/>
                <w:b/>
                <w:lang w:eastAsia="en-US"/>
              </w:rPr>
            </w:pPr>
            <w:r>
              <w:rPr>
                <w:rFonts w:eastAsia="Calibri"/>
                <w:b/>
                <w:lang w:eastAsia="en-US"/>
              </w:rPr>
              <w:t>“</w:t>
            </w:r>
            <w:r w:rsidRPr="002925B6">
              <w:rPr>
                <w:rFonts w:eastAsia="Calibri"/>
                <w:b/>
                <w:lang w:eastAsia="en-US"/>
              </w:rPr>
              <w:t>Valsts akciju sabiedrība “Valsts nekustamie īpašumi”</w:t>
            </w:r>
            <w:r>
              <w:rPr>
                <w:rFonts w:eastAsia="Calibri"/>
                <w:b/>
                <w:lang w:eastAsia="en-US"/>
              </w:rPr>
              <w:t>,</w:t>
            </w:r>
            <w:r w:rsidRPr="002925B6">
              <w:rPr>
                <w:rFonts w:eastAsia="Calibri"/>
                <w:b/>
                <w:lang w:eastAsia="en-US"/>
              </w:rPr>
              <w:t xml:space="preserve"> pamatojoties uz Valsts nekustamā īpašuma vienotas apsaimniekošanas koncepcijas (apstiprināta ar Ministru kabineta 2006.gada 9.maija rīkojumu Nr.319 “Par </w:t>
            </w:r>
            <w:r w:rsidRPr="002925B6">
              <w:rPr>
                <w:rFonts w:eastAsia="Calibri"/>
                <w:b/>
                <w:lang w:eastAsia="en-US"/>
              </w:rPr>
              <w:lastRenderedPageBreak/>
              <w:t>Valsts nekustamā īpašuma vienotas pārvaldīšanas un apsaimniekošanas koncepciju”) 8.1.apakšpunktu, ņemot vērā, ka nav zināmas valsts pārvaldes funkcijas, kuru īstenošanai nekustamie īpašumi būtu saglabājami valsts īpašumā, neatbalstīja nekustamo īpašumu pārņemšanu Finanšu ministrijas valdījumā, vienlaikus aicinot izvērtēt nekustamo īpašumu virzīšanu atsavināšanai, nemainot valdītāju, saskaņā ar minētās koncepcijas 8.2.apakšpunktu</w:t>
            </w:r>
            <w:r>
              <w:rPr>
                <w:rFonts w:eastAsia="Calibri"/>
                <w:b/>
                <w:lang w:eastAsia="en-US"/>
              </w:rPr>
              <w:t>.</w:t>
            </w:r>
          </w:p>
        </w:tc>
      </w:tr>
      <w:tr w:rsidR="00431A7C" w14:paraId="22D3982D" w14:textId="77777777" w:rsidTr="0091003F">
        <w:tc>
          <w:tcPr>
            <w:tcW w:w="675" w:type="dxa"/>
          </w:tcPr>
          <w:p w14:paraId="04DA487E" w14:textId="0189EFA8" w:rsidR="00431A7C" w:rsidRDefault="00431A7C" w:rsidP="005D403F">
            <w:pPr>
              <w:pStyle w:val="naisf"/>
              <w:spacing w:before="0" w:after="0"/>
              <w:ind w:firstLine="0"/>
              <w:jc w:val="center"/>
            </w:pPr>
            <w:r>
              <w:lastRenderedPageBreak/>
              <w:t>4.</w:t>
            </w:r>
          </w:p>
        </w:tc>
        <w:tc>
          <w:tcPr>
            <w:tcW w:w="3119" w:type="dxa"/>
          </w:tcPr>
          <w:p w14:paraId="451BBF1F" w14:textId="77777777" w:rsidR="00431A7C" w:rsidRDefault="00431A7C" w:rsidP="004021B9">
            <w:pPr>
              <w:jc w:val="both"/>
              <w:rPr>
                <w:szCs w:val="28"/>
              </w:rPr>
            </w:pPr>
          </w:p>
        </w:tc>
        <w:tc>
          <w:tcPr>
            <w:tcW w:w="4678" w:type="dxa"/>
          </w:tcPr>
          <w:p w14:paraId="5726BDFF" w14:textId="5D05015E" w:rsidR="002925B6" w:rsidRDefault="002925B6" w:rsidP="002925B6">
            <w:pPr>
              <w:widowControl w:val="0"/>
              <w:jc w:val="both"/>
              <w:rPr>
                <w:rFonts w:eastAsia="Calibri"/>
                <w:lang w:eastAsia="en-US"/>
              </w:rPr>
            </w:pPr>
            <w:r w:rsidRPr="002925B6">
              <w:rPr>
                <w:rFonts w:eastAsia="Calibri"/>
                <w:b/>
                <w:lang w:eastAsia="en-US"/>
              </w:rPr>
              <w:t>Finanšu ministrijas</w:t>
            </w:r>
            <w:r w:rsidRPr="002925B6">
              <w:rPr>
                <w:rFonts w:eastAsia="Calibri"/>
                <w:lang w:eastAsia="en-US"/>
              </w:rPr>
              <w:t xml:space="preserve"> 2018.gada 20.novembra atzinums Nr.12/A-7/5643:</w:t>
            </w:r>
          </w:p>
          <w:p w14:paraId="547FEEB0" w14:textId="691B4B5A" w:rsidR="00431A7C" w:rsidRPr="00431A7C" w:rsidRDefault="002925B6" w:rsidP="002925B6">
            <w:pPr>
              <w:widowControl w:val="0"/>
              <w:jc w:val="both"/>
              <w:rPr>
                <w:rFonts w:eastAsia="Calibri"/>
                <w:lang w:eastAsia="en-US"/>
              </w:rPr>
            </w:pPr>
            <w:r w:rsidRPr="002925B6">
              <w:rPr>
                <w:rFonts w:eastAsia="Calibri"/>
                <w:lang w:eastAsia="en-US"/>
              </w:rPr>
              <w:t xml:space="preserve">4. Lai izslēgtu iespēju, ka rīkojuma projektā iekļautie nekustamie īpašumi ir klasificējami kā zemes </w:t>
            </w:r>
            <w:proofErr w:type="spellStart"/>
            <w:r w:rsidRPr="002925B6">
              <w:rPr>
                <w:rFonts w:eastAsia="Calibri"/>
                <w:lang w:eastAsia="en-US"/>
              </w:rPr>
              <w:t>starpgabali</w:t>
            </w:r>
            <w:proofErr w:type="spellEnd"/>
            <w:r w:rsidRPr="002925B6">
              <w:rPr>
                <w:rFonts w:eastAsia="Calibri"/>
                <w:lang w:eastAsia="en-US"/>
              </w:rPr>
              <w:t xml:space="preserve">, lūdzam rīkojuma projekta anotācijā iekļaut informāciju par minēto zemes vienību atbilstību apbūves zemesgabalam vai zemes </w:t>
            </w:r>
            <w:proofErr w:type="spellStart"/>
            <w:r w:rsidRPr="002925B6">
              <w:rPr>
                <w:rFonts w:eastAsia="Calibri"/>
                <w:lang w:eastAsia="en-US"/>
              </w:rPr>
              <w:t>starpgabalam</w:t>
            </w:r>
            <w:proofErr w:type="spellEnd"/>
            <w:r w:rsidRPr="002925B6">
              <w:rPr>
                <w:rFonts w:eastAsia="Calibri"/>
                <w:lang w:eastAsia="en-US"/>
              </w:rPr>
              <w:t>, vienlaicīgi norādot, vai zemesgabaliem ir nodrošināta piekļuve.</w:t>
            </w:r>
          </w:p>
        </w:tc>
        <w:tc>
          <w:tcPr>
            <w:tcW w:w="2722" w:type="dxa"/>
          </w:tcPr>
          <w:p w14:paraId="66A6F052" w14:textId="77777777" w:rsidR="00431A7C" w:rsidRDefault="00DA55CF" w:rsidP="007C24D1">
            <w:pPr>
              <w:pStyle w:val="naisf"/>
              <w:spacing w:before="0" w:after="0"/>
              <w:ind w:firstLine="0"/>
              <w:rPr>
                <w:rFonts w:eastAsia="Calibri"/>
                <w:b/>
                <w:lang w:eastAsia="en-US"/>
              </w:rPr>
            </w:pPr>
            <w:r>
              <w:rPr>
                <w:rFonts w:eastAsia="Calibri"/>
                <w:b/>
                <w:lang w:eastAsia="en-US"/>
              </w:rPr>
              <w:t>Iebildums ir ņemts vērā.</w:t>
            </w:r>
          </w:p>
          <w:p w14:paraId="4AF4BB64" w14:textId="4C902423" w:rsidR="00F12072" w:rsidRDefault="00F12072" w:rsidP="007C24D1">
            <w:pPr>
              <w:pStyle w:val="naisf"/>
              <w:spacing w:before="0" w:after="0"/>
              <w:ind w:firstLine="0"/>
              <w:rPr>
                <w:rFonts w:eastAsia="Calibri"/>
                <w:b/>
                <w:lang w:eastAsia="en-US"/>
              </w:rPr>
            </w:pPr>
            <w:r>
              <w:rPr>
                <w:rFonts w:eastAsia="Calibri"/>
                <w:b/>
                <w:lang w:eastAsia="en-US"/>
              </w:rPr>
              <w:t>Attiecīgi papildināta anotācija.</w:t>
            </w:r>
          </w:p>
        </w:tc>
        <w:tc>
          <w:tcPr>
            <w:tcW w:w="2980" w:type="dxa"/>
          </w:tcPr>
          <w:p w14:paraId="72E71472" w14:textId="77777777" w:rsidR="00431A7C" w:rsidRDefault="00DA55CF" w:rsidP="00431A7C">
            <w:pPr>
              <w:ind w:right="-7"/>
              <w:jc w:val="both"/>
              <w:rPr>
                <w:b/>
              </w:rPr>
            </w:pPr>
            <w:r w:rsidRPr="00DA55CF">
              <w:rPr>
                <w:b/>
              </w:rPr>
              <w:t>Anotācijas I. sadaļas 2.punkts (1.lapa)</w:t>
            </w:r>
            <w:r>
              <w:rPr>
                <w:b/>
              </w:rPr>
              <w:t xml:space="preserve"> ir papildināts ar šādu informāciju:</w:t>
            </w:r>
          </w:p>
          <w:p w14:paraId="29C5C2EC" w14:textId="3B41F054" w:rsidR="00DA55CF" w:rsidRPr="00DA55CF" w:rsidRDefault="00DA55CF" w:rsidP="00431A7C">
            <w:pPr>
              <w:ind w:right="-7"/>
              <w:jc w:val="both"/>
              <w:rPr>
                <w:b/>
              </w:rPr>
            </w:pPr>
            <w:r>
              <w:rPr>
                <w:b/>
              </w:rPr>
              <w:t>“</w:t>
            </w:r>
            <w:r w:rsidR="00F12072" w:rsidRPr="00F12072">
              <w:rPr>
                <w:b/>
              </w:rPr>
              <w:t xml:space="preserve">Nekustamo īpašumu sastāvā esošās zemes vienības pēc savas lietošanas nozīmes ir klasificējamas kā apbūves zeme. Zemes vienībām ir nodrošināta piekļuve (nekustamam īpašumam </w:t>
            </w:r>
            <w:r w:rsidR="00F12072" w:rsidRPr="00F12072">
              <w:rPr>
                <w:b/>
              </w:rPr>
              <w:lastRenderedPageBreak/>
              <w:t>“Paipalas” – caur servitūta ceļu).  Saskaņā ar faktu par būvju nojaukšanu minētās zemes vienības pašlaik nav apbūvētas. Tās nav nepieciešamas Satiksmes ministrijai funkciju nodrošināšanai.</w:t>
            </w:r>
            <w:r w:rsidR="00F12072">
              <w:rPr>
                <w:b/>
              </w:rPr>
              <w:t>”.</w:t>
            </w:r>
          </w:p>
        </w:tc>
      </w:tr>
      <w:tr w:rsidR="00431A7C" w14:paraId="05898224" w14:textId="77777777" w:rsidTr="0091003F">
        <w:tc>
          <w:tcPr>
            <w:tcW w:w="675" w:type="dxa"/>
          </w:tcPr>
          <w:p w14:paraId="7BAB5B3D" w14:textId="03DC99CF" w:rsidR="00431A7C" w:rsidRDefault="00E41B15" w:rsidP="005D403F">
            <w:pPr>
              <w:pStyle w:val="naisf"/>
              <w:spacing w:before="0" w:after="0"/>
              <w:ind w:firstLine="0"/>
              <w:jc w:val="center"/>
            </w:pPr>
            <w:r>
              <w:lastRenderedPageBreak/>
              <w:t>5.</w:t>
            </w:r>
          </w:p>
        </w:tc>
        <w:tc>
          <w:tcPr>
            <w:tcW w:w="3119" w:type="dxa"/>
          </w:tcPr>
          <w:p w14:paraId="77D81E88" w14:textId="77777777" w:rsidR="00431A7C" w:rsidRDefault="00431A7C" w:rsidP="004021B9">
            <w:pPr>
              <w:jc w:val="both"/>
              <w:rPr>
                <w:szCs w:val="28"/>
              </w:rPr>
            </w:pPr>
          </w:p>
        </w:tc>
        <w:tc>
          <w:tcPr>
            <w:tcW w:w="4678" w:type="dxa"/>
          </w:tcPr>
          <w:p w14:paraId="51516F25" w14:textId="3E3156DF" w:rsidR="00F60F9D" w:rsidRDefault="00F60F9D" w:rsidP="00F60F9D">
            <w:pPr>
              <w:widowControl w:val="0"/>
              <w:jc w:val="both"/>
              <w:rPr>
                <w:rFonts w:eastAsia="Calibri"/>
                <w:lang w:eastAsia="en-US"/>
              </w:rPr>
            </w:pPr>
            <w:r w:rsidRPr="00F60F9D">
              <w:rPr>
                <w:rFonts w:eastAsia="Calibri"/>
                <w:b/>
                <w:lang w:eastAsia="en-US"/>
              </w:rPr>
              <w:t>Finanšu ministrijas</w:t>
            </w:r>
            <w:r w:rsidRPr="00F60F9D">
              <w:rPr>
                <w:rFonts w:eastAsia="Calibri"/>
                <w:lang w:eastAsia="en-US"/>
              </w:rPr>
              <w:t xml:space="preserve"> 2018.gada 20.novembra atzinums Nr.12/A-7/5643:</w:t>
            </w:r>
          </w:p>
          <w:p w14:paraId="39182C7C" w14:textId="7F50942D" w:rsidR="00431A7C" w:rsidRPr="00E41B15" w:rsidRDefault="00F60F9D" w:rsidP="00F60F9D">
            <w:pPr>
              <w:widowControl w:val="0"/>
              <w:jc w:val="both"/>
              <w:rPr>
                <w:rFonts w:eastAsia="Calibri"/>
                <w:lang w:eastAsia="en-US"/>
              </w:rPr>
            </w:pPr>
            <w:r w:rsidRPr="00F60F9D">
              <w:rPr>
                <w:rFonts w:eastAsia="Calibri"/>
                <w:lang w:eastAsia="en-US"/>
              </w:rPr>
              <w:t>5. Lūdzam rīkojuma projekta anotācijā norādīt, ka, atsavinot projektā iekļauto valsts nekustamo īpašumu Viestura ielā 18C, Gulbenē, Gulbenes novadā, jāņem vērā likumā “Par zemes reformu Latvijas Republikas pilsētās” noteiktie ierobežojumi darījumiem ar zemes īpašumiem.</w:t>
            </w:r>
          </w:p>
        </w:tc>
        <w:tc>
          <w:tcPr>
            <w:tcW w:w="2722" w:type="dxa"/>
          </w:tcPr>
          <w:p w14:paraId="6F6F6C3B" w14:textId="3939CEDD" w:rsidR="00431A7C" w:rsidRDefault="00F12072" w:rsidP="00E41B15">
            <w:pPr>
              <w:pStyle w:val="naisf"/>
              <w:spacing w:before="0" w:after="0"/>
              <w:ind w:firstLine="0"/>
              <w:rPr>
                <w:rFonts w:eastAsia="Calibri"/>
                <w:b/>
                <w:lang w:eastAsia="en-US"/>
              </w:rPr>
            </w:pPr>
            <w:r>
              <w:rPr>
                <w:rFonts w:eastAsia="Calibri"/>
                <w:b/>
                <w:lang w:eastAsia="en-US"/>
              </w:rPr>
              <w:t>Iebildums ir ņemts vērā. Attiecīgi precizēta anotācija.</w:t>
            </w:r>
          </w:p>
        </w:tc>
        <w:tc>
          <w:tcPr>
            <w:tcW w:w="2980" w:type="dxa"/>
          </w:tcPr>
          <w:p w14:paraId="2459830D" w14:textId="6CE9D2B2" w:rsidR="00F60F9D" w:rsidRDefault="00F60F9D" w:rsidP="007F7190">
            <w:pPr>
              <w:jc w:val="both"/>
              <w:rPr>
                <w:b/>
              </w:rPr>
            </w:pPr>
            <w:r w:rsidRPr="00F60F9D">
              <w:rPr>
                <w:b/>
              </w:rPr>
              <w:t>Anotācijas I. sadaļas 2.punkt</w:t>
            </w:r>
            <w:r>
              <w:rPr>
                <w:b/>
              </w:rPr>
              <w:t>a</w:t>
            </w:r>
            <w:r w:rsidRPr="00F60F9D">
              <w:rPr>
                <w:b/>
              </w:rPr>
              <w:t xml:space="preserve"> (</w:t>
            </w:r>
            <w:r>
              <w:rPr>
                <w:b/>
              </w:rPr>
              <w:t>3</w:t>
            </w:r>
            <w:r w:rsidRPr="00F60F9D">
              <w:rPr>
                <w:b/>
              </w:rPr>
              <w:t xml:space="preserve">.lapa) </w:t>
            </w:r>
            <w:r>
              <w:rPr>
                <w:b/>
              </w:rPr>
              <w:t xml:space="preserve">pēdējā rindkopa </w:t>
            </w:r>
            <w:r w:rsidRPr="00F60F9D">
              <w:rPr>
                <w:b/>
              </w:rPr>
              <w:t xml:space="preserve">ir </w:t>
            </w:r>
            <w:r>
              <w:rPr>
                <w:b/>
              </w:rPr>
              <w:t>precizēta sekojoši</w:t>
            </w:r>
            <w:r w:rsidRPr="00F60F9D">
              <w:rPr>
                <w:b/>
              </w:rPr>
              <w:t>:</w:t>
            </w:r>
          </w:p>
          <w:p w14:paraId="209815D0" w14:textId="4BD9D135" w:rsidR="00431A7C" w:rsidRPr="007F7190" w:rsidRDefault="00F60F9D" w:rsidP="007F7190">
            <w:pPr>
              <w:jc w:val="both"/>
              <w:rPr>
                <w:b/>
              </w:rPr>
            </w:pPr>
            <w:r>
              <w:rPr>
                <w:b/>
              </w:rPr>
              <w:t>“</w:t>
            </w:r>
            <w:r w:rsidRPr="00F60F9D">
              <w:rPr>
                <w:b/>
              </w:rPr>
              <w:t>Nekustamie īpašumi tiks atsavināti izsoles kārtībā, ievērojot  likumā “Par zemes privatizāciju lauku apvidos” un likumā “Par zemes reformu Latvijas Republikas pilsētās” noteiktos ierobežojumus darījumiem ar zemes īpašumiem un Publiskas personas mantas atsavināšanas likuma regulējumu.</w:t>
            </w:r>
            <w:r>
              <w:rPr>
                <w:b/>
              </w:rPr>
              <w:t>”.</w:t>
            </w:r>
          </w:p>
        </w:tc>
      </w:tr>
    </w:tbl>
    <w:p w14:paraId="53C4EB95" w14:textId="77777777" w:rsidR="000A531F" w:rsidRPr="00EA0FF1" w:rsidRDefault="000A531F" w:rsidP="000A531F">
      <w:pPr>
        <w:jc w:val="both"/>
      </w:pPr>
      <w:r w:rsidRPr="00EA0FF1">
        <w:t>Atbildīgā amatpersona __________________________________________</w:t>
      </w:r>
    </w:p>
    <w:p w14:paraId="448E9A74" w14:textId="77777777" w:rsidR="000A531F" w:rsidRPr="00EA0FF1" w:rsidRDefault="001B0C1E" w:rsidP="000A531F">
      <w:pPr>
        <w:jc w:val="both"/>
      </w:pPr>
      <w:r w:rsidRPr="00EA0FF1">
        <w:t>Sandra Siliņa</w:t>
      </w:r>
      <w:r w:rsidR="000A531F" w:rsidRPr="00EA0FF1">
        <w:t>, Satiksmes ministrijas Juridiskā departamenta</w:t>
      </w:r>
    </w:p>
    <w:p w14:paraId="2DC8407D" w14:textId="77777777" w:rsidR="000A531F" w:rsidRPr="00EA0FF1" w:rsidRDefault="000A531F" w:rsidP="000A531F">
      <w:pPr>
        <w:jc w:val="both"/>
      </w:pPr>
      <w:r w:rsidRPr="00EA0FF1">
        <w:t>Nekustamo īpašumu nodaļas vecākā referente</w:t>
      </w:r>
    </w:p>
    <w:p w14:paraId="765EC7E9" w14:textId="77777777" w:rsidR="000A531F" w:rsidRPr="00EA0FF1" w:rsidRDefault="001B0C1E" w:rsidP="000A531F">
      <w:pPr>
        <w:jc w:val="both"/>
      </w:pPr>
      <w:r w:rsidRPr="00EA0FF1">
        <w:t>Tālr.67028031</w:t>
      </w:r>
      <w:r w:rsidR="000A531F" w:rsidRPr="00EA0FF1">
        <w:t xml:space="preserve">, e-pasts: </w:t>
      </w:r>
      <w:r w:rsidRPr="00EA0FF1">
        <w:t>sandra.silina</w:t>
      </w:r>
      <w:r w:rsidR="000A531F" w:rsidRPr="00EA0FF1">
        <w:t xml:space="preserve">@sam.gov.lv </w:t>
      </w:r>
    </w:p>
    <w:p w14:paraId="2D2820F1" w14:textId="77777777" w:rsidR="005F3723" w:rsidRDefault="005F3723"/>
    <w:sectPr w:rsidR="005F3723" w:rsidSect="002A4998">
      <w:headerReference w:type="even" r:id="rId7"/>
      <w:headerReference w:type="default" r:id="rId8"/>
      <w:footerReference w:type="default" r:id="rId9"/>
      <w:footerReference w:type="first" r:id="rId10"/>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6C5C" w14:textId="7431F87B" w:rsidR="00FC51C5" w:rsidRPr="00FC51C5" w:rsidRDefault="008D3595" w:rsidP="00FC51C5">
    <w:pPr>
      <w:jc w:val="both"/>
      <w:rPr>
        <w:bCs/>
        <w:sz w:val="20"/>
        <w:szCs w:val="20"/>
        <w:lang w:eastAsia="ko-KR"/>
      </w:rPr>
    </w:pPr>
    <w:r>
      <w:rPr>
        <w:sz w:val="20"/>
        <w:szCs w:val="20"/>
      </w:rPr>
      <w:t>SMi</w:t>
    </w:r>
    <w:r w:rsidR="00AA30C8">
      <w:rPr>
        <w:sz w:val="20"/>
        <w:szCs w:val="20"/>
      </w:rPr>
      <w:t>zz_</w:t>
    </w:r>
    <w:r w:rsidR="005A79C1">
      <w:rPr>
        <w:sz w:val="20"/>
        <w:szCs w:val="20"/>
      </w:rPr>
      <w:t>150519</w:t>
    </w:r>
    <w:r w:rsidR="005F437F">
      <w:rPr>
        <w:sz w:val="20"/>
        <w:szCs w:val="20"/>
      </w:rPr>
      <w:t>_</w:t>
    </w:r>
    <w:r w:rsidR="00290A24">
      <w:rPr>
        <w:sz w:val="20"/>
        <w:szCs w:val="20"/>
      </w:rPr>
      <w:t>VSS</w:t>
    </w:r>
    <w:r w:rsidR="005A79C1">
      <w:rPr>
        <w:sz w:val="20"/>
        <w:szCs w:val="20"/>
      </w:rPr>
      <w:t>1112</w:t>
    </w:r>
  </w:p>
  <w:p w14:paraId="0E9B010F" w14:textId="77777777" w:rsidR="00013AD7" w:rsidRPr="00570BB9" w:rsidRDefault="003D51E1"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BE9" w14:textId="6F810CBD" w:rsidR="00EA4FB1" w:rsidRPr="00FC51C5" w:rsidRDefault="008D3595" w:rsidP="00EA4FB1">
    <w:pPr>
      <w:jc w:val="both"/>
      <w:rPr>
        <w:bCs/>
        <w:sz w:val="20"/>
        <w:szCs w:val="20"/>
        <w:lang w:eastAsia="ko-KR"/>
      </w:rPr>
    </w:pPr>
    <w:r>
      <w:rPr>
        <w:sz w:val="20"/>
        <w:szCs w:val="20"/>
      </w:rPr>
      <w:t>SMi</w:t>
    </w:r>
    <w:r w:rsidR="00E9372F">
      <w:rPr>
        <w:sz w:val="20"/>
        <w:szCs w:val="20"/>
      </w:rPr>
      <w:t>zz_</w:t>
    </w:r>
    <w:r w:rsidR="005A79C1">
      <w:rPr>
        <w:sz w:val="20"/>
        <w:szCs w:val="20"/>
      </w:rPr>
      <w:t>150519</w:t>
    </w:r>
    <w:r w:rsidR="005F437F">
      <w:rPr>
        <w:sz w:val="20"/>
        <w:szCs w:val="20"/>
      </w:rPr>
      <w:t>_</w:t>
    </w:r>
    <w:r w:rsidR="00E15A76">
      <w:rPr>
        <w:sz w:val="20"/>
        <w:szCs w:val="20"/>
      </w:rPr>
      <w:t>VSS</w:t>
    </w:r>
    <w:r w:rsidR="005A79C1">
      <w:rPr>
        <w:sz w:val="20"/>
        <w:szCs w:val="20"/>
      </w:rPr>
      <w:t>1112</w:t>
    </w:r>
  </w:p>
  <w:p w14:paraId="71D70F49" w14:textId="77777777" w:rsidR="00E65AF3" w:rsidRPr="00E15A76" w:rsidRDefault="00E65AF3" w:rsidP="00E65AF3">
    <w:pPr>
      <w:jc w:val="both"/>
      <w:rPr>
        <w:bCs/>
        <w:sz w:val="20"/>
        <w:szCs w:val="20"/>
      </w:rPr>
    </w:pPr>
  </w:p>
  <w:p w14:paraId="627254F6" w14:textId="77777777" w:rsidR="00013AD7" w:rsidRPr="0022701B" w:rsidRDefault="003D51E1"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6F82" w14:textId="77777777" w:rsidR="00013AD7" w:rsidRDefault="00DF3EEC" w:rsidP="002157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E08C59" w14:textId="77777777" w:rsidR="00013AD7" w:rsidRDefault="003D5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703AE" w14:textId="77777777" w:rsidR="00013AD7" w:rsidRDefault="00DF3EEC" w:rsidP="00052A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14:paraId="1394E0E9" w14:textId="77777777" w:rsidR="00013AD7" w:rsidRDefault="003D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36659"/>
    <w:rsid w:val="00054FE8"/>
    <w:rsid w:val="000A39DD"/>
    <w:rsid w:val="000A531F"/>
    <w:rsid w:val="00120A54"/>
    <w:rsid w:val="0013486B"/>
    <w:rsid w:val="001616A0"/>
    <w:rsid w:val="00161C98"/>
    <w:rsid w:val="00185895"/>
    <w:rsid w:val="001914B9"/>
    <w:rsid w:val="001B0C1E"/>
    <w:rsid w:val="001B4F15"/>
    <w:rsid w:val="001E1A14"/>
    <w:rsid w:val="001F380D"/>
    <w:rsid w:val="001F5E0D"/>
    <w:rsid w:val="00212D1C"/>
    <w:rsid w:val="00251198"/>
    <w:rsid w:val="00264C2F"/>
    <w:rsid w:val="00270D5D"/>
    <w:rsid w:val="002710B5"/>
    <w:rsid w:val="00283C11"/>
    <w:rsid w:val="00290A24"/>
    <w:rsid w:val="002925B6"/>
    <w:rsid w:val="002D7A98"/>
    <w:rsid w:val="00302611"/>
    <w:rsid w:val="00326543"/>
    <w:rsid w:val="003501C0"/>
    <w:rsid w:val="003C1E3D"/>
    <w:rsid w:val="003D2373"/>
    <w:rsid w:val="003D51E1"/>
    <w:rsid w:val="003E112E"/>
    <w:rsid w:val="004021B9"/>
    <w:rsid w:val="00405454"/>
    <w:rsid w:val="004227B4"/>
    <w:rsid w:val="00431A7C"/>
    <w:rsid w:val="004401DB"/>
    <w:rsid w:val="00457251"/>
    <w:rsid w:val="00474825"/>
    <w:rsid w:val="00483870"/>
    <w:rsid w:val="00485BEE"/>
    <w:rsid w:val="00486CEF"/>
    <w:rsid w:val="004911C0"/>
    <w:rsid w:val="004A3325"/>
    <w:rsid w:val="004F65A9"/>
    <w:rsid w:val="005023AC"/>
    <w:rsid w:val="00511A74"/>
    <w:rsid w:val="00517539"/>
    <w:rsid w:val="00523477"/>
    <w:rsid w:val="0053729A"/>
    <w:rsid w:val="00546049"/>
    <w:rsid w:val="005617F5"/>
    <w:rsid w:val="00562EF2"/>
    <w:rsid w:val="0057339C"/>
    <w:rsid w:val="00580CD2"/>
    <w:rsid w:val="005A5CE7"/>
    <w:rsid w:val="005A79C1"/>
    <w:rsid w:val="005B5C10"/>
    <w:rsid w:val="005C28F5"/>
    <w:rsid w:val="005D403F"/>
    <w:rsid w:val="005F3723"/>
    <w:rsid w:val="005F437F"/>
    <w:rsid w:val="005F4B79"/>
    <w:rsid w:val="00602FC3"/>
    <w:rsid w:val="00606571"/>
    <w:rsid w:val="00640D28"/>
    <w:rsid w:val="006523CA"/>
    <w:rsid w:val="006854E4"/>
    <w:rsid w:val="00693260"/>
    <w:rsid w:val="006B04E7"/>
    <w:rsid w:val="006C196E"/>
    <w:rsid w:val="006C703C"/>
    <w:rsid w:val="006D534A"/>
    <w:rsid w:val="00705DBC"/>
    <w:rsid w:val="007210AF"/>
    <w:rsid w:val="0072704D"/>
    <w:rsid w:val="00732176"/>
    <w:rsid w:val="00770AD8"/>
    <w:rsid w:val="00783E6E"/>
    <w:rsid w:val="007A38FD"/>
    <w:rsid w:val="007B0C72"/>
    <w:rsid w:val="007C24D1"/>
    <w:rsid w:val="007D3819"/>
    <w:rsid w:val="007F39E0"/>
    <w:rsid w:val="007F5214"/>
    <w:rsid w:val="007F7190"/>
    <w:rsid w:val="00840AC1"/>
    <w:rsid w:val="008454B7"/>
    <w:rsid w:val="00845C31"/>
    <w:rsid w:val="00857BEB"/>
    <w:rsid w:val="008655DA"/>
    <w:rsid w:val="00887A13"/>
    <w:rsid w:val="008973CB"/>
    <w:rsid w:val="008A31F7"/>
    <w:rsid w:val="008A3BA3"/>
    <w:rsid w:val="008B1CF5"/>
    <w:rsid w:val="008C2198"/>
    <w:rsid w:val="008C7596"/>
    <w:rsid w:val="008D3595"/>
    <w:rsid w:val="008D74D3"/>
    <w:rsid w:val="008D7795"/>
    <w:rsid w:val="008E5699"/>
    <w:rsid w:val="0090000D"/>
    <w:rsid w:val="00906110"/>
    <w:rsid w:val="0091003F"/>
    <w:rsid w:val="00930695"/>
    <w:rsid w:val="00940187"/>
    <w:rsid w:val="0094059F"/>
    <w:rsid w:val="009637BC"/>
    <w:rsid w:val="009702A1"/>
    <w:rsid w:val="00971B02"/>
    <w:rsid w:val="00974FA1"/>
    <w:rsid w:val="00977DFB"/>
    <w:rsid w:val="009D0DE2"/>
    <w:rsid w:val="009D6B36"/>
    <w:rsid w:val="009E765A"/>
    <w:rsid w:val="00A34347"/>
    <w:rsid w:val="00A36F3C"/>
    <w:rsid w:val="00A67E47"/>
    <w:rsid w:val="00A91A94"/>
    <w:rsid w:val="00AA30C8"/>
    <w:rsid w:val="00AA4796"/>
    <w:rsid w:val="00AA6CE9"/>
    <w:rsid w:val="00AB2D31"/>
    <w:rsid w:val="00AC59EC"/>
    <w:rsid w:val="00AD080E"/>
    <w:rsid w:val="00AD3972"/>
    <w:rsid w:val="00AF7C82"/>
    <w:rsid w:val="00B13F24"/>
    <w:rsid w:val="00B14512"/>
    <w:rsid w:val="00B3319E"/>
    <w:rsid w:val="00B44F89"/>
    <w:rsid w:val="00B641E0"/>
    <w:rsid w:val="00B65773"/>
    <w:rsid w:val="00B87422"/>
    <w:rsid w:val="00B93C32"/>
    <w:rsid w:val="00B95E1C"/>
    <w:rsid w:val="00BA5981"/>
    <w:rsid w:val="00BA5B5C"/>
    <w:rsid w:val="00BB5CE6"/>
    <w:rsid w:val="00BC0E1F"/>
    <w:rsid w:val="00BE50D6"/>
    <w:rsid w:val="00BF56C6"/>
    <w:rsid w:val="00C24317"/>
    <w:rsid w:val="00C319A3"/>
    <w:rsid w:val="00C73711"/>
    <w:rsid w:val="00C759D4"/>
    <w:rsid w:val="00C80A32"/>
    <w:rsid w:val="00C908F5"/>
    <w:rsid w:val="00CA0484"/>
    <w:rsid w:val="00CA590E"/>
    <w:rsid w:val="00CD3D34"/>
    <w:rsid w:val="00CD59D2"/>
    <w:rsid w:val="00CF228A"/>
    <w:rsid w:val="00D56DC4"/>
    <w:rsid w:val="00D66F4C"/>
    <w:rsid w:val="00D84BD2"/>
    <w:rsid w:val="00DA2FA4"/>
    <w:rsid w:val="00DA55CF"/>
    <w:rsid w:val="00DA5A2A"/>
    <w:rsid w:val="00DC28A7"/>
    <w:rsid w:val="00DF3EEC"/>
    <w:rsid w:val="00DF59E7"/>
    <w:rsid w:val="00DF5CFC"/>
    <w:rsid w:val="00E15A76"/>
    <w:rsid w:val="00E41B15"/>
    <w:rsid w:val="00E51EB0"/>
    <w:rsid w:val="00E65AF3"/>
    <w:rsid w:val="00E90C3C"/>
    <w:rsid w:val="00E9372F"/>
    <w:rsid w:val="00E97C36"/>
    <w:rsid w:val="00EA0FF1"/>
    <w:rsid w:val="00EA19C2"/>
    <w:rsid w:val="00EA35D7"/>
    <w:rsid w:val="00EA4FB1"/>
    <w:rsid w:val="00EA5070"/>
    <w:rsid w:val="00EA671E"/>
    <w:rsid w:val="00EB2FCF"/>
    <w:rsid w:val="00ED020A"/>
    <w:rsid w:val="00EF21E1"/>
    <w:rsid w:val="00F07B97"/>
    <w:rsid w:val="00F12072"/>
    <w:rsid w:val="00F60F9D"/>
    <w:rsid w:val="00F62623"/>
    <w:rsid w:val="00F77C0F"/>
    <w:rsid w:val="00FC51C5"/>
    <w:rsid w:val="00FF2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4824</Words>
  <Characters>2750</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Par valstij piederošā valsts vietējā autoceļa V46 "Ādaži–Garkalne" posma 7,9. – 8,5. km nodošanu Garkalnes novada pašvaldības īpašumā</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creator>Sandra.Silina@sam.gov.lv;Satiksmes ministrijas Juridiskā departamenta Nekustamo īpašumu nodaļas vecākā referente;tālr. 67028031</dc:creator>
  <cp:keywords>Ministru kabineta rīkojuma projekts</cp:keywords>
  <dc:description>sandra.silina@sam.gov.lv, 67028031</dc:description>
  <cp:lastModifiedBy>Sandra Siliņa</cp:lastModifiedBy>
  <cp:revision>5</cp:revision>
  <cp:lastPrinted>2019-05-21T13:22:00Z</cp:lastPrinted>
  <dcterms:created xsi:type="dcterms:W3CDTF">2019-05-14T12:58:00Z</dcterms:created>
  <dcterms:modified xsi:type="dcterms:W3CDTF">2019-05-21T13:27:00Z</dcterms:modified>
</cp:coreProperties>
</file>