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85E6" w14:textId="77777777" w:rsidR="00C44C1B" w:rsidRPr="001B403B" w:rsidRDefault="00C44C1B" w:rsidP="00C44C1B">
      <w:pPr>
        <w:jc w:val="center"/>
        <w:rPr>
          <w:b/>
          <w:sz w:val="28"/>
          <w:szCs w:val="28"/>
        </w:rPr>
      </w:pPr>
      <w:r w:rsidRPr="001B403B">
        <w:rPr>
          <w:b/>
          <w:sz w:val="28"/>
          <w:szCs w:val="28"/>
        </w:rPr>
        <w:t>Informatīvais ziņojums</w:t>
      </w:r>
    </w:p>
    <w:p w14:paraId="0AB07631" w14:textId="77777777" w:rsidR="00C44C1B" w:rsidRPr="001B403B" w:rsidRDefault="00C44C1B" w:rsidP="00C44C1B">
      <w:pPr>
        <w:jc w:val="center"/>
        <w:rPr>
          <w:sz w:val="26"/>
          <w:szCs w:val="26"/>
        </w:rPr>
      </w:pPr>
      <w:r w:rsidRPr="001B403B">
        <w:rPr>
          <w:b/>
          <w:sz w:val="28"/>
          <w:szCs w:val="28"/>
        </w:rPr>
        <w:t xml:space="preserve">„Par jauno elektrovilcienu </w:t>
      </w:r>
      <w:r w:rsidR="00BE284A">
        <w:rPr>
          <w:b/>
          <w:sz w:val="28"/>
          <w:szCs w:val="28"/>
        </w:rPr>
        <w:t>projektu</w:t>
      </w:r>
      <w:r w:rsidRPr="001B403B">
        <w:rPr>
          <w:b/>
          <w:sz w:val="28"/>
          <w:szCs w:val="28"/>
        </w:rPr>
        <w:t>”</w:t>
      </w:r>
    </w:p>
    <w:p w14:paraId="2EB2DAAB" w14:textId="77777777" w:rsidR="00C44C1B" w:rsidRPr="001B403B" w:rsidRDefault="00C44C1B" w:rsidP="00C44C1B">
      <w:pPr>
        <w:pStyle w:val="Normal1"/>
        <w:spacing w:before="120" w:beforeAutospacing="0" w:after="0" w:afterAutospacing="0"/>
        <w:ind w:firstLine="720"/>
        <w:jc w:val="both"/>
        <w:rPr>
          <w:sz w:val="28"/>
          <w:szCs w:val="28"/>
        </w:rPr>
      </w:pPr>
    </w:p>
    <w:p w14:paraId="1E7B93B0" w14:textId="77777777" w:rsidR="00C44C1B" w:rsidRPr="001B403B" w:rsidRDefault="00C44C1B" w:rsidP="00C44C1B">
      <w:pPr>
        <w:pStyle w:val="Normal1"/>
        <w:spacing w:before="0" w:beforeAutospacing="0" w:after="0" w:afterAutospacing="0"/>
        <w:ind w:firstLine="720"/>
        <w:jc w:val="both"/>
        <w:rPr>
          <w:sz w:val="28"/>
          <w:szCs w:val="28"/>
        </w:rPr>
      </w:pPr>
      <w:r w:rsidRPr="001B403B">
        <w:rPr>
          <w:sz w:val="28"/>
          <w:szCs w:val="28"/>
        </w:rPr>
        <w:t>AS “Pasažieru vilciens” (turpmāk – PV) nodrošina sabiedriskos pasažieru pārvadājumus pa dzelzceļu, pamatojoties uz 2008. gada 19. decembra Līgumu ar VSIA “Autotransporta direkcija” (turpmāk – ATD) par sabiedriskā transporta pakalpojumu sniegšanu reģionālos starppilsētu nozīmes maršrutos pa dzelzceļu Nr. ATD/ST-2008/04/PV26108 (turpmāk – Pārvadājumu pasūtījuma līgums).</w:t>
      </w:r>
    </w:p>
    <w:p w14:paraId="05DD77F2" w14:textId="77777777" w:rsidR="00C44C1B" w:rsidRPr="001B403B" w:rsidRDefault="0083004D" w:rsidP="00C44C1B">
      <w:pPr>
        <w:pStyle w:val="Normal1"/>
        <w:spacing w:before="0" w:beforeAutospacing="0" w:after="0" w:afterAutospacing="0"/>
        <w:ind w:firstLine="720"/>
        <w:jc w:val="both"/>
        <w:rPr>
          <w:sz w:val="28"/>
          <w:szCs w:val="28"/>
        </w:rPr>
      </w:pPr>
      <w:r w:rsidRPr="0083004D">
        <w:rPr>
          <w:sz w:val="28"/>
          <w:szCs w:val="28"/>
        </w:rPr>
        <w:t xml:space="preserve">Ir noslēdzies jauno elektrovilcienu iegādes iepirkums, kurš iepriekš dažādu iemeslu dēļ </w:t>
      </w:r>
      <w:r w:rsidR="00AC79C4">
        <w:rPr>
          <w:sz w:val="28"/>
          <w:szCs w:val="28"/>
        </w:rPr>
        <w:t>ir ticis pārtraukts</w:t>
      </w:r>
      <w:r w:rsidRPr="0083004D">
        <w:rPr>
          <w:sz w:val="28"/>
          <w:szCs w:val="28"/>
        </w:rPr>
        <w:t>, kā rezultātā ilgstoši Latvij</w:t>
      </w:r>
      <w:r w:rsidR="008D1DD4">
        <w:rPr>
          <w:sz w:val="28"/>
          <w:szCs w:val="28"/>
        </w:rPr>
        <w:t>ā</w:t>
      </w:r>
      <w:r w:rsidRPr="0083004D">
        <w:rPr>
          <w:sz w:val="28"/>
          <w:szCs w:val="28"/>
        </w:rPr>
        <w:t xml:space="preserve"> netiek nodrošināti komfortabli</w:t>
      </w:r>
      <w:r w:rsidR="00AC79C4">
        <w:rPr>
          <w:sz w:val="28"/>
          <w:szCs w:val="28"/>
        </w:rPr>
        <w:t xml:space="preserve"> un</w:t>
      </w:r>
      <w:r w:rsidRPr="0083004D">
        <w:rPr>
          <w:sz w:val="28"/>
          <w:szCs w:val="28"/>
        </w:rPr>
        <w:t xml:space="preserve"> mūsdienīgi pasažieru pārvadājumi pa dzelzceļu</w:t>
      </w:r>
      <w:r w:rsidR="00C44C1B" w:rsidRPr="001B403B">
        <w:rPr>
          <w:sz w:val="28"/>
          <w:szCs w:val="28"/>
        </w:rPr>
        <w:t>. Šobrīd ir atlicis tikai viens solis (finansējuma nodrošināšana), lai atjaunotu elektrovilcienu ritošo sastāvu un nodrošinātu atbilstošu un mūsdienīgu pakalpojumu.</w:t>
      </w:r>
    </w:p>
    <w:p w14:paraId="1C4F2A73" w14:textId="77777777" w:rsidR="00C44C1B" w:rsidRPr="001B403B" w:rsidRDefault="00C44C1B" w:rsidP="00C44C1B">
      <w:pPr>
        <w:pStyle w:val="Normal1"/>
        <w:spacing w:before="0" w:beforeAutospacing="0" w:after="0" w:afterAutospacing="0"/>
        <w:ind w:firstLine="720"/>
        <w:jc w:val="both"/>
        <w:rPr>
          <w:sz w:val="28"/>
          <w:szCs w:val="28"/>
        </w:rPr>
      </w:pPr>
      <w:r w:rsidRPr="001B403B">
        <w:rPr>
          <w:sz w:val="28"/>
          <w:szCs w:val="28"/>
        </w:rPr>
        <w:t>Latvijas Nacionālaj</w:t>
      </w:r>
      <w:r w:rsidR="00AC79C4">
        <w:rPr>
          <w:sz w:val="28"/>
          <w:szCs w:val="28"/>
        </w:rPr>
        <w:t>ā</w:t>
      </w:r>
      <w:r w:rsidRPr="001B403B">
        <w:rPr>
          <w:sz w:val="28"/>
          <w:szCs w:val="28"/>
        </w:rPr>
        <w:t xml:space="preserve"> attīstības plānā 2014.-2020. gadam noteiktais transporta politikas mērķis ir konkurētspējīga, ilgtspējīga, </w:t>
      </w:r>
      <w:proofErr w:type="spellStart"/>
      <w:r w:rsidRPr="001B403B">
        <w:rPr>
          <w:sz w:val="28"/>
          <w:szCs w:val="28"/>
        </w:rPr>
        <w:t>komodāla</w:t>
      </w:r>
      <w:proofErr w:type="spellEnd"/>
      <w:r w:rsidRPr="001B403B">
        <w:rPr>
          <w:sz w:val="28"/>
          <w:szCs w:val="28"/>
        </w:rPr>
        <w:t xml:space="preserve"> transporta sistēma, kas nodrošina augstas kvalitātes mobilitāti, efektīvi izmantojot resursus, t.sk. Eiropas Savienības struktūrfondus. Viens no ilgtspējīgas transporta sistēmas vīzijas pamatelementiem ir kvalitatīva transporta infrastruktūra (labi ceļi, </w:t>
      </w:r>
      <w:r w:rsidRPr="001B403B">
        <w:rPr>
          <w:bCs/>
          <w:sz w:val="28"/>
          <w:szCs w:val="28"/>
        </w:rPr>
        <w:t>elektrificēts dzelzceļš,</w:t>
      </w:r>
      <w:r w:rsidRPr="001B403B">
        <w:rPr>
          <w:sz w:val="28"/>
          <w:szCs w:val="28"/>
        </w:rPr>
        <w:t xml:space="preserve"> ērta TEN-T sasaiste ar pilsētām, lidosta „Rīga” kā centrālais gaisa satiksmes centrs reģionā). </w:t>
      </w:r>
    </w:p>
    <w:p w14:paraId="241C45B6" w14:textId="7AB434FA" w:rsidR="00C44C1B" w:rsidRPr="001B403B" w:rsidRDefault="00C44C1B" w:rsidP="00C44C1B">
      <w:pPr>
        <w:ind w:firstLine="720"/>
        <w:jc w:val="both"/>
        <w:rPr>
          <w:sz w:val="28"/>
          <w:szCs w:val="28"/>
        </w:rPr>
      </w:pPr>
      <w:r w:rsidRPr="001B403B">
        <w:rPr>
          <w:sz w:val="28"/>
          <w:szCs w:val="28"/>
        </w:rPr>
        <w:t>Transporta attīstības pamatnostādnes 2014.-2020.</w:t>
      </w:r>
      <w:r>
        <w:rPr>
          <w:sz w:val="28"/>
          <w:szCs w:val="28"/>
        </w:rPr>
        <w:t xml:space="preserve"> </w:t>
      </w:r>
      <w:r w:rsidRPr="001B403B">
        <w:rPr>
          <w:sz w:val="28"/>
          <w:szCs w:val="28"/>
        </w:rPr>
        <w:t xml:space="preserve">gadam (apstiprinātas </w:t>
      </w:r>
      <w:r w:rsidR="008D1DD4">
        <w:rPr>
          <w:sz w:val="28"/>
          <w:szCs w:val="28"/>
        </w:rPr>
        <w:t xml:space="preserve"> ar </w:t>
      </w:r>
      <w:r w:rsidR="008D1DD4" w:rsidRPr="001B403B">
        <w:rPr>
          <w:sz w:val="28"/>
          <w:szCs w:val="28"/>
        </w:rPr>
        <w:t>Ministru kabineta</w:t>
      </w:r>
      <w:r w:rsidR="008D1DD4">
        <w:rPr>
          <w:sz w:val="28"/>
          <w:szCs w:val="28"/>
        </w:rPr>
        <w:t xml:space="preserve"> </w:t>
      </w:r>
      <w:r w:rsidR="008D1DD4" w:rsidRPr="001B403B">
        <w:rPr>
          <w:sz w:val="28"/>
          <w:szCs w:val="28"/>
        </w:rPr>
        <w:t xml:space="preserve">(turpmāk – MK)  </w:t>
      </w:r>
      <w:r w:rsidRPr="001B403B">
        <w:rPr>
          <w:sz w:val="28"/>
          <w:szCs w:val="28"/>
        </w:rPr>
        <w:t>2013. gada 27. decembr</w:t>
      </w:r>
      <w:r w:rsidR="008D1DD4">
        <w:rPr>
          <w:sz w:val="28"/>
          <w:szCs w:val="28"/>
        </w:rPr>
        <w:t>a</w:t>
      </w:r>
      <w:r w:rsidRPr="001B403B">
        <w:rPr>
          <w:sz w:val="28"/>
          <w:szCs w:val="28"/>
        </w:rPr>
        <w:t xml:space="preserve"> rīkojumu Nr.683, ar grozījumiem</w:t>
      </w:r>
      <w:r w:rsidR="008D1DD4">
        <w:rPr>
          <w:sz w:val="28"/>
          <w:szCs w:val="28"/>
        </w:rPr>
        <w:t>,</w:t>
      </w:r>
      <w:r w:rsidRPr="001B403B">
        <w:rPr>
          <w:sz w:val="28"/>
          <w:szCs w:val="28"/>
        </w:rPr>
        <w:t xml:space="preserve"> kas apstiprināti 2018. gada 27. februārī ar MK rīkojumu Nr.73)  paredz integrēt visus sabiedriskā transporta veidus vienotā sabiedriskā transporta maršrutu sistēmā, t.sk. pilsētas transportu, ņemot vērā, ka sliežu transports, kur tas ir ekonomiski pamatots, ir prioritārs sabiedriskā transporta veids</w:t>
      </w:r>
      <w:r w:rsidR="00FA7DD7">
        <w:rPr>
          <w:sz w:val="28"/>
          <w:szCs w:val="28"/>
        </w:rPr>
        <w:t xml:space="preserve"> </w:t>
      </w:r>
      <w:r w:rsidRPr="001B403B">
        <w:rPr>
          <w:bCs/>
          <w:sz w:val="28"/>
          <w:szCs w:val="28"/>
        </w:rPr>
        <w:t>Atbilstoši Sabiedriskā transporta pakalpojumu likuma 6.panta septītajai daļai, plānojot reģionālo starppilsētu nozīmes maršrutu tīkla maršrutus ar lielu pasažieru plūsmu, prioritāte ir maršrutiem pa sliežu ceļiem</w:t>
      </w:r>
      <w:r w:rsidRPr="001B403B">
        <w:rPr>
          <w:sz w:val="28"/>
          <w:szCs w:val="28"/>
        </w:rPr>
        <w:t xml:space="preserve">, pārsēdinot pasažierus no autotransporta </w:t>
      </w:r>
      <w:r w:rsidRPr="001B403B">
        <w:rPr>
          <w:bCs/>
          <w:sz w:val="28"/>
          <w:szCs w:val="28"/>
        </w:rPr>
        <w:t>uz vilcieniem. Lai nodrošinātu šī mērķa sasniegšanu, Transporta attīstības pamatnostādnēs ir izvirzīts uzdevums ieviest dzelzceļa pasažieru pārvadājumos regulāro intervāla grafiku no 2021. gada</w:t>
      </w:r>
      <w:r w:rsidR="00AC79C4">
        <w:rPr>
          <w:bCs/>
          <w:sz w:val="28"/>
          <w:szCs w:val="28"/>
        </w:rPr>
        <w:t xml:space="preserve"> un</w:t>
      </w:r>
      <w:r w:rsidRPr="001B403B">
        <w:rPr>
          <w:bCs/>
          <w:sz w:val="28"/>
          <w:szCs w:val="28"/>
        </w:rPr>
        <w:t xml:space="preserve"> iegādāties jaunu dzelzceļa elektrovilcienu ritošo sastāvu  2020. - 2023. gadu periodā. Arī </w:t>
      </w:r>
      <w:r w:rsidR="008027D0">
        <w:rPr>
          <w:bCs/>
          <w:sz w:val="28"/>
          <w:szCs w:val="28"/>
        </w:rPr>
        <w:t xml:space="preserve">Satiksmes ministrijas (turpmāk – </w:t>
      </w:r>
      <w:r w:rsidRPr="001B403B">
        <w:rPr>
          <w:bCs/>
          <w:sz w:val="28"/>
          <w:szCs w:val="28"/>
        </w:rPr>
        <w:t>SM</w:t>
      </w:r>
      <w:r w:rsidR="008027D0">
        <w:rPr>
          <w:bCs/>
          <w:sz w:val="28"/>
          <w:szCs w:val="28"/>
        </w:rPr>
        <w:t>)</w:t>
      </w:r>
      <w:r w:rsidRPr="001B403B">
        <w:rPr>
          <w:bCs/>
          <w:sz w:val="28"/>
          <w:szCs w:val="28"/>
        </w:rPr>
        <w:t xml:space="preserve"> un ATD izstrādātais Informatīvais ziņojums “Par reģionālās nozīmes sabiedriskā transporta pakalpojumu attīstību 2021.-2030.gadam” (izskatīt</w:t>
      </w:r>
      <w:r w:rsidR="008027D0">
        <w:rPr>
          <w:bCs/>
          <w:sz w:val="28"/>
          <w:szCs w:val="28"/>
        </w:rPr>
        <w:t>s MK 2019. gada 4. jūnija sēdē)</w:t>
      </w:r>
      <w:r w:rsidRPr="001B403B">
        <w:rPr>
          <w:bCs/>
          <w:sz w:val="28"/>
          <w:szCs w:val="28"/>
        </w:rPr>
        <w:t xml:space="preserve"> paredz veidot reģionālās nozīmes maršrutu tīklu 2021.gadā tā, </w:t>
      </w:r>
      <w:r w:rsidR="008D1DD4">
        <w:rPr>
          <w:bCs/>
          <w:sz w:val="28"/>
          <w:szCs w:val="28"/>
        </w:rPr>
        <w:t xml:space="preserve">lai </w:t>
      </w:r>
      <w:r w:rsidRPr="001B403B">
        <w:rPr>
          <w:bCs/>
          <w:sz w:val="28"/>
          <w:szCs w:val="28"/>
        </w:rPr>
        <w:t>maršrutos ar lielu pasažieru plūsmu, pārvadājumi pamatā tik</w:t>
      </w:r>
      <w:r w:rsidR="00E32F97">
        <w:rPr>
          <w:bCs/>
          <w:sz w:val="28"/>
          <w:szCs w:val="28"/>
        </w:rPr>
        <w:t>tu</w:t>
      </w:r>
      <w:r w:rsidRPr="001B403B">
        <w:rPr>
          <w:bCs/>
          <w:sz w:val="28"/>
          <w:szCs w:val="28"/>
        </w:rPr>
        <w:t xml:space="preserve"> nodrošināti ar vilcieniem, savukārt pārvadājumi ar autobusiem tik</w:t>
      </w:r>
      <w:r w:rsidR="00AC79C4">
        <w:rPr>
          <w:bCs/>
          <w:sz w:val="28"/>
          <w:szCs w:val="28"/>
        </w:rPr>
        <w:t>tu</w:t>
      </w:r>
      <w:r w:rsidRPr="001B403B">
        <w:rPr>
          <w:bCs/>
          <w:sz w:val="28"/>
          <w:szCs w:val="28"/>
        </w:rPr>
        <w:t xml:space="preserve"> veikti vietās, kur vilcieni nekursē, vai kā pārvadājumi, kas pieved pasažierus vilcienu satiksmei. Lai nodrošinātu lielāku vilcienu kustības ātrumu un padarītu šo pārvadājumu veidu efektīvāku, tiks samazināts vilcienu pieturu skaits katrā līnijā, </w:t>
      </w:r>
      <w:r w:rsidR="00C77A7E" w:rsidRPr="001B403B">
        <w:rPr>
          <w:bCs/>
          <w:sz w:val="28"/>
          <w:szCs w:val="28"/>
        </w:rPr>
        <w:t>k</w:t>
      </w:r>
      <w:r w:rsidR="00C77A7E">
        <w:rPr>
          <w:bCs/>
          <w:sz w:val="28"/>
          <w:szCs w:val="28"/>
        </w:rPr>
        <w:t>ā</w:t>
      </w:r>
      <w:r w:rsidR="00C77A7E" w:rsidRPr="001B403B">
        <w:rPr>
          <w:bCs/>
          <w:sz w:val="28"/>
          <w:szCs w:val="28"/>
        </w:rPr>
        <w:t xml:space="preserve"> </w:t>
      </w:r>
      <w:r w:rsidRPr="001B403B">
        <w:rPr>
          <w:bCs/>
          <w:sz w:val="28"/>
          <w:szCs w:val="28"/>
        </w:rPr>
        <w:t xml:space="preserve">arī palielināta kustības intensitāte maksimumstundās, ieviešot regulārā intervāla grafiku. Piemēram, salīdzinot ar 2017. un 2018.gadu, plānots, ka </w:t>
      </w:r>
      <w:r w:rsidR="00AC79C4">
        <w:rPr>
          <w:bCs/>
          <w:sz w:val="28"/>
          <w:szCs w:val="28"/>
        </w:rPr>
        <w:t>pasažieru pārvadājumu apjoms pa dzelzceļu</w:t>
      </w:r>
      <w:r w:rsidRPr="001B403B">
        <w:rPr>
          <w:bCs/>
          <w:sz w:val="28"/>
          <w:szCs w:val="28"/>
        </w:rPr>
        <w:t xml:space="preserve"> </w:t>
      </w:r>
      <w:r w:rsidR="00F46C4D">
        <w:rPr>
          <w:bCs/>
          <w:sz w:val="28"/>
          <w:szCs w:val="28"/>
        </w:rPr>
        <w:t xml:space="preserve">pēc regulārā intervāla </w:t>
      </w:r>
      <w:r w:rsidR="00F46C4D">
        <w:rPr>
          <w:bCs/>
          <w:sz w:val="28"/>
          <w:szCs w:val="28"/>
        </w:rPr>
        <w:lastRenderedPageBreak/>
        <w:t>grafika ieviešanas</w:t>
      </w:r>
      <w:r w:rsidRPr="001B403B">
        <w:rPr>
          <w:bCs/>
          <w:sz w:val="28"/>
          <w:szCs w:val="28"/>
        </w:rPr>
        <w:t xml:space="preserve"> palielināsies kopsummā par </w:t>
      </w:r>
      <w:r w:rsidR="00F46C4D">
        <w:rPr>
          <w:bCs/>
          <w:sz w:val="28"/>
          <w:szCs w:val="28"/>
        </w:rPr>
        <w:t>1.4</w:t>
      </w:r>
      <w:r w:rsidR="00F46C4D" w:rsidRPr="001B403B">
        <w:rPr>
          <w:bCs/>
          <w:sz w:val="28"/>
          <w:szCs w:val="28"/>
        </w:rPr>
        <w:t xml:space="preserve"> </w:t>
      </w:r>
      <w:r w:rsidRPr="001B403B">
        <w:rPr>
          <w:bCs/>
          <w:sz w:val="28"/>
          <w:szCs w:val="28"/>
        </w:rPr>
        <w:t>miljoniem vilcienu kilometru gadā.</w:t>
      </w:r>
    </w:p>
    <w:p w14:paraId="6BAB18FA" w14:textId="0012B6F2" w:rsidR="00C44C1B" w:rsidRPr="001B403B" w:rsidRDefault="00C44C1B" w:rsidP="00C44C1B">
      <w:pPr>
        <w:ind w:firstLine="709"/>
        <w:jc w:val="both"/>
        <w:rPr>
          <w:sz w:val="28"/>
          <w:szCs w:val="28"/>
        </w:rPr>
      </w:pPr>
      <w:r w:rsidRPr="001B403B">
        <w:rPr>
          <w:sz w:val="28"/>
          <w:szCs w:val="28"/>
        </w:rPr>
        <w:t xml:space="preserve">Eiropas Komisijas 2001. gada 12. septembra Baltajā grāmatā “Eiropas transporta politika 2010. gadam: laiks pieņemt lēmumu” paredzētie galvenie mērķi ir garantēt drošus, efektīvus un augstas kvalitātes pasažieru transporta pakalpojumus ar regulētas konkurences starpniecību, garantējot arī sabiedriskā pasažieru transporta pakalpojumu </w:t>
      </w:r>
      <w:r w:rsidR="00690F24" w:rsidRPr="001B403B">
        <w:rPr>
          <w:sz w:val="28"/>
          <w:szCs w:val="28"/>
        </w:rPr>
        <w:t>pārredzamāku</w:t>
      </w:r>
      <w:r w:rsidRPr="001B403B">
        <w:rPr>
          <w:sz w:val="28"/>
          <w:szCs w:val="28"/>
        </w:rPr>
        <w:t xml:space="preserve"> un pareizu darbību, ņemot vērā sociālos un vides faktorus, kā arī faktorus, kas saistīti ar reģionu plānošanu, vai arī piedāvāt dažu kategoriju pasažieriem, piemēram, pensionāriem, īpašas tarifu likmes un likvidēt atšķirības starp dažādu dalībvalstu transporta uzņēmumiem, kuras var radīt būtiskus konkurences izkropļojumus.</w:t>
      </w:r>
    </w:p>
    <w:p w14:paraId="1DEA2210" w14:textId="77777777" w:rsidR="00C44C1B" w:rsidRPr="001B403B" w:rsidRDefault="00C44C1B" w:rsidP="00C44C1B">
      <w:pPr>
        <w:ind w:firstLine="720"/>
        <w:jc w:val="both"/>
        <w:rPr>
          <w:sz w:val="28"/>
          <w:szCs w:val="28"/>
        </w:rPr>
      </w:pPr>
      <w:r w:rsidRPr="001B403B">
        <w:rPr>
          <w:sz w:val="28"/>
          <w:szCs w:val="28"/>
        </w:rPr>
        <w:t>Tā kā Eiropas Savienīb</w:t>
      </w:r>
      <w:r w:rsidR="00AC79C4">
        <w:rPr>
          <w:sz w:val="28"/>
          <w:szCs w:val="28"/>
        </w:rPr>
        <w:t>ā</w:t>
      </w:r>
      <w:r w:rsidRPr="001B403B">
        <w:rPr>
          <w:sz w:val="28"/>
          <w:szCs w:val="28"/>
        </w:rPr>
        <w:t xml:space="preserve"> Latvija ir viena no nedaudzām valstīm, kuras lielākajā pilsētā Rīgā nav metro, pasažieru pārvadājumi pa dzelzceļu Rīgā un tās apkārtnē ir viens no videi draudzīgākajiem pārvietošanās veidiem, kas nodrošina liela skaita pasažieru pārvadāšanu vienā reisā.</w:t>
      </w:r>
    </w:p>
    <w:p w14:paraId="3A298160" w14:textId="653990CC" w:rsidR="00C44C1B" w:rsidRPr="001B403B" w:rsidRDefault="00C44C1B" w:rsidP="00C44C1B">
      <w:pPr>
        <w:ind w:firstLine="709"/>
        <w:jc w:val="both"/>
        <w:rPr>
          <w:sz w:val="28"/>
          <w:szCs w:val="28"/>
        </w:rPr>
      </w:pPr>
      <w:r w:rsidRPr="001B403B">
        <w:rPr>
          <w:sz w:val="28"/>
          <w:szCs w:val="28"/>
        </w:rPr>
        <w:t>Sabiedriskā transporta pakalpojumu likuma 1.panta 2</w:t>
      </w:r>
      <w:r w:rsidR="00C77A7E">
        <w:rPr>
          <w:sz w:val="28"/>
          <w:szCs w:val="28"/>
        </w:rPr>
        <w:t>.</w:t>
      </w:r>
      <w:r w:rsidRPr="001B403B">
        <w:rPr>
          <w:sz w:val="28"/>
          <w:szCs w:val="28"/>
        </w:rPr>
        <w:t xml:space="preserve"> apakšpunkts noteic, ka sabiedriskā transporta pakalpojumi tiek organizēti ar mērķi nodrošināt valsts garantētus noteiktas kvalitātes un apjoma sabiedriskā transporta pakalpojumus, kas ir pieejami ikvienam sabiedrības loceklim, tai skaitā valsts noteiktām pasažieru kategorijām ar atvieglotiem nosacījumiem, un ir pielāgoti valsts noteiktām pasažieru kategorijām ar īpašiem nosacījumiem. Iegādājoties jaunos elektrovilcienus, PV varēs izpildīt sabiedriskā transporta pakalpojumu atbilstoši normatīvo aktu un sabiedriskā transporta pakalpojumu pasūtījuma līguma prasībām. Tas ietver arī dzelzceļa pasažieru pārvadājumu atbilstības nodrošināšanu personu ar kustības traucējumiem vajadzībām, kā to attiecīgi paredz ne tikai Latvijas nacionālie tiesību akti, bet arī </w:t>
      </w:r>
      <w:r w:rsidR="00F744C3">
        <w:rPr>
          <w:sz w:val="28"/>
          <w:szCs w:val="28"/>
        </w:rPr>
        <w:t>Eiropas Savienības regulējums</w:t>
      </w:r>
      <w:r w:rsidRPr="001B403B">
        <w:rPr>
          <w:sz w:val="28"/>
          <w:szCs w:val="28"/>
        </w:rPr>
        <w:t xml:space="preserve"> - Eiropas Parlamenta un Padomes 2007. gada 23. oktobra Regula </w:t>
      </w:r>
      <w:r w:rsidR="0062402D">
        <w:rPr>
          <w:sz w:val="28"/>
          <w:szCs w:val="28"/>
        </w:rPr>
        <w:t xml:space="preserve">          </w:t>
      </w:r>
      <w:r w:rsidRPr="001B403B">
        <w:rPr>
          <w:sz w:val="28"/>
          <w:szCs w:val="28"/>
        </w:rPr>
        <w:t xml:space="preserve">Nr. 1371/2007 par dzelzceļa pasažieru tiesībām un pienākumiem (turpmāk – Regula Nr.1371/2007). </w:t>
      </w:r>
      <w:r w:rsidR="00D84242" w:rsidRPr="00D84242">
        <w:rPr>
          <w:sz w:val="28"/>
          <w:szCs w:val="28"/>
        </w:rPr>
        <w:t>Regula</w:t>
      </w:r>
      <w:r w:rsidR="00D84242">
        <w:rPr>
          <w:sz w:val="28"/>
          <w:szCs w:val="28"/>
        </w:rPr>
        <w:t>s</w:t>
      </w:r>
      <w:r w:rsidR="00D84242" w:rsidRPr="00D84242">
        <w:rPr>
          <w:sz w:val="28"/>
          <w:szCs w:val="28"/>
        </w:rPr>
        <w:t xml:space="preserve"> Nr.1371/2007</w:t>
      </w:r>
      <w:r w:rsidRPr="001B403B">
        <w:rPr>
          <w:sz w:val="28"/>
          <w:szCs w:val="28"/>
        </w:rPr>
        <w:t xml:space="preserve"> preambulas 10.punkts noteic, ka d</w:t>
      </w:r>
      <w:r w:rsidRPr="001B403B">
        <w:rPr>
          <w:sz w:val="28"/>
          <w:szCs w:val="28"/>
          <w:shd w:val="clear" w:color="auto" w:fill="FFFFFF"/>
        </w:rPr>
        <w:t xml:space="preserve">zelzceļa pasažieru pārvadājumu pakalpojumiem būtu jāsniedz vispārējs labums. Tādēļ personām ar kustību traucējumiem, kas radušās invaliditātes, vecuma vai kādu citu faktoru dēļ, būtu jānodrošina tādas iespējas ceļošanai pa dzelzceļu, kas ir līdzvērtīgas ar pārējo cilvēku iespējām. Personām ar kustību traucējumiem ir tādas pašas tiesības uz brīvu pārvietošanos, izvēles brīvību un </w:t>
      </w:r>
      <w:r w:rsidR="00805E10" w:rsidRPr="001B403B">
        <w:rPr>
          <w:sz w:val="28"/>
          <w:szCs w:val="28"/>
          <w:shd w:val="clear" w:color="auto" w:fill="FFFFFF"/>
        </w:rPr>
        <w:t>ne diskrimināciju</w:t>
      </w:r>
      <w:r w:rsidRPr="001B403B">
        <w:rPr>
          <w:sz w:val="28"/>
          <w:szCs w:val="28"/>
          <w:shd w:val="clear" w:color="auto" w:fill="FFFFFF"/>
        </w:rPr>
        <w:t xml:space="preserve"> kā pārējiem cilvēkiem. Savukārt </w:t>
      </w:r>
      <w:r w:rsidR="002B1B71">
        <w:rPr>
          <w:sz w:val="28"/>
          <w:szCs w:val="28"/>
          <w:shd w:val="clear" w:color="auto" w:fill="FFFFFF"/>
        </w:rPr>
        <w:t>Regulas</w:t>
      </w:r>
      <w:r w:rsidR="00E32F97" w:rsidRPr="00E32F97">
        <w:t xml:space="preserve"> </w:t>
      </w:r>
      <w:r w:rsidR="00E32F97" w:rsidRPr="00E32F97">
        <w:rPr>
          <w:sz w:val="28"/>
          <w:szCs w:val="28"/>
          <w:shd w:val="clear" w:color="auto" w:fill="FFFFFF"/>
        </w:rPr>
        <w:t>Nr.1371/2007</w:t>
      </w:r>
      <w:r w:rsidR="002B1B71">
        <w:rPr>
          <w:sz w:val="28"/>
          <w:szCs w:val="28"/>
          <w:shd w:val="clear" w:color="auto" w:fill="FFFFFF"/>
        </w:rPr>
        <w:t xml:space="preserve"> 1</w:t>
      </w:r>
      <w:r w:rsidRPr="001B403B">
        <w:rPr>
          <w:sz w:val="28"/>
          <w:szCs w:val="28"/>
          <w:shd w:val="clear" w:color="auto" w:fill="FFFFFF"/>
        </w:rPr>
        <w:t>9.</w:t>
      </w:r>
      <w:r>
        <w:rPr>
          <w:sz w:val="28"/>
          <w:szCs w:val="28"/>
          <w:shd w:val="clear" w:color="auto" w:fill="FFFFFF"/>
        </w:rPr>
        <w:t xml:space="preserve"> </w:t>
      </w:r>
      <w:r w:rsidRPr="001B403B">
        <w:rPr>
          <w:sz w:val="28"/>
          <w:szCs w:val="28"/>
          <w:shd w:val="clear" w:color="auto" w:fill="FFFFFF"/>
        </w:rPr>
        <w:t xml:space="preserve">panta pirmā daļa noteic, ka dzelzceļa pārvadājumu uzņēmumi un staciju </w:t>
      </w:r>
      <w:proofErr w:type="spellStart"/>
      <w:r w:rsidRPr="001B403B">
        <w:rPr>
          <w:sz w:val="28"/>
          <w:szCs w:val="28"/>
          <w:shd w:val="clear" w:color="auto" w:fill="FFFFFF"/>
        </w:rPr>
        <w:t>apsaimniekotāji</w:t>
      </w:r>
      <w:proofErr w:type="spellEnd"/>
      <w:r w:rsidRPr="001B403B">
        <w:rPr>
          <w:sz w:val="28"/>
          <w:szCs w:val="28"/>
          <w:shd w:val="clear" w:color="auto" w:fill="FFFFFF"/>
        </w:rPr>
        <w:t xml:space="preserve">, aktīvi iesaistot organizācijas, kas pārstāv personas ar kustību traucējumiem, izveido vai īsteno nediskriminējošus transporta piekļuves noteikumus attiecībā uz personām ar kustību traucējumiem un atbilstoši </w:t>
      </w:r>
      <w:r w:rsidRPr="001B403B">
        <w:rPr>
          <w:sz w:val="28"/>
          <w:szCs w:val="28"/>
        </w:rPr>
        <w:t xml:space="preserve">Regulas Nr.1371/2007 </w:t>
      </w:r>
      <w:r w:rsidRPr="001B403B">
        <w:rPr>
          <w:sz w:val="28"/>
          <w:szCs w:val="28"/>
          <w:shd w:val="clear" w:color="auto" w:fill="FFFFFF"/>
        </w:rPr>
        <w:t xml:space="preserve">21.panta pirmajai daļai, saskaņā ar savstarpējas </w:t>
      </w:r>
      <w:proofErr w:type="spellStart"/>
      <w:r w:rsidRPr="001B403B">
        <w:rPr>
          <w:sz w:val="28"/>
          <w:szCs w:val="28"/>
          <w:shd w:val="clear" w:color="auto" w:fill="FFFFFF"/>
        </w:rPr>
        <w:t>izmantojamības</w:t>
      </w:r>
      <w:proofErr w:type="spellEnd"/>
      <w:r w:rsidRPr="001B403B">
        <w:rPr>
          <w:sz w:val="28"/>
          <w:szCs w:val="28"/>
          <w:shd w:val="clear" w:color="auto" w:fill="FFFFFF"/>
        </w:rPr>
        <w:t xml:space="preserve"> tehnisko specifikāciju attiecībā uz personām ar kustību traucējumiem nodrošina, lai stacija, platformas, ritošais sastāvs un citi objekti ir pieejami personām ar kustību traucējumiem. </w:t>
      </w:r>
    </w:p>
    <w:p w14:paraId="6555173D" w14:textId="5719524C" w:rsidR="00C44C1B" w:rsidRPr="001B403B" w:rsidRDefault="00D25BB5" w:rsidP="00C44C1B">
      <w:pPr>
        <w:autoSpaceDE w:val="0"/>
        <w:autoSpaceDN w:val="0"/>
        <w:ind w:firstLine="709"/>
        <w:jc w:val="both"/>
        <w:rPr>
          <w:sz w:val="28"/>
          <w:szCs w:val="28"/>
        </w:rPr>
      </w:pPr>
      <w:r w:rsidRPr="001B403B">
        <w:rPr>
          <w:sz w:val="28"/>
          <w:szCs w:val="28"/>
        </w:rPr>
        <w:t xml:space="preserve">MK </w:t>
      </w:r>
      <w:r w:rsidR="00C44C1B" w:rsidRPr="001B403B">
        <w:rPr>
          <w:sz w:val="28"/>
          <w:szCs w:val="28"/>
        </w:rPr>
        <w:t>2012.gada 28.augusta noteikum</w:t>
      </w:r>
      <w:r w:rsidR="00AC79C4">
        <w:rPr>
          <w:sz w:val="28"/>
          <w:szCs w:val="28"/>
        </w:rPr>
        <w:t>u</w:t>
      </w:r>
      <w:r w:rsidR="00C44C1B" w:rsidRPr="001B403B">
        <w:rPr>
          <w:sz w:val="28"/>
          <w:szCs w:val="28"/>
        </w:rPr>
        <w:t xml:space="preserve"> Nr.</w:t>
      </w:r>
      <w:r w:rsidR="003C34E3">
        <w:rPr>
          <w:sz w:val="28"/>
          <w:szCs w:val="28"/>
        </w:rPr>
        <w:t xml:space="preserve"> </w:t>
      </w:r>
      <w:r w:rsidR="00C44C1B" w:rsidRPr="001B403B">
        <w:rPr>
          <w:sz w:val="28"/>
          <w:szCs w:val="28"/>
        </w:rPr>
        <w:t xml:space="preserve">599 “Sabiedriskā transporta pakalpojumu sniegšanas un izmantošanas kārtība” 17. un 136.punkts paredz, ka  pasažieru pārvadājumos pa dzelzceļu ritošā sastāva atbilstība personu ar </w:t>
      </w:r>
      <w:r w:rsidR="00C44C1B" w:rsidRPr="001B403B">
        <w:rPr>
          <w:sz w:val="28"/>
          <w:szCs w:val="28"/>
        </w:rPr>
        <w:lastRenderedPageBreak/>
        <w:t>kustību traucējumiem pārvadāšanai ir jānodrošina līdz 2022.gada 1.janvārim – elektrovilcienos; dīzeļvilcienos - līdz 2020.gada 1.janvārim vismaz 50 % apmērā</w:t>
      </w:r>
      <w:r w:rsidR="003C34E3">
        <w:rPr>
          <w:sz w:val="28"/>
          <w:szCs w:val="28"/>
        </w:rPr>
        <w:t xml:space="preserve">, bet līdz 2023.gada 1.janvārim - </w:t>
      </w:r>
      <w:r w:rsidR="00C44C1B" w:rsidRPr="001B403B">
        <w:rPr>
          <w:sz w:val="28"/>
          <w:szCs w:val="28"/>
        </w:rPr>
        <w:t xml:space="preserve">pilnā apmērā. </w:t>
      </w:r>
    </w:p>
    <w:p w14:paraId="6546C65A" w14:textId="77777777" w:rsidR="00D11394" w:rsidRPr="001B403B" w:rsidRDefault="00D11394" w:rsidP="00D11394">
      <w:pPr>
        <w:ind w:firstLine="709"/>
        <w:jc w:val="both"/>
        <w:rPr>
          <w:sz w:val="28"/>
          <w:szCs w:val="28"/>
        </w:rPr>
      </w:pPr>
      <w:r w:rsidRPr="001B403B">
        <w:rPr>
          <w:sz w:val="28"/>
          <w:szCs w:val="28"/>
        </w:rPr>
        <w:t>Jāņem vērā, ka Regulas Nr.</w:t>
      </w:r>
      <w:r>
        <w:rPr>
          <w:sz w:val="28"/>
          <w:szCs w:val="28"/>
        </w:rPr>
        <w:t> </w:t>
      </w:r>
      <w:r w:rsidRPr="001B403B">
        <w:rPr>
          <w:sz w:val="28"/>
          <w:szCs w:val="28"/>
        </w:rPr>
        <w:t>1371/2007 26. un 28.</w:t>
      </w:r>
      <w:r>
        <w:rPr>
          <w:sz w:val="28"/>
          <w:szCs w:val="28"/>
        </w:rPr>
        <w:t> </w:t>
      </w:r>
      <w:r w:rsidRPr="001B403B">
        <w:rPr>
          <w:sz w:val="28"/>
          <w:szCs w:val="28"/>
        </w:rPr>
        <w:t>pant</w:t>
      </w:r>
      <w:r>
        <w:rPr>
          <w:sz w:val="28"/>
          <w:szCs w:val="28"/>
        </w:rPr>
        <w:t>s</w:t>
      </w:r>
      <w:r w:rsidRPr="001B403B">
        <w:rPr>
          <w:sz w:val="28"/>
          <w:szCs w:val="28"/>
        </w:rPr>
        <w:t xml:space="preserve"> nosaka prasības drošības nodrošināšanai vilcienos un pakalpojumu kvalitātes standartus, tostarp arī attiecībā uz personām ar kustību traucējumiem, kuras PV varēs nodrošināt</w:t>
      </w:r>
      <w:r>
        <w:rPr>
          <w:sz w:val="28"/>
          <w:szCs w:val="28"/>
        </w:rPr>
        <w:t>,</w:t>
      </w:r>
      <w:r w:rsidRPr="001B403B">
        <w:rPr>
          <w:sz w:val="28"/>
          <w:szCs w:val="28"/>
        </w:rPr>
        <w:t xml:space="preserve"> tikai nomainot veco elektrovilcienu ritošo sastāvu pret jaunu.</w:t>
      </w:r>
    </w:p>
    <w:p w14:paraId="67345A56" w14:textId="77777777" w:rsidR="00D11394" w:rsidRDefault="00D11394" w:rsidP="00D11394">
      <w:pPr>
        <w:jc w:val="both"/>
        <w:rPr>
          <w:sz w:val="28"/>
          <w:szCs w:val="28"/>
        </w:rPr>
      </w:pPr>
      <w:r w:rsidRPr="001B403B">
        <w:rPr>
          <w:sz w:val="28"/>
          <w:szCs w:val="28"/>
        </w:rPr>
        <w:tab/>
        <w:t>Veicot ritošā sastāva atjaunošanas remontu ar kalpošanas laika pagarināšanu atbilstoši MK 2010.</w:t>
      </w:r>
      <w:r>
        <w:rPr>
          <w:sz w:val="28"/>
          <w:szCs w:val="28"/>
        </w:rPr>
        <w:t> </w:t>
      </w:r>
      <w:r w:rsidRPr="001B403B">
        <w:rPr>
          <w:sz w:val="28"/>
          <w:szCs w:val="28"/>
        </w:rPr>
        <w:t>gada 28.</w:t>
      </w:r>
      <w:r>
        <w:rPr>
          <w:sz w:val="28"/>
          <w:szCs w:val="28"/>
        </w:rPr>
        <w:t> </w:t>
      </w:r>
      <w:r w:rsidRPr="001B403B">
        <w:rPr>
          <w:sz w:val="28"/>
          <w:szCs w:val="28"/>
        </w:rPr>
        <w:t>decembra noteikumu Nr.</w:t>
      </w:r>
      <w:r>
        <w:rPr>
          <w:sz w:val="28"/>
          <w:szCs w:val="28"/>
        </w:rPr>
        <w:t> </w:t>
      </w:r>
      <w:r w:rsidRPr="001B403B">
        <w:rPr>
          <w:sz w:val="28"/>
          <w:szCs w:val="28"/>
        </w:rPr>
        <w:t>1211 “Noteikumi par ritošā sastāva būvi, modernizāciju, atjaunošanas remontu, atbilstības novērtēšanu un pieņemšanu ekspluatācijā” 85.-88.</w:t>
      </w:r>
      <w:r>
        <w:rPr>
          <w:sz w:val="28"/>
          <w:szCs w:val="28"/>
        </w:rPr>
        <w:t> </w:t>
      </w:r>
      <w:r w:rsidRPr="001B403B">
        <w:rPr>
          <w:sz w:val="28"/>
          <w:szCs w:val="28"/>
        </w:rPr>
        <w:t>punkt</w:t>
      </w:r>
      <w:r>
        <w:rPr>
          <w:sz w:val="28"/>
          <w:szCs w:val="28"/>
        </w:rPr>
        <w:t>ā</w:t>
      </w:r>
      <w:r w:rsidRPr="001B403B">
        <w:rPr>
          <w:sz w:val="28"/>
          <w:szCs w:val="28"/>
        </w:rPr>
        <w:t xml:space="preserve"> noteiktajam un pamatojoties uz sertificētās institūcijas pozitīvu tehniskās apsekošanas slēdzienu, pastāv iespēja kādu laiku turpināt vecā ritošā sastāva izmantošanu, tomēr tam nav ekonomiska pamatojuma </w:t>
      </w:r>
      <w:r>
        <w:rPr>
          <w:sz w:val="28"/>
          <w:szCs w:val="28"/>
        </w:rPr>
        <w:t>–</w:t>
      </w:r>
      <w:r w:rsidRPr="001B403B">
        <w:rPr>
          <w:sz w:val="28"/>
          <w:szCs w:val="28"/>
        </w:rPr>
        <w:t xml:space="preserve"> nepieciešamas lielas investīcijas vilcienu kapitālajos remontos, tostarp jāveic modernizācija, lai izpildītu normatīvo aktu prasības, </w:t>
      </w:r>
      <w:r>
        <w:rPr>
          <w:sz w:val="28"/>
          <w:szCs w:val="28"/>
        </w:rPr>
        <w:t xml:space="preserve">un </w:t>
      </w:r>
      <w:r w:rsidRPr="001B403B">
        <w:rPr>
          <w:sz w:val="28"/>
          <w:szCs w:val="28"/>
        </w:rPr>
        <w:t>ir būtiski lielākas uzturēšanas izmaksas. Tāpat ir jāņem vērā</w:t>
      </w:r>
      <w:r>
        <w:rPr>
          <w:sz w:val="28"/>
          <w:szCs w:val="28"/>
        </w:rPr>
        <w:t>,</w:t>
      </w:r>
      <w:r w:rsidRPr="001B403B">
        <w:rPr>
          <w:sz w:val="28"/>
          <w:szCs w:val="28"/>
        </w:rPr>
        <w:t xml:space="preserve"> ka vecie vilcieni aptuveni 25% no sava dzīves cikla atrodas plānotajos remontos, savukārt jaunie elektrovilcieni </w:t>
      </w:r>
      <w:r>
        <w:rPr>
          <w:sz w:val="28"/>
          <w:szCs w:val="28"/>
        </w:rPr>
        <w:t xml:space="preserve">– </w:t>
      </w:r>
      <w:r w:rsidRPr="001B403B">
        <w:rPr>
          <w:sz w:val="28"/>
          <w:szCs w:val="28"/>
        </w:rPr>
        <w:t>tikai aptuveni 5%. Turklāt pašreizējais  ritošais sastāvs neatbilst Eiropas Savienības vides aizsardzības prasībām, jo piesārņo vidi – bremžu kluču radītais piesārņojums, transmisijas sistēmas eļļas noplūdes rezultātā radītais piesārņojums, ritošais sastāvs nav aprīkots ar ekoloģiskajām tualetēm u. tml. Esošais ritošais sastāvs nenodrošina pilnvērtīgas piekļuves iespējas attiecībā uz pārvadājumu nodrošināšanu personām ar kustību traucējumiem un ģimenēm ar maziem bērniem.</w:t>
      </w:r>
    </w:p>
    <w:p w14:paraId="5E7A87CE" w14:textId="768C1FFE" w:rsidR="00D11394" w:rsidRPr="00AF0E59" w:rsidRDefault="00D11394" w:rsidP="00D11394">
      <w:pPr>
        <w:jc w:val="both"/>
        <w:rPr>
          <w:sz w:val="28"/>
          <w:szCs w:val="28"/>
        </w:rPr>
      </w:pPr>
      <w:r>
        <w:rPr>
          <w:sz w:val="28"/>
          <w:szCs w:val="28"/>
        </w:rPr>
        <w:tab/>
        <w:t>PV</w:t>
      </w:r>
      <w:r w:rsidRPr="00AF0E59">
        <w:rPr>
          <w:sz w:val="28"/>
          <w:szCs w:val="28"/>
        </w:rPr>
        <w:t xml:space="preserve"> sniegtais pakalpojums ir vispārējās  tautsaimnieciskas nozīmes pakalpojums, kas tiek sniegts, pamatojoties uz Pārvadājumu pasūtījuma līgum</w:t>
      </w:r>
      <w:r>
        <w:rPr>
          <w:sz w:val="28"/>
          <w:szCs w:val="28"/>
        </w:rPr>
        <w:t>u</w:t>
      </w:r>
      <w:r w:rsidRPr="00AF0E59">
        <w:rPr>
          <w:sz w:val="28"/>
          <w:szCs w:val="28"/>
        </w:rPr>
        <w:t>. Pārvadājuma pasūtījuma līgums ir noslēgts un visas kompensācijas izmaksas ir aprēķinātas, ievērojot 2007.</w:t>
      </w:r>
      <w:r>
        <w:rPr>
          <w:sz w:val="28"/>
          <w:szCs w:val="28"/>
        </w:rPr>
        <w:t> </w:t>
      </w:r>
      <w:r w:rsidRPr="00AF0E59">
        <w:rPr>
          <w:sz w:val="28"/>
          <w:szCs w:val="28"/>
        </w:rPr>
        <w:t>gada 23.</w:t>
      </w:r>
      <w:r>
        <w:rPr>
          <w:sz w:val="28"/>
          <w:szCs w:val="28"/>
        </w:rPr>
        <w:t> </w:t>
      </w:r>
      <w:r w:rsidRPr="00AF0E59">
        <w:rPr>
          <w:sz w:val="28"/>
          <w:szCs w:val="28"/>
        </w:rPr>
        <w:t xml:space="preserve">oktobra </w:t>
      </w:r>
      <w:r w:rsidR="00DD0A8F">
        <w:rPr>
          <w:sz w:val="28"/>
          <w:szCs w:val="28"/>
        </w:rPr>
        <w:t>Eiropas Parlamenta un Padomes r</w:t>
      </w:r>
      <w:r w:rsidRPr="00AF0E59">
        <w:rPr>
          <w:sz w:val="28"/>
          <w:szCs w:val="28"/>
        </w:rPr>
        <w:t>egulas (EK) Nr.</w:t>
      </w:r>
      <w:r>
        <w:rPr>
          <w:sz w:val="28"/>
          <w:szCs w:val="28"/>
        </w:rPr>
        <w:t> </w:t>
      </w:r>
      <w:r w:rsidRPr="00AF0E59">
        <w:rPr>
          <w:sz w:val="28"/>
          <w:szCs w:val="28"/>
        </w:rPr>
        <w:t xml:space="preserve">1370/2007 par sabiedriskā pasažieru transporta pakalpojumiem, izmantojot dzelzceļu un autoceļus, un ar ko atceļ Padomes </w:t>
      </w:r>
      <w:r>
        <w:rPr>
          <w:sz w:val="28"/>
          <w:szCs w:val="28"/>
        </w:rPr>
        <w:t>r</w:t>
      </w:r>
      <w:r w:rsidRPr="00AF0E59">
        <w:rPr>
          <w:sz w:val="28"/>
          <w:szCs w:val="28"/>
        </w:rPr>
        <w:t>egulu (EEK) Nr.</w:t>
      </w:r>
      <w:r>
        <w:rPr>
          <w:sz w:val="28"/>
          <w:szCs w:val="28"/>
        </w:rPr>
        <w:t> </w:t>
      </w:r>
      <w:r w:rsidRPr="00AF0E59">
        <w:rPr>
          <w:sz w:val="28"/>
          <w:szCs w:val="28"/>
        </w:rPr>
        <w:t xml:space="preserve">1191/69 un Padomes </w:t>
      </w:r>
      <w:r w:rsidR="00DD0A8F">
        <w:rPr>
          <w:sz w:val="28"/>
          <w:szCs w:val="28"/>
        </w:rPr>
        <w:t>r</w:t>
      </w:r>
      <w:r w:rsidRPr="00AF0E59">
        <w:rPr>
          <w:sz w:val="28"/>
          <w:szCs w:val="28"/>
        </w:rPr>
        <w:t>egulu (EEK) Nr.</w:t>
      </w:r>
      <w:r>
        <w:rPr>
          <w:sz w:val="28"/>
          <w:szCs w:val="28"/>
        </w:rPr>
        <w:t> </w:t>
      </w:r>
      <w:r w:rsidRPr="00AF0E59">
        <w:rPr>
          <w:sz w:val="28"/>
          <w:szCs w:val="28"/>
        </w:rPr>
        <w:t>1107/70 (turpmāk – Regula Nr.</w:t>
      </w:r>
      <w:r>
        <w:rPr>
          <w:sz w:val="28"/>
          <w:szCs w:val="28"/>
        </w:rPr>
        <w:t> </w:t>
      </w:r>
      <w:r w:rsidRPr="00AF0E59">
        <w:rPr>
          <w:sz w:val="28"/>
          <w:szCs w:val="28"/>
        </w:rPr>
        <w:t xml:space="preserve">1370/2007) nosacījumus. </w:t>
      </w:r>
    </w:p>
    <w:p w14:paraId="1DB8DFA0" w14:textId="77777777" w:rsidR="00D11394" w:rsidRPr="00AF0E59" w:rsidRDefault="00D11394" w:rsidP="00D11394">
      <w:pPr>
        <w:ind w:firstLine="720"/>
        <w:jc w:val="both"/>
        <w:rPr>
          <w:sz w:val="28"/>
          <w:szCs w:val="28"/>
        </w:rPr>
      </w:pPr>
      <w:r w:rsidRPr="00AF0E59">
        <w:rPr>
          <w:sz w:val="28"/>
          <w:szCs w:val="28"/>
        </w:rPr>
        <w:t>Pārvadājumu pasūtījuma līgums uzliek PV par pienākumu sniegt sabiedriskā transporta pakalpojumus ar nosacījumiem, kas izvirzīti Pārvadājumu pasūtījuma līgumā. Elektrovilcienu atjaunošana</w:t>
      </w:r>
      <w:r>
        <w:rPr>
          <w:sz w:val="28"/>
          <w:szCs w:val="28"/>
        </w:rPr>
        <w:t>s</w:t>
      </w:r>
      <w:r w:rsidRPr="00AF0E59">
        <w:rPr>
          <w:sz w:val="28"/>
          <w:szCs w:val="28"/>
        </w:rPr>
        <w:t xml:space="preserve"> pienākums ir ietverts Pārvadājumu pasūtījuma līgumā</w:t>
      </w:r>
      <w:r>
        <w:rPr>
          <w:sz w:val="28"/>
          <w:szCs w:val="28"/>
        </w:rPr>
        <w:t>,</w:t>
      </w:r>
      <w:r w:rsidRPr="00AF0E59">
        <w:rPr>
          <w:sz w:val="28"/>
          <w:szCs w:val="28"/>
        </w:rPr>
        <w:t xml:space="preserve"> un elektrovilcienu iegādes izdevumu kompensēšana ir tieši saistīta ar pasažieru pārvadājumu nodrošināšanu.</w:t>
      </w:r>
    </w:p>
    <w:p w14:paraId="5867C548" w14:textId="77777777" w:rsidR="00D11394" w:rsidRPr="001B403B" w:rsidRDefault="00D11394" w:rsidP="00D11394">
      <w:pPr>
        <w:ind w:firstLine="720"/>
        <w:jc w:val="both"/>
        <w:rPr>
          <w:sz w:val="28"/>
          <w:szCs w:val="28"/>
        </w:rPr>
      </w:pPr>
      <w:r w:rsidRPr="00AF0E59">
        <w:rPr>
          <w:sz w:val="28"/>
          <w:szCs w:val="28"/>
        </w:rPr>
        <w:t xml:space="preserve">Arī </w:t>
      </w:r>
      <w:r>
        <w:rPr>
          <w:sz w:val="28"/>
          <w:szCs w:val="28"/>
        </w:rPr>
        <w:t>remontu centra</w:t>
      </w:r>
      <w:r w:rsidRPr="00AF0E59">
        <w:rPr>
          <w:sz w:val="28"/>
          <w:szCs w:val="28"/>
        </w:rPr>
        <w:t xml:space="preserve"> būvniecība ir neatraujami saistīta ar jauno elektrovilcienu iegādi, jo </w:t>
      </w:r>
      <w:r>
        <w:rPr>
          <w:sz w:val="28"/>
          <w:szCs w:val="28"/>
        </w:rPr>
        <w:t>remontu centrs</w:t>
      </w:r>
      <w:r w:rsidRPr="00AF0E59">
        <w:rPr>
          <w:sz w:val="28"/>
          <w:szCs w:val="28"/>
        </w:rPr>
        <w:t xml:space="preserve"> nepieciešams, lai nodrošinātu iegādāto elektrovilcienu uzturēšanu – tehnisko apkopi, remontu u.c., lai, pamatojoties uz Pārvadājuma pasūtījuma līgumu, pasažieriem piedāvātu nepārtrauktus un drošus pasažieru pārvadājumus pa dzelzceļu visā elektrovilcienu dzīves cikla laikā.</w:t>
      </w:r>
    </w:p>
    <w:p w14:paraId="200831ED" w14:textId="77777777" w:rsidR="00D11394" w:rsidRPr="001B403B" w:rsidRDefault="00D11394" w:rsidP="00D11394">
      <w:pPr>
        <w:autoSpaceDE w:val="0"/>
        <w:autoSpaceDN w:val="0"/>
        <w:ind w:firstLine="709"/>
        <w:jc w:val="both"/>
        <w:rPr>
          <w:sz w:val="28"/>
          <w:szCs w:val="28"/>
        </w:rPr>
      </w:pPr>
    </w:p>
    <w:p w14:paraId="7570119C" w14:textId="77777777" w:rsidR="00D11394" w:rsidRDefault="00D11394" w:rsidP="00D11394">
      <w:pPr>
        <w:rPr>
          <w:b/>
          <w:sz w:val="28"/>
          <w:szCs w:val="28"/>
        </w:rPr>
      </w:pPr>
      <w:r>
        <w:rPr>
          <w:b/>
          <w:sz w:val="28"/>
          <w:szCs w:val="28"/>
        </w:rPr>
        <w:br w:type="page"/>
      </w:r>
    </w:p>
    <w:p w14:paraId="67607692" w14:textId="77777777" w:rsidR="00D11394" w:rsidRPr="001B403B" w:rsidRDefault="00D11394" w:rsidP="00D11394">
      <w:pPr>
        <w:ind w:firstLine="720"/>
        <w:jc w:val="center"/>
        <w:rPr>
          <w:sz w:val="28"/>
          <w:szCs w:val="28"/>
        </w:rPr>
      </w:pPr>
      <w:r w:rsidRPr="001B403B">
        <w:rPr>
          <w:b/>
          <w:sz w:val="28"/>
          <w:szCs w:val="28"/>
        </w:rPr>
        <w:lastRenderedPageBreak/>
        <w:t>1. Jaunu elektrovilcienu iepirkuma norise</w:t>
      </w:r>
    </w:p>
    <w:p w14:paraId="7AB1A444" w14:textId="77777777" w:rsidR="00D11394" w:rsidRPr="001B403B" w:rsidRDefault="00D11394" w:rsidP="00D11394">
      <w:pPr>
        <w:ind w:firstLine="720"/>
        <w:jc w:val="both"/>
        <w:rPr>
          <w:sz w:val="28"/>
          <w:szCs w:val="28"/>
        </w:rPr>
      </w:pPr>
    </w:p>
    <w:p w14:paraId="0BF7ADC2" w14:textId="77777777" w:rsidR="00D11394" w:rsidRPr="001B403B" w:rsidRDefault="00D11394" w:rsidP="00D11394">
      <w:pPr>
        <w:ind w:firstLine="720"/>
        <w:jc w:val="both"/>
        <w:rPr>
          <w:sz w:val="28"/>
          <w:szCs w:val="28"/>
        </w:rPr>
      </w:pPr>
      <w:r w:rsidRPr="001B403B">
        <w:rPr>
          <w:sz w:val="28"/>
          <w:szCs w:val="28"/>
        </w:rPr>
        <w:t>Jauno elektrovilcienu iepirkums tika izsludināts 2015.</w:t>
      </w:r>
      <w:r>
        <w:rPr>
          <w:sz w:val="28"/>
          <w:szCs w:val="28"/>
        </w:rPr>
        <w:t> </w:t>
      </w:r>
      <w:r w:rsidRPr="001B403B">
        <w:rPr>
          <w:sz w:val="28"/>
          <w:szCs w:val="28"/>
        </w:rPr>
        <w:t>gada 14.</w:t>
      </w:r>
      <w:r>
        <w:rPr>
          <w:sz w:val="28"/>
          <w:szCs w:val="28"/>
        </w:rPr>
        <w:t> </w:t>
      </w:r>
      <w:r w:rsidRPr="001B403B">
        <w:rPr>
          <w:sz w:val="28"/>
          <w:szCs w:val="28"/>
        </w:rPr>
        <w:t>septembrī un 5 pretendenti kvalificējās iepirkuma otrajai kārtai, kas tika uzsākta 2017.</w:t>
      </w:r>
      <w:r>
        <w:rPr>
          <w:sz w:val="28"/>
          <w:szCs w:val="28"/>
        </w:rPr>
        <w:t> </w:t>
      </w:r>
      <w:r w:rsidRPr="001B403B">
        <w:rPr>
          <w:sz w:val="28"/>
          <w:szCs w:val="28"/>
        </w:rPr>
        <w:t>gada 14. jūnijā. Tika iesniegti 4 piedāvājumi</w:t>
      </w:r>
      <w:r>
        <w:rPr>
          <w:sz w:val="28"/>
          <w:szCs w:val="28"/>
        </w:rPr>
        <w:t>,</w:t>
      </w:r>
      <w:r w:rsidRPr="001B403B">
        <w:rPr>
          <w:sz w:val="28"/>
          <w:szCs w:val="28"/>
        </w:rPr>
        <w:t xml:space="preserve"> un ir pabeigta to izvērtēšana. Visi 4 pretendenti iesniedza piedāvājumus, kas nodrošināja augstu konkurenci.</w:t>
      </w:r>
    </w:p>
    <w:p w14:paraId="37D19211" w14:textId="77777777" w:rsidR="00D11394" w:rsidRPr="001B403B" w:rsidRDefault="00D11394" w:rsidP="00D11394">
      <w:pPr>
        <w:ind w:firstLine="720"/>
        <w:jc w:val="both"/>
        <w:rPr>
          <w:sz w:val="28"/>
          <w:szCs w:val="28"/>
        </w:rPr>
      </w:pPr>
      <w:r w:rsidRPr="001B403B">
        <w:rPr>
          <w:sz w:val="28"/>
          <w:szCs w:val="28"/>
        </w:rPr>
        <w:t>2018. gada 15. novembrī tika pabeigta piedāvājumu vērtēšana un pasludināts uzvarētājs. Iepirkuma līguma parakstīšana kavēj</w:t>
      </w:r>
      <w:r>
        <w:rPr>
          <w:sz w:val="28"/>
          <w:szCs w:val="28"/>
        </w:rPr>
        <w:t>ā</w:t>
      </w:r>
      <w:r w:rsidRPr="001B403B">
        <w:rPr>
          <w:sz w:val="28"/>
          <w:szCs w:val="28"/>
        </w:rPr>
        <w:t>s pretendentu vairākkārt iesniegt</w:t>
      </w:r>
      <w:r>
        <w:rPr>
          <w:sz w:val="28"/>
          <w:szCs w:val="28"/>
        </w:rPr>
        <w:t>o</w:t>
      </w:r>
      <w:r w:rsidRPr="001B403B">
        <w:rPr>
          <w:sz w:val="28"/>
          <w:szCs w:val="28"/>
        </w:rPr>
        <w:t xml:space="preserve"> sūdzīb</w:t>
      </w:r>
      <w:r>
        <w:rPr>
          <w:sz w:val="28"/>
          <w:szCs w:val="28"/>
        </w:rPr>
        <w:t>u dēļ</w:t>
      </w:r>
      <w:r w:rsidRPr="001B403B">
        <w:rPr>
          <w:sz w:val="28"/>
          <w:szCs w:val="28"/>
        </w:rPr>
        <w:t xml:space="preserve"> Iepirkumu uzraudzības birojā (IUB). PV veica atkārtotu pretendentu piedāvājumu izvērtēšanu atbilstoši IUB lēmumiem un 2019. gada 20. maij</w:t>
      </w:r>
      <w:r>
        <w:rPr>
          <w:sz w:val="28"/>
          <w:szCs w:val="28"/>
        </w:rPr>
        <w:t>ā</w:t>
      </w:r>
      <w:r w:rsidRPr="001B403B">
        <w:rPr>
          <w:sz w:val="28"/>
          <w:szCs w:val="28"/>
        </w:rPr>
        <w:t xml:space="preserve"> tiesības piegādāt jaunos elektrovilcienus tika piešķirtas ŠKODA VAGONKA A.S. Lai arī šo lēmumu atkārtoti apstrīdēja PATENTES TALGO, S.L., IUB 2019.</w:t>
      </w:r>
      <w:r>
        <w:rPr>
          <w:sz w:val="28"/>
          <w:szCs w:val="28"/>
        </w:rPr>
        <w:t> </w:t>
      </w:r>
      <w:r w:rsidRPr="001B403B">
        <w:rPr>
          <w:sz w:val="28"/>
          <w:szCs w:val="28"/>
        </w:rPr>
        <w:t>gada 3.</w:t>
      </w:r>
      <w:r>
        <w:rPr>
          <w:sz w:val="28"/>
          <w:szCs w:val="28"/>
        </w:rPr>
        <w:t> </w:t>
      </w:r>
      <w:r w:rsidRPr="001B403B">
        <w:rPr>
          <w:sz w:val="28"/>
          <w:szCs w:val="28"/>
        </w:rPr>
        <w:t>jūlija publicēja lēmumu, ar kuru atzina PATENTES TALGO, S.L. sūdzību par nepamatotu un atļāva slēgt iepirkuma līgumu ar ŠKODA VAGONKA A.S.</w:t>
      </w:r>
    </w:p>
    <w:p w14:paraId="7DDD5E8E" w14:textId="77777777" w:rsidR="00D11394" w:rsidRPr="001B403B" w:rsidRDefault="00D11394" w:rsidP="00D11394">
      <w:pPr>
        <w:ind w:firstLine="720"/>
        <w:jc w:val="both"/>
        <w:rPr>
          <w:sz w:val="28"/>
          <w:szCs w:val="28"/>
        </w:rPr>
      </w:pPr>
      <w:r w:rsidRPr="00CD2B89">
        <w:rPr>
          <w:sz w:val="28"/>
          <w:szCs w:val="28"/>
        </w:rPr>
        <w:t>Plānotais līguma noslēgšanas laiks – ne vēlāk kā līdz 2019.</w:t>
      </w:r>
      <w:r>
        <w:rPr>
          <w:sz w:val="28"/>
          <w:szCs w:val="28"/>
        </w:rPr>
        <w:t> </w:t>
      </w:r>
      <w:r w:rsidRPr="00CD2B89">
        <w:rPr>
          <w:sz w:val="28"/>
          <w:szCs w:val="28"/>
        </w:rPr>
        <w:t>gada 30.</w:t>
      </w:r>
      <w:r>
        <w:rPr>
          <w:sz w:val="28"/>
          <w:szCs w:val="28"/>
        </w:rPr>
        <w:t> </w:t>
      </w:r>
      <w:r w:rsidRPr="00CD2B89">
        <w:rPr>
          <w:sz w:val="28"/>
          <w:szCs w:val="28"/>
        </w:rPr>
        <w:t>jūlijam, līguma spēkā stāšanās laiks – ne vēlāk kā līdz 2019.</w:t>
      </w:r>
      <w:r>
        <w:rPr>
          <w:sz w:val="28"/>
          <w:szCs w:val="28"/>
        </w:rPr>
        <w:t> </w:t>
      </w:r>
      <w:r w:rsidRPr="00CD2B89">
        <w:rPr>
          <w:sz w:val="28"/>
          <w:szCs w:val="28"/>
        </w:rPr>
        <w:t>gada 30.</w:t>
      </w:r>
      <w:r>
        <w:rPr>
          <w:sz w:val="28"/>
          <w:szCs w:val="28"/>
        </w:rPr>
        <w:t> </w:t>
      </w:r>
      <w:r w:rsidRPr="00CD2B89">
        <w:rPr>
          <w:sz w:val="28"/>
          <w:szCs w:val="28"/>
        </w:rPr>
        <w:t xml:space="preserve">augustam, avansa maksājums 15% apmērā no līguma summas </w:t>
      </w:r>
      <w:r>
        <w:rPr>
          <w:sz w:val="28"/>
          <w:szCs w:val="28"/>
        </w:rPr>
        <w:t>–</w:t>
      </w:r>
      <w:r w:rsidRPr="00CD2B89">
        <w:rPr>
          <w:sz w:val="28"/>
          <w:szCs w:val="28"/>
        </w:rPr>
        <w:t xml:space="preserve"> laika periodā no līguma stāšanās spēkā līdz 2019. gada 30. decembrim.</w:t>
      </w:r>
    </w:p>
    <w:p w14:paraId="30815942" w14:textId="77777777" w:rsidR="00D11394" w:rsidRDefault="00D11394" w:rsidP="00D11394">
      <w:pPr>
        <w:ind w:firstLine="720"/>
        <w:jc w:val="both"/>
        <w:rPr>
          <w:sz w:val="28"/>
          <w:szCs w:val="28"/>
        </w:rPr>
      </w:pPr>
      <w:r w:rsidRPr="001B403B">
        <w:rPr>
          <w:sz w:val="28"/>
          <w:szCs w:val="28"/>
        </w:rPr>
        <w:t>Iepirkuma līguma noslēgšanu būtiski ietekmē finansējuma piesaiste elektrovilcienu iegādei, jo viens no iepirkuma līguma spēkā stāšanās priekšnosacījumiem ir finansējuma elektrovilcienu piegādei pieejamība piln</w:t>
      </w:r>
      <w:r>
        <w:rPr>
          <w:sz w:val="28"/>
          <w:szCs w:val="28"/>
        </w:rPr>
        <w:t>ā</w:t>
      </w:r>
      <w:r w:rsidRPr="001B403B">
        <w:rPr>
          <w:sz w:val="28"/>
          <w:szCs w:val="28"/>
        </w:rPr>
        <w:t xml:space="preserve"> apmērā.</w:t>
      </w:r>
    </w:p>
    <w:p w14:paraId="66EEED90" w14:textId="77777777" w:rsidR="00CD7043" w:rsidRDefault="00CD7043" w:rsidP="00CD7043">
      <w:pPr>
        <w:ind w:firstLine="720"/>
        <w:jc w:val="both"/>
        <w:rPr>
          <w:sz w:val="28"/>
          <w:szCs w:val="28"/>
        </w:rPr>
      </w:pPr>
      <w:r>
        <w:rPr>
          <w:sz w:val="28"/>
          <w:szCs w:val="28"/>
        </w:rPr>
        <w:t>Paralēli jauno elektrovilcienu iegādei, 2019. – 2021. gadā tiks veikta remontu centra būvniecība. Remontu centrs ir neatraujami saistīts ar elektrovilcienu iegādes projektu un nepieciešams lai nodrošinātu elektrovilcienu uzturēšanu un drošības prasībām atbilstošu ekspluatāciju.</w:t>
      </w:r>
    </w:p>
    <w:p w14:paraId="6D4A1390" w14:textId="77777777" w:rsidR="00D11394" w:rsidRPr="001B403B" w:rsidRDefault="00D11394" w:rsidP="00D11394">
      <w:pPr>
        <w:jc w:val="both"/>
        <w:rPr>
          <w:sz w:val="28"/>
          <w:szCs w:val="28"/>
        </w:rPr>
      </w:pPr>
    </w:p>
    <w:p w14:paraId="4DDD6C4E" w14:textId="77777777" w:rsidR="00D11394" w:rsidRPr="001B403B" w:rsidRDefault="00D11394" w:rsidP="00D11394">
      <w:pPr>
        <w:jc w:val="both"/>
        <w:rPr>
          <w:sz w:val="28"/>
          <w:szCs w:val="28"/>
        </w:rPr>
      </w:pPr>
    </w:p>
    <w:p w14:paraId="4290C2E1" w14:textId="77777777" w:rsidR="00D11394" w:rsidRPr="001B403B" w:rsidRDefault="00D11394" w:rsidP="00D11394">
      <w:pPr>
        <w:pStyle w:val="ListParagraph"/>
        <w:numPr>
          <w:ilvl w:val="0"/>
          <w:numId w:val="12"/>
        </w:numPr>
        <w:jc w:val="center"/>
        <w:rPr>
          <w:b/>
          <w:sz w:val="28"/>
          <w:szCs w:val="28"/>
        </w:rPr>
      </w:pPr>
      <w:r w:rsidRPr="001B403B">
        <w:rPr>
          <w:b/>
          <w:sz w:val="28"/>
          <w:szCs w:val="28"/>
        </w:rPr>
        <w:t>PV ietekme  uz vispārējās valdības budžeta bilanci un parādu</w:t>
      </w:r>
    </w:p>
    <w:p w14:paraId="469103B6" w14:textId="77777777" w:rsidR="00D11394" w:rsidRDefault="00D11394" w:rsidP="00D11394">
      <w:pPr>
        <w:jc w:val="center"/>
        <w:rPr>
          <w:sz w:val="28"/>
          <w:szCs w:val="28"/>
        </w:rPr>
      </w:pPr>
    </w:p>
    <w:p w14:paraId="44482C04" w14:textId="77777777" w:rsidR="00D11394" w:rsidRPr="001B403B" w:rsidRDefault="00D11394" w:rsidP="00D11394">
      <w:pPr>
        <w:ind w:firstLine="567"/>
        <w:jc w:val="both"/>
        <w:rPr>
          <w:sz w:val="28"/>
          <w:szCs w:val="28"/>
        </w:rPr>
      </w:pPr>
      <w:r w:rsidRPr="001B403B">
        <w:rPr>
          <w:sz w:val="28"/>
          <w:szCs w:val="28"/>
        </w:rPr>
        <w:t xml:space="preserve">Atbilstoši Eiropas Parlamenta un Padomes 2013. gada 21. maija </w:t>
      </w:r>
      <w:r>
        <w:rPr>
          <w:sz w:val="28"/>
          <w:szCs w:val="28"/>
        </w:rPr>
        <w:t>r</w:t>
      </w:r>
      <w:r w:rsidRPr="001B403B">
        <w:rPr>
          <w:sz w:val="28"/>
          <w:szCs w:val="28"/>
        </w:rPr>
        <w:t>egulai Nr.</w:t>
      </w:r>
      <w:r>
        <w:rPr>
          <w:sz w:val="28"/>
          <w:szCs w:val="28"/>
        </w:rPr>
        <w:t> </w:t>
      </w:r>
      <w:r w:rsidRPr="001B403B">
        <w:rPr>
          <w:sz w:val="28"/>
          <w:szCs w:val="28"/>
        </w:rPr>
        <w:t>549/2013 (ES) par Eiropas nacionālo un reģionālo kontu sistēmu Eiropas Savienībā (turpmāk – EKS) PV ir iekļauts vispārējās valdības sektorā un</w:t>
      </w:r>
      <w:r>
        <w:rPr>
          <w:sz w:val="28"/>
          <w:szCs w:val="28"/>
        </w:rPr>
        <w:t>,</w:t>
      </w:r>
      <w:r w:rsidRPr="001B403B">
        <w:rPr>
          <w:sz w:val="28"/>
          <w:szCs w:val="28"/>
        </w:rPr>
        <w:t xml:space="preserve"> gatavojot vispārējās valdības sektora budžeta prognozes</w:t>
      </w:r>
      <w:r>
        <w:rPr>
          <w:sz w:val="28"/>
          <w:szCs w:val="28"/>
        </w:rPr>
        <w:t>,</w:t>
      </w:r>
      <w:r w:rsidRPr="001B403B">
        <w:rPr>
          <w:sz w:val="28"/>
          <w:szCs w:val="28"/>
        </w:rPr>
        <w:t xml:space="preserve"> PV plānotā saimnieciskās darbības ietekme tiek iekļauta aprēķinos atbilstoši vienotajai EKS metodoloģijai. Atbilstoši šai metodoloģijai aktīvu vērtības pieaugumam (</w:t>
      </w:r>
      <w:r>
        <w:rPr>
          <w:sz w:val="28"/>
          <w:szCs w:val="28"/>
        </w:rPr>
        <w:t>remontu centra</w:t>
      </w:r>
      <w:r w:rsidRPr="001B403B">
        <w:rPr>
          <w:sz w:val="28"/>
          <w:szCs w:val="28"/>
        </w:rPr>
        <w:t xml:space="preserve"> būvniecība un jauna elektrovilcienu ritošā sastāva iegāde) aprēķinos ir tieša ietekme uz vispārējās valdības sektora budžeta bilanci. </w:t>
      </w:r>
    </w:p>
    <w:p w14:paraId="1FCD798F" w14:textId="77777777" w:rsidR="00D11394" w:rsidRPr="001B403B" w:rsidRDefault="00D11394" w:rsidP="00D11394">
      <w:pPr>
        <w:ind w:firstLine="360"/>
        <w:jc w:val="both"/>
        <w:rPr>
          <w:sz w:val="28"/>
          <w:szCs w:val="28"/>
        </w:rPr>
      </w:pPr>
      <w:r w:rsidRPr="001B403B">
        <w:rPr>
          <w:sz w:val="28"/>
          <w:szCs w:val="28"/>
        </w:rPr>
        <w:t xml:space="preserve">Atbilstoši iepirkuma rezultātiem tika precizēts biznesa plāna projekts, veicot </w:t>
      </w:r>
      <w:r>
        <w:rPr>
          <w:sz w:val="28"/>
          <w:szCs w:val="28"/>
        </w:rPr>
        <w:t>šādas</w:t>
      </w:r>
      <w:r w:rsidRPr="001B403B">
        <w:rPr>
          <w:sz w:val="28"/>
          <w:szCs w:val="28"/>
        </w:rPr>
        <w:t xml:space="preserve"> izmaiņas:</w:t>
      </w:r>
    </w:p>
    <w:p w14:paraId="28BD3034" w14:textId="77777777" w:rsidR="00D11394" w:rsidRPr="00CD2B89" w:rsidRDefault="00D11394" w:rsidP="00D11394">
      <w:pPr>
        <w:pStyle w:val="ListParagraph"/>
        <w:numPr>
          <w:ilvl w:val="0"/>
          <w:numId w:val="10"/>
        </w:numPr>
        <w:spacing w:after="160" w:line="252" w:lineRule="auto"/>
        <w:jc w:val="both"/>
        <w:rPr>
          <w:sz w:val="28"/>
          <w:szCs w:val="28"/>
        </w:rPr>
      </w:pPr>
      <w:r>
        <w:rPr>
          <w:sz w:val="28"/>
          <w:szCs w:val="28"/>
        </w:rPr>
        <w:t>p</w:t>
      </w:r>
      <w:r w:rsidRPr="001B403B">
        <w:rPr>
          <w:sz w:val="28"/>
          <w:szCs w:val="28"/>
        </w:rPr>
        <w:t>recizēta jauno elektrovilcienu cenas aplēse, balstoties uz uzvarētāja iesniegt</w:t>
      </w:r>
      <w:r>
        <w:rPr>
          <w:sz w:val="28"/>
          <w:szCs w:val="28"/>
        </w:rPr>
        <w:t>o</w:t>
      </w:r>
      <w:r w:rsidRPr="001B403B">
        <w:rPr>
          <w:sz w:val="28"/>
          <w:szCs w:val="28"/>
        </w:rPr>
        <w:t xml:space="preserve"> finanšu piedāvājum</w:t>
      </w:r>
      <w:r>
        <w:rPr>
          <w:sz w:val="28"/>
          <w:szCs w:val="28"/>
        </w:rPr>
        <w:t>u</w:t>
      </w:r>
      <w:r w:rsidRPr="001B403B">
        <w:rPr>
          <w:sz w:val="28"/>
          <w:szCs w:val="28"/>
        </w:rPr>
        <w:t xml:space="preserve">; </w:t>
      </w:r>
      <w:r>
        <w:rPr>
          <w:sz w:val="28"/>
          <w:szCs w:val="28"/>
        </w:rPr>
        <w:t>s</w:t>
      </w:r>
      <w:r w:rsidRPr="001B403B">
        <w:rPr>
          <w:sz w:val="28"/>
          <w:szCs w:val="28"/>
        </w:rPr>
        <w:t xml:space="preserve">alīdzinot ar 2018. gada 5. novembra MK sēdē </w:t>
      </w:r>
      <w:r>
        <w:rPr>
          <w:sz w:val="28"/>
          <w:szCs w:val="28"/>
        </w:rPr>
        <w:t>pieņemto</w:t>
      </w:r>
      <w:r w:rsidRPr="001B403B">
        <w:rPr>
          <w:sz w:val="28"/>
          <w:szCs w:val="28"/>
        </w:rPr>
        <w:t xml:space="preserve">, kopējais projekta izmaksu samazinājums </w:t>
      </w:r>
      <w:r>
        <w:rPr>
          <w:sz w:val="28"/>
          <w:szCs w:val="28"/>
        </w:rPr>
        <w:t xml:space="preserve">ir </w:t>
      </w:r>
      <w:r w:rsidRPr="001B403B">
        <w:rPr>
          <w:sz w:val="28"/>
          <w:szCs w:val="28"/>
        </w:rPr>
        <w:t xml:space="preserve">3 milj. </w:t>
      </w:r>
      <w:proofErr w:type="spellStart"/>
      <w:r w:rsidRPr="001B403B">
        <w:rPr>
          <w:i/>
          <w:sz w:val="28"/>
          <w:szCs w:val="28"/>
        </w:rPr>
        <w:t>euro</w:t>
      </w:r>
      <w:proofErr w:type="spellEnd"/>
      <w:r>
        <w:rPr>
          <w:iCs/>
          <w:sz w:val="28"/>
          <w:szCs w:val="28"/>
        </w:rPr>
        <w:t xml:space="preserve"> un veido </w:t>
      </w:r>
      <w:r w:rsidRPr="00B60306">
        <w:rPr>
          <w:sz w:val="28"/>
          <w:szCs w:val="28"/>
        </w:rPr>
        <w:t xml:space="preserve">255 888 753 </w:t>
      </w:r>
      <w:proofErr w:type="spellStart"/>
      <w:r w:rsidRPr="00433F1F">
        <w:rPr>
          <w:i/>
          <w:iCs/>
          <w:sz w:val="28"/>
          <w:szCs w:val="28"/>
        </w:rPr>
        <w:t>euro</w:t>
      </w:r>
      <w:proofErr w:type="spellEnd"/>
      <w:r w:rsidRPr="00433F1F">
        <w:rPr>
          <w:iCs/>
          <w:sz w:val="28"/>
          <w:szCs w:val="28"/>
        </w:rPr>
        <w:t>:</w:t>
      </w:r>
    </w:p>
    <w:p w14:paraId="7CEEF8C7" w14:textId="77777777" w:rsidR="00D11394" w:rsidRPr="00CD2B89" w:rsidRDefault="00D11394" w:rsidP="00D11394">
      <w:pPr>
        <w:pStyle w:val="ListParagraph"/>
        <w:numPr>
          <w:ilvl w:val="1"/>
          <w:numId w:val="10"/>
        </w:numPr>
        <w:spacing w:after="160" w:line="252" w:lineRule="auto"/>
        <w:jc w:val="both"/>
        <w:rPr>
          <w:sz w:val="28"/>
          <w:szCs w:val="28"/>
        </w:rPr>
      </w:pPr>
      <w:r>
        <w:rPr>
          <w:iCs/>
          <w:sz w:val="28"/>
          <w:szCs w:val="28"/>
        </w:rPr>
        <w:lastRenderedPageBreak/>
        <w:t xml:space="preserve">elektrovilcienu (tajā skaitā personāla apmācības, iekārtas elektrovilcienu uzturēšanai un rezerves daļu fonds) iepirkuma līgums – </w:t>
      </w:r>
      <w:r w:rsidRPr="00CD2B89">
        <w:rPr>
          <w:iCs/>
          <w:sz w:val="28"/>
          <w:szCs w:val="28"/>
        </w:rPr>
        <w:t>241 888 753</w:t>
      </w:r>
      <w:r>
        <w:rPr>
          <w:iCs/>
          <w:sz w:val="28"/>
          <w:szCs w:val="28"/>
        </w:rPr>
        <w:t xml:space="preserve"> </w:t>
      </w:r>
      <w:proofErr w:type="spellStart"/>
      <w:r w:rsidRPr="00CD2B89">
        <w:rPr>
          <w:i/>
          <w:sz w:val="28"/>
          <w:szCs w:val="28"/>
        </w:rPr>
        <w:t>euro</w:t>
      </w:r>
      <w:proofErr w:type="spellEnd"/>
      <w:r>
        <w:rPr>
          <w:iCs/>
          <w:sz w:val="28"/>
          <w:szCs w:val="28"/>
        </w:rPr>
        <w:t>;</w:t>
      </w:r>
    </w:p>
    <w:p w14:paraId="76CAEBD7" w14:textId="63A7D691" w:rsidR="00D11394" w:rsidRDefault="00D11394" w:rsidP="00D11394">
      <w:pPr>
        <w:pStyle w:val="ListParagraph"/>
        <w:numPr>
          <w:ilvl w:val="1"/>
          <w:numId w:val="10"/>
        </w:numPr>
        <w:spacing w:after="160" w:line="252" w:lineRule="auto"/>
        <w:jc w:val="both"/>
        <w:rPr>
          <w:sz w:val="28"/>
          <w:szCs w:val="28"/>
        </w:rPr>
      </w:pPr>
      <w:r>
        <w:rPr>
          <w:iCs/>
          <w:sz w:val="28"/>
          <w:szCs w:val="28"/>
        </w:rPr>
        <w:t>remontu centra (depo) būvniecība (rekonstrukcija) – provizoriski 14 000 000 </w:t>
      </w:r>
      <w:proofErr w:type="spellStart"/>
      <w:r w:rsidRPr="00CD2B89">
        <w:rPr>
          <w:i/>
          <w:sz w:val="28"/>
          <w:szCs w:val="28"/>
        </w:rPr>
        <w:t>euro</w:t>
      </w:r>
      <w:proofErr w:type="spellEnd"/>
      <w:r>
        <w:rPr>
          <w:sz w:val="28"/>
          <w:szCs w:val="28"/>
        </w:rPr>
        <w:t>;</w:t>
      </w:r>
    </w:p>
    <w:p w14:paraId="54F82439" w14:textId="25B6A075" w:rsidR="007D6769" w:rsidRDefault="005358CC" w:rsidP="007D6769">
      <w:pPr>
        <w:pStyle w:val="ListParagraph"/>
        <w:numPr>
          <w:ilvl w:val="0"/>
          <w:numId w:val="10"/>
        </w:numPr>
        <w:spacing w:after="160" w:line="252" w:lineRule="auto"/>
        <w:rPr>
          <w:sz w:val="28"/>
          <w:szCs w:val="28"/>
        </w:rPr>
      </w:pPr>
      <w:r>
        <w:rPr>
          <w:sz w:val="28"/>
          <w:szCs w:val="28"/>
        </w:rPr>
        <w:t>p</w:t>
      </w:r>
      <w:r w:rsidR="007D6769">
        <w:rPr>
          <w:sz w:val="28"/>
          <w:szCs w:val="28"/>
        </w:rPr>
        <w:t xml:space="preserve">rojekta ietvaros tiks veiktas </w:t>
      </w:r>
      <w:r w:rsidR="004A5AB9">
        <w:rPr>
          <w:sz w:val="28"/>
          <w:szCs w:val="28"/>
        </w:rPr>
        <w:t>šādas</w:t>
      </w:r>
      <w:r w:rsidR="007D6769">
        <w:rPr>
          <w:sz w:val="28"/>
          <w:szCs w:val="28"/>
        </w:rPr>
        <w:t xml:space="preserve"> investīcijas:</w:t>
      </w:r>
    </w:p>
    <w:p w14:paraId="4E928668" w14:textId="77777777" w:rsidR="007D6769" w:rsidRDefault="007D6769" w:rsidP="007D19F4">
      <w:pPr>
        <w:pStyle w:val="ListParagraph"/>
        <w:numPr>
          <w:ilvl w:val="1"/>
          <w:numId w:val="10"/>
        </w:numPr>
        <w:spacing w:after="160" w:line="252" w:lineRule="auto"/>
        <w:jc w:val="both"/>
        <w:rPr>
          <w:sz w:val="28"/>
          <w:szCs w:val="28"/>
        </w:rPr>
      </w:pPr>
      <w:r>
        <w:rPr>
          <w:sz w:val="28"/>
          <w:szCs w:val="28"/>
        </w:rPr>
        <w:t>No 2019. līdz 2021. gadam tiks veikta remontu centra būvniecība;</w:t>
      </w:r>
    </w:p>
    <w:p w14:paraId="663B2C9B" w14:textId="77777777" w:rsidR="007D6769" w:rsidRDefault="007D6769" w:rsidP="007D19F4">
      <w:pPr>
        <w:pStyle w:val="ListParagraph"/>
        <w:numPr>
          <w:ilvl w:val="1"/>
          <w:numId w:val="10"/>
        </w:numPr>
        <w:spacing w:after="160" w:line="252" w:lineRule="auto"/>
        <w:jc w:val="both"/>
        <w:rPr>
          <w:sz w:val="28"/>
          <w:szCs w:val="28"/>
        </w:rPr>
      </w:pPr>
      <w:r>
        <w:rPr>
          <w:sz w:val="28"/>
          <w:szCs w:val="28"/>
        </w:rPr>
        <w:t>2022. gadā tiks piegādāti 23 elektrovilcieni, iekārtas un rezerves daļu fonds;</w:t>
      </w:r>
    </w:p>
    <w:p w14:paraId="072B1492" w14:textId="77777777" w:rsidR="007D6769" w:rsidRPr="001B403B" w:rsidRDefault="007D6769" w:rsidP="007D19F4">
      <w:pPr>
        <w:pStyle w:val="ListParagraph"/>
        <w:numPr>
          <w:ilvl w:val="1"/>
          <w:numId w:val="10"/>
        </w:numPr>
        <w:spacing w:after="160" w:line="252" w:lineRule="auto"/>
        <w:jc w:val="both"/>
        <w:rPr>
          <w:sz w:val="28"/>
          <w:szCs w:val="28"/>
        </w:rPr>
      </w:pPr>
      <w:r>
        <w:rPr>
          <w:sz w:val="28"/>
          <w:szCs w:val="28"/>
        </w:rPr>
        <w:t>2023. gadā tiks piegādāti 9 elektrovilcieni.</w:t>
      </w:r>
    </w:p>
    <w:p w14:paraId="61C6998E" w14:textId="77777777" w:rsidR="00D11394" w:rsidRPr="001B403B" w:rsidRDefault="00D11394" w:rsidP="00D11394">
      <w:pPr>
        <w:pStyle w:val="ListParagraph"/>
        <w:numPr>
          <w:ilvl w:val="0"/>
          <w:numId w:val="10"/>
        </w:numPr>
        <w:spacing w:after="160" w:line="252" w:lineRule="auto"/>
        <w:jc w:val="both"/>
        <w:rPr>
          <w:sz w:val="28"/>
          <w:szCs w:val="28"/>
        </w:rPr>
      </w:pPr>
      <w:r>
        <w:rPr>
          <w:sz w:val="28"/>
          <w:szCs w:val="28"/>
        </w:rPr>
        <w:t>p</w:t>
      </w:r>
      <w:r w:rsidRPr="001B403B">
        <w:rPr>
          <w:sz w:val="28"/>
          <w:szCs w:val="28"/>
        </w:rPr>
        <w:t>recizētas elektrovilcienu uzturēšanas izmaksas, balstoties uz uzvarētāja iesniegto finanšu piedāvājumu;</w:t>
      </w:r>
    </w:p>
    <w:p w14:paraId="1AFDBF92" w14:textId="77777777" w:rsidR="00D11394" w:rsidRPr="001B403B" w:rsidRDefault="00D11394" w:rsidP="00D11394">
      <w:pPr>
        <w:pStyle w:val="ListParagraph"/>
        <w:numPr>
          <w:ilvl w:val="0"/>
          <w:numId w:val="10"/>
        </w:numPr>
        <w:spacing w:after="160" w:line="252" w:lineRule="auto"/>
        <w:jc w:val="both"/>
        <w:rPr>
          <w:sz w:val="28"/>
          <w:szCs w:val="28"/>
        </w:rPr>
      </w:pPr>
      <w:r>
        <w:rPr>
          <w:sz w:val="28"/>
          <w:szCs w:val="28"/>
        </w:rPr>
        <w:t>p</w:t>
      </w:r>
      <w:r w:rsidRPr="001B403B">
        <w:rPr>
          <w:sz w:val="28"/>
          <w:szCs w:val="28"/>
        </w:rPr>
        <w:t>recizēt</w:t>
      </w:r>
      <w:r>
        <w:rPr>
          <w:sz w:val="28"/>
          <w:szCs w:val="28"/>
        </w:rPr>
        <w:t>a</w:t>
      </w:r>
      <w:r w:rsidRPr="001B403B">
        <w:rPr>
          <w:sz w:val="28"/>
          <w:szCs w:val="28"/>
        </w:rPr>
        <w:t>s elektrovilcienu elektroenerģijas izmaksas, balstoties uz uzvarētāja iesniegto finanšu piedāvājumu;</w:t>
      </w:r>
    </w:p>
    <w:p w14:paraId="13AAF57F" w14:textId="77777777" w:rsidR="00D11394" w:rsidRPr="001B403B" w:rsidRDefault="00D11394" w:rsidP="00D11394">
      <w:pPr>
        <w:pStyle w:val="ListParagraph"/>
        <w:numPr>
          <w:ilvl w:val="0"/>
          <w:numId w:val="10"/>
        </w:numPr>
        <w:spacing w:after="160" w:line="252" w:lineRule="auto"/>
        <w:jc w:val="both"/>
        <w:rPr>
          <w:sz w:val="28"/>
          <w:szCs w:val="28"/>
        </w:rPr>
      </w:pPr>
      <w:r>
        <w:rPr>
          <w:sz w:val="28"/>
          <w:szCs w:val="28"/>
        </w:rPr>
        <w:t>s</w:t>
      </w:r>
      <w:r w:rsidRPr="001B403B">
        <w:rPr>
          <w:sz w:val="28"/>
          <w:szCs w:val="28"/>
        </w:rPr>
        <w:t>arunās ar uzvarētāju precizēts elektrovilcienu piegādes grafiks, ievērojot prognozēto iepirkuma līguma noslēgšanas laiku;</w:t>
      </w:r>
    </w:p>
    <w:p w14:paraId="2098B81E" w14:textId="77777777" w:rsidR="00D11394" w:rsidRPr="001B403B" w:rsidRDefault="00D11394" w:rsidP="00D11394">
      <w:pPr>
        <w:pStyle w:val="ListParagraph"/>
        <w:numPr>
          <w:ilvl w:val="0"/>
          <w:numId w:val="10"/>
        </w:numPr>
        <w:spacing w:after="160" w:line="252" w:lineRule="auto"/>
        <w:jc w:val="both"/>
        <w:rPr>
          <w:sz w:val="28"/>
          <w:szCs w:val="28"/>
        </w:rPr>
      </w:pPr>
      <w:bookmarkStart w:id="0" w:name="_Hlk527553013"/>
      <w:r>
        <w:rPr>
          <w:sz w:val="28"/>
          <w:szCs w:val="28"/>
        </w:rPr>
        <w:t>p</w:t>
      </w:r>
      <w:r w:rsidRPr="001B403B">
        <w:rPr>
          <w:sz w:val="28"/>
          <w:szCs w:val="28"/>
        </w:rPr>
        <w:t>recizētajā biznesa plānā par bāzes gadu tiek ņemti plānotie 2019. gada dati;</w:t>
      </w:r>
    </w:p>
    <w:p w14:paraId="1DDC2C78" w14:textId="77777777" w:rsidR="00D11394" w:rsidRPr="001B403B" w:rsidRDefault="00D11394" w:rsidP="00D11394">
      <w:pPr>
        <w:pStyle w:val="ListParagraph"/>
        <w:numPr>
          <w:ilvl w:val="0"/>
          <w:numId w:val="10"/>
        </w:numPr>
        <w:spacing w:after="160" w:line="252" w:lineRule="auto"/>
        <w:jc w:val="both"/>
        <w:rPr>
          <w:sz w:val="28"/>
          <w:szCs w:val="28"/>
        </w:rPr>
      </w:pPr>
      <w:r>
        <w:rPr>
          <w:sz w:val="28"/>
          <w:szCs w:val="28"/>
        </w:rPr>
        <w:t>p</w:t>
      </w:r>
      <w:r w:rsidRPr="001B403B">
        <w:rPr>
          <w:sz w:val="28"/>
          <w:szCs w:val="28"/>
        </w:rPr>
        <w:t>recizētajā biznesa plāna projektā netiek ņemta vērā inflācijas (ienākumu un izdevumu) ietekme uz uzņēmuma darbības rādītājiem</w:t>
      </w:r>
      <w:bookmarkEnd w:id="0"/>
      <w:r w:rsidRPr="001B403B">
        <w:rPr>
          <w:sz w:val="28"/>
          <w:szCs w:val="28"/>
        </w:rPr>
        <w:t>;</w:t>
      </w:r>
    </w:p>
    <w:p w14:paraId="22A2BBB5" w14:textId="77777777" w:rsidR="00D11394" w:rsidRPr="001B403B" w:rsidRDefault="00D11394" w:rsidP="00D11394">
      <w:pPr>
        <w:pStyle w:val="ListParagraph"/>
        <w:numPr>
          <w:ilvl w:val="0"/>
          <w:numId w:val="10"/>
        </w:numPr>
        <w:spacing w:after="160" w:line="252" w:lineRule="auto"/>
        <w:jc w:val="both"/>
        <w:rPr>
          <w:sz w:val="28"/>
          <w:szCs w:val="28"/>
        </w:rPr>
      </w:pPr>
      <w:r>
        <w:rPr>
          <w:sz w:val="28"/>
          <w:szCs w:val="28"/>
        </w:rPr>
        <w:t>e</w:t>
      </w:r>
      <w:r w:rsidRPr="001B403B">
        <w:rPr>
          <w:sz w:val="28"/>
          <w:szCs w:val="28"/>
        </w:rPr>
        <w:t>sošā ritošā sastāva nolietojuma grafiks atbilstoši grāmatvedības prasībām pieskaņots esošā ritošā sastāva paredzamajam kalpošanas ilgumam.</w:t>
      </w:r>
    </w:p>
    <w:p w14:paraId="2DDD944D" w14:textId="77777777" w:rsidR="00C03F51" w:rsidRDefault="00C03F51" w:rsidP="00C44C1B">
      <w:pPr>
        <w:ind w:firstLine="720"/>
        <w:jc w:val="both"/>
        <w:rPr>
          <w:sz w:val="28"/>
          <w:szCs w:val="28"/>
        </w:rPr>
      </w:pPr>
      <w:r w:rsidRPr="00C03F51">
        <w:rPr>
          <w:sz w:val="28"/>
          <w:szCs w:val="28"/>
        </w:rPr>
        <w:t xml:space="preserve">SM informē, ka atbilstoši pēdējām aplēsēm, iepirkuma ietekme uz vispārējās valdības sektora budžeta bilanci (neizslēdzot valsts budžeta finansējuma ietekmi) ir sekojoša: 2019. gadā ir (4.3) miljoni </w:t>
      </w:r>
      <w:proofErr w:type="spellStart"/>
      <w:r w:rsidRPr="00C03F51">
        <w:rPr>
          <w:i/>
          <w:sz w:val="28"/>
          <w:szCs w:val="28"/>
        </w:rPr>
        <w:t>euro</w:t>
      </w:r>
      <w:proofErr w:type="spellEnd"/>
      <w:r w:rsidRPr="00C03F51">
        <w:rPr>
          <w:sz w:val="28"/>
          <w:szCs w:val="28"/>
        </w:rPr>
        <w:t xml:space="preserve"> (pozitīva ietekme), 2020. gadā ir (2.1) miljoni </w:t>
      </w:r>
      <w:proofErr w:type="spellStart"/>
      <w:r w:rsidRPr="00C03F51">
        <w:rPr>
          <w:i/>
          <w:sz w:val="28"/>
          <w:szCs w:val="28"/>
        </w:rPr>
        <w:t>euro</w:t>
      </w:r>
      <w:proofErr w:type="spellEnd"/>
      <w:r w:rsidRPr="00C03F51">
        <w:rPr>
          <w:sz w:val="28"/>
          <w:szCs w:val="28"/>
        </w:rPr>
        <w:t xml:space="preserve"> (pozitīva ietekme), 2021. gadā ir 2.2 miljoni </w:t>
      </w:r>
      <w:proofErr w:type="spellStart"/>
      <w:r w:rsidRPr="00C03F51">
        <w:rPr>
          <w:i/>
          <w:sz w:val="28"/>
          <w:szCs w:val="28"/>
        </w:rPr>
        <w:t>euro</w:t>
      </w:r>
      <w:proofErr w:type="spellEnd"/>
      <w:r w:rsidRPr="00C03F51">
        <w:rPr>
          <w:sz w:val="28"/>
          <w:szCs w:val="28"/>
        </w:rPr>
        <w:t xml:space="preserve">, 2022. gadā ir 168.4 miljoni </w:t>
      </w:r>
      <w:proofErr w:type="spellStart"/>
      <w:r w:rsidRPr="00C03F51">
        <w:rPr>
          <w:i/>
          <w:sz w:val="28"/>
          <w:szCs w:val="28"/>
        </w:rPr>
        <w:t>euro</w:t>
      </w:r>
      <w:proofErr w:type="spellEnd"/>
      <w:r w:rsidRPr="00C03F51">
        <w:rPr>
          <w:sz w:val="28"/>
          <w:szCs w:val="28"/>
        </w:rPr>
        <w:t xml:space="preserve"> un 2023. gadā ir 62.0 miljoni </w:t>
      </w:r>
      <w:proofErr w:type="spellStart"/>
      <w:r w:rsidRPr="00C03F51">
        <w:rPr>
          <w:i/>
          <w:sz w:val="28"/>
          <w:szCs w:val="28"/>
        </w:rPr>
        <w:t>euro</w:t>
      </w:r>
      <w:proofErr w:type="spellEnd"/>
      <w:r w:rsidRPr="00C03F51">
        <w:rPr>
          <w:sz w:val="28"/>
          <w:szCs w:val="28"/>
        </w:rPr>
        <w:t xml:space="preserve">. </w:t>
      </w:r>
    </w:p>
    <w:p w14:paraId="6FC705CE" w14:textId="77777777" w:rsidR="002567A4" w:rsidRPr="001B403B" w:rsidRDefault="002567A4" w:rsidP="002567A4">
      <w:pPr>
        <w:ind w:firstLine="720"/>
        <w:jc w:val="both"/>
        <w:rPr>
          <w:rStyle w:val="spelle"/>
          <w:iCs/>
          <w:sz w:val="28"/>
          <w:szCs w:val="28"/>
        </w:rPr>
      </w:pPr>
      <w:r w:rsidRPr="007B3765">
        <w:rPr>
          <w:sz w:val="28"/>
          <w:szCs w:val="28"/>
        </w:rPr>
        <w:t>Ievērojot to, ka elektrovilcienu iegādei plānots piesaistīt Eiropas Savienības fondu līdzfinansējumu</w:t>
      </w:r>
      <w:r w:rsidRPr="00386BB7">
        <w:rPr>
          <w:sz w:val="28"/>
          <w:szCs w:val="28"/>
        </w:rPr>
        <w:t>, tādejādi</w:t>
      </w:r>
      <w:r w:rsidRPr="007B3765">
        <w:rPr>
          <w:sz w:val="28"/>
          <w:szCs w:val="28"/>
        </w:rPr>
        <w:t xml:space="preserve"> paredzot arī </w:t>
      </w:r>
      <w:r>
        <w:rPr>
          <w:sz w:val="28"/>
          <w:szCs w:val="28"/>
        </w:rPr>
        <w:t xml:space="preserve">ietekmes uz </w:t>
      </w:r>
      <w:r w:rsidRPr="007B3765">
        <w:rPr>
          <w:sz w:val="28"/>
          <w:szCs w:val="28"/>
        </w:rPr>
        <w:t>vispārējās valdības budžeta</w:t>
      </w:r>
      <w:r>
        <w:rPr>
          <w:sz w:val="28"/>
          <w:szCs w:val="28"/>
        </w:rPr>
        <w:t xml:space="preserve"> bilanci</w:t>
      </w:r>
      <w:r w:rsidRPr="007B3765">
        <w:rPr>
          <w:sz w:val="28"/>
          <w:szCs w:val="28"/>
        </w:rPr>
        <w:t xml:space="preserve"> mazināšanas iespējas, PV </w:t>
      </w:r>
      <w:r>
        <w:rPr>
          <w:sz w:val="28"/>
          <w:szCs w:val="28"/>
        </w:rPr>
        <w:t xml:space="preserve">iepirkuma ietekmi uz vispārējās valdības budžeta bilanci un </w:t>
      </w:r>
      <w:r w:rsidRPr="007B3765">
        <w:rPr>
          <w:sz w:val="28"/>
          <w:szCs w:val="28"/>
        </w:rPr>
        <w:t>ilgtermiņa saistības finansējuma nodrošināšanai 2021.-2023.</w:t>
      </w:r>
      <w:r>
        <w:rPr>
          <w:sz w:val="28"/>
          <w:szCs w:val="28"/>
        </w:rPr>
        <w:t> </w:t>
      </w:r>
      <w:r w:rsidRPr="007B3765">
        <w:rPr>
          <w:sz w:val="28"/>
          <w:szCs w:val="28"/>
        </w:rPr>
        <w:t>gadā jaunu elektrovilcienu iegādei būs nepieciešams pārskatīt pēc Eiropas Komisijas lēmuma par  SM ierosinātajiem grozījumu priekšlikumiem Eiropas Savienības struktūrfondu un Kohēzijas fonda 2014.–2020.</w:t>
      </w:r>
      <w:r>
        <w:rPr>
          <w:sz w:val="28"/>
          <w:szCs w:val="28"/>
        </w:rPr>
        <w:t> </w:t>
      </w:r>
      <w:r w:rsidRPr="007B3765">
        <w:rPr>
          <w:sz w:val="28"/>
          <w:szCs w:val="28"/>
        </w:rPr>
        <w:t xml:space="preserve">gada plānošanas perioda darbības programmā </w:t>
      </w:r>
      <w:r>
        <w:rPr>
          <w:sz w:val="28"/>
          <w:szCs w:val="28"/>
        </w:rPr>
        <w:t>“</w:t>
      </w:r>
      <w:r w:rsidRPr="007B3765">
        <w:rPr>
          <w:sz w:val="28"/>
          <w:szCs w:val="28"/>
        </w:rPr>
        <w:t>Izaugsme un nodarbinātība</w:t>
      </w:r>
      <w:r>
        <w:rPr>
          <w:sz w:val="28"/>
          <w:szCs w:val="28"/>
        </w:rPr>
        <w:t>”</w:t>
      </w:r>
      <w:r w:rsidRPr="007B3765">
        <w:rPr>
          <w:sz w:val="28"/>
          <w:szCs w:val="28"/>
        </w:rPr>
        <w:t xml:space="preserve"> iekļaut darbības un attiecināmas izmaksas, kas saistītas ar jaunu elektrovilcienu iegādi, un Eiropas Savienības fondu līdzfinansēta projekta priekšlikuma apstiprināšanas.</w:t>
      </w:r>
      <w:r>
        <w:rPr>
          <w:sz w:val="28"/>
          <w:szCs w:val="28"/>
        </w:rPr>
        <w:t xml:space="preserve"> </w:t>
      </w:r>
    </w:p>
    <w:p w14:paraId="7175AE81" w14:textId="77777777" w:rsidR="00C44C1B" w:rsidRPr="001B403B" w:rsidRDefault="00C44C1B" w:rsidP="00C44C1B">
      <w:pPr>
        <w:ind w:firstLine="720"/>
        <w:jc w:val="both"/>
        <w:rPr>
          <w:sz w:val="28"/>
          <w:szCs w:val="28"/>
        </w:rPr>
      </w:pPr>
      <w:r w:rsidRPr="001B403B">
        <w:rPr>
          <w:sz w:val="28"/>
          <w:szCs w:val="28"/>
        </w:rPr>
        <w:t xml:space="preserve">Atbilstoši pēdējām aplēsēm precizētais PV biznesa plāna projekts paredz, ka kompensācijas apmērs par sabiedriskā transporta pakalpojumu sniegšanā radītiem zaudējumiem tiek plānots 2019. gadā </w:t>
      </w:r>
      <w:r w:rsidR="00212AE8">
        <w:rPr>
          <w:sz w:val="28"/>
          <w:szCs w:val="28"/>
        </w:rPr>
        <w:t>13</w:t>
      </w:r>
      <w:r w:rsidRPr="001B403B">
        <w:rPr>
          <w:sz w:val="28"/>
          <w:szCs w:val="28"/>
        </w:rPr>
        <w:t xml:space="preserve"> </w:t>
      </w:r>
      <w:r w:rsidR="00212AE8">
        <w:rPr>
          <w:sz w:val="28"/>
          <w:szCs w:val="28"/>
        </w:rPr>
        <w:t>976</w:t>
      </w:r>
      <w:r w:rsidRPr="001B403B">
        <w:rPr>
          <w:sz w:val="28"/>
          <w:szCs w:val="28"/>
        </w:rPr>
        <w:t xml:space="preserve"> </w:t>
      </w:r>
      <w:r w:rsidR="00212AE8">
        <w:rPr>
          <w:sz w:val="28"/>
          <w:szCs w:val="28"/>
        </w:rPr>
        <w:t>990</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2020. gadā </w:t>
      </w:r>
      <w:r>
        <w:rPr>
          <w:sz w:val="28"/>
          <w:szCs w:val="28"/>
        </w:rPr>
        <w:t xml:space="preserve">           </w:t>
      </w:r>
      <w:r w:rsidR="00212AE8">
        <w:rPr>
          <w:sz w:val="28"/>
          <w:szCs w:val="28"/>
        </w:rPr>
        <w:t>14</w:t>
      </w:r>
      <w:r w:rsidR="00587812">
        <w:rPr>
          <w:sz w:val="28"/>
          <w:szCs w:val="28"/>
        </w:rPr>
        <w:t xml:space="preserve"> </w:t>
      </w:r>
      <w:r w:rsidR="00212AE8">
        <w:rPr>
          <w:sz w:val="28"/>
          <w:szCs w:val="28"/>
        </w:rPr>
        <w:t>520</w:t>
      </w:r>
      <w:r w:rsidR="00587812">
        <w:rPr>
          <w:sz w:val="28"/>
          <w:szCs w:val="28"/>
        </w:rPr>
        <w:t xml:space="preserve"> </w:t>
      </w:r>
      <w:r w:rsidR="00212AE8">
        <w:rPr>
          <w:sz w:val="28"/>
          <w:szCs w:val="28"/>
        </w:rPr>
        <w:t>737</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2021. gadā </w:t>
      </w:r>
      <w:r w:rsidR="00587812">
        <w:rPr>
          <w:sz w:val="28"/>
          <w:szCs w:val="28"/>
        </w:rPr>
        <w:t xml:space="preserve">14 </w:t>
      </w:r>
      <w:r w:rsidR="00212AE8">
        <w:rPr>
          <w:sz w:val="28"/>
          <w:szCs w:val="28"/>
        </w:rPr>
        <w:t>597</w:t>
      </w:r>
      <w:r w:rsidR="00587812">
        <w:rPr>
          <w:sz w:val="28"/>
          <w:szCs w:val="28"/>
        </w:rPr>
        <w:t xml:space="preserve"> </w:t>
      </w:r>
      <w:r w:rsidR="00212AE8">
        <w:rPr>
          <w:sz w:val="28"/>
          <w:szCs w:val="28"/>
        </w:rPr>
        <w:t>683</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2022. gadā </w:t>
      </w:r>
      <w:r w:rsidR="00212AE8">
        <w:rPr>
          <w:sz w:val="28"/>
          <w:szCs w:val="28"/>
        </w:rPr>
        <w:t>15</w:t>
      </w:r>
      <w:r w:rsidR="00587812">
        <w:rPr>
          <w:sz w:val="28"/>
          <w:szCs w:val="28"/>
        </w:rPr>
        <w:t xml:space="preserve"> </w:t>
      </w:r>
      <w:r w:rsidR="00212AE8">
        <w:rPr>
          <w:sz w:val="28"/>
          <w:szCs w:val="28"/>
        </w:rPr>
        <w:t>531</w:t>
      </w:r>
      <w:r w:rsidR="00587812">
        <w:rPr>
          <w:sz w:val="28"/>
          <w:szCs w:val="28"/>
        </w:rPr>
        <w:t xml:space="preserve"> </w:t>
      </w:r>
      <w:r w:rsidR="00212AE8">
        <w:rPr>
          <w:sz w:val="28"/>
          <w:szCs w:val="28"/>
        </w:rPr>
        <w:t>285</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un  2023. gadā </w:t>
      </w:r>
      <w:r w:rsidR="00587812">
        <w:rPr>
          <w:sz w:val="28"/>
          <w:szCs w:val="28"/>
        </w:rPr>
        <w:t>10 515 962</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un tas pārsniedz Ministru kabineta 2018.gada 10.aprīļa sēdē (prot.Nr.19, 36.§, 2.p.) apstiprinātās valsts pamatbudžeta bāzes </w:t>
      </w:r>
      <w:r w:rsidRPr="001B403B">
        <w:rPr>
          <w:sz w:val="28"/>
          <w:szCs w:val="28"/>
        </w:rPr>
        <w:lastRenderedPageBreak/>
        <w:t xml:space="preserve">2019.-2021.gadam un Latvijas Stabilitātes programmā 2018.-2021.gadam ietvaros plānoto zaudējumu apmēru </w:t>
      </w:r>
      <w:bookmarkStart w:id="1" w:name="_Hlk13147788"/>
      <w:r w:rsidRPr="001B403B">
        <w:rPr>
          <w:sz w:val="28"/>
          <w:szCs w:val="28"/>
        </w:rPr>
        <w:t xml:space="preserve">2019. gadā par </w:t>
      </w:r>
      <w:r w:rsidR="00D70C31">
        <w:rPr>
          <w:sz w:val="28"/>
          <w:szCs w:val="28"/>
        </w:rPr>
        <w:t>6 359 614</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un 2020. gadā par </w:t>
      </w:r>
      <w:r w:rsidR="00D70C31">
        <w:rPr>
          <w:sz w:val="28"/>
          <w:szCs w:val="28"/>
        </w:rPr>
        <w:t>6 903 361</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un 2021. gadā par </w:t>
      </w:r>
      <w:r w:rsidR="00D70C31">
        <w:rPr>
          <w:sz w:val="28"/>
          <w:szCs w:val="28"/>
        </w:rPr>
        <w:t>6 980 307</w:t>
      </w:r>
      <w:r w:rsidRPr="001B403B">
        <w:rPr>
          <w:sz w:val="28"/>
          <w:szCs w:val="28"/>
        </w:rPr>
        <w:t xml:space="preserve"> </w:t>
      </w:r>
      <w:proofErr w:type="spellStart"/>
      <w:r w:rsidRPr="001B403B">
        <w:rPr>
          <w:i/>
          <w:iCs/>
          <w:sz w:val="28"/>
          <w:szCs w:val="28"/>
        </w:rPr>
        <w:t>euro</w:t>
      </w:r>
      <w:proofErr w:type="spellEnd"/>
      <w:r w:rsidRPr="001B403B">
        <w:rPr>
          <w:sz w:val="28"/>
          <w:szCs w:val="28"/>
        </w:rPr>
        <w:t xml:space="preserve">, jeb kopā šajā periodā par </w:t>
      </w:r>
      <w:r>
        <w:rPr>
          <w:sz w:val="28"/>
          <w:szCs w:val="28"/>
        </w:rPr>
        <w:t xml:space="preserve">                    </w:t>
      </w:r>
      <w:r w:rsidR="00D70C31">
        <w:rPr>
          <w:sz w:val="28"/>
          <w:szCs w:val="28"/>
        </w:rPr>
        <w:t>20</w:t>
      </w:r>
      <w:r w:rsidR="00587812">
        <w:rPr>
          <w:sz w:val="28"/>
          <w:szCs w:val="28"/>
        </w:rPr>
        <w:t xml:space="preserve"> </w:t>
      </w:r>
      <w:r w:rsidR="00D70C31">
        <w:rPr>
          <w:sz w:val="28"/>
          <w:szCs w:val="28"/>
        </w:rPr>
        <w:t>243</w:t>
      </w:r>
      <w:r w:rsidR="00587812">
        <w:rPr>
          <w:sz w:val="28"/>
          <w:szCs w:val="28"/>
        </w:rPr>
        <w:t xml:space="preserve"> </w:t>
      </w:r>
      <w:r w:rsidR="00D70C31">
        <w:rPr>
          <w:sz w:val="28"/>
          <w:szCs w:val="28"/>
        </w:rPr>
        <w:t>282</w:t>
      </w:r>
      <w:r w:rsidRPr="001B403B">
        <w:rPr>
          <w:sz w:val="28"/>
          <w:szCs w:val="28"/>
        </w:rPr>
        <w:t xml:space="preserve"> </w:t>
      </w:r>
      <w:proofErr w:type="spellStart"/>
      <w:r w:rsidRPr="001B403B">
        <w:rPr>
          <w:i/>
          <w:iCs/>
          <w:sz w:val="28"/>
          <w:szCs w:val="28"/>
        </w:rPr>
        <w:t>euro</w:t>
      </w:r>
      <w:bookmarkEnd w:id="1"/>
      <w:proofErr w:type="spellEnd"/>
      <w:r w:rsidRPr="001B403B">
        <w:rPr>
          <w:sz w:val="28"/>
          <w:szCs w:val="28"/>
        </w:rPr>
        <w:t xml:space="preserve">, pieņemot, ka Sabiedriskā transporta padome saglabā 2018. gada  proporciju zaudējumiem PV pret kopējo </w:t>
      </w:r>
      <w:r w:rsidRPr="001F5AC0">
        <w:rPr>
          <w:sz w:val="28"/>
          <w:szCs w:val="28"/>
        </w:rPr>
        <w:t xml:space="preserve">Ministru kabineta 2018.gada 10.aprīļa sēdē (prot.Nr.19, 36.§, 2.p.) apstiprinātās valsts pamatbudžeta bāzēs 2020.-2022. gadam un Latvijas Stabilitātes programmā 2019.-2022. gadam ieplānoto dotāciju zaudējumu segšanai sabiedriskā transporta pakalpojumu sniedzējiem Satiksmes ministrijas budžeta programmā 31.00.00 “Sabiedriskais transports”. </w:t>
      </w:r>
      <w:r w:rsidR="0074786F">
        <w:rPr>
          <w:sz w:val="28"/>
          <w:szCs w:val="28"/>
        </w:rPr>
        <w:t xml:space="preserve">Aplēstais pārsniegums ir par </w:t>
      </w:r>
      <w:r w:rsidR="00D70C31">
        <w:rPr>
          <w:sz w:val="28"/>
          <w:szCs w:val="28"/>
        </w:rPr>
        <w:t>2 262 166</w:t>
      </w:r>
      <w:r w:rsidR="0074786F">
        <w:rPr>
          <w:sz w:val="28"/>
          <w:szCs w:val="28"/>
        </w:rPr>
        <w:t xml:space="preserve"> </w:t>
      </w:r>
      <w:proofErr w:type="spellStart"/>
      <w:r w:rsidR="0074786F" w:rsidRPr="00404BE2">
        <w:rPr>
          <w:i/>
          <w:sz w:val="28"/>
          <w:szCs w:val="28"/>
        </w:rPr>
        <w:t>euro</w:t>
      </w:r>
      <w:proofErr w:type="spellEnd"/>
      <w:r w:rsidR="0074786F">
        <w:rPr>
          <w:sz w:val="28"/>
          <w:szCs w:val="28"/>
        </w:rPr>
        <w:t xml:space="preserve"> lielāks nekā 2018. gada 5. novembra Ministru kabineta sēdē </w:t>
      </w:r>
      <w:r w:rsidR="00BA4089">
        <w:rPr>
          <w:sz w:val="28"/>
          <w:szCs w:val="28"/>
        </w:rPr>
        <w:t>pieņemtais</w:t>
      </w:r>
      <w:r w:rsidR="0074786F">
        <w:rPr>
          <w:sz w:val="28"/>
          <w:szCs w:val="28"/>
        </w:rPr>
        <w:t xml:space="preserve">. </w:t>
      </w:r>
      <w:r w:rsidRPr="001F5AC0">
        <w:rPr>
          <w:sz w:val="28"/>
          <w:szCs w:val="28"/>
        </w:rPr>
        <w:t xml:space="preserve">Minētais pārsniegums nav tieši saistīts ar jauno elektrovilcienu iegādi un </w:t>
      </w:r>
      <w:r w:rsidR="00F76D86">
        <w:rPr>
          <w:sz w:val="28"/>
          <w:szCs w:val="28"/>
        </w:rPr>
        <w:t>remontu centra</w:t>
      </w:r>
      <w:r w:rsidRPr="001F5AC0">
        <w:rPr>
          <w:sz w:val="28"/>
          <w:szCs w:val="28"/>
        </w:rPr>
        <w:t xml:space="preserve"> izbūvi.</w:t>
      </w:r>
    </w:p>
    <w:p w14:paraId="4AB4873E" w14:textId="77777777" w:rsidR="00C44C1B" w:rsidRPr="001B403B" w:rsidRDefault="00C44C1B" w:rsidP="00C44C1B">
      <w:pPr>
        <w:ind w:firstLine="720"/>
        <w:jc w:val="both"/>
        <w:rPr>
          <w:sz w:val="28"/>
          <w:szCs w:val="28"/>
        </w:rPr>
      </w:pPr>
      <w:r w:rsidRPr="001B403B">
        <w:rPr>
          <w:sz w:val="28"/>
          <w:szCs w:val="28"/>
        </w:rPr>
        <w:t>Ievērojot to, ka ietekme uz vispārējās valdības sektora budžeta bilanci un parādu ir atšķirīga nekā 2018. gadā 5. novembrī MK sēdē</w:t>
      </w:r>
      <w:r w:rsidR="00A575C1">
        <w:rPr>
          <w:sz w:val="28"/>
          <w:szCs w:val="28"/>
        </w:rPr>
        <w:t xml:space="preserve"> apstiprinātā</w:t>
      </w:r>
      <w:r w:rsidRPr="001B403B">
        <w:rPr>
          <w:sz w:val="28"/>
          <w:szCs w:val="28"/>
        </w:rPr>
        <w:t>, kā arī SM pārraudzībā nav pietiekoši liels budžeta apjoms, lai nosegtu jauno elektrovilcienu iepirkuma izdevumu kompensējošos pasākumus, nepieciešams MK lēmums par ietekmi uz vispārējās valdības sektora budžeta bilanci un parādu 2019. – 2023. gadā.</w:t>
      </w:r>
    </w:p>
    <w:p w14:paraId="0AB54372" w14:textId="77777777" w:rsidR="00C44C1B" w:rsidRDefault="00C44C1B" w:rsidP="00C44C1B">
      <w:pPr>
        <w:ind w:firstLine="720"/>
        <w:jc w:val="both"/>
        <w:rPr>
          <w:sz w:val="28"/>
          <w:szCs w:val="28"/>
        </w:rPr>
      </w:pPr>
    </w:p>
    <w:p w14:paraId="66E931CC" w14:textId="77777777" w:rsidR="00C44C1B" w:rsidRPr="00AC327E" w:rsidRDefault="00C44C1B" w:rsidP="00C44C1B">
      <w:pPr>
        <w:pStyle w:val="ListParagraph"/>
        <w:numPr>
          <w:ilvl w:val="0"/>
          <w:numId w:val="12"/>
        </w:numPr>
        <w:jc w:val="center"/>
        <w:rPr>
          <w:b/>
          <w:sz w:val="28"/>
          <w:szCs w:val="28"/>
        </w:rPr>
      </w:pPr>
      <w:r w:rsidRPr="001B403B">
        <w:rPr>
          <w:b/>
          <w:sz w:val="28"/>
          <w:szCs w:val="28"/>
        </w:rPr>
        <w:t xml:space="preserve">Finansējuma piesaiste </w:t>
      </w:r>
      <w:r w:rsidR="00AC327E">
        <w:rPr>
          <w:b/>
          <w:sz w:val="28"/>
          <w:szCs w:val="28"/>
        </w:rPr>
        <w:t xml:space="preserve">jauno </w:t>
      </w:r>
      <w:r w:rsidRPr="001B403B">
        <w:rPr>
          <w:b/>
          <w:sz w:val="28"/>
          <w:szCs w:val="28"/>
        </w:rPr>
        <w:t xml:space="preserve">elektrovilcienu </w:t>
      </w:r>
      <w:r w:rsidR="00AC327E">
        <w:rPr>
          <w:b/>
          <w:sz w:val="28"/>
          <w:szCs w:val="28"/>
        </w:rPr>
        <w:t>projektam</w:t>
      </w:r>
    </w:p>
    <w:p w14:paraId="1B284098" w14:textId="77777777" w:rsidR="00C44C1B" w:rsidRPr="001B403B" w:rsidRDefault="00C44C1B" w:rsidP="00C44C1B">
      <w:pPr>
        <w:ind w:firstLine="567"/>
        <w:jc w:val="both"/>
        <w:rPr>
          <w:sz w:val="28"/>
          <w:szCs w:val="28"/>
        </w:rPr>
      </w:pPr>
    </w:p>
    <w:p w14:paraId="422C2C91" w14:textId="77777777" w:rsidR="0049338E" w:rsidRPr="001B403B" w:rsidRDefault="0049338E" w:rsidP="0049338E">
      <w:pPr>
        <w:ind w:firstLine="426"/>
        <w:jc w:val="both"/>
        <w:rPr>
          <w:sz w:val="28"/>
          <w:szCs w:val="28"/>
        </w:rPr>
      </w:pPr>
      <w:r w:rsidRPr="001B403B">
        <w:rPr>
          <w:sz w:val="28"/>
          <w:szCs w:val="28"/>
        </w:rPr>
        <w:t xml:space="preserve">Viens no jauno elektrovilcienu pirkuma līguma spēkā stāšanās nosacījumiem </w:t>
      </w:r>
      <w:r>
        <w:rPr>
          <w:sz w:val="28"/>
          <w:szCs w:val="28"/>
        </w:rPr>
        <w:t>–</w:t>
      </w:r>
      <w:r w:rsidRPr="001B403B">
        <w:t xml:space="preserve"> </w:t>
      </w:r>
      <w:r w:rsidRPr="001B403B">
        <w:rPr>
          <w:sz w:val="28"/>
          <w:szCs w:val="28"/>
        </w:rPr>
        <w:t>PV ir parakstījis līgumu par jauno elektrovilcienu piegādes pilnīgu finansēšanu. Šāds priekšnosacījums nepieciešams, lai PV neuzņemtos saistības pret piegādātāju, pirms ir nodrošināts jauno elektrovilcienu iepirkuma finansējums pilnā apmērā. Šāds nosacījums nepieciešams, lai izpildītu Ministru prezidenta 2018.</w:t>
      </w:r>
      <w:r>
        <w:rPr>
          <w:sz w:val="28"/>
          <w:szCs w:val="28"/>
        </w:rPr>
        <w:t> </w:t>
      </w:r>
      <w:r w:rsidRPr="001B403B">
        <w:rPr>
          <w:sz w:val="28"/>
          <w:szCs w:val="28"/>
        </w:rPr>
        <w:t>gada 6. februāra rezolūciju Nr.</w:t>
      </w:r>
      <w:r>
        <w:rPr>
          <w:sz w:val="28"/>
          <w:szCs w:val="28"/>
        </w:rPr>
        <w:t> </w:t>
      </w:r>
      <w:r w:rsidRPr="001B403B">
        <w:rPr>
          <w:sz w:val="28"/>
          <w:szCs w:val="28"/>
        </w:rPr>
        <w:t xml:space="preserve">1.1.1/7 </w:t>
      </w:r>
      <w:r>
        <w:rPr>
          <w:sz w:val="28"/>
          <w:szCs w:val="28"/>
        </w:rPr>
        <w:t>–</w:t>
      </w:r>
      <w:r w:rsidRPr="001B403B">
        <w:rPr>
          <w:sz w:val="28"/>
          <w:szCs w:val="28"/>
        </w:rPr>
        <w:t xml:space="preserve"> ministrijām, to padotības iestādēm un kapitālsabiedrībām nav atļauts uzņemties finanšu saistības, kam nav piešķirts pietiekams finanšu segums.</w:t>
      </w:r>
    </w:p>
    <w:p w14:paraId="33B68397" w14:textId="77777777" w:rsidR="0049338E" w:rsidRPr="001B403B" w:rsidRDefault="0049338E" w:rsidP="0049338E">
      <w:pPr>
        <w:ind w:firstLine="851"/>
        <w:jc w:val="both"/>
        <w:rPr>
          <w:sz w:val="28"/>
          <w:szCs w:val="28"/>
        </w:rPr>
      </w:pPr>
      <w:r w:rsidRPr="001B403B">
        <w:rPr>
          <w:sz w:val="28"/>
          <w:szCs w:val="28"/>
        </w:rPr>
        <w:t>Līdz ar to, lai nodrošinātu elektrovilcienu ritošā sastāva atjaunošanas projekta realizāciju nepieciešams lemt par jauno elektrovilcienu iegādes projekta ietekmes uz vispārējās valdības budžeta bilanci un parādu apstiprināšanu un finansējuma piesaisti, uzņemoties ilgtermiņa saistības.</w:t>
      </w:r>
    </w:p>
    <w:p w14:paraId="7BE30FF8" w14:textId="77777777" w:rsidR="0049338E" w:rsidRPr="001B403B" w:rsidRDefault="0049338E" w:rsidP="0049338E">
      <w:pPr>
        <w:ind w:firstLine="709"/>
        <w:jc w:val="both"/>
        <w:rPr>
          <w:sz w:val="28"/>
          <w:szCs w:val="28"/>
        </w:rPr>
      </w:pPr>
      <w:r w:rsidRPr="001B403B">
        <w:rPr>
          <w:sz w:val="28"/>
          <w:szCs w:val="28"/>
        </w:rPr>
        <w:t>Ilgtermiņa saistību uzņemšanās nerada papildu slogu uz valsts budžetu, jo visa iepirkuma ietekme jau tiek ņemta vērā, aprēķinot ietekmi uz vispārējās valdības sektora budžeta bilanci.</w:t>
      </w:r>
    </w:p>
    <w:p w14:paraId="50E88E4F" w14:textId="77777777" w:rsidR="0049338E" w:rsidRPr="001B403B" w:rsidRDefault="0049338E" w:rsidP="0049338E">
      <w:pPr>
        <w:ind w:firstLine="851"/>
        <w:jc w:val="both"/>
        <w:rPr>
          <w:sz w:val="28"/>
          <w:szCs w:val="28"/>
        </w:rPr>
      </w:pPr>
      <w:r w:rsidRPr="001B403B">
        <w:rPr>
          <w:sz w:val="28"/>
          <w:szCs w:val="28"/>
        </w:rPr>
        <w:t>Realizējot šādu finansēšanas modeli, saskaņā ar precizētā biznesa plāna projekta aplēsēm no 2025.</w:t>
      </w:r>
      <w:r>
        <w:rPr>
          <w:sz w:val="28"/>
          <w:szCs w:val="28"/>
        </w:rPr>
        <w:t> </w:t>
      </w:r>
      <w:r w:rsidRPr="001B403B">
        <w:rPr>
          <w:sz w:val="28"/>
          <w:szCs w:val="28"/>
        </w:rPr>
        <w:t>gada PV vairs nebūs nepieciešama zaudējumu kompensācija no valsts budžeta. Zaudējumu kompensāciju mazinošie apstākļi ietver lielāku pārvadāto pasažieru skaitu pēc intervāla grafika ieviešanas, zemākas remontu izmaksas jaunajam ritošajam sastāvam, mazāku elektroenerģijas patēriņu, kā arī elektrovilcienu iepirkuma finansējuma struktūru, kas neparedz procentu maksājumus</w:t>
      </w:r>
      <w:r>
        <w:rPr>
          <w:sz w:val="28"/>
          <w:szCs w:val="28"/>
        </w:rPr>
        <w:t xml:space="preserve"> komercbankām</w:t>
      </w:r>
      <w:r w:rsidRPr="001B403B">
        <w:rPr>
          <w:sz w:val="28"/>
          <w:szCs w:val="28"/>
        </w:rPr>
        <w:t>.</w:t>
      </w:r>
    </w:p>
    <w:p w14:paraId="3A9A3478" w14:textId="182E995E" w:rsidR="00C44C1B" w:rsidRPr="001B403B" w:rsidRDefault="00C44C1B" w:rsidP="00C44C1B">
      <w:pPr>
        <w:pStyle w:val="ListParagraph"/>
        <w:ind w:left="0" w:firstLine="720"/>
        <w:jc w:val="both"/>
        <w:rPr>
          <w:sz w:val="28"/>
          <w:szCs w:val="28"/>
        </w:rPr>
      </w:pPr>
      <w:r w:rsidRPr="001B403B">
        <w:rPr>
          <w:sz w:val="28"/>
          <w:szCs w:val="28"/>
        </w:rPr>
        <w:t>Saskaņā ar precizēto biznesa modeli PV ilgtermiņa saistības fin</w:t>
      </w:r>
      <w:r w:rsidR="00680669">
        <w:rPr>
          <w:sz w:val="28"/>
          <w:szCs w:val="28"/>
        </w:rPr>
        <w:t>ansējuma nodrošināšanai PV jauno</w:t>
      </w:r>
      <w:r w:rsidRPr="001B403B">
        <w:rPr>
          <w:sz w:val="28"/>
          <w:szCs w:val="28"/>
        </w:rPr>
        <w:t xml:space="preserve"> </w:t>
      </w:r>
      <w:r w:rsidRPr="00680669">
        <w:rPr>
          <w:sz w:val="28"/>
          <w:szCs w:val="28"/>
        </w:rPr>
        <w:t xml:space="preserve">elektrovilcienu </w:t>
      </w:r>
      <w:r w:rsidR="00680669">
        <w:rPr>
          <w:sz w:val="28"/>
          <w:szCs w:val="28"/>
        </w:rPr>
        <w:t>projektam</w:t>
      </w:r>
      <w:r w:rsidRPr="001B403B">
        <w:rPr>
          <w:sz w:val="28"/>
          <w:szCs w:val="28"/>
        </w:rPr>
        <w:t xml:space="preserve"> ir nepieciešams 2019. gadā </w:t>
      </w:r>
      <w:r w:rsidRPr="001B403B">
        <w:rPr>
          <w:sz w:val="28"/>
          <w:szCs w:val="28"/>
        </w:rPr>
        <w:lastRenderedPageBreak/>
        <w:t xml:space="preserve">36.6 milj. </w:t>
      </w:r>
      <w:proofErr w:type="spellStart"/>
      <w:r w:rsidRPr="00B37455">
        <w:rPr>
          <w:i/>
          <w:sz w:val="28"/>
          <w:szCs w:val="28"/>
        </w:rPr>
        <w:t>euro</w:t>
      </w:r>
      <w:proofErr w:type="spellEnd"/>
      <w:r w:rsidRPr="001B403B">
        <w:rPr>
          <w:sz w:val="28"/>
          <w:szCs w:val="28"/>
        </w:rPr>
        <w:t xml:space="preserve"> apmērā,</w:t>
      </w:r>
      <w:r w:rsidR="00ED29B5">
        <w:rPr>
          <w:sz w:val="28"/>
          <w:szCs w:val="28"/>
        </w:rPr>
        <w:t xml:space="preserve"> tajā skaitā 349 000 </w:t>
      </w:r>
      <w:proofErr w:type="spellStart"/>
      <w:r w:rsidR="00ED29B5" w:rsidRPr="00411F0F">
        <w:rPr>
          <w:i/>
          <w:sz w:val="28"/>
          <w:szCs w:val="28"/>
        </w:rPr>
        <w:t>euro</w:t>
      </w:r>
      <w:proofErr w:type="spellEnd"/>
      <w:r w:rsidR="00ED29B5">
        <w:rPr>
          <w:sz w:val="28"/>
          <w:szCs w:val="28"/>
        </w:rPr>
        <w:t xml:space="preserve"> remontu centra būvniecībai,</w:t>
      </w:r>
      <w:r w:rsidRPr="001B403B">
        <w:rPr>
          <w:sz w:val="28"/>
          <w:szCs w:val="28"/>
        </w:rPr>
        <w:t xml:space="preserve"> 2020. gadā </w:t>
      </w:r>
      <w:r w:rsidR="00045F96">
        <w:rPr>
          <w:sz w:val="28"/>
          <w:szCs w:val="28"/>
        </w:rPr>
        <w:t>4.5</w:t>
      </w:r>
      <w:r w:rsidRPr="001B403B">
        <w:rPr>
          <w:sz w:val="28"/>
          <w:szCs w:val="28"/>
        </w:rPr>
        <w:t xml:space="preserve"> milj. </w:t>
      </w:r>
      <w:proofErr w:type="spellStart"/>
      <w:r w:rsidRPr="00B37455">
        <w:rPr>
          <w:i/>
          <w:sz w:val="28"/>
          <w:szCs w:val="28"/>
        </w:rPr>
        <w:t>euro</w:t>
      </w:r>
      <w:proofErr w:type="spellEnd"/>
      <w:r w:rsidRPr="001B403B">
        <w:rPr>
          <w:sz w:val="28"/>
          <w:szCs w:val="28"/>
        </w:rPr>
        <w:t xml:space="preserve"> apmērā, 2021. gadā </w:t>
      </w:r>
      <w:r w:rsidR="00045F96">
        <w:rPr>
          <w:sz w:val="28"/>
          <w:szCs w:val="28"/>
        </w:rPr>
        <w:t>15.1</w:t>
      </w:r>
      <w:r w:rsidRPr="001B403B">
        <w:rPr>
          <w:sz w:val="28"/>
          <w:szCs w:val="28"/>
        </w:rPr>
        <w:t xml:space="preserve"> milj. </w:t>
      </w:r>
      <w:proofErr w:type="spellStart"/>
      <w:r w:rsidRPr="00B37455">
        <w:rPr>
          <w:i/>
          <w:sz w:val="28"/>
          <w:szCs w:val="28"/>
        </w:rPr>
        <w:t>euro</w:t>
      </w:r>
      <w:proofErr w:type="spellEnd"/>
      <w:r w:rsidRPr="001B403B">
        <w:rPr>
          <w:sz w:val="28"/>
          <w:szCs w:val="28"/>
        </w:rPr>
        <w:t xml:space="preserve"> apmērā, 2022. gadā </w:t>
      </w:r>
      <w:r w:rsidR="00045F96">
        <w:rPr>
          <w:sz w:val="28"/>
          <w:szCs w:val="28"/>
        </w:rPr>
        <w:t>125.9</w:t>
      </w:r>
      <w:r w:rsidRPr="001B403B">
        <w:rPr>
          <w:sz w:val="28"/>
          <w:szCs w:val="28"/>
        </w:rPr>
        <w:t xml:space="preserve"> milj. </w:t>
      </w:r>
      <w:proofErr w:type="spellStart"/>
      <w:r w:rsidRPr="00B37455">
        <w:rPr>
          <w:i/>
          <w:sz w:val="28"/>
          <w:szCs w:val="28"/>
        </w:rPr>
        <w:t>euro</w:t>
      </w:r>
      <w:proofErr w:type="spellEnd"/>
      <w:r w:rsidRPr="001B403B">
        <w:rPr>
          <w:sz w:val="28"/>
          <w:szCs w:val="28"/>
        </w:rPr>
        <w:t xml:space="preserve"> apmērā, 2023. gadā </w:t>
      </w:r>
      <w:r w:rsidR="00BA5EF4">
        <w:rPr>
          <w:sz w:val="28"/>
          <w:szCs w:val="28"/>
        </w:rPr>
        <w:t>44.3</w:t>
      </w:r>
      <w:r w:rsidRPr="001B403B">
        <w:rPr>
          <w:sz w:val="28"/>
          <w:szCs w:val="28"/>
        </w:rPr>
        <w:t xml:space="preserve"> milj. </w:t>
      </w:r>
      <w:proofErr w:type="spellStart"/>
      <w:r w:rsidRPr="00B37455">
        <w:rPr>
          <w:i/>
          <w:sz w:val="28"/>
          <w:szCs w:val="28"/>
        </w:rPr>
        <w:t>euro</w:t>
      </w:r>
      <w:proofErr w:type="spellEnd"/>
      <w:r w:rsidRPr="001B403B">
        <w:rPr>
          <w:sz w:val="28"/>
          <w:szCs w:val="28"/>
        </w:rPr>
        <w:t xml:space="preserve"> apmērā un 2024. gadā </w:t>
      </w:r>
      <w:r w:rsidR="00BA5EF4">
        <w:rPr>
          <w:sz w:val="28"/>
          <w:szCs w:val="28"/>
        </w:rPr>
        <w:t>29.5</w:t>
      </w:r>
      <w:r w:rsidRPr="001B403B">
        <w:rPr>
          <w:sz w:val="28"/>
          <w:szCs w:val="28"/>
        </w:rPr>
        <w:t xml:space="preserve"> milj. </w:t>
      </w:r>
      <w:proofErr w:type="spellStart"/>
      <w:r w:rsidRPr="00B37455">
        <w:rPr>
          <w:i/>
          <w:sz w:val="28"/>
          <w:szCs w:val="28"/>
        </w:rPr>
        <w:t>euro</w:t>
      </w:r>
      <w:proofErr w:type="spellEnd"/>
      <w:r w:rsidRPr="001B403B">
        <w:rPr>
          <w:sz w:val="28"/>
          <w:szCs w:val="28"/>
        </w:rPr>
        <w:t xml:space="preserve"> apmērā.</w:t>
      </w:r>
    </w:p>
    <w:p w14:paraId="48DBA7C0" w14:textId="77777777" w:rsidR="00C44C1B" w:rsidRDefault="00C44C1B" w:rsidP="00C44C1B">
      <w:pPr>
        <w:ind w:firstLine="284"/>
        <w:jc w:val="both"/>
        <w:rPr>
          <w:sz w:val="28"/>
          <w:szCs w:val="28"/>
        </w:rPr>
      </w:pPr>
      <w:r>
        <w:rPr>
          <w:sz w:val="28"/>
          <w:szCs w:val="28"/>
        </w:rPr>
        <w:t xml:space="preserve">       </w:t>
      </w:r>
      <w:r w:rsidR="008932C9">
        <w:rPr>
          <w:sz w:val="28"/>
          <w:szCs w:val="28"/>
        </w:rPr>
        <w:t xml:space="preserve">Ministru kabineta 2019. gada 25. jūnija sēdē tika skatīts un pieņemts zināšanai </w:t>
      </w:r>
      <w:r w:rsidR="008932C9" w:rsidRPr="008932C9">
        <w:rPr>
          <w:sz w:val="28"/>
          <w:szCs w:val="28"/>
        </w:rPr>
        <w:t>Informatīvais ziņojums "Par AS "Pasažieru vilciens" rīkoto iepirkumu "Piepilsētas pasažieru elektrovilcienu un to uzturēšanai nepieciešamā aprīkojuma piegāde un personāla apmācība"</w:t>
      </w:r>
      <w:r w:rsidR="008932C9">
        <w:rPr>
          <w:sz w:val="28"/>
          <w:szCs w:val="28"/>
        </w:rPr>
        <w:t xml:space="preserve"> </w:t>
      </w:r>
      <w:r w:rsidR="008932C9" w:rsidRPr="008932C9">
        <w:rPr>
          <w:sz w:val="28"/>
          <w:szCs w:val="28"/>
        </w:rPr>
        <w:t xml:space="preserve">un tā rezultātā slēdzamā līguma izpildei nepieciešamo finansējumu un saistīto risku </w:t>
      </w:r>
      <w:proofErr w:type="spellStart"/>
      <w:r w:rsidR="008932C9" w:rsidRPr="008932C9">
        <w:rPr>
          <w:sz w:val="28"/>
          <w:szCs w:val="28"/>
        </w:rPr>
        <w:t>izvērtējums</w:t>
      </w:r>
      <w:proofErr w:type="spellEnd"/>
      <w:r w:rsidR="008932C9" w:rsidRPr="008932C9">
        <w:rPr>
          <w:sz w:val="28"/>
          <w:szCs w:val="28"/>
        </w:rPr>
        <w:t>"</w:t>
      </w:r>
      <w:r w:rsidR="008932C9">
        <w:rPr>
          <w:sz w:val="28"/>
          <w:szCs w:val="28"/>
        </w:rPr>
        <w:t xml:space="preserve"> (ierobežotas pieejamības statuss), kurā ir ietverts ar jauno vilcienu projekta īstenošanu saistīto risku </w:t>
      </w:r>
      <w:proofErr w:type="spellStart"/>
      <w:r w:rsidR="008932C9">
        <w:rPr>
          <w:sz w:val="28"/>
          <w:szCs w:val="28"/>
        </w:rPr>
        <w:t>izvērtējums</w:t>
      </w:r>
      <w:proofErr w:type="spellEnd"/>
      <w:r w:rsidR="008932C9">
        <w:rPr>
          <w:sz w:val="28"/>
          <w:szCs w:val="28"/>
        </w:rPr>
        <w:t>.</w:t>
      </w:r>
    </w:p>
    <w:p w14:paraId="2DBF4785" w14:textId="77777777" w:rsidR="005A0A0A" w:rsidRPr="008027D0" w:rsidRDefault="000B21B7" w:rsidP="008027D0">
      <w:pPr>
        <w:jc w:val="both"/>
        <w:rPr>
          <w:sz w:val="28"/>
          <w:szCs w:val="28"/>
        </w:rPr>
      </w:pPr>
      <w:r>
        <w:rPr>
          <w:sz w:val="28"/>
          <w:szCs w:val="28"/>
        </w:rPr>
        <w:t xml:space="preserve"> </w:t>
      </w:r>
      <w:r w:rsidR="005A0A0A" w:rsidRPr="008027D0">
        <w:rPr>
          <w:sz w:val="28"/>
          <w:szCs w:val="28"/>
        </w:rPr>
        <w:t>Atbildot uz F</w:t>
      </w:r>
      <w:r w:rsidR="00472453">
        <w:rPr>
          <w:sz w:val="28"/>
          <w:szCs w:val="28"/>
        </w:rPr>
        <w:t xml:space="preserve">inanšu </w:t>
      </w:r>
      <w:r w:rsidR="005A0A0A" w:rsidRPr="008027D0">
        <w:rPr>
          <w:sz w:val="28"/>
          <w:szCs w:val="28"/>
        </w:rPr>
        <w:t>M</w:t>
      </w:r>
      <w:r w:rsidR="00472453">
        <w:rPr>
          <w:sz w:val="28"/>
          <w:szCs w:val="28"/>
        </w:rPr>
        <w:t>inistrijas</w:t>
      </w:r>
      <w:r w:rsidR="005A0A0A" w:rsidRPr="008027D0">
        <w:rPr>
          <w:sz w:val="28"/>
          <w:szCs w:val="28"/>
        </w:rPr>
        <w:t xml:space="preserve"> izteikto lūgumu sniegt apliecinājumu, ka </w:t>
      </w:r>
    </w:p>
    <w:p w14:paraId="1E2779D5" w14:textId="77777777" w:rsidR="005A0A0A" w:rsidRPr="005A0A0A" w:rsidRDefault="005A0A0A" w:rsidP="005A0A0A">
      <w:pPr>
        <w:pStyle w:val="ListParagraph"/>
        <w:numPr>
          <w:ilvl w:val="0"/>
          <w:numId w:val="13"/>
        </w:numPr>
        <w:jc w:val="both"/>
        <w:rPr>
          <w:sz w:val="28"/>
          <w:szCs w:val="28"/>
        </w:rPr>
      </w:pPr>
      <w:r w:rsidRPr="005A0A0A">
        <w:rPr>
          <w:sz w:val="28"/>
          <w:szCs w:val="28"/>
        </w:rPr>
        <w:t xml:space="preserve">iepirkums kopumā (ne tikai daļā, ko vērtējis Iepirkumu uzraudzības birojs) atbilst iepirkuma noteikumiem; </w:t>
      </w:r>
    </w:p>
    <w:p w14:paraId="6B79A2EA" w14:textId="77777777" w:rsidR="005A0A0A" w:rsidRPr="005A0A0A" w:rsidRDefault="005A0A0A" w:rsidP="005A0A0A">
      <w:pPr>
        <w:pStyle w:val="ListParagraph"/>
        <w:numPr>
          <w:ilvl w:val="0"/>
          <w:numId w:val="13"/>
        </w:numPr>
        <w:jc w:val="both"/>
        <w:rPr>
          <w:sz w:val="28"/>
          <w:szCs w:val="28"/>
        </w:rPr>
      </w:pPr>
      <w:r w:rsidRPr="005A0A0A">
        <w:rPr>
          <w:sz w:val="28"/>
          <w:szCs w:val="28"/>
        </w:rPr>
        <w:t>sarunu procedūras dokumentos un tehniskajā specifikācijā iekļautās prasības ir izvērtētas un tās ir atbilstošas iepirkuma mērķim, nav pārmērīgas un attiecīgi nerada konkurences ierobežojumus un nepamatotu izmaksu palielinājumu;</w:t>
      </w:r>
    </w:p>
    <w:p w14:paraId="346BD03D" w14:textId="77777777" w:rsidR="005A0A0A" w:rsidRPr="005A0A0A" w:rsidRDefault="005A0A0A" w:rsidP="005A0A0A">
      <w:pPr>
        <w:pStyle w:val="ListParagraph"/>
        <w:numPr>
          <w:ilvl w:val="0"/>
          <w:numId w:val="13"/>
        </w:numPr>
        <w:jc w:val="both"/>
        <w:rPr>
          <w:sz w:val="28"/>
          <w:szCs w:val="28"/>
        </w:rPr>
      </w:pPr>
      <w:r w:rsidRPr="005A0A0A">
        <w:rPr>
          <w:sz w:val="28"/>
          <w:szCs w:val="28"/>
        </w:rPr>
        <w:t>sarunu procedūras norises atbilstība normatīvo aktu prasībām ir izvērtēta (tajā skaitā pārbaudīta visu kandidātu un pretendentu atbilstība visām sarunu procedūrā noteiktajām prasībām);</w:t>
      </w:r>
    </w:p>
    <w:p w14:paraId="272076EC" w14:textId="77777777" w:rsidR="005A0A0A" w:rsidRPr="005A0A0A" w:rsidRDefault="005A0A0A" w:rsidP="005A0A0A">
      <w:pPr>
        <w:pStyle w:val="ListParagraph"/>
        <w:numPr>
          <w:ilvl w:val="0"/>
          <w:numId w:val="13"/>
        </w:numPr>
        <w:jc w:val="both"/>
        <w:rPr>
          <w:sz w:val="28"/>
          <w:szCs w:val="28"/>
        </w:rPr>
      </w:pPr>
      <w:r w:rsidRPr="005A0A0A">
        <w:rPr>
          <w:sz w:val="28"/>
          <w:szCs w:val="28"/>
        </w:rPr>
        <w:t>korupcijas riski, kas varbūt saistīti ar AS “Pasažieru vilciens” un sarunu procedūrā noteikto uzvarētāju, ir izvērtēti un izslēgti;</w:t>
      </w:r>
    </w:p>
    <w:p w14:paraId="237F0F82" w14:textId="77777777" w:rsidR="005A0A0A" w:rsidRPr="008027D0" w:rsidRDefault="005A0A0A" w:rsidP="008027D0">
      <w:pPr>
        <w:ind w:left="644"/>
        <w:jc w:val="both"/>
        <w:rPr>
          <w:sz w:val="28"/>
          <w:szCs w:val="28"/>
        </w:rPr>
      </w:pPr>
    </w:p>
    <w:p w14:paraId="5C82A48C" w14:textId="14E5E76F" w:rsidR="00456D9A" w:rsidRPr="00456D9A" w:rsidRDefault="00456D9A" w:rsidP="00456D9A">
      <w:pPr>
        <w:ind w:firstLine="284"/>
        <w:jc w:val="both"/>
        <w:rPr>
          <w:sz w:val="28"/>
          <w:szCs w:val="28"/>
        </w:rPr>
      </w:pPr>
      <w:r w:rsidRPr="00456D9A">
        <w:rPr>
          <w:sz w:val="28"/>
          <w:szCs w:val="28"/>
        </w:rPr>
        <w:tab/>
        <w:t>skaidrojam, ka atbilstoši Sabiedrisko pakalpojumu sniedzēju iepirkumu likuma (spēkā līdz 2017.gada 31.martam (turpmāk – Likums) 27.1 panta pirmajai daļai</w:t>
      </w:r>
      <w:r w:rsidR="00493F4F">
        <w:rPr>
          <w:sz w:val="28"/>
          <w:szCs w:val="28"/>
        </w:rPr>
        <w:t>,</w:t>
      </w:r>
      <w:r w:rsidRPr="00456D9A">
        <w:rPr>
          <w:sz w:val="28"/>
          <w:szCs w:val="28"/>
        </w:rPr>
        <w:t xml:space="preserve"> iepirkuma procedūru veikšanai sabiedrisko pakalpojumu sniedzējs izveido iepirkuma komisiju. Iepirkuma komisiju izveido katram iepirkumam atsevišķi vai uz noteiktu laiku, vai kā pastāvīgi funkcionējošu institūciju. Izveidojot iepirkuma komisiju, sabiedrisko pakalpojumu sniedzējs nodrošina, lai šī komisija būtu kompetenta jomā, par kuru tiks slēgts līgums.</w:t>
      </w:r>
    </w:p>
    <w:p w14:paraId="1AEF8327" w14:textId="77777777" w:rsidR="00456D9A" w:rsidRPr="00456D9A" w:rsidRDefault="00456D9A" w:rsidP="00456D9A">
      <w:pPr>
        <w:ind w:firstLine="284"/>
        <w:jc w:val="both"/>
        <w:rPr>
          <w:sz w:val="28"/>
          <w:szCs w:val="28"/>
        </w:rPr>
      </w:pPr>
      <w:r w:rsidRPr="00456D9A">
        <w:rPr>
          <w:sz w:val="28"/>
          <w:szCs w:val="28"/>
        </w:rPr>
        <w:tab/>
        <w:t>Atbilstoši Likuma 75.panta pirmajai daļai, Iepirkumu uzraudzības birojs veic šā likuma un no tā izrietošo normatīvo aktu ievērošanas uzraudzību.</w:t>
      </w:r>
    </w:p>
    <w:p w14:paraId="71871F0B" w14:textId="4ADC3C70" w:rsidR="00456D9A" w:rsidRPr="00456D9A" w:rsidRDefault="00456D9A" w:rsidP="00456D9A">
      <w:pPr>
        <w:ind w:firstLine="284"/>
        <w:jc w:val="both"/>
        <w:rPr>
          <w:sz w:val="28"/>
          <w:szCs w:val="28"/>
        </w:rPr>
      </w:pPr>
      <w:r w:rsidRPr="00456D9A">
        <w:rPr>
          <w:sz w:val="28"/>
          <w:szCs w:val="28"/>
        </w:rPr>
        <w:tab/>
        <w:t>Savukārt minētā panta otrā daļa nosaka, ka Iepirkumu uzraudzības biroja juridisko statusu, tiesības un pienākumus nosaka Publisko iepirkumu likums.</w:t>
      </w:r>
    </w:p>
    <w:p w14:paraId="67BEEBD2" w14:textId="77777777" w:rsidR="00456D9A" w:rsidRPr="00456D9A" w:rsidRDefault="00456D9A" w:rsidP="00456D9A">
      <w:pPr>
        <w:ind w:firstLine="284"/>
        <w:jc w:val="both"/>
        <w:rPr>
          <w:sz w:val="28"/>
          <w:szCs w:val="28"/>
        </w:rPr>
      </w:pPr>
      <w:r w:rsidRPr="00456D9A">
        <w:rPr>
          <w:sz w:val="28"/>
          <w:szCs w:val="28"/>
        </w:rPr>
        <w:tab/>
        <w:t>Pamatojoties uz Likuma 77.panta pirmo daļu un Iepirkumu likuma 68.panta pirmajā daļā noteikto, 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w:t>
      </w:r>
    </w:p>
    <w:p w14:paraId="2269B6D3" w14:textId="77777777" w:rsidR="00456D9A" w:rsidRPr="00456D9A" w:rsidRDefault="00456D9A" w:rsidP="00456D9A">
      <w:pPr>
        <w:ind w:firstLine="284"/>
        <w:jc w:val="both"/>
        <w:rPr>
          <w:sz w:val="28"/>
          <w:szCs w:val="28"/>
        </w:rPr>
      </w:pPr>
      <w:r w:rsidRPr="00456D9A">
        <w:rPr>
          <w:sz w:val="28"/>
          <w:szCs w:val="28"/>
        </w:rPr>
        <w:lastRenderedPageBreak/>
        <w:tab/>
        <w:t xml:space="preserve">Ņemot vērā minēto, kā arī Iepirkumu likumā noteikto iepirkumu komisijas suverenitāti, SM nevar būt kompetentā iestāde, lai izvērtētu un apliecinātu iepirkuma procedūras norises atbilstību Likumam un Iepirkumu likumam, jo šāda veida funkcijas un pilnvarojumu veikt minētās darbības likumdevējs ir uzdevis Birojam.  </w:t>
      </w:r>
    </w:p>
    <w:p w14:paraId="4C9786D5" w14:textId="77777777" w:rsidR="00456D9A" w:rsidRPr="00456D9A" w:rsidRDefault="00456D9A" w:rsidP="00456D9A">
      <w:pPr>
        <w:ind w:firstLine="284"/>
        <w:jc w:val="both"/>
        <w:rPr>
          <w:sz w:val="28"/>
          <w:szCs w:val="28"/>
        </w:rPr>
      </w:pPr>
      <w:r w:rsidRPr="00456D9A">
        <w:rPr>
          <w:sz w:val="28"/>
          <w:szCs w:val="28"/>
        </w:rPr>
        <w:tab/>
        <w:t>Ievērojot  minēto, SM ir lūgusi kompetento iestāžu, tostarp Iepirkumu uzraudzības biroju (turpmāk arī – Birojs), KNAB atbilstoši kompetencei sniegt viedokli par elektrovilcienu iepirkuma norisi, iespējamajiem korupcijas riskiem, kas var būt saistīti ar PV un elektrovilcienu iepirkumā noteikto uzvarētāju.</w:t>
      </w:r>
    </w:p>
    <w:p w14:paraId="6C1C6C79" w14:textId="77777777" w:rsidR="00456D9A" w:rsidRPr="00456D9A" w:rsidRDefault="00456D9A" w:rsidP="00456D9A">
      <w:pPr>
        <w:ind w:firstLine="284"/>
        <w:jc w:val="both"/>
        <w:rPr>
          <w:sz w:val="28"/>
          <w:szCs w:val="28"/>
        </w:rPr>
      </w:pPr>
      <w:r w:rsidRPr="00456D9A">
        <w:rPr>
          <w:sz w:val="28"/>
          <w:szCs w:val="28"/>
        </w:rPr>
        <w:tab/>
        <w:t>Izvērtējot Biroja un KNAB iesniegtos atzinumus, ir secināms, ka šobrīd nav identificējami apstākļi, kas pamatotu PV rīkotā iepirkuma “Piepilsētas pasažieru elektrovilcienu un to uzturēšanai nepieciešamā aprīkojuma piegāde un personāla apmācība” uzvarētāja „</w:t>
      </w:r>
      <w:proofErr w:type="spellStart"/>
      <w:r w:rsidRPr="00456D9A">
        <w:rPr>
          <w:sz w:val="28"/>
          <w:szCs w:val="28"/>
        </w:rPr>
        <w:t>Škoda</w:t>
      </w:r>
      <w:proofErr w:type="spellEnd"/>
      <w:r w:rsidRPr="00456D9A">
        <w:rPr>
          <w:sz w:val="28"/>
          <w:szCs w:val="28"/>
        </w:rPr>
        <w:t xml:space="preserve"> </w:t>
      </w:r>
      <w:proofErr w:type="spellStart"/>
      <w:r w:rsidRPr="00456D9A">
        <w:rPr>
          <w:sz w:val="28"/>
          <w:szCs w:val="28"/>
        </w:rPr>
        <w:t>Vagonka</w:t>
      </w:r>
      <w:proofErr w:type="spellEnd"/>
      <w:r w:rsidRPr="00456D9A">
        <w:rPr>
          <w:sz w:val="28"/>
          <w:szCs w:val="28"/>
        </w:rPr>
        <w:t xml:space="preserve"> A.S.” reputācijas un korupcijas riskus, kas varētu ietekmēt valsts budžeta un/vai ES fondu finansējuma piesaisti jaunu elektrovilcienu iegādei.</w:t>
      </w:r>
    </w:p>
    <w:p w14:paraId="197A48A8" w14:textId="10F835CA" w:rsidR="00456D9A" w:rsidRPr="00456D9A" w:rsidRDefault="00456D9A" w:rsidP="00456D9A">
      <w:pPr>
        <w:ind w:firstLine="284"/>
        <w:jc w:val="both"/>
        <w:rPr>
          <w:sz w:val="28"/>
          <w:szCs w:val="28"/>
        </w:rPr>
      </w:pPr>
      <w:r w:rsidRPr="00456D9A">
        <w:rPr>
          <w:sz w:val="28"/>
          <w:szCs w:val="28"/>
        </w:rPr>
        <w:tab/>
        <w:t xml:space="preserve">Papildus skaidrojam, ka SM kā PV valsts kapitāla daļu turētājas kompetence ir noteikta Publiskas personas kapitāla daļu un kapitālsabiedrību pārvaldības likuma 94.pantā, kurā nav paredzētas akcionāra tiesības iejaukties valsts kapitālsabiedrības valdes operatīvajā vadībā un dot valdei saistošus norādījumus attiecībā uz saimnieciskās darbības nodrošināšanai nepieciešamo līgumu slēgšanu. Saskaņā ar Komerclikuma 301.pantu valde ir sabiedrības izpildinstitūcija, kura vada un pārstāv sabiedrību, pārzina un vada sabiedrības lietas, atbild par sabiedrības komercdarbību un ar sabiedrības mantu rīkojas atbilstoši likumiem, statūtiem un akcionāru sapulces lēmumiem. Kapitālsabiedrības vadīšana ir uz kapitālsabiedrības darbības </w:t>
      </w:r>
      <w:r w:rsidR="006D3870">
        <w:rPr>
          <w:sz w:val="28"/>
          <w:szCs w:val="28"/>
        </w:rPr>
        <w:t xml:space="preserve">                           </w:t>
      </w:r>
      <w:r w:rsidRPr="00456D9A">
        <w:rPr>
          <w:sz w:val="28"/>
          <w:szCs w:val="28"/>
        </w:rPr>
        <w:t xml:space="preserve">nodrošināšanu vērsto pasākumu kompleksa realizācija </w:t>
      </w:r>
      <w:r w:rsidR="006D3870">
        <w:rPr>
          <w:sz w:val="28"/>
          <w:szCs w:val="28"/>
        </w:rPr>
        <w:t xml:space="preserve">                                </w:t>
      </w:r>
      <w:r w:rsidRPr="00456D9A">
        <w:rPr>
          <w:sz w:val="28"/>
          <w:szCs w:val="28"/>
        </w:rPr>
        <w:t xml:space="preserve">kapitālsabiedrības iekšienē. Tādējādi valsts kapitālsabiedrības </w:t>
      </w:r>
      <w:r w:rsidR="006D3870">
        <w:rPr>
          <w:sz w:val="28"/>
          <w:szCs w:val="28"/>
        </w:rPr>
        <w:t xml:space="preserve">                                       </w:t>
      </w:r>
      <w:r w:rsidRPr="00456D9A">
        <w:rPr>
          <w:sz w:val="28"/>
          <w:szCs w:val="28"/>
        </w:rPr>
        <w:t>valdes kompetencē ir lēmumu pieņemšana, darbības organizēšana un nodrošināšana.</w:t>
      </w:r>
    </w:p>
    <w:p w14:paraId="034221B0" w14:textId="3C77CC9F" w:rsidR="00456D9A" w:rsidRPr="00456D9A" w:rsidRDefault="00456D9A" w:rsidP="00456D9A">
      <w:pPr>
        <w:ind w:firstLine="284"/>
        <w:jc w:val="both"/>
        <w:rPr>
          <w:sz w:val="28"/>
          <w:szCs w:val="28"/>
        </w:rPr>
      </w:pPr>
      <w:r w:rsidRPr="00456D9A">
        <w:rPr>
          <w:sz w:val="28"/>
          <w:szCs w:val="28"/>
        </w:rPr>
        <w:tab/>
        <w:t xml:space="preserve">Valsts kapitālsabiedrība un valsts kapitālsabiedrības izšķirošajā </w:t>
      </w:r>
      <w:r w:rsidR="006D3870">
        <w:rPr>
          <w:sz w:val="28"/>
          <w:szCs w:val="28"/>
        </w:rPr>
        <w:t xml:space="preserve">                    </w:t>
      </w:r>
      <w:r w:rsidRPr="00456D9A">
        <w:rPr>
          <w:sz w:val="28"/>
          <w:szCs w:val="28"/>
        </w:rPr>
        <w:t xml:space="preserve">ietekmē esošās kapitālsabiedrības ir patstāvīgs tiesību subjekts. Lai arī </w:t>
      </w:r>
      <w:r w:rsidR="006D3870">
        <w:rPr>
          <w:sz w:val="28"/>
          <w:szCs w:val="28"/>
        </w:rPr>
        <w:t xml:space="preserve">                        </w:t>
      </w:r>
      <w:r w:rsidRPr="00456D9A">
        <w:rPr>
          <w:sz w:val="28"/>
          <w:szCs w:val="28"/>
        </w:rPr>
        <w:t xml:space="preserve">valstij tieši vai pastarpināti pieder visas kapitālsabiedrības </w:t>
      </w:r>
      <w:r w:rsidR="006D3870">
        <w:rPr>
          <w:sz w:val="28"/>
          <w:szCs w:val="28"/>
        </w:rPr>
        <w:t xml:space="preserve">                                   </w:t>
      </w:r>
      <w:r w:rsidRPr="00456D9A">
        <w:rPr>
          <w:sz w:val="28"/>
          <w:szCs w:val="28"/>
        </w:rPr>
        <w:t xml:space="preserve">pamatkapitāla daļas, darījumu slēgšana ietilpst kapitālsabiedrības </w:t>
      </w:r>
      <w:r w:rsidR="006D3870">
        <w:rPr>
          <w:sz w:val="28"/>
          <w:szCs w:val="28"/>
        </w:rPr>
        <w:t xml:space="preserve">                          </w:t>
      </w:r>
      <w:r w:rsidRPr="00456D9A">
        <w:rPr>
          <w:sz w:val="28"/>
          <w:szCs w:val="28"/>
        </w:rPr>
        <w:t xml:space="preserve">pārvaldes, t.i., valdes kompetencē. Līdz ar to arī atbildība </w:t>
      </w:r>
      <w:r w:rsidR="006D3870">
        <w:rPr>
          <w:sz w:val="28"/>
          <w:szCs w:val="28"/>
        </w:rPr>
        <w:t xml:space="preserve">                                                            </w:t>
      </w:r>
      <w:r w:rsidRPr="00456D9A">
        <w:rPr>
          <w:sz w:val="28"/>
          <w:szCs w:val="28"/>
        </w:rPr>
        <w:t>par šādu darījumu slēgšanu ir kapitālsabi</w:t>
      </w:r>
      <w:r w:rsidR="00777C9D">
        <w:rPr>
          <w:sz w:val="28"/>
          <w:szCs w:val="28"/>
        </w:rPr>
        <w:t>edrības pārvaldes institūcijai.</w:t>
      </w:r>
    </w:p>
    <w:p w14:paraId="4849EF83" w14:textId="627FB2B3" w:rsidR="005F7AAA" w:rsidRDefault="00A40945" w:rsidP="005F7AAA">
      <w:pPr>
        <w:ind w:firstLine="284"/>
        <w:jc w:val="both"/>
        <w:rPr>
          <w:sz w:val="28"/>
          <w:szCs w:val="28"/>
        </w:rPr>
      </w:pPr>
      <w:r>
        <w:rPr>
          <w:sz w:val="28"/>
          <w:szCs w:val="28"/>
        </w:rPr>
        <w:t xml:space="preserve">       </w:t>
      </w:r>
      <w:r w:rsidR="005F7AAA" w:rsidRPr="00456D9A">
        <w:rPr>
          <w:sz w:val="28"/>
          <w:szCs w:val="28"/>
        </w:rPr>
        <w:t xml:space="preserve">Savukārt atbildot uz </w:t>
      </w:r>
      <w:r w:rsidR="005F7AAA">
        <w:rPr>
          <w:sz w:val="28"/>
          <w:szCs w:val="28"/>
        </w:rPr>
        <w:t>Finanšu ministrijas</w:t>
      </w:r>
      <w:r w:rsidR="005F7AAA" w:rsidRPr="00456D9A">
        <w:rPr>
          <w:sz w:val="28"/>
          <w:szCs w:val="28"/>
        </w:rPr>
        <w:t xml:space="preserve"> izteikto lūgumu sniegt apliecinājumu, ka konkrētā juridiskā persona, kas atzīta par uzvarētāju iepirkuma procedūrā, kā arī ar to saistītās personas, t.sk. īpašnieki un patiesā </w:t>
      </w:r>
      <w:r w:rsidR="006D3870">
        <w:rPr>
          <w:sz w:val="28"/>
          <w:szCs w:val="28"/>
        </w:rPr>
        <w:t xml:space="preserve">                                </w:t>
      </w:r>
      <w:r w:rsidR="005F7AAA" w:rsidRPr="00456D9A">
        <w:rPr>
          <w:sz w:val="28"/>
          <w:szCs w:val="28"/>
        </w:rPr>
        <w:t xml:space="preserve">labuma guvēji, ir izvērtēti, informējam, ka </w:t>
      </w:r>
      <w:r w:rsidR="005F7AAA">
        <w:rPr>
          <w:sz w:val="28"/>
          <w:szCs w:val="28"/>
        </w:rPr>
        <w:t xml:space="preserve">SM </w:t>
      </w:r>
      <w:r w:rsidR="005F7AAA" w:rsidRPr="00456D9A">
        <w:rPr>
          <w:sz w:val="28"/>
          <w:szCs w:val="28"/>
        </w:rPr>
        <w:t xml:space="preserve">atbilstoši </w:t>
      </w:r>
      <w:r w:rsidR="006D3870">
        <w:rPr>
          <w:sz w:val="28"/>
          <w:szCs w:val="28"/>
        </w:rPr>
        <w:t xml:space="preserve">                                         </w:t>
      </w:r>
      <w:r w:rsidR="005F7AAA" w:rsidRPr="00456D9A">
        <w:rPr>
          <w:sz w:val="28"/>
          <w:szCs w:val="28"/>
        </w:rPr>
        <w:t xml:space="preserve">noteiktajam kompetenču ietvaram ir lūgusi </w:t>
      </w:r>
      <w:r w:rsidR="005F7AAA">
        <w:rPr>
          <w:sz w:val="28"/>
          <w:szCs w:val="28"/>
        </w:rPr>
        <w:t xml:space="preserve"> PV</w:t>
      </w:r>
      <w:r w:rsidR="005F7AAA" w:rsidRPr="00456D9A">
        <w:rPr>
          <w:sz w:val="28"/>
          <w:szCs w:val="28"/>
        </w:rPr>
        <w:t xml:space="preserve">, kā līguma slēdzēju,  </w:t>
      </w:r>
      <w:r w:rsidR="006D3870">
        <w:rPr>
          <w:sz w:val="28"/>
          <w:szCs w:val="28"/>
        </w:rPr>
        <w:t xml:space="preserve">                          </w:t>
      </w:r>
      <w:r w:rsidR="005F7AAA" w:rsidRPr="00456D9A">
        <w:rPr>
          <w:sz w:val="28"/>
          <w:szCs w:val="28"/>
        </w:rPr>
        <w:t xml:space="preserve">vērsties pie </w:t>
      </w:r>
      <w:proofErr w:type="spellStart"/>
      <w:r w:rsidR="005F7AAA" w:rsidRPr="00456D9A">
        <w:rPr>
          <w:sz w:val="28"/>
          <w:szCs w:val="28"/>
        </w:rPr>
        <w:t>Škoda</w:t>
      </w:r>
      <w:proofErr w:type="spellEnd"/>
      <w:r w:rsidR="005F7AAA" w:rsidRPr="00456D9A">
        <w:rPr>
          <w:sz w:val="28"/>
          <w:szCs w:val="28"/>
        </w:rPr>
        <w:t xml:space="preserve"> </w:t>
      </w:r>
      <w:proofErr w:type="spellStart"/>
      <w:r w:rsidR="005F7AAA" w:rsidRPr="00456D9A">
        <w:rPr>
          <w:sz w:val="28"/>
          <w:szCs w:val="28"/>
        </w:rPr>
        <w:t>Vagonka</w:t>
      </w:r>
      <w:proofErr w:type="spellEnd"/>
      <w:r w:rsidR="005F7AAA" w:rsidRPr="00456D9A">
        <w:rPr>
          <w:sz w:val="28"/>
          <w:szCs w:val="28"/>
        </w:rPr>
        <w:t xml:space="preserve"> A.S. ar lūgumu sniegt informāciju par </w:t>
      </w:r>
      <w:r w:rsidR="006D3870">
        <w:rPr>
          <w:sz w:val="28"/>
          <w:szCs w:val="28"/>
        </w:rPr>
        <w:t xml:space="preserve">                             </w:t>
      </w:r>
      <w:r w:rsidR="005F7AAA" w:rsidRPr="00456D9A">
        <w:rPr>
          <w:sz w:val="28"/>
          <w:szCs w:val="28"/>
        </w:rPr>
        <w:t xml:space="preserve">patiesā labuma guvējiem. </w:t>
      </w:r>
      <w:r w:rsidR="005F7AAA">
        <w:rPr>
          <w:sz w:val="28"/>
          <w:szCs w:val="28"/>
        </w:rPr>
        <w:t xml:space="preserve"> PV no </w:t>
      </w:r>
      <w:proofErr w:type="spellStart"/>
      <w:r w:rsidR="005F7AAA">
        <w:rPr>
          <w:sz w:val="28"/>
          <w:szCs w:val="28"/>
        </w:rPr>
        <w:t>Škoda</w:t>
      </w:r>
      <w:proofErr w:type="spellEnd"/>
      <w:r w:rsidR="005F7AAA">
        <w:rPr>
          <w:sz w:val="28"/>
          <w:szCs w:val="28"/>
        </w:rPr>
        <w:t xml:space="preserve"> </w:t>
      </w:r>
      <w:proofErr w:type="spellStart"/>
      <w:r w:rsidR="005F7AAA">
        <w:rPr>
          <w:sz w:val="28"/>
          <w:szCs w:val="28"/>
        </w:rPr>
        <w:t>Vagonka</w:t>
      </w:r>
      <w:proofErr w:type="spellEnd"/>
      <w:r w:rsidR="005F7AAA">
        <w:rPr>
          <w:sz w:val="28"/>
          <w:szCs w:val="28"/>
        </w:rPr>
        <w:t xml:space="preserve"> A.S. 2019. gada 15. jūlijā saņemta vēstule, kurā sniegta informācija</w:t>
      </w:r>
      <w:r w:rsidR="005F7AAA" w:rsidRPr="00ED1C8A">
        <w:rPr>
          <w:sz w:val="28"/>
          <w:szCs w:val="28"/>
        </w:rPr>
        <w:t xml:space="preserve"> </w:t>
      </w:r>
      <w:r w:rsidR="005F7AAA">
        <w:rPr>
          <w:sz w:val="28"/>
          <w:szCs w:val="28"/>
        </w:rPr>
        <w:t xml:space="preserve">no Slovākijas Tieslietu </w:t>
      </w:r>
      <w:r w:rsidR="006D3870">
        <w:rPr>
          <w:sz w:val="28"/>
          <w:szCs w:val="28"/>
        </w:rPr>
        <w:t xml:space="preserve">                        </w:t>
      </w:r>
      <w:r w:rsidR="005F7AAA">
        <w:rPr>
          <w:sz w:val="28"/>
          <w:szCs w:val="28"/>
        </w:rPr>
        <w:t xml:space="preserve">ministrijas Publiskā sektora partneru reģistra, ka </w:t>
      </w:r>
      <w:proofErr w:type="spellStart"/>
      <w:r w:rsidR="005F7AAA">
        <w:rPr>
          <w:sz w:val="28"/>
          <w:szCs w:val="28"/>
        </w:rPr>
        <w:t>Škoda</w:t>
      </w:r>
      <w:proofErr w:type="spellEnd"/>
      <w:r w:rsidR="005F7AAA">
        <w:rPr>
          <w:sz w:val="28"/>
          <w:szCs w:val="28"/>
        </w:rPr>
        <w:t xml:space="preserve"> </w:t>
      </w:r>
      <w:proofErr w:type="spellStart"/>
      <w:r w:rsidR="005F7AAA">
        <w:rPr>
          <w:sz w:val="28"/>
          <w:szCs w:val="28"/>
        </w:rPr>
        <w:t>Vagonka</w:t>
      </w:r>
      <w:proofErr w:type="spellEnd"/>
      <w:r w:rsidR="005F7AAA">
        <w:rPr>
          <w:sz w:val="28"/>
          <w:szCs w:val="28"/>
        </w:rPr>
        <w:t xml:space="preserve"> A.S. </w:t>
      </w:r>
      <w:r w:rsidR="006D3870">
        <w:rPr>
          <w:sz w:val="28"/>
          <w:szCs w:val="28"/>
        </w:rPr>
        <w:t xml:space="preserve">                              </w:t>
      </w:r>
      <w:r w:rsidR="005F7AAA">
        <w:rPr>
          <w:sz w:val="28"/>
          <w:szCs w:val="28"/>
        </w:rPr>
        <w:lastRenderedPageBreak/>
        <w:t xml:space="preserve">un </w:t>
      </w:r>
      <w:proofErr w:type="spellStart"/>
      <w:r w:rsidR="005F7AAA">
        <w:rPr>
          <w:sz w:val="28"/>
          <w:szCs w:val="28"/>
        </w:rPr>
        <w:t>Škoda</w:t>
      </w:r>
      <w:proofErr w:type="spellEnd"/>
      <w:r w:rsidR="005F7AAA">
        <w:rPr>
          <w:sz w:val="28"/>
          <w:szCs w:val="28"/>
        </w:rPr>
        <w:t xml:space="preserve">  </w:t>
      </w:r>
      <w:proofErr w:type="spellStart"/>
      <w:r w:rsidR="005F7AAA">
        <w:rPr>
          <w:sz w:val="28"/>
          <w:szCs w:val="28"/>
        </w:rPr>
        <w:t>Transportation</w:t>
      </w:r>
      <w:proofErr w:type="spellEnd"/>
      <w:r w:rsidR="005F7AAA">
        <w:rPr>
          <w:sz w:val="28"/>
          <w:szCs w:val="28"/>
        </w:rPr>
        <w:t xml:space="preserve"> A.S. patiesā labuma guvējs ir fiziska persona Peter </w:t>
      </w:r>
      <w:proofErr w:type="spellStart"/>
      <w:r w:rsidR="005F7AAA">
        <w:rPr>
          <w:sz w:val="28"/>
          <w:szCs w:val="28"/>
        </w:rPr>
        <w:t>Kellner</w:t>
      </w:r>
      <w:proofErr w:type="spellEnd"/>
      <w:r w:rsidR="005F7AAA">
        <w:rPr>
          <w:sz w:val="28"/>
          <w:szCs w:val="28"/>
        </w:rPr>
        <w:t xml:space="preserve"> (dz.d.20.05.1964).</w:t>
      </w:r>
    </w:p>
    <w:p w14:paraId="60B7334A" w14:textId="32F0EA60" w:rsidR="00B01085" w:rsidRDefault="00B01085" w:rsidP="00C44C1B">
      <w:pPr>
        <w:ind w:firstLine="284"/>
        <w:jc w:val="both"/>
        <w:rPr>
          <w:sz w:val="28"/>
          <w:szCs w:val="28"/>
        </w:rPr>
      </w:pPr>
      <w:bookmarkStart w:id="2" w:name="_GoBack"/>
      <w:bookmarkEnd w:id="2"/>
    </w:p>
    <w:p w14:paraId="5F5C4096" w14:textId="77777777" w:rsidR="00B01085" w:rsidRDefault="00B01085" w:rsidP="00C44C1B">
      <w:pPr>
        <w:ind w:firstLine="284"/>
        <w:jc w:val="both"/>
        <w:rPr>
          <w:sz w:val="28"/>
          <w:szCs w:val="28"/>
        </w:rPr>
      </w:pPr>
    </w:p>
    <w:p w14:paraId="6C6C5145" w14:textId="77777777" w:rsidR="001222AC" w:rsidRDefault="001222AC" w:rsidP="001222AC">
      <w:pPr>
        <w:jc w:val="both"/>
        <w:rPr>
          <w:sz w:val="28"/>
          <w:szCs w:val="28"/>
        </w:rPr>
      </w:pPr>
      <w:r w:rsidRPr="001222AC">
        <w:rPr>
          <w:sz w:val="28"/>
          <w:szCs w:val="28"/>
        </w:rPr>
        <w:t>Iesniedzējs: Satiksmes ministra vietā</w:t>
      </w:r>
    </w:p>
    <w:p w14:paraId="1276B31D" w14:textId="77777777" w:rsidR="00870529" w:rsidRPr="001222AC" w:rsidRDefault="00870529" w:rsidP="001222AC">
      <w:pPr>
        <w:jc w:val="both"/>
        <w:rPr>
          <w:sz w:val="28"/>
          <w:szCs w:val="28"/>
        </w:rPr>
      </w:pPr>
      <w:r w:rsidRPr="00870529">
        <w:rPr>
          <w:sz w:val="28"/>
          <w:szCs w:val="28"/>
        </w:rPr>
        <w:t>Ministru prezidenta biedrs,</w:t>
      </w:r>
    </w:p>
    <w:p w14:paraId="6EC21A80" w14:textId="77777777" w:rsidR="001222AC" w:rsidRPr="001222AC" w:rsidRDefault="001222AC" w:rsidP="001222AC">
      <w:pPr>
        <w:jc w:val="both"/>
        <w:rPr>
          <w:sz w:val="28"/>
          <w:szCs w:val="28"/>
        </w:rPr>
      </w:pPr>
      <w:r w:rsidRPr="001222AC">
        <w:rPr>
          <w:sz w:val="28"/>
          <w:szCs w:val="28"/>
        </w:rPr>
        <w:t>Tieslietu ministrs</w:t>
      </w:r>
      <w:r w:rsidRPr="001222AC">
        <w:rPr>
          <w:sz w:val="28"/>
          <w:szCs w:val="28"/>
        </w:rPr>
        <w:tab/>
      </w:r>
      <w:r w:rsidRPr="001222AC">
        <w:rPr>
          <w:sz w:val="28"/>
          <w:szCs w:val="28"/>
        </w:rPr>
        <w:tab/>
      </w:r>
      <w:r w:rsidRPr="001222AC">
        <w:rPr>
          <w:sz w:val="28"/>
          <w:szCs w:val="28"/>
        </w:rPr>
        <w:tab/>
      </w:r>
      <w:r w:rsidRPr="001222AC">
        <w:rPr>
          <w:sz w:val="28"/>
          <w:szCs w:val="28"/>
        </w:rPr>
        <w:tab/>
      </w:r>
      <w:r w:rsidRPr="001222AC">
        <w:rPr>
          <w:sz w:val="28"/>
          <w:szCs w:val="28"/>
        </w:rPr>
        <w:tab/>
      </w:r>
      <w:r w:rsidRPr="001222AC">
        <w:rPr>
          <w:sz w:val="28"/>
          <w:szCs w:val="28"/>
        </w:rPr>
        <w:tab/>
        <w:t xml:space="preserve">      </w:t>
      </w:r>
      <w:r>
        <w:rPr>
          <w:sz w:val="28"/>
          <w:szCs w:val="28"/>
        </w:rPr>
        <w:tab/>
      </w:r>
      <w:r>
        <w:rPr>
          <w:sz w:val="28"/>
          <w:szCs w:val="28"/>
        </w:rPr>
        <w:tab/>
      </w:r>
      <w:proofErr w:type="spellStart"/>
      <w:r w:rsidRPr="001222AC">
        <w:rPr>
          <w:sz w:val="28"/>
          <w:szCs w:val="28"/>
        </w:rPr>
        <w:t>J.Bordāns</w:t>
      </w:r>
      <w:proofErr w:type="spellEnd"/>
    </w:p>
    <w:p w14:paraId="277F9ED5" w14:textId="77777777" w:rsidR="00C44C1B" w:rsidRPr="001B403B" w:rsidRDefault="00C44C1B" w:rsidP="00C44C1B">
      <w:pPr>
        <w:jc w:val="both"/>
        <w:rPr>
          <w:sz w:val="28"/>
          <w:szCs w:val="28"/>
        </w:rPr>
      </w:pPr>
    </w:p>
    <w:p w14:paraId="65FD0E72" w14:textId="77777777" w:rsidR="00C44C1B" w:rsidRPr="001B403B" w:rsidRDefault="00C44C1B" w:rsidP="00C44C1B">
      <w:pPr>
        <w:jc w:val="both"/>
        <w:rPr>
          <w:sz w:val="28"/>
          <w:szCs w:val="28"/>
        </w:rPr>
      </w:pPr>
    </w:p>
    <w:p w14:paraId="382006AD" w14:textId="77777777" w:rsidR="00C44C1B" w:rsidRDefault="00C44C1B">
      <w:pPr>
        <w:ind w:right="-483"/>
        <w:rPr>
          <w:color w:val="000000"/>
          <w:sz w:val="28"/>
          <w:szCs w:val="28"/>
        </w:rPr>
      </w:pPr>
      <w:r w:rsidRPr="001B403B">
        <w:rPr>
          <w:color w:val="000000"/>
          <w:sz w:val="28"/>
          <w:szCs w:val="28"/>
        </w:rPr>
        <w:t xml:space="preserve">Vīza: </w:t>
      </w:r>
      <w:r w:rsidR="003D39D0" w:rsidRPr="003D39D0">
        <w:rPr>
          <w:color w:val="000000"/>
          <w:sz w:val="28"/>
          <w:szCs w:val="28"/>
        </w:rPr>
        <w:t xml:space="preserve">Valsts sekretāra </w:t>
      </w:r>
      <w:proofErr w:type="spellStart"/>
      <w:r w:rsidR="003D39D0" w:rsidRPr="003D39D0">
        <w:rPr>
          <w:color w:val="000000"/>
          <w:sz w:val="28"/>
          <w:szCs w:val="28"/>
        </w:rPr>
        <w:t>p.i</w:t>
      </w:r>
      <w:proofErr w:type="spellEnd"/>
      <w:r w:rsidR="003D39D0" w:rsidRPr="003D39D0">
        <w:rPr>
          <w:color w:val="000000"/>
          <w:sz w:val="28"/>
          <w:szCs w:val="28"/>
        </w:rPr>
        <w:t>.</w:t>
      </w:r>
      <w:r w:rsidR="003D39D0" w:rsidRPr="003D39D0">
        <w:rPr>
          <w:color w:val="000000"/>
          <w:sz w:val="28"/>
          <w:szCs w:val="28"/>
        </w:rPr>
        <w:tab/>
      </w:r>
      <w:r w:rsidR="003D39D0" w:rsidRPr="003D39D0">
        <w:rPr>
          <w:color w:val="000000"/>
          <w:sz w:val="28"/>
          <w:szCs w:val="28"/>
        </w:rPr>
        <w:tab/>
      </w:r>
      <w:r w:rsidR="003D39D0" w:rsidRPr="003D39D0">
        <w:rPr>
          <w:color w:val="000000"/>
          <w:sz w:val="28"/>
          <w:szCs w:val="28"/>
        </w:rPr>
        <w:tab/>
      </w:r>
      <w:r w:rsidR="00047DD1">
        <w:rPr>
          <w:color w:val="000000"/>
          <w:sz w:val="28"/>
          <w:szCs w:val="28"/>
        </w:rPr>
        <w:t xml:space="preserve">           </w:t>
      </w:r>
      <w:r w:rsidR="003D39D0" w:rsidRPr="003D39D0">
        <w:rPr>
          <w:color w:val="000000"/>
          <w:sz w:val="28"/>
          <w:szCs w:val="28"/>
        </w:rPr>
        <w:t xml:space="preserve">  </w:t>
      </w:r>
      <w:r w:rsidR="004920F1">
        <w:rPr>
          <w:color w:val="000000"/>
          <w:sz w:val="28"/>
          <w:szCs w:val="28"/>
        </w:rPr>
        <w:t xml:space="preserve">         </w:t>
      </w:r>
      <w:r w:rsidR="003D39D0" w:rsidRPr="003D39D0">
        <w:rPr>
          <w:color w:val="000000"/>
          <w:sz w:val="28"/>
          <w:szCs w:val="28"/>
        </w:rPr>
        <w:t xml:space="preserve">         </w:t>
      </w:r>
      <w:proofErr w:type="spellStart"/>
      <w:r w:rsidR="00AB1D84">
        <w:rPr>
          <w:color w:val="000000"/>
          <w:sz w:val="28"/>
          <w:szCs w:val="28"/>
        </w:rPr>
        <w:t>Dž</w:t>
      </w:r>
      <w:proofErr w:type="spellEnd"/>
      <w:r w:rsidR="00AB1D84">
        <w:rPr>
          <w:color w:val="000000"/>
          <w:sz w:val="28"/>
          <w:szCs w:val="28"/>
        </w:rPr>
        <w:t>. Innusa</w:t>
      </w:r>
    </w:p>
    <w:p w14:paraId="3FACFDD4" w14:textId="77777777" w:rsidR="003D39D0" w:rsidRPr="001B403B" w:rsidRDefault="003D39D0" w:rsidP="003D39D0">
      <w:pPr>
        <w:ind w:right="-483"/>
        <w:rPr>
          <w:sz w:val="28"/>
          <w:szCs w:val="28"/>
        </w:rPr>
      </w:pPr>
    </w:p>
    <w:p w14:paraId="6A9285D4" w14:textId="77777777" w:rsidR="00C44C1B" w:rsidRPr="001B403B" w:rsidRDefault="00C44C1B" w:rsidP="00C44C1B">
      <w:pPr>
        <w:jc w:val="both"/>
        <w:rPr>
          <w:sz w:val="28"/>
          <w:szCs w:val="28"/>
        </w:rPr>
      </w:pPr>
    </w:p>
    <w:p w14:paraId="122511BA" w14:textId="77777777" w:rsidR="00C44C1B" w:rsidRPr="001B403B" w:rsidRDefault="00C44C1B" w:rsidP="00C44C1B">
      <w:pPr>
        <w:tabs>
          <w:tab w:val="num" w:pos="960"/>
        </w:tabs>
        <w:rPr>
          <w:sz w:val="20"/>
          <w:szCs w:val="20"/>
        </w:rPr>
      </w:pPr>
      <w:r w:rsidRPr="001B403B">
        <w:rPr>
          <w:sz w:val="20"/>
          <w:szCs w:val="20"/>
        </w:rPr>
        <w:t>K. Marinska 67028066</w:t>
      </w:r>
    </w:p>
    <w:p w14:paraId="3325BBC7" w14:textId="77777777" w:rsidR="00C44C1B" w:rsidRPr="001B403B" w:rsidRDefault="00BB069E" w:rsidP="00C44C1B">
      <w:pPr>
        <w:tabs>
          <w:tab w:val="num" w:pos="960"/>
        </w:tabs>
        <w:rPr>
          <w:sz w:val="20"/>
          <w:szCs w:val="20"/>
        </w:rPr>
      </w:pPr>
      <w:hyperlink r:id="rId8" w:history="1">
        <w:r w:rsidR="00C44C1B" w:rsidRPr="001B403B">
          <w:rPr>
            <w:rStyle w:val="Hyperlink"/>
            <w:sz w:val="20"/>
            <w:szCs w:val="20"/>
          </w:rPr>
          <w:t>karina.marinska@sam.gov.lv</w:t>
        </w:r>
      </w:hyperlink>
      <w:r w:rsidR="00C44C1B" w:rsidRPr="001B403B">
        <w:rPr>
          <w:sz w:val="20"/>
          <w:szCs w:val="20"/>
        </w:rPr>
        <w:t xml:space="preserve"> </w:t>
      </w:r>
    </w:p>
    <w:p w14:paraId="49A18567" w14:textId="77777777" w:rsidR="00C44C1B" w:rsidRPr="001B403B" w:rsidRDefault="00C44C1B" w:rsidP="00C44C1B">
      <w:pPr>
        <w:tabs>
          <w:tab w:val="num" w:pos="960"/>
        </w:tabs>
        <w:rPr>
          <w:sz w:val="20"/>
          <w:szCs w:val="20"/>
        </w:rPr>
      </w:pPr>
    </w:p>
    <w:p w14:paraId="54879E87" w14:textId="77777777" w:rsidR="00C44C1B" w:rsidRPr="001B403B" w:rsidRDefault="00C44C1B" w:rsidP="00C44C1B">
      <w:pPr>
        <w:tabs>
          <w:tab w:val="num" w:pos="960"/>
        </w:tabs>
        <w:rPr>
          <w:sz w:val="20"/>
          <w:szCs w:val="20"/>
        </w:rPr>
      </w:pPr>
      <w:r w:rsidRPr="001B403B">
        <w:rPr>
          <w:sz w:val="20"/>
          <w:szCs w:val="20"/>
        </w:rPr>
        <w:t xml:space="preserve">N. </w:t>
      </w:r>
      <w:proofErr w:type="spellStart"/>
      <w:r w:rsidRPr="001B403B">
        <w:rPr>
          <w:sz w:val="20"/>
          <w:szCs w:val="20"/>
        </w:rPr>
        <w:t>Sinkevičs</w:t>
      </w:r>
      <w:proofErr w:type="spellEnd"/>
      <w:r w:rsidRPr="001B403B">
        <w:rPr>
          <w:sz w:val="20"/>
          <w:szCs w:val="20"/>
        </w:rPr>
        <w:t xml:space="preserve"> 67234278</w:t>
      </w:r>
    </w:p>
    <w:p w14:paraId="71D98046" w14:textId="77777777" w:rsidR="00C44C1B" w:rsidRPr="009072A2" w:rsidRDefault="00BB069E" w:rsidP="00C44C1B">
      <w:pPr>
        <w:tabs>
          <w:tab w:val="num" w:pos="960"/>
        </w:tabs>
        <w:rPr>
          <w:b/>
          <w:sz w:val="28"/>
        </w:rPr>
      </w:pPr>
      <w:hyperlink r:id="rId9" w:history="1">
        <w:r w:rsidR="00C44C1B" w:rsidRPr="001B403B">
          <w:rPr>
            <w:rStyle w:val="Hyperlink"/>
            <w:color w:val="002060"/>
            <w:sz w:val="20"/>
            <w:szCs w:val="20"/>
          </w:rPr>
          <w:t>normunds.sinkevics@pv.lv</w:t>
        </w:r>
      </w:hyperlink>
    </w:p>
    <w:p w14:paraId="401AF876" w14:textId="77777777" w:rsidR="00C33FCB" w:rsidRPr="00C44C1B" w:rsidRDefault="00C33FCB" w:rsidP="00C44C1B"/>
    <w:sectPr w:rsidR="00C33FCB" w:rsidRPr="00C44C1B" w:rsidSect="003D39D0">
      <w:headerReference w:type="default" r:id="rId10"/>
      <w:footerReference w:type="even" r:id="rId11"/>
      <w:footerReference w:type="default" r:id="rId12"/>
      <w:footerReference w:type="first" r:id="rId13"/>
      <w:pgSz w:w="11906" w:h="16838"/>
      <w:pgMar w:top="1134" w:right="1134" w:bottom="709"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2A69" w14:textId="77777777" w:rsidR="00BB069E" w:rsidRDefault="00BB069E">
      <w:r>
        <w:separator/>
      </w:r>
    </w:p>
  </w:endnote>
  <w:endnote w:type="continuationSeparator" w:id="0">
    <w:p w14:paraId="1ED00F93" w14:textId="77777777" w:rsidR="00BB069E" w:rsidRDefault="00BB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636C" w14:textId="77777777" w:rsidR="0068480F" w:rsidRDefault="0068480F" w:rsidP="00EF4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8844" w14:textId="77777777" w:rsidR="0068480F" w:rsidRPr="0058430C" w:rsidRDefault="00C44C1B" w:rsidP="005C2D0D">
    <w:pPr>
      <w:jc w:val="both"/>
      <w:rPr>
        <w:b/>
        <w:sz w:val="20"/>
        <w:szCs w:val="20"/>
      </w:rPr>
    </w:pPr>
    <w:r>
      <w:rPr>
        <w:sz w:val="20"/>
        <w:szCs w:val="20"/>
      </w:rPr>
      <w:t>SMzino_</w:t>
    </w:r>
    <w:r w:rsidR="00111D5C">
      <w:rPr>
        <w:sz w:val="20"/>
        <w:szCs w:val="20"/>
      </w:rPr>
      <w:t>1</w:t>
    </w:r>
    <w:r w:rsidR="00DB650A">
      <w:rPr>
        <w:sz w:val="20"/>
        <w:szCs w:val="20"/>
      </w:rPr>
      <w:t>5</w:t>
    </w:r>
    <w:r>
      <w:rPr>
        <w:sz w:val="20"/>
        <w:szCs w:val="20"/>
      </w:rPr>
      <w:t>0719_PV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A341" w14:textId="77777777" w:rsidR="0068480F" w:rsidRPr="0058430C" w:rsidRDefault="0068480F" w:rsidP="002D6790">
    <w:pPr>
      <w:jc w:val="both"/>
      <w:rPr>
        <w:b/>
        <w:sz w:val="20"/>
        <w:szCs w:val="20"/>
      </w:rPr>
    </w:pPr>
    <w:r w:rsidRPr="002E648C">
      <w:rPr>
        <w:sz w:val="20"/>
        <w:szCs w:val="20"/>
      </w:rPr>
      <w:t>SMzino_</w:t>
    </w:r>
    <w:r w:rsidR="00111D5C">
      <w:rPr>
        <w:sz w:val="20"/>
        <w:szCs w:val="20"/>
      </w:rPr>
      <w:t>1</w:t>
    </w:r>
    <w:r w:rsidR="00DB650A">
      <w:rPr>
        <w:sz w:val="20"/>
        <w:szCs w:val="20"/>
      </w:rPr>
      <w:t>5</w:t>
    </w:r>
    <w:r w:rsidR="00521EED">
      <w:rPr>
        <w:sz w:val="20"/>
        <w:szCs w:val="20"/>
      </w:rPr>
      <w:t>0819_PV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DEF8" w14:textId="77777777" w:rsidR="00BB069E" w:rsidRDefault="00BB069E">
      <w:r>
        <w:separator/>
      </w:r>
    </w:p>
  </w:footnote>
  <w:footnote w:type="continuationSeparator" w:id="0">
    <w:p w14:paraId="50262BA6" w14:textId="77777777" w:rsidR="00BB069E" w:rsidRDefault="00BB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32326"/>
      <w:docPartObj>
        <w:docPartGallery w:val="Page Numbers (Top of Page)"/>
        <w:docPartUnique/>
      </w:docPartObj>
    </w:sdtPr>
    <w:sdtEndPr>
      <w:rPr>
        <w:noProof/>
      </w:rPr>
    </w:sdtEndPr>
    <w:sdtContent>
      <w:p w14:paraId="5DA68B94" w14:textId="11E268B6" w:rsidR="00505083" w:rsidRDefault="00505083">
        <w:pPr>
          <w:pStyle w:val="Header"/>
          <w:jc w:val="center"/>
        </w:pPr>
        <w:r>
          <w:fldChar w:fldCharType="begin"/>
        </w:r>
        <w:r>
          <w:instrText xml:space="preserve"> PAGE   \* MERGEFORMAT </w:instrText>
        </w:r>
        <w:r>
          <w:fldChar w:fldCharType="separate"/>
        </w:r>
        <w:r w:rsidR="004E4926">
          <w:rPr>
            <w:noProof/>
          </w:rPr>
          <w:t>9</w:t>
        </w:r>
        <w:r>
          <w:rPr>
            <w:noProof/>
          </w:rPr>
          <w:fldChar w:fldCharType="end"/>
        </w:r>
      </w:p>
    </w:sdtContent>
  </w:sdt>
  <w:p w14:paraId="59458973" w14:textId="77777777" w:rsidR="0068480F" w:rsidRDefault="0068480F" w:rsidP="0050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6F89"/>
    <w:multiLevelType w:val="hybridMultilevel"/>
    <w:tmpl w:val="AFEEB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D2F3D"/>
    <w:multiLevelType w:val="multilevel"/>
    <w:tmpl w:val="70A6E8B4"/>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15:restartNumberingAfterBreak="0">
    <w:nsid w:val="0FDE69B4"/>
    <w:multiLevelType w:val="hybridMultilevel"/>
    <w:tmpl w:val="C2720D5E"/>
    <w:lvl w:ilvl="0" w:tplc="D8A48FA4">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461023C"/>
    <w:multiLevelType w:val="hybridMultilevel"/>
    <w:tmpl w:val="AB0C7B9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BF83030"/>
    <w:multiLevelType w:val="hybridMultilevel"/>
    <w:tmpl w:val="04AEF70A"/>
    <w:lvl w:ilvl="0" w:tplc="E50C9B02">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1E4F7DFC"/>
    <w:multiLevelType w:val="hybridMultilevel"/>
    <w:tmpl w:val="A176BE40"/>
    <w:lvl w:ilvl="0" w:tplc="CD8295BA">
      <w:start w:val="2"/>
      <w:numFmt w:val="bullet"/>
      <w:lvlText w:val="–"/>
      <w:lvlJc w:val="left"/>
      <w:pPr>
        <w:tabs>
          <w:tab w:val="num" w:pos="720"/>
        </w:tabs>
        <w:ind w:left="720" w:hanging="360"/>
      </w:pPr>
      <w:rPr>
        <w:rFonts w:ascii="Arial" w:eastAsia="Times New Roman" w:hAnsi="Arial" w:hint="default"/>
        <w:sz w:val="15"/>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6328D"/>
    <w:multiLevelType w:val="hybridMultilevel"/>
    <w:tmpl w:val="E84EB388"/>
    <w:lvl w:ilvl="0" w:tplc="F8C2AC7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FA49AB"/>
    <w:multiLevelType w:val="multilevel"/>
    <w:tmpl w:val="7604E644"/>
    <w:lvl w:ilvl="0">
      <w:start w:val="1"/>
      <w:numFmt w:val="decimal"/>
      <w:lvlText w:val="%1."/>
      <w:lvlJc w:val="left"/>
      <w:pPr>
        <w:ind w:left="360" w:hanging="360"/>
      </w:pPr>
      <w:rPr>
        <w:rFonts w:hint="default"/>
        <w:b w:val="0"/>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DA65A9"/>
    <w:multiLevelType w:val="hybridMultilevel"/>
    <w:tmpl w:val="A768AA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60026D7C"/>
    <w:multiLevelType w:val="multilevel"/>
    <w:tmpl w:val="3920F140"/>
    <w:lvl w:ilvl="0">
      <w:start w:val="1"/>
      <w:numFmt w:val="decimal"/>
      <w:lvlText w:val="%1."/>
      <w:lvlJc w:val="left"/>
      <w:pPr>
        <w:tabs>
          <w:tab w:val="num" w:pos="1080"/>
        </w:tabs>
        <w:ind w:left="1080" w:hanging="360"/>
      </w:pPr>
      <w:rPr>
        <w:rFonts w:eastAsia="Times New Roman" w:cs="Times New Roman" w:hint="default"/>
        <w:b/>
        <w:sz w:val="24"/>
      </w:rPr>
    </w:lvl>
    <w:lvl w:ilvl="1">
      <w:start w:val="1"/>
      <w:numFmt w:val="decimal"/>
      <w:isLgl/>
      <w:lvlText w:val="%1.%2."/>
      <w:lvlJc w:val="left"/>
      <w:pPr>
        <w:tabs>
          <w:tab w:val="num" w:pos="704"/>
        </w:tabs>
        <w:ind w:left="704" w:hanging="4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0" w15:restartNumberingAfterBreak="0">
    <w:nsid w:val="61B82884"/>
    <w:multiLevelType w:val="hybridMultilevel"/>
    <w:tmpl w:val="F98E741A"/>
    <w:lvl w:ilvl="0" w:tplc="91C6D2A0">
      <w:numFmt w:val="bullet"/>
      <w:lvlText w:val="-"/>
      <w:lvlJc w:val="left"/>
      <w:pPr>
        <w:tabs>
          <w:tab w:val="num" w:pos="720"/>
        </w:tabs>
        <w:ind w:left="720" w:hanging="360"/>
      </w:pPr>
      <w:rPr>
        <w:rFonts w:ascii="Arial" w:eastAsia="Times New Roman" w:hAnsi="Arial" w:hint="default"/>
        <w:b/>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22B9D"/>
    <w:multiLevelType w:val="hybridMultilevel"/>
    <w:tmpl w:val="AFCA5EEC"/>
    <w:lvl w:ilvl="0" w:tplc="DAC8D9DE">
      <w:start w:val="201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3A02454"/>
    <w:multiLevelType w:val="hybridMultilevel"/>
    <w:tmpl w:val="7A7660AE"/>
    <w:lvl w:ilvl="0" w:tplc="8F26225C">
      <w:start w:val="1"/>
      <w:numFmt w:val="decimal"/>
      <w:lvlText w:val="%1."/>
      <w:lvlJc w:val="left"/>
      <w:pPr>
        <w:ind w:left="8696" w:hanging="360"/>
      </w:pPr>
      <w:rPr>
        <w:rFonts w:cs="Times New Roman" w:hint="default"/>
      </w:rPr>
    </w:lvl>
    <w:lvl w:ilvl="1" w:tplc="04260019" w:tentative="1">
      <w:start w:val="1"/>
      <w:numFmt w:val="lowerLetter"/>
      <w:lvlText w:val="%2."/>
      <w:lvlJc w:val="left"/>
      <w:pPr>
        <w:ind w:left="9416" w:hanging="360"/>
      </w:pPr>
      <w:rPr>
        <w:rFonts w:cs="Times New Roman"/>
      </w:rPr>
    </w:lvl>
    <w:lvl w:ilvl="2" w:tplc="0426001B" w:tentative="1">
      <w:start w:val="1"/>
      <w:numFmt w:val="lowerRoman"/>
      <w:lvlText w:val="%3."/>
      <w:lvlJc w:val="right"/>
      <w:pPr>
        <w:ind w:left="10136" w:hanging="180"/>
      </w:pPr>
      <w:rPr>
        <w:rFonts w:cs="Times New Roman"/>
      </w:rPr>
    </w:lvl>
    <w:lvl w:ilvl="3" w:tplc="0426000F" w:tentative="1">
      <w:start w:val="1"/>
      <w:numFmt w:val="decimal"/>
      <w:lvlText w:val="%4."/>
      <w:lvlJc w:val="left"/>
      <w:pPr>
        <w:ind w:left="10856" w:hanging="360"/>
      </w:pPr>
      <w:rPr>
        <w:rFonts w:cs="Times New Roman"/>
      </w:rPr>
    </w:lvl>
    <w:lvl w:ilvl="4" w:tplc="04260019" w:tentative="1">
      <w:start w:val="1"/>
      <w:numFmt w:val="lowerLetter"/>
      <w:lvlText w:val="%5."/>
      <w:lvlJc w:val="left"/>
      <w:pPr>
        <w:ind w:left="11576" w:hanging="360"/>
      </w:pPr>
      <w:rPr>
        <w:rFonts w:cs="Times New Roman"/>
      </w:rPr>
    </w:lvl>
    <w:lvl w:ilvl="5" w:tplc="0426001B" w:tentative="1">
      <w:start w:val="1"/>
      <w:numFmt w:val="lowerRoman"/>
      <w:lvlText w:val="%6."/>
      <w:lvlJc w:val="right"/>
      <w:pPr>
        <w:ind w:left="12296" w:hanging="180"/>
      </w:pPr>
      <w:rPr>
        <w:rFonts w:cs="Times New Roman"/>
      </w:rPr>
    </w:lvl>
    <w:lvl w:ilvl="6" w:tplc="0426000F" w:tentative="1">
      <w:start w:val="1"/>
      <w:numFmt w:val="decimal"/>
      <w:lvlText w:val="%7."/>
      <w:lvlJc w:val="left"/>
      <w:pPr>
        <w:ind w:left="13016" w:hanging="360"/>
      </w:pPr>
      <w:rPr>
        <w:rFonts w:cs="Times New Roman"/>
      </w:rPr>
    </w:lvl>
    <w:lvl w:ilvl="7" w:tplc="04260019" w:tentative="1">
      <w:start w:val="1"/>
      <w:numFmt w:val="lowerLetter"/>
      <w:lvlText w:val="%8."/>
      <w:lvlJc w:val="left"/>
      <w:pPr>
        <w:ind w:left="13736" w:hanging="360"/>
      </w:pPr>
      <w:rPr>
        <w:rFonts w:cs="Times New Roman"/>
      </w:rPr>
    </w:lvl>
    <w:lvl w:ilvl="8" w:tplc="0426001B" w:tentative="1">
      <w:start w:val="1"/>
      <w:numFmt w:val="lowerRoman"/>
      <w:lvlText w:val="%9."/>
      <w:lvlJc w:val="right"/>
      <w:pPr>
        <w:ind w:left="14456" w:hanging="180"/>
      </w:pPr>
      <w:rPr>
        <w:rFonts w:cs="Times New Roman"/>
      </w:rPr>
    </w:lvl>
  </w:abstractNum>
  <w:num w:numId="1">
    <w:abstractNumId w:val="2"/>
  </w:num>
  <w:num w:numId="2">
    <w:abstractNumId w:val="9"/>
  </w:num>
  <w:num w:numId="3">
    <w:abstractNumId w:val="5"/>
  </w:num>
  <w:num w:numId="4">
    <w:abstractNumId w:val="10"/>
  </w:num>
  <w:num w:numId="5">
    <w:abstractNumId w:val="12"/>
  </w:num>
  <w:num w:numId="6">
    <w:abstractNumId w:val="1"/>
  </w:num>
  <w:num w:numId="7">
    <w:abstractNumId w:val="4"/>
  </w:num>
  <w:num w:numId="8">
    <w:abstractNumId w:val="3"/>
  </w:num>
  <w:num w:numId="9">
    <w:abstractNumId w:val="0"/>
  </w:num>
  <w:num w:numId="10">
    <w:abstractNumId w:val="11"/>
  </w:num>
  <w:num w:numId="11">
    <w:abstractNumId w:val="7"/>
  </w:num>
  <w:num w:numId="12">
    <w:abstractNumId w:val="6"/>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FE"/>
    <w:rsid w:val="00001937"/>
    <w:rsid w:val="00003A1E"/>
    <w:rsid w:val="00003AB0"/>
    <w:rsid w:val="0000517A"/>
    <w:rsid w:val="00006650"/>
    <w:rsid w:val="00011B8A"/>
    <w:rsid w:val="0001270D"/>
    <w:rsid w:val="0001461D"/>
    <w:rsid w:val="0001500F"/>
    <w:rsid w:val="00016033"/>
    <w:rsid w:val="00016F62"/>
    <w:rsid w:val="000208D0"/>
    <w:rsid w:val="00021064"/>
    <w:rsid w:val="000226EF"/>
    <w:rsid w:val="0002456C"/>
    <w:rsid w:val="00026F41"/>
    <w:rsid w:val="0003006D"/>
    <w:rsid w:val="00030223"/>
    <w:rsid w:val="000302ED"/>
    <w:rsid w:val="00030CE6"/>
    <w:rsid w:val="00031F4F"/>
    <w:rsid w:val="0003214D"/>
    <w:rsid w:val="000322F6"/>
    <w:rsid w:val="00037D2F"/>
    <w:rsid w:val="00040244"/>
    <w:rsid w:val="00040ACD"/>
    <w:rsid w:val="00040E90"/>
    <w:rsid w:val="00040FF6"/>
    <w:rsid w:val="00041109"/>
    <w:rsid w:val="00041426"/>
    <w:rsid w:val="00044724"/>
    <w:rsid w:val="00044E15"/>
    <w:rsid w:val="00045222"/>
    <w:rsid w:val="00045F96"/>
    <w:rsid w:val="000465F0"/>
    <w:rsid w:val="000471EE"/>
    <w:rsid w:val="000476E2"/>
    <w:rsid w:val="000477D2"/>
    <w:rsid w:val="00047DD1"/>
    <w:rsid w:val="00050132"/>
    <w:rsid w:val="00053D1C"/>
    <w:rsid w:val="00053FEA"/>
    <w:rsid w:val="00054DEC"/>
    <w:rsid w:val="00054FEB"/>
    <w:rsid w:val="000555BC"/>
    <w:rsid w:val="00056306"/>
    <w:rsid w:val="0006055C"/>
    <w:rsid w:val="0006169D"/>
    <w:rsid w:val="0006207D"/>
    <w:rsid w:val="00062BF9"/>
    <w:rsid w:val="0006311B"/>
    <w:rsid w:val="000633AD"/>
    <w:rsid w:val="00063721"/>
    <w:rsid w:val="00063DBE"/>
    <w:rsid w:val="000664A0"/>
    <w:rsid w:val="00072F2D"/>
    <w:rsid w:val="00073042"/>
    <w:rsid w:val="000742AC"/>
    <w:rsid w:val="00076D39"/>
    <w:rsid w:val="000771F8"/>
    <w:rsid w:val="00077607"/>
    <w:rsid w:val="00080AEF"/>
    <w:rsid w:val="00081814"/>
    <w:rsid w:val="00081FB6"/>
    <w:rsid w:val="000827C0"/>
    <w:rsid w:val="00085F09"/>
    <w:rsid w:val="00090214"/>
    <w:rsid w:val="00092694"/>
    <w:rsid w:val="00092F4F"/>
    <w:rsid w:val="000936D5"/>
    <w:rsid w:val="00094755"/>
    <w:rsid w:val="00094ED1"/>
    <w:rsid w:val="000A246B"/>
    <w:rsid w:val="000A3EEC"/>
    <w:rsid w:val="000A46FF"/>
    <w:rsid w:val="000A5EC6"/>
    <w:rsid w:val="000A672F"/>
    <w:rsid w:val="000A67C3"/>
    <w:rsid w:val="000B0E21"/>
    <w:rsid w:val="000B146A"/>
    <w:rsid w:val="000B154B"/>
    <w:rsid w:val="000B2114"/>
    <w:rsid w:val="000B21B7"/>
    <w:rsid w:val="000B6044"/>
    <w:rsid w:val="000B6202"/>
    <w:rsid w:val="000B6C23"/>
    <w:rsid w:val="000C0283"/>
    <w:rsid w:val="000C2267"/>
    <w:rsid w:val="000C2FFE"/>
    <w:rsid w:val="000C3DB5"/>
    <w:rsid w:val="000C5437"/>
    <w:rsid w:val="000C55E5"/>
    <w:rsid w:val="000C59DC"/>
    <w:rsid w:val="000C5CE2"/>
    <w:rsid w:val="000C5E4F"/>
    <w:rsid w:val="000C7C2E"/>
    <w:rsid w:val="000C7F10"/>
    <w:rsid w:val="000D3163"/>
    <w:rsid w:val="000D4ECB"/>
    <w:rsid w:val="000D5F9D"/>
    <w:rsid w:val="000E0434"/>
    <w:rsid w:val="000E067C"/>
    <w:rsid w:val="000E0DAF"/>
    <w:rsid w:val="000E1B83"/>
    <w:rsid w:val="000E22F0"/>
    <w:rsid w:val="000E5BB3"/>
    <w:rsid w:val="000E5DA9"/>
    <w:rsid w:val="000E6AB4"/>
    <w:rsid w:val="000E6E7B"/>
    <w:rsid w:val="000E6F99"/>
    <w:rsid w:val="000F0B88"/>
    <w:rsid w:val="000F16F8"/>
    <w:rsid w:val="000F1EA1"/>
    <w:rsid w:val="000F4B7A"/>
    <w:rsid w:val="00101A9F"/>
    <w:rsid w:val="00102BB4"/>
    <w:rsid w:val="00103A6A"/>
    <w:rsid w:val="00104637"/>
    <w:rsid w:val="001054F6"/>
    <w:rsid w:val="00111222"/>
    <w:rsid w:val="00111D5C"/>
    <w:rsid w:val="0011259B"/>
    <w:rsid w:val="00114955"/>
    <w:rsid w:val="00116688"/>
    <w:rsid w:val="00120A3A"/>
    <w:rsid w:val="00121F77"/>
    <w:rsid w:val="001222AC"/>
    <w:rsid w:val="00130506"/>
    <w:rsid w:val="00131029"/>
    <w:rsid w:val="0013122D"/>
    <w:rsid w:val="001346B6"/>
    <w:rsid w:val="00134802"/>
    <w:rsid w:val="00137C33"/>
    <w:rsid w:val="00141B5E"/>
    <w:rsid w:val="00141ED4"/>
    <w:rsid w:val="001439A0"/>
    <w:rsid w:val="001467DC"/>
    <w:rsid w:val="00146CFE"/>
    <w:rsid w:val="00146EE6"/>
    <w:rsid w:val="00150B7E"/>
    <w:rsid w:val="00150C16"/>
    <w:rsid w:val="00151F55"/>
    <w:rsid w:val="0015320C"/>
    <w:rsid w:val="0015397D"/>
    <w:rsid w:val="00154557"/>
    <w:rsid w:val="00154A6C"/>
    <w:rsid w:val="00154C2E"/>
    <w:rsid w:val="00155A08"/>
    <w:rsid w:val="00155F91"/>
    <w:rsid w:val="001600FC"/>
    <w:rsid w:val="00161A68"/>
    <w:rsid w:val="00161D48"/>
    <w:rsid w:val="00162279"/>
    <w:rsid w:val="00164822"/>
    <w:rsid w:val="001654F2"/>
    <w:rsid w:val="001705E9"/>
    <w:rsid w:val="00173B5E"/>
    <w:rsid w:val="00173F73"/>
    <w:rsid w:val="00175C84"/>
    <w:rsid w:val="00176F5A"/>
    <w:rsid w:val="00177FCC"/>
    <w:rsid w:val="001800D1"/>
    <w:rsid w:val="00181074"/>
    <w:rsid w:val="0018121B"/>
    <w:rsid w:val="00183AE4"/>
    <w:rsid w:val="00184F6B"/>
    <w:rsid w:val="001913E3"/>
    <w:rsid w:val="00191E96"/>
    <w:rsid w:val="001924A3"/>
    <w:rsid w:val="00193140"/>
    <w:rsid w:val="001932FD"/>
    <w:rsid w:val="00193611"/>
    <w:rsid w:val="001945FC"/>
    <w:rsid w:val="00195063"/>
    <w:rsid w:val="001953F3"/>
    <w:rsid w:val="00196BE7"/>
    <w:rsid w:val="001A0584"/>
    <w:rsid w:val="001A20AE"/>
    <w:rsid w:val="001A303D"/>
    <w:rsid w:val="001A5B3C"/>
    <w:rsid w:val="001A7BE9"/>
    <w:rsid w:val="001B1721"/>
    <w:rsid w:val="001B1A41"/>
    <w:rsid w:val="001B1CD5"/>
    <w:rsid w:val="001B57CF"/>
    <w:rsid w:val="001B7913"/>
    <w:rsid w:val="001C07DC"/>
    <w:rsid w:val="001C3E4C"/>
    <w:rsid w:val="001C3F41"/>
    <w:rsid w:val="001C77A6"/>
    <w:rsid w:val="001D06E8"/>
    <w:rsid w:val="001D250B"/>
    <w:rsid w:val="001D3684"/>
    <w:rsid w:val="001D4676"/>
    <w:rsid w:val="001D46A8"/>
    <w:rsid w:val="001E0F5F"/>
    <w:rsid w:val="001E1681"/>
    <w:rsid w:val="001E1C4E"/>
    <w:rsid w:val="001E268D"/>
    <w:rsid w:val="001E2B74"/>
    <w:rsid w:val="001E2DBB"/>
    <w:rsid w:val="001E6B3C"/>
    <w:rsid w:val="001E72DF"/>
    <w:rsid w:val="001F01F4"/>
    <w:rsid w:val="001F01FA"/>
    <w:rsid w:val="001F0B58"/>
    <w:rsid w:val="001F24BE"/>
    <w:rsid w:val="001F29A9"/>
    <w:rsid w:val="001F2E4B"/>
    <w:rsid w:val="001F3A8E"/>
    <w:rsid w:val="001F3D38"/>
    <w:rsid w:val="001F47AD"/>
    <w:rsid w:val="001F4859"/>
    <w:rsid w:val="001F5DAE"/>
    <w:rsid w:val="001F5EBF"/>
    <w:rsid w:val="001F644E"/>
    <w:rsid w:val="001F64D7"/>
    <w:rsid w:val="001F6907"/>
    <w:rsid w:val="001F7A0E"/>
    <w:rsid w:val="001F7DD9"/>
    <w:rsid w:val="001F7E76"/>
    <w:rsid w:val="0020050F"/>
    <w:rsid w:val="00200E00"/>
    <w:rsid w:val="00201F6E"/>
    <w:rsid w:val="0020381E"/>
    <w:rsid w:val="00204A81"/>
    <w:rsid w:val="00211B14"/>
    <w:rsid w:val="00211B6B"/>
    <w:rsid w:val="00212985"/>
    <w:rsid w:val="00212AE8"/>
    <w:rsid w:val="002130C6"/>
    <w:rsid w:val="00213A13"/>
    <w:rsid w:val="00216861"/>
    <w:rsid w:val="002205C9"/>
    <w:rsid w:val="002207BD"/>
    <w:rsid w:val="002210A6"/>
    <w:rsid w:val="00223306"/>
    <w:rsid w:val="0022636D"/>
    <w:rsid w:val="0022729D"/>
    <w:rsid w:val="002300CF"/>
    <w:rsid w:val="00232A9B"/>
    <w:rsid w:val="00232AF6"/>
    <w:rsid w:val="00233D6A"/>
    <w:rsid w:val="002343F6"/>
    <w:rsid w:val="00235247"/>
    <w:rsid w:val="00235C57"/>
    <w:rsid w:val="002378FD"/>
    <w:rsid w:val="0024182B"/>
    <w:rsid w:val="00242837"/>
    <w:rsid w:val="00243052"/>
    <w:rsid w:val="00245FBF"/>
    <w:rsid w:val="002518CF"/>
    <w:rsid w:val="002519BA"/>
    <w:rsid w:val="0025577A"/>
    <w:rsid w:val="0025598A"/>
    <w:rsid w:val="002567A4"/>
    <w:rsid w:val="002574B6"/>
    <w:rsid w:val="00260D10"/>
    <w:rsid w:val="002610A8"/>
    <w:rsid w:val="00261429"/>
    <w:rsid w:val="00262ACE"/>
    <w:rsid w:val="00264E33"/>
    <w:rsid w:val="0026521A"/>
    <w:rsid w:val="002663C5"/>
    <w:rsid w:val="0026712F"/>
    <w:rsid w:val="00270603"/>
    <w:rsid w:val="00271069"/>
    <w:rsid w:val="0027378D"/>
    <w:rsid w:val="00275BBB"/>
    <w:rsid w:val="00275C84"/>
    <w:rsid w:val="00281DD7"/>
    <w:rsid w:val="0028236F"/>
    <w:rsid w:val="002827C0"/>
    <w:rsid w:val="00283182"/>
    <w:rsid w:val="002843BC"/>
    <w:rsid w:val="00284CC8"/>
    <w:rsid w:val="00290712"/>
    <w:rsid w:val="00291DB2"/>
    <w:rsid w:val="00291F96"/>
    <w:rsid w:val="00292A40"/>
    <w:rsid w:val="00292CEC"/>
    <w:rsid w:val="00294F46"/>
    <w:rsid w:val="002959AD"/>
    <w:rsid w:val="002A043E"/>
    <w:rsid w:val="002A10BA"/>
    <w:rsid w:val="002A168E"/>
    <w:rsid w:val="002A249E"/>
    <w:rsid w:val="002A4664"/>
    <w:rsid w:val="002A5F40"/>
    <w:rsid w:val="002B1B71"/>
    <w:rsid w:val="002B2B59"/>
    <w:rsid w:val="002B3A42"/>
    <w:rsid w:val="002B5795"/>
    <w:rsid w:val="002B5DC1"/>
    <w:rsid w:val="002B7A14"/>
    <w:rsid w:val="002C014B"/>
    <w:rsid w:val="002C18D3"/>
    <w:rsid w:val="002C3B04"/>
    <w:rsid w:val="002C3DFE"/>
    <w:rsid w:val="002C4006"/>
    <w:rsid w:val="002C56CC"/>
    <w:rsid w:val="002C6514"/>
    <w:rsid w:val="002D16CB"/>
    <w:rsid w:val="002D3148"/>
    <w:rsid w:val="002D3254"/>
    <w:rsid w:val="002D6790"/>
    <w:rsid w:val="002E0441"/>
    <w:rsid w:val="002E648C"/>
    <w:rsid w:val="002E689A"/>
    <w:rsid w:val="002E6B2F"/>
    <w:rsid w:val="002E7F54"/>
    <w:rsid w:val="002F03F6"/>
    <w:rsid w:val="002F7C8B"/>
    <w:rsid w:val="00300C34"/>
    <w:rsid w:val="003015B0"/>
    <w:rsid w:val="0030203E"/>
    <w:rsid w:val="0030205D"/>
    <w:rsid w:val="00304621"/>
    <w:rsid w:val="00305586"/>
    <w:rsid w:val="0030628D"/>
    <w:rsid w:val="00313A05"/>
    <w:rsid w:val="003153D8"/>
    <w:rsid w:val="003166CF"/>
    <w:rsid w:val="003167C3"/>
    <w:rsid w:val="003171DE"/>
    <w:rsid w:val="00317933"/>
    <w:rsid w:val="003227D8"/>
    <w:rsid w:val="00323F82"/>
    <w:rsid w:val="00326B8A"/>
    <w:rsid w:val="00327A07"/>
    <w:rsid w:val="003338BD"/>
    <w:rsid w:val="00334697"/>
    <w:rsid w:val="003352C0"/>
    <w:rsid w:val="00335CAC"/>
    <w:rsid w:val="00336EF6"/>
    <w:rsid w:val="003377FD"/>
    <w:rsid w:val="003401B8"/>
    <w:rsid w:val="00342681"/>
    <w:rsid w:val="0034269E"/>
    <w:rsid w:val="00343D8F"/>
    <w:rsid w:val="0034647C"/>
    <w:rsid w:val="00346524"/>
    <w:rsid w:val="003524EC"/>
    <w:rsid w:val="00352520"/>
    <w:rsid w:val="00352BE1"/>
    <w:rsid w:val="00353349"/>
    <w:rsid w:val="00353B11"/>
    <w:rsid w:val="003542A8"/>
    <w:rsid w:val="0035685F"/>
    <w:rsid w:val="00357571"/>
    <w:rsid w:val="00360E24"/>
    <w:rsid w:val="003628C1"/>
    <w:rsid w:val="00365EC0"/>
    <w:rsid w:val="003678FB"/>
    <w:rsid w:val="00367B74"/>
    <w:rsid w:val="003701F7"/>
    <w:rsid w:val="00371650"/>
    <w:rsid w:val="00371AA6"/>
    <w:rsid w:val="0037237F"/>
    <w:rsid w:val="00374E41"/>
    <w:rsid w:val="00376893"/>
    <w:rsid w:val="003775D5"/>
    <w:rsid w:val="003776E8"/>
    <w:rsid w:val="00380E2E"/>
    <w:rsid w:val="0038435D"/>
    <w:rsid w:val="00384603"/>
    <w:rsid w:val="00384682"/>
    <w:rsid w:val="00385086"/>
    <w:rsid w:val="00386A89"/>
    <w:rsid w:val="00386BB7"/>
    <w:rsid w:val="00386DD7"/>
    <w:rsid w:val="003872F8"/>
    <w:rsid w:val="0039175F"/>
    <w:rsid w:val="00392488"/>
    <w:rsid w:val="003931C5"/>
    <w:rsid w:val="00393669"/>
    <w:rsid w:val="00394127"/>
    <w:rsid w:val="003951CD"/>
    <w:rsid w:val="00395DD2"/>
    <w:rsid w:val="0039784E"/>
    <w:rsid w:val="003A278C"/>
    <w:rsid w:val="003A341A"/>
    <w:rsid w:val="003A3D41"/>
    <w:rsid w:val="003A414C"/>
    <w:rsid w:val="003A481C"/>
    <w:rsid w:val="003A4FB1"/>
    <w:rsid w:val="003A5569"/>
    <w:rsid w:val="003A73C9"/>
    <w:rsid w:val="003A7AE1"/>
    <w:rsid w:val="003B0E18"/>
    <w:rsid w:val="003B0EFF"/>
    <w:rsid w:val="003B28B5"/>
    <w:rsid w:val="003B5699"/>
    <w:rsid w:val="003B5C40"/>
    <w:rsid w:val="003B5D4D"/>
    <w:rsid w:val="003B6958"/>
    <w:rsid w:val="003B6DED"/>
    <w:rsid w:val="003C103A"/>
    <w:rsid w:val="003C1906"/>
    <w:rsid w:val="003C34E3"/>
    <w:rsid w:val="003C57CC"/>
    <w:rsid w:val="003C7CC5"/>
    <w:rsid w:val="003D2A8E"/>
    <w:rsid w:val="003D2AC0"/>
    <w:rsid w:val="003D2CB4"/>
    <w:rsid w:val="003D39D0"/>
    <w:rsid w:val="003D401F"/>
    <w:rsid w:val="003D4B36"/>
    <w:rsid w:val="003D4F96"/>
    <w:rsid w:val="003D6810"/>
    <w:rsid w:val="003D7BB6"/>
    <w:rsid w:val="003E0235"/>
    <w:rsid w:val="003E06A8"/>
    <w:rsid w:val="003E214C"/>
    <w:rsid w:val="003E35CF"/>
    <w:rsid w:val="003E39CA"/>
    <w:rsid w:val="003E39EC"/>
    <w:rsid w:val="003E3A7C"/>
    <w:rsid w:val="003E4B1D"/>
    <w:rsid w:val="003E4FFB"/>
    <w:rsid w:val="003F11CB"/>
    <w:rsid w:val="003F1815"/>
    <w:rsid w:val="003F1877"/>
    <w:rsid w:val="003F199D"/>
    <w:rsid w:val="003F5E09"/>
    <w:rsid w:val="003F5F81"/>
    <w:rsid w:val="00400349"/>
    <w:rsid w:val="00402401"/>
    <w:rsid w:val="0040243D"/>
    <w:rsid w:val="00404BE2"/>
    <w:rsid w:val="00405841"/>
    <w:rsid w:val="00406F26"/>
    <w:rsid w:val="00410A63"/>
    <w:rsid w:val="00411B7E"/>
    <w:rsid w:val="00411D29"/>
    <w:rsid w:val="00411F0F"/>
    <w:rsid w:val="00412527"/>
    <w:rsid w:val="0041452F"/>
    <w:rsid w:val="00414A21"/>
    <w:rsid w:val="00415730"/>
    <w:rsid w:val="00415D7B"/>
    <w:rsid w:val="00416ABE"/>
    <w:rsid w:val="00417C09"/>
    <w:rsid w:val="00420178"/>
    <w:rsid w:val="004203A8"/>
    <w:rsid w:val="00420507"/>
    <w:rsid w:val="004209F2"/>
    <w:rsid w:val="00421DF0"/>
    <w:rsid w:val="004223F6"/>
    <w:rsid w:val="00424450"/>
    <w:rsid w:val="00432879"/>
    <w:rsid w:val="00432A34"/>
    <w:rsid w:val="00433F1F"/>
    <w:rsid w:val="0043425C"/>
    <w:rsid w:val="00435EA8"/>
    <w:rsid w:val="004400B3"/>
    <w:rsid w:val="004406A6"/>
    <w:rsid w:val="004420D2"/>
    <w:rsid w:val="004432D2"/>
    <w:rsid w:val="004437C0"/>
    <w:rsid w:val="00444760"/>
    <w:rsid w:val="00444D78"/>
    <w:rsid w:val="00445AF5"/>
    <w:rsid w:val="00446F73"/>
    <w:rsid w:val="004506B7"/>
    <w:rsid w:val="00450BC4"/>
    <w:rsid w:val="00453536"/>
    <w:rsid w:val="0045481C"/>
    <w:rsid w:val="00454F32"/>
    <w:rsid w:val="00455C95"/>
    <w:rsid w:val="00456D9A"/>
    <w:rsid w:val="004574FE"/>
    <w:rsid w:val="0046175F"/>
    <w:rsid w:val="0046204C"/>
    <w:rsid w:val="0046331D"/>
    <w:rsid w:val="00465A69"/>
    <w:rsid w:val="0046784F"/>
    <w:rsid w:val="00470097"/>
    <w:rsid w:val="004705BE"/>
    <w:rsid w:val="00472254"/>
    <w:rsid w:val="00472453"/>
    <w:rsid w:val="00472973"/>
    <w:rsid w:val="00473BF4"/>
    <w:rsid w:val="00474254"/>
    <w:rsid w:val="00474C00"/>
    <w:rsid w:val="00474FFA"/>
    <w:rsid w:val="004755B6"/>
    <w:rsid w:val="004765F3"/>
    <w:rsid w:val="004823E5"/>
    <w:rsid w:val="00483FD5"/>
    <w:rsid w:val="004841B4"/>
    <w:rsid w:val="004848CB"/>
    <w:rsid w:val="00485369"/>
    <w:rsid w:val="0049025C"/>
    <w:rsid w:val="004903AD"/>
    <w:rsid w:val="00490F83"/>
    <w:rsid w:val="004920F1"/>
    <w:rsid w:val="00492730"/>
    <w:rsid w:val="0049338E"/>
    <w:rsid w:val="00493F4F"/>
    <w:rsid w:val="00496536"/>
    <w:rsid w:val="0049772E"/>
    <w:rsid w:val="004A1805"/>
    <w:rsid w:val="004A1FB5"/>
    <w:rsid w:val="004A208A"/>
    <w:rsid w:val="004A2A80"/>
    <w:rsid w:val="004A2F0D"/>
    <w:rsid w:val="004A5AB9"/>
    <w:rsid w:val="004A614D"/>
    <w:rsid w:val="004B0816"/>
    <w:rsid w:val="004B1795"/>
    <w:rsid w:val="004B17A1"/>
    <w:rsid w:val="004B1CE0"/>
    <w:rsid w:val="004B38BE"/>
    <w:rsid w:val="004B3C70"/>
    <w:rsid w:val="004B422D"/>
    <w:rsid w:val="004B459E"/>
    <w:rsid w:val="004B52A6"/>
    <w:rsid w:val="004B6D3C"/>
    <w:rsid w:val="004B6D67"/>
    <w:rsid w:val="004C012F"/>
    <w:rsid w:val="004C1B68"/>
    <w:rsid w:val="004C2FCE"/>
    <w:rsid w:val="004C643B"/>
    <w:rsid w:val="004C6A08"/>
    <w:rsid w:val="004C6F60"/>
    <w:rsid w:val="004D0190"/>
    <w:rsid w:val="004D4CC3"/>
    <w:rsid w:val="004D7626"/>
    <w:rsid w:val="004D774D"/>
    <w:rsid w:val="004E1319"/>
    <w:rsid w:val="004E17C6"/>
    <w:rsid w:val="004E20DC"/>
    <w:rsid w:val="004E2C17"/>
    <w:rsid w:val="004E2E00"/>
    <w:rsid w:val="004E2E3C"/>
    <w:rsid w:val="004E4926"/>
    <w:rsid w:val="004E5D25"/>
    <w:rsid w:val="004E6787"/>
    <w:rsid w:val="004E726F"/>
    <w:rsid w:val="004F040F"/>
    <w:rsid w:val="004F11DE"/>
    <w:rsid w:val="004F1BF6"/>
    <w:rsid w:val="004F1F6C"/>
    <w:rsid w:val="004F29AE"/>
    <w:rsid w:val="004F37C8"/>
    <w:rsid w:val="004F3E7F"/>
    <w:rsid w:val="004F4133"/>
    <w:rsid w:val="004F4EFF"/>
    <w:rsid w:val="004F4F66"/>
    <w:rsid w:val="004F5781"/>
    <w:rsid w:val="004F6CBE"/>
    <w:rsid w:val="00502FDE"/>
    <w:rsid w:val="00503335"/>
    <w:rsid w:val="00505083"/>
    <w:rsid w:val="0050569B"/>
    <w:rsid w:val="00505AEB"/>
    <w:rsid w:val="00512925"/>
    <w:rsid w:val="00512D77"/>
    <w:rsid w:val="005139A4"/>
    <w:rsid w:val="00514416"/>
    <w:rsid w:val="00515934"/>
    <w:rsid w:val="00515BD6"/>
    <w:rsid w:val="00520EC4"/>
    <w:rsid w:val="0052175C"/>
    <w:rsid w:val="00521EED"/>
    <w:rsid w:val="00522F42"/>
    <w:rsid w:val="00523231"/>
    <w:rsid w:val="005238E0"/>
    <w:rsid w:val="00524D79"/>
    <w:rsid w:val="0052504E"/>
    <w:rsid w:val="00527CDB"/>
    <w:rsid w:val="005309DF"/>
    <w:rsid w:val="005316BA"/>
    <w:rsid w:val="005328A2"/>
    <w:rsid w:val="00533EF7"/>
    <w:rsid w:val="00534A9A"/>
    <w:rsid w:val="005355F4"/>
    <w:rsid w:val="005358CC"/>
    <w:rsid w:val="00536CDB"/>
    <w:rsid w:val="00537746"/>
    <w:rsid w:val="00540F83"/>
    <w:rsid w:val="00541BEB"/>
    <w:rsid w:val="00542850"/>
    <w:rsid w:val="005431F6"/>
    <w:rsid w:val="00544E38"/>
    <w:rsid w:val="00551552"/>
    <w:rsid w:val="005603B5"/>
    <w:rsid w:val="00560B74"/>
    <w:rsid w:val="00560CCE"/>
    <w:rsid w:val="005611BC"/>
    <w:rsid w:val="00561CD9"/>
    <w:rsid w:val="00561DB5"/>
    <w:rsid w:val="005625CD"/>
    <w:rsid w:val="0056279D"/>
    <w:rsid w:val="0056368C"/>
    <w:rsid w:val="0056439E"/>
    <w:rsid w:val="00565EC3"/>
    <w:rsid w:val="00566651"/>
    <w:rsid w:val="00567A4D"/>
    <w:rsid w:val="00570B6B"/>
    <w:rsid w:val="00571794"/>
    <w:rsid w:val="0057382A"/>
    <w:rsid w:val="00573D78"/>
    <w:rsid w:val="00575FC9"/>
    <w:rsid w:val="00576970"/>
    <w:rsid w:val="00576EA5"/>
    <w:rsid w:val="0057757B"/>
    <w:rsid w:val="00580861"/>
    <w:rsid w:val="0058150A"/>
    <w:rsid w:val="0058177F"/>
    <w:rsid w:val="00583046"/>
    <w:rsid w:val="00583D66"/>
    <w:rsid w:val="0058430C"/>
    <w:rsid w:val="00584999"/>
    <w:rsid w:val="00584D3D"/>
    <w:rsid w:val="00585E04"/>
    <w:rsid w:val="00586BDB"/>
    <w:rsid w:val="00587812"/>
    <w:rsid w:val="00587B4E"/>
    <w:rsid w:val="00590167"/>
    <w:rsid w:val="005901C4"/>
    <w:rsid w:val="0059054A"/>
    <w:rsid w:val="0059128F"/>
    <w:rsid w:val="005913EA"/>
    <w:rsid w:val="005952AD"/>
    <w:rsid w:val="00595724"/>
    <w:rsid w:val="00597314"/>
    <w:rsid w:val="005A089C"/>
    <w:rsid w:val="005A0A0A"/>
    <w:rsid w:val="005A1500"/>
    <w:rsid w:val="005A3FC4"/>
    <w:rsid w:val="005A410B"/>
    <w:rsid w:val="005A6921"/>
    <w:rsid w:val="005B07D9"/>
    <w:rsid w:val="005B1280"/>
    <w:rsid w:val="005B232D"/>
    <w:rsid w:val="005B247E"/>
    <w:rsid w:val="005B5E85"/>
    <w:rsid w:val="005B6508"/>
    <w:rsid w:val="005B660D"/>
    <w:rsid w:val="005B699B"/>
    <w:rsid w:val="005B69BA"/>
    <w:rsid w:val="005C1713"/>
    <w:rsid w:val="005C1EA4"/>
    <w:rsid w:val="005C2D0D"/>
    <w:rsid w:val="005C2E60"/>
    <w:rsid w:val="005C4135"/>
    <w:rsid w:val="005C5D8C"/>
    <w:rsid w:val="005C6AD4"/>
    <w:rsid w:val="005C6AF0"/>
    <w:rsid w:val="005C705A"/>
    <w:rsid w:val="005D17FE"/>
    <w:rsid w:val="005D2B28"/>
    <w:rsid w:val="005D3937"/>
    <w:rsid w:val="005D457D"/>
    <w:rsid w:val="005D61C7"/>
    <w:rsid w:val="005D6B32"/>
    <w:rsid w:val="005D71E1"/>
    <w:rsid w:val="005E032A"/>
    <w:rsid w:val="005E4682"/>
    <w:rsid w:val="005E4D27"/>
    <w:rsid w:val="005E4FF5"/>
    <w:rsid w:val="005E59A1"/>
    <w:rsid w:val="005E684F"/>
    <w:rsid w:val="005E722F"/>
    <w:rsid w:val="005F0824"/>
    <w:rsid w:val="005F0AB2"/>
    <w:rsid w:val="005F71AC"/>
    <w:rsid w:val="005F7AAA"/>
    <w:rsid w:val="0060048D"/>
    <w:rsid w:val="00600498"/>
    <w:rsid w:val="00600A8E"/>
    <w:rsid w:val="006011C5"/>
    <w:rsid w:val="0060155A"/>
    <w:rsid w:val="00601F55"/>
    <w:rsid w:val="0060387D"/>
    <w:rsid w:val="00603923"/>
    <w:rsid w:val="00603975"/>
    <w:rsid w:val="0060746B"/>
    <w:rsid w:val="00607FFD"/>
    <w:rsid w:val="00610778"/>
    <w:rsid w:val="00611693"/>
    <w:rsid w:val="0061545A"/>
    <w:rsid w:val="00616DFF"/>
    <w:rsid w:val="00617771"/>
    <w:rsid w:val="00621599"/>
    <w:rsid w:val="00623CB0"/>
    <w:rsid w:val="0062402D"/>
    <w:rsid w:val="006262C0"/>
    <w:rsid w:val="00627E75"/>
    <w:rsid w:val="0063224E"/>
    <w:rsid w:val="00632ABE"/>
    <w:rsid w:val="00632F15"/>
    <w:rsid w:val="00636262"/>
    <w:rsid w:val="00641F93"/>
    <w:rsid w:val="0064243F"/>
    <w:rsid w:val="00643942"/>
    <w:rsid w:val="00647128"/>
    <w:rsid w:val="00651D62"/>
    <w:rsid w:val="00651F99"/>
    <w:rsid w:val="006525CC"/>
    <w:rsid w:val="00652722"/>
    <w:rsid w:val="0065322A"/>
    <w:rsid w:val="006546BD"/>
    <w:rsid w:val="00656212"/>
    <w:rsid w:val="00660A0F"/>
    <w:rsid w:val="006628B1"/>
    <w:rsid w:val="00663154"/>
    <w:rsid w:val="00663399"/>
    <w:rsid w:val="00663559"/>
    <w:rsid w:val="00664341"/>
    <w:rsid w:val="00664D1C"/>
    <w:rsid w:val="006658C8"/>
    <w:rsid w:val="006661D8"/>
    <w:rsid w:val="00672350"/>
    <w:rsid w:val="00673941"/>
    <w:rsid w:val="0067525D"/>
    <w:rsid w:val="0067555C"/>
    <w:rsid w:val="006757F4"/>
    <w:rsid w:val="00675D25"/>
    <w:rsid w:val="0067790D"/>
    <w:rsid w:val="006805C7"/>
    <w:rsid w:val="00680669"/>
    <w:rsid w:val="00680827"/>
    <w:rsid w:val="006808B9"/>
    <w:rsid w:val="006809F2"/>
    <w:rsid w:val="0068143A"/>
    <w:rsid w:val="00681C38"/>
    <w:rsid w:val="00682318"/>
    <w:rsid w:val="006824A7"/>
    <w:rsid w:val="00682E45"/>
    <w:rsid w:val="00684114"/>
    <w:rsid w:val="006842A7"/>
    <w:rsid w:val="00684381"/>
    <w:rsid w:val="0068480F"/>
    <w:rsid w:val="00684DBB"/>
    <w:rsid w:val="00690B55"/>
    <w:rsid w:val="00690BDE"/>
    <w:rsid w:val="00690F24"/>
    <w:rsid w:val="00691509"/>
    <w:rsid w:val="00692AE5"/>
    <w:rsid w:val="00692F54"/>
    <w:rsid w:val="006953D0"/>
    <w:rsid w:val="00695AC8"/>
    <w:rsid w:val="006964C3"/>
    <w:rsid w:val="006A1EBA"/>
    <w:rsid w:val="006A22B8"/>
    <w:rsid w:val="006A2FAB"/>
    <w:rsid w:val="006A3002"/>
    <w:rsid w:val="006A5D27"/>
    <w:rsid w:val="006A6312"/>
    <w:rsid w:val="006A778E"/>
    <w:rsid w:val="006A79E5"/>
    <w:rsid w:val="006B0201"/>
    <w:rsid w:val="006B0CE8"/>
    <w:rsid w:val="006B0D56"/>
    <w:rsid w:val="006B1BCB"/>
    <w:rsid w:val="006B328C"/>
    <w:rsid w:val="006B354F"/>
    <w:rsid w:val="006B3BDC"/>
    <w:rsid w:val="006B4998"/>
    <w:rsid w:val="006B4B79"/>
    <w:rsid w:val="006B7F4F"/>
    <w:rsid w:val="006C0E39"/>
    <w:rsid w:val="006C27EC"/>
    <w:rsid w:val="006C4EB5"/>
    <w:rsid w:val="006C4ED6"/>
    <w:rsid w:val="006C5AAE"/>
    <w:rsid w:val="006C6B28"/>
    <w:rsid w:val="006C6B91"/>
    <w:rsid w:val="006C75A7"/>
    <w:rsid w:val="006C786A"/>
    <w:rsid w:val="006D1B43"/>
    <w:rsid w:val="006D3870"/>
    <w:rsid w:val="006D67A2"/>
    <w:rsid w:val="006E0953"/>
    <w:rsid w:val="006E2667"/>
    <w:rsid w:val="006E42CB"/>
    <w:rsid w:val="006E4752"/>
    <w:rsid w:val="006E484A"/>
    <w:rsid w:val="006E4ED6"/>
    <w:rsid w:val="006E5957"/>
    <w:rsid w:val="006E6649"/>
    <w:rsid w:val="006E6F5A"/>
    <w:rsid w:val="006E7F81"/>
    <w:rsid w:val="006F24A3"/>
    <w:rsid w:val="006F27B0"/>
    <w:rsid w:val="006F2E96"/>
    <w:rsid w:val="006F3038"/>
    <w:rsid w:val="006F46E9"/>
    <w:rsid w:val="006F66C9"/>
    <w:rsid w:val="006F67E5"/>
    <w:rsid w:val="00701413"/>
    <w:rsid w:val="0070175A"/>
    <w:rsid w:val="007022AD"/>
    <w:rsid w:val="00702579"/>
    <w:rsid w:val="0070269B"/>
    <w:rsid w:val="00702AA7"/>
    <w:rsid w:val="00702D86"/>
    <w:rsid w:val="00703BF3"/>
    <w:rsid w:val="00704E96"/>
    <w:rsid w:val="007104B8"/>
    <w:rsid w:val="00710A85"/>
    <w:rsid w:val="00712318"/>
    <w:rsid w:val="00713AF0"/>
    <w:rsid w:val="00714267"/>
    <w:rsid w:val="007153F8"/>
    <w:rsid w:val="00715A3C"/>
    <w:rsid w:val="00715A68"/>
    <w:rsid w:val="00716420"/>
    <w:rsid w:val="00717973"/>
    <w:rsid w:val="007200EC"/>
    <w:rsid w:val="00720DEA"/>
    <w:rsid w:val="007212D5"/>
    <w:rsid w:val="00724918"/>
    <w:rsid w:val="00726976"/>
    <w:rsid w:val="007275B9"/>
    <w:rsid w:val="00727A7B"/>
    <w:rsid w:val="007313D6"/>
    <w:rsid w:val="00731A3D"/>
    <w:rsid w:val="00731C21"/>
    <w:rsid w:val="00734263"/>
    <w:rsid w:val="00735C0D"/>
    <w:rsid w:val="007415EA"/>
    <w:rsid w:val="00742A68"/>
    <w:rsid w:val="00742AFA"/>
    <w:rsid w:val="00742EAF"/>
    <w:rsid w:val="00742FE4"/>
    <w:rsid w:val="00743FE3"/>
    <w:rsid w:val="007445DF"/>
    <w:rsid w:val="00744D25"/>
    <w:rsid w:val="00745167"/>
    <w:rsid w:val="0074598C"/>
    <w:rsid w:val="0074752C"/>
    <w:rsid w:val="0074786F"/>
    <w:rsid w:val="0075004D"/>
    <w:rsid w:val="00750DC5"/>
    <w:rsid w:val="00750E83"/>
    <w:rsid w:val="00751B83"/>
    <w:rsid w:val="007532F8"/>
    <w:rsid w:val="00755332"/>
    <w:rsid w:val="007557B1"/>
    <w:rsid w:val="007607E4"/>
    <w:rsid w:val="00763A19"/>
    <w:rsid w:val="00763E00"/>
    <w:rsid w:val="00764EA3"/>
    <w:rsid w:val="007663EA"/>
    <w:rsid w:val="00766BCB"/>
    <w:rsid w:val="00767001"/>
    <w:rsid w:val="00767B43"/>
    <w:rsid w:val="00767BB2"/>
    <w:rsid w:val="00770A85"/>
    <w:rsid w:val="007714AA"/>
    <w:rsid w:val="00771E22"/>
    <w:rsid w:val="00771F5C"/>
    <w:rsid w:val="00774527"/>
    <w:rsid w:val="00775615"/>
    <w:rsid w:val="00775C2F"/>
    <w:rsid w:val="0077726D"/>
    <w:rsid w:val="00777C9D"/>
    <w:rsid w:val="00780005"/>
    <w:rsid w:val="00780E99"/>
    <w:rsid w:val="0078210D"/>
    <w:rsid w:val="00783B55"/>
    <w:rsid w:val="00786754"/>
    <w:rsid w:val="00786C1B"/>
    <w:rsid w:val="00786EC4"/>
    <w:rsid w:val="007908EF"/>
    <w:rsid w:val="00793269"/>
    <w:rsid w:val="00793565"/>
    <w:rsid w:val="0079388A"/>
    <w:rsid w:val="00794D05"/>
    <w:rsid w:val="00795034"/>
    <w:rsid w:val="00796593"/>
    <w:rsid w:val="007973C1"/>
    <w:rsid w:val="0079754F"/>
    <w:rsid w:val="007975AA"/>
    <w:rsid w:val="00797E35"/>
    <w:rsid w:val="00797E56"/>
    <w:rsid w:val="007A05A7"/>
    <w:rsid w:val="007A4C1C"/>
    <w:rsid w:val="007A4C9F"/>
    <w:rsid w:val="007A5A68"/>
    <w:rsid w:val="007A5F15"/>
    <w:rsid w:val="007A620B"/>
    <w:rsid w:val="007B021D"/>
    <w:rsid w:val="007B068E"/>
    <w:rsid w:val="007B13D7"/>
    <w:rsid w:val="007B145B"/>
    <w:rsid w:val="007B1461"/>
    <w:rsid w:val="007B23F1"/>
    <w:rsid w:val="007B4111"/>
    <w:rsid w:val="007B4C4E"/>
    <w:rsid w:val="007B5B7A"/>
    <w:rsid w:val="007B74C6"/>
    <w:rsid w:val="007B7768"/>
    <w:rsid w:val="007C25CC"/>
    <w:rsid w:val="007C5C1E"/>
    <w:rsid w:val="007C5E87"/>
    <w:rsid w:val="007C6B16"/>
    <w:rsid w:val="007C6B4E"/>
    <w:rsid w:val="007C7096"/>
    <w:rsid w:val="007D01E4"/>
    <w:rsid w:val="007D0754"/>
    <w:rsid w:val="007D19F4"/>
    <w:rsid w:val="007D1B8E"/>
    <w:rsid w:val="007D3525"/>
    <w:rsid w:val="007D470E"/>
    <w:rsid w:val="007D6769"/>
    <w:rsid w:val="007D7453"/>
    <w:rsid w:val="007D75A0"/>
    <w:rsid w:val="007D7B98"/>
    <w:rsid w:val="007E0029"/>
    <w:rsid w:val="007E1118"/>
    <w:rsid w:val="007E2265"/>
    <w:rsid w:val="007E3326"/>
    <w:rsid w:val="007E3AC7"/>
    <w:rsid w:val="007E3BF6"/>
    <w:rsid w:val="007E4D7C"/>
    <w:rsid w:val="007E5581"/>
    <w:rsid w:val="007E644A"/>
    <w:rsid w:val="007E6BFB"/>
    <w:rsid w:val="007E74B3"/>
    <w:rsid w:val="007E7CC3"/>
    <w:rsid w:val="007F3297"/>
    <w:rsid w:val="007F3A8E"/>
    <w:rsid w:val="007F64F2"/>
    <w:rsid w:val="007F7524"/>
    <w:rsid w:val="00800028"/>
    <w:rsid w:val="00800417"/>
    <w:rsid w:val="00801FAD"/>
    <w:rsid w:val="008027D0"/>
    <w:rsid w:val="008031C7"/>
    <w:rsid w:val="008046B1"/>
    <w:rsid w:val="00805805"/>
    <w:rsid w:val="00805E10"/>
    <w:rsid w:val="0081031B"/>
    <w:rsid w:val="00810984"/>
    <w:rsid w:val="008138D7"/>
    <w:rsid w:val="00813C03"/>
    <w:rsid w:val="00814828"/>
    <w:rsid w:val="00814C79"/>
    <w:rsid w:val="0081676D"/>
    <w:rsid w:val="0081777B"/>
    <w:rsid w:val="00817FEA"/>
    <w:rsid w:val="00820B1B"/>
    <w:rsid w:val="00821B78"/>
    <w:rsid w:val="00821FFF"/>
    <w:rsid w:val="00823726"/>
    <w:rsid w:val="00823B97"/>
    <w:rsid w:val="0082458B"/>
    <w:rsid w:val="00826CF0"/>
    <w:rsid w:val="00826DA0"/>
    <w:rsid w:val="0083004D"/>
    <w:rsid w:val="00831540"/>
    <w:rsid w:val="00831882"/>
    <w:rsid w:val="00832695"/>
    <w:rsid w:val="008378E7"/>
    <w:rsid w:val="00837EC1"/>
    <w:rsid w:val="0084028E"/>
    <w:rsid w:val="00840365"/>
    <w:rsid w:val="008412C5"/>
    <w:rsid w:val="00843046"/>
    <w:rsid w:val="008430B1"/>
    <w:rsid w:val="0084477A"/>
    <w:rsid w:val="00845F5E"/>
    <w:rsid w:val="00850188"/>
    <w:rsid w:val="00850A96"/>
    <w:rsid w:val="008529A9"/>
    <w:rsid w:val="00853260"/>
    <w:rsid w:val="008532E4"/>
    <w:rsid w:val="008537A7"/>
    <w:rsid w:val="00855BD0"/>
    <w:rsid w:val="00856C43"/>
    <w:rsid w:val="00857314"/>
    <w:rsid w:val="00861683"/>
    <w:rsid w:val="00861911"/>
    <w:rsid w:val="00861DCF"/>
    <w:rsid w:val="008636B3"/>
    <w:rsid w:val="008666E2"/>
    <w:rsid w:val="008674FB"/>
    <w:rsid w:val="0087022F"/>
    <w:rsid w:val="00870529"/>
    <w:rsid w:val="008713E3"/>
    <w:rsid w:val="0087385F"/>
    <w:rsid w:val="00873B15"/>
    <w:rsid w:val="008742CB"/>
    <w:rsid w:val="008744F2"/>
    <w:rsid w:val="00874664"/>
    <w:rsid w:val="0087480C"/>
    <w:rsid w:val="00874B56"/>
    <w:rsid w:val="00874BCE"/>
    <w:rsid w:val="00874FC9"/>
    <w:rsid w:val="00875AB7"/>
    <w:rsid w:val="00877773"/>
    <w:rsid w:val="00880134"/>
    <w:rsid w:val="00881430"/>
    <w:rsid w:val="00881F52"/>
    <w:rsid w:val="0088229D"/>
    <w:rsid w:val="008835C2"/>
    <w:rsid w:val="00884AB2"/>
    <w:rsid w:val="00884FC6"/>
    <w:rsid w:val="00885B11"/>
    <w:rsid w:val="00886852"/>
    <w:rsid w:val="008900CF"/>
    <w:rsid w:val="00892EF5"/>
    <w:rsid w:val="008932C9"/>
    <w:rsid w:val="00893D43"/>
    <w:rsid w:val="00894716"/>
    <w:rsid w:val="00895D55"/>
    <w:rsid w:val="008960A9"/>
    <w:rsid w:val="00896249"/>
    <w:rsid w:val="008A1839"/>
    <w:rsid w:val="008A1F2E"/>
    <w:rsid w:val="008A27AF"/>
    <w:rsid w:val="008A543D"/>
    <w:rsid w:val="008A66BA"/>
    <w:rsid w:val="008A67CA"/>
    <w:rsid w:val="008A7271"/>
    <w:rsid w:val="008B1000"/>
    <w:rsid w:val="008B438E"/>
    <w:rsid w:val="008B5E18"/>
    <w:rsid w:val="008B788F"/>
    <w:rsid w:val="008C2952"/>
    <w:rsid w:val="008C2C9B"/>
    <w:rsid w:val="008C5AF3"/>
    <w:rsid w:val="008C64F4"/>
    <w:rsid w:val="008D05CF"/>
    <w:rsid w:val="008D0E05"/>
    <w:rsid w:val="008D1A91"/>
    <w:rsid w:val="008D1DD4"/>
    <w:rsid w:val="008D2CCB"/>
    <w:rsid w:val="008D2EA2"/>
    <w:rsid w:val="008D343D"/>
    <w:rsid w:val="008D3555"/>
    <w:rsid w:val="008E0D48"/>
    <w:rsid w:val="008E133C"/>
    <w:rsid w:val="008E19CC"/>
    <w:rsid w:val="008E50B0"/>
    <w:rsid w:val="008E5DF7"/>
    <w:rsid w:val="008E724F"/>
    <w:rsid w:val="008E74B6"/>
    <w:rsid w:val="008F1034"/>
    <w:rsid w:val="008F19BF"/>
    <w:rsid w:val="008F2173"/>
    <w:rsid w:val="008F3507"/>
    <w:rsid w:val="008F5009"/>
    <w:rsid w:val="008F5819"/>
    <w:rsid w:val="008F5C34"/>
    <w:rsid w:val="008F5D22"/>
    <w:rsid w:val="008F5D53"/>
    <w:rsid w:val="008F6B72"/>
    <w:rsid w:val="0090173E"/>
    <w:rsid w:val="00904D83"/>
    <w:rsid w:val="00906138"/>
    <w:rsid w:val="00910B75"/>
    <w:rsid w:val="0091529F"/>
    <w:rsid w:val="0091710E"/>
    <w:rsid w:val="00920290"/>
    <w:rsid w:val="0092153E"/>
    <w:rsid w:val="00921A7B"/>
    <w:rsid w:val="0092342F"/>
    <w:rsid w:val="00926270"/>
    <w:rsid w:val="009264B1"/>
    <w:rsid w:val="009277F8"/>
    <w:rsid w:val="00927913"/>
    <w:rsid w:val="00927C9F"/>
    <w:rsid w:val="00927E5C"/>
    <w:rsid w:val="009301C7"/>
    <w:rsid w:val="00931D77"/>
    <w:rsid w:val="0093373C"/>
    <w:rsid w:val="00935E62"/>
    <w:rsid w:val="009365F0"/>
    <w:rsid w:val="00936619"/>
    <w:rsid w:val="009370D8"/>
    <w:rsid w:val="009408A4"/>
    <w:rsid w:val="00940D2C"/>
    <w:rsid w:val="00941C38"/>
    <w:rsid w:val="00942B89"/>
    <w:rsid w:val="0094337D"/>
    <w:rsid w:val="00944EC1"/>
    <w:rsid w:val="009452BD"/>
    <w:rsid w:val="009455A7"/>
    <w:rsid w:val="00950FCF"/>
    <w:rsid w:val="0095205A"/>
    <w:rsid w:val="00953A1F"/>
    <w:rsid w:val="00955860"/>
    <w:rsid w:val="009612A3"/>
    <w:rsid w:val="00962324"/>
    <w:rsid w:val="00963E20"/>
    <w:rsid w:val="00964EA0"/>
    <w:rsid w:val="009650E7"/>
    <w:rsid w:val="00966569"/>
    <w:rsid w:val="00975D99"/>
    <w:rsid w:val="009778BE"/>
    <w:rsid w:val="00977D0D"/>
    <w:rsid w:val="0098116E"/>
    <w:rsid w:val="00981B94"/>
    <w:rsid w:val="009831CB"/>
    <w:rsid w:val="00983F47"/>
    <w:rsid w:val="009855D2"/>
    <w:rsid w:val="0098647D"/>
    <w:rsid w:val="00986AE2"/>
    <w:rsid w:val="00987331"/>
    <w:rsid w:val="009902E6"/>
    <w:rsid w:val="00992067"/>
    <w:rsid w:val="00992931"/>
    <w:rsid w:val="00992B7A"/>
    <w:rsid w:val="009939C6"/>
    <w:rsid w:val="0099471A"/>
    <w:rsid w:val="009965EC"/>
    <w:rsid w:val="009A035F"/>
    <w:rsid w:val="009A0B07"/>
    <w:rsid w:val="009A2070"/>
    <w:rsid w:val="009A2906"/>
    <w:rsid w:val="009A3731"/>
    <w:rsid w:val="009A3D59"/>
    <w:rsid w:val="009A3DDF"/>
    <w:rsid w:val="009A41FD"/>
    <w:rsid w:val="009A6F18"/>
    <w:rsid w:val="009B1DAE"/>
    <w:rsid w:val="009B5DD9"/>
    <w:rsid w:val="009B653D"/>
    <w:rsid w:val="009C04B6"/>
    <w:rsid w:val="009C3E8D"/>
    <w:rsid w:val="009C425E"/>
    <w:rsid w:val="009D1D4E"/>
    <w:rsid w:val="009D2A08"/>
    <w:rsid w:val="009D55D9"/>
    <w:rsid w:val="009E02BB"/>
    <w:rsid w:val="009E05EF"/>
    <w:rsid w:val="009E3FDF"/>
    <w:rsid w:val="009E46AC"/>
    <w:rsid w:val="009E5642"/>
    <w:rsid w:val="009E6237"/>
    <w:rsid w:val="009E6F27"/>
    <w:rsid w:val="009F1EF6"/>
    <w:rsid w:val="009F39C0"/>
    <w:rsid w:val="00A0047B"/>
    <w:rsid w:val="00A01956"/>
    <w:rsid w:val="00A02DFE"/>
    <w:rsid w:val="00A03895"/>
    <w:rsid w:val="00A04659"/>
    <w:rsid w:val="00A048B4"/>
    <w:rsid w:val="00A04E5C"/>
    <w:rsid w:val="00A06C94"/>
    <w:rsid w:val="00A07930"/>
    <w:rsid w:val="00A151C2"/>
    <w:rsid w:val="00A151DF"/>
    <w:rsid w:val="00A16B7B"/>
    <w:rsid w:val="00A1777C"/>
    <w:rsid w:val="00A21491"/>
    <w:rsid w:val="00A27AC9"/>
    <w:rsid w:val="00A31A15"/>
    <w:rsid w:val="00A32FD3"/>
    <w:rsid w:val="00A337AB"/>
    <w:rsid w:val="00A361AB"/>
    <w:rsid w:val="00A4023F"/>
    <w:rsid w:val="00A40945"/>
    <w:rsid w:val="00A419E4"/>
    <w:rsid w:val="00A41C1A"/>
    <w:rsid w:val="00A44DAF"/>
    <w:rsid w:val="00A458AC"/>
    <w:rsid w:val="00A46B7E"/>
    <w:rsid w:val="00A475B7"/>
    <w:rsid w:val="00A52828"/>
    <w:rsid w:val="00A55433"/>
    <w:rsid w:val="00A56C35"/>
    <w:rsid w:val="00A57048"/>
    <w:rsid w:val="00A575C1"/>
    <w:rsid w:val="00A610CD"/>
    <w:rsid w:val="00A61B14"/>
    <w:rsid w:val="00A66542"/>
    <w:rsid w:val="00A719B4"/>
    <w:rsid w:val="00A72C5C"/>
    <w:rsid w:val="00A73F25"/>
    <w:rsid w:val="00A7439B"/>
    <w:rsid w:val="00A746FF"/>
    <w:rsid w:val="00A7550F"/>
    <w:rsid w:val="00A8096C"/>
    <w:rsid w:val="00A80BE0"/>
    <w:rsid w:val="00A81FAD"/>
    <w:rsid w:val="00A828BB"/>
    <w:rsid w:val="00A836C4"/>
    <w:rsid w:val="00A83974"/>
    <w:rsid w:val="00A86DC3"/>
    <w:rsid w:val="00A876A6"/>
    <w:rsid w:val="00A87F19"/>
    <w:rsid w:val="00A90951"/>
    <w:rsid w:val="00A90BF4"/>
    <w:rsid w:val="00A90BF5"/>
    <w:rsid w:val="00A95985"/>
    <w:rsid w:val="00A95A67"/>
    <w:rsid w:val="00A97330"/>
    <w:rsid w:val="00A97FCE"/>
    <w:rsid w:val="00AA042A"/>
    <w:rsid w:val="00AA266E"/>
    <w:rsid w:val="00AA318B"/>
    <w:rsid w:val="00AA4484"/>
    <w:rsid w:val="00AA68D0"/>
    <w:rsid w:val="00AB1CFE"/>
    <w:rsid w:val="00AB1D84"/>
    <w:rsid w:val="00AB2846"/>
    <w:rsid w:val="00AB3AF6"/>
    <w:rsid w:val="00AB481D"/>
    <w:rsid w:val="00AB61C0"/>
    <w:rsid w:val="00AB77BE"/>
    <w:rsid w:val="00AC02C7"/>
    <w:rsid w:val="00AC07D6"/>
    <w:rsid w:val="00AC1E2F"/>
    <w:rsid w:val="00AC21EF"/>
    <w:rsid w:val="00AC327E"/>
    <w:rsid w:val="00AC3ADC"/>
    <w:rsid w:val="00AC4224"/>
    <w:rsid w:val="00AC5FE3"/>
    <w:rsid w:val="00AC6A8D"/>
    <w:rsid w:val="00AC70BA"/>
    <w:rsid w:val="00AC79C4"/>
    <w:rsid w:val="00AD1A5D"/>
    <w:rsid w:val="00AD724F"/>
    <w:rsid w:val="00AE1E57"/>
    <w:rsid w:val="00AE2DF2"/>
    <w:rsid w:val="00AE49B4"/>
    <w:rsid w:val="00AE4F00"/>
    <w:rsid w:val="00AE67E4"/>
    <w:rsid w:val="00AF0E59"/>
    <w:rsid w:val="00AF17D6"/>
    <w:rsid w:val="00AF1F95"/>
    <w:rsid w:val="00AF3C4D"/>
    <w:rsid w:val="00AF45A8"/>
    <w:rsid w:val="00B01085"/>
    <w:rsid w:val="00B01B7C"/>
    <w:rsid w:val="00B025C6"/>
    <w:rsid w:val="00B02931"/>
    <w:rsid w:val="00B05F6D"/>
    <w:rsid w:val="00B063D5"/>
    <w:rsid w:val="00B07B63"/>
    <w:rsid w:val="00B07EA2"/>
    <w:rsid w:val="00B10131"/>
    <w:rsid w:val="00B119A5"/>
    <w:rsid w:val="00B12954"/>
    <w:rsid w:val="00B13005"/>
    <w:rsid w:val="00B142BC"/>
    <w:rsid w:val="00B144FC"/>
    <w:rsid w:val="00B14CF1"/>
    <w:rsid w:val="00B15462"/>
    <w:rsid w:val="00B17958"/>
    <w:rsid w:val="00B21A0C"/>
    <w:rsid w:val="00B221CB"/>
    <w:rsid w:val="00B22C87"/>
    <w:rsid w:val="00B23732"/>
    <w:rsid w:val="00B239A7"/>
    <w:rsid w:val="00B244D9"/>
    <w:rsid w:val="00B24B45"/>
    <w:rsid w:val="00B25BA8"/>
    <w:rsid w:val="00B264FD"/>
    <w:rsid w:val="00B26615"/>
    <w:rsid w:val="00B27122"/>
    <w:rsid w:val="00B27D77"/>
    <w:rsid w:val="00B30FDF"/>
    <w:rsid w:val="00B3127F"/>
    <w:rsid w:val="00B31E81"/>
    <w:rsid w:val="00B320A3"/>
    <w:rsid w:val="00B35BE9"/>
    <w:rsid w:val="00B36606"/>
    <w:rsid w:val="00B40A04"/>
    <w:rsid w:val="00B40A3B"/>
    <w:rsid w:val="00B416B6"/>
    <w:rsid w:val="00B4182C"/>
    <w:rsid w:val="00B43B60"/>
    <w:rsid w:val="00B43D51"/>
    <w:rsid w:val="00B4472D"/>
    <w:rsid w:val="00B44C00"/>
    <w:rsid w:val="00B45356"/>
    <w:rsid w:val="00B45DA9"/>
    <w:rsid w:val="00B4706F"/>
    <w:rsid w:val="00B50F70"/>
    <w:rsid w:val="00B53DDB"/>
    <w:rsid w:val="00B54AB4"/>
    <w:rsid w:val="00B56F62"/>
    <w:rsid w:val="00B577E1"/>
    <w:rsid w:val="00B60128"/>
    <w:rsid w:val="00B62C67"/>
    <w:rsid w:val="00B6307C"/>
    <w:rsid w:val="00B63A49"/>
    <w:rsid w:val="00B64138"/>
    <w:rsid w:val="00B66E10"/>
    <w:rsid w:val="00B7149B"/>
    <w:rsid w:val="00B7461A"/>
    <w:rsid w:val="00B7684F"/>
    <w:rsid w:val="00B76DBE"/>
    <w:rsid w:val="00B77F26"/>
    <w:rsid w:val="00B815E3"/>
    <w:rsid w:val="00B84612"/>
    <w:rsid w:val="00B851CF"/>
    <w:rsid w:val="00B85D29"/>
    <w:rsid w:val="00B90C55"/>
    <w:rsid w:val="00B90FE2"/>
    <w:rsid w:val="00B9117E"/>
    <w:rsid w:val="00B91F97"/>
    <w:rsid w:val="00B93452"/>
    <w:rsid w:val="00B9403A"/>
    <w:rsid w:val="00B94BEA"/>
    <w:rsid w:val="00B95713"/>
    <w:rsid w:val="00B97050"/>
    <w:rsid w:val="00BA02EB"/>
    <w:rsid w:val="00BA12FB"/>
    <w:rsid w:val="00BA4089"/>
    <w:rsid w:val="00BA4470"/>
    <w:rsid w:val="00BA51BA"/>
    <w:rsid w:val="00BA5757"/>
    <w:rsid w:val="00BA5EF4"/>
    <w:rsid w:val="00BA633A"/>
    <w:rsid w:val="00BA6D2C"/>
    <w:rsid w:val="00BB069E"/>
    <w:rsid w:val="00BB0C0F"/>
    <w:rsid w:val="00BB16C9"/>
    <w:rsid w:val="00BB2047"/>
    <w:rsid w:val="00BB3768"/>
    <w:rsid w:val="00BB42EA"/>
    <w:rsid w:val="00BB693C"/>
    <w:rsid w:val="00BB76EA"/>
    <w:rsid w:val="00BB7CFB"/>
    <w:rsid w:val="00BB7FB9"/>
    <w:rsid w:val="00BC1C8D"/>
    <w:rsid w:val="00BC4E86"/>
    <w:rsid w:val="00BC5C99"/>
    <w:rsid w:val="00BC6C9F"/>
    <w:rsid w:val="00BC7E52"/>
    <w:rsid w:val="00BD0917"/>
    <w:rsid w:val="00BD1BDB"/>
    <w:rsid w:val="00BD2056"/>
    <w:rsid w:val="00BD60FC"/>
    <w:rsid w:val="00BD6976"/>
    <w:rsid w:val="00BE07C9"/>
    <w:rsid w:val="00BE1731"/>
    <w:rsid w:val="00BE1F23"/>
    <w:rsid w:val="00BE2677"/>
    <w:rsid w:val="00BE284A"/>
    <w:rsid w:val="00BE3A5F"/>
    <w:rsid w:val="00BE3A72"/>
    <w:rsid w:val="00BE5D20"/>
    <w:rsid w:val="00BE675B"/>
    <w:rsid w:val="00BE6B08"/>
    <w:rsid w:val="00BE6D32"/>
    <w:rsid w:val="00BE7345"/>
    <w:rsid w:val="00BE7E17"/>
    <w:rsid w:val="00BF1B01"/>
    <w:rsid w:val="00BF2480"/>
    <w:rsid w:val="00BF3126"/>
    <w:rsid w:val="00BF449D"/>
    <w:rsid w:val="00BF592C"/>
    <w:rsid w:val="00C00101"/>
    <w:rsid w:val="00C0024F"/>
    <w:rsid w:val="00C014F8"/>
    <w:rsid w:val="00C021B8"/>
    <w:rsid w:val="00C0336C"/>
    <w:rsid w:val="00C0356B"/>
    <w:rsid w:val="00C03970"/>
    <w:rsid w:val="00C03F51"/>
    <w:rsid w:val="00C04642"/>
    <w:rsid w:val="00C0507E"/>
    <w:rsid w:val="00C0561D"/>
    <w:rsid w:val="00C06961"/>
    <w:rsid w:val="00C07349"/>
    <w:rsid w:val="00C113D6"/>
    <w:rsid w:val="00C118EE"/>
    <w:rsid w:val="00C137D3"/>
    <w:rsid w:val="00C16824"/>
    <w:rsid w:val="00C16874"/>
    <w:rsid w:val="00C1702A"/>
    <w:rsid w:val="00C17FDD"/>
    <w:rsid w:val="00C21C56"/>
    <w:rsid w:val="00C23777"/>
    <w:rsid w:val="00C248EA"/>
    <w:rsid w:val="00C25C29"/>
    <w:rsid w:val="00C25D7B"/>
    <w:rsid w:val="00C266BF"/>
    <w:rsid w:val="00C3175A"/>
    <w:rsid w:val="00C31BD0"/>
    <w:rsid w:val="00C33FCB"/>
    <w:rsid w:val="00C37EB6"/>
    <w:rsid w:val="00C407B1"/>
    <w:rsid w:val="00C4264B"/>
    <w:rsid w:val="00C42F6B"/>
    <w:rsid w:val="00C43573"/>
    <w:rsid w:val="00C4485B"/>
    <w:rsid w:val="00C44BFE"/>
    <w:rsid w:val="00C44C1B"/>
    <w:rsid w:val="00C45EBD"/>
    <w:rsid w:val="00C476DE"/>
    <w:rsid w:val="00C517F1"/>
    <w:rsid w:val="00C52609"/>
    <w:rsid w:val="00C55640"/>
    <w:rsid w:val="00C55D37"/>
    <w:rsid w:val="00C55E9E"/>
    <w:rsid w:val="00C56742"/>
    <w:rsid w:val="00C56E59"/>
    <w:rsid w:val="00C5734A"/>
    <w:rsid w:val="00C578E9"/>
    <w:rsid w:val="00C57E1E"/>
    <w:rsid w:val="00C60F47"/>
    <w:rsid w:val="00C61178"/>
    <w:rsid w:val="00C62594"/>
    <w:rsid w:val="00C63836"/>
    <w:rsid w:val="00C651A0"/>
    <w:rsid w:val="00C65F77"/>
    <w:rsid w:val="00C7178F"/>
    <w:rsid w:val="00C73CC5"/>
    <w:rsid w:val="00C76A56"/>
    <w:rsid w:val="00C76E5A"/>
    <w:rsid w:val="00C76F55"/>
    <w:rsid w:val="00C77868"/>
    <w:rsid w:val="00C77A7E"/>
    <w:rsid w:val="00C80432"/>
    <w:rsid w:val="00C80F94"/>
    <w:rsid w:val="00C82ABD"/>
    <w:rsid w:val="00C82B21"/>
    <w:rsid w:val="00C862CC"/>
    <w:rsid w:val="00C864A0"/>
    <w:rsid w:val="00C869A3"/>
    <w:rsid w:val="00C86DF5"/>
    <w:rsid w:val="00C876F8"/>
    <w:rsid w:val="00C90A18"/>
    <w:rsid w:val="00C91299"/>
    <w:rsid w:val="00C919FA"/>
    <w:rsid w:val="00C930CB"/>
    <w:rsid w:val="00C93A3E"/>
    <w:rsid w:val="00C94057"/>
    <w:rsid w:val="00C9466F"/>
    <w:rsid w:val="00C94D20"/>
    <w:rsid w:val="00C94F40"/>
    <w:rsid w:val="00C95833"/>
    <w:rsid w:val="00CA0A9F"/>
    <w:rsid w:val="00CA0AF7"/>
    <w:rsid w:val="00CA3450"/>
    <w:rsid w:val="00CA5AF9"/>
    <w:rsid w:val="00CA5ED5"/>
    <w:rsid w:val="00CA6A05"/>
    <w:rsid w:val="00CA6C0B"/>
    <w:rsid w:val="00CB033C"/>
    <w:rsid w:val="00CB071C"/>
    <w:rsid w:val="00CB0CB4"/>
    <w:rsid w:val="00CB167C"/>
    <w:rsid w:val="00CB189D"/>
    <w:rsid w:val="00CB317F"/>
    <w:rsid w:val="00CB4F15"/>
    <w:rsid w:val="00CB5AC1"/>
    <w:rsid w:val="00CB696B"/>
    <w:rsid w:val="00CB7A2A"/>
    <w:rsid w:val="00CB7AA4"/>
    <w:rsid w:val="00CC00BA"/>
    <w:rsid w:val="00CC06C3"/>
    <w:rsid w:val="00CC14C9"/>
    <w:rsid w:val="00CC28C3"/>
    <w:rsid w:val="00CC2A4D"/>
    <w:rsid w:val="00CC570F"/>
    <w:rsid w:val="00CC62BA"/>
    <w:rsid w:val="00CC69C4"/>
    <w:rsid w:val="00CC7C33"/>
    <w:rsid w:val="00CD008D"/>
    <w:rsid w:val="00CD28E0"/>
    <w:rsid w:val="00CD2B89"/>
    <w:rsid w:val="00CD3473"/>
    <w:rsid w:val="00CD41F5"/>
    <w:rsid w:val="00CD429A"/>
    <w:rsid w:val="00CD44CB"/>
    <w:rsid w:val="00CD4D53"/>
    <w:rsid w:val="00CD5ABD"/>
    <w:rsid w:val="00CD6437"/>
    <w:rsid w:val="00CD6BD7"/>
    <w:rsid w:val="00CD6F83"/>
    <w:rsid w:val="00CD7043"/>
    <w:rsid w:val="00CE2A2F"/>
    <w:rsid w:val="00CE3025"/>
    <w:rsid w:val="00CE6FCB"/>
    <w:rsid w:val="00CF0164"/>
    <w:rsid w:val="00CF09C2"/>
    <w:rsid w:val="00CF23EB"/>
    <w:rsid w:val="00CF2DD6"/>
    <w:rsid w:val="00CF3154"/>
    <w:rsid w:val="00CF4292"/>
    <w:rsid w:val="00CF4CC8"/>
    <w:rsid w:val="00CF4EC4"/>
    <w:rsid w:val="00CF7063"/>
    <w:rsid w:val="00CF75B3"/>
    <w:rsid w:val="00D01E0F"/>
    <w:rsid w:val="00D0202B"/>
    <w:rsid w:val="00D022CB"/>
    <w:rsid w:val="00D02E02"/>
    <w:rsid w:val="00D03FA7"/>
    <w:rsid w:val="00D04B91"/>
    <w:rsid w:val="00D04BB1"/>
    <w:rsid w:val="00D05F87"/>
    <w:rsid w:val="00D0684A"/>
    <w:rsid w:val="00D07530"/>
    <w:rsid w:val="00D1067B"/>
    <w:rsid w:val="00D1098E"/>
    <w:rsid w:val="00D10A23"/>
    <w:rsid w:val="00D11394"/>
    <w:rsid w:val="00D1408B"/>
    <w:rsid w:val="00D14807"/>
    <w:rsid w:val="00D15159"/>
    <w:rsid w:val="00D1617E"/>
    <w:rsid w:val="00D1669E"/>
    <w:rsid w:val="00D1705A"/>
    <w:rsid w:val="00D2105D"/>
    <w:rsid w:val="00D211BF"/>
    <w:rsid w:val="00D216F6"/>
    <w:rsid w:val="00D21703"/>
    <w:rsid w:val="00D22D9D"/>
    <w:rsid w:val="00D244F2"/>
    <w:rsid w:val="00D25BB5"/>
    <w:rsid w:val="00D262AC"/>
    <w:rsid w:val="00D30E80"/>
    <w:rsid w:val="00D320A1"/>
    <w:rsid w:val="00D332EA"/>
    <w:rsid w:val="00D3457A"/>
    <w:rsid w:val="00D40DEF"/>
    <w:rsid w:val="00D4376C"/>
    <w:rsid w:val="00D4393F"/>
    <w:rsid w:val="00D4395C"/>
    <w:rsid w:val="00D44F38"/>
    <w:rsid w:val="00D46852"/>
    <w:rsid w:val="00D47B10"/>
    <w:rsid w:val="00D504CB"/>
    <w:rsid w:val="00D50678"/>
    <w:rsid w:val="00D50DA8"/>
    <w:rsid w:val="00D51AC2"/>
    <w:rsid w:val="00D53131"/>
    <w:rsid w:val="00D542A7"/>
    <w:rsid w:val="00D5753F"/>
    <w:rsid w:val="00D57CD5"/>
    <w:rsid w:val="00D61A33"/>
    <w:rsid w:val="00D63213"/>
    <w:rsid w:val="00D638A5"/>
    <w:rsid w:val="00D65403"/>
    <w:rsid w:val="00D66194"/>
    <w:rsid w:val="00D66454"/>
    <w:rsid w:val="00D702AD"/>
    <w:rsid w:val="00D705FD"/>
    <w:rsid w:val="00D7097A"/>
    <w:rsid w:val="00D709A9"/>
    <w:rsid w:val="00D70C31"/>
    <w:rsid w:val="00D72594"/>
    <w:rsid w:val="00D72DC0"/>
    <w:rsid w:val="00D72EF4"/>
    <w:rsid w:val="00D73284"/>
    <w:rsid w:val="00D742C7"/>
    <w:rsid w:val="00D7470C"/>
    <w:rsid w:val="00D7584C"/>
    <w:rsid w:val="00D77FF4"/>
    <w:rsid w:val="00D813CE"/>
    <w:rsid w:val="00D81CA3"/>
    <w:rsid w:val="00D82CE1"/>
    <w:rsid w:val="00D84242"/>
    <w:rsid w:val="00D8575B"/>
    <w:rsid w:val="00D86555"/>
    <w:rsid w:val="00D86A5E"/>
    <w:rsid w:val="00D876C4"/>
    <w:rsid w:val="00D8783B"/>
    <w:rsid w:val="00D87BE0"/>
    <w:rsid w:val="00D87D8D"/>
    <w:rsid w:val="00D9020E"/>
    <w:rsid w:val="00D90C21"/>
    <w:rsid w:val="00D918A9"/>
    <w:rsid w:val="00D933CA"/>
    <w:rsid w:val="00D938CF"/>
    <w:rsid w:val="00D94790"/>
    <w:rsid w:val="00D949D1"/>
    <w:rsid w:val="00D94B4A"/>
    <w:rsid w:val="00D9500A"/>
    <w:rsid w:val="00D95174"/>
    <w:rsid w:val="00D95703"/>
    <w:rsid w:val="00DA003D"/>
    <w:rsid w:val="00DA08C6"/>
    <w:rsid w:val="00DA0C0B"/>
    <w:rsid w:val="00DA23D7"/>
    <w:rsid w:val="00DA3877"/>
    <w:rsid w:val="00DA46C4"/>
    <w:rsid w:val="00DA519B"/>
    <w:rsid w:val="00DA6024"/>
    <w:rsid w:val="00DB00F9"/>
    <w:rsid w:val="00DB050D"/>
    <w:rsid w:val="00DB46D4"/>
    <w:rsid w:val="00DB4985"/>
    <w:rsid w:val="00DB52DA"/>
    <w:rsid w:val="00DB6450"/>
    <w:rsid w:val="00DB650A"/>
    <w:rsid w:val="00DC3D15"/>
    <w:rsid w:val="00DC4338"/>
    <w:rsid w:val="00DC4698"/>
    <w:rsid w:val="00DC5905"/>
    <w:rsid w:val="00DC6A65"/>
    <w:rsid w:val="00DC7EF3"/>
    <w:rsid w:val="00DD0A8F"/>
    <w:rsid w:val="00DD0D5E"/>
    <w:rsid w:val="00DD112E"/>
    <w:rsid w:val="00DD27A4"/>
    <w:rsid w:val="00DD3643"/>
    <w:rsid w:val="00DD38C3"/>
    <w:rsid w:val="00DD3AE4"/>
    <w:rsid w:val="00DD40FA"/>
    <w:rsid w:val="00DD5938"/>
    <w:rsid w:val="00DD71BD"/>
    <w:rsid w:val="00DE03C8"/>
    <w:rsid w:val="00DE075C"/>
    <w:rsid w:val="00DE1B37"/>
    <w:rsid w:val="00DE350B"/>
    <w:rsid w:val="00DE5AD3"/>
    <w:rsid w:val="00DF071F"/>
    <w:rsid w:val="00DF0E26"/>
    <w:rsid w:val="00DF11BE"/>
    <w:rsid w:val="00DF155F"/>
    <w:rsid w:val="00DF2431"/>
    <w:rsid w:val="00DF2557"/>
    <w:rsid w:val="00DF59CB"/>
    <w:rsid w:val="00DF7DF3"/>
    <w:rsid w:val="00E02C56"/>
    <w:rsid w:val="00E03895"/>
    <w:rsid w:val="00E041AB"/>
    <w:rsid w:val="00E04AEA"/>
    <w:rsid w:val="00E04F55"/>
    <w:rsid w:val="00E074A3"/>
    <w:rsid w:val="00E11377"/>
    <w:rsid w:val="00E14732"/>
    <w:rsid w:val="00E14AA4"/>
    <w:rsid w:val="00E16081"/>
    <w:rsid w:val="00E20B91"/>
    <w:rsid w:val="00E22266"/>
    <w:rsid w:val="00E234FD"/>
    <w:rsid w:val="00E237D0"/>
    <w:rsid w:val="00E24DB8"/>
    <w:rsid w:val="00E25002"/>
    <w:rsid w:val="00E25475"/>
    <w:rsid w:val="00E258B2"/>
    <w:rsid w:val="00E277BA"/>
    <w:rsid w:val="00E278FC"/>
    <w:rsid w:val="00E304D1"/>
    <w:rsid w:val="00E30F6C"/>
    <w:rsid w:val="00E32E64"/>
    <w:rsid w:val="00E32F97"/>
    <w:rsid w:val="00E34014"/>
    <w:rsid w:val="00E35A21"/>
    <w:rsid w:val="00E36A38"/>
    <w:rsid w:val="00E3700B"/>
    <w:rsid w:val="00E406EC"/>
    <w:rsid w:val="00E41A7B"/>
    <w:rsid w:val="00E41EE5"/>
    <w:rsid w:val="00E420F7"/>
    <w:rsid w:val="00E44B8A"/>
    <w:rsid w:val="00E45709"/>
    <w:rsid w:val="00E45842"/>
    <w:rsid w:val="00E47A1F"/>
    <w:rsid w:val="00E50B95"/>
    <w:rsid w:val="00E52526"/>
    <w:rsid w:val="00E537F3"/>
    <w:rsid w:val="00E541A7"/>
    <w:rsid w:val="00E54FA2"/>
    <w:rsid w:val="00E552C5"/>
    <w:rsid w:val="00E5573B"/>
    <w:rsid w:val="00E559CD"/>
    <w:rsid w:val="00E56589"/>
    <w:rsid w:val="00E57CB4"/>
    <w:rsid w:val="00E617EC"/>
    <w:rsid w:val="00E62A44"/>
    <w:rsid w:val="00E63074"/>
    <w:rsid w:val="00E654DF"/>
    <w:rsid w:val="00E66C13"/>
    <w:rsid w:val="00E6755D"/>
    <w:rsid w:val="00E713F6"/>
    <w:rsid w:val="00E71C7F"/>
    <w:rsid w:val="00E726F0"/>
    <w:rsid w:val="00E734C2"/>
    <w:rsid w:val="00E74361"/>
    <w:rsid w:val="00E75639"/>
    <w:rsid w:val="00E7665F"/>
    <w:rsid w:val="00E77D74"/>
    <w:rsid w:val="00E77EB6"/>
    <w:rsid w:val="00E8740C"/>
    <w:rsid w:val="00E939DD"/>
    <w:rsid w:val="00E94D36"/>
    <w:rsid w:val="00E966A4"/>
    <w:rsid w:val="00EA0022"/>
    <w:rsid w:val="00EA0D9C"/>
    <w:rsid w:val="00EA15FC"/>
    <w:rsid w:val="00EA4168"/>
    <w:rsid w:val="00EA489E"/>
    <w:rsid w:val="00EA48EF"/>
    <w:rsid w:val="00EA59DE"/>
    <w:rsid w:val="00EA7E6A"/>
    <w:rsid w:val="00EB2947"/>
    <w:rsid w:val="00EB32D3"/>
    <w:rsid w:val="00EB4795"/>
    <w:rsid w:val="00EB5185"/>
    <w:rsid w:val="00EB5313"/>
    <w:rsid w:val="00EB587F"/>
    <w:rsid w:val="00EB76D4"/>
    <w:rsid w:val="00EC112D"/>
    <w:rsid w:val="00EC1565"/>
    <w:rsid w:val="00EC42F9"/>
    <w:rsid w:val="00EC5A73"/>
    <w:rsid w:val="00EC5D14"/>
    <w:rsid w:val="00EC6108"/>
    <w:rsid w:val="00ED06C5"/>
    <w:rsid w:val="00ED29B5"/>
    <w:rsid w:val="00ED34AB"/>
    <w:rsid w:val="00ED5CCB"/>
    <w:rsid w:val="00EE1F2F"/>
    <w:rsid w:val="00EE35AA"/>
    <w:rsid w:val="00EE37CF"/>
    <w:rsid w:val="00EE445A"/>
    <w:rsid w:val="00EE463A"/>
    <w:rsid w:val="00EE708F"/>
    <w:rsid w:val="00EF0CAB"/>
    <w:rsid w:val="00EF435C"/>
    <w:rsid w:val="00EF45E0"/>
    <w:rsid w:val="00EF475C"/>
    <w:rsid w:val="00EF5741"/>
    <w:rsid w:val="00EF5F17"/>
    <w:rsid w:val="00EF7039"/>
    <w:rsid w:val="00F0083C"/>
    <w:rsid w:val="00F0395E"/>
    <w:rsid w:val="00F03AA0"/>
    <w:rsid w:val="00F04F89"/>
    <w:rsid w:val="00F058C0"/>
    <w:rsid w:val="00F06541"/>
    <w:rsid w:val="00F131C0"/>
    <w:rsid w:val="00F1341E"/>
    <w:rsid w:val="00F13569"/>
    <w:rsid w:val="00F1398A"/>
    <w:rsid w:val="00F13DB7"/>
    <w:rsid w:val="00F14638"/>
    <w:rsid w:val="00F14920"/>
    <w:rsid w:val="00F14C51"/>
    <w:rsid w:val="00F1518F"/>
    <w:rsid w:val="00F17717"/>
    <w:rsid w:val="00F17884"/>
    <w:rsid w:val="00F21F1D"/>
    <w:rsid w:val="00F22B42"/>
    <w:rsid w:val="00F232B7"/>
    <w:rsid w:val="00F2345B"/>
    <w:rsid w:val="00F24344"/>
    <w:rsid w:val="00F245A2"/>
    <w:rsid w:val="00F272E2"/>
    <w:rsid w:val="00F31B3A"/>
    <w:rsid w:val="00F31DBC"/>
    <w:rsid w:val="00F32FA0"/>
    <w:rsid w:val="00F33367"/>
    <w:rsid w:val="00F35551"/>
    <w:rsid w:val="00F35EFE"/>
    <w:rsid w:val="00F3626F"/>
    <w:rsid w:val="00F3777A"/>
    <w:rsid w:val="00F37A16"/>
    <w:rsid w:val="00F41BF1"/>
    <w:rsid w:val="00F42EE7"/>
    <w:rsid w:val="00F43DA9"/>
    <w:rsid w:val="00F44D98"/>
    <w:rsid w:val="00F46C4D"/>
    <w:rsid w:val="00F470BE"/>
    <w:rsid w:val="00F50ACC"/>
    <w:rsid w:val="00F515A6"/>
    <w:rsid w:val="00F51C4D"/>
    <w:rsid w:val="00F5297A"/>
    <w:rsid w:val="00F52E6A"/>
    <w:rsid w:val="00F5503B"/>
    <w:rsid w:val="00F55170"/>
    <w:rsid w:val="00F56146"/>
    <w:rsid w:val="00F5659E"/>
    <w:rsid w:val="00F573A8"/>
    <w:rsid w:val="00F57D62"/>
    <w:rsid w:val="00F605F5"/>
    <w:rsid w:val="00F60A52"/>
    <w:rsid w:val="00F6140A"/>
    <w:rsid w:val="00F61D30"/>
    <w:rsid w:val="00F624B0"/>
    <w:rsid w:val="00F6492B"/>
    <w:rsid w:val="00F64E66"/>
    <w:rsid w:val="00F655A0"/>
    <w:rsid w:val="00F65A41"/>
    <w:rsid w:val="00F670B2"/>
    <w:rsid w:val="00F70905"/>
    <w:rsid w:val="00F7116B"/>
    <w:rsid w:val="00F731C9"/>
    <w:rsid w:val="00F732CC"/>
    <w:rsid w:val="00F733E2"/>
    <w:rsid w:val="00F744C3"/>
    <w:rsid w:val="00F74B05"/>
    <w:rsid w:val="00F75B32"/>
    <w:rsid w:val="00F7695E"/>
    <w:rsid w:val="00F76D86"/>
    <w:rsid w:val="00F8112F"/>
    <w:rsid w:val="00F8146E"/>
    <w:rsid w:val="00F84042"/>
    <w:rsid w:val="00F84629"/>
    <w:rsid w:val="00F86CD7"/>
    <w:rsid w:val="00F90921"/>
    <w:rsid w:val="00F94EFE"/>
    <w:rsid w:val="00F970FE"/>
    <w:rsid w:val="00F97885"/>
    <w:rsid w:val="00FA0124"/>
    <w:rsid w:val="00FA0D73"/>
    <w:rsid w:val="00FA1A11"/>
    <w:rsid w:val="00FA3A7A"/>
    <w:rsid w:val="00FA521F"/>
    <w:rsid w:val="00FA65A4"/>
    <w:rsid w:val="00FA76C5"/>
    <w:rsid w:val="00FA7DD7"/>
    <w:rsid w:val="00FB0B63"/>
    <w:rsid w:val="00FB1278"/>
    <w:rsid w:val="00FB236A"/>
    <w:rsid w:val="00FB2B8B"/>
    <w:rsid w:val="00FB3266"/>
    <w:rsid w:val="00FB36C5"/>
    <w:rsid w:val="00FB395B"/>
    <w:rsid w:val="00FB3C75"/>
    <w:rsid w:val="00FB3E5B"/>
    <w:rsid w:val="00FB7106"/>
    <w:rsid w:val="00FB7BD5"/>
    <w:rsid w:val="00FC069C"/>
    <w:rsid w:val="00FC1A78"/>
    <w:rsid w:val="00FC1B2B"/>
    <w:rsid w:val="00FC1CC9"/>
    <w:rsid w:val="00FC26FE"/>
    <w:rsid w:val="00FC2865"/>
    <w:rsid w:val="00FC51AB"/>
    <w:rsid w:val="00FC5655"/>
    <w:rsid w:val="00FD03CF"/>
    <w:rsid w:val="00FD10B6"/>
    <w:rsid w:val="00FD1209"/>
    <w:rsid w:val="00FD339A"/>
    <w:rsid w:val="00FD50D8"/>
    <w:rsid w:val="00FD558C"/>
    <w:rsid w:val="00FD65AC"/>
    <w:rsid w:val="00FD75CE"/>
    <w:rsid w:val="00FE185E"/>
    <w:rsid w:val="00FE2938"/>
    <w:rsid w:val="00FE342E"/>
    <w:rsid w:val="00FE3C0A"/>
    <w:rsid w:val="00FE552F"/>
    <w:rsid w:val="00FE60EA"/>
    <w:rsid w:val="00FE7528"/>
    <w:rsid w:val="00FF0600"/>
    <w:rsid w:val="00FF2B43"/>
    <w:rsid w:val="00FF3389"/>
    <w:rsid w:val="00FF39A7"/>
    <w:rsid w:val="00FF4946"/>
    <w:rsid w:val="00FF4F24"/>
    <w:rsid w:val="00FF611B"/>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3D7A6"/>
  <w15:docId w15:val="{3C80DA9A-E4CE-41DB-A753-2EF79CCD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uiPriority w:val="99"/>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uiPriority w:val="99"/>
    <w:rsid w:val="00F94EFE"/>
    <w:pPr>
      <w:jc w:val="center"/>
    </w:pPr>
    <w:rPr>
      <w:b/>
      <w:bCs/>
    </w:rPr>
  </w:style>
  <w:style w:type="character" w:customStyle="1" w:styleId="BodyTextChar">
    <w:name w:val="Body Text Char"/>
    <w:link w:val="BodyText"/>
    <w:uiPriority w:val="99"/>
    <w:locked/>
    <w:rsid w:val="00F94EFE"/>
    <w:rPr>
      <w:rFonts w:ascii="Times New Roman" w:hAnsi="Times New Roman" w:cs="Times New Roman"/>
      <w:b/>
      <w:sz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0"/>
      <w:szCs w:val="20"/>
    </w:rPr>
  </w:style>
  <w:style w:type="character" w:customStyle="1" w:styleId="FooterChar">
    <w:name w:val="Footer Char"/>
    <w:link w:val="Footer"/>
    <w:uiPriority w:val="99"/>
    <w:locked/>
    <w:rsid w:val="00D876C4"/>
    <w:rPr>
      <w:rFonts w:ascii="Calibri" w:hAnsi="Calibri" w:cs="Times New Roman"/>
    </w:rPr>
  </w:style>
  <w:style w:type="character" w:styleId="PageNumber">
    <w:name w:val="page number"/>
    <w:uiPriority w:val="99"/>
    <w:rsid w:val="00D876C4"/>
    <w:rPr>
      <w:rFonts w:cs="Times New Roman"/>
    </w:rPr>
  </w:style>
  <w:style w:type="character" w:styleId="CommentReference">
    <w:name w:val="annotation reference"/>
    <w:rsid w:val="00184F6B"/>
    <w:rPr>
      <w:rFonts w:cs="Times New Roman"/>
      <w:sz w:val="16"/>
    </w:rPr>
  </w:style>
  <w:style w:type="paragraph" w:styleId="CommentText">
    <w:name w:val="annotation text"/>
    <w:basedOn w:val="Normal"/>
    <w:link w:val="CommentTextChar"/>
    <w:rsid w:val="00184F6B"/>
    <w:rPr>
      <w:sz w:val="20"/>
      <w:szCs w:val="20"/>
    </w:rPr>
  </w:style>
  <w:style w:type="character" w:customStyle="1" w:styleId="CommentTextChar">
    <w:name w:val="Comment Text Char"/>
    <w:link w:val="CommentText"/>
    <w:locked/>
    <w:rsid w:val="00184F6B"/>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184F6B"/>
    <w:rPr>
      <w:b/>
      <w:bCs/>
    </w:rPr>
  </w:style>
  <w:style w:type="character" w:customStyle="1" w:styleId="CommentSubjectChar">
    <w:name w:val="Comment Subject Char"/>
    <w:link w:val="CommentSubject"/>
    <w:uiPriority w:val="99"/>
    <w:semiHidden/>
    <w:locked/>
    <w:rsid w:val="00184F6B"/>
    <w:rPr>
      <w:rFonts w:ascii="Times New Roman" w:hAnsi="Times New Roman" w:cs="Times New Roman"/>
      <w:b/>
      <w:sz w:val="20"/>
      <w:lang w:eastAsia="lv-LV"/>
    </w:rPr>
  </w:style>
  <w:style w:type="paragraph" w:styleId="BalloonText">
    <w:name w:val="Balloon Text"/>
    <w:basedOn w:val="Normal"/>
    <w:link w:val="BalloonTextChar"/>
    <w:uiPriority w:val="99"/>
    <w:semiHidden/>
    <w:rsid w:val="00184F6B"/>
    <w:rPr>
      <w:rFonts w:ascii="Tahoma" w:hAnsi="Tahoma"/>
      <w:sz w:val="16"/>
      <w:szCs w:val="16"/>
    </w:rPr>
  </w:style>
  <w:style w:type="character" w:customStyle="1" w:styleId="BalloonTextChar">
    <w:name w:val="Balloon Text Char"/>
    <w:link w:val="BalloonText"/>
    <w:uiPriority w:val="99"/>
    <w:semiHidden/>
    <w:locked/>
    <w:rsid w:val="00184F6B"/>
    <w:rPr>
      <w:rFonts w:ascii="Tahoma" w:hAnsi="Tahoma" w:cs="Times New Roman"/>
      <w:sz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9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uiPriority w:val="99"/>
    <w:rsid w:val="00191E96"/>
    <w:pPr>
      <w:spacing w:after="160" w:line="240" w:lineRule="exact"/>
    </w:pPr>
    <w:rPr>
      <w:rFonts w:ascii="Tahoma" w:hAnsi="Tahoma"/>
      <w:sz w:val="20"/>
      <w:szCs w:val="20"/>
      <w:lang w:val="en-US" w:eastAsia="en-US"/>
    </w:rPr>
  </w:style>
  <w:style w:type="paragraph" w:styleId="NormalWeb">
    <w:name w:val="Normal (Web)"/>
    <w:basedOn w:val="Normal"/>
    <w:uiPriority w:val="99"/>
    <w:rsid w:val="00DC3D15"/>
    <w:pPr>
      <w:spacing w:before="100" w:beforeAutospacing="1" w:after="100" w:afterAutospacing="1"/>
    </w:pPr>
  </w:style>
  <w:style w:type="paragraph" w:customStyle="1" w:styleId="Default">
    <w:name w:val="Default"/>
    <w:uiPriority w:val="99"/>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F66C9"/>
    <w:pPr>
      <w:tabs>
        <w:tab w:val="center" w:pos="4153"/>
        <w:tab w:val="right" w:pos="8306"/>
      </w:tabs>
    </w:pPr>
  </w:style>
  <w:style w:type="character" w:customStyle="1" w:styleId="HeaderChar">
    <w:name w:val="Header Char"/>
    <w:link w:val="Header"/>
    <w:uiPriority w:val="99"/>
    <w:locked/>
    <w:rsid w:val="006F66C9"/>
    <w:rPr>
      <w:rFonts w:ascii="Times New Roman" w:hAnsi="Times New Roman" w:cs="Times New Roman"/>
      <w:sz w:val="24"/>
    </w:rPr>
  </w:style>
  <w:style w:type="character" w:styleId="Hyperlink">
    <w:name w:val="Hyperlink"/>
    <w:uiPriority w:val="99"/>
    <w:rsid w:val="0070269B"/>
    <w:rPr>
      <w:rFonts w:cs="Times New Roman"/>
      <w:color w:val="0000FF"/>
      <w:u w:val="single"/>
    </w:rPr>
  </w:style>
  <w:style w:type="paragraph" w:styleId="FootnoteText">
    <w:name w:val="footnote text"/>
    <w:basedOn w:val="Normal"/>
    <w:link w:val="FootnoteTextChar"/>
    <w:uiPriority w:val="99"/>
    <w:semiHidden/>
    <w:rsid w:val="00780E99"/>
    <w:rPr>
      <w:sz w:val="20"/>
      <w:szCs w:val="20"/>
    </w:rPr>
  </w:style>
  <w:style w:type="character" w:customStyle="1" w:styleId="FootnoteTextChar">
    <w:name w:val="Footnote Text Char"/>
    <w:link w:val="FootnoteText"/>
    <w:uiPriority w:val="99"/>
    <w:semiHidden/>
    <w:locked/>
    <w:rsid w:val="00780E99"/>
    <w:rPr>
      <w:rFonts w:ascii="Times New Roman" w:hAnsi="Times New Roman" w:cs="Times New Roman"/>
    </w:rPr>
  </w:style>
  <w:style w:type="character" w:styleId="FootnoteReference">
    <w:name w:val="footnote reference"/>
    <w:uiPriority w:val="99"/>
    <w:semiHidden/>
    <w:rsid w:val="00780E99"/>
    <w:rPr>
      <w:rFonts w:cs="Times New Roman"/>
      <w:vertAlign w:val="superscript"/>
    </w:rPr>
  </w:style>
  <w:style w:type="paragraph" w:customStyle="1" w:styleId="tv2132">
    <w:name w:val="tv2132"/>
    <w:basedOn w:val="Normal"/>
    <w:uiPriority w:val="99"/>
    <w:rsid w:val="00245FBF"/>
    <w:pPr>
      <w:spacing w:line="360" w:lineRule="auto"/>
      <w:ind w:firstLine="300"/>
    </w:pPr>
    <w:rPr>
      <w:color w:val="414142"/>
      <w:sz w:val="20"/>
      <w:szCs w:val="20"/>
    </w:rPr>
  </w:style>
  <w:style w:type="paragraph" w:customStyle="1" w:styleId="tv2131">
    <w:name w:val="tv2131"/>
    <w:basedOn w:val="Normal"/>
    <w:uiPriority w:val="99"/>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uiPriority w:val="99"/>
    <w:rsid w:val="00C62594"/>
    <w:rPr>
      <w:rFonts w:ascii="Tahoma" w:eastAsia="Calibri" w:hAnsi="Tahoma"/>
      <w:color w:val="2D2F30"/>
      <w:sz w:val="17"/>
      <w:szCs w:val="20"/>
    </w:rPr>
  </w:style>
  <w:style w:type="character" w:customStyle="1" w:styleId="NormalWeb4CharChar">
    <w:name w:val="Normal (Web)4 Char Char"/>
    <w:link w:val="NormalWeb4Char"/>
    <w:uiPriority w:val="99"/>
    <w:locked/>
    <w:rsid w:val="00C62594"/>
    <w:rPr>
      <w:rFonts w:ascii="Tahoma" w:hAnsi="Tahoma"/>
      <w:color w:val="2D2F30"/>
      <w:sz w:val="17"/>
    </w:rPr>
  </w:style>
  <w:style w:type="character" w:customStyle="1" w:styleId="apple-converted-space">
    <w:name w:val="apple-converted-space"/>
    <w:uiPriority w:val="99"/>
    <w:rsid w:val="00342681"/>
  </w:style>
  <w:style w:type="paragraph" w:styleId="NoSpacing">
    <w:name w:val="No Spacing"/>
    <w:uiPriority w:val="99"/>
    <w:qFormat/>
    <w:rsid w:val="007E3BF6"/>
    <w:pPr>
      <w:widowControl w:val="0"/>
    </w:pPr>
    <w:rPr>
      <w:sz w:val="22"/>
      <w:szCs w:val="22"/>
      <w:lang w:eastAsia="en-US"/>
    </w:rPr>
  </w:style>
  <w:style w:type="paragraph" w:styleId="BodyText2">
    <w:name w:val="Body Text 2"/>
    <w:basedOn w:val="Normal"/>
    <w:link w:val="BodyText2Char"/>
    <w:uiPriority w:val="99"/>
    <w:semiHidden/>
    <w:rsid w:val="009A2070"/>
    <w:pPr>
      <w:spacing w:after="120" w:line="480" w:lineRule="auto"/>
    </w:pPr>
  </w:style>
  <w:style w:type="character" w:customStyle="1" w:styleId="BodyText2Char">
    <w:name w:val="Body Text 2 Char"/>
    <w:link w:val="BodyText2"/>
    <w:uiPriority w:val="99"/>
    <w:semiHidden/>
    <w:locked/>
    <w:rsid w:val="009A2070"/>
    <w:rPr>
      <w:rFonts w:ascii="Times New Roman" w:hAnsi="Times New Roman" w:cs="Times New Roman"/>
      <w:sz w:val="24"/>
      <w:szCs w:val="24"/>
    </w:rPr>
  </w:style>
  <w:style w:type="character" w:styleId="FollowedHyperlink">
    <w:name w:val="FollowedHyperlink"/>
    <w:uiPriority w:val="99"/>
    <w:semiHidden/>
    <w:rsid w:val="0046175F"/>
    <w:rPr>
      <w:rFonts w:cs="Times New Roman"/>
      <w:color w:val="800080"/>
      <w:u w:val="single"/>
    </w:rPr>
  </w:style>
  <w:style w:type="paragraph" w:customStyle="1" w:styleId="Normal1">
    <w:name w:val="Normal1"/>
    <w:basedOn w:val="Normal"/>
    <w:rsid w:val="00C44C1B"/>
    <w:pPr>
      <w:spacing w:before="100" w:beforeAutospacing="1" w:after="100" w:afterAutospacing="1"/>
    </w:pPr>
    <w:rPr>
      <w:rFonts w:eastAsiaTheme="minorHAnsi"/>
    </w:rPr>
  </w:style>
  <w:style w:type="character" w:customStyle="1" w:styleId="spelle">
    <w:name w:val="spelle"/>
    <w:basedOn w:val="DefaultParagraphFont"/>
    <w:rsid w:val="00C4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181">
      <w:bodyDiv w:val="1"/>
      <w:marLeft w:val="0"/>
      <w:marRight w:val="0"/>
      <w:marTop w:val="0"/>
      <w:marBottom w:val="0"/>
      <w:divBdr>
        <w:top w:val="none" w:sz="0" w:space="0" w:color="auto"/>
        <w:left w:val="none" w:sz="0" w:space="0" w:color="auto"/>
        <w:bottom w:val="none" w:sz="0" w:space="0" w:color="auto"/>
        <w:right w:val="none" w:sz="0" w:space="0" w:color="auto"/>
      </w:divBdr>
    </w:div>
    <w:div w:id="263537537">
      <w:bodyDiv w:val="1"/>
      <w:marLeft w:val="0"/>
      <w:marRight w:val="0"/>
      <w:marTop w:val="0"/>
      <w:marBottom w:val="0"/>
      <w:divBdr>
        <w:top w:val="none" w:sz="0" w:space="0" w:color="auto"/>
        <w:left w:val="none" w:sz="0" w:space="0" w:color="auto"/>
        <w:bottom w:val="none" w:sz="0" w:space="0" w:color="auto"/>
        <w:right w:val="none" w:sz="0" w:space="0" w:color="auto"/>
      </w:divBdr>
    </w:div>
    <w:div w:id="282347910">
      <w:bodyDiv w:val="1"/>
      <w:marLeft w:val="0"/>
      <w:marRight w:val="0"/>
      <w:marTop w:val="0"/>
      <w:marBottom w:val="0"/>
      <w:divBdr>
        <w:top w:val="none" w:sz="0" w:space="0" w:color="auto"/>
        <w:left w:val="none" w:sz="0" w:space="0" w:color="auto"/>
        <w:bottom w:val="none" w:sz="0" w:space="0" w:color="auto"/>
        <w:right w:val="none" w:sz="0" w:space="0" w:color="auto"/>
      </w:divBdr>
    </w:div>
    <w:div w:id="284510427">
      <w:marLeft w:val="0"/>
      <w:marRight w:val="0"/>
      <w:marTop w:val="0"/>
      <w:marBottom w:val="0"/>
      <w:divBdr>
        <w:top w:val="none" w:sz="0" w:space="0" w:color="auto"/>
        <w:left w:val="none" w:sz="0" w:space="0" w:color="auto"/>
        <w:bottom w:val="none" w:sz="0" w:space="0" w:color="auto"/>
        <w:right w:val="none" w:sz="0" w:space="0" w:color="auto"/>
      </w:divBdr>
      <w:divsChild>
        <w:div w:id="284510431">
          <w:marLeft w:val="0"/>
          <w:marRight w:val="0"/>
          <w:marTop w:val="0"/>
          <w:marBottom w:val="0"/>
          <w:divBdr>
            <w:top w:val="none" w:sz="0" w:space="0" w:color="auto"/>
            <w:left w:val="none" w:sz="0" w:space="0" w:color="auto"/>
            <w:bottom w:val="none" w:sz="0" w:space="0" w:color="auto"/>
            <w:right w:val="none" w:sz="0" w:space="0" w:color="auto"/>
          </w:divBdr>
          <w:divsChild>
            <w:div w:id="284510425">
              <w:marLeft w:val="0"/>
              <w:marRight w:val="0"/>
              <w:marTop w:val="0"/>
              <w:marBottom w:val="0"/>
              <w:divBdr>
                <w:top w:val="none" w:sz="0" w:space="0" w:color="auto"/>
                <w:left w:val="none" w:sz="0" w:space="0" w:color="auto"/>
                <w:bottom w:val="none" w:sz="0" w:space="0" w:color="auto"/>
                <w:right w:val="none" w:sz="0" w:space="0" w:color="auto"/>
              </w:divBdr>
              <w:divsChild>
                <w:div w:id="284510423">
                  <w:marLeft w:val="0"/>
                  <w:marRight w:val="0"/>
                  <w:marTop w:val="0"/>
                  <w:marBottom w:val="0"/>
                  <w:divBdr>
                    <w:top w:val="none" w:sz="0" w:space="0" w:color="auto"/>
                    <w:left w:val="none" w:sz="0" w:space="0" w:color="auto"/>
                    <w:bottom w:val="none" w:sz="0" w:space="0" w:color="auto"/>
                    <w:right w:val="none" w:sz="0" w:space="0" w:color="auto"/>
                  </w:divBdr>
                  <w:divsChild>
                    <w:div w:id="284510432">
                      <w:marLeft w:val="0"/>
                      <w:marRight w:val="0"/>
                      <w:marTop w:val="0"/>
                      <w:marBottom w:val="0"/>
                      <w:divBdr>
                        <w:top w:val="none" w:sz="0" w:space="0" w:color="auto"/>
                        <w:left w:val="none" w:sz="0" w:space="0" w:color="auto"/>
                        <w:bottom w:val="none" w:sz="0" w:space="0" w:color="auto"/>
                        <w:right w:val="none" w:sz="0" w:space="0" w:color="auto"/>
                      </w:divBdr>
                      <w:divsChild>
                        <w:div w:id="284510439">
                          <w:marLeft w:val="0"/>
                          <w:marRight w:val="0"/>
                          <w:marTop w:val="0"/>
                          <w:marBottom w:val="0"/>
                          <w:divBdr>
                            <w:top w:val="none" w:sz="0" w:space="0" w:color="auto"/>
                            <w:left w:val="none" w:sz="0" w:space="0" w:color="auto"/>
                            <w:bottom w:val="none" w:sz="0" w:space="0" w:color="auto"/>
                            <w:right w:val="none" w:sz="0" w:space="0" w:color="auto"/>
                          </w:divBdr>
                          <w:divsChild>
                            <w:div w:id="284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10429">
      <w:marLeft w:val="0"/>
      <w:marRight w:val="0"/>
      <w:marTop w:val="0"/>
      <w:marBottom w:val="0"/>
      <w:divBdr>
        <w:top w:val="none" w:sz="0" w:space="0" w:color="auto"/>
        <w:left w:val="none" w:sz="0" w:space="0" w:color="auto"/>
        <w:bottom w:val="none" w:sz="0" w:space="0" w:color="auto"/>
        <w:right w:val="none" w:sz="0" w:space="0" w:color="auto"/>
      </w:divBdr>
    </w:div>
    <w:div w:id="284510430">
      <w:marLeft w:val="0"/>
      <w:marRight w:val="0"/>
      <w:marTop w:val="0"/>
      <w:marBottom w:val="0"/>
      <w:divBdr>
        <w:top w:val="none" w:sz="0" w:space="0" w:color="auto"/>
        <w:left w:val="none" w:sz="0" w:space="0" w:color="auto"/>
        <w:bottom w:val="none" w:sz="0" w:space="0" w:color="auto"/>
        <w:right w:val="none" w:sz="0" w:space="0" w:color="auto"/>
      </w:divBdr>
    </w:div>
    <w:div w:id="284510437">
      <w:marLeft w:val="0"/>
      <w:marRight w:val="0"/>
      <w:marTop w:val="0"/>
      <w:marBottom w:val="0"/>
      <w:divBdr>
        <w:top w:val="none" w:sz="0" w:space="0" w:color="auto"/>
        <w:left w:val="none" w:sz="0" w:space="0" w:color="auto"/>
        <w:bottom w:val="none" w:sz="0" w:space="0" w:color="auto"/>
        <w:right w:val="none" w:sz="0" w:space="0" w:color="auto"/>
      </w:divBdr>
    </w:div>
    <w:div w:id="284510438">
      <w:marLeft w:val="0"/>
      <w:marRight w:val="0"/>
      <w:marTop w:val="0"/>
      <w:marBottom w:val="0"/>
      <w:divBdr>
        <w:top w:val="none" w:sz="0" w:space="0" w:color="auto"/>
        <w:left w:val="none" w:sz="0" w:space="0" w:color="auto"/>
        <w:bottom w:val="none" w:sz="0" w:space="0" w:color="auto"/>
        <w:right w:val="none" w:sz="0" w:space="0" w:color="auto"/>
      </w:divBdr>
    </w:div>
    <w:div w:id="284510440">
      <w:marLeft w:val="0"/>
      <w:marRight w:val="0"/>
      <w:marTop w:val="0"/>
      <w:marBottom w:val="0"/>
      <w:divBdr>
        <w:top w:val="none" w:sz="0" w:space="0" w:color="auto"/>
        <w:left w:val="none" w:sz="0" w:space="0" w:color="auto"/>
        <w:bottom w:val="none" w:sz="0" w:space="0" w:color="auto"/>
        <w:right w:val="none" w:sz="0" w:space="0" w:color="auto"/>
      </w:divBdr>
    </w:div>
    <w:div w:id="284510441">
      <w:marLeft w:val="0"/>
      <w:marRight w:val="0"/>
      <w:marTop w:val="0"/>
      <w:marBottom w:val="0"/>
      <w:divBdr>
        <w:top w:val="none" w:sz="0" w:space="0" w:color="auto"/>
        <w:left w:val="none" w:sz="0" w:space="0" w:color="auto"/>
        <w:bottom w:val="none" w:sz="0" w:space="0" w:color="auto"/>
        <w:right w:val="none" w:sz="0" w:space="0" w:color="auto"/>
      </w:divBdr>
    </w:div>
    <w:div w:id="284510442">
      <w:marLeft w:val="0"/>
      <w:marRight w:val="0"/>
      <w:marTop w:val="0"/>
      <w:marBottom w:val="0"/>
      <w:divBdr>
        <w:top w:val="none" w:sz="0" w:space="0" w:color="auto"/>
        <w:left w:val="none" w:sz="0" w:space="0" w:color="auto"/>
        <w:bottom w:val="none" w:sz="0" w:space="0" w:color="auto"/>
        <w:right w:val="none" w:sz="0" w:space="0" w:color="auto"/>
      </w:divBdr>
      <w:divsChild>
        <w:div w:id="284510426">
          <w:marLeft w:val="547"/>
          <w:marRight w:val="0"/>
          <w:marTop w:val="86"/>
          <w:marBottom w:val="0"/>
          <w:divBdr>
            <w:top w:val="none" w:sz="0" w:space="0" w:color="auto"/>
            <w:left w:val="none" w:sz="0" w:space="0" w:color="auto"/>
            <w:bottom w:val="none" w:sz="0" w:space="0" w:color="auto"/>
            <w:right w:val="none" w:sz="0" w:space="0" w:color="auto"/>
          </w:divBdr>
        </w:div>
      </w:divsChild>
    </w:div>
    <w:div w:id="284510443">
      <w:marLeft w:val="0"/>
      <w:marRight w:val="0"/>
      <w:marTop w:val="0"/>
      <w:marBottom w:val="0"/>
      <w:divBdr>
        <w:top w:val="none" w:sz="0" w:space="0" w:color="auto"/>
        <w:left w:val="none" w:sz="0" w:space="0" w:color="auto"/>
        <w:bottom w:val="none" w:sz="0" w:space="0" w:color="auto"/>
        <w:right w:val="none" w:sz="0" w:space="0" w:color="auto"/>
      </w:divBdr>
      <w:divsChild>
        <w:div w:id="284510444">
          <w:marLeft w:val="0"/>
          <w:marRight w:val="0"/>
          <w:marTop w:val="0"/>
          <w:marBottom w:val="0"/>
          <w:divBdr>
            <w:top w:val="none" w:sz="0" w:space="0" w:color="auto"/>
            <w:left w:val="none" w:sz="0" w:space="0" w:color="auto"/>
            <w:bottom w:val="none" w:sz="0" w:space="0" w:color="auto"/>
            <w:right w:val="none" w:sz="0" w:space="0" w:color="auto"/>
          </w:divBdr>
          <w:divsChild>
            <w:div w:id="284510433">
              <w:marLeft w:val="0"/>
              <w:marRight w:val="0"/>
              <w:marTop w:val="0"/>
              <w:marBottom w:val="0"/>
              <w:divBdr>
                <w:top w:val="none" w:sz="0" w:space="0" w:color="auto"/>
                <w:left w:val="none" w:sz="0" w:space="0" w:color="auto"/>
                <w:bottom w:val="none" w:sz="0" w:space="0" w:color="auto"/>
                <w:right w:val="none" w:sz="0" w:space="0" w:color="auto"/>
              </w:divBdr>
              <w:divsChild>
                <w:div w:id="284510436">
                  <w:marLeft w:val="0"/>
                  <w:marRight w:val="0"/>
                  <w:marTop w:val="0"/>
                  <w:marBottom w:val="0"/>
                  <w:divBdr>
                    <w:top w:val="none" w:sz="0" w:space="0" w:color="auto"/>
                    <w:left w:val="none" w:sz="0" w:space="0" w:color="auto"/>
                    <w:bottom w:val="none" w:sz="0" w:space="0" w:color="auto"/>
                    <w:right w:val="none" w:sz="0" w:space="0" w:color="auto"/>
                  </w:divBdr>
                  <w:divsChild>
                    <w:div w:id="284510424">
                      <w:marLeft w:val="0"/>
                      <w:marRight w:val="0"/>
                      <w:marTop w:val="0"/>
                      <w:marBottom w:val="0"/>
                      <w:divBdr>
                        <w:top w:val="none" w:sz="0" w:space="0" w:color="auto"/>
                        <w:left w:val="none" w:sz="0" w:space="0" w:color="auto"/>
                        <w:bottom w:val="none" w:sz="0" w:space="0" w:color="auto"/>
                        <w:right w:val="none" w:sz="0" w:space="0" w:color="auto"/>
                      </w:divBdr>
                      <w:divsChild>
                        <w:div w:id="284510435">
                          <w:marLeft w:val="0"/>
                          <w:marRight w:val="0"/>
                          <w:marTop w:val="0"/>
                          <w:marBottom w:val="0"/>
                          <w:divBdr>
                            <w:top w:val="none" w:sz="0" w:space="0" w:color="auto"/>
                            <w:left w:val="none" w:sz="0" w:space="0" w:color="auto"/>
                            <w:bottom w:val="none" w:sz="0" w:space="0" w:color="auto"/>
                            <w:right w:val="none" w:sz="0" w:space="0" w:color="auto"/>
                          </w:divBdr>
                          <w:divsChild>
                            <w:div w:id="284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10445">
      <w:marLeft w:val="0"/>
      <w:marRight w:val="0"/>
      <w:marTop w:val="0"/>
      <w:marBottom w:val="0"/>
      <w:divBdr>
        <w:top w:val="none" w:sz="0" w:space="0" w:color="auto"/>
        <w:left w:val="none" w:sz="0" w:space="0" w:color="auto"/>
        <w:bottom w:val="none" w:sz="0" w:space="0" w:color="auto"/>
        <w:right w:val="none" w:sz="0" w:space="0" w:color="auto"/>
      </w:divBdr>
    </w:div>
    <w:div w:id="284510446">
      <w:marLeft w:val="0"/>
      <w:marRight w:val="0"/>
      <w:marTop w:val="0"/>
      <w:marBottom w:val="0"/>
      <w:divBdr>
        <w:top w:val="none" w:sz="0" w:space="0" w:color="auto"/>
        <w:left w:val="none" w:sz="0" w:space="0" w:color="auto"/>
        <w:bottom w:val="none" w:sz="0" w:space="0" w:color="auto"/>
        <w:right w:val="none" w:sz="0" w:space="0" w:color="auto"/>
      </w:divBdr>
    </w:div>
    <w:div w:id="284510447">
      <w:marLeft w:val="0"/>
      <w:marRight w:val="0"/>
      <w:marTop w:val="0"/>
      <w:marBottom w:val="0"/>
      <w:divBdr>
        <w:top w:val="none" w:sz="0" w:space="0" w:color="auto"/>
        <w:left w:val="none" w:sz="0" w:space="0" w:color="auto"/>
        <w:bottom w:val="none" w:sz="0" w:space="0" w:color="auto"/>
        <w:right w:val="none" w:sz="0" w:space="0" w:color="auto"/>
      </w:divBdr>
    </w:div>
    <w:div w:id="284510448">
      <w:marLeft w:val="0"/>
      <w:marRight w:val="0"/>
      <w:marTop w:val="0"/>
      <w:marBottom w:val="0"/>
      <w:divBdr>
        <w:top w:val="none" w:sz="0" w:space="0" w:color="auto"/>
        <w:left w:val="none" w:sz="0" w:space="0" w:color="auto"/>
        <w:bottom w:val="none" w:sz="0" w:space="0" w:color="auto"/>
        <w:right w:val="none" w:sz="0" w:space="0" w:color="auto"/>
      </w:divBdr>
    </w:div>
    <w:div w:id="284510449">
      <w:marLeft w:val="0"/>
      <w:marRight w:val="0"/>
      <w:marTop w:val="0"/>
      <w:marBottom w:val="0"/>
      <w:divBdr>
        <w:top w:val="none" w:sz="0" w:space="0" w:color="auto"/>
        <w:left w:val="none" w:sz="0" w:space="0" w:color="auto"/>
        <w:bottom w:val="none" w:sz="0" w:space="0" w:color="auto"/>
        <w:right w:val="none" w:sz="0" w:space="0" w:color="auto"/>
      </w:divBdr>
    </w:div>
    <w:div w:id="284510450">
      <w:marLeft w:val="0"/>
      <w:marRight w:val="0"/>
      <w:marTop w:val="0"/>
      <w:marBottom w:val="0"/>
      <w:divBdr>
        <w:top w:val="none" w:sz="0" w:space="0" w:color="auto"/>
        <w:left w:val="none" w:sz="0" w:space="0" w:color="auto"/>
        <w:bottom w:val="none" w:sz="0" w:space="0" w:color="auto"/>
        <w:right w:val="none" w:sz="0" w:space="0" w:color="auto"/>
      </w:divBdr>
    </w:div>
    <w:div w:id="284510451">
      <w:marLeft w:val="0"/>
      <w:marRight w:val="0"/>
      <w:marTop w:val="0"/>
      <w:marBottom w:val="0"/>
      <w:divBdr>
        <w:top w:val="none" w:sz="0" w:space="0" w:color="auto"/>
        <w:left w:val="none" w:sz="0" w:space="0" w:color="auto"/>
        <w:bottom w:val="none" w:sz="0" w:space="0" w:color="auto"/>
        <w:right w:val="none" w:sz="0" w:space="0" w:color="auto"/>
      </w:divBdr>
    </w:div>
    <w:div w:id="284510452">
      <w:marLeft w:val="0"/>
      <w:marRight w:val="0"/>
      <w:marTop w:val="0"/>
      <w:marBottom w:val="0"/>
      <w:divBdr>
        <w:top w:val="none" w:sz="0" w:space="0" w:color="auto"/>
        <w:left w:val="none" w:sz="0" w:space="0" w:color="auto"/>
        <w:bottom w:val="none" w:sz="0" w:space="0" w:color="auto"/>
        <w:right w:val="none" w:sz="0" w:space="0" w:color="auto"/>
      </w:divBdr>
    </w:div>
    <w:div w:id="284510453">
      <w:marLeft w:val="0"/>
      <w:marRight w:val="0"/>
      <w:marTop w:val="0"/>
      <w:marBottom w:val="0"/>
      <w:divBdr>
        <w:top w:val="none" w:sz="0" w:space="0" w:color="auto"/>
        <w:left w:val="none" w:sz="0" w:space="0" w:color="auto"/>
        <w:bottom w:val="none" w:sz="0" w:space="0" w:color="auto"/>
        <w:right w:val="none" w:sz="0" w:space="0" w:color="auto"/>
      </w:divBdr>
    </w:div>
    <w:div w:id="284510454">
      <w:marLeft w:val="0"/>
      <w:marRight w:val="0"/>
      <w:marTop w:val="0"/>
      <w:marBottom w:val="0"/>
      <w:divBdr>
        <w:top w:val="none" w:sz="0" w:space="0" w:color="auto"/>
        <w:left w:val="none" w:sz="0" w:space="0" w:color="auto"/>
        <w:bottom w:val="none" w:sz="0" w:space="0" w:color="auto"/>
        <w:right w:val="none" w:sz="0" w:space="0" w:color="auto"/>
      </w:divBdr>
    </w:div>
    <w:div w:id="284510455">
      <w:marLeft w:val="0"/>
      <w:marRight w:val="0"/>
      <w:marTop w:val="0"/>
      <w:marBottom w:val="0"/>
      <w:divBdr>
        <w:top w:val="none" w:sz="0" w:space="0" w:color="auto"/>
        <w:left w:val="none" w:sz="0" w:space="0" w:color="auto"/>
        <w:bottom w:val="none" w:sz="0" w:space="0" w:color="auto"/>
        <w:right w:val="none" w:sz="0" w:space="0" w:color="auto"/>
      </w:divBdr>
    </w:div>
    <w:div w:id="284510456">
      <w:marLeft w:val="0"/>
      <w:marRight w:val="0"/>
      <w:marTop w:val="0"/>
      <w:marBottom w:val="0"/>
      <w:divBdr>
        <w:top w:val="none" w:sz="0" w:space="0" w:color="auto"/>
        <w:left w:val="none" w:sz="0" w:space="0" w:color="auto"/>
        <w:bottom w:val="none" w:sz="0" w:space="0" w:color="auto"/>
        <w:right w:val="none" w:sz="0" w:space="0" w:color="auto"/>
      </w:divBdr>
    </w:div>
    <w:div w:id="284510457">
      <w:marLeft w:val="0"/>
      <w:marRight w:val="0"/>
      <w:marTop w:val="0"/>
      <w:marBottom w:val="0"/>
      <w:divBdr>
        <w:top w:val="none" w:sz="0" w:space="0" w:color="auto"/>
        <w:left w:val="none" w:sz="0" w:space="0" w:color="auto"/>
        <w:bottom w:val="none" w:sz="0" w:space="0" w:color="auto"/>
        <w:right w:val="none" w:sz="0" w:space="0" w:color="auto"/>
      </w:divBdr>
    </w:div>
    <w:div w:id="310908167">
      <w:bodyDiv w:val="1"/>
      <w:marLeft w:val="0"/>
      <w:marRight w:val="0"/>
      <w:marTop w:val="0"/>
      <w:marBottom w:val="0"/>
      <w:divBdr>
        <w:top w:val="none" w:sz="0" w:space="0" w:color="auto"/>
        <w:left w:val="none" w:sz="0" w:space="0" w:color="auto"/>
        <w:bottom w:val="none" w:sz="0" w:space="0" w:color="auto"/>
        <w:right w:val="none" w:sz="0" w:space="0" w:color="auto"/>
      </w:divBdr>
    </w:div>
    <w:div w:id="386027027">
      <w:bodyDiv w:val="1"/>
      <w:marLeft w:val="0"/>
      <w:marRight w:val="0"/>
      <w:marTop w:val="0"/>
      <w:marBottom w:val="0"/>
      <w:divBdr>
        <w:top w:val="none" w:sz="0" w:space="0" w:color="auto"/>
        <w:left w:val="none" w:sz="0" w:space="0" w:color="auto"/>
        <w:bottom w:val="none" w:sz="0" w:space="0" w:color="auto"/>
        <w:right w:val="none" w:sz="0" w:space="0" w:color="auto"/>
      </w:divBdr>
    </w:div>
    <w:div w:id="684138268">
      <w:bodyDiv w:val="1"/>
      <w:marLeft w:val="0"/>
      <w:marRight w:val="0"/>
      <w:marTop w:val="0"/>
      <w:marBottom w:val="0"/>
      <w:divBdr>
        <w:top w:val="none" w:sz="0" w:space="0" w:color="auto"/>
        <w:left w:val="none" w:sz="0" w:space="0" w:color="auto"/>
        <w:bottom w:val="none" w:sz="0" w:space="0" w:color="auto"/>
        <w:right w:val="none" w:sz="0" w:space="0" w:color="auto"/>
      </w:divBdr>
    </w:div>
    <w:div w:id="1036541128">
      <w:bodyDiv w:val="1"/>
      <w:marLeft w:val="0"/>
      <w:marRight w:val="0"/>
      <w:marTop w:val="0"/>
      <w:marBottom w:val="0"/>
      <w:divBdr>
        <w:top w:val="none" w:sz="0" w:space="0" w:color="auto"/>
        <w:left w:val="none" w:sz="0" w:space="0" w:color="auto"/>
        <w:bottom w:val="none" w:sz="0" w:space="0" w:color="auto"/>
        <w:right w:val="none" w:sz="0" w:space="0" w:color="auto"/>
      </w:divBdr>
    </w:div>
    <w:div w:id="1565070592">
      <w:bodyDiv w:val="1"/>
      <w:marLeft w:val="0"/>
      <w:marRight w:val="0"/>
      <w:marTop w:val="0"/>
      <w:marBottom w:val="0"/>
      <w:divBdr>
        <w:top w:val="none" w:sz="0" w:space="0" w:color="auto"/>
        <w:left w:val="none" w:sz="0" w:space="0" w:color="auto"/>
        <w:bottom w:val="none" w:sz="0" w:space="0" w:color="auto"/>
        <w:right w:val="none" w:sz="0" w:space="0" w:color="auto"/>
      </w:divBdr>
    </w:div>
    <w:div w:id="20836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marinska@s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normunds.sinkevics@p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84BA-A04A-47BF-A339-8E431D78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15954</Words>
  <Characters>9094</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jauno elektrovilcienu projektu”</vt:lpstr>
      <vt:lpstr>Informatīvais ziņojums par iespējamību piesaistīt papildu finansējumu ceļu uzturēšanai, pārbūvei un atjaunošanai papildus valsts budžetā paredzētajam finansējumam</vt:lpstr>
    </vt:vector>
  </TitlesOfParts>
  <Company>Satiksmes ministrija</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jauno elektrovilcienu projektu”</dc:title>
  <dc:subject>Informatīvais ziņojums</dc:subject>
  <dc:creator>Karina.Marinska@sam.gov.lv</dc:creator>
  <cp:keywords/>
  <dc:description>67028066</dc:description>
  <cp:lastModifiedBy>Karina Marinska</cp:lastModifiedBy>
  <cp:revision>37</cp:revision>
  <cp:lastPrinted>2019-07-16T04:34:00Z</cp:lastPrinted>
  <dcterms:created xsi:type="dcterms:W3CDTF">2019-07-15T14:05:00Z</dcterms:created>
  <dcterms:modified xsi:type="dcterms:W3CDTF">2019-07-16T04:36:00Z</dcterms:modified>
</cp:coreProperties>
</file>