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BC480" w14:textId="4531B0C8" w:rsidR="00894C55" w:rsidRPr="0017680D" w:rsidRDefault="00AF7938"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w:t>
      </w:r>
      <w:r w:rsidR="004B0EDA">
        <w:rPr>
          <w:rFonts w:ascii="Times New Roman" w:eastAsia="Times New Roman" w:hAnsi="Times New Roman" w:cs="Times New Roman"/>
          <w:b/>
          <w:bCs/>
          <w:sz w:val="28"/>
          <w:szCs w:val="24"/>
          <w:lang w:eastAsia="lv-LV"/>
        </w:rPr>
        <w:t xml:space="preserve"> “</w:t>
      </w:r>
      <w:sdt>
        <w:sdtPr>
          <w:rPr>
            <w:rFonts w:ascii="Times New Roman" w:eastAsia="Times New Roman" w:hAnsi="Times New Roman" w:cs="Times New Roman"/>
            <w:b/>
            <w:bCs/>
            <w:sz w:val="28"/>
            <w:szCs w:val="24"/>
            <w:lang w:eastAsia="lv-LV"/>
          </w:rPr>
          <w:id w:val="882755678"/>
          <w:placeholder>
            <w:docPart w:val="B2513C7936974E769D1103048039203D"/>
          </w:placeholder>
        </w:sdtPr>
        <w:sdtContent>
          <w:r w:rsidR="005E0C82">
            <w:rPr>
              <w:rFonts w:ascii="Times New Roman" w:eastAsia="Times New Roman" w:hAnsi="Times New Roman" w:cs="Times New Roman"/>
              <w:b/>
              <w:bCs/>
              <w:sz w:val="28"/>
              <w:szCs w:val="24"/>
              <w:lang w:eastAsia="lv-LV"/>
            </w:rPr>
            <w:t>Ģenētisk</w:t>
          </w:r>
          <w:r>
            <w:rPr>
              <w:rFonts w:ascii="Times New Roman" w:eastAsia="Times New Roman" w:hAnsi="Times New Roman" w:cs="Times New Roman"/>
              <w:b/>
              <w:bCs/>
              <w:sz w:val="28"/>
              <w:szCs w:val="24"/>
              <w:lang w:eastAsia="lv-LV"/>
            </w:rPr>
            <w:t xml:space="preserve">o resursu izmantošanas likums” </w:t>
          </w:r>
        </w:sdtContent>
      </w:sdt>
      <w:r w:rsidR="003B0BF9" w:rsidRPr="0017680D">
        <w:rPr>
          <w:rFonts w:ascii="Times New Roman" w:eastAsia="Times New Roman" w:hAnsi="Times New Roman" w:cs="Times New Roman"/>
          <w:b/>
          <w:bCs/>
          <w:sz w:val="28"/>
          <w:szCs w:val="24"/>
          <w:lang w:eastAsia="lv-LV"/>
        </w:rPr>
        <w:br/>
      </w:r>
      <w:r w:rsidR="00894C55" w:rsidRPr="0017680D">
        <w:rPr>
          <w:rFonts w:ascii="Times New Roman" w:eastAsia="Times New Roman" w:hAnsi="Times New Roman" w:cs="Times New Roman"/>
          <w:b/>
          <w:bCs/>
          <w:sz w:val="28"/>
          <w:szCs w:val="24"/>
          <w:lang w:eastAsia="lv-LV"/>
        </w:rPr>
        <w:t>sākotnējās ietekmes novērtējuma ziņojums (anotācija)</w:t>
      </w:r>
    </w:p>
    <w:p w14:paraId="4C2E469B" w14:textId="77777777" w:rsidR="00E5323B" w:rsidRPr="002D55C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D55CC" w14:paraId="0445D33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577590"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Tiesību akta projekta anotācijas kopsavilkums</w:t>
            </w:r>
          </w:p>
        </w:tc>
      </w:tr>
      <w:tr w:rsidR="00E5323B" w:rsidRPr="002D55CC" w14:paraId="38AB71E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5C44D15"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15583BB" w14:textId="455B724E" w:rsidR="00E5323B" w:rsidRPr="00483043" w:rsidRDefault="003D2DD7" w:rsidP="00203B4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Likumprojekta “Ģenētisko resursu izmantošanas likums”</w:t>
            </w:r>
            <w:r w:rsidR="0098651D" w:rsidRPr="00AF7938">
              <w:rPr>
                <w:rFonts w:ascii="Times New Roman" w:hAnsi="Times New Roman" w:cs="Times New Roman"/>
                <w:sz w:val="24"/>
                <w:szCs w:val="24"/>
              </w:rPr>
              <w:t xml:space="preserve"> (turpmāk – l</w:t>
            </w:r>
            <w:r w:rsidR="0017680D" w:rsidRPr="00AF7938">
              <w:rPr>
                <w:rFonts w:ascii="Times New Roman" w:hAnsi="Times New Roman" w:cs="Times New Roman"/>
                <w:sz w:val="24"/>
                <w:szCs w:val="24"/>
              </w:rPr>
              <w:t>ikumprojekts)</w:t>
            </w:r>
            <w:r w:rsidR="0017680D" w:rsidRPr="00483043">
              <w:rPr>
                <w:rFonts w:ascii="Times New Roman" w:hAnsi="Times New Roman" w:cs="Times New Roman"/>
                <w:b/>
                <w:sz w:val="24"/>
                <w:szCs w:val="24"/>
              </w:rPr>
              <w:t xml:space="preserve"> </w:t>
            </w:r>
            <w:r w:rsidR="002C5FA0" w:rsidRPr="00483043">
              <w:rPr>
                <w:rFonts w:ascii="Times New Roman" w:hAnsi="Times New Roman" w:cs="Times New Roman"/>
                <w:sz w:val="24"/>
                <w:szCs w:val="24"/>
              </w:rPr>
              <w:t xml:space="preserve">mērķis ir </w:t>
            </w:r>
            <w:r w:rsidR="00780548">
              <w:rPr>
                <w:rFonts w:ascii="Times New Roman" w:hAnsi="Times New Roman" w:cs="Times New Roman"/>
                <w:sz w:val="24"/>
                <w:szCs w:val="24"/>
              </w:rPr>
              <w:t>nodrošināt tiesisku ģenētisko resursu izmantošanu, nosakot</w:t>
            </w:r>
            <w:r w:rsidR="002C5FA0" w:rsidRPr="00483043">
              <w:rPr>
                <w:rFonts w:ascii="Times New Roman" w:hAnsi="Times New Roman" w:cs="Times New Roman"/>
                <w:sz w:val="24"/>
                <w:szCs w:val="24"/>
              </w:rPr>
              <w:t xml:space="preserve"> </w:t>
            </w:r>
            <w:r w:rsidR="002C5FA0" w:rsidRPr="00602F5A">
              <w:rPr>
                <w:rFonts w:ascii="Times New Roman" w:hAnsi="Times New Roman" w:cs="Times New Roman"/>
                <w:sz w:val="24"/>
                <w:szCs w:val="24"/>
              </w:rPr>
              <w:t>Eiropas Parlamenta un Padomes 2014. gada 16. aprīļa Regulas Nr. 511/2014</w:t>
            </w:r>
            <w:r w:rsidR="00D10C71">
              <w:rPr>
                <w:rFonts w:ascii="Times New Roman" w:hAnsi="Times New Roman" w:cs="Times New Roman"/>
                <w:sz w:val="24"/>
                <w:szCs w:val="24"/>
              </w:rPr>
              <w:t>/ES</w:t>
            </w:r>
            <w:r w:rsidR="002C5FA0" w:rsidRPr="00602F5A">
              <w:rPr>
                <w:rFonts w:ascii="Times New Roman" w:hAnsi="Times New Roman" w:cs="Times New Roman"/>
                <w:sz w:val="24"/>
                <w:szCs w:val="24"/>
              </w:rPr>
              <w:t xml:space="preserve"> par no Nagojas Protokola par piekļuvi ģenētiskajiem resursiem un to ieguvumu taisnīgu un godīgu sadali, kas gūti no šo resursu izmantošanas, izrietošiem atbilstības pasākumiem lietotājiem Savienībā</w:t>
            </w:r>
            <w:r w:rsidR="002C5FA0" w:rsidRPr="00483043">
              <w:rPr>
                <w:rFonts w:ascii="Times New Roman" w:hAnsi="Times New Roman" w:cs="Times New Roman"/>
                <w:sz w:val="24"/>
                <w:szCs w:val="24"/>
              </w:rPr>
              <w:t xml:space="preserve"> </w:t>
            </w:r>
            <w:r w:rsidR="00483043">
              <w:rPr>
                <w:rFonts w:ascii="Times New Roman" w:hAnsi="Times New Roman" w:cs="Times New Roman"/>
                <w:sz w:val="24"/>
                <w:szCs w:val="24"/>
              </w:rPr>
              <w:t>6</w:t>
            </w:r>
            <w:r w:rsidR="002C5FA0" w:rsidRPr="00483043">
              <w:rPr>
                <w:rFonts w:ascii="Times New Roman" w:hAnsi="Times New Roman" w:cs="Times New Roman"/>
                <w:sz w:val="24"/>
                <w:szCs w:val="24"/>
              </w:rPr>
              <w:t xml:space="preserve">. pantā </w:t>
            </w:r>
            <w:r w:rsidR="00203B44">
              <w:rPr>
                <w:rFonts w:ascii="Times New Roman" w:hAnsi="Times New Roman" w:cs="Times New Roman"/>
                <w:sz w:val="24"/>
                <w:szCs w:val="24"/>
              </w:rPr>
              <w:t>paredzēto</w:t>
            </w:r>
            <w:r w:rsidR="00483043">
              <w:rPr>
                <w:rFonts w:ascii="Times New Roman" w:hAnsi="Times New Roman" w:cs="Times New Roman"/>
                <w:sz w:val="24"/>
                <w:szCs w:val="24"/>
              </w:rPr>
              <w:t xml:space="preserve"> par </w:t>
            </w:r>
            <w:r w:rsidR="00203B44">
              <w:rPr>
                <w:rFonts w:ascii="Times New Roman" w:hAnsi="Times New Roman" w:cs="Times New Roman"/>
                <w:sz w:val="24"/>
                <w:szCs w:val="24"/>
              </w:rPr>
              <w:t xml:space="preserve">nacionālās </w:t>
            </w:r>
            <w:r w:rsidR="00483043">
              <w:rPr>
                <w:rFonts w:ascii="Times New Roman" w:hAnsi="Times New Roman" w:cs="Times New Roman"/>
                <w:sz w:val="24"/>
                <w:szCs w:val="24"/>
              </w:rPr>
              <w:t>kompetentā</w:t>
            </w:r>
            <w:r w:rsidR="000E400F">
              <w:rPr>
                <w:rFonts w:ascii="Times New Roman" w:hAnsi="Times New Roman" w:cs="Times New Roman"/>
                <w:sz w:val="24"/>
                <w:szCs w:val="24"/>
              </w:rPr>
              <w:t xml:space="preserve">s iestādes noteikšanu un </w:t>
            </w:r>
            <w:r w:rsidR="00780548">
              <w:rPr>
                <w:rFonts w:ascii="Times New Roman" w:hAnsi="Times New Roman" w:cs="Times New Roman"/>
                <w:sz w:val="24"/>
                <w:szCs w:val="24"/>
              </w:rPr>
              <w:t>11. pant</w:t>
            </w:r>
            <w:r w:rsidR="00203B44">
              <w:rPr>
                <w:rFonts w:ascii="Times New Roman" w:hAnsi="Times New Roman" w:cs="Times New Roman"/>
                <w:sz w:val="24"/>
                <w:szCs w:val="24"/>
              </w:rPr>
              <w:t xml:space="preserve">a prasības par sankciju paredzēšanu un </w:t>
            </w:r>
            <w:r w:rsidR="000E400F">
              <w:rPr>
                <w:rFonts w:ascii="Times New Roman" w:hAnsi="Times New Roman" w:cs="Times New Roman"/>
                <w:sz w:val="24"/>
                <w:szCs w:val="24"/>
              </w:rPr>
              <w:t xml:space="preserve">citus </w:t>
            </w:r>
            <w:r w:rsidR="004E070A">
              <w:rPr>
                <w:rFonts w:ascii="Times New Roman" w:hAnsi="Times New Roman" w:cs="Times New Roman"/>
                <w:sz w:val="24"/>
                <w:szCs w:val="24"/>
              </w:rPr>
              <w:t xml:space="preserve">šīs </w:t>
            </w:r>
            <w:r w:rsidR="000E400F">
              <w:rPr>
                <w:rFonts w:ascii="Times New Roman" w:hAnsi="Times New Roman" w:cs="Times New Roman"/>
                <w:sz w:val="24"/>
                <w:szCs w:val="24"/>
              </w:rPr>
              <w:t>r</w:t>
            </w:r>
            <w:r w:rsidR="00483043">
              <w:rPr>
                <w:rFonts w:ascii="Times New Roman" w:hAnsi="Times New Roman" w:cs="Times New Roman"/>
                <w:sz w:val="24"/>
                <w:szCs w:val="24"/>
              </w:rPr>
              <w:t xml:space="preserve">egulas </w:t>
            </w:r>
            <w:r w:rsidR="000E400F">
              <w:rPr>
                <w:rFonts w:ascii="Times New Roman" w:hAnsi="Times New Roman" w:cs="Times New Roman"/>
                <w:sz w:val="24"/>
                <w:szCs w:val="24"/>
              </w:rPr>
              <w:t>īsten</w:t>
            </w:r>
            <w:r w:rsidR="00483043">
              <w:rPr>
                <w:rFonts w:ascii="Times New Roman" w:hAnsi="Times New Roman" w:cs="Times New Roman"/>
                <w:sz w:val="24"/>
                <w:szCs w:val="24"/>
              </w:rPr>
              <w:t>ošanas jautājumus.</w:t>
            </w:r>
          </w:p>
        </w:tc>
      </w:tr>
    </w:tbl>
    <w:p w14:paraId="243D840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52"/>
        <w:gridCol w:w="3379"/>
        <w:gridCol w:w="5424"/>
      </w:tblGrid>
      <w:tr w:rsidR="00E5323B" w:rsidRPr="002D55CC" w14:paraId="3D22E04A" w14:textId="77777777" w:rsidTr="005826E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6FE1971"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2D55CC" w14:paraId="73AFFD84" w14:textId="77777777" w:rsidTr="005826E2">
        <w:trPr>
          <w:tblCellSpacing w:w="15" w:type="dxa"/>
        </w:trPr>
        <w:tc>
          <w:tcPr>
            <w:tcW w:w="116" w:type="pct"/>
            <w:tcBorders>
              <w:top w:val="outset" w:sz="6" w:space="0" w:color="auto"/>
              <w:left w:val="outset" w:sz="6" w:space="0" w:color="auto"/>
              <w:bottom w:val="outset" w:sz="6" w:space="0" w:color="auto"/>
              <w:right w:val="outset" w:sz="6" w:space="0" w:color="auto"/>
            </w:tcBorders>
            <w:hideMark/>
          </w:tcPr>
          <w:p w14:paraId="7E03415C"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874" w:type="pct"/>
            <w:tcBorders>
              <w:top w:val="outset" w:sz="6" w:space="0" w:color="auto"/>
              <w:left w:val="outset" w:sz="6" w:space="0" w:color="auto"/>
              <w:bottom w:val="outset" w:sz="6" w:space="0" w:color="auto"/>
              <w:right w:val="outset" w:sz="6" w:space="0" w:color="auto"/>
            </w:tcBorders>
            <w:hideMark/>
          </w:tcPr>
          <w:p w14:paraId="5DEF5564"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Pamatojums</w:t>
            </w:r>
          </w:p>
        </w:tc>
        <w:tc>
          <w:tcPr>
            <w:tcW w:w="2944" w:type="pct"/>
            <w:tcBorders>
              <w:top w:val="outset" w:sz="6" w:space="0" w:color="auto"/>
              <w:left w:val="outset" w:sz="6" w:space="0" w:color="auto"/>
              <w:bottom w:val="outset" w:sz="6" w:space="0" w:color="auto"/>
              <w:right w:val="outset" w:sz="6" w:space="0" w:color="auto"/>
            </w:tcBorders>
            <w:hideMark/>
          </w:tcPr>
          <w:p w14:paraId="41ABB79E" w14:textId="603D06FB" w:rsidR="004E070A" w:rsidRPr="00153750" w:rsidRDefault="002D55CC" w:rsidP="00153750">
            <w:pPr>
              <w:jc w:val="both"/>
              <w:rPr>
                <w:rFonts w:ascii="Times New Roman" w:hAnsi="Times New Roman" w:cs="Times New Roman"/>
                <w:sz w:val="24"/>
                <w:szCs w:val="24"/>
                <w:shd w:val="clear" w:color="auto" w:fill="FFFFFF" w:themeFill="background1"/>
              </w:rPr>
            </w:pPr>
            <w:r w:rsidRPr="004E070A">
              <w:rPr>
                <w:rFonts w:ascii="Times New Roman" w:hAnsi="Times New Roman" w:cs="Times New Roman"/>
                <w:sz w:val="24"/>
                <w:szCs w:val="24"/>
              </w:rPr>
              <w:t>Eiropas Parlamenta un Padomes 2014. gada 16. aprīļa Regulas Nr. 511/2014</w:t>
            </w:r>
            <w:r w:rsidR="00D10C71">
              <w:rPr>
                <w:rFonts w:ascii="Times New Roman" w:hAnsi="Times New Roman" w:cs="Times New Roman"/>
                <w:sz w:val="24"/>
                <w:szCs w:val="24"/>
              </w:rPr>
              <w:t>/ES</w:t>
            </w:r>
            <w:r w:rsidRPr="004E070A">
              <w:rPr>
                <w:rFonts w:ascii="Times New Roman" w:hAnsi="Times New Roman" w:cs="Times New Roman"/>
                <w:sz w:val="24"/>
                <w:szCs w:val="24"/>
              </w:rPr>
              <w:t xml:space="preserve"> par no Nagojas Protokola par piekļuvi ģenētiskajiem resursiem un to ieguvumu taisnīgu un godīgu sadali, kas gūti no šo resursu izmantošanas, izrietošiem atbilstības pasākumiem </w:t>
            </w:r>
            <w:r w:rsidRPr="004E070A">
              <w:rPr>
                <w:rFonts w:ascii="Times New Roman" w:hAnsi="Times New Roman" w:cs="Times New Roman"/>
                <w:sz w:val="24"/>
                <w:szCs w:val="24"/>
                <w:shd w:val="clear" w:color="auto" w:fill="FFFFFF" w:themeFill="background1"/>
              </w:rPr>
              <w:t xml:space="preserve">lietotājiem Savienībā </w:t>
            </w:r>
            <w:r w:rsidR="004E070A" w:rsidRPr="004E070A">
              <w:rPr>
                <w:rFonts w:ascii="Times New Roman" w:hAnsi="Times New Roman" w:cs="Times New Roman"/>
                <w:sz w:val="24"/>
                <w:szCs w:val="24"/>
              </w:rPr>
              <w:t xml:space="preserve">(turpmāk – regula) </w:t>
            </w:r>
            <w:r w:rsidR="00C83DC0" w:rsidRPr="004E070A">
              <w:rPr>
                <w:rFonts w:ascii="Times New Roman" w:hAnsi="Times New Roman" w:cs="Times New Roman"/>
                <w:sz w:val="24"/>
                <w:szCs w:val="24"/>
                <w:shd w:val="clear" w:color="auto" w:fill="FFFFFF" w:themeFill="background1"/>
              </w:rPr>
              <w:t>6</w:t>
            </w:r>
            <w:r w:rsidR="007C6BB6" w:rsidRPr="004E070A">
              <w:rPr>
                <w:rFonts w:ascii="Times New Roman" w:hAnsi="Times New Roman" w:cs="Times New Roman"/>
                <w:sz w:val="24"/>
                <w:szCs w:val="24"/>
                <w:shd w:val="clear" w:color="auto" w:fill="FFFFFF" w:themeFill="background1"/>
              </w:rPr>
              <w:t>.</w:t>
            </w:r>
            <w:r w:rsidR="005B4FBB" w:rsidRPr="004E070A">
              <w:rPr>
                <w:rFonts w:ascii="Times New Roman" w:hAnsi="Times New Roman" w:cs="Times New Roman"/>
                <w:sz w:val="24"/>
                <w:szCs w:val="24"/>
                <w:shd w:val="clear" w:color="auto" w:fill="FFFFFF" w:themeFill="background1"/>
              </w:rPr>
              <w:t> panta 1. punkts,</w:t>
            </w:r>
            <w:r w:rsidR="007C6BB6" w:rsidRPr="004E070A">
              <w:rPr>
                <w:rFonts w:ascii="Times New Roman" w:hAnsi="Times New Roman" w:cs="Times New Roman"/>
                <w:sz w:val="24"/>
                <w:szCs w:val="24"/>
                <w:shd w:val="clear" w:color="auto" w:fill="FFFFFF" w:themeFill="background1"/>
              </w:rPr>
              <w:t> </w:t>
            </w:r>
            <w:r w:rsidR="00F62C17" w:rsidRPr="004E070A">
              <w:rPr>
                <w:rFonts w:ascii="Times New Roman" w:hAnsi="Times New Roman" w:cs="Times New Roman"/>
                <w:sz w:val="24"/>
                <w:szCs w:val="24"/>
                <w:shd w:val="clear" w:color="auto" w:fill="FFFFFF" w:themeFill="background1"/>
              </w:rPr>
              <w:t>7. panta 1. punkts</w:t>
            </w:r>
            <w:r w:rsidR="00846771" w:rsidRPr="004E070A">
              <w:rPr>
                <w:rFonts w:ascii="Times New Roman" w:hAnsi="Times New Roman" w:cs="Times New Roman"/>
                <w:sz w:val="24"/>
                <w:szCs w:val="24"/>
                <w:shd w:val="clear" w:color="auto" w:fill="FFFFFF" w:themeFill="background1"/>
              </w:rPr>
              <w:t xml:space="preserve"> un 11. panta 1. un 2. punkts</w:t>
            </w:r>
            <w:r w:rsidR="00C45D3B" w:rsidRPr="004E070A">
              <w:rPr>
                <w:rFonts w:ascii="Times New Roman" w:hAnsi="Times New Roman" w:cs="Times New Roman"/>
                <w:sz w:val="24"/>
                <w:szCs w:val="24"/>
                <w:shd w:val="clear" w:color="auto" w:fill="FFFFFF" w:themeFill="background1"/>
              </w:rPr>
              <w:t>.</w:t>
            </w:r>
          </w:p>
        </w:tc>
      </w:tr>
      <w:tr w:rsidR="00E5323B" w:rsidRPr="002D55CC" w14:paraId="5645534C" w14:textId="77777777" w:rsidTr="005826E2">
        <w:trPr>
          <w:tblCellSpacing w:w="15" w:type="dxa"/>
        </w:trPr>
        <w:tc>
          <w:tcPr>
            <w:tcW w:w="116" w:type="pct"/>
            <w:tcBorders>
              <w:top w:val="outset" w:sz="6" w:space="0" w:color="auto"/>
              <w:left w:val="outset" w:sz="6" w:space="0" w:color="auto"/>
              <w:bottom w:val="outset" w:sz="6" w:space="0" w:color="auto"/>
              <w:right w:val="outset" w:sz="6" w:space="0" w:color="auto"/>
            </w:tcBorders>
            <w:hideMark/>
          </w:tcPr>
          <w:p w14:paraId="419D97FB"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874" w:type="pct"/>
            <w:tcBorders>
              <w:top w:val="outset" w:sz="6" w:space="0" w:color="auto"/>
              <w:left w:val="outset" w:sz="6" w:space="0" w:color="auto"/>
              <w:bottom w:val="outset" w:sz="6" w:space="0" w:color="auto"/>
              <w:right w:val="outset" w:sz="6" w:space="0" w:color="auto"/>
            </w:tcBorders>
            <w:hideMark/>
          </w:tcPr>
          <w:p w14:paraId="55DC48BB" w14:textId="77777777" w:rsidR="007C6BB6"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44" w:type="pct"/>
            <w:tcBorders>
              <w:top w:val="outset" w:sz="6" w:space="0" w:color="auto"/>
              <w:left w:val="outset" w:sz="6" w:space="0" w:color="auto"/>
              <w:bottom w:val="outset" w:sz="6" w:space="0" w:color="auto"/>
              <w:right w:val="outset" w:sz="6" w:space="0" w:color="auto"/>
            </w:tcBorders>
            <w:hideMark/>
          </w:tcPr>
          <w:p w14:paraId="7EDF11E2" w14:textId="2041B390" w:rsidR="007C6BB6" w:rsidRPr="009E40A6" w:rsidRDefault="007C6BB6" w:rsidP="00DA64E3">
            <w:pPr>
              <w:spacing w:after="120" w:line="240" w:lineRule="auto"/>
              <w:jc w:val="both"/>
              <w:rPr>
                <w:rFonts w:ascii="Times New Roman" w:hAnsi="Times New Roman" w:cs="Times New Roman"/>
                <w:sz w:val="24"/>
                <w:szCs w:val="24"/>
              </w:rPr>
            </w:pPr>
            <w:r w:rsidRPr="009E40A6">
              <w:rPr>
                <w:rFonts w:ascii="Times New Roman" w:hAnsi="Times New Roman" w:cs="Times New Roman"/>
                <w:sz w:val="24"/>
                <w:szCs w:val="24"/>
              </w:rPr>
              <w:t>Iz</w:t>
            </w:r>
            <w:r w:rsidR="00D10C71">
              <w:rPr>
                <w:rFonts w:ascii="Times New Roman" w:hAnsi="Times New Roman" w:cs="Times New Roman"/>
                <w:sz w:val="24"/>
                <w:szCs w:val="24"/>
              </w:rPr>
              <w:t>strādātais normatīvais regulējums</w:t>
            </w:r>
            <w:r w:rsidRPr="009E40A6">
              <w:rPr>
                <w:rFonts w:ascii="Times New Roman" w:hAnsi="Times New Roman" w:cs="Times New Roman"/>
                <w:sz w:val="24"/>
                <w:szCs w:val="24"/>
              </w:rPr>
              <w:t xml:space="preserve"> saistīts ar tādu starptautisku vides problemātiku kā ģenētisko resursu izmantošanā gūtu ieguvumu netaisnīgu sadali. Attiecīgi tas definēts kā viens no trim Apvienoto Nāciju Organizācijas 1992. gada 5. jūnija Riodeižaneiro konvencijas par Bioloģiskās daudzveidību (turpmāk – Bioloģiskās daudzveidības konvencija) </w:t>
            </w:r>
            <w:r w:rsidR="00953461" w:rsidRPr="009E40A6">
              <w:rPr>
                <w:rFonts w:ascii="Times New Roman" w:hAnsi="Times New Roman" w:cs="Times New Roman"/>
                <w:sz w:val="24"/>
                <w:szCs w:val="24"/>
              </w:rPr>
              <w:t>mērķiem. Tas ir –</w:t>
            </w:r>
            <w:r w:rsidRPr="009E40A6">
              <w:rPr>
                <w:rFonts w:ascii="Times New Roman" w:hAnsi="Times New Roman" w:cs="Times New Roman"/>
                <w:sz w:val="24"/>
                <w:szCs w:val="24"/>
              </w:rPr>
              <w:t xml:space="preserve"> godīga un līdztiesīga ģenētisko resursu patērēšanā iegūto labumu sadale, ietverot gan pienācīgu pieeju ģenētiskajiem resursiem, gan atbilstošu tehnoloģiju nodošanu, ņemot vērā visas tiesības uz šiem resursiem un tehnoloģijām, gan pienācīgu finansēšanu.</w:t>
            </w:r>
          </w:p>
          <w:p w14:paraId="4EBE1724" w14:textId="13924FC4" w:rsidR="007C6BB6" w:rsidRPr="009E40A6" w:rsidRDefault="007C6BB6" w:rsidP="00DA64E3">
            <w:pPr>
              <w:spacing w:after="120" w:line="240" w:lineRule="auto"/>
              <w:jc w:val="both"/>
              <w:rPr>
                <w:rFonts w:ascii="Times New Roman" w:hAnsi="Times New Roman" w:cs="Times New Roman"/>
                <w:sz w:val="24"/>
                <w:szCs w:val="24"/>
              </w:rPr>
            </w:pPr>
            <w:r w:rsidRPr="009E40A6">
              <w:rPr>
                <w:rFonts w:ascii="Times New Roman" w:hAnsi="Times New Roman" w:cs="Times New Roman"/>
                <w:sz w:val="24"/>
                <w:szCs w:val="24"/>
              </w:rPr>
              <w:t xml:space="preserve">Šī mērķa praktiskai īstenošanai Bioloģiskās daudzveidības konvencijas puses </w:t>
            </w:r>
            <w:r w:rsidR="00B54AAD" w:rsidRPr="009E40A6">
              <w:rPr>
                <w:rFonts w:ascii="Times New Roman" w:hAnsi="Times New Roman" w:cs="Times New Roman"/>
                <w:sz w:val="24"/>
                <w:szCs w:val="24"/>
              </w:rPr>
              <w:t xml:space="preserve">(tajā skaitā Latvija) </w:t>
            </w:r>
            <w:r w:rsidRPr="009E40A6">
              <w:rPr>
                <w:rFonts w:ascii="Times New Roman" w:hAnsi="Times New Roman" w:cs="Times New Roman"/>
                <w:sz w:val="24"/>
                <w:szCs w:val="24"/>
              </w:rPr>
              <w:t>2010. gada 29. oktobrī pušu X konferencē pieņēma Nagojas Protokolu</w:t>
            </w:r>
            <w:r w:rsidR="008F5FD0" w:rsidRPr="00A8588A">
              <w:rPr>
                <w:vertAlign w:val="superscript"/>
              </w:rPr>
              <w:footnoteReference w:id="2"/>
            </w:r>
            <w:r w:rsidRPr="009E40A6">
              <w:rPr>
                <w:rFonts w:ascii="Times New Roman" w:hAnsi="Times New Roman" w:cs="Times New Roman"/>
                <w:sz w:val="24"/>
                <w:szCs w:val="24"/>
              </w:rPr>
              <w:t xml:space="preserve"> par </w:t>
            </w:r>
            <w:r w:rsidR="008F5FD0" w:rsidRPr="009E40A6">
              <w:rPr>
                <w:rFonts w:ascii="Times New Roman" w:hAnsi="Times New Roman" w:cs="Times New Roman"/>
                <w:sz w:val="24"/>
                <w:szCs w:val="24"/>
              </w:rPr>
              <w:t>piekļuvi ģenētiskajiem resursiem un taisnīgu un godīgu to ieguvumu sadali, kas gūti no šo resursu izmantošanas</w:t>
            </w:r>
            <w:r w:rsidRPr="009E40A6">
              <w:rPr>
                <w:rFonts w:ascii="Times New Roman" w:hAnsi="Times New Roman" w:cs="Times New Roman"/>
                <w:sz w:val="24"/>
                <w:szCs w:val="24"/>
              </w:rPr>
              <w:t xml:space="preserve"> (turpmāk – Nagojas </w:t>
            </w:r>
            <w:r w:rsidRPr="009E40A6">
              <w:rPr>
                <w:rFonts w:ascii="Times New Roman" w:hAnsi="Times New Roman" w:cs="Times New Roman"/>
                <w:sz w:val="24"/>
                <w:szCs w:val="24"/>
              </w:rPr>
              <w:lastRenderedPageBreak/>
              <w:t xml:space="preserve">Protokols). </w:t>
            </w:r>
            <w:r w:rsidR="00953461" w:rsidRPr="009E40A6">
              <w:rPr>
                <w:rFonts w:ascii="Times New Roman" w:hAnsi="Times New Roman" w:cs="Times New Roman"/>
                <w:sz w:val="24"/>
                <w:szCs w:val="24"/>
              </w:rPr>
              <w:t xml:space="preserve">Tādā veidā: </w:t>
            </w:r>
            <w:r w:rsidRPr="009E40A6">
              <w:rPr>
                <w:rFonts w:ascii="Times New Roman" w:hAnsi="Times New Roman" w:cs="Times New Roman"/>
                <w:sz w:val="24"/>
                <w:szCs w:val="24"/>
              </w:rPr>
              <w:t>1) izveido</w:t>
            </w:r>
            <w:r w:rsidR="00953461" w:rsidRPr="009E40A6">
              <w:rPr>
                <w:rFonts w:ascii="Times New Roman" w:hAnsi="Times New Roman" w:cs="Times New Roman"/>
                <w:sz w:val="24"/>
                <w:szCs w:val="24"/>
              </w:rPr>
              <w:t>jot</w:t>
            </w:r>
            <w:r w:rsidRPr="009E40A6">
              <w:rPr>
                <w:rFonts w:ascii="Times New Roman" w:hAnsi="Times New Roman" w:cs="Times New Roman"/>
                <w:sz w:val="24"/>
                <w:szCs w:val="24"/>
              </w:rPr>
              <w:t xml:space="preserve"> nosacījumus ģenētisko resursu pieejamībai, 2) </w:t>
            </w:r>
            <w:r w:rsidR="00953461" w:rsidRPr="009E40A6">
              <w:rPr>
                <w:rFonts w:ascii="Times New Roman" w:hAnsi="Times New Roman" w:cs="Times New Roman"/>
                <w:sz w:val="24"/>
                <w:szCs w:val="24"/>
              </w:rPr>
              <w:t>nosakot</w:t>
            </w:r>
            <w:r w:rsidRPr="009E40A6">
              <w:rPr>
                <w:rFonts w:ascii="Times New Roman" w:hAnsi="Times New Roman" w:cs="Times New Roman"/>
                <w:sz w:val="24"/>
                <w:szCs w:val="24"/>
              </w:rPr>
              <w:t xml:space="preserve"> labumu sadali starp ģenētisko resursu lietotājiem un piegādātājiem,</w:t>
            </w:r>
            <w:r w:rsidR="00953461" w:rsidRPr="009E40A6">
              <w:rPr>
                <w:rFonts w:ascii="Times New Roman" w:hAnsi="Times New Roman" w:cs="Times New Roman"/>
                <w:sz w:val="24"/>
                <w:szCs w:val="24"/>
              </w:rPr>
              <w:t xml:space="preserve"> </w:t>
            </w:r>
            <w:r w:rsidRPr="009E40A6">
              <w:rPr>
                <w:rFonts w:ascii="Times New Roman" w:hAnsi="Times New Roman" w:cs="Times New Roman"/>
                <w:sz w:val="24"/>
                <w:szCs w:val="24"/>
              </w:rPr>
              <w:t>3) </w:t>
            </w:r>
            <w:r w:rsidR="00953461" w:rsidRPr="009E40A6">
              <w:rPr>
                <w:rFonts w:ascii="Times New Roman" w:hAnsi="Times New Roman" w:cs="Times New Roman"/>
                <w:sz w:val="24"/>
                <w:szCs w:val="24"/>
              </w:rPr>
              <w:t>nodrošinot</w:t>
            </w:r>
            <w:r w:rsidRPr="009E40A6">
              <w:rPr>
                <w:rFonts w:ascii="Times New Roman" w:hAnsi="Times New Roman" w:cs="Times New Roman"/>
                <w:sz w:val="24"/>
                <w:szCs w:val="24"/>
              </w:rPr>
              <w:t>, ka tiek izmantoti tikai likumīgi iegūti ģenētiskie resursi.</w:t>
            </w:r>
          </w:p>
          <w:p w14:paraId="0F40B72E" w14:textId="0B05B503" w:rsidR="007A13A2" w:rsidRPr="00EC2CBA" w:rsidRDefault="007C6BB6" w:rsidP="00DA64E3">
            <w:pPr>
              <w:spacing w:after="120" w:line="240" w:lineRule="auto"/>
              <w:jc w:val="both"/>
              <w:rPr>
                <w:rFonts w:ascii="Times New Roman" w:hAnsi="Times New Roman" w:cs="Times New Roman"/>
                <w:sz w:val="24"/>
                <w:szCs w:val="24"/>
              </w:rPr>
            </w:pPr>
            <w:r w:rsidRPr="009E40A6">
              <w:rPr>
                <w:rFonts w:ascii="Times New Roman" w:hAnsi="Times New Roman" w:cs="Times New Roman"/>
                <w:sz w:val="24"/>
                <w:szCs w:val="24"/>
              </w:rPr>
              <w:t>Eiropas Savienības Padome 2014. gada 14. aprīlī pieņēma lēmumu Nr. 2014/283/ES par to, lai Eiropas Savienības vārdā noslēgtu Konvencijai par bioloģisko daudzveidīb</w:t>
            </w:r>
            <w:r w:rsidR="00444EC9" w:rsidRPr="009E40A6">
              <w:rPr>
                <w:rFonts w:ascii="Times New Roman" w:hAnsi="Times New Roman" w:cs="Times New Roman"/>
                <w:sz w:val="24"/>
                <w:szCs w:val="24"/>
              </w:rPr>
              <w:t>u pievienoto Nagojas Protokolu.</w:t>
            </w:r>
            <w:r w:rsidR="007F7E43" w:rsidRPr="009E40A6">
              <w:rPr>
                <w:rFonts w:ascii="Times New Roman" w:hAnsi="Times New Roman" w:cs="Times New Roman"/>
                <w:sz w:val="24"/>
                <w:szCs w:val="24"/>
              </w:rPr>
              <w:t xml:space="preserve"> </w:t>
            </w:r>
            <w:r w:rsidR="00CE045C" w:rsidRPr="009E40A6">
              <w:rPr>
                <w:rFonts w:ascii="Times New Roman" w:hAnsi="Times New Roman" w:cs="Times New Roman"/>
                <w:sz w:val="24"/>
                <w:szCs w:val="24"/>
              </w:rPr>
              <w:t>E</w:t>
            </w:r>
            <w:r w:rsidR="00D10C71">
              <w:rPr>
                <w:rFonts w:ascii="Times New Roman" w:hAnsi="Times New Roman" w:cs="Times New Roman"/>
                <w:sz w:val="24"/>
                <w:szCs w:val="24"/>
              </w:rPr>
              <w:t xml:space="preserve">iropas </w:t>
            </w:r>
            <w:r w:rsidR="00CE045C" w:rsidRPr="009E40A6">
              <w:rPr>
                <w:rFonts w:ascii="Times New Roman" w:hAnsi="Times New Roman" w:cs="Times New Roman"/>
                <w:sz w:val="24"/>
                <w:szCs w:val="24"/>
              </w:rPr>
              <w:t>S</w:t>
            </w:r>
            <w:r w:rsidR="00D10C71">
              <w:rPr>
                <w:rFonts w:ascii="Times New Roman" w:hAnsi="Times New Roman" w:cs="Times New Roman"/>
                <w:sz w:val="24"/>
                <w:szCs w:val="24"/>
              </w:rPr>
              <w:t>avienības (turpmāk – ES)</w:t>
            </w:r>
            <w:r w:rsidR="00CE045C" w:rsidRPr="009E40A6">
              <w:rPr>
                <w:rFonts w:ascii="Times New Roman" w:hAnsi="Times New Roman" w:cs="Times New Roman"/>
                <w:sz w:val="24"/>
                <w:szCs w:val="24"/>
              </w:rPr>
              <w:t xml:space="preserve"> ratificēja Nagojas Protokolu</w:t>
            </w:r>
            <w:r w:rsidR="00D10C71">
              <w:rPr>
                <w:rFonts w:ascii="Times New Roman" w:hAnsi="Times New Roman" w:cs="Times New Roman"/>
                <w:sz w:val="24"/>
                <w:szCs w:val="24"/>
              </w:rPr>
              <w:t>,</w:t>
            </w:r>
            <w:r w:rsidR="00CE045C" w:rsidRPr="009E40A6">
              <w:rPr>
                <w:rFonts w:ascii="Times New Roman" w:hAnsi="Times New Roman" w:cs="Times New Roman"/>
                <w:sz w:val="24"/>
                <w:szCs w:val="24"/>
              </w:rPr>
              <w:t xml:space="preserve"> ņemot vērā, ka vides aizsardz</w:t>
            </w:r>
            <w:r w:rsidR="00CE045C" w:rsidRPr="00D12248">
              <w:rPr>
                <w:rFonts w:ascii="Times New Roman" w:hAnsi="Times New Roman" w:cs="Times New Roman"/>
                <w:sz w:val="24"/>
                <w:szCs w:val="24"/>
              </w:rPr>
              <w:t>ība ir viena no dalītajām atbildībām starp ES un ES dalībvalstīm.</w:t>
            </w:r>
          </w:p>
          <w:p w14:paraId="23D8D0B4" w14:textId="13462F08" w:rsidR="007F7E43" w:rsidRPr="00591421" w:rsidRDefault="007F7E43" w:rsidP="00DA64E3">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 xml:space="preserve">2014. gada 16. aprīlī pieņemta regula un </w:t>
            </w:r>
            <w:r w:rsidRPr="00CA463E">
              <w:rPr>
                <w:rFonts w:ascii="Times New Roman" w:hAnsi="Times New Roman" w:cs="Times New Roman"/>
                <w:sz w:val="24"/>
                <w:szCs w:val="24"/>
              </w:rPr>
              <w:t>2015. gada 13. oktobrī – īstenošanas regula</w:t>
            </w:r>
            <w:r w:rsidR="007A13A2" w:rsidRPr="00A8588A">
              <w:rPr>
                <w:rFonts w:ascii="Times New Roman" w:hAnsi="Times New Roman" w:cs="Times New Roman"/>
                <w:sz w:val="24"/>
                <w:szCs w:val="24"/>
                <w:vertAlign w:val="superscript"/>
              </w:rPr>
              <w:footnoteReference w:id="3"/>
            </w:r>
            <w:r w:rsidRPr="00CA463E">
              <w:rPr>
                <w:rFonts w:ascii="Times New Roman" w:hAnsi="Times New Roman" w:cs="Times New Roman"/>
                <w:sz w:val="24"/>
                <w:szCs w:val="24"/>
              </w:rPr>
              <w:t>.</w:t>
            </w:r>
            <w:r w:rsidRPr="009E40A6">
              <w:rPr>
                <w:rFonts w:ascii="Times New Roman" w:hAnsi="Times New Roman" w:cs="Times New Roman"/>
                <w:sz w:val="24"/>
                <w:szCs w:val="24"/>
              </w:rPr>
              <w:t xml:space="preserve"> </w:t>
            </w:r>
          </w:p>
          <w:p w14:paraId="53445467" w14:textId="383DE1A3" w:rsidR="004264F2" w:rsidRDefault="007F7E43" w:rsidP="00DA64E3">
            <w:pPr>
              <w:spacing w:after="120" w:line="240" w:lineRule="auto"/>
              <w:jc w:val="both"/>
              <w:rPr>
                <w:rFonts w:ascii="Times New Roman" w:hAnsi="Times New Roman" w:cs="Times New Roman"/>
                <w:sz w:val="24"/>
                <w:szCs w:val="24"/>
              </w:rPr>
            </w:pPr>
            <w:r w:rsidRPr="00D12248">
              <w:rPr>
                <w:rFonts w:ascii="Times New Roman" w:hAnsi="Times New Roman" w:cs="Times New Roman"/>
                <w:sz w:val="24"/>
                <w:szCs w:val="24"/>
              </w:rPr>
              <w:t>Minētās regulas ir tieši piemērojamas Latvijā un citās E</w:t>
            </w:r>
            <w:r w:rsidR="00D10C71">
              <w:rPr>
                <w:rFonts w:ascii="Times New Roman" w:hAnsi="Times New Roman" w:cs="Times New Roman"/>
                <w:sz w:val="24"/>
                <w:szCs w:val="24"/>
              </w:rPr>
              <w:t>S</w:t>
            </w:r>
            <w:r w:rsidR="00AF7938" w:rsidRPr="00EC2CBA">
              <w:rPr>
                <w:rFonts w:ascii="Times New Roman" w:hAnsi="Times New Roman" w:cs="Times New Roman"/>
                <w:sz w:val="24"/>
                <w:szCs w:val="24"/>
              </w:rPr>
              <w:t xml:space="preserve"> </w:t>
            </w:r>
            <w:r w:rsidRPr="00EC2CBA">
              <w:rPr>
                <w:rFonts w:ascii="Times New Roman" w:hAnsi="Times New Roman" w:cs="Times New Roman"/>
                <w:sz w:val="24"/>
                <w:szCs w:val="24"/>
              </w:rPr>
              <w:t>dalībvalstīs.</w:t>
            </w:r>
            <w:r w:rsidR="0054440C">
              <w:rPr>
                <w:rFonts w:ascii="Times New Roman" w:hAnsi="Times New Roman" w:cs="Times New Roman"/>
                <w:sz w:val="24"/>
                <w:szCs w:val="24"/>
              </w:rPr>
              <w:t xml:space="preserve"> </w:t>
            </w:r>
            <w:r w:rsidR="007A13A2" w:rsidRPr="00435F6F">
              <w:rPr>
                <w:rFonts w:ascii="Times New Roman" w:hAnsi="Times New Roman" w:cs="Times New Roman"/>
                <w:sz w:val="24"/>
                <w:szCs w:val="24"/>
              </w:rPr>
              <w:t>To pieņemšanas pamatā ir E</w:t>
            </w:r>
            <w:r w:rsidR="00D10C71">
              <w:rPr>
                <w:rFonts w:ascii="Times New Roman" w:hAnsi="Times New Roman" w:cs="Times New Roman"/>
                <w:sz w:val="24"/>
                <w:szCs w:val="24"/>
              </w:rPr>
              <w:t>S</w:t>
            </w:r>
            <w:r w:rsidR="007A13A2" w:rsidRPr="00435F6F">
              <w:rPr>
                <w:rFonts w:ascii="Times New Roman" w:hAnsi="Times New Roman" w:cs="Times New Roman"/>
                <w:sz w:val="24"/>
                <w:szCs w:val="24"/>
              </w:rPr>
              <w:t xml:space="preserve"> kļūšana par Nagojas Protokola pusi. </w:t>
            </w:r>
          </w:p>
          <w:p w14:paraId="4EF2D2B0" w14:textId="53E2F8AC" w:rsidR="004264F2" w:rsidRDefault="006B1585" w:rsidP="00DA64E3">
            <w:pPr>
              <w:spacing w:after="120" w:line="240" w:lineRule="auto"/>
              <w:jc w:val="both"/>
              <w:rPr>
                <w:rFonts w:ascii="Times New Roman" w:hAnsi="Times New Roman" w:cs="Times New Roman"/>
                <w:sz w:val="24"/>
                <w:szCs w:val="24"/>
              </w:rPr>
            </w:pPr>
            <w:r w:rsidRPr="009E40A6">
              <w:rPr>
                <w:rFonts w:ascii="Times New Roman" w:hAnsi="Times New Roman" w:cs="Times New Roman"/>
                <w:sz w:val="24"/>
                <w:szCs w:val="24"/>
              </w:rPr>
              <w:t xml:space="preserve">Vienlaikus būtiski atzīmēt, ka </w:t>
            </w:r>
            <w:r w:rsidR="001C4605" w:rsidRPr="00591421">
              <w:rPr>
                <w:rFonts w:ascii="Times New Roman" w:hAnsi="Times New Roman" w:cs="Times New Roman"/>
                <w:sz w:val="24"/>
                <w:szCs w:val="24"/>
              </w:rPr>
              <w:t xml:space="preserve">abas minētās ES regulas </w:t>
            </w:r>
            <w:r w:rsidR="001C4605" w:rsidRPr="00D12248">
              <w:rPr>
                <w:rFonts w:ascii="Times New Roman" w:hAnsi="Times New Roman" w:cs="Times New Roman"/>
                <w:sz w:val="24"/>
                <w:szCs w:val="24"/>
              </w:rPr>
              <w:t>ES tiesību sistēmā nosaka regulējumu tikai par tre</w:t>
            </w:r>
            <w:r w:rsidR="001C4605" w:rsidRPr="00EC2CBA">
              <w:rPr>
                <w:rFonts w:ascii="Times New Roman" w:hAnsi="Times New Roman" w:cs="Times New Roman"/>
                <w:sz w:val="24"/>
                <w:szCs w:val="24"/>
              </w:rPr>
              <w:t xml:space="preserve">šo </w:t>
            </w:r>
            <w:r w:rsidRPr="00EC2CBA">
              <w:rPr>
                <w:rFonts w:ascii="Times New Roman" w:hAnsi="Times New Roman" w:cs="Times New Roman"/>
                <w:sz w:val="24"/>
                <w:szCs w:val="24"/>
              </w:rPr>
              <w:t xml:space="preserve">Nagojas Protokola </w:t>
            </w:r>
            <w:r w:rsidR="001C4605" w:rsidRPr="00EC2CBA">
              <w:rPr>
                <w:rFonts w:ascii="Times New Roman" w:hAnsi="Times New Roman" w:cs="Times New Roman"/>
                <w:sz w:val="24"/>
                <w:szCs w:val="24"/>
              </w:rPr>
              <w:t>daļu</w:t>
            </w:r>
            <w:r w:rsidR="002D64FD" w:rsidRPr="00EC2CBA">
              <w:rPr>
                <w:rFonts w:ascii="Times New Roman" w:hAnsi="Times New Roman" w:cs="Times New Roman"/>
                <w:sz w:val="24"/>
                <w:szCs w:val="24"/>
              </w:rPr>
              <w:t xml:space="preserve"> (tikai likumīgi iegūtu ģenētisko resursu izmantošana). </w:t>
            </w:r>
            <w:r w:rsidR="002D64FD" w:rsidRPr="00435F6F">
              <w:rPr>
                <w:rFonts w:ascii="Times New Roman" w:hAnsi="Times New Roman" w:cs="Times New Roman"/>
                <w:sz w:val="24"/>
                <w:szCs w:val="24"/>
              </w:rPr>
              <w:t>Savukārt, saskaņā ar dalīto</w:t>
            </w:r>
            <w:r w:rsidR="00D9614F" w:rsidRPr="00A8588A">
              <w:rPr>
                <w:vertAlign w:val="superscript"/>
              </w:rPr>
              <w:footnoteReference w:id="4"/>
            </w:r>
            <w:r w:rsidR="002D64FD" w:rsidRPr="00435F6F">
              <w:rPr>
                <w:rFonts w:ascii="Times New Roman" w:hAnsi="Times New Roman" w:cs="Times New Roman"/>
                <w:sz w:val="24"/>
                <w:szCs w:val="24"/>
              </w:rPr>
              <w:t xml:space="preserve"> </w:t>
            </w:r>
            <w:r w:rsidR="002D64FD" w:rsidRPr="00435F6F">
              <w:rPr>
                <w:rFonts w:ascii="Times New Roman" w:hAnsi="Times New Roman" w:cs="Times New Roman"/>
                <w:sz w:val="24"/>
                <w:szCs w:val="24"/>
              </w:rPr>
              <w:lastRenderedPageBreak/>
              <w:t xml:space="preserve">kompetenci </w:t>
            </w:r>
            <w:r w:rsidRPr="00435F6F">
              <w:rPr>
                <w:rFonts w:ascii="Times New Roman" w:hAnsi="Times New Roman" w:cs="Times New Roman"/>
                <w:sz w:val="24"/>
                <w:szCs w:val="24"/>
              </w:rPr>
              <w:t>starp ES un ES dalībvalstīm</w:t>
            </w:r>
            <w:r w:rsidR="002D64FD" w:rsidRPr="00435F6F">
              <w:rPr>
                <w:rFonts w:ascii="Times New Roman" w:hAnsi="Times New Roman" w:cs="Times New Roman"/>
                <w:sz w:val="24"/>
                <w:szCs w:val="24"/>
              </w:rPr>
              <w:t>, – pieejas noteikumu paredzēšanu saviem ģenētiskajiem resursiem un to izmantošanā gūto labumu sadales nosacījumus</w:t>
            </w:r>
            <w:r w:rsidRPr="00435F6F">
              <w:rPr>
                <w:rFonts w:ascii="Times New Roman" w:hAnsi="Times New Roman" w:cs="Times New Roman"/>
                <w:sz w:val="24"/>
                <w:szCs w:val="24"/>
              </w:rPr>
              <w:t xml:space="preserve"> </w:t>
            </w:r>
            <w:r w:rsidR="002D64FD" w:rsidRPr="00435F6F">
              <w:rPr>
                <w:rFonts w:ascii="Times New Roman" w:hAnsi="Times New Roman" w:cs="Times New Roman"/>
                <w:sz w:val="24"/>
                <w:szCs w:val="24"/>
              </w:rPr>
              <w:t>regula un īstenošanas regula nereglamentē. Šie abi jautājumi ir katras ES dalībvalsts</w:t>
            </w:r>
            <w:r w:rsidR="00161EC5" w:rsidRPr="00435F6F">
              <w:rPr>
                <w:rFonts w:ascii="Times New Roman" w:hAnsi="Times New Roman" w:cs="Times New Roman"/>
                <w:sz w:val="24"/>
                <w:szCs w:val="24"/>
              </w:rPr>
              <w:t xml:space="preserve"> kompetencē</w:t>
            </w:r>
            <w:r w:rsidR="002D64FD" w:rsidRPr="00435F6F">
              <w:rPr>
                <w:rFonts w:ascii="Times New Roman" w:hAnsi="Times New Roman" w:cs="Times New Roman"/>
                <w:sz w:val="24"/>
                <w:szCs w:val="24"/>
              </w:rPr>
              <w:t>.</w:t>
            </w:r>
          </w:p>
          <w:p w14:paraId="501603D9" w14:textId="39060973" w:rsidR="00DE15BA" w:rsidRPr="00D12248" w:rsidRDefault="00DE15BA" w:rsidP="00DA64E3">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Kā skaidrots regulas vadlīniju</w:t>
            </w:r>
            <w:r w:rsidRPr="00A8588A">
              <w:rPr>
                <w:vertAlign w:val="superscript"/>
              </w:rPr>
              <w:footnoteReference w:id="5"/>
            </w:r>
            <w:r w:rsidRPr="009E40A6">
              <w:rPr>
                <w:rFonts w:ascii="Times New Roman" w:hAnsi="Times New Roman" w:cs="Times New Roman"/>
                <w:sz w:val="24"/>
                <w:szCs w:val="24"/>
              </w:rPr>
              <w:t xml:space="preserve"> 1.1.</w:t>
            </w:r>
            <w:r w:rsidR="00D10C71">
              <w:rPr>
                <w:rFonts w:ascii="Times New Roman" w:hAnsi="Times New Roman" w:cs="Times New Roman"/>
                <w:sz w:val="24"/>
                <w:szCs w:val="24"/>
              </w:rPr>
              <w:t> </w:t>
            </w:r>
            <w:r w:rsidRPr="009E40A6">
              <w:rPr>
                <w:rFonts w:ascii="Times New Roman" w:hAnsi="Times New Roman" w:cs="Times New Roman"/>
                <w:sz w:val="24"/>
                <w:szCs w:val="24"/>
              </w:rPr>
              <w:t>nodaļā –</w:t>
            </w:r>
            <w:r w:rsidR="0080477C" w:rsidRPr="009E40A6">
              <w:rPr>
                <w:rFonts w:ascii="Times New Roman" w:hAnsi="Times New Roman" w:cs="Times New Roman"/>
                <w:sz w:val="24"/>
                <w:szCs w:val="24"/>
              </w:rPr>
              <w:t xml:space="preserve"> </w:t>
            </w:r>
            <w:r w:rsidRPr="00591421">
              <w:rPr>
                <w:rFonts w:ascii="Times New Roman" w:hAnsi="Times New Roman" w:cs="Times New Roman"/>
                <w:sz w:val="24"/>
                <w:szCs w:val="24"/>
              </w:rPr>
              <w:t xml:space="preserve">regula nodrošina, ka Eiropas Savienības dalībvalsts jurisdikcijā esošas personas ievēro citas valsts (ģenētisko resursu piegādātājvalsts) iespējami noteiktus noteikumus. </w:t>
            </w:r>
          </w:p>
          <w:p w14:paraId="443782FC" w14:textId="37A55572" w:rsidR="00A52C20" w:rsidRPr="00435F6F" w:rsidRDefault="001504DB" w:rsidP="00DA64E3">
            <w:pPr>
              <w:spacing w:after="120" w:line="240" w:lineRule="auto"/>
              <w:jc w:val="both"/>
              <w:rPr>
                <w:rFonts w:ascii="Times New Roman" w:hAnsi="Times New Roman" w:cs="Times New Roman"/>
                <w:sz w:val="24"/>
                <w:szCs w:val="24"/>
              </w:rPr>
            </w:pPr>
            <w:r w:rsidRPr="00EC2CBA">
              <w:rPr>
                <w:rFonts w:ascii="Times New Roman" w:hAnsi="Times New Roman" w:cs="Times New Roman"/>
                <w:sz w:val="24"/>
                <w:szCs w:val="24"/>
              </w:rPr>
              <w:t>Kā norādīts r</w:t>
            </w:r>
            <w:r w:rsidR="00A52C20" w:rsidRPr="00EC2CBA">
              <w:rPr>
                <w:rFonts w:ascii="Times New Roman" w:hAnsi="Times New Roman" w:cs="Times New Roman"/>
                <w:sz w:val="24"/>
                <w:szCs w:val="24"/>
              </w:rPr>
              <w:t xml:space="preserve">egulas preambulas </w:t>
            </w:r>
            <w:r w:rsidR="00D10C71">
              <w:rPr>
                <w:rFonts w:ascii="Times New Roman" w:hAnsi="Times New Roman" w:cs="Times New Roman"/>
                <w:sz w:val="24"/>
                <w:szCs w:val="24"/>
              </w:rPr>
              <w:t>devītajā ievilkumā</w:t>
            </w:r>
            <w:r w:rsidR="00A52C20" w:rsidRPr="00EC2CBA">
              <w:rPr>
                <w:rFonts w:ascii="Times New Roman" w:hAnsi="Times New Roman" w:cs="Times New Roman"/>
                <w:sz w:val="24"/>
                <w:szCs w:val="24"/>
              </w:rPr>
              <w:t xml:space="preserve"> </w:t>
            </w:r>
            <w:r w:rsidR="0047397D" w:rsidRPr="00EC2CBA">
              <w:rPr>
                <w:rFonts w:ascii="Times New Roman" w:hAnsi="Times New Roman" w:cs="Times New Roman"/>
                <w:sz w:val="24"/>
                <w:szCs w:val="24"/>
              </w:rPr>
              <w:t xml:space="preserve">– “[..] </w:t>
            </w:r>
            <w:r w:rsidR="00EA5993" w:rsidRPr="002067F1">
              <w:rPr>
                <w:rFonts w:ascii="Times New Roman" w:hAnsi="Times New Roman" w:cs="Times New Roman"/>
                <w:sz w:val="24"/>
                <w:szCs w:val="24"/>
              </w:rPr>
              <w:t>ļoti būtiski ir Savienībā nepieļaut, ka tiek izmantoti tādi ģenētiskie resursi vai tādas ar ģenētiskajiem resursiem saistītas tradicionālās zināšanas, kam nav piekļūts atbilstīgi Nagojas protokola puses valsts tiesību aktiem vai regulatīvajām prasībām attiecībā uz piekļuvi un ieguvumu sadali, un sekmēt to, ka tiek faktiski īstenotas ieguvumu sadales saistības, kas izklāstītas piegādātāju un lietotāju savstarpēji saskaņotos noteikumos.</w:t>
            </w:r>
            <w:r w:rsidRPr="002067F1">
              <w:rPr>
                <w:rFonts w:ascii="Times New Roman" w:hAnsi="Times New Roman" w:cs="Times New Roman"/>
                <w:sz w:val="24"/>
                <w:szCs w:val="24"/>
              </w:rPr>
              <w:t>”</w:t>
            </w:r>
          </w:p>
          <w:p w14:paraId="49624E0D" w14:textId="5CCBD9FE" w:rsidR="007C6BB6" w:rsidRPr="002067F1" w:rsidRDefault="002B3775" w:rsidP="00DA64E3">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 xml:space="preserve">Tāpat </w:t>
            </w:r>
            <w:r w:rsidR="001504DB" w:rsidRPr="00435F6F">
              <w:rPr>
                <w:rFonts w:ascii="Times New Roman" w:hAnsi="Times New Roman" w:cs="Times New Roman"/>
                <w:sz w:val="24"/>
                <w:szCs w:val="24"/>
              </w:rPr>
              <w:t>r</w:t>
            </w:r>
            <w:r w:rsidR="00EA5993" w:rsidRPr="00435F6F">
              <w:rPr>
                <w:rFonts w:ascii="Times New Roman" w:hAnsi="Times New Roman" w:cs="Times New Roman"/>
                <w:sz w:val="24"/>
                <w:szCs w:val="24"/>
              </w:rPr>
              <w:t>egulas 2. panta 4. punkts noteic, ka “</w:t>
            </w:r>
            <w:r w:rsidR="00D10C71" w:rsidRPr="00EC2CBA">
              <w:rPr>
                <w:rFonts w:ascii="Times New Roman" w:hAnsi="Times New Roman" w:cs="Times New Roman"/>
                <w:sz w:val="24"/>
                <w:szCs w:val="24"/>
              </w:rPr>
              <w:t>[..]</w:t>
            </w:r>
            <w:r w:rsidR="00D10C71">
              <w:rPr>
                <w:rFonts w:ascii="Times New Roman" w:hAnsi="Times New Roman" w:cs="Times New Roman"/>
                <w:sz w:val="24"/>
                <w:szCs w:val="24"/>
              </w:rPr>
              <w:t xml:space="preserve"> </w:t>
            </w:r>
            <w:r w:rsidR="00EA5993" w:rsidRPr="002067F1">
              <w:rPr>
                <w:rFonts w:ascii="Times New Roman" w:hAnsi="Times New Roman" w:cs="Times New Roman"/>
                <w:sz w:val="24"/>
                <w:szCs w:val="24"/>
              </w:rPr>
              <w:t xml:space="preserve"> regulu piemēro ģenētiskajiem resursiem un ar ģenētiskajiem resursiem saistītām tradicionālajām zināšanām, kurām ir piemērojami Nagojas protokola pušu tiesību akti vai regulatīvās prasības attiecībā uz piekļuvi un ieguvumu sadali.”</w:t>
            </w:r>
          </w:p>
          <w:p w14:paraId="6F783CA5" w14:textId="77777777" w:rsidR="00F66A6C" w:rsidRPr="00435F6F" w:rsidRDefault="004B0E96" w:rsidP="00DA64E3">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 xml:space="preserve">Regula (īpaši tās 4. un 7. pants) un īstenošanas regula (īpaši tās 5. un 6. pants) nosaka ģenētisko resursu lietotāju rīcību un pienākumus, lai ievērotu Nagojas Protokola dalībvalstu noteiktos ģenētisko resursu pieejas un to izmantošanas ieguvumu sadales noteikumus. </w:t>
            </w:r>
          </w:p>
          <w:p w14:paraId="2ACB370B" w14:textId="72BB6A0B" w:rsidR="004B0E96" w:rsidRPr="00435F6F" w:rsidRDefault="004B0E96" w:rsidP="00DA64E3">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Tādā veidā ES īsteno daļu no Nagojas Protokola regulējuma jeb Nagojas Protokola atbilstības pīlāru.</w:t>
            </w:r>
          </w:p>
          <w:p w14:paraId="3E5D4071" w14:textId="2625DF82" w:rsidR="00490F96" w:rsidRPr="00435F6F" w:rsidRDefault="001504DB" w:rsidP="00DA64E3">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Līdz ar to, r</w:t>
            </w:r>
            <w:r w:rsidR="00EA5993" w:rsidRPr="00435F6F">
              <w:rPr>
                <w:rFonts w:ascii="Times New Roman" w:hAnsi="Times New Roman" w:cs="Times New Roman"/>
                <w:sz w:val="24"/>
                <w:szCs w:val="24"/>
              </w:rPr>
              <w:t xml:space="preserve">egula </w:t>
            </w:r>
            <w:r w:rsidR="005816FC" w:rsidRPr="00435F6F">
              <w:rPr>
                <w:rFonts w:ascii="Times New Roman" w:hAnsi="Times New Roman" w:cs="Times New Roman"/>
                <w:sz w:val="24"/>
                <w:szCs w:val="24"/>
              </w:rPr>
              <w:t xml:space="preserve">un īstenošanas regula </w:t>
            </w:r>
            <w:r w:rsidR="00EA5993" w:rsidRPr="00435F6F">
              <w:rPr>
                <w:rFonts w:ascii="Times New Roman" w:hAnsi="Times New Roman" w:cs="Times New Roman"/>
                <w:sz w:val="24"/>
                <w:szCs w:val="24"/>
              </w:rPr>
              <w:t xml:space="preserve">ģenētisko resursu lietotājiem </w:t>
            </w:r>
            <w:r w:rsidR="000A7E29" w:rsidRPr="00435F6F">
              <w:rPr>
                <w:rFonts w:ascii="Times New Roman" w:hAnsi="Times New Roman" w:cs="Times New Roman"/>
                <w:sz w:val="24"/>
                <w:szCs w:val="24"/>
              </w:rPr>
              <w:t>ES</w:t>
            </w:r>
            <w:r w:rsidR="00EA5993" w:rsidRPr="00435F6F">
              <w:rPr>
                <w:rFonts w:ascii="Times New Roman" w:hAnsi="Times New Roman" w:cs="Times New Roman"/>
                <w:sz w:val="24"/>
                <w:szCs w:val="24"/>
              </w:rPr>
              <w:t xml:space="preserve"> savās darbībās nosaka ievērot citu valstu (Nagojas Protokola </w:t>
            </w:r>
            <w:r w:rsidR="00766082" w:rsidRPr="00435F6F">
              <w:rPr>
                <w:rFonts w:ascii="Times New Roman" w:hAnsi="Times New Roman" w:cs="Times New Roman"/>
                <w:sz w:val="24"/>
                <w:szCs w:val="24"/>
              </w:rPr>
              <w:t>dalībvalstu</w:t>
            </w:r>
            <w:r w:rsidR="00EA5993" w:rsidRPr="00435F6F">
              <w:rPr>
                <w:rFonts w:ascii="Times New Roman" w:hAnsi="Times New Roman" w:cs="Times New Roman"/>
                <w:sz w:val="24"/>
                <w:szCs w:val="24"/>
              </w:rPr>
              <w:t>) no</w:t>
            </w:r>
            <w:r w:rsidR="00B57EE5" w:rsidRPr="00435F6F">
              <w:rPr>
                <w:rFonts w:ascii="Times New Roman" w:hAnsi="Times New Roman" w:cs="Times New Roman"/>
                <w:sz w:val="24"/>
                <w:szCs w:val="24"/>
              </w:rPr>
              <w:t xml:space="preserve">rmatīvus attiecībā par </w:t>
            </w:r>
            <w:r w:rsidR="00BA4601" w:rsidRPr="00435F6F">
              <w:rPr>
                <w:rFonts w:ascii="Times New Roman" w:hAnsi="Times New Roman" w:cs="Times New Roman"/>
                <w:sz w:val="24"/>
                <w:szCs w:val="24"/>
              </w:rPr>
              <w:t>šo valstu ģenētisko resursu izmantošanu (</w:t>
            </w:r>
            <w:r w:rsidR="00B57EE5" w:rsidRPr="00435F6F">
              <w:rPr>
                <w:rFonts w:ascii="Times New Roman" w:hAnsi="Times New Roman" w:cs="Times New Roman"/>
                <w:sz w:val="24"/>
                <w:szCs w:val="24"/>
              </w:rPr>
              <w:t>Nagojas Protokol</w:t>
            </w:r>
            <w:r w:rsidR="00BA4601" w:rsidRPr="00435F6F">
              <w:rPr>
                <w:rFonts w:ascii="Times New Roman" w:hAnsi="Times New Roman" w:cs="Times New Roman"/>
                <w:sz w:val="24"/>
                <w:szCs w:val="24"/>
              </w:rPr>
              <w:t>a kontekstā)</w:t>
            </w:r>
            <w:r w:rsidR="00EA5993" w:rsidRPr="00435F6F">
              <w:rPr>
                <w:rFonts w:ascii="Times New Roman" w:hAnsi="Times New Roman" w:cs="Times New Roman"/>
                <w:sz w:val="24"/>
                <w:szCs w:val="24"/>
              </w:rPr>
              <w:t>.</w:t>
            </w:r>
          </w:p>
          <w:p w14:paraId="42BF1F62" w14:textId="77777777" w:rsidR="00403F4B" w:rsidRPr="002067F1" w:rsidRDefault="00BA4601" w:rsidP="00BA4601">
            <w:pPr>
              <w:pStyle w:val="naisc"/>
              <w:spacing w:before="0" w:after="120"/>
              <w:jc w:val="both"/>
              <w:rPr>
                <w:rFonts w:eastAsiaTheme="minorHAnsi"/>
                <w:lang w:eastAsia="en-US"/>
              </w:rPr>
            </w:pPr>
            <w:r w:rsidRPr="002067F1">
              <w:rPr>
                <w:rFonts w:eastAsiaTheme="minorHAnsi"/>
                <w:lang w:eastAsia="en-US"/>
              </w:rPr>
              <w:lastRenderedPageBreak/>
              <w:t>Savukārt, Nagojas Protokola spēkā esamība ir viens no katrā gadījumā atsevišķi noskaidrojamiem kritērijiem attiecībā par valsti</w:t>
            </w:r>
            <w:r w:rsidR="00F66A6C" w:rsidRPr="002067F1">
              <w:rPr>
                <w:rFonts w:eastAsiaTheme="minorHAnsi"/>
                <w:lang w:eastAsia="en-US"/>
              </w:rPr>
              <w:t>,</w:t>
            </w:r>
            <w:r w:rsidRPr="002067F1">
              <w:rPr>
                <w:rFonts w:eastAsiaTheme="minorHAnsi"/>
                <w:lang w:eastAsia="en-US"/>
              </w:rPr>
              <w:t xml:space="preserve"> </w:t>
            </w:r>
            <w:r w:rsidR="00F66A6C" w:rsidRPr="002067F1">
              <w:rPr>
                <w:rFonts w:eastAsiaTheme="minorHAnsi"/>
                <w:lang w:eastAsia="en-US"/>
              </w:rPr>
              <w:t xml:space="preserve">kuras ģenētiskos resursus </w:t>
            </w:r>
            <w:r w:rsidRPr="002067F1">
              <w:rPr>
                <w:rFonts w:eastAsiaTheme="minorHAnsi"/>
                <w:lang w:eastAsia="en-US"/>
              </w:rPr>
              <w:t>Latvijas jurisdikcijā esoši lietotāji</w:t>
            </w:r>
            <w:r w:rsidR="00F66A6C" w:rsidRPr="002067F1">
              <w:rPr>
                <w:rFonts w:eastAsiaTheme="minorHAnsi"/>
                <w:lang w:eastAsia="en-US"/>
              </w:rPr>
              <w:t xml:space="preserve"> plāno izmantot</w:t>
            </w:r>
            <w:r w:rsidRPr="002067F1">
              <w:rPr>
                <w:rFonts w:eastAsiaTheme="minorHAnsi"/>
                <w:lang w:eastAsia="en-US"/>
              </w:rPr>
              <w:t>.</w:t>
            </w:r>
          </w:p>
          <w:p w14:paraId="6F5582AB" w14:textId="2C2EDE99" w:rsidR="0018372F" w:rsidRPr="002067F1" w:rsidRDefault="00110531" w:rsidP="00B44FC9">
            <w:pPr>
              <w:pStyle w:val="naisc"/>
              <w:spacing w:before="0" w:after="120"/>
              <w:jc w:val="both"/>
              <w:rPr>
                <w:rFonts w:eastAsiaTheme="minorHAnsi"/>
                <w:lang w:eastAsia="en-US"/>
              </w:rPr>
            </w:pPr>
            <w:r w:rsidRPr="002067F1">
              <w:rPr>
                <w:rFonts w:eastAsiaTheme="minorHAnsi"/>
                <w:lang w:eastAsia="en-US"/>
              </w:rPr>
              <w:t xml:space="preserve">Minētajai informācijai par Nagojas Protokola statusu valstīs un šo valstu iespējamiem noteikumiem ģenētisko resursu izmantošanā jābūt pieejamai Bioloģiskās daudzveidības konvencijas Nagojas Protokola Informācijas portālā: </w:t>
            </w:r>
            <w:hyperlink r:id="rId8" w:history="1">
              <w:r w:rsidRPr="002067F1">
                <w:rPr>
                  <w:rFonts w:eastAsiaTheme="minorHAnsi"/>
                  <w:lang w:eastAsia="en-US"/>
                </w:rPr>
                <w:t>https://absch.cbd.int/</w:t>
              </w:r>
            </w:hyperlink>
            <w:r w:rsidRPr="002067F1">
              <w:rPr>
                <w:rFonts w:eastAsiaTheme="minorHAnsi"/>
                <w:lang w:eastAsia="en-US"/>
              </w:rPr>
              <w:t xml:space="preserve">. Neskaidrību gadījumā </w:t>
            </w:r>
            <w:r w:rsidR="0054440C" w:rsidRPr="002067F1">
              <w:rPr>
                <w:rFonts w:eastAsiaTheme="minorHAnsi"/>
                <w:lang w:eastAsia="en-US"/>
              </w:rPr>
              <w:t>jā</w:t>
            </w:r>
            <w:r w:rsidR="00997ECD" w:rsidRPr="002067F1">
              <w:rPr>
                <w:rFonts w:eastAsiaTheme="minorHAnsi"/>
                <w:lang w:eastAsia="en-US"/>
              </w:rPr>
              <w:t>sa</w:t>
            </w:r>
            <w:r w:rsidR="0054440C" w:rsidRPr="002067F1">
              <w:rPr>
                <w:rFonts w:eastAsiaTheme="minorHAnsi"/>
                <w:lang w:eastAsia="en-US"/>
              </w:rPr>
              <w:t>zinā</w:t>
            </w:r>
            <w:r w:rsidRPr="002067F1">
              <w:rPr>
                <w:rFonts w:eastAsiaTheme="minorHAnsi"/>
                <w:lang w:eastAsia="en-US"/>
              </w:rPr>
              <w:t>s ar attiecīgās valsts kontaktpersonu (</w:t>
            </w:r>
            <w:r w:rsidRPr="00467343">
              <w:rPr>
                <w:rFonts w:eastAsiaTheme="minorHAnsi"/>
                <w:i/>
                <w:lang w:eastAsia="en-US"/>
              </w:rPr>
              <w:t>ABS National Focal Point</w:t>
            </w:r>
            <w:r w:rsidR="0047530C" w:rsidRPr="002067F1">
              <w:rPr>
                <w:rFonts w:eastAsiaTheme="minorHAnsi"/>
                <w:lang w:eastAsia="en-US"/>
              </w:rPr>
              <w:t>), kurai</w:t>
            </w:r>
            <w:r w:rsidRPr="002067F1">
              <w:rPr>
                <w:rFonts w:eastAsiaTheme="minorHAnsi"/>
                <w:lang w:eastAsia="en-US"/>
              </w:rPr>
              <w:t xml:space="preserve"> arī jābūt norādītai minētajā </w:t>
            </w:r>
            <w:r w:rsidR="00467343">
              <w:rPr>
                <w:rFonts w:eastAsiaTheme="minorHAnsi"/>
                <w:lang w:eastAsia="en-US"/>
              </w:rPr>
              <w:t>tīmekļvietnē</w:t>
            </w:r>
            <w:r w:rsidRPr="002067F1">
              <w:rPr>
                <w:rFonts w:eastAsiaTheme="minorHAnsi"/>
                <w:lang w:eastAsia="en-US"/>
              </w:rPr>
              <w:t>.</w:t>
            </w:r>
          </w:p>
          <w:p w14:paraId="12A4541C" w14:textId="6ABBEFD8" w:rsidR="00534614" w:rsidRPr="002067F1" w:rsidRDefault="00534614" w:rsidP="00534614">
            <w:pPr>
              <w:shd w:val="clear" w:color="auto" w:fill="FFFFFF"/>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Likumprojekta un regulas piemērošanas nosacījumu (kritēriju) pārskats norādīts šīs anotācijas II sadaļas 2. punktā.</w:t>
            </w:r>
          </w:p>
          <w:p w14:paraId="39AE3733" w14:textId="285C4312" w:rsidR="00BA4601" w:rsidRPr="002067F1" w:rsidRDefault="00C01BB3" w:rsidP="00BA4601">
            <w:pPr>
              <w:pStyle w:val="naisc"/>
              <w:spacing w:before="0" w:after="120"/>
              <w:jc w:val="both"/>
              <w:rPr>
                <w:rFonts w:eastAsiaTheme="minorHAnsi"/>
                <w:lang w:eastAsia="en-US"/>
              </w:rPr>
            </w:pPr>
            <w:r w:rsidRPr="002067F1">
              <w:rPr>
                <w:rFonts w:eastAsiaTheme="minorHAnsi"/>
                <w:lang w:eastAsia="en-US"/>
              </w:rPr>
              <w:t>Kopumā</w:t>
            </w:r>
            <w:r w:rsidR="00BA4601" w:rsidRPr="002067F1">
              <w:rPr>
                <w:rFonts w:eastAsiaTheme="minorHAnsi"/>
                <w:lang w:eastAsia="en-US"/>
              </w:rPr>
              <w:t xml:space="preserve"> regula ir juridiskais pamats Latvijas jurisdikcijā esošu lietotāju un atbildīgo iestāžu rīcībai (attiecībā par citu valstu ģenētisko resursu izmantošanu).</w:t>
            </w:r>
          </w:p>
          <w:p w14:paraId="70B84D55" w14:textId="77777777" w:rsidR="009D6900" w:rsidRDefault="001461DE" w:rsidP="001461DE">
            <w:pPr>
              <w:spacing w:after="120"/>
              <w:jc w:val="both"/>
              <w:rPr>
                <w:rFonts w:ascii="Times New Roman" w:hAnsi="Times New Roman" w:cs="Times New Roman"/>
                <w:sz w:val="24"/>
                <w:szCs w:val="24"/>
              </w:rPr>
            </w:pPr>
            <w:r w:rsidRPr="00FA1734">
              <w:rPr>
                <w:rFonts w:ascii="Times New Roman" w:hAnsi="Times New Roman" w:cs="Times New Roman"/>
                <w:sz w:val="24"/>
                <w:szCs w:val="24"/>
              </w:rPr>
              <w:t>Savukārt, par Latvijas ģenētisko resursu izmantošanu regula darbojas caur citām ES valstīm un attiecīgi to jurisdikcijā esošām personām, kurām ir līdzīgs pienākums pārliecināties, kāds regulējums ir Latvijā.</w:t>
            </w:r>
          </w:p>
          <w:p w14:paraId="4587491B" w14:textId="1376CE7A" w:rsidR="009D6900" w:rsidRPr="00435F6F" w:rsidRDefault="009D6900" w:rsidP="009D6900">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 xml:space="preserve">Tā kā Latvija nav Nagojas Protokola dalībvalsts, citu ES valstu lietotāju regulas noteiktie pienākumi attiecībā par Latvijas jurisdikcijā esošu ģenētisko resursu izmantošanu beidzas līdz ar noskaidrošanu, ka Latvija nav </w:t>
            </w:r>
            <w:r>
              <w:rPr>
                <w:rFonts w:ascii="Times New Roman" w:hAnsi="Times New Roman" w:cs="Times New Roman"/>
                <w:sz w:val="24"/>
                <w:szCs w:val="24"/>
              </w:rPr>
              <w:t>Nagojas P</w:t>
            </w:r>
            <w:r w:rsidRPr="00435F6F">
              <w:rPr>
                <w:rFonts w:ascii="Times New Roman" w:hAnsi="Times New Roman" w:cs="Times New Roman"/>
                <w:sz w:val="24"/>
                <w:szCs w:val="24"/>
              </w:rPr>
              <w:t>rotokola puse.</w:t>
            </w:r>
          </w:p>
          <w:p w14:paraId="5A4B5345" w14:textId="61213028" w:rsidR="001461DE" w:rsidRPr="00FA1734" w:rsidRDefault="001461DE" w:rsidP="002067F1">
            <w:pPr>
              <w:spacing w:after="120" w:line="240" w:lineRule="auto"/>
              <w:jc w:val="both"/>
              <w:rPr>
                <w:rFonts w:ascii="Times New Roman" w:hAnsi="Times New Roman" w:cs="Times New Roman"/>
                <w:sz w:val="24"/>
                <w:szCs w:val="24"/>
              </w:rPr>
            </w:pPr>
            <w:r w:rsidRPr="00FA1734">
              <w:rPr>
                <w:rFonts w:ascii="Times New Roman" w:hAnsi="Times New Roman" w:cs="Times New Roman"/>
                <w:sz w:val="24"/>
                <w:szCs w:val="24"/>
              </w:rPr>
              <w:t>Nagojas Protokols un regula neatceļ esošo nacionālo regulējumu, līdz ar to Latvijas ģenētisko resursu izmantošanā no citu valstu personām Nagojas Protokola un regulas kontekstā saglabājas esošā kārtība</w:t>
            </w:r>
            <w:r w:rsidR="009D6900">
              <w:rPr>
                <w:rFonts w:ascii="Times New Roman" w:hAnsi="Times New Roman" w:cs="Times New Roman"/>
                <w:sz w:val="24"/>
                <w:szCs w:val="24"/>
              </w:rPr>
              <w:t>, kuru nosaka citi spēkā esošie nacionālie un starptautiskie normatīvie akti</w:t>
            </w:r>
            <w:r w:rsidRPr="00FA1734">
              <w:rPr>
                <w:rFonts w:ascii="Times New Roman" w:hAnsi="Times New Roman" w:cs="Times New Roman"/>
                <w:sz w:val="24"/>
                <w:szCs w:val="24"/>
              </w:rPr>
              <w:t>.</w:t>
            </w:r>
          </w:p>
          <w:p w14:paraId="0934D844" w14:textId="0822C83D" w:rsidR="00490F96" w:rsidRPr="00435F6F" w:rsidRDefault="00E43165" w:rsidP="00F670B4">
            <w:pPr>
              <w:jc w:val="both"/>
              <w:rPr>
                <w:rFonts w:ascii="Times New Roman" w:hAnsi="Times New Roman" w:cs="Times New Roman"/>
                <w:sz w:val="24"/>
                <w:szCs w:val="24"/>
              </w:rPr>
            </w:pPr>
            <w:r w:rsidRPr="00435F6F">
              <w:rPr>
                <w:rFonts w:ascii="Times New Roman" w:hAnsi="Times New Roman" w:cs="Times New Roman"/>
                <w:sz w:val="24"/>
                <w:szCs w:val="24"/>
              </w:rPr>
              <w:t>L</w:t>
            </w:r>
            <w:r w:rsidR="008529A6" w:rsidRPr="00435F6F">
              <w:rPr>
                <w:rFonts w:ascii="Times New Roman" w:hAnsi="Times New Roman" w:cs="Times New Roman"/>
                <w:sz w:val="24"/>
                <w:szCs w:val="24"/>
              </w:rPr>
              <w:t>ikumprojekts paredz īstenot regulas prasīto par dalībvalstu kompetentās iestādes noteikšanu</w:t>
            </w:r>
            <w:r w:rsidR="00153750" w:rsidRPr="00435F6F">
              <w:rPr>
                <w:rFonts w:ascii="Times New Roman" w:hAnsi="Times New Roman" w:cs="Times New Roman"/>
                <w:sz w:val="24"/>
                <w:szCs w:val="24"/>
              </w:rPr>
              <w:t xml:space="preserve"> </w:t>
            </w:r>
            <w:r w:rsidR="008529A6" w:rsidRPr="00435F6F">
              <w:rPr>
                <w:rFonts w:ascii="Times New Roman" w:hAnsi="Times New Roman" w:cs="Times New Roman"/>
                <w:sz w:val="24"/>
                <w:szCs w:val="24"/>
              </w:rPr>
              <w:t>(</w:t>
            </w:r>
            <w:r w:rsidR="0050656E">
              <w:rPr>
                <w:rFonts w:ascii="Times New Roman" w:hAnsi="Times New Roman" w:cs="Times New Roman"/>
                <w:sz w:val="24"/>
                <w:szCs w:val="24"/>
              </w:rPr>
              <w:t xml:space="preserve">regulas </w:t>
            </w:r>
            <w:r w:rsidR="008529A6" w:rsidRPr="00435F6F">
              <w:rPr>
                <w:rFonts w:ascii="Times New Roman" w:hAnsi="Times New Roman" w:cs="Times New Roman"/>
                <w:sz w:val="24"/>
                <w:szCs w:val="24"/>
              </w:rPr>
              <w:t xml:space="preserve">6. panta 1. daļa) un </w:t>
            </w:r>
            <w:r w:rsidR="001E3B76" w:rsidRPr="00435F6F">
              <w:rPr>
                <w:rFonts w:ascii="Times New Roman" w:hAnsi="Times New Roman" w:cs="Times New Roman"/>
                <w:sz w:val="24"/>
                <w:szCs w:val="24"/>
              </w:rPr>
              <w:t xml:space="preserve">par </w:t>
            </w:r>
            <w:r w:rsidR="008529A6" w:rsidRPr="00435F6F">
              <w:rPr>
                <w:rFonts w:ascii="Times New Roman" w:hAnsi="Times New Roman" w:cs="Times New Roman"/>
                <w:sz w:val="24"/>
                <w:szCs w:val="24"/>
              </w:rPr>
              <w:t>deklarāciju pieprasīšanu no pētniecības finansējuma saņēmējiem (regulas 7. panta 1. punkts).</w:t>
            </w:r>
            <w:r w:rsidRPr="00435F6F">
              <w:rPr>
                <w:rFonts w:ascii="Times New Roman" w:hAnsi="Times New Roman" w:cs="Times New Roman"/>
                <w:sz w:val="24"/>
                <w:szCs w:val="24"/>
              </w:rPr>
              <w:t xml:space="preserve"> Tāpat paredzēts noteikt, ka minētās deklarācijas jāiesniedz</w:t>
            </w:r>
            <w:r w:rsidR="00D10C71">
              <w:rPr>
                <w:rFonts w:ascii="Times New Roman" w:hAnsi="Times New Roman" w:cs="Times New Roman"/>
                <w:sz w:val="24"/>
                <w:szCs w:val="24"/>
              </w:rPr>
              <w:t>,</w:t>
            </w:r>
            <w:r w:rsidRPr="00435F6F">
              <w:rPr>
                <w:rFonts w:ascii="Times New Roman" w:hAnsi="Times New Roman" w:cs="Times New Roman"/>
                <w:sz w:val="24"/>
                <w:szCs w:val="24"/>
              </w:rPr>
              <w:t xml:space="preserve"> izmantojot Eiropas Komisijas izveidotu sistēmu.</w:t>
            </w:r>
            <w:r w:rsidR="0043650D" w:rsidRPr="00435F6F">
              <w:rPr>
                <w:rFonts w:ascii="Times New Roman" w:hAnsi="Times New Roman" w:cs="Times New Roman"/>
                <w:sz w:val="24"/>
                <w:szCs w:val="24"/>
              </w:rPr>
              <w:t xml:space="preserve"> Kā ar</w:t>
            </w:r>
            <w:r w:rsidR="00964220" w:rsidRPr="00435F6F">
              <w:rPr>
                <w:rFonts w:ascii="Times New Roman" w:hAnsi="Times New Roman" w:cs="Times New Roman"/>
                <w:sz w:val="24"/>
                <w:szCs w:val="24"/>
              </w:rPr>
              <w:t>ī paredzēts noteikt atbildību</w:t>
            </w:r>
            <w:r w:rsidR="0043650D" w:rsidRPr="00435F6F">
              <w:rPr>
                <w:rFonts w:ascii="Times New Roman" w:hAnsi="Times New Roman" w:cs="Times New Roman"/>
                <w:sz w:val="24"/>
                <w:szCs w:val="24"/>
              </w:rPr>
              <w:t xml:space="preserve"> par ģenētisko resursu lietotāju pienākumu pārkāpumiem (11. pants).</w:t>
            </w:r>
          </w:p>
          <w:p w14:paraId="341EB3A2" w14:textId="7CC0A54D" w:rsidR="00E22400" w:rsidRPr="002067F1" w:rsidRDefault="00E808D4" w:rsidP="00E808D4">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Likumprojekta 1.</w:t>
            </w:r>
            <w:r w:rsidR="00ED624E" w:rsidRPr="002067F1">
              <w:rPr>
                <w:rFonts w:ascii="Times New Roman" w:hAnsi="Times New Roman" w:cs="Times New Roman"/>
                <w:sz w:val="24"/>
                <w:szCs w:val="24"/>
              </w:rPr>
              <w:t> </w:t>
            </w:r>
            <w:r w:rsidRPr="002067F1">
              <w:rPr>
                <w:rFonts w:ascii="Times New Roman" w:hAnsi="Times New Roman" w:cs="Times New Roman"/>
                <w:sz w:val="24"/>
                <w:szCs w:val="24"/>
              </w:rPr>
              <w:t>pants</w:t>
            </w:r>
            <w:r w:rsidR="00E22400" w:rsidRPr="002067F1">
              <w:rPr>
                <w:rFonts w:ascii="Times New Roman" w:hAnsi="Times New Roman" w:cs="Times New Roman"/>
                <w:sz w:val="24"/>
                <w:szCs w:val="24"/>
              </w:rPr>
              <w:t>.</w:t>
            </w:r>
          </w:p>
          <w:p w14:paraId="522E9EA8" w14:textId="6969FAFD" w:rsidR="005816FC" w:rsidRPr="002067F1" w:rsidRDefault="00E22400" w:rsidP="00E808D4">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Likumprojekta</w:t>
            </w:r>
            <w:r w:rsidR="00D12248">
              <w:rPr>
                <w:rFonts w:ascii="Times New Roman" w:hAnsi="Times New Roman" w:cs="Times New Roman"/>
                <w:sz w:val="24"/>
                <w:szCs w:val="24"/>
              </w:rPr>
              <w:t>,</w:t>
            </w:r>
            <w:r w:rsidRPr="00D12248">
              <w:rPr>
                <w:rFonts w:ascii="Times New Roman" w:hAnsi="Times New Roman" w:cs="Times New Roman"/>
                <w:sz w:val="24"/>
                <w:szCs w:val="24"/>
              </w:rPr>
              <w:t xml:space="preserve"> regulas</w:t>
            </w:r>
            <w:r w:rsidRPr="00591421">
              <w:rPr>
                <w:rFonts w:ascii="Times New Roman" w:hAnsi="Times New Roman" w:cs="Times New Roman"/>
                <w:sz w:val="24"/>
                <w:szCs w:val="24"/>
              </w:rPr>
              <w:t xml:space="preserve"> un īstenošanas regulas savstarpēj</w:t>
            </w:r>
            <w:r w:rsidR="00591421">
              <w:rPr>
                <w:rFonts w:ascii="Times New Roman" w:hAnsi="Times New Roman" w:cs="Times New Roman"/>
                <w:sz w:val="24"/>
                <w:szCs w:val="24"/>
              </w:rPr>
              <w:t>ai</w:t>
            </w:r>
            <w:r w:rsidRPr="00591421">
              <w:rPr>
                <w:rFonts w:ascii="Times New Roman" w:hAnsi="Times New Roman" w:cs="Times New Roman"/>
                <w:sz w:val="24"/>
                <w:szCs w:val="24"/>
              </w:rPr>
              <w:t xml:space="preserve"> atbilst</w:t>
            </w:r>
            <w:r w:rsidR="00B7269F" w:rsidRPr="00591421">
              <w:rPr>
                <w:rFonts w:ascii="Times New Roman" w:hAnsi="Times New Roman" w:cs="Times New Roman"/>
                <w:sz w:val="24"/>
                <w:szCs w:val="24"/>
              </w:rPr>
              <w:t>ībai</w:t>
            </w:r>
            <w:r w:rsidRPr="00591421">
              <w:rPr>
                <w:rFonts w:ascii="Times New Roman" w:hAnsi="Times New Roman" w:cs="Times New Roman"/>
                <w:sz w:val="24"/>
                <w:szCs w:val="24"/>
              </w:rPr>
              <w:t xml:space="preserve">, likumprojekta 1. pantā </w:t>
            </w:r>
            <w:r w:rsidR="00B7269F" w:rsidRPr="00591421">
              <w:rPr>
                <w:rFonts w:ascii="Times New Roman" w:hAnsi="Times New Roman" w:cs="Times New Roman"/>
                <w:sz w:val="24"/>
                <w:szCs w:val="24"/>
              </w:rPr>
              <w:t>noteikts</w:t>
            </w:r>
            <w:r w:rsidRPr="00D12248">
              <w:rPr>
                <w:rFonts w:ascii="Times New Roman" w:hAnsi="Times New Roman" w:cs="Times New Roman"/>
                <w:sz w:val="24"/>
                <w:szCs w:val="24"/>
              </w:rPr>
              <w:t>, ka l</w:t>
            </w:r>
            <w:r w:rsidR="00D92D42" w:rsidRPr="00D12248">
              <w:rPr>
                <w:rFonts w:ascii="Times New Roman" w:hAnsi="Times New Roman" w:cs="Times New Roman"/>
                <w:sz w:val="24"/>
                <w:szCs w:val="24"/>
              </w:rPr>
              <w:t>ikumprojektā lietoti regulā lietotie termini.</w:t>
            </w:r>
          </w:p>
          <w:p w14:paraId="4DE8BAE7" w14:textId="05926620" w:rsidR="002C2F0A" w:rsidRPr="002067F1" w:rsidRDefault="009F344A" w:rsidP="00DA64E3">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Likumprojekta 2.</w:t>
            </w:r>
            <w:r w:rsidR="00ED624E" w:rsidRPr="002067F1">
              <w:rPr>
                <w:rFonts w:ascii="Times New Roman" w:hAnsi="Times New Roman" w:cs="Times New Roman"/>
                <w:sz w:val="24"/>
                <w:szCs w:val="24"/>
              </w:rPr>
              <w:t> </w:t>
            </w:r>
            <w:r w:rsidRPr="002067F1">
              <w:rPr>
                <w:rFonts w:ascii="Times New Roman" w:hAnsi="Times New Roman" w:cs="Times New Roman"/>
                <w:sz w:val="24"/>
                <w:szCs w:val="24"/>
              </w:rPr>
              <w:t>pant</w:t>
            </w:r>
            <w:r w:rsidR="00AF234A" w:rsidRPr="002067F1">
              <w:rPr>
                <w:rFonts w:ascii="Times New Roman" w:hAnsi="Times New Roman" w:cs="Times New Roman"/>
                <w:sz w:val="24"/>
                <w:szCs w:val="24"/>
              </w:rPr>
              <w:t>s</w:t>
            </w:r>
            <w:r w:rsidR="002C2F0A" w:rsidRPr="002067F1">
              <w:rPr>
                <w:rFonts w:ascii="Times New Roman" w:hAnsi="Times New Roman" w:cs="Times New Roman"/>
                <w:sz w:val="24"/>
                <w:szCs w:val="24"/>
              </w:rPr>
              <w:t>.</w:t>
            </w:r>
          </w:p>
          <w:p w14:paraId="4AD099EF" w14:textId="6B16D864" w:rsidR="00D92D42" w:rsidRPr="002067F1" w:rsidRDefault="00B7269F" w:rsidP="00DA64E3">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 xml:space="preserve">Šajā pantā </w:t>
            </w:r>
            <w:r w:rsidR="0016428C" w:rsidRPr="00435F6F">
              <w:rPr>
                <w:rFonts w:ascii="Times New Roman" w:hAnsi="Times New Roman" w:cs="Times New Roman"/>
                <w:sz w:val="24"/>
                <w:szCs w:val="24"/>
              </w:rPr>
              <w:t>norādīts</w:t>
            </w:r>
            <w:r w:rsidRPr="00435F6F">
              <w:rPr>
                <w:rFonts w:ascii="Times New Roman" w:hAnsi="Times New Roman" w:cs="Times New Roman"/>
                <w:sz w:val="24"/>
                <w:szCs w:val="24"/>
              </w:rPr>
              <w:t xml:space="preserve"> likumprojekta mērķis, </w:t>
            </w:r>
            <w:r w:rsidR="003540A8" w:rsidRPr="00435F6F">
              <w:rPr>
                <w:rFonts w:ascii="Times New Roman" w:hAnsi="Times New Roman" w:cs="Times New Roman"/>
                <w:sz w:val="24"/>
                <w:szCs w:val="24"/>
              </w:rPr>
              <w:t xml:space="preserve">vienlaikus </w:t>
            </w:r>
            <w:r w:rsidRPr="00435F6F">
              <w:rPr>
                <w:rFonts w:ascii="Times New Roman" w:hAnsi="Times New Roman" w:cs="Times New Roman"/>
                <w:sz w:val="24"/>
                <w:szCs w:val="24"/>
              </w:rPr>
              <w:t xml:space="preserve">ņemot vērā </w:t>
            </w:r>
            <w:r w:rsidR="003540A8" w:rsidRPr="00435F6F">
              <w:rPr>
                <w:rFonts w:ascii="Times New Roman" w:hAnsi="Times New Roman" w:cs="Times New Roman"/>
                <w:sz w:val="24"/>
                <w:szCs w:val="24"/>
              </w:rPr>
              <w:t xml:space="preserve">arī </w:t>
            </w:r>
            <w:r w:rsidRPr="00435F6F">
              <w:rPr>
                <w:rFonts w:ascii="Times New Roman" w:hAnsi="Times New Roman" w:cs="Times New Roman"/>
                <w:sz w:val="24"/>
                <w:szCs w:val="24"/>
              </w:rPr>
              <w:t>regulas prasības noteikt kompetento iestādi (6. panta 1. punkts)</w:t>
            </w:r>
            <w:r w:rsidR="0016428C" w:rsidRPr="00435F6F">
              <w:rPr>
                <w:rFonts w:ascii="Times New Roman" w:hAnsi="Times New Roman" w:cs="Times New Roman"/>
                <w:sz w:val="24"/>
                <w:szCs w:val="24"/>
              </w:rPr>
              <w:t xml:space="preserve">, </w:t>
            </w:r>
            <w:r w:rsidRPr="00435F6F">
              <w:rPr>
                <w:rFonts w:ascii="Times New Roman" w:hAnsi="Times New Roman" w:cs="Times New Roman"/>
                <w:sz w:val="24"/>
                <w:szCs w:val="24"/>
              </w:rPr>
              <w:t xml:space="preserve">paredzēt sodus (11. panta </w:t>
            </w:r>
            <w:r w:rsidR="0016428C" w:rsidRPr="00435F6F">
              <w:rPr>
                <w:rFonts w:ascii="Times New Roman" w:hAnsi="Times New Roman" w:cs="Times New Roman"/>
                <w:sz w:val="24"/>
                <w:szCs w:val="24"/>
              </w:rPr>
              <w:t xml:space="preserve">1. punkts) un ģenētisko resursu lietotājiem informēt kompetento iestādi </w:t>
            </w:r>
            <w:r w:rsidR="00964220" w:rsidRPr="00435F6F">
              <w:rPr>
                <w:rFonts w:ascii="Times New Roman" w:hAnsi="Times New Roman" w:cs="Times New Roman"/>
                <w:sz w:val="24"/>
                <w:szCs w:val="24"/>
              </w:rPr>
              <w:t xml:space="preserve">saņemot </w:t>
            </w:r>
            <w:r w:rsidR="0016428C" w:rsidRPr="00435F6F">
              <w:rPr>
                <w:rFonts w:ascii="Times New Roman" w:hAnsi="Times New Roman" w:cs="Times New Roman"/>
                <w:sz w:val="24"/>
                <w:szCs w:val="24"/>
              </w:rPr>
              <w:t>pētniecības finansējum</w:t>
            </w:r>
            <w:r w:rsidR="00964220" w:rsidRPr="00435F6F">
              <w:rPr>
                <w:rFonts w:ascii="Times New Roman" w:hAnsi="Times New Roman" w:cs="Times New Roman"/>
                <w:sz w:val="24"/>
                <w:szCs w:val="24"/>
              </w:rPr>
              <w:t>u</w:t>
            </w:r>
            <w:r w:rsidR="0016428C" w:rsidRPr="00435F6F">
              <w:rPr>
                <w:rFonts w:ascii="Times New Roman" w:hAnsi="Times New Roman" w:cs="Times New Roman"/>
                <w:sz w:val="24"/>
                <w:szCs w:val="24"/>
              </w:rPr>
              <w:t xml:space="preserve"> (regulas </w:t>
            </w:r>
            <w:r w:rsidR="0016428C" w:rsidRPr="002067F1">
              <w:rPr>
                <w:rFonts w:ascii="Times New Roman" w:hAnsi="Times New Roman" w:cs="Times New Roman"/>
                <w:sz w:val="24"/>
                <w:szCs w:val="24"/>
              </w:rPr>
              <w:t>7. panta 1. punkts</w:t>
            </w:r>
            <w:r w:rsidR="00D778E1" w:rsidRPr="002067F1">
              <w:rPr>
                <w:rFonts w:ascii="Times New Roman" w:hAnsi="Times New Roman" w:cs="Times New Roman"/>
                <w:sz w:val="24"/>
                <w:szCs w:val="24"/>
              </w:rPr>
              <w:t>).</w:t>
            </w:r>
          </w:p>
          <w:p w14:paraId="66786C23" w14:textId="3066AC50" w:rsidR="003540A8" w:rsidRPr="002067F1" w:rsidRDefault="003540A8" w:rsidP="00DA64E3">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Likumprojekta 3. pants.</w:t>
            </w:r>
          </w:p>
          <w:p w14:paraId="0AE86C1E" w14:textId="77777777" w:rsidR="00D96E94" w:rsidRPr="002067F1" w:rsidRDefault="00D96E94" w:rsidP="00DA64E3">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L</w:t>
            </w:r>
            <w:r w:rsidR="003540A8" w:rsidRPr="002067F1">
              <w:rPr>
                <w:rFonts w:ascii="Times New Roman" w:hAnsi="Times New Roman" w:cs="Times New Roman"/>
                <w:sz w:val="24"/>
                <w:szCs w:val="24"/>
              </w:rPr>
              <w:t>ai veicinātu ģenētisko resursu lietotāju informētību</w:t>
            </w:r>
            <w:r w:rsidRPr="002067F1">
              <w:rPr>
                <w:rFonts w:ascii="Times New Roman" w:hAnsi="Times New Roman" w:cs="Times New Roman"/>
                <w:sz w:val="24"/>
                <w:szCs w:val="24"/>
              </w:rPr>
              <w:t>:</w:t>
            </w:r>
            <w:r w:rsidR="003540A8" w:rsidRPr="002067F1">
              <w:rPr>
                <w:rFonts w:ascii="Times New Roman" w:hAnsi="Times New Roman" w:cs="Times New Roman"/>
                <w:sz w:val="24"/>
                <w:szCs w:val="24"/>
              </w:rPr>
              <w:t xml:space="preserve"> </w:t>
            </w:r>
          </w:p>
          <w:p w14:paraId="6A61540B" w14:textId="4C161423" w:rsidR="00D96E94" w:rsidRDefault="003540A8" w:rsidP="00DA64E3">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3.</w:t>
            </w:r>
            <w:r w:rsidR="00D96E94" w:rsidRPr="002067F1">
              <w:rPr>
                <w:rFonts w:ascii="Times New Roman" w:hAnsi="Times New Roman" w:cs="Times New Roman"/>
                <w:sz w:val="24"/>
                <w:szCs w:val="24"/>
              </w:rPr>
              <w:t> </w:t>
            </w:r>
            <w:r w:rsidR="00D96E94">
              <w:rPr>
                <w:rFonts w:ascii="Times New Roman" w:hAnsi="Times New Roman" w:cs="Times New Roman"/>
                <w:sz w:val="24"/>
                <w:szCs w:val="24"/>
              </w:rPr>
              <w:t>pantā norādīts</w:t>
            </w:r>
            <w:r w:rsidRPr="00D96E94">
              <w:rPr>
                <w:rFonts w:ascii="Times New Roman" w:hAnsi="Times New Roman" w:cs="Times New Roman"/>
                <w:sz w:val="24"/>
                <w:szCs w:val="24"/>
              </w:rPr>
              <w:t xml:space="preserve">, ka </w:t>
            </w:r>
            <w:r w:rsidR="00D96E94">
              <w:rPr>
                <w:rFonts w:ascii="Times New Roman" w:hAnsi="Times New Roman" w:cs="Times New Roman"/>
                <w:sz w:val="24"/>
                <w:szCs w:val="24"/>
              </w:rPr>
              <w:t>likumprojekts paredz nosacījumus Latvijas personām citu valstu ģenētisko resursu izmantošanā</w:t>
            </w:r>
            <w:r w:rsidR="00D12248">
              <w:rPr>
                <w:rFonts w:ascii="Times New Roman" w:hAnsi="Times New Roman" w:cs="Times New Roman"/>
                <w:sz w:val="24"/>
                <w:szCs w:val="24"/>
              </w:rPr>
              <w:t xml:space="preserve"> (likumprojekts nenosaka pienākumus Latvijas lietotājiem par Latvijas ģenētisko resursu izmantošanu).</w:t>
            </w:r>
          </w:p>
          <w:p w14:paraId="6F53163D" w14:textId="4FDBD2B2" w:rsidR="00F433F1" w:rsidRDefault="00B44FC9" w:rsidP="00F433F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Papildus </w:t>
            </w:r>
            <w:r w:rsidR="00D10C71">
              <w:rPr>
                <w:rFonts w:ascii="Times New Roman" w:hAnsi="Times New Roman" w:cs="Times New Roman"/>
                <w:sz w:val="24"/>
                <w:szCs w:val="24"/>
              </w:rPr>
              <w:t>minētajam</w:t>
            </w:r>
            <w:r>
              <w:rPr>
                <w:rFonts w:ascii="Times New Roman" w:hAnsi="Times New Roman" w:cs="Times New Roman"/>
                <w:sz w:val="24"/>
                <w:szCs w:val="24"/>
              </w:rPr>
              <w:t xml:space="preserve"> likumprojekta piemērošana Latvijas personu darbībām ar citu valstu ģenētiskajiem resursiem atkarīga no vairākiem nosacījumiem (kritērijiem), kam visiem jāpiepildās.</w:t>
            </w:r>
          </w:p>
          <w:p w14:paraId="51BB888A" w14:textId="618917AF" w:rsidR="00476F9B" w:rsidRPr="009D390C" w:rsidRDefault="00B44FC9" w:rsidP="00F433F1">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 xml:space="preserve">Piemēram, viens no tiem ir ģenētisko resursu un ar tiem saistīto tradicionālo zināšanu izmantošana izpētei un </w:t>
            </w:r>
            <w:r w:rsidR="004A0EFE" w:rsidRPr="002067F1">
              <w:rPr>
                <w:rFonts w:ascii="Times New Roman" w:hAnsi="Times New Roman" w:cs="Times New Roman"/>
                <w:sz w:val="24"/>
                <w:szCs w:val="24"/>
              </w:rPr>
              <w:t>izstrādei</w:t>
            </w:r>
            <w:r w:rsidRPr="002067F1">
              <w:rPr>
                <w:rFonts w:ascii="Times New Roman" w:hAnsi="Times New Roman" w:cs="Times New Roman"/>
                <w:sz w:val="24"/>
                <w:szCs w:val="24"/>
              </w:rPr>
              <w:t xml:space="preserve"> (piemēram, lai atklātu konkrētas ģenētiskās un/vai bioķīmiskās īpašības). Par </w:t>
            </w:r>
            <w:r w:rsidR="004A0EFE" w:rsidRPr="002067F1">
              <w:rPr>
                <w:rFonts w:ascii="Times New Roman" w:hAnsi="Times New Roman" w:cs="Times New Roman"/>
                <w:sz w:val="24"/>
                <w:szCs w:val="24"/>
              </w:rPr>
              <w:t xml:space="preserve">resursu </w:t>
            </w:r>
            <w:r w:rsidRPr="002067F1">
              <w:rPr>
                <w:rFonts w:ascii="Times New Roman" w:hAnsi="Times New Roman" w:cs="Times New Roman"/>
                <w:sz w:val="24"/>
                <w:szCs w:val="24"/>
              </w:rPr>
              <w:t>izmantošanu minētajā izpratnē nebūtu jāuzskata, piemēram, kolekcijas uzturēšana un pārvaldība, tostarp resursu glabāšana vai kvalitātes pārbaudes, kā arī materiālu pārbaude pēc pieņemšanas.</w:t>
            </w:r>
          </w:p>
          <w:p w14:paraId="6EFADB95" w14:textId="3F2ECF3B" w:rsidR="00B44FC9" w:rsidRPr="002067F1" w:rsidRDefault="00B44FC9" w:rsidP="00B44FC9">
            <w:pPr>
              <w:pStyle w:val="naisc"/>
              <w:spacing w:before="0" w:after="120"/>
              <w:jc w:val="both"/>
              <w:rPr>
                <w:rFonts w:eastAsiaTheme="minorHAnsi"/>
                <w:lang w:eastAsia="en-US"/>
              </w:rPr>
            </w:pPr>
            <w:r w:rsidRPr="002067F1">
              <w:rPr>
                <w:rFonts w:eastAsiaTheme="minorHAnsi"/>
                <w:lang w:eastAsia="en-US"/>
              </w:rPr>
              <w:t xml:space="preserve">Vienlaikus, jāņem vērā, ka lietotājiem, vēloties saviem pētījumiem izmantot resursus no kolekcijas, ir “pienācīgas pārbaudes” pienākums, lai noskaidrotu sev interesējošu resursu izcelsmes un iegūšanas </w:t>
            </w:r>
            <w:r w:rsidR="00D10C71" w:rsidRPr="002067F1">
              <w:rPr>
                <w:rFonts w:eastAsiaTheme="minorHAnsi"/>
                <w:lang w:eastAsia="en-US"/>
              </w:rPr>
              <w:t>tiesiskumu,</w:t>
            </w:r>
            <w:r w:rsidRPr="002067F1">
              <w:rPr>
                <w:rFonts w:eastAsiaTheme="minorHAnsi"/>
                <w:lang w:eastAsia="en-US"/>
              </w:rPr>
              <w:t xml:space="preserve"> un izmantošanas nosacījumus.</w:t>
            </w:r>
          </w:p>
          <w:p w14:paraId="4E99701D" w14:textId="77777777" w:rsidR="00BB444D" w:rsidRPr="002067F1" w:rsidRDefault="00BB444D" w:rsidP="00BB444D">
            <w:pPr>
              <w:shd w:val="clear" w:color="auto" w:fill="FFFFFF"/>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Likumprojekta un regulas piemērošanas nosacījumu (kritēriju) pārskats norādīts šīs anotācijas II sadaļas 2. punktā.</w:t>
            </w:r>
          </w:p>
          <w:p w14:paraId="40BD0BCB" w14:textId="506226FC" w:rsidR="00676062" w:rsidRDefault="00BB444D" w:rsidP="00DA64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Jāatzīmē, </w:t>
            </w:r>
            <w:r w:rsidR="004A0EFE">
              <w:rPr>
                <w:rFonts w:ascii="Times New Roman" w:hAnsi="Times New Roman" w:cs="Times New Roman"/>
                <w:sz w:val="24"/>
                <w:szCs w:val="24"/>
              </w:rPr>
              <w:t xml:space="preserve">ka </w:t>
            </w:r>
            <w:r w:rsidR="00476F9B">
              <w:rPr>
                <w:rFonts w:ascii="Times New Roman" w:hAnsi="Times New Roman" w:cs="Times New Roman"/>
                <w:sz w:val="24"/>
                <w:szCs w:val="24"/>
              </w:rPr>
              <w:t xml:space="preserve">iespējamo izpētes ieguvumu esamība vai to </w:t>
            </w:r>
            <w:r w:rsidR="007934BB">
              <w:rPr>
                <w:rFonts w:ascii="Times New Roman" w:hAnsi="Times New Roman" w:cs="Times New Roman"/>
                <w:sz w:val="24"/>
                <w:szCs w:val="24"/>
              </w:rPr>
              <w:t>sākotnēja neidentificēšana</w:t>
            </w:r>
            <w:r w:rsidR="00476F9B">
              <w:rPr>
                <w:rFonts w:ascii="Times New Roman" w:hAnsi="Times New Roman" w:cs="Times New Roman"/>
                <w:sz w:val="24"/>
                <w:szCs w:val="24"/>
              </w:rPr>
              <w:t xml:space="preserve"> nenosaka</w:t>
            </w:r>
            <w:r w:rsidR="00D10C71">
              <w:rPr>
                <w:rFonts w:ascii="Times New Roman" w:hAnsi="Times New Roman" w:cs="Times New Roman"/>
                <w:sz w:val="24"/>
                <w:szCs w:val="24"/>
              </w:rPr>
              <w:t>,</w:t>
            </w:r>
            <w:r w:rsidR="00476F9B">
              <w:rPr>
                <w:rFonts w:ascii="Times New Roman" w:hAnsi="Times New Roman" w:cs="Times New Roman"/>
                <w:sz w:val="24"/>
                <w:szCs w:val="24"/>
              </w:rPr>
              <w:t xml:space="preserve"> vai regulas un likumprojekts ir piemērojams. </w:t>
            </w:r>
            <w:r w:rsidR="004D1A23">
              <w:rPr>
                <w:rFonts w:ascii="Times New Roman" w:hAnsi="Times New Roman" w:cs="Times New Roman"/>
                <w:sz w:val="24"/>
                <w:szCs w:val="24"/>
              </w:rPr>
              <w:t>Jāņem vērā, ka</w:t>
            </w:r>
            <w:r w:rsidR="007934BB">
              <w:rPr>
                <w:rFonts w:ascii="Times New Roman" w:hAnsi="Times New Roman" w:cs="Times New Roman"/>
                <w:sz w:val="24"/>
                <w:szCs w:val="24"/>
              </w:rPr>
              <w:t xml:space="preserve"> </w:t>
            </w:r>
            <w:r w:rsidR="003B51E5">
              <w:rPr>
                <w:rFonts w:ascii="Times New Roman" w:hAnsi="Times New Roman" w:cs="Times New Roman"/>
                <w:sz w:val="24"/>
                <w:szCs w:val="24"/>
              </w:rPr>
              <w:t xml:space="preserve">Nagojas Protokola </w:t>
            </w:r>
            <w:r w:rsidR="007934BB">
              <w:rPr>
                <w:rFonts w:ascii="Times New Roman" w:hAnsi="Times New Roman" w:cs="Times New Roman"/>
                <w:sz w:val="24"/>
                <w:szCs w:val="24"/>
              </w:rPr>
              <w:t xml:space="preserve">ieguvumu </w:t>
            </w:r>
            <w:r w:rsidR="005448F6" w:rsidRPr="002067F1">
              <w:rPr>
                <w:rFonts w:ascii="Times New Roman" w:hAnsi="Times New Roman" w:cs="Times New Roman"/>
                <w:sz w:val="24"/>
                <w:szCs w:val="24"/>
              </w:rPr>
              <w:t>piemēru</w:t>
            </w:r>
            <w:r w:rsidR="005448F6">
              <w:rPr>
                <w:rFonts w:ascii="Times New Roman" w:hAnsi="Times New Roman" w:cs="Times New Roman"/>
                <w:sz w:val="24"/>
                <w:szCs w:val="24"/>
              </w:rPr>
              <w:t xml:space="preserve"> </w:t>
            </w:r>
            <w:r w:rsidR="007934BB">
              <w:rPr>
                <w:rFonts w:ascii="Times New Roman" w:hAnsi="Times New Roman" w:cs="Times New Roman"/>
                <w:sz w:val="24"/>
                <w:szCs w:val="24"/>
              </w:rPr>
              <w:t>saraksts</w:t>
            </w:r>
            <w:r w:rsidR="00427FE0" w:rsidRPr="00A8588A">
              <w:rPr>
                <w:vertAlign w:val="superscript"/>
              </w:rPr>
              <w:footnoteReference w:id="6"/>
            </w:r>
            <w:r w:rsidR="007934BB">
              <w:rPr>
                <w:rFonts w:ascii="Times New Roman" w:hAnsi="Times New Roman" w:cs="Times New Roman"/>
                <w:sz w:val="24"/>
                <w:szCs w:val="24"/>
              </w:rPr>
              <w:t xml:space="preserve"> </w:t>
            </w:r>
            <w:r w:rsidR="00427FE0">
              <w:rPr>
                <w:rFonts w:ascii="Times New Roman" w:hAnsi="Times New Roman" w:cs="Times New Roman"/>
                <w:sz w:val="24"/>
                <w:szCs w:val="24"/>
              </w:rPr>
              <w:t>uzskaita</w:t>
            </w:r>
            <w:r w:rsidR="004D1A23">
              <w:rPr>
                <w:rFonts w:ascii="Times New Roman" w:hAnsi="Times New Roman" w:cs="Times New Roman"/>
                <w:sz w:val="24"/>
                <w:szCs w:val="24"/>
              </w:rPr>
              <w:t xml:space="preserve"> ne tikai monetārus, bet arī </w:t>
            </w:r>
            <w:r w:rsidR="005448F6">
              <w:rPr>
                <w:rFonts w:ascii="Times New Roman" w:hAnsi="Times New Roman" w:cs="Times New Roman"/>
                <w:sz w:val="24"/>
                <w:szCs w:val="24"/>
              </w:rPr>
              <w:t xml:space="preserve">dažādus </w:t>
            </w:r>
            <w:r w:rsidR="004D1A23">
              <w:rPr>
                <w:rFonts w:ascii="Times New Roman" w:hAnsi="Times New Roman" w:cs="Times New Roman"/>
                <w:sz w:val="24"/>
                <w:szCs w:val="24"/>
              </w:rPr>
              <w:t>ne-monetārus ieguvumus.</w:t>
            </w:r>
            <w:r w:rsidR="003B51E5">
              <w:rPr>
                <w:rFonts w:ascii="Times New Roman" w:hAnsi="Times New Roman" w:cs="Times New Roman"/>
                <w:sz w:val="24"/>
                <w:szCs w:val="24"/>
              </w:rPr>
              <w:t xml:space="preserve"> </w:t>
            </w:r>
          </w:p>
          <w:p w14:paraId="3AA5354F" w14:textId="5B5A5BC6" w:rsidR="00B44FC9" w:rsidRPr="00676062" w:rsidRDefault="005448F6" w:rsidP="00DA64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Tāpat r</w:t>
            </w:r>
            <w:r w:rsidR="00676062" w:rsidRPr="00676062">
              <w:rPr>
                <w:rFonts w:ascii="Times New Roman" w:hAnsi="Times New Roman" w:cs="Times New Roman"/>
                <w:sz w:val="24"/>
                <w:szCs w:val="24"/>
              </w:rPr>
              <w:t>egulas vadlīnijās</w:t>
            </w:r>
            <w:r>
              <w:rPr>
                <w:rFonts w:ascii="Times New Roman" w:hAnsi="Times New Roman" w:cs="Times New Roman"/>
                <w:sz w:val="24"/>
                <w:szCs w:val="24"/>
              </w:rPr>
              <w:t xml:space="preserve"> skaidrots, ka izpētes veicēji ne vienmēr var zināt vai paredzēt savu pētījumu rezultātu iespējamos </w:t>
            </w:r>
            <w:r w:rsidRPr="009D390C">
              <w:rPr>
                <w:rFonts w:ascii="Times New Roman" w:hAnsi="Times New Roman" w:cs="Times New Roman"/>
                <w:sz w:val="24"/>
                <w:szCs w:val="24"/>
              </w:rPr>
              <w:t>ieguvumus</w:t>
            </w:r>
            <w:r w:rsidR="00676062" w:rsidRPr="009D390C">
              <w:rPr>
                <w:rFonts w:ascii="Times New Roman" w:hAnsi="Times New Roman" w:cs="Times New Roman"/>
                <w:sz w:val="24"/>
                <w:szCs w:val="24"/>
              </w:rPr>
              <w:t xml:space="preserve"> – “</w:t>
            </w:r>
            <w:r w:rsidR="00676062" w:rsidRPr="002067F1">
              <w:rPr>
                <w:rFonts w:ascii="Times New Roman" w:hAnsi="Times New Roman" w:cs="Times New Roman"/>
                <w:sz w:val="24"/>
                <w:szCs w:val="24"/>
              </w:rPr>
              <w:t>Fundamentālo pētījumu rezultātus parasti publicē, un kā tādus tos var izmantot par pamatu turpmākajiem lietišķajiem pētījumiem, kuriem ir komerciāla nozīme. Pētnieki, kas veic fundamentālos pētījumus, šajā posmā to var arī nezināt, taču viņu atklājumi vēlākā posmā tomēr var iegūt komerciālu nozīmi. Atkarībā no konkrētās veiktās darbības gan fundamentālos pētījumus, gan lietišķos pētījumus varētu uzskatīt par “izmantošanu” Protokola un Regulas nozīmē. Tādējādi Regula var attiekties arī uz dažādu veidu zinātniskajiem institūtiem.</w:t>
            </w:r>
            <w:r w:rsidR="007305DE" w:rsidRPr="002067F1">
              <w:rPr>
                <w:rFonts w:ascii="Times New Roman" w:hAnsi="Times New Roman" w:cs="Times New Roman"/>
                <w:sz w:val="24"/>
                <w:szCs w:val="24"/>
              </w:rPr>
              <w:t>”</w:t>
            </w:r>
          </w:p>
          <w:p w14:paraId="11B32971" w14:textId="73E9F92A" w:rsidR="00835C50" w:rsidRPr="002067F1" w:rsidRDefault="00982657" w:rsidP="00DA64E3">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Regulas vadlīnijās norādīts, ka lietotāju galvenais pienākums ir veikt “pienācīgu pārbaudi, lai pārliecinātos, ka to izmantotajiem ģenētiskajiem resursiem (..) ir piekļūts saskaņā ar” šo ģenētisko resursu piegādātājvalsts “piemērojamiem tiesību aktiem vai regulatīvajām prasībām attiecībā uz piekļuvi un ieguvumu sadali un ka ieguvumi tiek sadalīti taisnīgi un godīgi atbilstīgi savstarpēji saskaņotiem noteikumiem saskaņā ar visiem piemērojamajiem tiesību aktiem vai regulatīvajām prasībām”.</w:t>
            </w:r>
            <w:r w:rsidRPr="00A8588A">
              <w:rPr>
                <w:vertAlign w:val="superscript"/>
              </w:rPr>
              <w:footnoteReference w:id="7"/>
            </w:r>
          </w:p>
          <w:p w14:paraId="2B10BA53" w14:textId="3058536D" w:rsidR="00DB145B" w:rsidRPr="002067F1" w:rsidRDefault="003540A8" w:rsidP="00DA64E3">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 xml:space="preserve">Likumprojekta </w:t>
            </w:r>
            <w:r w:rsidR="00CC4356" w:rsidRPr="002067F1">
              <w:rPr>
                <w:rFonts w:ascii="Times New Roman" w:hAnsi="Times New Roman" w:cs="Times New Roman"/>
                <w:sz w:val="24"/>
                <w:szCs w:val="24"/>
              </w:rPr>
              <w:t>4</w:t>
            </w:r>
            <w:r w:rsidR="00DB145B" w:rsidRPr="002067F1">
              <w:rPr>
                <w:rFonts w:ascii="Times New Roman" w:hAnsi="Times New Roman" w:cs="Times New Roman"/>
                <w:sz w:val="24"/>
                <w:szCs w:val="24"/>
              </w:rPr>
              <w:t>.</w:t>
            </w:r>
            <w:r w:rsidR="00DB6905" w:rsidRPr="002067F1">
              <w:rPr>
                <w:rFonts w:ascii="Times New Roman" w:hAnsi="Times New Roman" w:cs="Times New Roman"/>
                <w:sz w:val="24"/>
                <w:szCs w:val="24"/>
              </w:rPr>
              <w:t> </w:t>
            </w:r>
            <w:r w:rsidR="00DB145B" w:rsidRPr="002067F1">
              <w:rPr>
                <w:rFonts w:ascii="Times New Roman" w:hAnsi="Times New Roman" w:cs="Times New Roman"/>
                <w:sz w:val="24"/>
                <w:szCs w:val="24"/>
              </w:rPr>
              <w:t>pants.</w:t>
            </w:r>
          </w:p>
          <w:p w14:paraId="56699F21" w14:textId="77777777" w:rsidR="005E0C82" w:rsidRPr="00EC2CBA" w:rsidRDefault="00953461" w:rsidP="00DA64E3">
            <w:pPr>
              <w:spacing w:after="120" w:line="240" w:lineRule="auto"/>
              <w:jc w:val="both"/>
              <w:rPr>
                <w:rFonts w:ascii="Times New Roman" w:hAnsi="Times New Roman" w:cs="Times New Roman"/>
                <w:sz w:val="24"/>
                <w:szCs w:val="24"/>
              </w:rPr>
            </w:pPr>
            <w:r w:rsidRPr="00D12248">
              <w:rPr>
                <w:rFonts w:ascii="Times New Roman" w:hAnsi="Times New Roman" w:cs="Times New Roman"/>
                <w:sz w:val="24"/>
                <w:szCs w:val="24"/>
              </w:rPr>
              <w:t>Regula</w:t>
            </w:r>
            <w:r w:rsidR="0090272F" w:rsidRPr="00D12248">
              <w:rPr>
                <w:rFonts w:ascii="Times New Roman" w:hAnsi="Times New Roman" w:cs="Times New Roman"/>
                <w:sz w:val="24"/>
                <w:szCs w:val="24"/>
              </w:rPr>
              <w:t>s</w:t>
            </w:r>
            <w:r w:rsidRPr="00D12248">
              <w:rPr>
                <w:rFonts w:ascii="Times New Roman" w:hAnsi="Times New Roman" w:cs="Times New Roman"/>
                <w:sz w:val="24"/>
                <w:szCs w:val="24"/>
              </w:rPr>
              <w:t xml:space="preserve"> </w:t>
            </w:r>
            <w:r w:rsidR="0090272F" w:rsidRPr="00D12248">
              <w:rPr>
                <w:rFonts w:ascii="Times New Roman" w:hAnsi="Times New Roman" w:cs="Times New Roman"/>
                <w:sz w:val="24"/>
                <w:szCs w:val="24"/>
              </w:rPr>
              <w:t xml:space="preserve">6. panta 1. punkts paredz, ka tās piemērošanai jānosaka kompetentā </w:t>
            </w:r>
            <w:r w:rsidR="0090272F" w:rsidRPr="00EC2CBA">
              <w:rPr>
                <w:rFonts w:ascii="Times New Roman" w:hAnsi="Times New Roman" w:cs="Times New Roman"/>
                <w:sz w:val="24"/>
                <w:szCs w:val="24"/>
              </w:rPr>
              <w:t xml:space="preserve">iestāde katrā </w:t>
            </w:r>
            <w:r w:rsidR="000A7E29" w:rsidRPr="00EC2CBA">
              <w:rPr>
                <w:rFonts w:ascii="Times New Roman" w:hAnsi="Times New Roman" w:cs="Times New Roman"/>
                <w:sz w:val="24"/>
                <w:szCs w:val="24"/>
              </w:rPr>
              <w:t>ES</w:t>
            </w:r>
            <w:r w:rsidR="0090272F" w:rsidRPr="00EC2CBA">
              <w:rPr>
                <w:rFonts w:ascii="Times New Roman" w:hAnsi="Times New Roman" w:cs="Times New Roman"/>
                <w:sz w:val="24"/>
                <w:szCs w:val="24"/>
              </w:rPr>
              <w:t xml:space="preserve"> dalībvalstī.</w:t>
            </w:r>
          </w:p>
          <w:p w14:paraId="0CB982CA" w14:textId="2DF26518" w:rsidR="005E0C82" w:rsidRPr="00435F6F" w:rsidRDefault="00B75377" w:rsidP="00DA64E3">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 xml:space="preserve">Kompetentā iestāde Latvijā </w:t>
            </w:r>
            <w:r w:rsidR="004626C5" w:rsidRPr="00435F6F">
              <w:rPr>
                <w:rFonts w:ascii="Times New Roman" w:hAnsi="Times New Roman" w:cs="Times New Roman"/>
                <w:sz w:val="24"/>
                <w:szCs w:val="24"/>
              </w:rPr>
              <w:t>šobr</w:t>
            </w:r>
            <w:r w:rsidR="00F670B4" w:rsidRPr="00435F6F">
              <w:rPr>
                <w:rFonts w:ascii="Times New Roman" w:hAnsi="Times New Roman" w:cs="Times New Roman"/>
                <w:sz w:val="24"/>
                <w:szCs w:val="24"/>
              </w:rPr>
              <w:t>īd o</w:t>
            </w:r>
            <w:r w:rsidRPr="00435F6F">
              <w:rPr>
                <w:rFonts w:ascii="Times New Roman" w:hAnsi="Times New Roman" w:cs="Times New Roman"/>
                <w:sz w:val="24"/>
                <w:szCs w:val="24"/>
              </w:rPr>
              <w:t xml:space="preserve">ficiāli nav noteikta. Regulas jautājumu koordināciju </w:t>
            </w:r>
            <w:r w:rsidR="0037799F" w:rsidRPr="00435F6F">
              <w:rPr>
                <w:rFonts w:ascii="Times New Roman" w:hAnsi="Times New Roman" w:cs="Times New Roman"/>
                <w:sz w:val="24"/>
                <w:szCs w:val="24"/>
              </w:rPr>
              <w:t xml:space="preserve">esošā budžeta robežās </w:t>
            </w:r>
            <w:r w:rsidRPr="00435F6F">
              <w:rPr>
                <w:rFonts w:ascii="Times New Roman" w:hAnsi="Times New Roman" w:cs="Times New Roman"/>
                <w:sz w:val="24"/>
                <w:szCs w:val="24"/>
              </w:rPr>
              <w:t>nodrošin</w:t>
            </w:r>
            <w:r w:rsidR="00710F3D" w:rsidRPr="00435F6F">
              <w:rPr>
                <w:rFonts w:ascii="Times New Roman" w:hAnsi="Times New Roman" w:cs="Times New Roman"/>
                <w:sz w:val="24"/>
                <w:szCs w:val="24"/>
              </w:rPr>
              <w:t>a</w:t>
            </w:r>
            <w:r w:rsidRPr="00435F6F">
              <w:rPr>
                <w:rFonts w:ascii="Times New Roman" w:hAnsi="Times New Roman" w:cs="Times New Roman"/>
                <w:sz w:val="24"/>
                <w:szCs w:val="24"/>
              </w:rPr>
              <w:t xml:space="preserve"> Vides aizsardzības un reģionālās attīstības ministrija </w:t>
            </w:r>
            <w:r w:rsidR="009C6041" w:rsidRPr="00435F6F">
              <w:rPr>
                <w:rFonts w:ascii="Times New Roman" w:hAnsi="Times New Roman" w:cs="Times New Roman"/>
                <w:sz w:val="24"/>
                <w:szCs w:val="24"/>
              </w:rPr>
              <w:t xml:space="preserve">(turpmāk – ministrija) </w:t>
            </w:r>
            <w:r w:rsidRPr="00435F6F">
              <w:rPr>
                <w:rFonts w:ascii="Times New Roman" w:hAnsi="Times New Roman" w:cs="Times New Roman"/>
                <w:sz w:val="24"/>
                <w:szCs w:val="24"/>
              </w:rPr>
              <w:t>un Nacionālais botāniskais dārzs</w:t>
            </w:r>
            <w:r w:rsidR="0037799F" w:rsidRPr="00435F6F">
              <w:rPr>
                <w:rFonts w:ascii="Times New Roman" w:hAnsi="Times New Roman" w:cs="Times New Roman"/>
                <w:sz w:val="24"/>
                <w:szCs w:val="24"/>
              </w:rPr>
              <w:t xml:space="preserve"> (Latvijas Vides aizsardzības fonda projekta veidā Nagojas Protokola un regulas izvērtējumam)</w:t>
            </w:r>
            <w:r w:rsidRPr="00435F6F">
              <w:rPr>
                <w:rFonts w:ascii="Times New Roman" w:hAnsi="Times New Roman" w:cs="Times New Roman"/>
                <w:sz w:val="24"/>
                <w:szCs w:val="24"/>
              </w:rPr>
              <w:t>.</w:t>
            </w:r>
          </w:p>
          <w:p w14:paraId="00F020E4" w14:textId="77777777" w:rsidR="00435F6F" w:rsidRDefault="0004669F" w:rsidP="00DA64E3">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Nacionālā botāniskā dārza noteikšana par kompetento iestādi, it īpaši saistībā ar ģenētisko resursu lietotāju pārbaudēm, ir problemātiska, ņemot vērā botāniskā dārza juridisko statusu (valsts zinātniskais institūts atvasin</w:t>
            </w:r>
            <w:r w:rsidR="009C6041" w:rsidRPr="00435F6F">
              <w:rPr>
                <w:rFonts w:ascii="Times New Roman" w:hAnsi="Times New Roman" w:cs="Times New Roman"/>
                <w:sz w:val="24"/>
                <w:szCs w:val="24"/>
              </w:rPr>
              <w:t>āta juridiska persona) un arī botāniskā dārza darbību ģenētisko resursu izmantošanā. Tāpat arī kontroles funkciju piešķiršana ministrijai ir problemātiska.</w:t>
            </w:r>
            <w:r w:rsidR="00435F6F">
              <w:rPr>
                <w:rFonts w:ascii="Times New Roman" w:hAnsi="Times New Roman" w:cs="Times New Roman"/>
                <w:sz w:val="24"/>
                <w:szCs w:val="24"/>
              </w:rPr>
              <w:t xml:space="preserve"> </w:t>
            </w:r>
          </w:p>
          <w:p w14:paraId="24F370B3" w14:textId="4785505E" w:rsidR="006B35AA" w:rsidRPr="00435F6F" w:rsidRDefault="006B35AA" w:rsidP="00DA64E3">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 xml:space="preserve">Likumprojekta </w:t>
            </w:r>
            <w:r w:rsidR="00CC4356">
              <w:rPr>
                <w:rFonts w:ascii="Times New Roman" w:hAnsi="Times New Roman" w:cs="Times New Roman"/>
                <w:sz w:val="24"/>
                <w:szCs w:val="24"/>
              </w:rPr>
              <w:t>4</w:t>
            </w:r>
            <w:r w:rsidRPr="00435F6F">
              <w:rPr>
                <w:rFonts w:ascii="Times New Roman" w:hAnsi="Times New Roman" w:cs="Times New Roman"/>
                <w:sz w:val="24"/>
                <w:szCs w:val="24"/>
              </w:rPr>
              <w:t>. pantā par kompetento iestādi notei</w:t>
            </w:r>
            <w:r w:rsidR="00D778E1" w:rsidRPr="00435F6F">
              <w:rPr>
                <w:rFonts w:ascii="Times New Roman" w:hAnsi="Times New Roman" w:cs="Times New Roman"/>
                <w:sz w:val="24"/>
                <w:szCs w:val="24"/>
              </w:rPr>
              <w:t>kta Dabas aizsardzības pārvalde</w:t>
            </w:r>
            <w:r w:rsidR="000C01A2" w:rsidRPr="00435F6F">
              <w:rPr>
                <w:rFonts w:ascii="Times New Roman" w:hAnsi="Times New Roman" w:cs="Times New Roman"/>
                <w:sz w:val="24"/>
                <w:szCs w:val="24"/>
              </w:rPr>
              <w:t>, kas ir vides aizsardzības un reģionālās attīstības ministra pakļautībā esoša tiešās pārvaldes iestāde</w:t>
            </w:r>
            <w:r w:rsidR="00D778E1" w:rsidRPr="00435F6F">
              <w:rPr>
                <w:rFonts w:ascii="Times New Roman" w:hAnsi="Times New Roman" w:cs="Times New Roman"/>
                <w:sz w:val="24"/>
                <w:szCs w:val="24"/>
              </w:rPr>
              <w:t xml:space="preserve">. </w:t>
            </w:r>
            <w:r w:rsidR="000C01A2" w:rsidRPr="00435F6F">
              <w:rPr>
                <w:rFonts w:ascii="Times New Roman" w:hAnsi="Times New Roman" w:cs="Times New Roman"/>
                <w:sz w:val="24"/>
                <w:szCs w:val="24"/>
              </w:rPr>
              <w:t xml:space="preserve">Dabas aizsardzības pārvalde īsteno nozares politiku vairākās dabas aizsardzības jomās, tajā skaitā veic kontroli un var piemērot sodus, kas </w:t>
            </w:r>
            <w:r w:rsidR="00715945" w:rsidRPr="00435F6F">
              <w:rPr>
                <w:rFonts w:ascii="Times New Roman" w:hAnsi="Times New Roman" w:cs="Times New Roman"/>
                <w:sz w:val="24"/>
                <w:szCs w:val="24"/>
              </w:rPr>
              <w:t xml:space="preserve">juridiski </w:t>
            </w:r>
            <w:r w:rsidR="000C01A2" w:rsidRPr="00435F6F">
              <w:rPr>
                <w:rFonts w:ascii="Times New Roman" w:hAnsi="Times New Roman" w:cs="Times New Roman"/>
                <w:sz w:val="24"/>
                <w:szCs w:val="24"/>
              </w:rPr>
              <w:t xml:space="preserve">ir nepieciešams regulas un īstenošanas regulas </w:t>
            </w:r>
            <w:r w:rsidR="00715945" w:rsidRPr="00435F6F">
              <w:rPr>
                <w:rFonts w:ascii="Times New Roman" w:hAnsi="Times New Roman" w:cs="Times New Roman"/>
                <w:sz w:val="24"/>
                <w:szCs w:val="24"/>
              </w:rPr>
              <w:t>ievērošanai praksē</w:t>
            </w:r>
            <w:r w:rsidR="000C01A2" w:rsidRPr="00435F6F">
              <w:rPr>
                <w:rFonts w:ascii="Times New Roman" w:hAnsi="Times New Roman" w:cs="Times New Roman"/>
                <w:sz w:val="24"/>
                <w:szCs w:val="24"/>
              </w:rPr>
              <w:t>.</w:t>
            </w:r>
          </w:p>
          <w:p w14:paraId="2A054C72" w14:textId="120DE1FB" w:rsidR="00483117" w:rsidRPr="002067F1" w:rsidRDefault="00483117" w:rsidP="00DA64E3">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 xml:space="preserve">Dabas aizsardzības pārvaldes kā </w:t>
            </w:r>
            <w:r w:rsidR="000A7E29" w:rsidRPr="002067F1">
              <w:rPr>
                <w:rFonts w:ascii="Times New Roman" w:hAnsi="Times New Roman" w:cs="Times New Roman"/>
                <w:sz w:val="24"/>
                <w:szCs w:val="24"/>
              </w:rPr>
              <w:t>r</w:t>
            </w:r>
            <w:r w:rsidRPr="002067F1">
              <w:rPr>
                <w:rFonts w:ascii="Times New Roman" w:hAnsi="Times New Roman" w:cs="Times New Roman"/>
                <w:sz w:val="24"/>
                <w:szCs w:val="24"/>
              </w:rPr>
              <w:t xml:space="preserve">egulas kompetentās iestādes pienākumi kopumā raksturojami kā </w:t>
            </w:r>
            <w:r w:rsidR="008B601D" w:rsidRPr="002067F1">
              <w:rPr>
                <w:rFonts w:ascii="Times New Roman" w:hAnsi="Times New Roman" w:cs="Times New Roman"/>
                <w:sz w:val="24"/>
                <w:szCs w:val="24"/>
              </w:rPr>
              <w:t xml:space="preserve">saziņa </w:t>
            </w:r>
            <w:r w:rsidRPr="002067F1">
              <w:rPr>
                <w:rFonts w:ascii="Times New Roman" w:hAnsi="Times New Roman" w:cs="Times New Roman"/>
                <w:sz w:val="24"/>
                <w:szCs w:val="24"/>
              </w:rPr>
              <w:t xml:space="preserve">ar esošajiem un potenciālajiem ģenētisko resursu lietotājiem, lietotāju deklarāciju un citas iesniegtās dokumentācijas izskatīšana (Eiropas Komisijas informācijas sistēmā DECLARE), sadarbība ar Nagojas Protokola </w:t>
            </w:r>
            <w:r w:rsidRPr="00EC2CBA">
              <w:rPr>
                <w:rFonts w:ascii="Times New Roman" w:hAnsi="Times New Roman" w:cs="Times New Roman"/>
                <w:sz w:val="24"/>
                <w:szCs w:val="24"/>
              </w:rPr>
              <w:t>Piekļuves un ieguvumu sadales centru, Nagojas Protokola dalībvalstīm, Eiropas Ko</w:t>
            </w:r>
            <w:r w:rsidRPr="00435F6F">
              <w:rPr>
                <w:rFonts w:ascii="Times New Roman" w:hAnsi="Times New Roman" w:cs="Times New Roman"/>
                <w:sz w:val="24"/>
                <w:szCs w:val="24"/>
              </w:rPr>
              <w:t>misiju un citām ES kompetentajām iestādēm</w:t>
            </w:r>
            <w:r w:rsidRPr="002067F1">
              <w:rPr>
                <w:rFonts w:ascii="Times New Roman" w:hAnsi="Times New Roman" w:cs="Times New Roman"/>
                <w:sz w:val="24"/>
                <w:szCs w:val="24"/>
              </w:rPr>
              <w:t>, lietotāju kontroles plāna izveide, lietotāju pārbaudes un sodu piemērošana (nepieciešamības gadījumā).</w:t>
            </w:r>
          </w:p>
          <w:p w14:paraId="2AE8B3E3" w14:textId="606902D5" w:rsidR="00E808D4" w:rsidRPr="002067F1" w:rsidRDefault="00E808D4" w:rsidP="00E808D4">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 xml:space="preserve">Likumprojekta </w:t>
            </w:r>
            <w:r w:rsidR="00CC4356" w:rsidRPr="002067F1">
              <w:rPr>
                <w:rFonts w:ascii="Times New Roman" w:hAnsi="Times New Roman" w:cs="Times New Roman"/>
                <w:sz w:val="24"/>
                <w:szCs w:val="24"/>
              </w:rPr>
              <w:t>5</w:t>
            </w:r>
            <w:r w:rsidRPr="002067F1">
              <w:rPr>
                <w:rFonts w:ascii="Times New Roman" w:hAnsi="Times New Roman" w:cs="Times New Roman"/>
                <w:sz w:val="24"/>
                <w:szCs w:val="24"/>
              </w:rPr>
              <w:t>. pants.</w:t>
            </w:r>
          </w:p>
          <w:p w14:paraId="36ED6586" w14:textId="01D0D8BD" w:rsidR="00CC3716" w:rsidRDefault="00E808D4" w:rsidP="00E808D4">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Regulas 7. panta 1. punkts no</w:t>
            </w:r>
            <w:r w:rsidR="004F1236">
              <w:rPr>
                <w:rFonts w:ascii="Times New Roman" w:hAnsi="Times New Roman" w:cs="Times New Roman"/>
                <w:sz w:val="24"/>
                <w:szCs w:val="24"/>
              </w:rPr>
              <w:t>teic</w:t>
            </w:r>
            <w:r w:rsidRPr="008B601D">
              <w:rPr>
                <w:rFonts w:ascii="Times New Roman" w:hAnsi="Times New Roman" w:cs="Times New Roman"/>
                <w:sz w:val="24"/>
                <w:szCs w:val="24"/>
              </w:rPr>
              <w:t xml:space="preserve">, ka ES dalībvalstis pieprasa </w:t>
            </w:r>
            <w:r w:rsidR="00723383">
              <w:rPr>
                <w:rFonts w:ascii="Times New Roman" w:hAnsi="Times New Roman" w:cs="Times New Roman"/>
                <w:sz w:val="24"/>
                <w:szCs w:val="24"/>
              </w:rPr>
              <w:t>lietotājiem (</w:t>
            </w:r>
            <w:r w:rsidRPr="008B601D">
              <w:rPr>
                <w:rFonts w:ascii="Times New Roman" w:hAnsi="Times New Roman" w:cs="Times New Roman"/>
                <w:sz w:val="24"/>
                <w:szCs w:val="24"/>
              </w:rPr>
              <w:t>pētniecības finansējuma</w:t>
            </w:r>
            <w:r w:rsidRPr="00EC2CBA">
              <w:rPr>
                <w:rFonts w:ascii="Times New Roman" w:hAnsi="Times New Roman" w:cs="Times New Roman"/>
                <w:sz w:val="24"/>
                <w:szCs w:val="24"/>
              </w:rPr>
              <w:t xml:space="preserve"> saņēmējiem</w:t>
            </w:r>
            <w:r w:rsidR="00723383">
              <w:rPr>
                <w:rFonts w:ascii="Times New Roman" w:hAnsi="Times New Roman" w:cs="Times New Roman"/>
                <w:sz w:val="24"/>
                <w:szCs w:val="24"/>
              </w:rPr>
              <w:t>)</w:t>
            </w:r>
            <w:r w:rsidRPr="00EC2CBA">
              <w:rPr>
                <w:rFonts w:ascii="Times New Roman" w:hAnsi="Times New Roman" w:cs="Times New Roman"/>
                <w:sz w:val="24"/>
                <w:szCs w:val="24"/>
              </w:rPr>
              <w:t>, kas pētniecībā izmanto ģenētiskos resursus un ar ģenētiskajiem resursiem saistītās tradicionālās zināšanas, deklarēt, ka tie veic pienācīgu pārbaudi sask</w:t>
            </w:r>
            <w:r w:rsidR="00D3243C" w:rsidRPr="00435F6F">
              <w:rPr>
                <w:rFonts w:ascii="Times New Roman" w:hAnsi="Times New Roman" w:cs="Times New Roman"/>
                <w:sz w:val="24"/>
                <w:szCs w:val="24"/>
              </w:rPr>
              <w:t>aņā ar r</w:t>
            </w:r>
            <w:r w:rsidRPr="00435F6F">
              <w:rPr>
                <w:rFonts w:ascii="Times New Roman" w:hAnsi="Times New Roman" w:cs="Times New Roman"/>
                <w:sz w:val="24"/>
                <w:szCs w:val="24"/>
              </w:rPr>
              <w:t>egulas</w:t>
            </w:r>
            <w:r w:rsidR="00D3243C" w:rsidRPr="00435F6F">
              <w:rPr>
                <w:rFonts w:ascii="Times New Roman" w:hAnsi="Times New Roman" w:cs="Times New Roman"/>
                <w:sz w:val="24"/>
                <w:szCs w:val="24"/>
              </w:rPr>
              <w:t xml:space="preserve"> </w:t>
            </w:r>
            <w:r w:rsidRPr="00435F6F">
              <w:rPr>
                <w:rFonts w:ascii="Times New Roman" w:hAnsi="Times New Roman" w:cs="Times New Roman"/>
                <w:sz w:val="24"/>
                <w:szCs w:val="24"/>
              </w:rPr>
              <w:t>4. panta ģenētisko resursu lietotāju pienākumiem.</w:t>
            </w:r>
          </w:p>
          <w:p w14:paraId="2EFDFA0C" w14:textId="5A06642C" w:rsidR="009F3149" w:rsidRPr="00435F6F" w:rsidRDefault="009F3149" w:rsidP="00E808D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Deklarācijas forma un tās iesniegšana papildus noteikta arī īstenošanas regulas 5. pantā un II pielikumā.</w:t>
            </w:r>
          </w:p>
          <w:p w14:paraId="0E5E38AE" w14:textId="4FB1147F" w:rsidR="001B03B4" w:rsidRPr="002067F1" w:rsidRDefault="00CC3716" w:rsidP="00E808D4">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Īstenošanas regulas 5. panta 5. punkts noteic, ka “</w:t>
            </w:r>
            <w:r w:rsidRPr="002067F1">
              <w:rPr>
                <w:rFonts w:ascii="Times New Roman" w:hAnsi="Times New Roman" w:cs="Times New Roman"/>
                <w:sz w:val="24"/>
                <w:szCs w:val="24"/>
              </w:rPr>
              <w:t>“pētniecības finansējums” ir jebkāds pētniecības veikšanai paredzēts finansiāls ieguldījums dotāciju veidā gan no komerciāliem, gan nekomerciāliem avotiem. Tas neattiecas uz privātā vai publiskā sektora tiesību subjektu iekšējiem budžeta resursiem.”</w:t>
            </w:r>
          </w:p>
          <w:p w14:paraId="57DE5F44" w14:textId="5A087CB9" w:rsidR="00795DB8" w:rsidRPr="00435F6F" w:rsidRDefault="00D3243C" w:rsidP="00E808D4">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 xml:space="preserve">Līdz ar to likumprojekta </w:t>
            </w:r>
            <w:r w:rsidR="00CC4356">
              <w:rPr>
                <w:rFonts w:ascii="Times New Roman" w:hAnsi="Times New Roman" w:cs="Times New Roman"/>
                <w:sz w:val="24"/>
                <w:szCs w:val="24"/>
              </w:rPr>
              <w:t>5</w:t>
            </w:r>
            <w:r w:rsidRPr="00435F6F">
              <w:rPr>
                <w:rFonts w:ascii="Times New Roman" w:hAnsi="Times New Roman" w:cs="Times New Roman"/>
                <w:sz w:val="24"/>
                <w:szCs w:val="24"/>
              </w:rPr>
              <w:t>.</w:t>
            </w:r>
            <w:r w:rsidR="00DB6905" w:rsidRPr="00435F6F">
              <w:rPr>
                <w:rFonts w:ascii="Times New Roman" w:hAnsi="Times New Roman" w:cs="Times New Roman"/>
                <w:sz w:val="24"/>
                <w:szCs w:val="24"/>
              </w:rPr>
              <w:t> </w:t>
            </w:r>
            <w:r w:rsidRPr="00435F6F">
              <w:rPr>
                <w:rFonts w:ascii="Times New Roman" w:hAnsi="Times New Roman" w:cs="Times New Roman"/>
                <w:sz w:val="24"/>
                <w:szCs w:val="24"/>
              </w:rPr>
              <w:t>pantā attiecīgi noteikts minētās informācijas</w:t>
            </w:r>
            <w:r w:rsidR="00AD60A6" w:rsidRPr="00435F6F">
              <w:rPr>
                <w:rFonts w:ascii="Times New Roman" w:hAnsi="Times New Roman" w:cs="Times New Roman"/>
                <w:sz w:val="24"/>
                <w:szCs w:val="24"/>
              </w:rPr>
              <w:t xml:space="preserve"> jeb deklarācijas</w:t>
            </w:r>
            <w:r w:rsidRPr="00435F6F">
              <w:rPr>
                <w:rFonts w:ascii="Times New Roman" w:hAnsi="Times New Roman" w:cs="Times New Roman"/>
                <w:sz w:val="24"/>
                <w:szCs w:val="24"/>
              </w:rPr>
              <w:t xml:space="preserve"> </w:t>
            </w:r>
            <w:r w:rsidR="006E6A86">
              <w:rPr>
                <w:rFonts w:ascii="Times New Roman" w:hAnsi="Times New Roman" w:cs="Times New Roman"/>
                <w:sz w:val="24"/>
                <w:szCs w:val="24"/>
              </w:rPr>
              <w:t>ie</w:t>
            </w:r>
            <w:r w:rsidRPr="00435F6F">
              <w:rPr>
                <w:rFonts w:ascii="Times New Roman" w:hAnsi="Times New Roman" w:cs="Times New Roman"/>
                <w:sz w:val="24"/>
                <w:szCs w:val="24"/>
              </w:rPr>
              <w:t>sniegšanas pien</w:t>
            </w:r>
            <w:r w:rsidR="00414D4A" w:rsidRPr="00435F6F">
              <w:rPr>
                <w:rFonts w:ascii="Times New Roman" w:hAnsi="Times New Roman" w:cs="Times New Roman"/>
                <w:sz w:val="24"/>
                <w:szCs w:val="24"/>
              </w:rPr>
              <w:t>ākums.</w:t>
            </w:r>
          </w:p>
          <w:p w14:paraId="50FA67A5" w14:textId="44177705" w:rsidR="00AD60A6" w:rsidRPr="00435F6F" w:rsidRDefault="001B03B4" w:rsidP="00E808D4">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Tas attiecināms uz personām</w:t>
            </w:r>
            <w:r w:rsidR="00E96B40" w:rsidRPr="00435F6F">
              <w:rPr>
                <w:rFonts w:ascii="Times New Roman" w:hAnsi="Times New Roman" w:cs="Times New Roman"/>
                <w:sz w:val="24"/>
                <w:szCs w:val="24"/>
              </w:rPr>
              <w:t xml:space="preserve"> (lietotājiem)</w:t>
            </w:r>
            <w:r w:rsidRPr="00435F6F">
              <w:rPr>
                <w:rFonts w:ascii="Times New Roman" w:hAnsi="Times New Roman" w:cs="Times New Roman"/>
                <w:sz w:val="24"/>
                <w:szCs w:val="24"/>
              </w:rPr>
              <w:t>, kuri saņem minēto pētniecības finansējumu, un kuru pētniecībā notiek ģenētisko resursu ar tiem saistītu tradicionālo zināšanu izmantošana.</w:t>
            </w:r>
          </w:p>
          <w:p w14:paraId="576C2932" w14:textId="036238C0" w:rsidR="001B03B4" w:rsidRPr="003A7902" w:rsidRDefault="008B601D" w:rsidP="000979C3">
            <w:pPr>
              <w:jc w:val="both"/>
              <w:rPr>
                <w:rFonts w:ascii="Times New Roman" w:hAnsi="Times New Roman" w:cs="Times New Roman"/>
                <w:sz w:val="24"/>
                <w:szCs w:val="24"/>
              </w:rPr>
            </w:pPr>
            <w:r w:rsidRPr="00435F6F">
              <w:rPr>
                <w:rFonts w:ascii="Times New Roman" w:hAnsi="Times New Roman" w:cs="Times New Roman"/>
                <w:sz w:val="24"/>
                <w:szCs w:val="24"/>
              </w:rPr>
              <w:t>Lai noteiktu vai</w:t>
            </w:r>
            <w:r w:rsidR="00AD60A6" w:rsidRPr="00435F6F">
              <w:rPr>
                <w:rFonts w:ascii="Times New Roman" w:hAnsi="Times New Roman" w:cs="Times New Roman"/>
                <w:sz w:val="24"/>
                <w:szCs w:val="24"/>
              </w:rPr>
              <w:t xml:space="preserve"> </w:t>
            </w:r>
            <w:r w:rsidR="00AD60A6" w:rsidRPr="008B601D">
              <w:rPr>
                <w:rFonts w:ascii="Times New Roman" w:hAnsi="Times New Roman" w:cs="Times New Roman"/>
                <w:sz w:val="24"/>
                <w:szCs w:val="24"/>
              </w:rPr>
              <w:t>pētnieciskā darbība uzskatāma par ģenētisko resursu izmantošanu</w:t>
            </w:r>
            <w:r w:rsidR="00615957">
              <w:rPr>
                <w:rFonts w:ascii="Times New Roman" w:hAnsi="Times New Roman" w:cs="Times New Roman"/>
                <w:sz w:val="24"/>
                <w:szCs w:val="24"/>
              </w:rPr>
              <w:t xml:space="preserve"> regulas izpratnē</w:t>
            </w:r>
            <w:r w:rsidR="00AD60A6" w:rsidRPr="008B601D">
              <w:rPr>
                <w:rFonts w:ascii="Times New Roman" w:hAnsi="Times New Roman" w:cs="Times New Roman"/>
                <w:sz w:val="24"/>
                <w:szCs w:val="24"/>
              </w:rPr>
              <w:t xml:space="preserve">, </w:t>
            </w:r>
            <w:r w:rsidR="00AD60A6" w:rsidRPr="00435F6F">
              <w:rPr>
                <w:rFonts w:ascii="Times New Roman" w:hAnsi="Times New Roman" w:cs="Times New Roman"/>
                <w:sz w:val="24"/>
                <w:szCs w:val="24"/>
              </w:rPr>
              <w:t>regulas īstenošanas vadlīnijās</w:t>
            </w:r>
            <w:r w:rsidR="00AD60A6" w:rsidRPr="00A8588A">
              <w:rPr>
                <w:vertAlign w:val="superscript"/>
              </w:rPr>
              <w:footnoteReference w:id="8"/>
            </w:r>
            <w:r w:rsidR="00AD60A6" w:rsidRPr="00435F6F">
              <w:rPr>
                <w:rFonts w:ascii="Times New Roman" w:hAnsi="Times New Roman" w:cs="Times New Roman"/>
                <w:sz w:val="24"/>
                <w:szCs w:val="24"/>
              </w:rPr>
              <w:t xml:space="preserve"> </w:t>
            </w:r>
            <w:r w:rsidR="00AD60A6" w:rsidRPr="009E40A6">
              <w:rPr>
                <w:rFonts w:ascii="Times New Roman" w:hAnsi="Times New Roman" w:cs="Times New Roman"/>
                <w:sz w:val="24"/>
                <w:szCs w:val="24"/>
              </w:rPr>
              <w:t>norād</w:t>
            </w:r>
            <w:r w:rsidR="00AD60A6" w:rsidRPr="00591421">
              <w:rPr>
                <w:rFonts w:ascii="Times New Roman" w:hAnsi="Times New Roman" w:cs="Times New Roman"/>
                <w:sz w:val="24"/>
                <w:szCs w:val="24"/>
              </w:rPr>
              <w:t>īts –</w:t>
            </w:r>
            <w:r w:rsidR="00AD60A6" w:rsidRPr="00D96E94">
              <w:rPr>
                <w:rFonts w:ascii="Times New Roman" w:hAnsi="Times New Roman" w:cs="Times New Roman"/>
                <w:sz w:val="24"/>
                <w:szCs w:val="24"/>
              </w:rPr>
              <w:t xml:space="preserve"> “</w:t>
            </w:r>
            <w:r w:rsidR="000979C3" w:rsidRPr="002067F1">
              <w:rPr>
                <w:rFonts w:ascii="Times New Roman" w:hAnsi="Times New Roman" w:cs="Times New Roman"/>
                <w:sz w:val="24"/>
                <w:szCs w:val="24"/>
              </w:rPr>
              <w:t xml:space="preserve">ja ģenētiskā resursa aprakstu papildina šā resursa izpēte, t. i., lai atklātu konkrētas ģenētiskās un/vai bioķīmiskās īpašības, šāda darbība tiks uzskatīta par Protokolam un </w:t>
            </w:r>
            <w:r w:rsidR="004F1236" w:rsidRPr="002067F1">
              <w:rPr>
                <w:rFonts w:ascii="Times New Roman" w:hAnsi="Times New Roman" w:cs="Times New Roman"/>
                <w:sz w:val="24"/>
                <w:szCs w:val="24"/>
              </w:rPr>
              <w:t>r</w:t>
            </w:r>
            <w:r w:rsidR="000979C3" w:rsidRPr="002067F1">
              <w:rPr>
                <w:rFonts w:ascii="Times New Roman" w:hAnsi="Times New Roman" w:cs="Times New Roman"/>
                <w:sz w:val="24"/>
                <w:szCs w:val="24"/>
              </w:rPr>
              <w:t>egulai atbilstīgu izmantošanu.</w:t>
            </w:r>
            <w:r w:rsidR="00604983">
              <w:rPr>
                <w:rFonts w:ascii="Times New Roman" w:hAnsi="Times New Roman" w:cs="Times New Roman"/>
                <w:sz w:val="24"/>
                <w:szCs w:val="24"/>
              </w:rPr>
              <w:t xml:space="preserve"> </w:t>
            </w:r>
            <w:r w:rsidR="00AD60A6" w:rsidRPr="002067F1">
              <w:rPr>
                <w:rFonts w:ascii="Times New Roman" w:hAnsi="Times New Roman" w:cs="Times New Roman"/>
                <w:sz w:val="24"/>
                <w:szCs w:val="24"/>
              </w:rPr>
              <w:t>Viens no drošiem pārbaudes veidiem lietotājiem ir atbilde uz jautājumu, vai tas, ko viņi dara, dod jaunu skatījumu uz ģenētisko resursu īpašībām, kas (iespējams) veicinās produkta izstrādes turpmāko procesu. Ja tā ir, attiecīgā darbība ir plašāka par vienkāršu aprakstu, tāpēc tā būtu jāuzskata par izpēti, un tādējādi tā atbilst termina “izmantošana” nozīmei.”</w:t>
            </w:r>
          </w:p>
          <w:p w14:paraId="29E4826A" w14:textId="3DC0619E" w:rsidR="005B31A7" w:rsidRDefault="00AB1BF5" w:rsidP="005B31A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Ja</w:t>
            </w:r>
            <w:r w:rsidR="003115F7">
              <w:rPr>
                <w:rFonts w:ascii="Times New Roman" w:hAnsi="Times New Roman" w:cs="Times New Roman"/>
                <w:sz w:val="24"/>
                <w:szCs w:val="24"/>
              </w:rPr>
              <w:t>, piemēram,</w:t>
            </w:r>
            <w:r>
              <w:rPr>
                <w:rFonts w:ascii="Times New Roman" w:hAnsi="Times New Roman" w:cs="Times New Roman"/>
                <w:sz w:val="24"/>
                <w:szCs w:val="24"/>
              </w:rPr>
              <w:t xml:space="preserve"> ģenētisko resursu un ar tiem saistīto tradicionālo zināšanu izmantošanā piedalās vairāki lietotāji (piemēram, vairāki zinātniskie institūti no dažādām valstīm), tad </w:t>
            </w:r>
            <w:r w:rsidR="00964C21">
              <w:rPr>
                <w:rFonts w:ascii="Times New Roman" w:hAnsi="Times New Roman" w:cs="Times New Roman"/>
                <w:sz w:val="24"/>
                <w:szCs w:val="24"/>
              </w:rPr>
              <w:t>deklarāciju var iesniegt viens no izpētes projekta partneriem</w:t>
            </w:r>
            <w:r w:rsidR="005B31A7">
              <w:rPr>
                <w:rFonts w:ascii="Times New Roman" w:hAnsi="Times New Roman" w:cs="Times New Roman"/>
                <w:sz w:val="24"/>
                <w:szCs w:val="24"/>
              </w:rPr>
              <w:t xml:space="preserve"> (lietotājiem)</w:t>
            </w:r>
            <w:r w:rsidR="00964C21">
              <w:rPr>
                <w:rFonts w:ascii="Times New Roman" w:hAnsi="Times New Roman" w:cs="Times New Roman"/>
                <w:sz w:val="24"/>
                <w:szCs w:val="24"/>
              </w:rPr>
              <w:t xml:space="preserve">. Kā norādīts īstenošanas regulas 5. panta 3. punktā, deklarāciju sniedz izpētes projekta koordinators (vadošais partneris, ja tas reģistrēts ES dalībvalstī). </w:t>
            </w:r>
            <w:r w:rsidR="003115F7">
              <w:rPr>
                <w:rFonts w:ascii="Times New Roman" w:hAnsi="Times New Roman" w:cs="Times New Roman"/>
                <w:sz w:val="24"/>
                <w:szCs w:val="24"/>
              </w:rPr>
              <w:t>Atbildīgo par d</w:t>
            </w:r>
            <w:r w:rsidR="00964C21">
              <w:rPr>
                <w:rFonts w:ascii="Times New Roman" w:hAnsi="Times New Roman" w:cs="Times New Roman"/>
                <w:sz w:val="24"/>
                <w:szCs w:val="24"/>
              </w:rPr>
              <w:t>eklarācijas</w:t>
            </w:r>
            <w:r w:rsidR="00C31587">
              <w:rPr>
                <w:rFonts w:ascii="Times New Roman" w:hAnsi="Times New Roman" w:cs="Times New Roman"/>
                <w:sz w:val="24"/>
                <w:szCs w:val="24"/>
              </w:rPr>
              <w:t xml:space="preserve"> iesn</w:t>
            </w:r>
            <w:r w:rsidR="003115F7">
              <w:rPr>
                <w:rFonts w:ascii="Times New Roman" w:hAnsi="Times New Roman" w:cs="Times New Roman"/>
                <w:sz w:val="24"/>
                <w:szCs w:val="24"/>
              </w:rPr>
              <w:t>iegšanu</w:t>
            </w:r>
            <w:r w:rsidR="00964C21">
              <w:rPr>
                <w:rFonts w:ascii="Times New Roman" w:hAnsi="Times New Roman" w:cs="Times New Roman"/>
                <w:sz w:val="24"/>
                <w:szCs w:val="24"/>
              </w:rPr>
              <w:t xml:space="preserve"> būtu ieteicams paredzēt arī izpētes projekta līgumā, it īpaši, ja atļaujai ģenētisko resursu un ar tiem saistīto tradicionālo zināšanu izmantošanai piesakās nevis izpētes projekta vadošais, bet gan kāds no citiem partneriem</w:t>
            </w:r>
            <w:r w:rsidR="00C31587">
              <w:rPr>
                <w:rFonts w:ascii="Times New Roman" w:hAnsi="Times New Roman" w:cs="Times New Roman"/>
                <w:sz w:val="24"/>
                <w:szCs w:val="24"/>
              </w:rPr>
              <w:t xml:space="preserve">. Tāpat jāņem vērā, ka </w:t>
            </w:r>
            <w:r w:rsidR="00964C21" w:rsidRPr="00C31587">
              <w:rPr>
                <w:rFonts w:ascii="Times New Roman" w:hAnsi="Times New Roman" w:cs="Times New Roman"/>
                <w:sz w:val="24"/>
                <w:szCs w:val="24"/>
              </w:rPr>
              <w:t xml:space="preserve">visiem izpētes projekta partneriem saglabājas </w:t>
            </w:r>
            <w:r w:rsidR="00C31587" w:rsidRPr="00C31587">
              <w:rPr>
                <w:rFonts w:ascii="Times New Roman" w:hAnsi="Times New Roman" w:cs="Times New Roman"/>
                <w:sz w:val="24"/>
                <w:szCs w:val="24"/>
              </w:rPr>
              <w:t>regulas 4.</w:t>
            </w:r>
            <w:r w:rsidR="00C31587">
              <w:rPr>
                <w:rFonts w:ascii="Times New Roman" w:hAnsi="Times New Roman" w:cs="Times New Roman"/>
                <w:sz w:val="24"/>
                <w:szCs w:val="24"/>
              </w:rPr>
              <w:t> </w:t>
            </w:r>
            <w:r w:rsidR="00C31587" w:rsidRPr="00C31587">
              <w:rPr>
                <w:rFonts w:ascii="Times New Roman" w:hAnsi="Times New Roman" w:cs="Times New Roman"/>
                <w:sz w:val="24"/>
                <w:szCs w:val="24"/>
              </w:rPr>
              <w:t xml:space="preserve">panta pienākumi par resursu izmantošanas tiesību un </w:t>
            </w:r>
            <w:r w:rsidR="00C31587" w:rsidRPr="005B31A7">
              <w:rPr>
                <w:rFonts w:ascii="Times New Roman" w:hAnsi="Times New Roman" w:cs="Times New Roman"/>
                <w:sz w:val="24"/>
                <w:szCs w:val="24"/>
              </w:rPr>
              <w:t>pienākumu fiksēšanu un tālāku nodošanu turpmākiem lietotājiem.</w:t>
            </w:r>
          </w:p>
          <w:p w14:paraId="45604D13" w14:textId="6A27BF51" w:rsidR="00755466" w:rsidRDefault="005B31A7" w:rsidP="005B31A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Ja</w:t>
            </w:r>
            <w:r w:rsidR="003115F7">
              <w:rPr>
                <w:rFonts w:ascii="Times New Roman" w:hAnsi="Times New Roman" w:cs="Times New Roman"/>
                <w:sz w:val="24"/>
                <w:szCs w:val="24"/>
              </w:rPr>
              <w:t>, piemēram,</w:t>
            </w:r>
            <w:r>
              <w:rPr>
                <w:rFonts w:ascii="Times New Roman" w:hAnsi="Times New Roman" w:cs="Times New Roman"/>
                <w:sz w:val="24"/>
                <w:szCs w:val="24"/>
              </w:rPr>
              <w:t xml:space="preserve"> </w:t>
            </w:r>
            <w:r w:rsidR="00C31587" w:rsidRPr="005B31A7">
              <w:rPr>
                <w:rFonts w:ascii="Times New Roman" w:hAnsi="Times New Roman" w:cs="Times New Roman"/>
                <w:sz w:val="24"/>
                <w:szCs w:val="24"/>
              </w:rPr>
              <w:t xml:space="preserve">ārvalstu finansējošās institūcijas indivīdam piešķirtā </w:t>
            </w:r>
            <w:r w:rsidRPr="005B31A7">
              <w:rPr>
                <w:rFonts w:ascii="Times New Roman" w:hAnsi="Times New Roman" w:cs="Times New Roman"/>
                <w:sz w:val="24"/>
                <w:szCs w:val="24"/>
              </w:rPr>
              <w:t xml:space="preserve">izpētes </w:t>
            </w:r>
            <w:r w:rsidR="00C31587" w:rsidRPr="005B31A7">
              <w:rPr>
                <w:rFonts w:ascii="Times New Roman" w:hAnsi="Times New Roman" w:cs="Times New Roman"/>
                <w:sz w:val="24"/>
                <w:szCs w:val="24"/>
              </w:rPr>
              <w:t>finansējuma saņēmējs</w:t>
            </w:r>
            <w:r w:rsidR="00755466">
              <w:rPr>
                <w:rFonts w:ascii="Times New Roman" w:hAnsi="Times New Roman" w:cs="Times New Roman"/>
                <w:sz w:val="24"/>
                <w:szCs w:val="24"/>
              </w:rPr>
              <w:t xml:space="preserve"> (lietotājs) ģenētisko resursu un ar tiem saistīto tradicionālo zināšanu izp</w:t>
            </w:r>
            <w:r w:rsidR="004A0EFE">
              <w:rPr>
                <w:rFonts w:ascii="Times New Roman" w:hAnsi="Times New Roman" w:cs="Times New Roman"/>
                <w:sz w:val="24"/>
                <w:szCs w:val="24"/>
              </w:rPr>
              <w:t>ētes un izstrāde</w:t>
            </w:r>
            <w:r w:rsidR="00755466">
              <w:rPr>
                <w:rFonts w:ascii="Times New Roman" w:hAnsi="Times New Roman" w:cs="Times New Roman"/>
                <w:sz w:val="24"/>
                <w:szCs w:val="24"/>
              </w:rPr>
              <w:t xml:space="preserve">s darbības veic </w:t>
            </w:r>
            <w:r w:rsidR="00C31587" w:rsidRPr="005B31A7">
              <w:rPr>
                <w:rFonts w:ascii="Times New Roman" w:hAnsi="Times New Roman" w:cs="Times New Roman"/>
                <w:sz w:val="24"/>
                <w:szCs w:val="24"/>
              </w:rPr>
              <w:t>Latvijas zinātniskajā institūcijā zinātniskās apmaiņas ietvaros,</w:t>
            </w:r>
            <w:r w:rsidR="00755466">
              <w:rPr>
                <w:rFonts w:ascii="Times New Roman" w:hAnsi="Times New Roman" w:cs="Times New Roman"/>
                <w:sz w:val="24"/>
                <w:szCs w:val="24"/>
              </w:rPr>
              <w:t xml:space="preserve"> tad viņam deklarācija jāiesniedz savas valsts kompetentajai iestādei (ja viņš ir no ES dalībvalsts)</w:t>
            </w:r>
            <w:r w:rsidR="00774EC1">
              <w:rPr>
                <w:rFonts w:ascii="Times New Roman" w:hAnsi="Times New Roman" w:cs="Times New Roman"/>
                <w:sz w:val="24"/>
                <w:szCs w:val="24"/>
              </w:rPr>
              <w:t>. Ja minētais lietotājs nav no ES, tad deklarāciju iesniedz tās ES dalībvalsts kompetentajai iestādei, kurā notiek izpēte (šajā piemērā</w:t>
            </w:r>
            <w:r w:rsidR="0095726B">
              <w:rPr>
                <w:rFonts w:ascii="Times New Roman" w:hAnsi="Times New Roman" w:cs="Times New Roman"/>
                <w:sz w:val="24"/>
                <w:szCs w:val="24"/>
              </w:rPr>
              <w:t>,</w:t>
            </w:r>
            <w:r w:rsidR="00774EC1">
              <w:rPr>
                <w:rFonts w:ascii="Times New Roman" w:hAnsi="Times New Roman" w:cs="Times New Roman"/>
                <w:sz w:val="24"/>
                <w:szCs w:val="24"/>
              </w:rPr>
              <w:t xml:space="preserve"> Latvijas kompetentajai iestādei) (īstenošanas regulas 5. panta 1. punkts). </w:t>
            </w:r>
            <w:r w:rsidR="00755466">
              <w:rPr>
                <w:rFonts w:ascii="Times New Roman" w:hAnsi="Times New Roman" w:cs="Times New Roman"/>
                <w:sz w:val="24"/>
                <w:szCs w:val="24"/>
              </w:rPr>
              <w:t xml:space="preserve">Latvijas zinātniskajai institūcijai jebkurā gadījumā būtu jāpārliecinās (piemēram, iekļaujot attiecīgu punktu zinātniskās apmaiņas līgumā), ka tajā notiekošo pētījumu veicēji </w:t>
            </w:r>
            <w:r w:rsidR="00884C12">
              <w:rPr>
                <w:rFonts w:ascii="Times New Roman" w:hAnsi="Times New Roman" w:cs="Times New Roman"/>
                <w:sz w:val="24"/>
                <w:szCs w:val="24"/>
              </w:rPr>
              <w:t>uzņemas atbildību un izpilda attiecīgus nosacījumus.</w:t>
            </w:r>
          </w:p>
          <w:p w14:paraId="49316486" w14:textId="541B63DC" w:rsidR="00755466" w:rsidRDefault="003115F7" w:rsidP="005B31A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Ja, piemēram, </w:t>
            </w:r>
            <w:r w:rsidR="009B79E4">
              <w:rPr>
                <w:rFonts w:ascii="Times New Roman" w:hAnsi="Times New Roman" w:cs="Times New Roman"/>
                <w:sz w:val="24"/>
                <w:szCs w:val="24"/>
              </w:rPr>
              <w:t xml:space="preserve">Latvijas </w:t>
            </w:r>
            <w:r>
              <w:rPr>
                <w:rFonts w:ascii="Times New Roman" w:hAnsi="Times New Roman" w:cs="Times New Roman"/>
                <w:sz w:val="24"/>
                <w:szCs w:val="24"/>
              </w:rPr>
              <w:t>zinātniskajā projektā izp</w:t>
            </w:r>
            <w:r w:rsidR="004A0EFE">
              <w:rPr>
                <w:rFonts w:ascii="Times New Roman" w:hAnsi="Times New Roman" w:cs="Times New Roman"/>
                <w:sz w:val="24"/>
                <w:szCs w:val="24"/>
              </w:rPr>
              <w:t>ētes un izstrāde</w:t>
            </w:r>
            <w:r w:rsidR="00CD0310">
              <w:rPr>
                <w:rFonts w:ascii="Times New Roman" w:hAnsi="Times New Roman" w:cs="Times New Roman"/>
                <w:sz w:val="24"/>
                <w:szCs w:val="24"/>
              </w:rPr>
              <w:t>s darbību regulas izpratnē</w:t>
            </w:r>
            <w:r>
              <w:rPr>
                <w:rFonts w:ascii="Times New Roman" w:hAnsi="Times New Roman" w:cs="Times New Roman"/>
                <w:sz w:val="24"/>
                <w:szCs w:val="24"/>
              </w:rPr>
              <w:t xml:space="preserve"> deleģē kādam atsevišķam izpildītājam (ārpakalpojuma sniedzējam</w:t>
            </w:r>
            <w:r w:rsidR="009B79E4">
              <w:rPr>
                <w:rFonts w:ascii="Times New Roman" w:hAnsi="Times New Roman" w:cs="Times New Roman"/>
                <w:sz w:val="24"/>
                <w:szCs w:val="24"/>
              </w:rPr>
              <w:t>, kas atrodas ES</w:t>
            </w:r>
            <w:r>
              <w:rPr>
                <w:rFonts w:ascii="Times New Roman" w:hAnsi="Times New Roman" w:cs="Times New Roman"/>
                <w:sz w:val="24"/>
                <w:szCs w:val="24"/>
              </w:rPr>
              <w:t>)</w:t>
            </w:r>
            <w:r w:rsidR="0021365C">
              <w:rPr>
                <w:rFonts w:ascii="Times New Roman" w:hAnsi="Times New Roman" w:cs="Times New Roman"/>
                <w:sz w:val="24"/>
                <w:szCs w:val="24"/>
              </w:rPr>
              <w:t xml:space="preserve"> un šai izpētei saņemts pētniecības finansējums īstenošanas regulas 5. panta 5. punkta izpratnē,</w:t>
            </w:r>
            <w:r>
              <w:rPr>
                <w:rFonts w:ascii="Times New Roman" w:hAnsi="Times New Roman" w:cs="Times New Roman"/>
                <w:sz w:val="24"/>
                <w:szCs w:val="24"/>
              </w:rPr>
              <w:t xml:space="preserve"> tad </w:t>
            </w:r>
            <w:r w:rsidR="002067F1">
              <w:rPr>
                <w:rFonts w:ascii="Times New Roman" w:hAnsi="Times New Roman" w:cs="Times New Roman"/>
                <w:sz w:val="24"/>
                <w:szCs w:val="24"/>
              </w:rPr>
              <w:t xml:space="preserve">gan </w:t>
            </w:r>
            <w:r w:rsidR="00D90B8C">
              <w:rPr>
                <w:rFonts w:ascii="Times New Roman" w:hAnsi="Times New Roman" w:cs="Times New Roman"/>
                <w:sz w:val="24"/>
                <w:szCs w:val="24"/>
              </w:rPr>
              <w:t xml:space="preserve">izpētes </w:t>
            </w:r>
            <w:r>
              <w:rPr>
                <w:rFonts w:ascii="Times New Roman" w:hAnsi="Times New Roman" w:cs="Times New Roman"/>
                <w:sz w:val="24"/>
                <w:szCs w:val="24"/>
              </w:rPr>
              <w:t>pasūtītāj</w:t>
            </w:r>
            <w:r w:rsidR="00D90B8C">
              <w:rPr>
                <w:rFonts w:ascii="Times New Roman" w:hAnsi="Times New Roman" w:cs="Times New Roman"/>
                <w:sz w:val="24"/>
                <w:szCs w:val="24"/>
              </w:rPr>
              <w:t>am</w:t>
            </w:r>
            <w:r w:rsidR="002067F1">
              <w:rPr>
                <w:rFonts w:ascii="Times New Roman" w:hAnsi="Times New Roman" w:cs="Times New Roman"/>
                <w:sz w:val="24"/>
                <w:szCs w:val="24"/>
              </w:rPr>
              <w:t xml:space="preserve">, gan </w:t>
            </w:r>
            <w:r w:rsidR="00730F21">
              <w:rPr>
                <w:rFonts w:ascii="Times New Roman" w:hAnsi="Times New Roman" w:cs="Times New Roman"/>
                <w:sz w:val="24"/>
                <w:szCs w:val="24"/>
              </w:rPr>
              <w:t>izpildītājam</w:t>
            </w:r>
            <w:r w:rsidR="002067F1">
              <w:rPr>
                <w:rFonts w:ascii="Times New Roman" w:hAnsi="Times New Roman" w:cs="Times New Roman"/>
                <w:sz w:val="24"/>
                <w:szCs w:val="24"/>
              </w:rPr>
              <w:t xml:space="preserve"> ir</w:t>
            </w:r>
            <w:r w:rsidR="00CE5569">
              <w:rPr>
                <w:rFonts w:ascii="Times New Roman" w:hAnsi="Times New Roman" w:cs="Times New Roman"/>
                <w:sz w:val="24"/>
                <w:szCs w:val="24"/>
              </w:rPr>
              <w:t xml:space="preserve"> saistošs </w:t>
            </w:r>
            <w:r w:rsidR="00165FCD">
              <w:rPr>
                <w:rFonts w:ascii="Times New Roman" w:hAnsi="Times New Roman" w:cs="Times New Roman"/>
                <w:sz w:val="24"/>
                <w:szCs w:val="24"/>
              </w:rPr>
              <w:t xml:space="preserve">  deklarācijas sniegšanas pienākums</w:t>
            </w:r>
            <w:r w:rsidR="00CE5569">
              <w:rPr>
                <w:rFonts w:ascii="Times New Roman" w:hAnsi="Times New Roman" w:cs="Times New Roman"/>
                <w:sz w:val="24"/>
                <w:szCs w:val="24"/>
              </w:rPr>
              <w:t>, j</w:t>
            </w:r>
            <w:r w:rsidR="00165FCD">
              <w:rPr>
                <w:rFonts w:ascii="Times New Roman" w:hAnsi="Times New Roman" w:cs="Times New Roman"/>
                <w:sz w:val="24"/>
                <w:szCs w:val="24"/>
              </w:rPr>
              <w:t xml:space="preserve">o arī izpildītājam kā </w:t>
            </w:r>
            <w:r w:rsidR="00585830">
              <w:rPr>
                <w:rFonts w:ascii="Times New Roman" w:hAnsi="Times New Roman" w:cs="Times New Roman"/>
                <w:sz w:val="24"/>
                <w:szCs w:val="24"/>
              </w:rPr>
              <w:t xml:space="preserve">ikvienam </w:t>
            </w:r>
            <w:r w:rsidR="00165FCD">
              <w:rPr>
                <w:rFonts w:ascii="Times New Roman" w:hAnsi="Times New Roman" w:cs="Times New Roman"/>
                <w:sz w:val="24"/>
                <w:szCs w:val="24"/>
              </w:rPr>
              <w:t>lietot</w:t>
            </w:r>
            <w:r w:rsidR="009A59FC">
              <w:rPr>
                <w:rFonts w:ascii="Times New Roman" w:hAnsi="Times New Roman" w:cs="Times New Roman"/>
                <w:sz w:val="24"/>
                <w:szCs w:val="24"/>
              </w:rPr>
              <w:t>āja</w:t>
            </w:r>
            <w:r w:rsidR="00165FCD">
              <w:rPr>
                <w:rFonts w:ascii="Times New Roman" w:hAnsi="Times New Roman" w:cs="Times New Roman"/>
                <w:sz w:val="24"/>
                <w:szCs w:val="24"/>
              </w:rPr>
              <w:t>m pirms ģenētisko resursu izmantošanas jāpārliecinās par to izcelsmi un saistītajiem pienākumiem</w:t>
            </w:r>
            <w:r w:rsidR="00585830">
              <w:rPr>
                <w:rFonts w:ascii="Times New Roman" w:hAnsi="Times New Roman" w:cs="Times New Roman"/>
                <w:sz w:val="24"/>
                <w:szCs w:val="24"/>
              </w:rPr>
              <w:t xml:space="preserve"> (</w:t>
            </w:r>
            <w:r w:rsidR="00165FCD">
              <w:rPr>
                <w:rFonts w:ascii="Times New Roman" w:hAnsi="Times New Roman" w:cs="Times New Roman"/>
                <w:sz w:val="24"/>
                <w:szCs w:val="24"/>
              </w:rPr>
              <w:t>regulas 4. un 7. pants</w:t>
            </w:r>
            <w:r w:rsidR="00585830">
              <w:rPr>
                <w:rFonts w:ascii="Times New Roman" w:hAnsi="Times New Roman" w:cs="Times New Roman"/>
                <w:sz w:val="24"/>
                <w:szCs w:val="24"/>
              </w:rPr>
              <w:t>)</w:t>
            </w:r>
            <w:r w:rsidR="00165FCD">
              <w:rPr>
                <w:rFonts w:ascii="Times New Roman" w:hAnsi="Times New Roman" w:cs="Times New Roman"/>
                <w:sz w:val="24"/>
                <w:szCs w:val="24"/>
              </w:rPr>
              <w:t>.</w:t>
            </w:r>
            <w:r w:rsidR="00730F21">
              <w:rPr>
                <w:rFonts w:ascii="Times New Roman" w:hAnsi="Times New Roman" w:cs="Times New Roman"/>
                <w:sz w:val="24"/>
                <w:szCs w:val="24"/>
              </w:rPr>
              <w:t xml:space="preserve"> </w:t>
            </w:r>
            <w:r w:rsidR="004673AA">
              <w:rPr>
                <w:rFonts w:ascii="Times New Roman" w:hAnsi="Times New Roman" w:cs="Times New Roman"/>
                <w:sz w:val="24"/>
                <w:szCs w:val="24"/>
              </w:rPr>
              <w:t xml:space="preserve">Ja </w:t>
            </w:r>
            <w:r w:rsidR="009A043E">
              <w:rPr>
                <w:rFonts w:ascii="Times New Roman" w:hAnsi="Times New Roman" w:cs="Times New Roman"/>
                <w:sz w:val="24"/>
                <w:szCs w:val="24"/>
              </w:rPr>
              <w:t xml:space="preserve">plānots, ka </w:t>
            </w:r>
            <w:r w:rsidR="004673AA">
              <w:rPr>
                <w:rFonts w:ascii="Times New Roman" w:hAnsi="Times New Roman" w:cs="Times New Roman"/>
                <w:sz w:val="24"/>
                <w:szCs w:val="24"/>
              </w:rPr>
              <w:t>pēc ārpakalpojuma sniegšanas ģen</w:t>
            </w:r>
            <w:r w:rsidR="00F41711">
              <w:rPr>
                <w:rFonts w:ascii="Times New Roman" w:hAnsi="Times New Roman" w:cs="Times New Roman"/>
                <w:sz w:val="24"/>
                <w:szCs w:val="24"/>
              </w:rPr>
              <w:t>ētiskie resursi un</w:t>
            </w:r>
            <w:r w:rsidR="004673AA">
              <w:rPr>
                <w:rFonts w:ascii="Times New Roman" w:hAnsi="Times New Roman" w:cs="Times New Roman"/>
                <w:sz w:val="24"/>
                <w:szCs w:val="24"/>
              </w:rPr>
              <w:t xml:space="preserve"> to izpētes rezultāts nepaliek ārpakalpojuma sniedzēja rīcībā, tad </w:t>
            </w:r>
            <w:r w:rsidR="009A043E">
              <w:rPr>
                <w:rFonts w:ascii="Times New Roman" w:hAnsi="Times New Roman" w:cs="Times New Roman"/>
                <w:sz w:val="24"/>
                <w:szCs w:val="24"/>
              </w:rPr>
              <w:t xml:space="preserve">abu minēto personu </w:t>
            </w:r>
            <w:r w:rsidR="004673AA">
              <w:rPr>
                <w:rFonts w:ascii="Times New Roman" w:hAnsi="Times New Roman" w:cs="Times New Roman"/>
                <w:sz w:val="24"/>
                <w:szCs w:val="24"/>
              </w:rPr>
              <w:t xml:space="preserve">pakalpojuma līgumā var vienoties, ka deklarāciju sniedz </w:t>
            </w:r>
            <w:r w:rsidR="009A043E">
              <w:rPr>
                <w:rFonts w:ascii="Times New Roman" w:hAnsi="Times New Roman" w:cs="Times New Roman"/>
                <w:sz w:val="24"/>
                <w:szCs w:val="24"/>
              </w:rPr>
              <w:t xml:space="preserve">tikai </w:t>
            </w:r>
            <w:r w:rsidR="004673AA">
              <w:rPr>
                <w:rFonts w:ascii="Times New Roman" w:hAnsi="Times New Roman" w:cs="Times New Roman"/>
                <w:sz w:val="24"/>
                <w:szCs w:val="24"/>
              </w:rPr>
              <w:t>pakalpojuma pasūtīt</w:t>
            </w:r>
            <w:r w:rsidR="00F41711">
              <w:rPr>
                <w:rFonts w:ascii="Times New Roman" w:hAnsi="Times New Roman" w:cs="Times New Roman"/>
                <w:sz w:val="24"/>
                <w:szCs w:val="24"/>
              </w:rPr>
              <w:t xml:space="preserve">ājs. Ja šādas vienošanās nav, tad </w:t>
            </w:r>
            <w:r w:rsidR="0065222A">
              <w:rPr>
                <w:rFonts w:ascii="Times New Roman" w:hAnsi="Times New Roman" w:cs="Times New Roman"/>
                <w:sz w:val="24"/>
                <w:szCs w:val="24"/>
              </w:rPr>
              <w:t xml:space="preserve">arī </w:t>
            </w:r>
            <w:r w:rsidR="00F41711">
              <w:rPr>
                <w:rFonts w:ascii="Times New Roman" w:hAnsi="Times New Roman" w:cs="Times New Roman"/>
                <w:sz w:val="24"/>
                <w:szCs w:val="24"/>
              </w:rPr>
              <w:t>ārpakalpojuma sniedzējam saglabājas deklarācijas iesniegšanas pienākums</w:t>
            </w:r>
            <w:r w:rsidR="009A043E">
              <w:rPr>
                <w:rFonts w:ascii="Times New Roman" w:hAnsi="Times New Roman" w:cs="Times New Roman"/>
                <w:sz w:val="24"/>
                <w:szCs w:val="24"/>
              </w:rPr>
              <w:t xml:space="preserve"> kā jebkuram ģenētisko resursu izmantotājam, kura darbība ir regulas tvērumā</w:t>
            </w:r>
            <w:r w:rsidR="00F41711">
              <w:rPr>
                <w:rFonts w:ascii="Times New Roman" w:hAnsi="Times New Roman" w:cs="Times New Roman"/>
                <w:sz w:val="24"/>
                <w:szCs w:val="24"/>
              </w:rPr>
              <w:t>.</w:t>
            </w:r>
          </w:p>
          <w:p w14:paraId="6139250A" w14:textId="4046B1C1" w:rsidR="00C31587" w:rsidRPr="00C31587" w:rsidRDefault="00C31587" w:rsidP="00E808D4">
            <w:pPr>
              <w:spacing w:after="120" w:line="240" w:lineRule="auto"/>
              <w:jc w:val="both"/>
              <w:rPr>
                <w:rFonts w:ascii="Times New Roman" w:hAnsi="Times New Roman" w:cs="Times New Roman"/>
                <w:sz w:val="24"/>
                <w:szCs w:val="24"/>
              </w:rPr>
            </w:pPr>
          </w:p>
          <w:p w14:paraId="5713D20F" w14:textId="784E8FCD" w:rsidR="00E808D4" w:rsidRPr="002067F1" w:rsidRDefault="00E808D4" w:rsidP="00E808D4">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 xml:space="preserve">Likumprojekta </w:t>
            </w:r>
            <w:r w:rsidR="0065222A" w:rsidRPr="002067F1">
              <w:rPr>
                <w:rFonts w:ascii="Times New Roman" w:hAnsi="Times New Roman" w:cs="Times New Roman"/>
                <w:sz w:val="24"/>
                <w:szCs w:val="24"/>
              </w:rPr>
              <w:t>6</w:t>
            </w:r>
            <w:r w:rsidRPr="002067F1">
              <w:rPr>
                <w:rFonts w:ascii="Times New Roman" w:hAnsi="Times New Roman" w:cs="Times New Roman"/>
                <w:sz w:val="24"/>
                <w:szCs w:val="24"/>
              </w:rPr>
              <w:t>. pants.</w:t>
            </w:r>
          </w:p>
          <w:p w14:paraId="502957D7" w14:textId="203EDC11" w:rsidR="007036BB" w:rsidRPr="00D12248" w:rsidRDefault="00390C9B" w:rsidP="00E808D4">
            <w:pPr>
              <w:spacing w:after="120" w:line="240" w:lineRule="auto"/>
              <w:jc w:val="both"/>
              <w:rPr>
                <w:rFonts w:ascii="Times New Roman" w:hAnsi="Times New Roman" w:cs="Times New Roman"/>
                <w:sz w:val="24"/>
                <w:szCs w:val="24"/>
              </w:rPr>
            </w:pPr>
            <w:r w:rsidRPr="00176638">
              <w:rPr>
                <w:rFonts w:ascii="Times New Roman" w:hAnsi="Times New Roman" w:cs="Times New Roman"/>
                <w:sz w:val="24"/>
                <w:szCs w:val="24"/>
              </w:rPr>
              <w:t>Eiropas Komisija ir paredz</w:t>
            </w:r>
            <w:r w:rsidR="00817F19" w:rsidRPr="00176638">
              <w:rPr>
                <w:rFonts w:ascii="Times New Roman" w:hAnsi="Times New Roman" w:cs="Times New Roman"/>
                <w:sz w:val="24"/>
                <w:szCs w:val="24"/>
              </w:rPr>
              <w:t xml:space="preserve">ējusi, ka ģenētisko resursu lietotāji savu pienākumu informēt kompetento iestādi </w:t>
            </w:r>
            <w:r w:rsidR="004102C8">
              <w:rPr>
                <w:rFonts w:ascii="Times New Roman" w:hAnsi="Times New Roman" w:cs="Times New Roman"/>
                <w:sz w:val="24"/>
                <w:szCs w:val="24"/>
              </w:rPr>
              <w:t xml:space="preserve">1) </w:t>
            </w:r>
            <w:r w:rsidR="00817F19" w:rsidRPr="004102C8">
              <w:rPr>
                <w:rFonts w:ascii="Times New Roman" w:hAnsi="Times New Roman" w:cs="Times New Roman"/>
                <w:sz w:val="24"/>
                <w:szCs w:val="24"/>
              </w:rPr>
              <w:t xml:space="preserve">pētniecības finansējuma un </w:t>
            </w:r>
            <w:r w:rsidR="004102C8">
              <w:rPr>
                <w:rFonts w:ascii="Times New Roman" w:hAnsi="Times New Roman" w:cs="Times New Roman"/>
                <w:sz w:val="24"/>
                <w:szCs w:val="24"/>
              </w:rPr>
              <w:t xml:space="preserve">2) </w:t>
            </w:r>
            <w:r w:rsidR="00817F19" w:rsidRPr="004102C8">
              <w:rPr>
                <w:rFonts w:ascii="Times New Roman" w:hAnsi="Times New Roman" w:cs="Times New Roman"/>
                <w:sz w:val="24"/>
                <w:szCs w:val="24"/>
              </w:rPr>
              <w:t xml:space="preserve">produkta galīgās izstrādes posmā (regulas </w:t>
            </w:r>
            <w:r w:rsidR="00817F19" w:rsidRPr="002067F1">
              <w:rPr>
                <w:rFonts w:ascii="Times New Roman" w:hAnsi="Times New Roman" w:cs="Times New Roman"/>
                <w:sz w:val="24"/>
                <w:szCs w:val="24"/>
              </w:rPr>
              <w:t xml:space="preserve">7. panta 1. un 2. punkts un </w:t>
            </w:r>
            <w:r w:rsidR="004102C8" w:rsidRPr="002067F1">
              <w:rPr>
                <w:rFonts w:ascii="Times New Roman" w:hAnsi="Times New Roman" w:cs="Times New Roman"/>
                <w:sz w:val="24"/>
                <w:szCs w:val="24"/>
              </w:rPr>
              <w:t xml:space="preserve">attiecīgi </w:t>
            </w:r>
            <w:r w:rsidR="00817F19" w:rsidRPr="002067F1">
              <w:rPr>
                <w:rFonts w:ascii="Times New Roman" w:hAnsi="Times New Roman" w:cs="Times New Roman"/>
                <w:sz w:val="24"/>
                <w:szCs w:val="24"/>
              </w:rPr>
              <w:t xml:space="preserve">īstenošanas regulas 5. un 6. pants) var īstenot </w:t>
            </w:r>
            <w:r w:rsidR="00817F19" w:rsidRPr="004102C8">
              <w:rPr>
                <w:rFonts w:ascii="Times New Roman" w:hAnsi="Times New Roman" w:cs="Times New Roman"/>
                <w:sz w:val="24"/>
                <w:szCs w:val="24"/>
              </w:rPr>
              <w:t xml:space="preserve">Eiropas Komisijas informācijas sistēmā </w:t>
            </w:r>
            <w:hyperlink r:id="rId9" w:history="1">
              <w:r w:rsidR="00817F19" w:rsidRPr="002067F1">
                <w:t>DECLARE</w:t>
              </w:r>
            </w:hyperlink>
            <w:r w:rsidR="00817F19" w:rsidRPr="002067F1">
              <w:t>.</w:t>
            </w:r>
            <w:r w:rsidR="00FF760B" w:rsidRPr="002067F1">
              <w:t xml:space="preserve"> </w:t>
            </w:r>
            <w:r w:rsidR="00817F19" w:rsidRPr="002067F1">
              <w:t xml:space="preserve">Tā atvieglo informācijas apmaiņu arī starp kompetentajām iestādēm un </w:t>
            </w:r>
            <w:r w:rsidR="00817F19" w:rsidRPr="002067F1">
              <w:rPr>
                <w:rFonts w:ascii="Times New Roman" w:hAnsi="Times New Roman" w:cs="Times New Roman"/>
                <w:sz w:val="24"/>
                <w:szCs w:val="24"/>
              </w:rPr>
              <w:t xml:space="preserve">Nagojas Protokola </w:t>
            </w:r>
            <w:r w:rsidR="00817F19" w:rsidRPr="00D12248">
              <w:rPr>
                <w:rFonts w:ascii="Times New Roman" w:hAnsi="Times New Roman" w:cs="Times New Roman"/>
                <w:sz w:val="24"/>
                <w:szCs w:val="24"/>
              </w:rPr>
              <w:t>Piekļuves un ieguvumu sadales centr</w:t>
            </w:r>
            <w:r w:rsidR="007036BB" w:rsidRPr="00D12248">
              <w:rPr>
                <w:rFonts w:ascii="Times New Roman" w:hAnsi="Times New Roman" w:cs="Times New Roman"/>
                <w:sz w:val="24"/>
                <w:szCs w:val="24"/>
              </w:rPr>
              <w:t>u, kā arī atvieglo dažādu pārskatu sagatavošanu.</w:t>
            </w:r>
          </w:p>
          <w:p w14:paraId="0B08831B" w14:textId="5B98A201" w:rsidR="007036BB" w:rsidRPr="00435F6F" w:rsidRDefault="007036BB" w:rsidP="00E808D4">
            <w:pPr>
              <w:spacing w:after="120" w:line="240" w:lineRule="auto"/>
              <w:jc w:val="both"/>
              <w:rPr>
                <w:rFonts w:ascii="Times New Roman" w:hAnsi="Times New Roman" w:cs="Times New Roman"/>
                <w:sz w:val="24"/>
                <w:szCs w:val="24"/>
              </w:rPr>
            </w:pPr>
            <w:r w:rsidRPr="00EC2CBA">
              <w:rPr>
                <w:rFonts w:ascii="Times New Roman" w:hAnsi="Times New Roman" w:cs="Times New Roman"/>
                <w:sz w:val="24"/>
                <w:szCs w:val="24"/>
              </w:rPr>
              <w:t xml:space="preserve">Attiecīgi likumprojekta </w:t>
            </w:r>
            <w:r w:rsidR="0065222A">
              <w:rPr>
                <w:rFonts w:ascii="Times New Roman" w:hAnsi="Times New Roman" w:cs="Times New Roman"/>
                <w:sz w:val="24"/>
                <w:szCs w:val="24"/>
              </w:rPr>
              <w:t>6</w:t>
            </w:r>
            <w:r w:rsidRPr="00EC2CBA">
              <w:rPr>
                <w:rFonts w:ascii="Times New Roman" w:hAnsi="Times New Roman" w:cs="Times New Roman"/>
                <w:sz w:val="24"/>
                <w:szCs w:val="24"/>
              </w:rPr>
              <w:t xml:space="preserve">. pants paredz, ka ģenētisko resursu lietotāji informāciju </w:t>
            </w:r>
            <w:r w:rsidR="00FF760B" w:rsidRPr="00435F6F">
              <w:rPr>
                <w:rFonts w:ascii="Times New Roman" w:hAnsi="Times New Roman" w:cs="Times New Roman"/>
                <w:sz w:val="24"/>
                <w:szCs w:val="24"/>
              </w:rPr>
              <w:t xml:space="preserve">(deklarācijas) </w:t>
            </w:r>
            <w:r w:rsidRPr="00435F6F">
              <w:rPr>
                <w:rFonts w:ascii="Times New Roman" w:hAnsi="Times New Roman" w:cs="Times New Roman"/>
                <w:sz w:val="24"/>
                <w:szCs w:val="24"/>
              </w:rPr>
              <w:t>kompetentajai iestādei iesniedz sistēm</w:t>
            </w:r>
            <w:r w:rsidR="00246738" w:rsidRPr="00435F6F">
              <w:rPr>
                <w:rFonts w:ascii="Times New Roman" w:hAnsi="Times New Roman" w:cs="Times New Roman"/>
                <w:sz w:val="24"/>
                <w:szCs w:val="24"/>
              </w:rPr>
              <w:t>ā DECLARE.</w:t>
            </w:r>
          </w:p>
          <w:p w14:paraId="382F9352" w14:textId="39D2C910" w:rsidR="00FF760B" w:rsidRPr="004102C8" w:rsidRDefault="00FF760B" w:rsidP="00E808D4">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Saskaņā ar DECLARE lietotāju pamācībā norādīto</w:t>
            </w:r>
            <w:r w:rsidR="004102C8">
              <w:rPr>
                <w:rFonts w:ascii="Times New Roman" w:hAnsi="Times New Roman" w:cs="Times New Roman"/>
                <w:sz w:val="24"/>
                <w:szCs w:val="24"/>
              </w:rPr>
              <w:t>,</w:t>
            </w:r>
            <w:r w:rsidRPr="004102C8">
              <w:rPr>
                <w:rFonts w:ascii="Times New Roman" w:hAnsi="Times New Roman" w:cs="Times New Roman"/>
                <w:sz w:val="24"/>
                <w:szCs w:val="24"/>
              </w:rPr>
              <w:t xml:space="preserve"> deklarācijas jāsniedz tikai, ja </w:t>
            </w:r>
            <w:r w:rsidR="004102C8">
              <w:rPr>
                <w:rFonts w:ascii="Times New Roman" w:hAnsi="Times New Roman" w:cs="Times New Roman"/>
                <w:sz w:val="24"/>
                <w:szCs w:val="24"/>
              </w:rPr>
              <w:t>darbība ar</w:t>
            </w:r>
            <w:r w:rsidR="004102C8" w:rsidRPr="004102C8">
              <w:rPr>
                <w:rFonts w:ascii="Times New Roman" w:hAnsi="Times New Roman" w:cs="Times New Roman"/>
                <w:sz w:val="24"/>
                <w:szCs w:val="24"/>
              </w:rPr>
              <w:t xml:space="preserve"> </w:t>
            </w:r>
            <w:r w:rsidRPr="004102C8">
              <w:rPr>
                <w:rFonts w:ascii="Times New Roman" w:hAnsi="Times New Roman" w:cs="Times New Roman"/>
                <w:sz w:val="24"/>
                <w:szCs w:val="24"/>
              </w:rPr>
              <w:t>ģenētisk</w:t>
            </w:r>
            <w:r w:rsidR="004102C8">
              <w:rPr>
                <w:rFonts w:ascii="Times New Roman" w:hAnsi="Times New Roman" w:cs="Times New Roman"/>
                <w:sz w:val="24"/>
                <w:szCs w:val="24"/>
              </w:rPr>
              <w:t>ajiem</w:t>
            </w:r>
            <w:r w:rsidRPr="004102C8">
              <w:rPr>
                <w:rFonts w:ascii="Times New Roman" w:hAnsi="Times New Roman" w:cs="Times New Roman"/>
                <w:sz w:val="24"/>
                <w:szCs w:val="24"/>
              </w:rPr>
              <w:t xml:space="preserve"> resurs</w:t>
            </w:r>
            <w:r w:rsidR="004102C8">
              <w:rPr>
                <w:rFonts w:ascii="Times New Roman" w:hAnsi="Times New Roman" w:cs="Times New Roman"/>
                <w:sz w:val="24"/>
                <w:szCs w:val="24"/>
              </w:rPr>
              <w:t>iem regulas izpratnē uzskatāma par to izmantošanu</w:t>
            </w:r>
            <w:r w:rsidRPr="004102C8">
              <w:rPr>
                <w:rFonts w:ascii="Times New Roman" w:hAnsi="Times New Roman" w:cs="Times New Roman"/>
                <w:sz w:val="24"/>
                <w:szCs w:val="24"/>
              </w:rPr>
              <w:t>.</w:t>
            </w:r>
          </w:p>
          <w:p w14:paraId="6F600EFD" w14:textId="322913E9" w:rsidR="00FF760B" w:rsidRPr="009E40A6" w:rsidRDefault="00FF760B" w:rsidP="00E808D4">
            <w:pPr>
              <w:spacing w:after="120" w:line="240" w:lineRule="auto"/>
              <w:jc w:val="both"/>
              <w:rPr>
                <w:rFonts w:ascii="Times New Roman" w:hAnsi="Times New Roman" w:cs="Times New Roman"/>
                <w:sz w:val="24"/>
                <w:szCs w:val="24"/>
              </w:rPr>
            </w:pPr>
            <w:r w:rsidRPr="00EC2CBA">
              <w:rPr>
                <w:rFonts w:ascii="Times New Roman" w:hAnsi="Times New Roman" w:cs="Times New Roman"/>
                <w:sz w:val="24"/>
                <w:szCs w:val="24"/>
              </w:rPr>
              <w:t xml:space="preserve">DECLARE izmantošanas pamācība angļu valodā pieejama šajā </w:t>
            </w:r>
            <w:r w:rsidR="004F1236">
              <w:rPr>
                <w:rFonts w:ascii="Times New Roman" w:hAnsi="Times New Roman" w:cs="Times New Roman"/>
                <w:sz w:val="24"/>
                <w:szCs w:val="24"/>
              </w:rPr>
              <w:t>tīmekļvietnē</w:t>
            </w:r>
            <w:r w:rsidRPr="004102C8">
              <w:rPr>
                <w:rFonts w:ascii="Times New Roman" w:hAnsi="Times New Roman" w:cs="Times New Roman"/>
                <w:sz w:val="24"/>
                <w:szCs w:val="24"/>
              </w:rPr>
              <w:t>:</w:t>
            </w:r>
            <w:r w:rsidR="00CE5569">
              <w:rPr>
                <w:rFonts w:ascii="Times New Roman" w:hAnsi="Times New Roman" w:cs="Times New Roman"/>
                <w:sz w:val="24"/>
                <w:szCs w:val="24"/>
              </w:rPr>
              <w:t> </w:t>
            </w:r>
            <w:hyperlink r:id="rId10" w:history="1">
              <w:r w:rsidRPr="00CA463E">
                <w:rPr>
                  <w:rFonts w:ascii="Times New Roman" w:hAnsi="Times New Roman" w:cs="Times New Roman"/>
                  <w:sz w:val="24"/>
                  <w:szCs w:val="24"/>
                </w:rPr>
                <w:t>http://ec.europa.eu/environment/nature/biodiversity/international/abs/pdf/Question%20and%20answer%20users.pdf</w:t>
              </w:r>
            </w:hyperlink>
            <w:r w:rsidRPr="009E40A6">
              <w:rPr>
                <w:rFonts w:ascii="Times New Roman" w:hAnsi="Times New Roman" w:cs="Times New Roman"/>
                <w:sz w:val="24"/>
                <w:szCs w:val="24"/>
              </w:rPr>
              <w:t xml:space="preserve"> </w:t>
            </w:r>
            <w:r w:rsidR="00CE5569">
              <w:rPr>
                <w:rFonts w:ascii="Times New Roman" w:hAnsi="Times New Roman" w:cs="Times New Roman"/>
                <w:sz w:val="24"/>
                <w:szCs w:val="24"/>
              </w:rPr>
              <w:t>.</w:t>
            </w:r>
          </w:p>
          <w:p w14:paraId="26FE4732" w14:textId="17984BF0" w:rsidR="00E808D4" w:rsidRPr="002067F1" w:rsidRDefault="00E808D4" w:rsidP="00E808D4">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 xml:space="preserve">Likumprojekta </w:t>
            </w:r>
            <w:r w:rsidR="0065222A" w:rsidRPr="002067F1">
              <w:rPr>
                <w:rFonts w:ascii="Times New Roman" w:hAnsi="Times New Roman" w:cs="Times New Roman"/>
                <w:sz w:val="24"/>
                <w:szCs w:val="24"/>
              </w:rPr>
              <w:t>7</w:t>
            </w:r>
            <w:r w:rsidR="00964220" w:rsidRPr="002067F1">
              <w:rPr>
                <w:rFonts w:ascii="Times New Roman" w:hAnsi="Times New Roman" w:cs="Times New Roman"/>
                <w:sz w:val="24"/>
                <w:szCs w:val="24"/>
              </w:rPr>
              <w:t>.</w:t>
            </w:r>
            <w:r w:rsidRPr="002067F1">
              <w:rPr>
                <w:rFonts w:ascii="Times New Roman" w:hAnsi="Times New Roman" w:cs="Times New Roman"/>
                <w:sz w:val="24"/>
                <w:szCs w:val="24"/>
              </w:rPr>
              <w:t> pants.</w:t>
            </w:r>
          </w:p>
          <w:p w14:paraId="17917B69" w14:textId="0F6F867B" w:rsidR="00176638" w:rsidRDefault="00176638" w:rsidP="008B1E0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Regulas 11. panta 1. punkts paredz</w:t>
            </w:r>
            <w:r w:rsidR="001D1B01" w:rsidRPr="00176638">
              <w:rPr>
                <w:rFonts w:ascii="Times New Roman" w:hAnsi="Times New Roman" w:cs="Times New Roman"/>
                <w:sz w:val="24"/>
                <w:szCs w:val="24"/>
              </w:rPr>
              <w:t xml:space="preserve"> pienākumu </w:t>
            </w:r>
            <w:r w:rsidR="00DB6905" w:rsidRPr="00176638">
              <w:rPr>
                <w:rFonts w:ascii="Times New Roman" w:hAnsi="Times New Roman" w:cs="Times New Roman"/>
                <w:sz w:val="24"/>
                <w:szCs w:val="24"/>
              </w:rPr>
              <w:t xml:space="preserve">ES </w:t>
            </w:r>
            <w:r w:rsidR="001D1B01" w:rsidRPr="00176638">
              <w:rPr>
                <w:rFonts w:ascii="Times New Roman" w:hAnsi="Times New Roman" w:cs="Times New Roman"/>
                <w:sz w:val="24"/>
                <w:szCs w:val="24"/>
              </w:rPr>
              <w:t xml:space="preserve">dalībvalstīm noteikt </w:t>
            </w:r>
            <w:r>
              <w:rPr>
                <w:rFonts w:ascii="Times New Roman" w:hAnsi="Times New Roman" w:cs="Times New Roman"/>
                <w:sz w:val="24"/>
                <w:szCs w:val="24"/>
              </w:rPr>
              <w:t>nacionālās</w:t>
            </w:r>
            <w:r w:rsidR="00DB6905" w:rsidRPr="00176638">
              <w:rPr>
                <w:rFonts w:ascii="Times New Roman" w:hAnsi="Times New Roman" w:cs="Times New Roman"/>
                <w:sz w:val="24"/>
                <w:szCs w:val="24"/>
              </w:rPr>
              <w:t xml:space="preserve"> </w:t>
            </w:r>
            <w:r w:rsidR="001D1B01" w:rsidRPr="00176638">
              <w:rPr>
                <w:rFonts w:ascii="Times New Roman" w:hAnsi="Times New Roman" w:cs="Times New Roman"/>
                <w:sz w:val="24"/>
                <w:szCs w:val="24"/>
              </w:rPr>
              <w:t xml:space="preserve">sankcijas par regulas </w:t>
            </w:r>
            <w:r w:rsidR="00AB6234">
              <w:rPr>
                <w:rFonts w:ascii="Times New Roman" w:hAnsi="Times New Roman" w:cs="Times New Roman"/>
                <w:sz w:val="24"/>
                <w:szCs w:val="24"/>
              </w:rPr>
              <w:t>4. un 7. panta noteikumu</w:t>
            </w:r>
            <w:r w:rsidR="00AB6234" w:rsidRPr="00176638">
              <w:rPr>
                <w:rFonts w:ascii="Times New Roman" w:hAnsi="Times New Roman" w:cs="Times New Roman"/>
                <w:sz w:val="24"/>
                <w:szCs w:val="24"/>
              </w:rPr>
              <w:t xml:space="preserve"> </w:t>
            </w:r>
            <w:r w:rsidR="001D1B01" w:rsidRPr="00176638">
              <w:rPr>
                <w:rFonts w:ascii="Times New Roman" w:hAnsi="Times New Roman" w:cs="Times New Roman"/>
                <w:sz w:val="24"/>
                <w:szCs w:val="24"/>
              </w:rPr>
              <w:t>pārkāpumiem</w:t>
            </w:r>
            <w:r>
              <w:rPr>
                <w:rFonts w:ascii="Times New Roman" w:hAnsi="Times New Roman" w:cs="Times New Roman"/>
                <w:sz w:val="24"/>
                <w:szCs w:val="24"/>
              </w:rPr>
              <w:t>.</w:t>
            </w:r>
          </w:p>
          <w:p w14:paraId="52915465" w14:textId="22FBB9A9" w:rsidR="006B6AD8" w:rsidRDefault="00176638" w:rsidP="00176638">
            <w:pPr>
              <w:spacing w:after="120" w:line="240" w:lineRule="auto"/>
              <w:jc w:val="both"/>
              <w:rPr>
                <w:rFonts w:ascii="Times New Roman" w:hAnsi="Times New Roman" w:cs="Times New Roman"/>
                <w:sz w:val="24"/>
                <w:szCs w:val="24"/>
              </w:rPr>
            </w:pPr>
            <w:r w:rsidRPr="00176638">
              <w:rPr>
                <w:rFonts w:ascii="Times New Roman" w:hAnsi="Times New Roman" w:cs="Times New Roman"/>
                <w:sz w:val="24"/>
                <w:szCs w:val="24"/>
              </w:rPr>
              <w:t>Ņemot vērā Ministru kabineta 2014. gada 22. aprīļa sēdē nolemto (prot. Nr. 24, 26. §) par nozaru administratīvo pārkāpumu kodifikācijas sistēmas ieviešanu, likumprojekt</w:t>
            </w:r>
            <w:r w:rsidR="00F1748B">
              <w:rPr>
                <w:rFonts w:ascii="Times New Roman" w:hAnsi="Times New Roman" w:cs="Times New Roman"/>
                <w:sz w:val="24"/>
                <w:szCs w:val="24"/>
              </w:rPr>
              <w:t>a</w:t>
            </w:r>
            <w:r w:rsidR="0065222A">
              <w:rPr>
                <w:rFonts w:ascii="Times New Roman" w:hAnsi="Times New Roman" w:cs="Times New Roman"/>
                <w:sz w:val="24"/>
                <w:szCs w:val="24"/>
              </w:rPr>
              <w:t xml:space="preserve"> 7</w:t>
            </w:r>
            <w:r w:rsidR="000E1CC2">
              <w:rPr>
                <w:rFonts w:ascii="Times New Roman" w:hAnsi="Times New Roman" w:cs="Times New Roman"/>
                <w:sz w:val="24"/>
                <w:szCs w:val="24"/>
              </w:rPr>
              <w:t>. pant</w:t>
            </w:r>
            <w:r w:rsidR="00F1748B">
              <w:rPr>
                <w:rFonts w:ascii="Times New Roman" w:hAnsi="Times New Roman" w:cs="Times New Roman"/>
                <w:sz w:val="24"/>
                <w:szCs w:val="24"/>
              </w:rPr>
              <w:t>ā</w:t>
            </w:r>
            <w:r w:rsidR="000E1CC2">
              <w:rPr>
                <w:rFonts w:ascii="Times New Roman" w:hAnsi="Times New Roman" w:cs="Times New Roman"/>
                <w:sz w:val="24"/>
                <w:szCs w:val="24"/>
              </w:rPr>
              <w:t xml:space="preserve"> noteikti </w:t>
            </w:r>
            <w:r w:rsidR="006B6AD8">
              <w:rPr>
                <w:rFonts w:ascii="Times New Roman" w:hAnsi="Times New Roman" w:cs="Times New Roman"/>
                <w:sz w:val="24"/>
                <w:szCs w:val="24"/>
              </w:rPr>
              <w:t>iespēja</w:t>
            </w:r>
            <w:r w:rsidR="000E1CC2">
              <w:rPr>
                <w:rFonts w:ascii="Times New Roman" w:hAnsi="Times New Roman" w:cs="Times New Roman"/>
                <w:sz w:val="24"/>
                <w:szCs w:val="24"/>
              </w:rPr>
              <w:t>mi</w:t>
            </w:r>
            <w:r w:rsidR="00AB6234">
              <w:rPr>
                <w:rFonts w:ascii="Times New Roman" w:hAnsi="Times New Roman" w:cs="Times New Roman"/>
                <w:sz w:val="24"/>
                <w:szCs w:val="24"/>
              </w:rPr>
              <w:t>e</w:t>
            </w:r>
            <w:r w:rsidR="006B6AD8">
              <w:rPr>
                <w:rFonts w:ascii="Times New Roman" w:hAnsi="Times New Roman" w:cs="Times New Roman"/>
                <w:sz w:val="24"/>
                <w:szCs w:val="24"/>
              </w:rPr>
              <w:t xml:space="preserve"> pārk</w:t>
            </w:r>
            <w:r w:rsidR="000E1CC2">
              <w:rPr>
                <w:rFonts w:ascii="Times New Roman" w:hAnsi="Times New Roman" w:cs="Times New Roman"/>
                <w:sz w:val="24"/>
                <w:szCs w:val="24"/>
              </w:rPr>
              <w:t>āpumi un sodi</w:t>
            </w:r>
            <w:r w:rsidR="006B6AD8">
              <w:rPr>
                <w:rFonts w:ascii="Times New Roman" w:hAnsi="Times New Roman" w:cs="Times New Roman"/>
                <w:sz w:val="24"/>
                <w:szCs w:val="24"/>
              </w:rPr>
              <w:t>.</w:t>
            </w:r>
          </w:p>
          <w:p w14:paraId="6F9EFD66" w14:textId="31FFF3AC" w:rsidR="00246738" w:rsidRPr="002067F1" w:rsidRDefault="00246738" w:rsidP="00246738">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Ievērojot regulas 4. un 7. pantā noteikto par ģenētisko resursu lietotāju pienākumiem un lietotāju atbilstības uzraudzību</w:t>
            </w:r>
            <w:r w:rsidR="0098651D" w:rsidRPr="002067F1">
              <w:rPr>
                <w:rFonts w:ascii="Times New Roman" w:hAnsi="Times New Roman" w:cs="Times New Roman"/>
                <w:sz w:val="24"/>
                <w:szCs w:val="24"/>
              </w:rPr>
              <w:t>, l</w:t>
            </w:r>
            <w:r w:rsidRPr="002067F1">
              <w:rPr>
                <w:rFonts w:ascii="Times New Roman" w:hAnsi="Times New Roman" w:cs="Times New Roman"/>
                <w:sz w:val="24"/>
                <w:szCs w:val="24"/>
              </w:rPr>
              <w:t xml:space="preserve">ikumprojektā </w:t>
            </w:r>
            <w:r w:rsidR="00840820" w:rsidRPr="002067F1">
              <w:rPr>
                <w:rFonts w:ascii="Times New Roman" w:hAnsi="Times New Roman" w:cs="Times New Roman"/>
                <w:sz w:val="24"/>
                <w:szCs w:val="24"/>
              </w:rPr>
              <w:t xml:space="preserve">paredzēti attiecīgi </w:t>
            </w:r>
            <w:r w:rsidR="00C93F81" w:rsidRPr="002067F1">
              <w:rPr>
                <w:rFonts w:ascii="Times New Roman" w:hAnsi="Times New Roman" w:cs="Times New Roman"/>
                <w:sz w:val="24"/>
                <w:szCs w:val="24"/>
              </w:rPr>
              <w:t xml:space="preserve">iespējamie pārkāpumi un </w:t>
            </w:r>
            <w:r w:rsidRPr="002067F1">
              <w:rPr>
                <w:rFonts w:ascii="Times New Roman" w:hAnsi="Times New Roman" w:cs="Times New Roman"/>
                <w:sz w:val="24"/>
                <w:szCs w:val="24"/>
              </w:rPr>
              <w:t>sodi</w:t>
            </w:r>
            <w:r w:rsidR="00840820" w:rsidRPr="002067F1">
              <w:rPr>
                <w:rFonts w:ascii="Times New Roman" w:hAnsi="Times New Roman" w:cs="Times New Roman"/>
                <w:sz w:val="24"/>
                <w:szCs w:val="24"/>
              </w:rPr>
              <w:t>.</w:t>
            </w:r>
            <w:r w:rsidRPr="002067F1">
              <w:rPr>
                <w:rFonts w:ascii="Times New Roman" w:hAnsi="Times New Roman" w:cs="Times New Roman"/>
                <w:sz w:val="24"/>
                <w:szCs w:val="24"/>
              </w:rPr>
              <w:t xml:space="preserve"> </w:t>
            </w:r>
          </w:p>
          <w:p w14:paraId="416C1C3A" w14:textId="70F5F276" w:rsidR="00246738" w:rsidRPr="008B746D" w:rsidRDefault="00246738" w:rsidP="00246738">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2067F1">
              <w:rPr>
                <w:rFonts w:ascii="Times New Roman" w:hAnsi="Times New Roman" w:cs="Times New Roman"/>
                <w:sz w:val="24"/>
                <w:szCs w:val="24"/>
              </w:rPr>
              <w:t xml:space="preserve">par </w:t>
            </w:r>
            <w:r w:rsidR="00072A87" w:rsidRPr="002067F1">
              <w:rPr>
                <w:rFonts w:ascii="Times New Roman" w:hAnsi="Times New Roman" w:cs="Times New Roman"/>
                <w:sz w:val="24"/>
                <w:szCs w:val="24"/>
              </w:rPr>
              <w:t>piekļuves atļaujas vai tai līdzvērtīga dokumenta neiegūšanu un savstarpēji saskaņotu noteikumu</w:t>
            </w:r>
            <w:r w:rsidR="00297DF6" w:rsidRPr="002067F1">
              <w:rPr>
                <w:rFonts w:ascii="Times New Roman" w:hAnsi="Times New Roman" w:cs="Times New Roman"/>
                <w:sz w:val="24"/>
                <w:szCs w:val="24"/>
              </w:rPr>
              <w:t xml:space="preserve"> neparedzēšanu</w:t>
            </w:r>
            <w:r w:rsidR="00FE53ED">
              <w:rPr>
                <w:rFonts w:ascii="Times New Roman" w:hAnsi="Times New Roman" w:cs="Times New Roman"/>
                <w:sz w:val="24"/>
                <w:szCs w:val="24"/>
              </w:rPr>
              <w:t>;</w:t>
            </w:r>
          </w:p>
          <w:p w14:paraId="51186E9E" w14:textId="4E45F233" w:rsidR="008B746D" w:rsidRDefault="00EB5829" w:rsidP="008B746D">
            <w:pPr>
              <w:pStyle w:val="ListParagraph"/>
              <w:tabs>
                <w:tab w:val="left" w:pos="257"/>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Latvijas </w:t>
            </w:r>
            <w:r w:rsidR="00BF05A1">
              <w:rPr>
                <w:rFonts w:ascii="Times New Roman" w:hAnsi="Times New Roman" w:cs="Times New Roman"/>
                <w:sz w:val="24"/>
                <w:szCs w:val="24"/>
              </w:rPr>
              <w:t>juridiskām un fiziskām personām,</w:t>
            </w:r>
            <w:r>
              <w:rPr>
                <w:rFonts w:ascii="Times New Roman" w:hAnsi="Times New Roman" w:cs="Times New Roman"/>
                <w:sz w:val="24"/>
                <w:szCs w:val="24"/>
              </w:rPr>
              <w:t xml:space="preserve"> plānojot ģenētisko resursu un ar tiem saistīto tradicionālo zināšanu izmantošanu no citas valsts</w:t>
            </w:r>
            <w:r w:rsidR="00BF05A1">
              <w:rPr>
                <w:rFonts w:ascii="Times New Roman" w:hAnsi="Times New Roman" w:cs="Times New Roman"/>
                <w:sz w:val="24"/>
                <w:szCs w:val="24"/>
              </w:rPr>
              <w:t>,</w:t>
            </w:r>
            <w:r>
              <w:rPr>
                <w:rFonts w:ascii="Times New Roman" w:hAnsi="Times New Roman" w:cs="Times New Roman"/>
                <w:sz w:val="24"/>
                <w:szCs w:val="24"/>
              </w:rPr>
              <w:t xml:space="preserve"> jāpārliecinās kādi noteikumi jāiev</w:t>
            </w:r>
            <w:r w:rsidR="00B33E30">
              <w:rPr>
                <w:rFonts w:ascii="Times New Roman" w:hAnsi="Times New Roman" w:cs="Times New Roman"/>
                <w:sz w:val="24"/>
                <w:szCs w:val="24"/>
              </w:rPr>
              <w:t>ēro. N</w:t>
            </w:r>
            <w:r>
              <w:rPr>
                <w:rFonts w:ascii="Times New Roman" w:hAnsi="Times New Roman" w:cs="Times New Roman"/>
                <w:sz w:val="24"/>
                <w:szCs w:val="24"/>
              </w:rPr>
              <w:t xml:space="preserve">epieciešamības gadījumā jāsaņem piekļuves atļauja un </w:t>
            </w:r>
            <w:r w:rsidR="00F808B6">
              <w:rPr>
                <w:rFonts w:ascii="Times New Roman" w:hAnsi="Times New Roman" w:cs="Times New Roman"/>
                <w:sz w:val="24"/>
                <w:szCs w:val="24"/>
              </w:rPr>
              <w:t>jāparedz</w:t>
            </w:r>
            <w:r>
              <w:rPr>
                <w:rFonts w:ascii="Times New Roman" w:hAnsi="Times New Roman" w:cs="Times New Roman"/>
                <w:sz w:val="24"/>
                <w:szCs w:val="24"/>
              </w:rPr>
              <w:t xml:space="preserve"> </w:t>
            </w:r>
            <w:r w:rsidR="00F808B6">
              <w:rPr>
                <w:rFonts w:ascii="Times New Roman" w:hAnsi="Times New Roman" w:cs="Times New Roman"/>
                <w:sz w:val="24"/>
                <w:szCs w:val="24"/>
              </w:rPr>
              <w:t xml:space="preserve">savstarpēji saskaņoti noteikumi par </w:t>
            </w:r>
            <w:r w:rsidR="006E1F4A">
              <w:rPr>
                <w:rFonts w:ascii="Times New Roman" w:hAnsi="Times New Roman" w:cs="Times New Roman"/>
                <w:sz w:val="24"/>
                <w:szCs w:val="24"/>
              </w:rPr>
              <w:t>šo</w:t>
            </w:r>
            <w:r>
              <w:rPr>
                <w:rFonts w:ascii="Times New Roman" w:hAnsi="Times New Roman" w:cs="Times New Roman"/>
                <w:sz w:val="24"/>
                <w:szCs w:val="24"/>
              </w:rPr>
              <w:t xml:space="preserve"> resursu izmanto</w:t>
            </w:r>
            <w:r w:rsidR="00F808B6">
              <w:rPr>
                <w:rFonts w:ascii="Times New Roman" w:hAnsi="Times New Roman" w:cs="Times New Roman"/>
                <w:sz w:val="24"/>
                <w:szCs w:val="24"/>
              </w:rPr>
              <w:t>šanu un</w:t>
            </w:r>
            <w:r w:rsidR="006E1F4A">
              <w:rPr>
                <w:rFonts w:ascii="Times New Roman" w:hAnsi="Times New Roman" w:cs="Times New Roman"/>
                <w:sz w:val="24"/>
                <w:szCs w:val="24"/>
              </w:rPr>
              <w:t xml:space="preserve"> izmantošanā gūto</w:t>
            </w:r>
            <w:r w:rsidR="00F808B6">
              <w:rPr>
                <w:rFonts w:ascii="Times New Roman" w:hAnsi="Times New Roman" w:cs="Times New Roman"/>
                <w:sz w:val="24"/>
                <w:szCs w:val="24"/>
              </w:rPr>
              <w:t xml:space="preserve"> ieguvumu sadali</w:t>
            </w:r>
            <w:r>
              <w:rPr>
                <w:rFonts w:ascii="Times New Roman" w:hAnsi="Times New Roman" w:cs="Times New Roman"/>
                <w:sz w:val="24"/>
                <w:szCs w:val="24"/>
              </w:rPr>
              <w:t>.</w:t>
            </w:r>
          </w:p>
          <w:p w14:paraId="3D4C2548" w14:textId="77777777" w:rsidR="00551028" w:rsidRDefault="0036386C" w:rsidP="008B746D">
            <w:pPr>
              <w:pStyle w:val="ListParagraph"/>
              <w:tabs>
                <w:tab w:val="left" w:pos="257"/>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Piekļuves a</w:t>
            </w:r>
            <w:r w:rsidR="00BF05A1">
              <w:rPr>
                <w:rFonts w:ascii="Times New Roman" w:hAnsi="Times New Roman" w:cs="Times New Roman"/>
                <w:sz w:val="24"/>
                <w:szCs w:val="24"/>
              </w:rPr>
              <w:t xml:space="preserve">tļauja var būt nepieciešama, piemēram, par atsevišķa veida vai atsevišķas </w:t>
            </w:r>
            <w:r w:rsidR="00572687">
              <w:rPr>
                <w:rFonts w:ascii="Times New Roman" w:hAnsi="Times New Roman" w:cs="Times New Roman"/>
                <w:sz w:val="24"/>
                <w:szCs w:val="24"/>
              </w:rPr>
              <w:t xml:space="preserve">ģeogrāfiskas </w:t>
            </w:r>
            <w:r w:rsidR="00BF05A1">
              <w:rPr>
                <w:rFonts w:ascii="Times New Roman" w:hAnsi="Times New Roman" w:cs="Times New Roman"/>
                <w:sz w:val="24"/>
                <w:szCs w:val="24"/>
              </w:rPr>
              <w:t>vietas, vai visiem valsts ģenētiskiem resursiem un ar tiem saistītām tradicionālām zināšanām.</w:t>
            </w:r>
            <w:r>
              <w:rPr>
                <w:rFonts w:ascii="Times New Roman" w:hAnsi="Times New Roman" w:cs="Times New Roman"/>
                <w:sz w:val="24"/>
                <w:szCs w:val="24"/>
              </w:rPr>
              <w:t xml:space="preserve"> </w:t>
            </w:r>
          </w:p>
          <w:p w14:paraId="147C4AA9" w14:textId="5525BB1A" w:rsidR="00BF05A1" w:rsidRDefault="00551028" w:rsidP="008B746D">
            <w:pPr>
              <w:pStyle w:val="ListParagraph"/>
              <w:tabs>
                <w:tab w:val="left" w:pos="257"/>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Tāpat, lietotājam mainot ģenētisko resursu un ar tiem saistīto tradicionālo zināšanu izmantošanas mērķi (nekā paredzēts atļaujā un sasvstarpēji saskaņotos noteikumos) var būt nepieciešama jauna atļauja.</w:t>
            </w:r>
          </w:p>
          <w:p w14:paraId="7465975D" w14:textId="6793ED99" w:rsidR="0014244B" w:rsidRDefault="00EB5892" w:rsidP="008B746D">
            <w:pPr>
              <w:pStyle w:val="ListParagraph"/>
              <w:tabs>
                <w:tab w:val="left" w:pos="257"/>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Savstarpēji saskaņotos</w:t>
            </w:r>
            <w:r w:rsidR="00BF05A1">
              <w:rPr>
                <w:rFonts w:ascii="Times New Roman" w:hAnsi="Times New Roman" w:cs="Times New Roman"/>
                <w:sz w:val="24"/>
                <w:szCs w:val="24"/>
              </w:rPr>
              <w:t xml:space="preserve"> noteikumos </w:t>
            </w:r>
            <w:r w:rsidR="009D1068">
              <w:rPr>
                <w:rFonts w:ascii="Times New Roman" w:hAnsi="Times New Roman" w:cs="Times New Roman"/>
                <w:sz w:val="24"/>
                <w:szCs w:val="24"/>
              </w:rPr>
              <w:t xml:space="preserve">noteiktie nosacījumi </w:t>
            </w:r>
            <w:r w:rsidR="00BF05A1">
              <w:rPr>
                <w:rFonts w:ascii="Times New Roman" w:hAnsi="Times New Roman" w:cs="Times New Roman"/>
                <w:sz w:val="24"/>
                <w:szCs w:val="24"/>
              </w:rPr>
              <w:t xml:space="preserve">var būt </w:t>
            </w:r>
            <w:r w:rsidR="0036386C">
              <w:rPr>
                <w:rFonts w:ascii="Times New Roman" w:hAnsi="Times New Roman" w:cs="Times New Roman"/>
                <w:sz w:val="24"/>
                <w:szCs w:val="24"/>
              </w:rPr>
              <w:t>dažādi. P</w:t>
            </w:r>
            <w:r w:rsidR="00BF05A1">
              <w:rPr>
                <w:rFonts w:ascii="Times New Roman" w:hAnsi="Times New Roman" w:cs="Times New Roman"/>
                <w:sz w:val="24"/>
                <w:szCs w:val="24"/>
              </w:rPr>
              <w:t xml:space="preserve">iemēram, par </w:t>
            </w:r>
            <w:r>
              <w:rPr>
                <w:rFonts w:ascii="Times New Roman" w:hAnsi="Times New Roman" w:cs="Times New Roman"/>
                <w:sz w:val="24"/>
                <w:szCs w:val="24"/>
              </w:rPr>
              <w:t xml:space="preserve">ģenētisko resursu </w:t>
            </w:r>
            <w:r w:rsidR="00953CBF">
              <w:rPr>
                <w:rFonts w:ascii="Times New Roman" w:hAnsi="Times New Roman" w:cs="Times New Roman"/>
                <w:sz w:val="24"/>
                <w:szCs w:val="24"/>
              </w:rPr>
              <w:t>izmantošanas</w:t>
            </w:r>
            <w:r>
              <w:rPr>
                <w:rFonts w:ascii="Times New Roman" w:hAnsi="Times New Roman" w:cs="Times New Roman"/>
                <w:sz w:val="24"/>
                <w:szCs w:val="24"/>
              </w:rPr>
              <w:t xml:space="preserve"> </w:t>
            </w:r>
            <w:r w:rsidR="00572687">
              <w:rPr>
                <w:rFonts w:ascii="Times New Roman" w:hAnsi="Times New Roman" w:cs="Times New Roman"/>
                <w:sz w:val="24"/>
                <w:szCs w:val="24"/>
              </w:rPr>
              <w:t>ieguvumu</w:t>
            </w:r>
            <w:r>
              <w:rPr>
                <w:rFonts w:ascii="Times New Roman" w:hAnsi="Times New Roman" w:cs="Times New Roman"/>
                <w:sz w:val="24"/>
                <w:szCs w:val="24"/>
              </w:rPr>
              <w:t xml:space="preserve">, tajā  skaitā </w:t>
            </w:r>
            <w:r w:rsidR="005E5614">
              <w:rPr>
                <w:rFonts w:ascii="Times New Roman" w:hAnsi="Times New Roman" w:cs="Times New Roman"/>
                <w:sz w:val="24"/>
                <w:szCs w:val="24"/>
              </w:rPr>
              <w:t xml:space="preserve">par </w:t>
            </w:r>
            <w:r>
              <w:rPr>
                <w:rFonts w:ascii="Times New Roman" w:hAnsi="Times New Roman" w:cs="Times New Roman"/>
                <w:sz w:val="24"/>
                <w:szCs w:val="24"/>
              </w:rPr>
              <w:t>materiālo un nemateriālo</w:t>
            </w:r>
            <w:r w:rsidR="00572687">
              <w:rPr>
                <w:rFonts w:ascii="Times New Roman" w:hAnsi="Times New Roman" w:cs="Times New Roman"/>
                <w:sz w:val="24"/>
                <w:szCs w:val="24"/>
              </w:rPr>
              <w:t xml:space="preserve"> ieguvumu</w:t>
            </w:r>
            <w:r w:rsidR="00953CBF">
              <w:rPr>
                <w:rFonts w:ascii="Times New Roman" w:hAnsi="Times New Roman" w:cs="Times New Roman"/>
                <w:sz w:val="24"/>
                <w:szCs w:val="24"/>
              </w:rPr>
              <w:t xml:space="preserve"> sadali, kā arī par ģenētisko resursu </w:t>
            </w:r>
            <w:r w:rsidR="007F24FF">
              <w:rPr>
                <w:rFonts w:ascii="Times New Roman" w:hAnsi="Times New Roman" w:cs="Times New Roman"/>
                <w:sz w:val="24"/>
                <w:szCs w:val="24"/>
              </w:rPr>
              <w:t xml:space="preserve">un to izmantošanas rezultātu </w:t>
            </w:r>
            <w:r>
              <w:rPr>
                <w:rFonts w:ascii="Times New Roman" w:hAnsi="Times New Roman" w:cs="Times New Roman"/>
                <w:sz w:val="24"/>
                <w:szCs w:val="24"/>
              </w:rPr>
              <w:t>tāl</w:t>
            </w:r>
            <w:r w:rsidR="005E5614">
              <w:rPr>
                <w:rFonts w:ascii="Times New Roman" w:hAnsi="Times New Roman" w:cs="Times New Roman"/>
                <w:sz w:val="24"/>
                <w:szCs w:val="24"/>
              </w:rPr>
              <w:t>āku</w:t>
            </w:r>
            <w:r w:rsidR="00953CBF">
              <w:rPr>
                <w:rFonts w:ascii="Times New Roman" w:hAnsi="Times New Roman" w:cs="Times New Roman"/>
                <w:sz w:val="24"/>
                <w:szCs w:val="24"/>
              </w:rPr>
              <w:t xml:space="preserve"> </w:t>
            </w:r>
            <w:r w:rsidR="007F46D8">
              <w:rPr>
                <w:rFonts w:ascii="Times New Roman" w:hAnsi="Times New Roman" w:cs="Times New Roman"/>
                <w:sz w:val="24"/>
                <w:szCs w:val="24"/>
              </w:rPr>
              <w:t>lietošanu</w:t>
            </w:r>
            <w:r w:rsidR="00953CBF">
              <w:rPr>
                <w:rFonts w:ascii="Times New Roman" w:hAnsi="Times New Roman" w:cs="Times New Roman"/>
                <w:sz w:val="24"/>
                <w:szCs w:val="24"/>
              </w:rPr>
              <w:t xml:space="preserve"> </w:t>
            </w:r>
            <w:r w:rsidR="00C83044">
              <w:rPr>
                <w:rFonts w:ascii="Times New Roman" w:hAnsi="Times New Roman" w:cs="Times New Roman"/>
                <w:sz w:val="24"/>
                <w:szCs w:val="24"/>
              </w:rPr>
              <w:t>esošajam lietotājam un citām</w:t>
            </w:r>
            <w:r w:rsidR="00953CBF">
              <w:rPr>
                <w:rFonts w:ascii="Times New Roman" w:hAnsi="Times New Roman" w:cs="Times New Roman"/>
                <w:sz w:val="24"/>
                <w:szCs w:val="24"/>
              </w:rPr>
              <w:t xml:space="preserve"> personām.</w:t>
            </w:r>
          </w:p>
          <w:p w14:paraId="659AC178" w14:textId="6E575714" w:rsidR="006F1A81" w:rsidRPr="002067F1" w:rsidRDefault="006F1A81" w:rsidP="006F1A81">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 xml:space="preserve">Pārkāpuma raksturs var būt, piemēram, no mazāka, ja atļauja nav saņemta ģenētisko resursu izmantošanai dabas aizsardzības vajadzībām vai zinātniskai izpētei bez tieša komerciāla mērķa (ja ir iepriekš zināms, ka konkrētās aktivitātes </w:t>
            </w:r>
            <w:r w:rsidRPr="00D9306E">
              <w:rPr>
                <w:rFonts w:ascii="Times New Roman" w:hAnsi="Times New Roman" w:cs="Times New Roman"/>
                <w:sz w:val="24"/>
                <w:szCs w:val="24"/>
              </w:rPr>
              <w:t>paredz atļaujas saņemšanu un deklarēšanu,</w:t>
            </w:r>
            <w:r w:rsidRPr="002067F1">
              <w:rPr>
                <w:rFonts w:ascii="Times New Roman" w:hAnsi="Times New Roman" w:cs="Times New Roman"/>
                <w:sz w:val="24"/>
                <w:szCs w:val="24"/>
              </w:rPr>
              <w:t xml:space="preserve"> saskaņā ar regulas piemērošanas nosacījumiem, piemēram, lietojot Eiropas Komisijas vadlīnijas</w:t>
            </w:r>
            <w:r w:rsidRPr="00A8588A">
              <w:rPr>
                <w:rFonts w:ascii="Times New Roman" w:hAnsi="Times New Roman" w:cs="Times New Roman"/>
                <w:sz w:val="24"/>
                <w:szCs w:val="24"/>
                <w:vertAlign w:val="superscript"/>
              </w:rPr>
              <w:footnoteReference w:customMarkFollows="1" w:id="9"/>
              <w:t>[1]</w:t>
            </w:r>
            <w:r w:rsidRPr="00A8588A">
              <w:rPr>
                <w:rFonts w:ascii="Times New Roman" w:hAnsi="Times New Roman" w:cs="Times New Roman"/>
                <w:sz w:val="24"/>
                <w:szCs w:val="24"/>
              </w:rPr>
              <w:t>),</w:t>
            </w:r>
            <w:r w:rsidRPr="002067F1">
              <w:rPr>
                <w:rFonts w:ascii="Times New Roman" w:hAnsi="Times New Roman" w:cs="Times New Roman"/>
                <w:sz w:val="24"/>
                <w:szCs w:val="24"/>
              </w:rPr>
              <w:t xml:space="preserve"> vai līdz lielākam – ja atļauja nav saņemta resursu izmantošanai komerciālam mērķim.</w:t>
            </w:r>
          </w:p>
          <w:p w14:paraId="581FB47E" w14:textId="26639F11" w:rsidR="0014244B" w:rsidRPr="002067F1" w:rsidRDefault="0014244B" w:rsidP="0014244B">
            <w:pPr>
              <w:pStyle w:val="ListParagraph"/>
              <w:tabs>
                <w:tab w:val="left" w:pos="257"/>
              </w:tabs>
              <w:spacing w:after="120" w:line="240" w:lineRule="auto"/>
              <w:ind w:left="0"/>
              <w:contextualSpacing w:val="0"/>
              <w:jc w:val="both"/>
              <w:rPr>
                <w:rFonts w:ascii="Times New Roman" w:hAnsi="Times New Roman" w:cs="Times New Roman"/>
                <w:sz w:val="24"/>
                <w:szCs w:val="24"/>
              </w:rPr>
            </w:pPr>
            <w:r w:rsidRPr="002067F1">
              <w:rPr>
                <w:rFonts w:ascii="Times New Roman" w:hAnsi="Times New Roman" w:cs="Times New Roman"/>
                <w:sz w:val="24"/>
                <w:szCs w:val="24"/>
              </w:rPr>
              <w:t xml:space="preserve">Attiecībā uz ģenētiskajiem resursiem, kas nav regulas piemērošanas jomā, nav nepieciešams iegūt sertifikātus vai </w:t>
            </w:r>
            <w:r w:rsidR="00413065" w:rsidRPr="002067F1">
              <w:rPr>
                <w:rFonts w:ascii="Times New Roman" w:hAnsi="Times New Roman" w:cs="Times New Roman"/>
                <w:sz w:val="24"/>
                <w:szCs w:val="24"/>
              </w:rPr>
              <w:t xml:space="preserve">attiecīgās valsts </w:t>
            </w:r>
            <w:r w:rsidRPr="002067F1">
              <w:rPr>
                <w:rFonts w:ascii="Times New Roman" w:hAnsi="Times New Roman" w:cs="Times New Roman"/>
                <w:sz w:val="24"/>
                <w:szCs w:val="24"/>
              </w:rPr>
              <w:t xml:space="preserve">kompetento iestāžu rakstisku apstiprinājumu. Tomēr, veicot lietotāju pārbaudes, </w:t>
            </w:r>
            <w:r w:rsidR="00413065" w:rsidRPr="002067F1">
              <w:rPr>
                <w:rFonts w:ascii="Times New Roman" w:hAnsi="Times New Roman" w:cs="Times New Roman"/>
                <w:sz w:val="24"/>
                <w:szCs w:val="24"/>
              </w:rPr>
              <w:t xml:space="preserve">nacionālās </w:t>
            </w:r>
            <w:r w:rsidRPr="002067F1">
              <w:rPr>
                <w:rFonts w:ascii="Times New Roman" w:hAnsi="Times New Roman" w:cs="Times New Roman"/>
                <w:sz w:val="24"/>
                <w:szCs w:val="24"/>
              </w:rPr>
              <w:t>kompetentās iestādes var lūgt norādīt iemeslus un pamatojumu, kāpēc kādi konkrētie ģenētiskie resursi un ar tiem saistītās</w:t>
            </w:r>
            <w:r w:rsidR="008E79A2" w:rsidRPr="002067F1">
              <w:rPr>
                <w:rFonts w:ascii="Times New Roman" w:hAnsi="Times New Roman" w:cs="Times New Roman"/>
                <w:sz w:val="24"/>
                <w:szCs w:val="24"/>
              </w:rPr>
              <w:t xml:space="preserve"> tradicionālās zināšanas uzskatīt</w:t>
            </w:r>
            <w:r w:rsidR="00EE1112" w:rsidRPr="002067F1">
              <w:rPr>
                <w:rFonts w:ascii="Times New Roman" w:hAnsi="Times New Roman" w:cs="Times New Roman"/>
                <w:sz w:val="24"/>
                <w:szCs w:val="24"/>
              </w:rPr>
              <w:t>as</w:t>
            </w:r>
            <w:r w:rsidRPr="002067F1">
              <w:rPr>
                <w:rFonts w:ascii="Times New Roman" w:hAnsi="Times New Roman" w:cs="Times New Roman"/>
                <w:sz w:val="24"/>
                <w:szCs w:val="24"/>
              </w:rPr>
              <w:t xml:space="preserve"> ārpus regulas piemērošanas. Tādēļ lietotājiem ieteicams saglabāt šādu iemeslu un pamatojuma pierādījumus un pārbaudes dokumentus.</w:t>
            </w:r>
            <w:r w:rsidR="00AC6DB8" w:rsidRPr="00561FD7">
              <w:rPr>
                <w:vertAlign w:val="superscript"/>
              </w:rPr>
              <w:footnoteReference w:id="10"/>
            </w:r>
          </w:p>
          <w:p w14:paraId="1ADAD4BA" w14:textId="0BDA0844" w:rsidR="0014244B" w:rsidRDefault="00E40CA1" w:rsidP="008B746D">
            <w:pPr>
              <w:pStyle w:val="ListParagraph"/>
              <w:tabs>
                <w:tab w:val="left" w:pos="257"/>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w:t>
            </w:r>
            <w:r w:rsidR="001B4487">
              <w:rPr>
                <w:rFonts w:ascii="Times New Roman" w:hAnsi="Times New Roman" w:cs="Times New Roman"/>
                <w:sz w:val="24"/>
                <w:szCs w:val="24"/>
              </w:rPr>
              <w:t>ārskats par kritērijiem, lai noteiktu</w:t>
            </w:r>
            <w:r w:rsidR="004F1236">
              <w:rPr>
                <w:rFonts w:ascii="Times New Roman" w:hAnsi="Times New Roman" w:cs="Times New Roman"/>
                <w:sz w:val="24"/>
                <w:szCs w:val="24"/>
              </w:rPr>
              <w:t>,</w:t>
            </w:r>
            <w:r w:rsidR="001B4487">
              <w:rPr>
                <w:rFonts w:ascii="Times New Roman" w:hAnsi="Times New Roman" w:cs="Times New Roman"/>
                <w:sz w:val="24"/>
                <w:szCs w:val="24"/>
              </w:rPr>
              <w:t xml:space="preserve"> vai ģen</w:t>
            </w:r>
            <w:r w:rsidR="00BB25F4">
              <w:rPr>
                <w:rFonts w:ascii="Times New Roman" w:hAnsi="Times New Roman" w:cs="Times New Roman"/>
                <w:sz w:val="24"/>
                <w:szCs w:val="24"/>
              </w:rPr>
              <w:t>ētiskie resursi un ar tiem saistītās tradicionālās zināšanas ir regulas piemērošanas jomā, ir norādīts š</w:t>
            </w:r>
            <w:r w:rsidR="001B4487">
              <w:rPr>
                <w:rFonts w:ascii="Times New Roman" w:hAnsi="Times New Roman" w:cs="Times New Roman"/>
                <w:sz w:val="24"/>
                <w:szCs w:val="24"/>
              </w:rPr>
              <w:t>īs anot</w:t>
            </w:r>
            <w:r>
              <w:rPr>
                <w:rFonts w:ascii="Times New Roman" w:hAnsi="Times New Roman" w:cs="Times New Roman"/>
                <w:sz w:val="24"/>
                <w:szCs w:val="24"/>
              </w:rPr>
              <w:t>ācijas II </w:t>
            </w:r>
            <w:r w:rsidR="001B4487">
              <w:rPr>
                <w:rFonts w:ascii="Times New Roman" w:hAnsi="Times New Roman" w:cs="Times New Roman"/>
                <w:sz w:val="24"/>
                <w:szCs w:val="24"/>
              </w:rPr>
              <w:t>sadaļas 2. punktā</w:t>
            </w:r>
            <w:r w:rsidR="00BB25F4">
              <w:rPr>
                <w:rFonts w:ascii="Times New Roman" w:hAnsi="Times New Roman" w:cs="Times New Roman"/>
                <w:sz w:val="24"/>
                <w:szCs w:val="24"/>
              </w:rPr>
              <w:t>.</w:t>
            </w:r>
          </w:p>
          <w:p w14:paraId="6B83C5BE" w14:textId="56DA0EF0" w:rsidR="00246738" w:rsidRPr="002067F1" w:rsidRDefault="00246738" w:rsidP="00246738">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2067F1">
              <w:rPr>
                <w:rFonts w:ascii="Times New Roman" w:hAnsi="Times New Roman" w:cs="Times New Roman"/>
                <w:sz w:val="24"/>
                <w:szCs w:val="24"/>
              </w:rPr>
              <w:t xml:space="preserve">par ģenētisko resursu un ar ģenētiskajiem resursiem saistīto tradicionālo zināšanu nodošanu tālāk un izmantošanu pretrunā savstarpēji saskaņotiem noteikumiem, ja tie vajadzīgi atbilstīgi </w:t>
            </w:r>
            <w:r w:rsidR="00B46A50" w:rsidRPr="002067F1">
              <w:rPr>
                <w:rFonts w:ascii="Times New Roman" w:hAnsi="Times New Roman" w:cs="Times New Roman"/>
                <w:sz w:val="24"/>
                <w:szCs w:val="24"/>
              </w:rPr>
              <w:t xml:space="preserve">piegādātājvalsts </w:t>
            </w:r>
            <w:r w:rsidRPr="002067F1">
              <w:rPr>
                <w:rFonts w:ascii="Times New Roman" w:hAnsi="Times New Roman" w:cs="Times New Roman"/>
                <w:sz w:val="24"/>
                <w:szCs w:val="24"/>
              </w:rPr>
              <w:t xml:space="preserve">piemērojamiem tiesību </w:t>
            </w:r>
            <w:r w:rsidR="00AB1E88" w:rsidRPr="002067F1">
              <w:rPr>
                <w:rFonts w:ascii="Times New Roman" w:hAnsi="Times New Roman" w:cs="Times New Roman"/>
                <w:sz w:val="24"/>
                <w:szCs w:val="24"/>
              </w:rPr>
              <w:t xml:space="preserve">aktiem vai regulatīvām prasībām atbilstoši </w:t>
            </w:r>
            <w:r w:rsidRPr="002067F1">
              <w:rPr>
                <w:rFonts w:ascii="Times New Roman" w:hAnsi="Times New Roman" w:cs="Times New Roman"/>
                <w:sz w:val="24"/>
                <w:szCs w:val="24"/>
              </w:rPr>
              <w:t>regulas 4. panta</w:t>
            </w:r>
            <w:r w:rsidR="00AB1E88" w:rsidRPr="002067F1">
              <w:rPr>
                <w:rFonts w:ascii="Times New Roman" w:hAnsi="Times New Roman" w:cs="Times New Roman"/>
                <w:sz w:val="24"/>
                <w:szCs w:val="24"/>
              </w:rPr>
              <w:t xml:space="preserve"> 2. punktam</w:t>
            </w:r>
            <w:r w:rsidR="00FE53ED">
              <w:rPr>
                <w:rFonts w:ascii="Times New Roman" w:hAnsi="Times New Roman" w:cs="Times New Roman"/>
                <w:sz w:val="24"/>
                <w:szCs w:val="24"/>
              </w:rPr>
              <w:t>;</w:t>
            </w:r>
          </w:p>
          <w:p w14:paraId="47038C5A" w14:textId="70E56354" w:rsidR="00484FEF" w:rsidRDefault="00484FEF" w:rsidP="00C24950">
            <w:pPr>
              <w:pStyle w:val="ListParagraph"/>
              <w:tabs>
                <w:tab w:val="left" w:pos="257"/>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Kā minēts iepriekšējā punktā, savstarpēji saskaņotos noteikumos var būt noteikti dažādi konkrēto ģenētisko resursu un ar tiem saistīto tradicionālo zināšanu izmantošanas un izmantošanas rezultātu (ieguvumu) sadales nosacījumi. Šie nosacījumi </w:t>
            </w:r>
            <w:r w:rsidR="00EB0E93">
              <w:rPr>
                <w:rFonts w:ascii="Times New Roman" w:hAnsi="Times New Roman" w:cs="Times New Roman"/>
                <w:sz w:val="24"/>
                <w:szCs w:val="24"/>
              </w:rPr>
              <w:t xml:space="preserve">var būt </w:t>
            </w:r>
            <w:r w:rsidR="00900CEA">
              <w:rPr>
                <w:rFonts w:ascii="Times New Roman" w:hAnsi="Times New Roman" w:cs="Times New Roman"/>
                <w:sz w:val="24"/>
                <w:szCs w:val="24"/>
              </w:rPr>
              <w:t>dažādi</w:t>
            </w:r>
            <w:r w:rsidR="00EB0E93">
              <w:rPr>
                <w:rFonts w:ascii="Times New Roman" w:hAnsi="Times New Roman" w:cs="Times New Roman"/>
                <w:sz w:val="24"/>
                <w:szCs w:val="24"/>
              </w:rPr>
              <w:t>, jo</w:t>
            </w:r>
            <w:r w:rsidR="00CA5CAF">
              <w:rPr>
                <w:rFonts w:ascii="Times New Roman" w:hAnsi="Times New Roman" w:cs="Times New Roman"/>
                <w:sz w:val="24"/>
                <w:szCs w:val="24"/>
              </w:rPr>
              <w:t xml:space="preserve"> </w:t>
            </w:r>
            <w:r w:rsidR="00EB0E93">
              <w:rPr>
                <w:rFonts w:ascii="Times New Roman" w:hAnsi="Times New Roman" w:cs="Times New Roman"/>
                <w:sz w:val="24"/>
                <w:szCs w:val="24"/>
              </w:rPr>
              <w:t>ir</w:t>
            </w:r>
            <w:r>
              <w:rPr>
                <w:rFonts w:ascii="Times New Roman" w:hAnsi="Times New Roman" w:cs="Times New Roman"/>
                <w:sz w:val="24"/>
                <w:szCs w:val="24"/>
              </w:rPr>
              <w:t xml:space="preserve"> atkarīgi no katras valsts </w:t>
            </w:r>
            <w:r w:rsidR="00EB0E93">
              <w:rPr>
                <w:rFonts w:ascii="Times New Roman" w:hAnsi="Times New Roman" w:cs="Times New Roman"/>
                <w:sz w:val="24"/>
                <w:szCs w:val="24"/>
              </w:rPr>
              <w:t xml:space="preserve">nacionālā </w:t>
            </w:r>
            <w:r>
              <w:rPr>
                <w:rFonts w:ascii="Times New Roman" w:hAnsi="Times New Roman" w:cs="Times New Roman"/>
                <w:sz w:val="24"/>
                <w:szCs w:val="24"/>
              </w:rPr>
              <w:t xml:space="preserve">normatīvā regulējuma. </w:t>
            </w:r>
          </w:p>
          <w:p w14:paraId="55F9C0C1" w14:textId="34AABBE0" w:rsidR="00C96114" w:rsidRDefault="006E1F4A" w:rsidP="00C24950">
            <w:pPr>
              <w:pStyle w:val="ListParagraph"/>
              <w:tabs>
                <w:tab w:val="left" w:pos="257"/>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Lietot</w:t>
            </w:r>
            <w:r w:rsidR="00DB3721">
              <w:rPr>
                <w:rFonts w:ascii="Times New Roman" w:hAnsi="Times New Roman" w:cs="Times New Roman"/>
                <w:sz w:val="24"/>
                <w:szCs w:val="24"/>
              </w:rPr>
              <w:t xml:space="preserve">ājiem, kas, saņemot atļauju konkrēto ģenētisko </w:t>
            </w:r>
            <w:r w:rsidR="00FE37ED">
              <w:rPr>
                <w:rFonts w:ascii="Times New Roman" w:hAnsi="Times New Roman" w:cs="Times New Roman"/>
                <w:sz w:val="24"/>
                <w:szCs w:val="24"/>
              </w:rPr>
              <w:t xml:space="preserve"> </w:t>
            </w:r>
            <w:r w:rsidR="00DB3721">
              <w:rPr>
                <w:rFonts w:ascii="Times New Roman" w:hAnsi="Times New Roman" w:cs="Times New Roman"/>
                <w:sz w:val="24"/>
                <w:szCs w:val="24"/>
              </w:rPr>
              <w:t xml:space="preserve">resursu un ar tiem saistīto tradicionālo zināšanu izmantošanai, </w:t>
            </w:r>
            <w:r w:rsidR="00E65271">
              <w:rPr>
                <w:rFonts w:ascii="Times New Roman" w:hAnsi="Times New Roman" w:cs="Times New Roman"/>
                <w:sz w:val="24"/>
                <w:szCs w:val="24"/>
              </w:rPr>
              <w:t>ir vienojušies</w:t>
            </w:r>
            <w:r>
              <w:rPr>
                <w:rFonts w:ascii="Times New Roman" w:hAnsi="Times New Roman" w:cs="Times New Roman"/>
                <w:sz w:val="24"/>
                <w:szCs w:val="24"/>
              </w:rPr>
              <w:t xml:space="preserve"> par </w:t>
            </w:r>
            <w:r w:rsidR="003C2361">
              <w:rPr>
                <w:rFonts w:ascii="Times New Roman" w:hAnsi="Times New Roman" w:cs="Times New Roman"/>
                <w:sz w:val="24"/>
                <w:szCs w:val="24"/>
              </w:rPr>
              <w:t xml:space="preserve">to </w:t>
            </w:r>
            <w:r>
              <w:rPr>
                <w:rFonts w:ascii="Times New Roman" w:hAnsi="Times New Roman" w:cs="Times New Roman"/>
                <w:sz w:val="24"/>
                <w:szCs w:val="24"/>
              </w:rPr>
              <w:t>izmantošanas un ieguvumu sadales noteikumiem</w:t>
            </w:r>
            <w:r w:rsidR="003C2361">
              <w:rPr>
                <w:rFonts w:ascii="Times New Roman" w:hAnsi="Times New Roman" w:cs="Times New Roman"/>
                <w:sz w:val="24"/>
                <w:szCs w:val="24"/>
              </w:rPr>
              <w:t xml:space="preserve">, – jāievēro noteikumos noteiktais. </w:t>
            </w:r>
            <w:r w:rsidR="0028650A">
              <w:rPr>
                <w:rFonts w:ascii="Times New Roman" w:hAnsi="Times New Roman" w:cs="Times New Roman"/>
                <w:sz w:val="24"/>
                <w:szCs w:val="24"/>
              </w:rPr>
              <w:t>Nepieciešamības gadījumā ir jāvienojas par noteikumu papildinā</w:t>
            </w:r>
            <w:r w:rsidR="00AB11AC">
              <w:rPr>
                <w:rFonts w:ascii="Times New Roman" w:hAnsi="Times New Roman" w:cs="Times New Roman"/>
                <w:sz w:val="24"/>
                <w:szCs w:val="24"/>
              </w:rPr>
              <w:t>šanu</w:t>
            </w:r>
            <w:r w:rsidR="0028650A">
              <w:rPr>
                <w:rFonts w:ascii="Times New Roman" w:hAnsi="Times New Roman" w:cs="Times New Roman"/>
                <w:sz w:val="24"/>
                <w:szCs w:val="24"/>
              </w:rPr>
              <w:t>.</w:t>
            </w:r>
          </w:p>
          <w:p w14:paraId="0A1D3121" w14:textId="1AC5206D" w:rsidR="00C93F81" w:rsidRPr="00435F6F" w:rsidRDefault="00C93F81" w:rsidP="00C24950">
            <w:pPr>
              <w:pStyle w:val="ListParagraph"/>
              <w:tabs>
                <w:tab w:val="left" w:pos="257"/>
              </w:tabs>
              <w:spacing w:after="120" w:line="240" w:lineRule="auto"/>
              <w:ind w:left="0"/>
              <w:contextualSpacing w:val="0"/>
              <w:jc w:val="both"/>
              <w:rPr>
                <w:rFonts w:ascii="Times New Roman" w:hAnsi="Times New Roman" w:cs="Times New Roman"/>
                <w:sz w:val="24"/>
                <w:szCs w:val="24"/>
              </w:rPr>
            </w:pPr>
            <w:r w:rsidRPr="002067F1">
              <w:rPr>
                <w:rFonts w:ascii="Times New Roman" w:hAnsi="Times New Roman" w:cs="Times New Roman"/>
                <w:sz w:val="24"/>
                <w:szCs w:val="24"/>
              </w:rPr>
              <w:t>Pārkāpuma raksturs var būt, piemēram, no mazāka, ja lietotājs kā resursu ieguvējs un izpētes projekta vadītājs nodevis resursus tālāk bez saistībām citam, tā paša projekta partnerim, līdz lielākam – ja lietotājs nav dalījies ar ģenētisko resursu komercializēšanā iegūto peļņu.</w:t>
            </w:r>
          </w:p>
          <w:p w14:paraId="394600B6" w14:textId="067BFD22" w:rsidR="00246738" w:rsidRPr="002067F1" w:rsidRDefault="00246738" w:rsidP="00246738">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2067F1">
              <w:rPr>
                <w:rFonts w:ascii="Times New Roman" w:hAnsi="Times New Roman" w:cs="Times New Roman"/>
                <w:sz w:val="24"/>
                <w:szCs w:val="24"/>
              </w:rPr>
              <w:t>par regulas 4. panta 3. punktā norādītās dokumentācijas un informācijas nenoskaidrošanu, neglabāšanu un ne</w:t>
            </w:r>
            <w:r w:rsidR="00CA695B" w:rsidRPr="002067F1">
              <w:rPr>
                <w:rFonts w:ascii="Times New Roman" w:hAnsi="Times New Roman" w:cs="Times New Roman"/>
                <w:sz w:val="24"/>
                <w:szCs w:val="24"/>
              </w:rPr>
              <w:t>nodošanu turpmākiem lietotājiem</w:t>
            </w:r>
            <w:r w:rsidR="00FE53ED">
              <w:rPr>
                <w:rFonts w:ascii="Times New Roman" w:hAnsi="Times New Roman" w:cs="Times New Roman"/>
                <w:sz w:val="24"/>
                <w:szCs w:val="24"/>
              </w:rPr>
              <w:t>;</w:t>
            </w:r>
          </w:p>
          <w:p w14:paraId="5E89C9B4" w14:textId="61BE4F04" w:rsidR="00932FC0" w:rsidRPr="002067F1" w:rsidRDefault="003E2304" w:rsidP="00CA695B">
            <w:pPr>
              <w:pStyle w:val="ListParagraph"/>
              <w:tabs>
                <w:tab w:val="left" w:pos="257"/>
              </w:tabs>
              <w:spacing w:after="120" w:line="240" w:lineRule="auto"/>
              <w:ind w:left="0"/>
              <w:contextualSpacing w:val="0"/>
              <w:jc w:val="both"/>
              <w:rPr>
                <w:rFonts w:ascii="Times New Roman" w:hAnsi="Times New Roman" w:cs="Times New Roman"/>
                <w:sz w:val="24"/>
                <w:szCs w:val="24"/>
              </w:rPr>
            </w:pPr>
            <w:r w:rsidRPr="002067F1">
              <w:rPr>
                <w:rFonts w:ascii="Times New Roman" w:hAnsi="Times New Roman" w:cs="Times New Roman"/>
                <w:sz w:val="24"/>
                <w:szCs w:val="24"/>
              </w:rPr>
              <w:t>P</w:t>
            </w:r>
            <w:r w:rsidR="00932FC0" w:rsidRPr="002067F1">
              <w:rPr>
                <w:rFonts w:ascii="Times New Roman" w:hAnsi="Times New Roman" w:cs="Times New Roman"/>
                <w:sz w:val="24"/>
                <w:szCs w:val="24"/>
              </w:rPr>
              <w:t>irms ģenētisko resursu un ar tiem saistīto tradicionālo zināšanu izmantošanas</w:t>
            </w:r>
            <w:r w:rsidRPr="002067F1">
              <w:rPr>
                <w:rFonts w:ascii="Times New Roman" w:hAnsi="Times New Roman" w:cs="Times New Roman"/>
                <w:sz w:val="24"/>
                <w:szCs w:val="24"/>
              </w:rPr>
              <w:t xml:space="preserve"> lietotājiem</w:t>
            </w:r>
            <w:r w:rsidR="00932FC0" w:rsidRPr="002067F1">
              <w:rPr>
                <w:rFonts w:ascii="Times New Roman" w:hAnsi="Times New Roman" w:cs="Times New Roman"/>
                <w:sz w:val="24"/>
                <w:szCs w:val="24"/>
              </w:rPr>
              <w:t xml:space="preserve"> </w:t>
            </w:r>
            <w:r w:rsidRPr="002067F1">
              <w:rPr>
                <w:rFonts w:ascii="Times New Roman" w:hAnsi="Times New Roman" w:cs="Times New Roman"/>
                <w:sz w:val="24"/>
                <w:szCs w:val="24"/>
              </w:rPr>
              <w:t>jānoskaidro</w:t>
            </w:r>
            <w:r w:rsidR="00932FC0" w:rsidRPr="002067F1">
              <w:rPr>
                <w:rFonts w:ascii="Times New Roman" w:hAnsi="Times New Roman" w:cs="Times New Roman"/>
                <w:sz w:val="24"/>
                <w:szCs w:val="24"/>
              </w:rPr>
              <w:t xml:space="preserve"> </w:t>
            </w:r>
            <w:r w:rsidRPr="002067F1">
              <w:rPr>
                <w:rFonts w:ascii="Times New Roman" w:hAnsi="Times New Roman" w:cs="Times New Roman"/>
                <w:sz w:val="24"/>
                <w:szCs w:val="24"/>
              </w:rPr>
              <w:t xml:space="preserve"> </w:t>
            </w:r>
            <w:r w:rsidR="00932FC0" w:rsidRPr="002067F1">
              <w:rPr>
                <w:rFonts w:ascii="Times New Roman" w:hAnsi="Times New Roman" w:cs="Times New Roman"/>
                <w:sz w:val="24"/>
                <w:szCs w:val="24"/>
              </w:rPr>
              <w:t>attiecīgās valsts nosac</w:t>
            </w:r>
            <w:r w:rsidRPr="002067F1">
              <w:rPr>
                <w:rFonts w:ascii="Times New Roman" w:hAnsi="Times New Roman" w:cs="Times New Roman"/>
                <w:sz w:val="24"/>
                <w:szCs w:val="24"/>
              </w:rPr>
              <w:t>ījumi</w:t>
            </w:r>
            <w:r w:rsidR="008E3638" w:rsidRPr="002067F1">
              <w:rPr>
                <w:rFonts w:ascii="Times New Roman" w:hAnsi="Times New Roman" w:cs="Times New Roman"/>
                <w:sz w:val="24"/>
                <w:szCs w:val="24"/>
              </w:rPr>
              <w:t xml:space="preserve"> </w:t>
            </w:r>
            <w:r w:rsidR="004525E2" w:rsidRPr="002067F1">
              <w:rPr>
                <w:rFonts w:ascii="Times New Roman" w:hAnsi="Times New Roman" w:cs="Times New Roman"/>
                <w:sz w:val="24"/>
                <w:szCs w:val="24"/>
              </w:rPr>
              <w:t xml:space="preserve">piekļuvei </w:t>
            </w:r>
            <w:r w:rsidR="008E3638" w:rsidRPr="002067F1">
              <w:rPr>
                <w:rFonts w:ascii="Times New Roman" w:hAnsi="Times New Roman" w:cs="Times New Roman"/>
                <w:sz w:val="24"/>
                <w:szCs w:val="24"/>
              </w:rPr>
              <w:t>šiem resursiem</w:t>
            </w:r>
            <w:r w:rsidRPr="002067F1">
              <w:rPr>
                <w:rFonts w:ascii="Times New Roman" w:hAnsi="Times New Roman" w:cs="Times New Roman"/>
                <w:sz w:val="24"/>
                <w:szCs w:val="24"/>
              </w:rPr>
              <w:t xml:space="preserve"> </w:t>
            </w:r>
            <w:r w:rsidR="00932FC0" w:rsidRPr="002067F1">
              <w:rPr>
                <w:rFonts w:ascii="Times New Roman" w:hAnsi="Times New Roman" w:cs="Times New Roman"/>
                <w:sz w:val="24"/>
                <w:szCs w:val="24"/>
              </w:rPr>
              <w:t>(jāveic “pienācīga pārbaude”</w:t>
            </w:r>
            <w:r w:rsidR="007D1884" w:rsidRPr="00561FD7">
              <w:rPr>
                <w:vertAlign w:val="superscript"/>
              </w:rPr>
              <w:footnoteReference w:id="11"/>
            </w:r>
            <w:r w:rsidR="00932FC0" w:rsidRPr="002067F1">
              <w:rPr>
                <w:rFonts w:ascii="Times New Roman" w:hAnsi="Times New Roman" w:cs="Times New Roman"/>
                <w:sz w:val="24"/>
                <w:szCs w:val="24"/>
              </w:rPr>
              <w:t>).</w:t>
            </w:r>
          </w:p>
          <w:p w14:paraId="3F13C1F2" w14:textId="7B0A221D" w:rsidR="00AB11AC" w:rsidRPr="002067F1" w:rsidRDefault="00A055AB" w:rsidP="00CA695B">
            <w:pPr>
              <w:pStyle w:val="ListParagraph"/>
              <w:tabs>
                <w:tab w:val="left" w:pos="257"/>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Noskaidrotā</w:t>
            </w:r>
            <w:r w:rsidR="00C765D8">
              <w:rPr>
                <w:rFonts w:ascii="Times New Roman" w:hAnsi="Times New Roman" w:cs="Times New Roman"/>
                <w:sz w:val="24"/>
                <w:szCs w:val="24"/>
              </w:rPr>
              <w:t xml:space="preserve"> inform</w:t>
            </w:r>
            <w:r w:rsidR="003E2304">
              <w:rPr>
                <w:rFonts w:ascii="Times New Roman" w:hAnsi="Times New Roman" w:cs="Times New Roman"/>
                <w:sz w:val="24"/>
                <w:szCs w:val="24"/>
              </w:rPr>
              <w:t xml:space="preserve">ācija </w:t>
            </w:r>
            <w:r w:rsidR="00053F9F">
              <w:rPr>
                <w:rFonts w:ascii="Times New Roman" w:hAnsi="Times New Roman" w:cs="Times New Roman"/>
                <w:sz w:val="24"/>
                <w:szCs w:val="24"/>
              </w:rPr>
              <w:t>un dokumentācija ir jāsaglabā</w:t>
            </w:r>
            <w:r w:rsidR="00C765D8" w:rsidRPr="00CC7955">
              <w:rPr>
                <w:rFonts w:ascii="Times New Roman" w:hAnsi="Times New Roman" w:cs="Times New Roman"/>
                <w:sz w:val="24"/>
                <w:szCs w:val="24"/>
              </w:rPr>
              <w:t xml:space="preserve">. </w:t>
            </w:r>
            <w:r w:rsidR="00053F9F" w:rsidRPr="00CC7955">
              <w:rPr>
                <w:rFonts w:ascii="Times New Roman" w:hAnsi="Times New Roman" w:cs="Times New Roman"/>
                <w:sz w:val="24"/>
                <w:szCs w:val="24"/>
              </w:rPr>
              <w:t xml:space="preserve">Tādā veidā </w:t>
            </w:r>
            <w:r w:rsidR="00CC7955">
              <w:rPr>
                <w:rFonts w:ascii="Times New Roman" w:hAnsi="Times New Roman" w:cs="Times New Roman"/>
                <w:sz w:val="24"/>
                <w:szCs w:val="24"/>
              </w:rPr>
              <w:t>tiek</w:t>
            </w:r>
            <w:r w:rsidR="00CC7955" w:rsidRPr="00CC7955">
              <w:rPr>
                <w:rFonts w:ascii="Times New Roman" w:hAnsi="Times New Roman" w:cs="Times New Roman"/>
                <w:sz w:val="24"/>
                <w:szCs w:val="24"/>
              </w:rPr>
              <w:t xml:space="preserve"> </w:t>
            </w:r>
            <w:r w:rsidR="00CC7955" w:rsidRPr="002067F1">
              <w:rPr>
                <w:rFonts w:ascii="Times New Roman" w:hAnsi="Times New Roman" w:cs="Times New Roman"/>
                <w:sz w:val="24"/>
                <w:szCs w:val="24"/>
              </w:rPr>
              <w:t>nodrošināts, ka</w:t>
            </w:r>
            <w:r w:rsidR="00FE53ED">
              <w:rPr>
                <w:rFonts w:ascii="Times New Roman" w:hAnsi="Times New Roman" w:cs="Times New Roman"/>
                <w:sz w:val="24"/>
                <w:szCs w:val="24"/>
              </w:rPr>
              <w:t xml:space="preserve"> </w:t>
            </w:r>
            <w:r w:rsidR="00CC7955" w:rsidRPr="002067F1">
              <w:t>vajadzīgā informācija</w:t>
            </w:r>
            <w:r w:rsidR="00FE53ED">
              <w:rPr>
                <w:rFonts w:ascii="Times New Roman" w:hAnsi="Times New Roman" w:cs="Times New Roman"/>
                <w:sz w:val="24"/>
                <w:szCs w:val="24"/>
              </w:rPr>
              <w:t xml:space="preserve"> </w:t>
            </w:r>
            <w:r w:rsidR="00CC7955" w:rsidRPr="002067F1">
              <w:rPr>
                <w:rFonts w:ascii="Times New Roman" w:hAnsi="Times New Roman" w:cs="Times New Roman"/>
                <w:sz w:val="24"/>
                <w:szCs w:val="24"/>
              </w:rPr>
              <w:t xml:space="preserve">saistībā ar </w:t>
            </w:r>
            <w:r w:rsidR="00313EB2" w:rsidRPr="002067F1">
              <w:rPr>
                <w:rFonts w:ascii="Times New Roman" w:hAnsi="Times New Roman" w:cs="Times New Roman"/>
                <w:sz w:val="24"/>
                <w:szCs w:val="24"/>
              </w:rPr>
              <w:t xml:space="preserve">konkrētajiem </w:t>
            </w:r>
            <w:r w:rsidR="00CC7955" w:rsidRPr="002067F1">
              <w:rPr>
                <w:rFonts w:ascii="Times New Roman" w:hAnsi="Times New Roman" w:cs="Times New Roman"/>
                <w:sz w:val="24"/>
                <w:szCs w:val="24"/>
              </w:rPr>
              <w:t xml:space="preserve">ģenētiskajiem resursiem ir pieejama visā </w:t>
            </w:r>
            <w:r w:rsidR="00313EB2" w:rsidRPr="002067F1">
              <w:rPr>
                <w:rFonts w:ascii="Times New Roman" w:hAnsi="Times New Roman" w:cs="Times New Roman"/>
                <w:sz w:val="24"/>
                <w:szCs w:val="24"/>
              </w:rPr>
              <w:t>šo</w:t>
            </w:r>
            <w:r w:rsidR="00CC7955" w:rsidRPr="002067F1">
              <w:rPr>
                <w:rFonts w:ascii="Times New Roman" w:hAnsi="Times New Roman" w:cs="Times New Roman"/>
                <w:sz w:val="24"/>
                <w:szCs w:val="24"/>
              </w:rPr>
              <w:t xml:space="preserve"> resursu izmantošanas vērtības ķēdē </w:t>
            </w:r>
            <w:r w:rsidR="00CC7955" w:rsidRPr="006562BB">
              <w:rPr>
                <w:rFonts w:ascii="Times New Roman" w:hAnsi="Times New Roman" w:cs="Times New Roman"/>
                <w:sz w:val="24"/>
                <w:szCs w:val="24"/>
                <w:shd w:val="clear" w:color="auto" w:fill="FFFFFF"/>
              </w:rPr>
              <w:t xml:space="preserve">Eiropas Savienībā </w:t>
            </w:r>
            <w:r w:rsidR="00CC7955" w:rsidRPr="002067F1">
              <w:rPr>
                <w:rFonts w:ascii="Times New Roman" w:hAnsi="Times New Roman" w:cs="Times New Roman"/>
                <w:sz w:val="24"/>
                <w:szCs w:val="24"/>
              </w:rPr>
              <w:t xml:space="preserve">(sākot ar izpēti un beidzot ar produkta laišanu tirgū) un </w:t>
            </w:r>
            <w:r w:rsidR="003E2304" w:rsidRPr="002067F1">
              <w:rPr>
                <w:rFonts w:ascii="Times New Roman" w:hAnsi="Times New Roman" w:cs="Times New Roman"/>
                <w:sz w:val="24"/>
                <w:szCs w:val="24"/>
              </w:rPr>
              <w:t xml:space="preserve">esošais un turpmākie </w:t>
            </w:r>
            <w:r w:rsidR="00CC7955" w:rsidRPr="002067F1">
              <w:rPr>
                <w:rFonts w:ascii="Times New Roman" w:hAnsi="Times New Roman" w:cs="Times New Roman"/>
                <w:sz w:val="24"/>
                <w:szCs w:val="24"/>
              </w:rPr>
              <w:t>resursu lietotāji var uzzināt un ievērot sava</w:t>
            </w:r>
            <w:r w:rsidR="002420AC" w:rsidRPr="002067F1">
              <w:rPr>
                <w:rFonts w:ascii="Times New Roman" w:hAnsi="Times New Roman" w:cs="Times New Roman"/>
                <w:sz w:val="24"/>
                <w:szCs w:val="24"/>
              </w:rPr>
              <w:t>s</w:t>
            </w:r>
            <w:r w:rsidR="00CC7955" w:rsidRPr="002067F1">
              <w:rPr>
                <w:rFonts w:ascii="Times New Roman" w:hAnsi="Times New Roman" w:cs="Times New Roman"/>
                <w:sz w:val="24"/>
                <w:szCs w:val="24"/>
              </w:rPr>
              <w:t xml:space="preserve"> tiesības un pienākumus.</w:t>
            </w:r>
          </w:p>
          <w:p w14:paraId="7874AB32" w14:textId="55EAFA60" w:rsidR="00CC7955" w:rsidRPr="0099264C" w:rsidRDefault="00D00F12" w:rsidP="00CA695B">
            <w:pPr>
              <w:pStyle w:val="ListParagraph"/>
              <w:tabs>
                <w:tab w:val="left" w:pos="257"/>
              </w:tabs>
              <w:spacing w:after="120" w:line="240" w:lineRule="auto"/>
              <w:ind w:left="0"/>
              <w:contextualSpacing w:val="0"/>
              <w:jc w:val="both"/>
              <w:rPr>
                <w:rFonts w:ascii="Times New Roman" w:hAnsi="Times New Roman" w:cs="Times New Roman"/>
                <w:sz w:val="24"/>
                <w:szCs w:val="24"/>
              </w:rPr>
            </w:pPr>
            <w:r w:rsidRPr="002067F1">
              <w:rPr>
                <w:rFonts w:ascii="Times New Roman" w:hAnsi="Times New Roman" w:cs="Times New Roman"/>
                <w:sz w:val="24"/>
                <w:szCs w:val="24"/>
              </w:rPr>
              <w:t>Regu</w:t>
            </w:r>
            <w:r w:rsidR="004C0543" w:rsidRPr="002067F1">
              <w:rPr>
                <w:rFonts w:ascii="Times New Roman" w:hAnsi="Times New Roman" w:cs="Times New Roman"/>
                <w:sz w:val="24"/>
                <w:szCs w:val="24"/>
              </w:rPr>
              <w:t>las 4. panta 3. punktā noteikts, ka l</w:t>
            </w:r>
            <w:r w:rsidR="00330674" w:rsidRPr="0099264C">
              <w:rPr>
                <w:rFonts w:ascii="Times New Roman" w:hAnsi="Times New Roman" w:cs="Times New Roman"/>
                <w:sz w:val="24"/>
                <w:szCs w:val="24"/>
              </w:rPr>
              <w:t>ietotāji noskaidro, glabā un nodod turpmākiem lietotājiem:</w:t>
            </w:r>
          </w:p>
          <w:tbl>
            <w:tblPr>
              <w:tblW w:w="5000" w:type="pct"/>
              <w:tblCellSpacing w:w="0" w:type="dxa"/>
              <w:tblLayout w:type="fixed"/>
              <w:tblCellMar>
                <w:left w:w="0" w:type="dxa"/>
                <w:right w:w="0" w:type="dxa"/>
              </w:tblCellMar>
              <w:tblLook w:val="04A0" w:firstRow="1" w:lastRow="0" w:firstColumn="1" w:lastColumn="0" w:noHBand="0" w:noVBand="1"/>
            </w:tblPr>
            <w:tblGrid>
              <w:gridCol w:w="5289"/>
            </w:tblGrid>
            <w:tr w:rsidR="003E75B0" w:rsidRPr="00CE5569" w14:paraId="4BD53EAB" w14:textId="77777777" w:rsidTr="00765971">
              <w:trPr>
                <w:tblCellSpacing w:w="0" w:type="dxa"/>
              </w:trPr>
              <w:tc>
                <w:tcPr>
                  <w:tcW w:w="8640" w:type="dxa"/>
                  <w:hideMark/>
                </w:tcPr>
                <w:p w14:paraId="0B9770F6" w14:textId="77777777" w:rsidR="003E75B0" w:rsidRPr="002067F1" w:rsidRDefault="003E75B0" w:rsidP="00A35C90">
                  <w:pPr>
                    <w:pStyle w:val="ListParagraph"/>
                    <w:tabs>
                      <w:tab w:val="left" w:pos="358"/>
                    </w:tabs>
                    <w:spacing w:before="120" w:after="0" w:line="240" w:lineRule="auto"/>
                    <w:ind w:left="129"/>
                    <w:jc w:val="both"/>
                    <w:rPr>
                      <w:rFonts w:ascii="Times New Roman" w:hAnsi="Times New Roman" w:cs="Times New Roman"/>
                      <w:sz w:val="24"/>
                      <w:szCs w:val="24"/>
                    </w:rPr>
                  </w:pPr>
                  <w:r w:rsidRPr="002067F1">
                    <w:rPr>
                      <w:rFonts w:ascii="Times New Roman" w:hAnsi="Times New Roman" w:cs="Times New Roman"/>
                      <w:sz w:val="24"/>
                      <w:szCs w:val="24"/>
                    </w:rPr>
                    <w:t>starptautiski atz</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to atbilst</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bas sertifik</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tu, k</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 xml:space="preserve"> ar</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 xml:space="preserve"> inform</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ciju par savstarp</w:t>
                  </w:r>
                  <w:r w:rsidRPr="002067F1">
                    <w:rPr>
                      <w:rFonts w:ascii="Times New Roman" w:hAnsi="Times New Roman" w:cs="Times New Roman" w:hint="eastAsia"/>
                      <w:sz w:val="24"/>
                      <w:szCs w:val="24"/>
                    </w:rPr>
                    <w:t>ē</w:t>
                  </w:r>
                  <w:r w:rsidRPr="002067F1">
                    <w:rPr>
                      <w:rFonts w:ascii="Times New Roman" w:hAnsi="Times New Roman" w:cs="Times New Roman"/>
                      <w:sz w:val="24"/>
                      <w:szCs w:val="24"/>
                    </w:rPr>
                    <w:t>ji saska</w:t>
                  </w:r>
                  <w:r w:rsidRPr="002067F1">
                    <w:rPr>
                      <w:rFonts w:ascii="Times New Roman" w:hAnsi="Times New Roman" w:cs="Times New Roman" w:hint="eastAsia"/>
                      <w:sz w:val="24"/>
                      <w:szCs w:val="24"/>
                    </w:rPr>
                    <w:t>ņ</w:t>
                  </w:r>
                  <w:r w:rsidRPr="002067F1">
                    <w:rPr>
                      <w:rFonts w:ascii="Times New Roman" w:hAnsi="Times New Roman" w:cs="Times New Roman"/>
                      <w:sz w:val="24"/>
                      <w:szCs w:val="24"/>
                    </w:rPr>
                    <w:t>oto noteikumu saturu, kas attiecas uz turpm</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kiem lietot</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jiem;</w:t>
                  </w:r>
                </w:p>
              </w:tc>
            </w:tr>
          </w:tbl>
          <w:p w14:paraId="4ED213E4" w14:textId="77777777" w:rsidR="003E75B0" w:rsidRPr="002067F1" w:rsidRDefault="003E75B0" w:rsidP="003E75B0">
            <w:pPr>
              <w:spacing w:after="0" w:line="240" w:lineRule="auto"/>
              <w:rPr>
                <w:rFonts w:ascii="Times New Roman" w:hAnsi="Times New Roman" w:cs="Times New Roman"/>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130"/>
              <w:gridCol w:w="5159"/>
            </w:tblGrid>
            <w:tr w:rsidR="003E75B0" w:rsidRPr="00CE5569" w14:paraId="019FFB74" w14:textId="77777777" w:rsidTr="00765971">
              <w:trPr>
                <w:tblCellSpacing w:w="0" w:type="dxa"/>
              </w:trPr>
              <w:tc>
                <w:tcPr>
                  <w:tcW w:w="200" w:type="dxa"/>
                  <w:hideMark/>
                </w:tcPr>
                <w:p w14:paraId="6C51EFA3" w14:textId="77777777" w:rsidR="003E75B0" w:rsidRPr="002067F1" w:rsidRDefault="003E75B0" w:rsidP="003E75B0">
                  <w:pPr>
                    <w:spacing w:before="120" w:after="0" w:line="240" w:lineRule="auto"/>
                    <w:jc w:val="both"/>
                    <w:rPr>
                      <w:rFonts w:ascii="Times New Roman" w:hAnsi="Times New Roman" w:cs="Times New Roman"/>
                      <w:sz w:val="24"/>
                      <w:szCs w:val="24"/>
                    </w:rPr>
                  </w:pPr>
                </w:p>
              </w:tc>
              <w:tc>
                <w:tcPr>
                  <w:tcW w:w="8440" w:type="dxa"/>
                  <w:hideMark/>
                </w:tcPr>
                <w:p w14:paraId="1E6329F1" w14:textId="710B90E2" w:rsidR="003E75B0" w:rsidRPr="002067F1" w:rsidRDefault="003E75B0" w:rsidP="003E75B0">
                  <w:pPr>
                    <w:spacing w:before="120" w:after="0" w:line="240" w:lineRule="auto"/>
                    <w:jc w:val="both"/>
                    <w:rPr>
                      <w:rFonts w:ascii="Times New Roman" w:hAnsi="Times New Roman" w:cs="Times New Roman"/>
                      <w:sz w:val="24"/>
                      <w:szCs w:val="24"/>
                    </w:rPr>
                  </w:pPr>
                  <w:r w:rsidRPr="002067F1">
                    <w:rPr>
                      <w:rFonts w:ascii="Times New Roman" w:hAnsi="Times New Roman" w:cs="Times New Roman"/>
                      <w:sz w:val="24"/>
                      <w:szCs w:val="24"/>
                    </w:rPr>
                    <w:t>ja starptautiski atz</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ts atbilst</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bas sertifik</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ts nav pieejams, inform</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ciju un attiec</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gus dokumentus par:</w:t>
                  </w:r>
                </w:p>
                <w:tbl>
                  <w:tblPr>
                    <w:tblW w:w="5000" w:type="pct"/>
                    <w:tblCellSpacing w:w="0" w:type="dxa"/>
                    <w:tblLayout w:type="fixed"/>
                    <w:tblCellMar>
                      <w:left w:w="0" w:type="dxa"/>
                      <w:right w:w="0" w:type="dxa"/>
                    </w:tblCellMar>
                    <w:tblLook w:val="04A0" w:firstRow="1" w:lastRow="0" w:firstColumn="1" w:lastColumn="0" w:noHBand="0" w:noVBand="1"/>
                  </w:tblPr>
                  <w:tblGrid>
                    <w:gridCol w:w="97"/>
                    <w:gridCol w:w="5062"/>
                  </w:tblGrid>
                  <w:tr w:rsidR="003E75B0" w:rsidRPr="00CE5569" w14:paraId="257A82C1" w14:textId="77777777" w:rsidTr="00765971">
                    <w:trPr>
                      <w:tblCellSpacing w:w="0" w:type="dxa"/>
                    </w:trPr>
                    <w:tc>
                      <w:tcPr>
                        <w:tcW w:w="147" w:type="dxa"/>
                        <w:hideMark/>
                      </w:tcPr>
                      <w:p w14:paraId="5D4CC16A" w14:textId="77777777" w:rsidR="003E75B0" w:rsidRPr="002067F1" w:rsidRDefault="003E75B0" w:rsidP="003E75B0">
                        <w:pPr>
                          <w:pStyle w:val="ListParagraph"/>
                          <w:numPr>
                            <w:ilvl w:val="0"/>
                            <w:numId w:val="13"/>
                          </w:numPr>
                          <w:spacing w:before="120" w:after="0" w:line="240" w:lineRule="auto"/>
                          <w:ind w:left="566" w:hanging="284"/>
                          <w:jc w:val="both"/>
                          <w:rPr>
                            <w:rFonts w:ascii="Times New Roman" w:hAnsi="Times New Roman" w:cs="Times New Roman"/>
                            <w:sz w:val="24"/>
                            <w:szCs w:val="24"/>
                          </w:rPr>
                        </w:pPr>
                      </w:p>
                    </w:tc>
                    <w:tc>
                      <w:tcPr>
                        <w:tcW w:w="8293" w:type="dxa"/>
                        <w:hideMark/>
                      </w:tcPr>
                      <w:p w14:paraId="64A4E88E" w14:textId="77777777" w:rsidR="003E75B0" w:rsidRPr="002067F1" w:rsidRDefault="003E75B0" w:rsidP="003E75B0">
                        <w:pPr>
                          <w:pStyle w:val="ListParagraph"/>
                          <w:numPr>
                            <w:ilvl w:val="0"/>
                            <w:numId w:val="13"/>
                          </w:numPr>
                          <w:spacing w:before="120" w:after="0" w:line="240" w:lineRule="auto"/>
                          <w:ind w:left="566" w:hanging="284"/>
                          <w:jc w:val="both"/>
                          <w:rPr>
                            <w:rFonts w:ascii="Times New Roman" w:hAnsi="Times New Roman" w:cs="Times New Roman"/>
                            <w:sz w:val="24"/>
                            <w:szCs w:val="24"/>
                          </w:rPr>
                        </w:pPr>
                        <w:r w:rsidRPr="002067F1">
                          <w:rPr>
                            <w:rFonts w:ascii="Times New Roman" w:hAnsi="Times New Roman" w:cs="Times New Roman"/>
                            <w:sz w:val="24"/>
                            <w:szCs w:val="24"/>
                          </w:rPr>
                          <w:t>datumu un vietu, kad un kur piek</w:t>
                        </w:r>
                        <w:r w:rsidRPr="002067F1">
                          <w:rPr>
                            <w:rFonts w:ascii="Times New Roman" w:hAnsi="Times New Roman" w:cs="Times New Roman" w:hint="eastAsia"/>
                            <w:sz w:val="24"/>
                            <w:szCs w:val="24"/>
                          </w:rPr>
                          <w:t>ļū</w:t>
                        </w:r>
                        <w:r w:rsidRPr="002067F1">
                          <w:rPr>
                            <w:rFonts w:ascii="Times New Roman" w:hAnsi="Times New Roman" w:cs="Times New Roman"/>
                            <w:sz w:val="24"/>
                            <w:szCs w:val="24"/>
                          </w:rPr>
                          <w:t xml:space="preserve">ts </w:t>
                        </w:r>
                        <w:r w:rsidRPr="002067F1">
                          <w:rPr>
                            <w:rFonts w:ascii="Times New Roman" w:hAnsi="Times New Roman" w:cs="Times New Roman" w:hint="eastAsia"/>
                            <w:sz w:val="24"/>
                            <w:szCs w:val="24"/>
                          </w:rPr>
                          <w:t>ģ</w:t>
                        </w:r>
                        <w:r w:rsidRPr="002067F1">
                          <w:rPr>
                            <w:rFonts w:ascii="Times New Roman" w:hAnsi="Times New Roman" w:cs="Times New Roman"/>
                            <w:sz w:val="24"/>
                            <w:szCs w:val="24"/>
                          </w:rPr>
                          <w:t>en</w:t>
                        </w:r>
                        <w:r w:rsidRPr="002067F1">
                          <w:rPr>
                            <w:rFonts w:ascii="Times New Roman" w:hAnsi="Times New Roman" w:cs="Times New Roman" w:hint="eastAsia"/>
                            <w:sz w:val="24"/>
                            <w:szCs w:val="24"/>
                          </w:rPr>
                          <w:t>ē</w:t>
                        </w:r>
                        <w:r w:rsidRPr="002067F1">
                          <w:rPr>
                            <w:rFonts w:ascii="Times New Roman" w:hAnsi="Times New Roman" w:cs="Times New Roman"/>
                            <w:sz w:val="24"/>
                            <w:szCs w:val="24"/>
                          </w:rPr>
                          <w:t xml:space="preserve">tiskajiem resursiem vai ar </w:t>
                        </w:r>
                        <w:r w:rsidRPr="002067F1">
                          <w:rPr>
                            <w:rFonts w:ascii="Times New Roman" w:hAnsi="Times New Roman" w:cs="Times New Roman" w:hint="eastAsia"/>
                            <w:sz w:val="24"/>
                            <w:szCs w:val="24"/>
                          </w:rPr>
                          <w:t>ģ</w:t>
                        </w:r>
                        <w:r w:rsidRPr="002067F1">
                          <w:rPr>
                            <w:rFonts w:ascii="Times New Roman" w:hAnsi="Times New Roman" w:cs="Times New Roman"/>
                            <w:sz w:val="24"/>
                            <w:szCs w:val="24"/>
                          </w:rPr>
                          <w:t>en</w:t>
                        </w:r>
                        <w:r w:rsidRPr="002067F1">
                          <w:rPr>
                            <w:rFonts w:ascii="Times New Roman" w:hAnsi="Times New Roman" w:cs="Times New Roman" w:hint="eastAsia"/>
                            <w:sz w:val="24"/>
                            <w:szCs w:val="24"/>
                          </w:rPr>
                          <w:t>ē</w:t>
                        </w:r>
                        <w:r w:rsidRPr="002067F1">
                          <w:rPr>
                            <w:rFonts w:ascii="Times New Roman" w:hAnsi="Times New Roman" w:cs="Times New Roman"/>
                            <w:sz w:val="24"/>
                            <w:szCs w:val="24"/>
                          </w:rPr>
                          <w:t>tiskajiem resursiem saist</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taj</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m tradicion</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laj</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m zin</w:t>
                        </w:r>
                        <w:r w:rsidRPr="002067F1">
                          <w:rPr>
                            <w:rFonts w:ascii="Times New Roman" w:hAnsi="Times New Roman" w:cs="Times New Roman" w:hint="eastAsia"/>
                            <w:sz w:val="24"/>
                            <w:szCs w:val="24"/>
                          </w:rPr>
                          <w:t>āš</w:t>
                        </w:r>
                        <w:r w:rsidRPr="002067F1">
                          <w:rPr>
                            <w:rFonts w:ascii="Times New Roman" w:hAnsi="Times New Roman" w:cs="Times New Roman"/>
                            <w:sz w:val="24"/>
                            <w:szCs w:val="24"/>
                          </w:rPr>
                          <w:t>an</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m;</w:t>
                        </w:r>
                      </w:p>
                    </w:tc>
                  </w:tr>
                </w:tbl>
                <w:p w14:paraId="67F6E08E" w14:textId="77777777" w:rsidR="003E75B0" w:rsidRPr="002067F1" w:rsidRDefault="003E75B0" w:rsidP="003E75B0">
                  <w:pPr>
                    <w:spacing w:after="0" w:line="240" w:lineRule="auto"/>
                    <w:ind w:left="566" w:hanging="284"/>
                    <w:jc w:val="both"/>
                    <w:rPr>
                      <w:rFonts w:ascii="Times New Roman" w:hAnsi="Times New Roman" w:cs="Times New Roman"/>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138"/>
                    <w:gridCol w:w="5021"/>
                  </w:tblGrid>
                  <w:tr w:rsidR="003E75B0" w:rsidRPr="00CE5569" w14:paraId="562B9668" w14:textId="77777777" w:rsidTr="00765971">
                    <w:trPr>
                      <w:tblCellSpacing w:w="0" w:type="dxa"/>
                    </w:trPr>
                    <w:tc>
                      <w:tcPr>
                        <w:tcW w:w="214" w:type="dxa"/>
                        <w:hideMark/>
                      </w:tcPr>
                      <w:p w14:paraId="05119B81" w14:textId="77777777" w:rsidR="003E75B0" w:rsidRPr="002067F1" w:rsidRDefault="003E75B0" w:rsidP="003E75B0">
                        <w:pPr>
                          <w:pStyle w:val="ListParagraph"/>
                          <w:numPr>
                            <w:ilvl w:val="0"/>
                            <w:numId w:val="13"/>
                          </w:numPr>
                          <w:spacing w:before="120" w:after="0" w:line="240" w:lineRule="auto"/>
                          <w:ind w:left="566" w:hanging="284"/>
                          <w:jc w:val="both"/>
                          <w:rPr>
                            <w:rFonts w:ascii="Times New Roman" w:hAnsi="Times New Roman" w:cs="Times New Roman"/>
                            <w:sz w:val="24"/>
                            <w:szCs w:val="24"/>
                          </w:rPr>
                        </w:pPr>
                      </w:p>
                    </w:tc>
                    <w:tc>
                      <w:tcPr>
                        <w:tcW w:w="8226" w:type="dxa"/>
                        <w:hideMark/>
                      </w:tcPr>
                      <w:p w14:paraId="0F875744" w14:textId="77777777" w:rsidR="003E75B0" w:rsidRPr="002067F1" w:rsidRDefault="003E75B0" w:rsidP="003E75B0">
                        <w:pPr>
                          <w:pStyle w:val="ListParagraph"/>
                          <w:numPr>
                            <w:ilvl w:val="0"/>
                            <w:numId w:val="13"/>
                          </w:numPr>
                          <w:spacing w:before="120" w:after="0" w:line="240" w:lineRule="auto"/>
                          <w:ind w:left="566" w:hanging="284"/>
                          <w:jc w:val="both"/>
                          <w:rPr>
                            <w:rFonts w:ascii="Times New Roman" w:hAnsi="Times New Roman" w:cs="Times New Roman"/>
                            <w:sz w:val="24"/>
                            <w:szCs w:val="24"/>
                          </w:rPr>
                        </w:pPr>
                        <w:r w:rsidRPr="002067F1">
                          <w:rPr>
                            <w:rFonts w:ascii="Times New Roman" w:hAnsi="Times New Roman" w:cs="Times New Roman"/>
                            <w:sz w:val="24"/>
                            <w:szCs w:val="24"/>
                          </w:rPr>
                          <w:t xml:space="preserve">aprakstu par izmantotajiem </w:t>
                        </w:r>
                        <w:r w:rsidRPr="002067F1">
                          <w:rPr>
                            <w:rFonts w:ascii="Times New Roman" w:hAnsi="Times New Roman" w:cs="Times New Roman" w:hint="eastAsia"/>
                            <w:sz w:val="24"/>
                            <w:szCs w:val="24"/>
                          </w:rPr>
                          <w:t>ģ</w:t>
                        </w:r>
                        <w:r w:rsidRPr="002067F1">
                          <w:rPr>
                            <w:rFonts w:ascii="Times New Roman" w:hAnsi="Times New Roman" w:cs="Times New Roman"/>
                            <w:sz w:val="24"/>
                            <w:szCs w:val="24"/>
                          </w:rPr>
                          <w:t>en</w:t>
                        </w:r>
                        <w:r w:rsidRPr="002067F1">
                          <w:rPr>
                            <w:rFonts w:ascii="Times New Roman" w:hAnsi="Times New Roman" w:cs="Times New Roman" w:hint="eastAsia"/>
                            <w:sz w:val="24"/>
                            <w:szCs w:val="24"/>
                          </w:rPr>
                          <w:t>ē</w:t>
                        </w:r>
                        <w:r w:rsidRPr="002067F1">
                          <w:rPr>
                            <w:rFonts w:ascii="Times New Roman" w:hAnsi="Times New Roman" w:cs="Times New Roman"/>
                            <w:sz w:val="24"/>
                            <w:szCs w:val="24"/>
                          </w:rPr>
                          <w:t xml:space="preserve">tiskajiem resursiem vai ar </w:t>
                        </w:r>
                        <w:r w:rsidRPr="002067F1">
                          <w:rPr>
                            <w:rFonts w:ascii="Times New Roman" w:hAnsi="Times New Roman" w:cs="Times New Roman" w:hint="eastAsia"/>
                            <w:sz w:val="24"/>
                            <w:szCs w:val="24"/>
                          </w:rPr>
                          <w:t>ģ</w:t>
                        </w:r>
                        <w:r w:rsidRPr="002067F1">
                          <w:rPr>
                            <w:rFonts w:ascii="Times New Roman" w:hAnsi="Times New Roman" w:cs="Times New Roman"/>
                            <w:sz w:val="24"/>
                            <w:szCs w:val="24"/>
                          </w:rPr>
                          <w:t>en</w:t>
                        </w:r>
                        <w:r w:rsidRPr="002067F1">
                          <w:rPr>
                            <w:rFonts w:ascii="Times New Roman" w:hAnsi="Times New Roman" w:cs="Times New Roman" w:hint="eastAsia"/>
                            <w:sz w:val="24"/>
                            <w:szCs w:val="24"/>
                          </w:rPr>
                          <w:t>ē</w:t>
                        </w:r>
                        <w:r w:rsidRPr="002067F1">
                          <w:rPr>
                            <w:rFonts w:ascii="Times New Roman" w:hAnsi="Times New Roman" w:cs="Times New Roman"/>
                            <w:sz w:val="24"/>
                            <w:szCs w:val="24"/>
                          </w:rPr>
                          <w:t>tiskajiem resursiem saist</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taj</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m tradicion</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laj</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m zin</w:t>
                        </w:r>
                        <w:r w:rsidRPr="002067F1">
                          <w:rPr>
                            <w:rFonts w:ascii="Times New Roman" w:hAnsi="Times New Roman" w:cs="Times New Roman" w:hint="eastAsia"/>
                            <w:sz w:val="24"/>
                            <w:szCs w:val="24"/>
                          </w:rPr>
                          <w:t>āš</w:t>
                        </w:r>
                        <w:r w:rsidRPr="002067F1">
                          <w:rPr>
                            <w:rFonts w:ascii="Times New Roman" w:hAnsi="Times New Roman" w:cs="Times New Roman"/>
                            <w:sz w:val="24"/>
                            <w:szCs w:val="24"/>
                          </w:rPr>
                          <w:t>an</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m, kas izmantotas;</w:t>
                        </w:r>
                      </w:p>
                    </w:tc>
                  </w:tr>
                </w:tbl>
                <w:p w14:paraId="6135F14A" w14:textId="77777777" w:rsidR="003E75B0" w:rsidRPr="002067F1" w:rsidRDefault="003E75B0" w:rsidP="003E75B0">
                  <w:pPr>
                    <w:spacing w:after="0" w:line="240" w:lineRule="auto"/>
                    <w:ind w:left="566" w:hanging="284"/>
                    <w:jc w:val="both"/>
                    <w:rPr>
                      <w:rFonts w:ascii="Times New Roman" w:hAnsi="Times New Roman" w:cs="Times New Roman"/>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178"/>
                    <w:gridCol w:w="4981"/>
                  </w:tblGrid>
                  <w:tr w:rsidR="003E75B0" w:rsidRPr="00CE5569" w14:paraId="4D8771CA" w14:textId="77777777" w:rsidTr="00765971">
                    <w:trPr>
                      <w:tblCellSpacing w:w="0" w:type="dxa"/>
                    </w:trPr>
                    <w:tc>
                      <w:tcPr>
                        <w:tcW w:w="280" w:type="dxa"/>
                        <w:hideMark/>
                      </w:tcPr>
                      <w:p w14:paraId="6D769818" w14:textId="77777777" w:rsidR="003E75B0" w:rsidRPr="002067F1" w:rsidRDefault="003E75B0" w:rsidP="003E75B0">
                        <w:pPr>
                          <w:pStyle w:val="ListParagraph"/>
                          <w:numPr>
                            <w:ilvl w:val="0"/>
                            <w:numId w:val="13"/>
                          </w:numPr>
                          <w:spacing w:before="120" w:after="0" w:line="240" w:lineRule="auto"/>
                          <w:ind w:left="566" w:hanging="284"/>
                          <w:jc w:val="both"/>
                          <w:rPr>
                            <w:rFonts w:ascii="Times New Roman" w:hAnsi="Times New Roman" w:cs="Times New Roman"/>
                            <w:sz w:val="24"/>
                            <w:szCs w:val="24"/>
                          </w:rPr>
                        </w:pPr>
                      </w:p>
                    </w:tc>
                    <w:tc>
                      <w:tcPr>
                        <w:tcW w:w="8160" w:type="dxa"/>
                        <w:hideMark/>
                      </w:tcPr>
                      <w:p w14:paraId="79B5C65A" w14:textId="77777777" w:rsidR="003E75B0" w:rsidRPr="002067F1" w:rsidRDefault="003E75B0" w:rsidP="003E75B0">
                        <w:pPr>
                          <w:pStyle w:val="ListParagraph"/>
                          <w:numPr>
                            <w:ilvl w:val="0"/>
                            <w:numId w:val="13"/>
                          </w:numPr>
                          <w:spacing w:before="120" w:after="0" w:line="240" w:lineRule="auto"/>
                          <w:ind w:left="566" w:hanging="284"/>
                          <w:jc w:val="both"/>
                          <w:rPr>
                            <w:rFonts w:ascii="Times New Roman" w:hAnsi="Times New Roman" w:cs="Times New Roman"/>
                            <w:sz w:val="24"/>
                            <w:szCs w:val="24"/>
                          </w:rPr>
                        </w:pPr>
                        <w:r w:rsidRPr="002067F1">
                          <w:rPr>
                            <w:rFonts w:ascii="Times New Roman" w:hAnsi="Times New Roman" w:cs="Times New Roman"/>
                            <w:sz w:val="24"/>
                            <w:szCs w:val="24"/>
                          </w:rPr>
                          <w:t xml:space="preserve">avotu, no kura </w:t>
                        </w:r>
                        <w:r w:rsidRPr="002067F1">
                          <w:rPr>
                            <w:rFonts w:ascii="Times New Roman" w:hAnsi="Times New Roman" w:cs="Times New Roman" w:hint="eastAsia"/>
                            <w:sz w:val="24"/>
                            <w:szCs w:val="24"/>
                          </w:rPr>
                          <w:t>ģ</w:t>
                        </w:r>
                        <w:r w:rsidRPr="002067F1">
                          <w:rPr>
                            <w:rFonts w:ascii="Times New Roman" w:hAnsi="Times New Roman" w:cs="Times New Roman"/>
                            <w:sz w:val="24"/>
                            <w:szCs w:val="24"/>
                          </w:rPr>
                          <w:t>en</w:t>
                        </w:r>
                        <w:r w:rsidRPr="002067F1">
                          <w:rPr>
                            <w:rFonts w:ascii="Times New Roman" w:hAnsi="Times New Roman" w:cs="Times New Roman" w:hint="eastAsia"/>
                            <w:sz w:val="24"/>
                            <w:szCs w:val="24"/>
                          </w:rPr>
                          <w:t>ē</w:t>
                        </w:r>
                        <w:r w:rsidRPr="002067F1">
                          <w:rPr>
                            <w:rFonts w:ascii="Times New Roman" w:hAnsi="Times New Roman" w:cs="Times New Roman"/>
                            <w:sz w:val="24"/>
                            <w:szCs w:val="24"/>
                          </w:rPr>
                          <w:t xml:space="preserve">tiskie resursi vai ar </w:t>
                        </w:r>
                        <w:r w:rsidRPr="002067F1">
                          <w:rPr>
                            <w:rFonts w:ascii="Times New Roman" w:hAnsi="Times New Roman" w:cs="Times New Roman" w:hint="eastAsia"/>
                            <w:sz w:val="24"/>
                            <w:szCs w:val="24"/>
                          </w:rPr>
                          <w:t>ģ</w:t>
                        </w:r>
                        <w:r w:rsidRPr="002067F1">
                          <w:rPr>
                            <w:rFonts w:ascii="Times New Roman" w:hAnsi="Times New Roman" w:cs="Times New Roman"/>
                            <w:sz w:val="24"/>
                            <w:szCs w:val="24"/>
                          </w:rPr>
                          <w:t>en</w:t>
                        </w:r>
                        <w:r w:rsidRPr="002067F1">
                          <w:rPr>
                            <w:rFonts w:ascii="Times New Roman" w:hAnsi="Times New Roman" w:cs="Times New Roman" w:hint="eastAsia"/>
                            <w:sz w:val="24"/>
                            <w:szCs w:val="24"/>
                          </w:rPr>
                          <w:t>ē</w:t>
                        </w:r>
                        <w:r w:rsidRPr="002067F1">
                          <w:rPr>
                            <w:rFonts w:ascii="Times New Roman" w:hAnsi="Times New Roman" w:cs="Times New Roman"/>
                            <w:sz w:val="24"/>
                            <w:szCs w:val="24"/>
                          </w:rPr>
                          <w:t>tiskajiem resursiem saist</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t</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s tradicion</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l</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s zin</w:t>
                        </w:r>
                        <w:r w:rsidRPr="002067F1">
                          <w:rPr>
                            <w:rFonts w:ascii="Times New Roman" w:hAnsi="Times New Roman" w:cs="Times New Roman" w:hint="eastAsia"/>
                            <w:sz w:val="24"/>
                            <w:szCs w:val="24"/>
                          </w:rPr>
                          <w:t>āš</w:t>
                        </w:r>
                        <w:r w:rsidRPr="002067F1">
                          <w:rPr>
                            <w:rFonts w:ascii="Times New Roman" w:hAnsi="Times New Roman" w:cs="Times New Roman"/>
                            <w:sz w:val="24"/>
                            <w:szCs w:val="24"/>
                          </w:rPr>
                          <w:t>anas ir tie</w:t>
                        </w:r>
                        <w:r w:rsidRPr="002067F1">
                          <w:rPr>
                            <w:rFonts w:ascii="Times New Roman" w:hAnsi="Times New Roman" w:cs="Times New Roman" w:hint="eastAsia"/>
                            <w:sz w:val="24"/>
                            <w:szCs w:val="24"/>
                          </w:rPr>
                          <w:t>š</w:t>
                        </w:r>
                        <w:r w:rsidRPr="002067F1">
                          <w:rPr>
                            <w:rFonts w:ascii="Times New Roman" w:hAnsi="Times New Roman" w:cs="Times New Roman"/>
                            <w:sz w:val="24"/>
                            <w:szCs w:val="24"/>
                          </w:rPr>
                          <w:t>i ieg</w:t>
                        </w:r>
                        <w:r w:rsidRPr="002067F1">
                          <w:rPr>
                            <w:rFonts w:ascii="Times New Roman" w:hAnsi="Times New Roman" w:cs="Times New Roman" w:hint="eastAsia"/>
                            <w:sz w:val="24"/>
                            <w:szCs w:val="24"/>
                          </w:rPr>
                          <w:t>ū</w:t>
                        </w:r>
                        <w:r w:rsidRPr="002067F1">
                          <w:rPr>
                            <w:rFonts w:ascii="Times New Roman" w:hAnsi="Times New Roman" w:cs="Times New Roman"/>
                            <w:sz w:val="24"/>
                            <w:szCs w:val="24"/>
                          </w:rPr>
                          <w:t>tas, k</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 xml:space="preserve"> ar</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 xml:space="preserve"> par </w:t>
                        </w:r>
                        <w:r w:rsidRPr="002067F1">
                          <w:rPr>
                            <w:rFonts w:ascii="Times New Roman" w:hAnsi="Times New Roman" w:cs="Times New Roman" w:hint="eastAsia"/>
                            <w:sz w:val="24"/>
                            <w:szCs w:val="24"/>
                          </w:rPr>
                          <w:t>ģ</w:t>
                        </w:r>
                        <w:r w:rsidRPr="002067F1">
                          <w:rPr>
                            <w:rFonts w:ascii="Times New Roman" w:hAnsi="Times New Roman" w:cs="Times New Roman"/>
                            <w:sz w:val="24"/>
                            <w:szCs w:val="24"/>
                          </w:rPr>
                          <w:t>en</w:t>
                        </w:r>
                        <w:r w:rsidRPr="002067F1">
                          <w:rPr>
                            <w:rFonts w:ascii="Times New Roman" w:hAnsi="Times New Roman" w:cs="Times New Roman" w:hint="eastAsia"/>
                            <w:sz w:val="24"/>
                            <w:szCs w:val="24"/>
                          </w:rPr>
                          <w:t>ē</w:t>
                        </w:r>
                        <w:r w:rsidRPr="002067F1">
                          <w:rPr>
                            <w:rFonts w:ascii="Times New Roman" w:hAnsi="Times New Roman" w:cs="Times New Roman"/>
                            <w:sz w:val="24"/>
                            <w:szCs w:val="24"/>
                          </w:rPr>
                          <w:t xml:space="preserve">tisko resursu vai ar </w:t>
                        </w:r>
                        <w:r w:rsidRPr="002067F1">
                          <w:rPr>
                            <w:rFonts w:ascii="Times New Roman" w:hAnsi="Times New Roman" w:cs="Times New Roman" w:hint="eastAsia"/>
                            <w:sz w:val="24"/>
                            <w:szCs w:val="24"/>
                          </w:rPr>
                          <w:t>ģ</w:t>
                        </w:r>
                        <w:r w:rsidRPr="002067F1">
                          <w:rPr>
                            <w:rFonts w:ascii="Times New Roman" w:hAnsi="Times New Roman" w:cs="Times New Roman"/>
                            <w:sz w:val="24"/>
                            <w:szCs w:val="24"/>
                          </w:rPr>
                          <w:t>en</w:t>
                        </w:r>
                        <w:r w:rsidRPr="002067F1">
                          <w:rPr>
                            <w:rFonts w:ascii="Times New Roman" w:hAnsi="Times New Roman" w:cs="Times New Roman" w:hint="eastAsia"/>
                            <w:sz w:val="24"/>
                            <w:szCs w:val="24"/>
                          </w:rPr>
                          <w:t>ē</w:t>
                        </w:r>
                        <w:r w:rsidRPr="002067F1">
                          <w:rPr>
                            <w:rFonts w:ascii="Times New Roman" w:hAnsi="Times New Roman" w:cs="Times New Roman"/>
                            <w:sz w:val="24"/>
                            <w:szCs w:val="24"/>
                          </w:rPr>
                          <w:t>tiskajiem resursiem saist</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to tradicion</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lo zin</w:t>
                        </w:r>
                        <w:r w:rsidRPr="002067F1">
                          <w:rPr>
                            <w:rFonts w:ascii="Times New Roman" w:hAnsi="Times New Roman" w:cs="Times New Roman" w:hint="eastAsia"/>
                            <w:sz w:val="24"/>
                            <w:szCs w:val="24"/>
                          </w:rPr>
                          <w:t>āš</w:t>
                        </w:r>
                        <w:r w:rsidRPr="002067F1">
                          <w:rPr>
                            <w:rFonts w:ascii="Times New Roman" w:hAnsi="Times New Roman" w:cs="Times New Roman"/>
                            <w:sz w:val="24"/>
                            <w:szCs w:val="24"/>
                          </w:rPr>
                          <w:t>anu turpm</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kiem lietot</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jiem;</w:t>
                        </w:r>
                      </w:p>
                    </w:tc>
                  </w:tr>
                </w:tbl>
                <w:p w14:paraId="60253F67" w14:textId="77777777" w:rsidR="003E75B0" w:rsidRPr="002067F1" w:rsidRDefault="003E75B0" w:rsidP="003E75B0">
                  <w:pPr>
                    <w:spacing w:after="0" w:line="240" w:lineRule="auto"/>
                    <w:ind w:left="566" w:hanging="284"/>
                    <w:jc w:val="both"/>
                    <w:rPr>
                      <w:rFonts w:ascii="Times New Roman" w:hAnsi="Times New Roman" w:cs="Times New Roman"/>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171"/>
                    <w:gridCol w:w="4988"/>
                  </w:tblGrid>
                  <w:tr w:rsidR="003E75B0" w:rsidRPr="00CE5569" w14:paraId="2CBED4A0" w14:textId="77777777" w:rsidTr="00765971">
                    <w:trPr>
                      <w:tblCellSpacing w:w="0" w:type="dxa"/>
                    </w:trPr>
                    <w:tc>
                      <w:tcPr>
                        <w:tcW w:w="267" w:type="dxa"/>
                        <w:hideMark/>
                      </w:tcPr>
                      <w:p w14:paraId="0FFE3746" w14:textId="77777777" w:rsidR="003E75B0" w:rsidRPr="002067F1" w:rsidRDefault="003E75B0" w:rsidP="003E75B0">
                        <w:pPr>
                          <w:pStyle w:val="ListParagraph"/>
                          <w:numPr>
                            <w:ilvl w:val="0"/>
                            <w:numId w:val="13"/>
                          </w:numPr>
                          <w:spacing w:before="120" w:after="0" w:line="240" w:lineRule="auto"/>
                          <w:ind w:left="566" w:hanging="284"/>
                          <w:jc w:val="both"/>
                          <w:rPr>
                            <w:rFonts w:ascii="Times New Roman" w:hAnsi="Times New Roman" w:cs="Times New Roman"/>
                            <w:sz w:val="24"/>
                            <w:szCs w:val="24"/>
                          </w:rPr>
                        </w:pPr>
                      </w:p>
                    </w:tc>
                    <w:tc>
                      <w:tcPr>
                        <w:tcW w:w="8173" w:type="dxa"/>
                        <w:hideMark/>
                      </w:tcPr>
                      <w:p w14:paraId="269B3EA4" w14:textId="77777777" w:rsidR="003E75B0" w:rsidRPr="002067F1" w:rsidRDefault="003E75B0" w:rsidP="003E75B0">
                        <w:pPr>
                          <w:pStyle w:val="ListParagraph"/>
                          <w:numPr>
                            <w:ilvl w:val="0"/>
                            <w:numId w:val="13"/>
                          </w:numPr>
                          <w:spacing w:before="120" w:after="0" w:line="240" w:lineRule="auto"/>
                          <w:ind w:left="566" w:hanging="284"/>
                          <w:jc w:val="both"/>
                          <w:rPr>
                            <w:rFonts w:ascii="Times New Roman" w:hAnsi="Times New Roman" w:cs="Times New Roman"/>
                            <w:sz w:val="24"/>
                            <w:szCs w:val="24"/>
                          </w:rPr>
                        </w:pPr>
                        <w:r w:rsidRPr="002067F1">
                          <w:rPr>
                            <w:rFonts w:ascii="Times New Roman" w:hAnsi="Times New Roman" w:cs="Times New Roman"/>
                            <w:sz w:val="24"/>
                            <w:szCs w:val="24"/>
                          </w:rPr>
                          <w:t>t</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du ties</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bu un pien</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kumu esam</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bu vai neesam</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bu, kas saist</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tas ar piek</w:t>
                        </w:r>
                        <w:r w:rsidRPr="002067F1">
                          <w:rPr>
                            <w:rFonts w:ascii="Times New Roman" w:hAnsi="Times New Roman" w:cs="Times New Roman" w:hint="eastAsia"/>
                            <w:sz w:val="24"/>
                            <w:szCs w:val="24"/>
                          </w:rPr>
                          <w:t>ļ</w:t>
                        </w:r>
                        <w:r w:rsidRPr="002067F1">
                          <w:rPr>
                            <w:rFonts w:ascii="Times New Roman" w:hAnsi="Times New Roman" w:cs="Times New Roman"/>
                            <w:sz w:val="24"/>
                            <w:szCs w:val="24"/>
                          </w:rPr>
                          <w:t>uvi un ieguvumu sadali, tostarp ties</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b</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m un pien</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kumiem attiec</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b</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 xml:space="preserve"> uz turpm</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kiem pielietojumiem un komercializ</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ciju;</w:t>
                        </w:r>
                      </w:p>
                    </w:tc>
                  </w:tr>
                </w:tbl>
                <w:p w14:paraId="2FEFB6B2" w14:textId="77777777" w:rsidR="003E75B0" w:rsidRPr="002067F1" w:rsidRDefault="003E75B0" w:rsidP="003E75B0">
                  <w:pPr>
                    <w:spacing w:after="0" w:line="240" w:lineRule="auto"/>
                    <w:ind w:left="566" w:hanging="284"/>
                    <w:jc w:val="both"/>
                    <w:rPr>
                      <w:rFonts w:ascii="Times New Roman" w:hAnsi="Times New Roman" w:cs="Times New Roman"/>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260"/>
                    <w:gridCol w:w="4899"/>
                  </w:tblGrid>
                  <w:tr w:rsidR="003E75B0" w:rsidRPr="00CE5569" w14:paraId="02CF5166" w14:textId="77777777" w:rsidTr="00765971">
                    <w:trPr>
                      <w:tblCellSpacing w:w="0" w:type="dxa"/>
                    </w:trPr>
                    <w:tc>
                      <w:tcPr>
                        <w:tcW w:w="414" w:type="dxa"/>
                        <w:hideMark/>
                      </w:tcPr>
                      <w:p w14:paraId="1A40A9D3" w14:textId="77777777" w:rsidR="003E75B0" w:rsidRPr="002067F1" w:rsidRDefault="003E75B0" w:rsidP="003E75B0">
                        <w:pPr>
                          <w:pStyle w:val="ListParagraph"/>
                          <w:numPr>
                            <w:ilvl w:val="0"/>
                            <w:numId w:val="13"/>
                          </w:numPr>
                          <w:spacing w:before="120" w:after="0" w:line="240" w:lineRule="auto"/>
                          <w:ind w:left="566" w:hanging="284"/>
                          <w:jc w:val="both"/>
                          <w:rPr>
                            <w:rFonts w:ascii="Times New Roman" w:hAnsi="Times New Roman" w:cs="Times New Roman"/>
                            <w:sz w:val="24"/>
                            <w:szCs w:val="24"/>
                          </w:rPr>
                        </w:pPr>
                      </w:p>
                    </w:tc>
                    <w:tc>
                      <w:tcPr>
                        <w:tcW w:w="8026" w:type="dxa"/>
                        <w:hideMark/>
                      </w:tcPr>
                      <w:p w14:paraId="3DBFD15A" w14:textId="77777777" w:rsidR="003E75B0" w:rsidRPr="002067F1" w:rsidRDefault="003E75B0" w:rsidP="003E75B0">
                        <w:pPr>
                          <w:pStyle w:val="ListParagraph"/>
                          <w:numPr>
                            <w:ilvl w:val="0"/>
                            <w:numId w:val="13"/>
                          </w:numPr>
                          <w:spacing w:before="120" w:after="0" w:line="240" w:lineRule="auto"/>
                          <w:ind w:left="566" w:hanging="284"/>
                          <w:jc w:val="both"/>
                          <w:rPr>
                            <w:rFonts w:ascii="Times New Roman" w:hAnsi="Times New Roman" w:cs="Times New Roman"/>
                            <w:sz w:val="24"/>
                            <w:szCs w:val="24"/>
                          </w:rPr>
                        </w:pPr>
                        <w:r w:rsidRPr="002067F1">
                          <w:rPr>
                            <w:rFonts w:ascii="Times New Roman" w:hAnsi="Times New Roman" w:cs="Times New Roman"/>
                            <w:sz w:val="24"/>
                            <w:szCs w:val="24"/>
                          </w:rPr>
                          <w:t>attiec</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g</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 xml:space="preserve"> gad</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jum</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 xml:space="preserve"> </w:t>
                        </w:r>
                        <w:r w:rsidRPr="002067F1">
                          <w:rPr>
                            <w:rFonts w:ascii="Times New Roman" w:hAnsi="Times New Roman" w:cs="Times New Roman" w:hint="eastAsia"/>
                            <w:sz w:val="24"/>
                            <w:szCs w:val="24"/>
                          </w:rPr>
                          <w:t>–</w:t>
                        </w:r>
                        <w:r w:rsidRPr="002067F1">
                          <w:rPr>
                            <w:rFonts w:ascii="Times New Roman" w:hAnsi="Times New Roman" w:cs="Times New Roman"/>
                            <w:sz w:val="24"/>
                            <w:szCs w:val="24"/>
                          </w:rPr>
                          <w:t xml:space="preserve"> piek</w:t>
                        </w:r>
                        <w:r w:rsidRPr="002067F1">
                          <w:rPr>
                            <w:rFonts w:ascii="Times New Roman" w:hAnsi="Times New Roman" w:cs="Times New Roman" w:hint="eastAsia"/>
                            <w:sz w:val="24"/>
                            <w:szCs w:val="24"/>
                          </w:rPr>
                          <w:t>ļ</w:t>
                        </w:r>
                        <w:r w:rsidRPr="002067F1">
                          <w:rPr>
                            <w:rFonts w:ascii="Times New Roman" w:hAnsi="Times New Roman" w:cs="Times New Roman"/>
                            <w:sz w:val="24"/>
                            <w:szCs w:val="24"/>
                          </w:rPr>
                          <w:t>uves at</w:t>
                        </w:r>
                        <w:r w:rsidRPr="002067F1">
                          <w:rPr>
                            <w:rFonts w:ascii="Times New Roman" w:hAnsi="Times New Roman" w:cs="Times New Roman" w:hint="eastAsia"/>
                            <w:sz w:val="24"/>
                            <w:szCs w:val="24"/>
                          </w:rPr>
                          <w:t>ļ</w:t>
                        </w:r>
                        <w:r w:rsidRPr="002067F1">
                          <w:rPr>
                            <w:rFonts w:ascii="Times New Roman" w:hAnsi="Times New Roman" w:cs="Times New Roman"/>
                            <w:sz w:val="24"/>
                            <w:szCs w:val="24"/>
                          </w:rPr>
                          <w:t>auj</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m;</w:t>
                        </w:r>
                      </w:p>
                    </w:tc>
                  </w:tr>
                </w:tbl>
                <w:p w14:paraId="66727884" w14:textId="77777777" w:rsidR="003E75B0" w:rsidRPr="002067F1" w:rsidRDefault="003E75B0" w:rsidP="003E75B0">
                  <w:pPr>
                    <w:spacing w:after="0" w:line="240" w:lineRule="auto"/>
                    <w:ind w:left="566" w:hanging="284"/>
                    <w:jc w:val="both"/>
                    <w:rPr>
                      <w:rFonts w:ascii="Times New Roman" w:hAnsi="Times New Roman" w:cs="Times New Roman"/>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171"/>
                    <w:gridCol w:w="4988"/>
                  </w:tblGrid>
                  <w:tr w:rsidR="003E75B0" w:rsidRPr="00CE5569" w14:paraId="2B04AC1C" w14:textId="77777777" w:rsidTr="00765971">
                    <w:trPr>
                      <w:tblCellSpacing w:w="0" w:type="dxa"/>
                    </w:trPr>
                    <w:tc>
                      <w:tcPr>
                        <w:tcW w:w="267" w:type="dxa"/>
                        <w:hideMark/>
                      </w:tcPr>
                      <w:p w14:paraId="50863E37" w14:textId="77777777" w:rsidR="003E75B0" w:rsidRPr="002067F1" w:rsidRDefault="003E75B0" w:rsidP="003E75B0">
                        <w:pPr>
                          <w:pStyle w:val="ListParagraph"/>
                          <w:numPr>
                            <w:ilvl w:val="0"/>
                            <w:numId w:val="13"/>
                          </w:numPr>
                          <w:spacing w:before="120" w:after="0" w:line="240" w:lineRule="auto"/>
                          <w:ind w:left="566" w:hanging="284"/>
                          <w:jc w:val="both"/>
                          <w:rPr>
                            <w:rFonts w:ascii="Times New Roman" w:hAnsi="Times New Roman" w:cs="Times New Roman"/>
                            <w:sz w:val="24"/>
                            <w:szCs w:val="24"/>
                          </w:rPr>
                        </w:pPr>
                      </w:p>
                    </w:tc>
                    <w:tc>
                      <w:tcPr>
                        <w:tcW w:w="8173" w:type="dxa"/>
                        <w:hideMark/>
                      </w:tcPr>
                      <w:p w14:paraId="490DA1CA" w14:textId="77777777" w:rsidR="003E75B0" w:rsidRPr="002067F1" w:rsidRDefault="003E75B0" w:rsidP="003E75B0">
                        <w:pPr>
                          <w:pStyle w:val="ListParagraph"/>
                          <w:numPr>
                            <w:ilvl w:val="0"/>
                            <w:numId w:val="13"/>
                          </w:numPr>
                          <w:spacing w:before="120" w:after="0" w:line="240" w:lineRule="auto"/>
                          <w:ind w:left="566" w:hanging="284"/>
                          <w:jc w:val="both"/>
                          <w:rPr>
                            <w:rFonts w:ascii="Times New Roman" w:hAnsi="Times New Roman" w:cs="Times New Roman"/>
                            <w:sz w:val="24"/>
                            <w:szCs w:val="24"/>
                          </w:rPr>
                        </w:pPr>
                        <w:r w:rsidRPr="002067F1">
                          <w:rPr>
                            <w:rFonts w:ascii="Times New Roman" w:hAnsi="Times New Roman" w:cs="Times New Roman"/>
                            <w:sz w:val="24"/>
                            <w:szCs w:val="24"/>
                          </w:rPr>
                          <w:t>attiec</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g</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 xml:space="preserve"> gad</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jum</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 xml:space="preserve"> </w:t>
                        </w:r>
                        <w:r w:rsidRPr="002067F1">
                          <w:rPr>
                            <w:rFonts w:ascii="Times New Roman" w:hAnsi="Times New Roman" w:cs="Times New Roman" w:hint="eastAsia"/>
                            <w:sz w:val="24"/>
                            <w:szCs w:val="24"/>
                          </w:rPr>
                          <w:t>–</w:t>
                        </w:r>
                        <w:r w:rsidRPr="002067F1">
                          <w:rPr>
                            <w:rFonts w:ascii="Times New Roman" w:hAnsi="Times New Roman" w:cs="Times New Roman"/>
                            <w:sz w:val="24"/>
                            <w:szCs w:val="24"/>
                          </w:rPr>
                          <w:t xml:space="preserve"> savstarp</w:t>
                        </w:r>
                        <w:r w:rsidRPr="002067F1">
                          <w:rPr>
                            <w:rFonts w:ascii="Times New Roman" w:hAnsi="Times New Roman" w:cs="Times New Roman" w:hint="eastAsia"/>
                            <w:sz w:val="24"/>
                            <w:szCs w:val="24"/>
                          </w:rPr>
                          <w:t>ē</w:t>
                        </w:r>
                        <w:r w:rsidRPr="002067F1">
                          <w:rPr>
                            <w:rFonts w:ascii="Times New Roman" w:hAnsi="Times New Roman" w:cs="Times New Roman"/>
                            <w:sz w:val="24"/>
                            <w:szCs w:val="24"/>
                          </w:rPr>
                          <w:t>ji saska</w:t>
                        </w:r>
                        <w:r w:rsidRPr="002067F1">
                          <w:rPr>
                            <w:rFonts w:ascii="Times New Roman" w:hAnsi="Times New Roman" w:cs="Times New Roman" w:hint="eastAsia"/>
                            <w:sz w:val="24"/>
                            <w:szCs w:val="24"/>
                          </w:rPr>
                          <w:t>ņ</w:t>
                        </w:r>
                        <w:r w:rsidRPr="002067F1">
                          <w:rPr>
                            <w:rFonts w:ascii="Times New Roman" w:hAnsi="Times New Roman" w:cs="Times New Roman"/>
                            <w:sz w:val="24"/>
                            <w:szCs w:val="24"/>
                          </w:rPr>
                          <w:t>otiem noteikumiem, tostarp ieguvumu sadales k</w:t>
                        </w:r>
                        <w:r w:rsidRPr="002067F1">
                          <w:rPr>
                            <w:rFonts w:ascii="Times New Roman" w:hAnsi="Times New Roman" w:cs="Times New Roman" w:hint="eastAsia"/>
                            <w:sz w:val="24"/>
                            <w:szCs w:val="24"/>
                          </w:rPr>
                          <w:t>ā</w:t>
                        </w:r>
                        <w:r w:rsidRPr="002067F1">
                          <w:rPr>
                            <w:rFonts w:ascii="Times New Roman" w:hAnsi="Times New Roman" w:cs="Times New Roman"/>
                            <w:sz w:val="24"/>
                            <w:szCs w:val="24"/>
                          </w:rPr>
                          <w:t>rt</w:t>
                        </w:r>
                        <w:r w:rsidRPr="002067F1">
                          <w:rPr>
                            <w:rFonts w:ascii="Times New Roman" w:hAnsi="Times New Roman" w:cs="Times New Roman" w:hint="eastAsia"/>
                            <w:sz w:val="24"/>
                            <w:szCs w:val="24"/>
                          </w:rPr>
                          <w:t>ī</w:t>
                        </w:r>
                        <w:r w:rsidRPr="002067F1">
                          <w:rPr>
                            <w:rFonts w:ascii="Times New Roman" w:hAnsi="Times New Roman" w:cs="Times New Roman"/>
                            <w:sz w:val="24"/>
                            <w:szCs w:val="24"/>
                          </w:rPr>
                          <w:t>bu.</w:t>
                        </w:r>
                      </w:p>
                    </w:tc>
                  </w:tr>
                </w:tbl>
                <w:p w14:paraId="6D4B6CF6" w14:textId="77777777" w:rsidR="003E75B0" w:rsidRPr="002067F1" w:rsidRDefault="003E75B0" w:rsidP="003E75B0">
                  <w:pPr>
                    <w:spacing w:after="0" w:line="240" w:lineRule="auto"/>
                    <w:rPr>
                      <w:rFonts w:ascii="Times New Roman" w:hAnsi="Times New Roman" w:cs="Times New Roman"/>
                      <w:sz w:val="24"/>
                      <w:szCs w:val="24"/>
                    </w:rPr>
                  </w:pPr>
                </w:p>
              </w:tc>
            </w:tr>
          </w:tbl>
          <w:p w14:paraId="717E3BC6" w14:textId="58C3C624" w:rsidR="003E75B0" w:rsidRDefault="003E75B0" w:rsidP="003E75B0">
            <w:pPr>
              <w:pStyle w:val="ListParagraph"/>
              <w:tabs>
                <w:tab w:val="left" w:pos="257"/>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Informācija, kas saistīta ar 1) piekļuvi ģenētiskajiem resursiem un ar tiem saistītajām tradicionālajām zināšanām un </w:t>
            </w:r>
            <w:r w:rsidR="00F048EA">
              <w:rPr>
                <w:rFonts w:ascii="Times New Roman" w:hAnsi="Times New Roman" w:cs="Times New Roman"/>
                <w:sz w:val="24"/>
                <w:szCs w:val="24"/>
              </w:rPr>
              <w:t xml:space="preserve">ar </w:t>
            </w:r>
            <w:r>
              <w:rPr>
                <w:rFonts w:ascii="Times New Roman" w:hAnsi="Times New Roman" w:cs="Times New Roman"/>
                <w:sz w:val="24"/>
                <w:szCs w:val="24"/>
              </w:rPr>
              <w:t>2) ieguvumu sadali jāglabā 20 gadus pēc izmantošanas laikposma beigām (regulas 4. panta 6. punkts).</w:t>
            </w:r>
          </w:p>
          <w:p w14:paraId="41BCD79C" w14:textId="06517A10" w:rsidR="00330674" w:rsidRPr="002067F1" w:rsidRDefault="0099264C" w:rsidP="00F048EA">
            <w:pPr>
              <w:pStyle w:val="ListParagraph"/>
              <w:tabs>
                <w:tab w:val="left" w:pos="257"/>
              </w:tabs>
              <w:spacing w:after="120" w:line="240" w:lineRule="auto"/>
              <w:ind w:left="0"/>
              <w:contextualSpacing w:val="0"/>
              <w:jc w:val="both"/>
              <w:rPr>
                <w:rFonts w:ascii="Times New Roman" w:hAnsi="Times New Roman" w:cs="Times New Roman"/>
                <w:sz w:val="24"/>
                <w:szCs w:val="24"/>
              </w:rPr>
            </w:pPr>
            <w:r w:rsidRPr="002067F1">
              <w:rPr>
                <w:rFonts w:ascii="Times New Roman" w:hAnsi="Times New Roman" w:cs="Times New Roman"/>
                <w:sz w:val="24"/>
                <w:szCs w:val="24"/>
              </w:rPr>
              <w:t>Pārkāpuma raksturs var būt, piemēram, no mazāka, ja lietotājs nav saglabājis aprakstu par  izmantotajiem ģenētiskajiem resursiem, vai līdz lielākam – ja lietotājs, nav saglabājis un turpmākam lietotājam nevar nodot nekādu informāciju par izmantotajiem ģenētiskajiem resursiem un ar tiem saistītām tradicionālām zināšanām.</w:t>
            </w:r>
          </w:p>
          <w:p w14:paraId="2F7AF4FC" w14:textId="04FB0E72" w:rsidR="00246738" w:rsidRPr="002067F1" w:rsidRDefault="00246738" w:rsidP="00246738">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2067F1">
              <w:rPr>
                <w:rFonts w:ascii="Times New Roman" w:hAnsi="Times New Roman" w:cs="Times New Roman"/>
                <w:sz w:val="24"/>
                <w:szCs w:val="24"/>
              </w:rPr>
              <w:t>par regulas 4. panta 8. punktā noteiktā neievērošanu, iegūstot ģenētiskos resursus, ko uzskata par tādu patogēnu, kurš izraisa vai var izraisīt esošu vai nenovēršamu starptautisku sabiedrīb</w:t>
            </w:r>
            <w:r w:rsidR="002F6232" w:rsidRPr="002067F1">
              <w:rPr>
                <w:rFonts w:ascii="Times New Roman" w:hAnsi="Times New Roman" w:cs="Times New Roman"/>
                <w:sz w:val="24"/>
                <w:szCs w:val="24"/>
              </w:rPr>
              <w:t>as veselības ārkārtas situāciju.</w:t>
            </w:r>
          </w:p>
          <w:p w14:paraId="2E65EF60" w14:textId="4ECBA28D" w:rsidR="002F6232" w:rsidRDefault="003B791E" w:rsidP="002F6232">
            <w:pPr>
              <w:pStyle w:val="ListParagraph"/>
              <w:tabs>
                <w:tab w:val="left" w:pos="257"/>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Lai nekavētu sabiedrības veselības ārkārtas situāciju novēršanu, lietotāji, k</w:t>
            </w:r>
            <w:r w:rsidR="00FE53ED">
              <w:rPr>
                <w:rFonts w:ascii="Times New Roman" w:hAnsi="Times New Roman" w:cs="Times New Roman"/>
                <w:sz w:val="24"/>
                <w:szCs w:val="24"/>
              </w:rPr>
              <w:t>uri</w:t>
            </w:r>
            <w:r>
              <w:rPr>
                <w:rFonts w:ascii="Times New Roman" w:hAnsi="Times New Roman" w:cs="Times New Roman"/>
                <w:sz w:val="24"/>
                <w:szCs w:val="24"/>
              </w:rPr>
              <w:t xml:space="preserve"> šīs situācijas novēršanai izmanto patogēno organismu ģenētiskos resursus, tādus pienācīgas pārbaudes pienākumus kā, piemēram piekļuves nosacījumu noskaidrošanu, atļaujas saņemšanu, informācijas saglabāšanu var veikt ilgākā laikā (viena mēneša laikā pēc sabiedrības apdraudējuma novēršana vai triju mēnešu laikā pēc ģenētisko resursu izmantošanas sākuma).</w:t>
            </w:r>
          </w:p>
          <w:p w14:paraId="7583C6F7" w14:textId="7527EA57" w:rsidR="00D0358C" w:rsidRPr="002067F1" w:rsidRDefault="00D0358C" w:rsidP="002F6232">
            <w:pPr>
              <w:pStyle w:val="ListParagraph"/>
              <w:tabs>
                <w:tab w:val="left" w:pos="257"/>
              </w:tabs>
              <w:spacing w:after="120" w:line="240" w:lineRule="auto"/>
              <w:ind w:left="0"/>
              <w:contextualSpacing w:val="0"/>
              <w:jc w:val="both"/>
              <w:rPr>
                <w:rFonts w:ascii="Times New Roman" w:hAnsi="Times New Roman" w:cs="Times New Roman"/>
                <w:sz w:val="24"/>
                <w:szCs w:val="24"/>
              </w:rPr>
            </w:pPr>
            <w:r w:rsidRPr="002067F1">
              <w:rPr>
                <w:rFonts w:ascii="Times New Roman" w:hAnsi="Times New Roman" w:cs="Times New Roman"/>
                <w:sz w:val="24"/>
                <w:szCs w:val="24"/>
              </w:rPr>
              <w:t>Iepriekš minētais attiecināms uz tādiem patogēniem, kuri izraisa vai var izraisīt esošu vai nenovēršamu starptautisku sabiedrības veselības ārkārtas situāciju Starptautisko veselības aizsardzības noteikumu (2005) nozīmē vai nopietnu pārrobežu veselības apdraudējumu, kā noteikts Eiropa Parlamenta un Padomes Lēmumā Nr.</w:t>
            </w:r>
            <w:r w:rsidR="00FE53ED">
              <w:rPr>
                <w:rFonts w:ascii="Times New Roman" w:hAnsi="Times New Roman" w:cs="Times New Roman"/>
                <w:sz w:val="24"/>
                <w:szCs w:val="24"/>
              </w:rPr>
              <w:t> </w:t>
            </w:r>
            <w:r w:rsidRPr="002067F1">
              <w:rPr>
                <w:rFonts w:ascii="Times New Roman" w:hAnsi="Times New Roman" w:cs="Times New Roman"/>
                <w:sz w:val="24"/>
                <w:szCs w:val="24"/>
              </w:rPr>
              <w:t>1082/2013/ES</w:t>
            </w:r>
            <w:r w:rsidRPr="00561FD7">
              <w:rPr>
                <w:vertAlign w:val="superscript"/>
              </w:rPr>
              <w:footnoteReference w:id="12"/>
            </w:r>
            <w:r w:rsidRPr="002067F1">
              <w:rPr>
                <w:rFonts w:ascii="Times New Roman" w:hAnsi="Times New Roman" w:cs="Times New Roman"/>
                <w:sz w:val="24"/>
                <w:szCs w:val="24"/>
              </w:rPr>
              <w:t>.</w:t>
            </w:r>
          </w:p>
          <w:p w14:paraId="649F1C5A" w14:textId="1755F3C2" w:rsidR="007B493A" w:rsidRPr="002067F1" w:rsidRDefault="007B493A" w:rsidP="002F6232">
            <w:pPr>
              <w:pStyle w:val="ListParagraph"/>
              <w:tabs>
                <w:tab w:val="left" w:pos="257"/>
              </w:tabs>
              <w:spacing w:after="120" w:line="240" w:lineRule="auto"/>
              <w:ind w:left="0"/>
              <w:contextualSpacing w:val="0"/>
              <w:jc w:val="both"/>
              <w:rPr>
                <w:rFonts w:ascii="Times New Roman" w:hAnsi="Times New Roman" w:cs="Times New Roman"/>
                <w:sz w:val="24"/>
                <w:szCs w:val="24"/>
              </w:rPr>
            </w:pPr>
            <w:r w:rsidRPr="002067F1">
              <w:rPr>
                <w:rFonts w:ascii="Times New Roman" w:hAnsi="Times New Roman" w:cs="Times New Roman"/>
                <w:sz w:val="24"/>
                <w:szCs w:val="24"/>
              </w:rPr>
              <w:t>Pārkāpuma raksturs var būt, piemēram, no mazāka, ja lietotājs pagarinātajā termiņā ir veicis pienācīgu pārbaudi, bet ir saglabājis tikai daļu no noskaidrotās un turpmākiem lietotājiem nododamās informācijas un dokumentiem vai līdz lielākam – ja lietotājs pagarinātajā termiņā nav veicis nekādas darbības, lai noskaidrotu ar izmantotajiem patogēniem saistītu informāciju un izpildītu iespējamās saistības</w:t>
            </w:r>
            <w:r w:rsidR="00FE53ED">
              <w:rPr>
                <w:rFonts w:ascii="Times New Roman" w:hAnsi="Times New Roman" w:cs="Times New Roman"/>
                <w:sz w:val="24"/>
                <w:szCs w:val="24"/>
              </w:rPr>
              <w:t>;</w:t>
            </w:r>
          </w:p>
          <w:p w14:paraId="1B152631" w14:textId="15CF6B55" w:rsidR="00246738" w:rsidRPr="002067F1" w:rsidRDefault="00246738" w:rsidP="00246738">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2067F1">
              <w:rPr>
                <w:rFonts w:ascii="Times New Roman" w:hAnsi="Times New Roman" w:cs="Times New Roman"/>
                <w:sz w:val="24"/>
                <w:szCs w:val="24"/>
              </w:rPr>
              <w:t xml:space="preserve">par pienācīgas pārbaudes nedeklarēšanu, saņemot finansējumu pētniecībai, kura ietver ģenētisko resursu un ar ģenētiskajiem resursiem saistīto tradicionālo zināšanu izmantošanu </w:t>
            </w:r>
            <w:r w:rsidR="00AB1E88" w:rsidRPr="002067F1">
              <w:rPr>
                <w:rFonts w:ascii="Times New Roman" w:hAnsi="Times New Roman" w:cs="Times New Roman"/>
                <w:sz w:val="24"/>
                <w:szCs w:val="24"/>
              </w:rPr>
              <w:t xml:space="preserve">atbilstoši </w:t>
            </w:r>
            <w:r w:rsidR="00A9205A" w:rsidRPr="002067F1">
              <w:rPr>
                <w:rFonts w:ascii="Times New Roman" w:hAnsi="Times New Roman" w:cs="Times New Roman"/>
                <w:sz w:val="24"/>
                <w:szCs w:val="24"/>
              </w:rPr>
              <w:t xml:space="preserve">regulas </w:t>
            </w:r>
            <w:r w:rsidRPr="002067F1">
              <w:rPr>
                <w:rFonts w:ascii="Times New Roman" w:hAnsi="Times New Roman" w:cs="Times New Roman"/>
                <w:sz w:val="24"/>
                <w:szCs w:val="24"/>
              </w:rPr>
              <w:t>7. panta</w:t>
            </w:r>
            <w:r w:rsidR="00AB1E88" w:rsidRPr="002067F1">
              <w:rPr>
                <w:rFonts w:ascii="Times New Roman" w:hAnsi="Times New Roman" w:cs="Times New Roman"/>
                <w:sz w:val="24"/>
                <w:szCs w:val="24"/>
              </w:rPr>
              <w:t xml:space="preserve"> 1. punktam</w:t>
            </w:r>
            <w:r w:rsidR="003A7902" w:rsidRPr="002067F1">
              <w:rPr>
                <w:rFonts w:ascii="Times New Roman" w:hAnsi="Times New Roman" w:cs="Times New Roman"/>
                <w:sz w:val="24"/>
                <w:szCs w:val="24"/>
              </w:rPr>
              <w:t>, īstenošanas regulas 5. pantam un II pielikumam</w:t>
            </w:r>
            <w:r w:rsidR="007219CD" w:rsidRPr="002067F1">
              <w:rPr>
                <w:rFonts w:ascii="Times New Roman" w:hAnsi="Times New Roman" w:cs="Times New Roman"/>
                <w:sz w:val="24"/>
                <w:szCs w:val="24"/>
              </w:rPr>
              <w:t>.</w:t>
            </w:r>
          </w:p>
          <w:p w14:paraId="215E2F31" w14:textId="77777777" w:rsidR="00C03359" w:rsidRDefault="00C03359" w:rsidP="00C03359">
            <w:pPr>
              <w:pStyle w:val="ListParagraph"/>
              <w:tabs>
                <w:tab w:val="left" w:pos="257"/>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Ģenētisko resursu un ar tiem saistīto tradicionālo zināšanu izmantošana, lai atklātu kādas jaunas ģenētisko resursu īpašības, lielā mērā notiek dažādos pētījumos. </w:t>
            </w:r>
          </w:p>
          <w:p w14:paraId="354536DB" w14:textId="57751F89" w:rsidR="00C03359" w:rsidRDefault="00C03359" w:rsidP="00C03359">
            <w:pPr>
              <w:pStyle w:val="ListParagraph"/>
              <w:tabs>
                <w:tab w:val="left" w:pos="257"/>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Līdz ar to regula, īstenošanas regula un sekojoši arī likumprojekts paredz, ka lietotāji (pētniecības finansējuma saņēmēji) savas valsts kompetentajai iestādei iesniedz deklarāciju, norādot informāciju par ģenētiskajiem resursiem un apliecinot pienācīgu pārbaudi šo (citas valsts) resursu izmantošanas noteikumu noskaidrošanā un ievērošanā.</w:t>
            </w:r>
          </w:p>
          <w:p w14:paraId="3B56310C" w14:textId="77777777" w:rsidR="00C03359" w:rsidRPr="002067F1" w:rsidRDefault="00C03359" w:rsidP="00C03359">
            <w:pPr>
              <w:pStyle w:val="ListParagraph"/>
              <w:tabs>
                <w:tab w:val="left" w:pos="257"/>
              </w:tabs>
              <w:spacing w:after="120" w:line="240" w:lineRule="auto"/>
              <w:ind w:left="0"/>
              <w:contextualSpacing w:val="0"/>
              <w:jc w:val="both"/>
            </w:pPr>
            <w:r>
              <w:rPr>
                <w:rFonts w:ascii="Times New Roman" w:hAnsi="Times New Roman" w:cs="Times New Roman"/>
                <w:sz w:val="24"/>
                <w:szCs w:val="24"/>
              </w:rPr>
              <w:t xml:space="preserve">Likumprojekts paredz, ka lietotāji savas deklarācijas Latvijas kompetentajai iestādei iesniedz </w:t>
            </w:r>
            <w:r w:rsidRPr="004102C8">
              <w:rPr>
                <w:rFonts w:ascii="Times New Roman" w:hAnsi="Times New Roman" w:cs="Times New Roman"/>
                <w:sz w:val="24"/>
                <w:szCs w:val="24"/>
              </w:rPr>
              <w:t xml:space="preserve">Eiropas Komisijas informācijas sistēmā </w:t>
            </w:r>
            <w:hyperlink r:id="rId11" w:history="1">
              <w:r w:rsidRPr="00CA463E">
                <w:rPr>
                  <w:rFonts w:ascii="Times New Roman" w:hAnsi="Times New Roman" w:cs="Times New Roman"/>
                  <w:sz w:val="24"/>
                  <w:szCs w:val="24"/>
                </w:rPr>
                <w:t>DECLARE</w:t>
              </w:r>
            </w:hyperlink>
            <w:r w:rsidRPr="00CA463E">
              <w:rPr>
                <w:rFonts w:ascii="Times New Roman" w:hAnsi="Times New Roman" w:cs="Times New Roman"/>
                <w:sz w:val="24"/>
                <w:szCs w:val="24"/>
              </w:rPr>
              <w:t xml:space="preserve">. </w:t>
            </w:r>
          </w:p>
          <w:p w14:paraId="74A469C1" w14:textId="77777777" w:rsidR="00C03359" w:rsidRDefault="00C03359" w:rsidP="00C03359">
            <w:pPr>
              <w:pStyle w:val="ListParagraph"/>
              <w:tabs>
                <w:tab w:val="left" w:pos="257"/>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Deklarācijas saturs ir noteikts īstenošanas regulas </w:t>
            </w:r>
            <w:hyperlink r:id="rId12" w:history="1">
              <w:r w:rsidRPr="002067F1">
                <w:t>II pielikumā</w:t>
              </w:r>
            </w:hyperlink>
            <w:r>
              <w:rPr>
                <w:rFonts w:ascii="Times New Roman" w:hAnsi="Times New Roman" w:cs="Times New Roman"/>
                <w:sz w:val="24"/>
                <w:szCs w:val="24"/>
              </w:rPr>
              <w:t xml:space="preserve"> un iekļauts DECLARE sistēmā.</w:t>
            </w:r>
          </w:p>
          <w:p w14:paraId="627A0D7E" w14:textId="2D8E7156" w:rsidR="00C03359" w:rsidRDefault="00C03359" w:rsidP="00C03359">
            <w:pPr>
              <w:pStyle w:val="ListParagraph"/>
              <w:tabs>
                <w:tab w:val="left" w:pos="257"/>
              </w:tabs>
              <w:spacing w:after="120" w:line="240" w:lineRule="auto"/>
              <w:ind w:left="0"/>
              <w:contextualSpacing w:val="0"/>
              <w:jc w:val="both"/>
              <w:rPr>
                <w:rFonts w:ascii="Times New Roman" w:hAnsi="Times New Roman" w:cs="Times New Roman"/>
                <w:sz w:val="24"/>
                <w:szCs w:val="24"/>
              </w:rPr>
            </w:pPr>
            <w:r w:rsidRPr="002067F1">
              <w:rPr>
                <w:rFonts w:ascii="Times New Roman" w:hAnsi="Times New Roman" w:cs="Times New Roman"/>
                <w:sz w:val="24"/>
                <w:szCs w:val="24"/>
              </w:rPr>
              <w:t>Deklarāciju iesniedz, kad ir saņemts pirmais finansējuma maksājums un iegūti visi ģenētiskie resursi un ar ģenētiskajiem resursiem saistītās tradicionālās zināšanas, ko izmanto finansētajā pētniecībā, bet ne vēlāk kā laikā, kad jābūt gatavam galīgajam ziņojumam, vai</w:t>
            </w:r>
            <w:r w:rsidR="00D12BC6">
              <w:rPr>
                <w:rFonts w:ascii="Times New Roman" w:hAnsi="Times New Roman" w:cs="Times New Roman"/>
                <w:sz w:val="24"/>
                <w:szCs w:val="24"/>
              </w:rPr>
              <w:t xml:space="preserve"> </w:t>
            </w:r>
            <w:r w:rsidRPr="002067F1">
              <w:rPr>
                <w:rFonts w:ascii="Times New Roman" w:hAnsi="Times New Roman" w:cs="Times New Roman"/>
                <w:sz w:val="24"/>
                <w:szCs w:val="24"/>
              </w:rPr>
              <w:t>– ja tāds nav paredzēts</w:t>
            </w:r>
            <w:r w:rsidR="00D12BC6">
              <w:rPr>
                <w:rFonts w:ascii="Times New Roman" w:hAnsi="Times New Roman" w:cs="Times New Roman"/>
                <w:sz w:val="24"/>
                <w:szCs w:val="24"/>
              </w:rPr>
              <w:t xml:space="preserve"> </w:t>
            </w:r>
            <w:r w:rsidRPr="002067F1">
              <w:rPr>
                <w:rFonts w:ascii="Times New Roman" w:hAnsi="Times New Roman" w:cs="Times New Roman"/>
                <w:sz w:val="24"/>
                <w:szCs w:val="24"/>
              </w:rPr>
              <w:t>– projekta beigās.</w:t>
            </w:r>
          </w:p>
          <w:p w14:paraId="7F6488B1" w14:textId="37A5B261" w:rsidR="00C03359" w:rsidRPr="00435F6F" w:rsidRDefault="00C03359" w:rsidP="00C0335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Iepriekš aprakstītais deklarācijas iesniegšanas pienākum</w:t>
            </w:r>
            <w:r w:rsidRPr="00435F6F">
              <w:rPr>
                <w:rFonts w:ascii="Times New Roman" w:hAnsi="Times New Roman" w:cs="Times New Roman"/>
                <w:sz w:val="24"/>
                <w:szCs w:val="24"/>
              </w:rPr>
              <w:t xml:space="preserve">s attiecināms uz personām (lietotājiem), kuri </w:t>
            </w:r>
            <w:r>
              <w:rPr>
                <w:rFonts w:ascii="Times New Roman" w:hAnsi="Times New Roman" w:cs="Times New Roman"/>
                <w:sz w:val="24"/>
                <w:szCs w:val="24"/>
              </w:rPr>
              <w:t>1)</w:t>
            </w:r>
            <w:r w:rsidR="00D12BC6">
              <w:rPr>
                <w:rFonts w:ascii="Times New Roman" w:hAnsi="Times New Roman" w:cs="Times New Roman"/>
                <w:sz w:val="24"/>
                <w:szCs w:val="24"/>
              </w:rPr>
              <w:t> </w:t>
            </w:r>
            <w:r w:rsidRPr="00435F6F">
              <w:rPr>
                <w:rFonts w:ascii="Times New Roman" w:hAnsi="Times New Roman" w:cs="Times New Roman"/>
                <w:sz w:val="24"/>
                <w:szCs w:val="24"/>
              </w:rPr>
              <w:t xml:space="preserve">saņem </w:t>
            </w:r>
            <w:r w:rsidRPr="002067F1">
              <w:rPr>
                <w:rFonts w:ascii="Times New Roman" w:hAnsi="Times New Roman" w:cs="Times New Roman"/>
                <w:sz w:val="24"/>
                <w:szCs w:val="24"/>
              </w:rPr>
              <w:t>pētniecības finansējumu</w:t>
            </w:r>
            <w:r w:rsidRPr="00435F6F">
              <w:rPr>
                <w:rFonts w:ascii="Times New Roman" w:hAnsi="Times New Roman" w:cs="Times New Roman"/>
                <w:sz w:val="24"/>
                <w:szCs w:val="24"/>
              </w:rPr>
              <w:t xml:space="preserve"> un </w:t>
            </w:r>
            <w:r>
              <w:rPr>
                <w:rFonts w:ascii="Times New Roman" w:hAnsi="Times New Roman" w:cs="Times New Roman"/>
                <w:sz w:val="24"/>
                <w:szCs w:val="24"/>
              </w:rPr>
              <w:t>2)</w:t>
            </w:r>
            <w:r w:rsidR="00D12BC6">
              <w:rPr>
                <w:rFonts w:ascii="Times New Roman" w:hAnsi="Times New Roman" w:cs="Times New Roman"/>
                <w:sz w:val="24"/>
                <w:szCs w:val="24"/>
              </w:rPr>
              <w:t> </w:t>
            </w:r>
            <w:r w:rsidRPr="00435F6F">
              <w:rPr>
                <w:rFonts w:ascii="Times New Roman" w:hAnsi="Times New Roman" w:cs="Times New Roman"/>
                <w:sz w:val="24"/>
                <w:szCs w:val="24"/>
              </w:rPr>
              <w:t xml:space="preserve">kuru pētniecībā notiek ģenētisko resursu ar tiem saistītu tradicionālo zināšanu </w:t>
            </w:r>
            <w:r w:rsidRPr="002067F1">
              <w:rPr>
                <w:rFonts w:ascii="Times New Roman" w:hAnsi="Times New Roman" w:cs="Times New Roman"/>
                <w:sz w:val="24"/>
                <w:szCs w:val="24"/>
              </w:rPr>
              <w:t>izmantošana</w:t>
            </w:r>
            <w:r w:rsidRPr="00435F6F">
              <w:rPr>
                <w:rFonts w:ascii="Times New Roman" w:hAnsi="Times New Roman" w:cs="Times New Roman"/>
                <w:sz w:val="24"/>
                <w:szCs w:val="24"/>
              </w:rPr>
              <w:t>.</w:t>
            </w:r>
          </w:p>
          <w:p w14:paraId="4EDCDA0C" w14:textId="77777777" w:rsidR="00C03359" w:rsidRPr="002067F1" w:rsidRDefault="00C03359" w:rsidP="00C03359">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Īstenošanas regulas 5. panta 5. punkts noteic, ka “</w:t>
            </w:r>
            <w:r w:rsidRPr="002067F1">
              <w:rPr>
                <w:rFonts w:ascii="Times New Roman" w:hAnsi="Times New Roman" w:cs="Times New Roman"/>
                <w:sz w:val="24"/>
                <w:szCs w:val="24"/>
              </w:rPr>
              <w:t>“pētniecības finansējums” ir jebkāds pētniecības veikšanai paredzēts finansiāls ieguldījums dotāciju veidā gan no komerciāliem, gan nekomerciāliem avotiem. Tas neattiecas uz privātā vai publiskā sektora tiesību subjektu iekšējiem budžeta resursiem.”</w:t>
            </w:r>
          </w:p>
          <w:p w14:paraId="585C8C3A" w14:textId="77777777" w:rsidR="006E526D" w:rsidRDefault="00C03359" w:rsidP="00F3537A">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 xml:space="preserve">Lai noteiktu vai </w:t>
            </w:r>
            <w:r w:rsidRPr="008B601D">
              <w:rPr>
                <w:rFonts w:ascii="Times New Roman" w:hAnsi="Times New Roman" w:cs="Times New Roman"/>
                <w:sz w:val="24"/>
                <w:szCs w:val="24"/>
              </w:rPr>
              <w:t>pētnieciskā darbība uzskatāma par ģenētisko resursu izmantošanu</w:t>
            </w:r>
            <w:r>
              <w:rPr>
                <w:rFonts w:ascii="Times New Roman" w:hAnsi="Times New Roman" w:cs="Times New Roman"/>
                <w:sz w:val="24"/>
                <w:szCs w:val="24"/>
              </w:rPr>
              <w:t xml:space="preserve"> regulas izpratnē</w:t>
            </w:r>
            <w:r w:rsidRPr="008B601D">
              <w:rPr>
                <w:rFonts w:ascii="Times New Roman" w:hAnsi="Times New Roman" w:cs="Times New Roman"/>
                <w:sz w:val="24"/>
                <w:szCs w:val="24"/>
              </w:rPr>
              <w:t xml:space="preserve">, </w:t>
            </w:r>
            <w:r w:rsidRPr="00435F6F">
              <w:rPr>
                <w:rFonts w:ascii="Times New Roman" w:hAnsi="Times New Roman" w:cs="Times New Roman"/>
                <w:sz w:val="24"/>
                <w:szCs w:val="24"/>
              </w:rPr>
              <w:t>regulas īstenošanas vadlīnijās</w:t>
            </w:r>
            <w:r w:rsidRPr="00A8588A">
              <w:rPr>
                <w:vertAlign w:val="superscript"/>
              </w:rPr>
              <w:footnoteReference w:id="13"/>
            </w:r>
            <w:r w:rsidRPr="00435F6F">
              <w:rPr>
                <w:rFonts w:ascii="Times New Roman" w:hAnsi="Times New Roman" w:cs="Times New Roman"/>
                <w:sz w:val="24"/>
                <w:szCs w:val="24"/>
              </w:rPr>
              <w:t xml:space="preserve"> </w:t>
            </w:r>
            <w:r w:rsidRPr="009E40A6">
              <w:rPr>
                <w:rFonts w:ascii="Times New Roman" w:hAnsi="Times New Roman" w:cs="Times New Roman"/>
                <w:sz w:val="24"/>
                <w:szCs w:val="24"/>
              </w:rPr>
              <w:t>norād</w:t>
            </w:r>
            <w:r w:rsidRPr="00591421">
              <w:rPr>
                <w:rFonts w:ascii="Times New Roman" w:hAnsi="Times New Roman" w:cs="Times New Roman"/>
                <w:sz w:val="24"/>
                <w:szCs w:val="24"/>
              </w:rPr>
              <w:t>īts –</w:t>
            </w:r>
            <w:r w:rsidRPr="00D96E94">
              <w:rPr>
                <w:rFonts w:ascii="Times New Roman" w:hAnsi="Times New Roman" w:cs="Times New Roman"/>
                <w:sz w:val="24"/>
                <w:szCs w:val="24"/>
              </w:rPr>
              <w:t xml:space="preserve"> </w:t>
            </w:r>
          </w:p>
          <w:p w14:paraId="2755CB1F" w14:textId="717C5F44" w:rsidR="00C03359" w:rsidRPr="002067F1" w:rsidRDefault="00C03359" w:rsidP="00F3537A">
            <w:pPr>
              <w:spacing w:after="120" w:line="240" w:lineRule="auto"/>
              <w:jc w:val="both"/>
              <w:rPr>
                <w:rFonts w:ascii="Times New Roman" w:hAnsi="Times New Roman" w:cs="Times New Roman"/>
                <w:sz w:val="24"/>
                <w:szCs w:val="24"/>
              </w:rPr>
            </w:pPr>
            <w:r w:rsidRPr="00D96E94">
              <w:rPr>
                <w:rFonts w:ascii="Times New Roman" w:hAnsi="Times New Roman" w:cs="Times New Roman"/>
                <w:sz w:val="24"/>
                <w:szCs w:val="24"/>
              </w:rPr>
              <w:t>“</w:t>
            </w:r>
            <w:r w:rsidRPr="002067F1">
              <w:rPr>
                <w:rFonts w:ascii="Times New Roman" w:hAnsi="Times New Roman" w:cs="Times New Roman"/>
                <w:sz w:val="24"/>
                <w:szCs w:val="24"/>
              </w:rPr>
              <w:t>Viens no drošiem pārbaudes veidiem lietotājiem ir atbilde uz jautājumu, vai tas, ko viņi dara, dod jaunu skatījumu uz ģenētisko resursu īpašībām, kas (iespējams) veicinās produkta izstrādes turpmāko procesu. Ja tā ir, attiecīgā darbība ir plašāka par vienkāršu aprakstu, tāpēc tā būtu jāuzskata par izpēti, un tādējādi tā atbilst termina “izmantošana” nozīmei.”</w:t>
            </w:r>
          </w:p>
          <w:p w14:paraId="345C011E" w14:textId="1F2006F8" w:rsidR="00FA0A0D" w:rsidRPr="00561FD7" w:rsidRDefault="00FA0A0D" w:rsidP="00FA0A0D">
            <w:pPr>
              <w:tabs>
                <w:tab w:val="left" w:pos="257"/>
              </w:tabs>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 xml:space="preserve">Pārkāpuma raksturs var būt, piemēram, no mazāka, ja </w:t>
            </w:r>
            <w:r w:rsidRPr="00561FD7">
              <w:rPr>
                <w:rFonts w:ascii="Times New Roman" w:hAnsi="Times New Roman" w:cs="Times New Roman"/>
                <w:sz w:val="24"/>
                <w:szCs w:val="24"/>
              </w:rPr>
              <w:t>lietotājs deklarāciju iesniedzis divus mēnešus pēc termiņa vai līdz lielākam – ja lietotājs, kas ģenētiskos resursus pēta izteikti komerciāliem mērķiem, neiesniedz deklarāciju pēc divkārtēja kompetentās iestādes atgādinājuma.</w:t>
            </w:r>
          </w:p>
          <w:p w14:paraId="1566D396" w14:textId="6AB90E59" w:rsidR="00246738" w:rsidRPr="00561FD7" w:rsidRDefault="00246738" w:rsidP="00246738">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561FD7">
              <w:rPr>
                <w:rFonts w:ascii="Times New Roman" w:hAnsi="Times New Roman" w:cs="Times New Roman"/>
                <w:sz w:val="24"/>
                <w:szCs w:val="24"/>
              </w:rPr>
              <w:t xml:space="preserve">par </w:t>
            </w:r>
            <w:r w:rsidR="00A9205A" w:rsidRPr="00561FD7">
              <w:rPr>
                <w:rFonts w:ascii="Times New Roman" w:hAnsi="Times New Roman" w:cs="Times New Roman"/>
                <w:sz w:val="24"/>
                <w:szCs w:val="24"/>
              </w:rPr>
              <w:t>regulas</w:t>
            </w:r>
            <w:r w:rsidRPr="00561FD7">
              <w:rPr>
                <w:rFonts w:ascii="Times New Roman" w:hAnsi="Times New Roman" w:cs="Times New Roman"/>
                <w:sz w:val="24"/>
                <w:szCs w:val="24"/>
              </w:rPr>
              <w:t xml:space="preserve"> 7. panta 2. punktā</w:t>
            </w:r>
            <w:r w:rsidR="00F94ADA" w:rsidRPr="00561FD7">
              <w:rPr>
                <w:rFonts w:ascii="Times New Roman" w:hAnsi="Times New Roman" w:cs="Times New Roman"/>
                <w:sz w:val="24"/>
                <w:szCs w:val="24"/>
              </w:rPr>
              <w:t>, īstenošanas regulas 6. pantā un III pielikumā</w:t>
            </w:r>
            <w:r w:rsidRPr="00561FD7">
              <w:rPr>
                <w:rFonts w:ascii="Times New Roman" w:hAnsi="Times New Roman" w:cs="Times New Roman"/>
                <w:sz w:val="24"/>
                <w:szCs w:val="24"/>
              </w:rPr>
              <w:t xml:space="preserve"> minēto pienākumu izpildīšanas nedeklarēšanu un informācijas neiesniegšanu kompetentajai iestādei tāda produkta galīgās izstrādes posmā, k</w:t>
            </w:r>
            <w:r w:rsidR="006562BB" w:rsidRPr="00561FD7">
              <w:rPr>
                <w:rFonts w:ascii="Times New Roman" w:hAnsi="Times New Roman" w:cs="Times New Roman"/>
                <w:sz w:val="24"/>
                <w:szCs w:val="24"/>
              </w:rPr>
              <w:t>as</w:t>
            </w:r>
            <w:r w:rsidRPr="00561FD7">
              <w:rPr>
                <w:rFonts w:ascii="Times New Roman" w:hAnsi="Times New Roman" w:cs="Times New Roman"/>
                <w:sz w:val="24"/>
                <w:szCs w:val="24"/>
              </w:rPr>
              <w:t xml:space="preserve"> izstrādāts, izmantojot ģenētiskos resursus vai ar šādiem resursiem saistītās tradicionālās zināšanas.</w:t>
            </w:r>
          </w:p>
          <w:p w14:paraId="76D20DCC" w14:textId="3F1DB3E4" w:rsidR="0002572C" w:rsidRPr="00561FD7" w:rsidRDefault="0002572C" w:rsidP="0002572C">
            <w:pPr>
              <w:spacing w:after="120" w:line="240" w:lineRule="auto"/>
              <w:jc w:val="both"/>
              <w:rPr>
                <w:rFonts w:ascii="Times New Roman" w:hAnsi="Times New Roman" w:cs="Times New Roman"/>
                <w:sz w:val="24"/>
                <w:szCs w:val="24"/>
              </w:rPr>
            </w:pPr>
            <w:r w:rsidRPr="00561FD7">
              <w:rPr>
                <w:rFonts w:ascii="Times New Roman" w:hAnsi="Times New Roman" w:cs="Times New Roman"/>
                <w:sz w:val="24"/>
                <w:szCs w:val="24"/>
              </w:rPr>
              <w:t>Papildu iepriekšējā punktā aprakstītajam deklarācijas iesniegšanas p</w:t>
            </w:r>
            <w:r w:rsidR="00C96114" w:rsidRPr="00561FD7">
              <w:rPr>
                <w:rFonts w:ascii="Times New Roman" w:hAnsi="Times New Roman" w:cs="Times New Roman"/>
                <w:sz w:val="24"/>
                <w:szCs w:val="24"/>
              </w:rPr>
              <w:t>ienākumam pētījumu fāzē, regula un</w:t>
            </w:r>
            <w:r w:rsidRPr="00561FD7">
              <w:rPr>
                <w:rFonts w:ascii="Times New Roman" w:hAnsi="Times New Roman" w:cs="Times New Roman"/>
                <w:sz w:val="24"/>
                <w:szCs w:val="24"/>
              </w:rPr>
              <w:t xml:space="preserve"> īstenošanas regula paredz, ka deklarācija jāiesniedz arī produkta galīgās izstrādes laikā, ja šī produkta izstr</w:t>
            </w:r>
            <w:r w:rsidR="00765971" w:rsidRPr="00561FD7">
              <w:rPr>
                <w:rFonts w:ascii="Times New Roman" w:hAnsi="Times New Roman" w:cs="Times New Roman"/>
                <w:sz w:val="24"/>
                <w:szCs w:val="24"/>
              </w:rPr>
              <w:t>ādē izmantoti ģenētiskie resursi</w:t>
            </w:r>
            <w:r w:rsidRPr="00561FD7">
              <w:rPr>
                <w:rFonts w:ascii="Times New Roman" w:hAnsi="Times New Roman" w:cs="Times New Roman"/>
                <w:sz w:val="24"/>
                <w:szCs w:val="24"/>
              </w:rPr>
              <w:t xml:space="preserve"> ar tiem saistītās tradicionālās zināšanas. </w:t>
            </w:r>
          </w:p>
          <w:p w14:paraId="1D98A221" w14:textId="25940649" w:rsidR="00FE26B5" w:rsidRPr="00561FD7" w:rsidRDefault="00FE26B5" w:rsidP="00704F59">
            <w:pPr>
              <w:pStyle w:val="ListParagraph"/>
              <w:tabs>
                <w:tab w:val="left" w:pos="257"/>
              </w:tabs>
              <w:spacing w:after="120" w:line="240" w:lineRule="auto"/>
              <w:ind w:left="0"/>
              <w:contextualSpacing w:val="0"/>
              <w:jc w:val="both"/>
              <w:rPr>
                <w:rFonts w:ascii="Times New Roman" w:hAnsi="Times New Roman" w:cs="Times New Roman"/>
                <w:sz w:val="24"/>
                <w:szCs w:val="24"/>
              </w:rPr>
            </w:pPr>
            <w:r w:rsidRPr="00561FD7">
              <w:rPr>
                <w:rFonts w:ascii="Times New Roman" w:hAnsi="Times New Roman" w:cs="Times New Roman"/>
                <w:sz w:val="24"/>
                <w:szCs w:val="24"/>
              </w:rPr>
              <w:t xml:space="preserve">Deklarācijas saturs ir noteikts īstenošanas regulas </w:t>
            </w:r>
            <w:hyperlink r:id="rId13" w:history="1">
              <w:r w:rsidRPr="00561FD7">
                <w:rPr>
                  <w:rFonts w:ascii="Times New Roman" w:hAnsi="Times New Roman" w:cs="Times New Roman"/>
                  <w:sz w:val="24"/>
                  <w:szCs w:val="24"/>
                </w:rPr>
                <w:t>III pielikumā</w:t>
              </w:r>
            </w:hyperlink>
            <w:r w:rsidRPr="00561FD7">
              <w:rPr>
                <w:rFonts w:ascii="Times New Roman" w:hAnsi="Times New Roman" w:cs="Times New Roman"/>
                <w:sz w:val="24"/>
                <w:szCs w:val="24"/>
              </w:rPr>
              <w:t xml:space="preserve"> un arī iekļauts DECLARE sistēmā.</w:t>
            </w:r>
          </w:p>
          <w:p w14:paraId="30C26CCE" w14:textId="77777777" w:rsidR="00AA4B29" w:rsidRPr="00561FD7" w:rsidRDefault="00AA4B29" w:rsidP="002067F1">
            <w:pPr>
              <w:spacing w:after="120" w:line="240" w:lineRule="auto"/>
              <w:ind w:left="10"/>
              <w:jc w:val="both"/>
              <w:rPr>
                <w:rFonts w:ascii="Times New Roman" w:hAnsi="Times New Roman" w:cs="Times New Roman"/>
                <w:sz w:val="24"/>
                <w:szCs w:val="24"/>
              </w:rPr>
            </w:pPr>
            <w:r w:rsidRPr="00561FD7">
              <w:rPr>
                <w:rFonts w:ascii="Times New Roman" w:hAnsi="Times New Roman" w:cs="Times New Roman"/>
                <w:sz w:val="24"/>
                <w:szCs w:val="24"/>
              </w:rPr>
              <w:t>Kā noteikts īstenošanas regulas 6. pantā deklarāciju produkta izstrādes laikā sniedz tikai vienreiz – pirms pirmā no šiem gadījumiem:</w:t>
            </w:r>
          </w:p>
          <w:p w14:paraId="2DD4F760" w14:textId="77777777" w:rsidR="00AA4B29" w:rsidRPr="00561FD7" w:rsidRDefault="00AA4B29" w:rsidP="002067F1">
            <w:pPr>
              <w:numPr>
                <w:ilvl w:val="0"/>
                <w:numId w:val="15"/>
              </w:numPr>
              <w:spacing w:after="120" w:line="240" w:lineRule="auto"/>
              <w:ind w:hanging="295"/>
              <w:jc w:val="both"/>
              <w:rPr>
                <w:rFonts w:ascii="Times New Roman" w:hAnsi="Times New Roman" w:cs="Times New Roman"/>
                <w:sz w:val="24"/>
                <w:szCs w:val="24"/>
              </w:rPr>
            </w:pPr>
            <w:r w:rsidRPr="00561FD7">
              <w:rPr>
                <w:rFonts w:ascii="Times New Roman" w:hAnsi="Times New Roman" w:cs="Times New Roman"/>
                <w:sz w:val="24"/>
                <w:szCs w:val="24"/>
              </w:rPr>
              <w:t>tiek prasīta tirdzniecības atļauja vai apstiprināšana attiecībā uz produktu;</w:t>
            </w:r>
          </w:p>
          <w:p w14:paraId="5E22DDDD" w14:textId="77777777" w:rsidR="00AA4B29" w:rsidRPr="00235808" w:rsidRDefault="00AA4B29" w:rsidP="002067F1">
            <w:pPr>
              <w:numPr>
                <w:ilvl w:val="0"/>
                <w:numId w:val="15"/>
              </w:numPr>
              <w:spacing w:after="120" w:line="240" w:lineRule="auto"/>
              <w:ind w:hanging="295"/>
              <w:jc w:val="both"/>
              <w:rPr>
                <w:rFonts w:ascii="Times New Roman" w:hAnsi="Times New Roman" w:cs="Times New Roman"/>
                <w:sz w:val="24"/>
                <w:szCs w:val="24"/>
              </w:rPr>
            </w:pPr>
            <w:r w:rsidRPr="00235808">
              <w:rPr>
                <w:rFonts w:ascii="Times New Roman" w:hAnsi="Times New Roman" w:cs="Times New Roman"/>
                <w:sz w:val="24"/>
                <w:szCs w:val="24"/>
              </w:rPr>
              <w:t>tiek izdarīts paziņojums, kas jāsniedz, pirms pirmoreiz Eiropas Savienības tirgū laiž produktu;</w:t>
            </w:r>
          </w:p>
          <w:p w14:paraId="7AA645C4" w14:textId="77777777" w:rsidR="00AA4B29" w:rsidRPr="00235808" w:rsidRDefault="00AA4B29" w:rsidP="002067F1">
            <w:pPr>
              <w:numPr>
                <w:ilvl w:val="0"/>
                <w:numId w:val="15"/>
              </w:numPr>
              <w:spacing w:after="120" w:line="240" w:lineRule="auto"/>
              <w:ind w:hanging="295"/>
              <w:jc w:val="both"/>
              <w:rPr>
                <w:rFonts w:ascii="Times New Roman" w:hAnsi="Times New Roman" w:cs="Times New Roman"/>
                <w:sz w:val="24"/>
                <w:szCs w:val="24"/>
              </w:rPr>
            </w:pPr>
            <w:r w:rsidRPr="00235808">
              <w:rPr>
                <w:rFonts w:ascii="Times New Roman" w:hAnsi="Times New Roman" w:cs="Times New Roman"/>
                <w:sz w:val="24"/>
                <w:szCs w:val="24"/>
              </w:rPr>
              <w:t xml:space="preserve">Eiropas Savienības tirgū pirmoreiz tiek laists produkts par ko nav jāsaņem tirdzniecības atļauja, apstiprināšana vai jāizdara paziņojums; </w:t>
            </w:r>
          </w:p>
          <w:p w14:paraId="57CF7247" w14:textId="77777777" w:rsidR="00AA4B29" w:rsidRPr="00235808" w:rsidRDefault="00AA4B29" w:rsidP="002067F1">
            <w:pPr>
              <w:numPr>
                <w:ilvl w:val="0"/>
                <w:numId w:val="15"/>
              </w:numPr>
              <w:spacing w:after="120" w:line="240" w:lineRule="auto"/>
              <w:ind w:hanging="295"/>
              <w:jc w:val="both"/>
              <w:rPr>
                <w:rFonts w:ascii="Times New Roman" w:hAnsi="Times New Roman" w:cs="Times New Roman"/>
                <w:sz w:val="24"/>
                <w:szCs w:val="24"/>
              </w:rPr>
            </w:pPr>
            <w:r w:rsidRPr="00235808">
              <w:rPr>
                <w:rFonts w:ascii="Times New Roman" w:hAnsi="Times New Roman" w:cs="Times New Roman"/>
                <w:sz w:val="24"/>
                <w:szCs w:val="24"/>
              </w:rPr>
              <w:t xml:space="preserve">izmantošanas rezultāts tiek pārdots vai jebkādā citā veidā nodots fiziskai vai juridiskai personai Eiropas Savienībā, lai šī persona veiktu kādu no a), b) un c) apakšpunktā minētajām darbībām; </w:t>
            </w:r>
          </w:p>
          <w:p w14:paraId="4C5FF438" w14:textId="77777777" w:rsidR="00AA4B29" w:rsidRPr="00235808" w:rsidRDefault="00AA4B29" w:rsidP="002067F1">
            <w:pPr>
              <w:numPr>
                <w:ilvl w:val="0"/>
                <w:numId w:val="15"/>
              </w:numPr>
              <w:spacing w:after="120" w:line="240" w:lineRule="auto"/>
              <w:ind w:hanging="295"/>
              <w:jc w:val="both"/>
              <w:rPr>
                <w:rFonts w:ascii="Times New Roman" w:hAnsi="Times New Roman" w:cs="Times New Roman"/>
                <w:sz w:val="24"/>
                <w:szCs w:val="24"/>
              </w:rPr>
            </w:pPr>
            <w:r w:rsidRPr="00235808">
              <w:rPr>
                <w:rFonts w:ascii="Times New Roman" w:hAnsi="Times New Roman" w:cs="Times New Roman"/>
                <w:sz w:val="24"/>
                <w:szCs w:val="24"/>
              </w:rPr>
              <w:t xml:space="preserve">izmantošana Eiropas Savienībā ir beigusies, un tās iznākums tiek pārdots vai jebkādā citā veidā nodots fiziskai vai juridiskai personai ārpus Eiropas Savienības. </w:t>
            </w:r>
          </w:p>
          <w:p w14:paraId="1828EDCD" w14:textId="77777777" w:rsidR="00AA4B29" w:rsidRPr="00235808" w:rsidRDefault="00AA4B29" w:rsidP="002067F1">
            <w:pPr>
              <w:spacing w:after="120" w:line="240" w:lineRule="auto"/>
              <w:ind w:left="10"/>
              <w:jc w:val="both"/>
              <w:rPr>
                <w:rFonts w:ascii="Times New Roman" w:hAnsi="Times New Roman" w:cs="Times New Roman"/>
                <w:sz w:val="24"/>
                <w:szCs w:val="24"/>
              </w:rPr>
            </w:pPr>
            <w:r>
              <w:rPr>
                <w:rFonts w:ascii="Times New Roman" w:hAnsi="Times New Roman" w:cs="Times New Roman"/>
                <w:sz w:val="24"/>
                <w:szCs w:val="24"/>
              </w:rPr>
              <w:t>“I</w:t>
            </w:r>
            <w:r w:rsidRPr="00235808">
              <w:rPr>
                <w:rFonts w:ascii="Times New Roman" w:hAnsi="Times New Roman" w:cs="Times New Roman"/>
                <w:sz w:val="24"/>
                <w:szCs w:val="24"/>
              </w:rPr>
              <w:t xml:space="preserve">zmantošanas rezultāts” ir produkti, produktu priekšgājēji, kā arī produktu daļas, kas tiks iekļautas gala produktā, rasējumi vai dizainparaugi, uz kuriem pamatojoties ražošana var notikt, turpmāk neizmantojot ģenētiskos resursus un ar ģenētiskajiem resursiem saistītās tradicionālās zināšanas. </w:t>
            </w:r>
          </w:p>
          <w:p w14:paraId="753782B3" w14:textId="77777777" w:rsidR="00AA4B29" w:rsidRDefault="00AA4B29" w:rsidP="002067F1">
            <w:pPr>
              <w:spacing w:after="120" w:line="240" w:lineRule="auto"/>
              <w:ind w:left="10"/>
              <w:jc w:val="both"/>
              <w:rPr>
                <w:rFonts w:ascii="Times New Roman" w:hAnsi="Times New Roman" w:cs="Times New Roman"/>
                <w:sz w:val="24"/>
                <w:szCs w:val="24"/>
              </w:rPr>
            </w:pPr>
            <w:r>
              <w:rPr>
                <w:rFonts w:ascii="Times New Roman" w:hAnsi="Times New Roman" w:cs="Times New Roman"/>
                <w:sz w:val="24"/>
                <w:szCs w:val="24"/>
              </w:rPr>
              <w:t>“L</w:t>
            </w:r>
            <w:r w:rsidRPr="00235808">
              <w:rPr>
                <w:rFonts w:ascii="Times New Roman" w:hAnsi="Times New Roman" w:cs="Times New Roman"/>
                <w:sz w:val="24"/>
                <w:szCs w:val="24"/>
              </w:rPr>
              <w:t xml:space="preserve">aist </w:t>
            </w:r>
            <w:r>
              <w:rPr>
                <w:rFonts w:ascii="Times New Roman" w:hAnsi="Times New Roman" w:cs="Times New Roman"/>
                <w:sz w:val="24"/>
                <w:szCs w:val="24"/>
              </w:rPr>
              <w:t xml:space="preserve">Eiropas </w:t>
            </w:r>
            <w:r w:rsidRPr="00235808">
              <w:rPr>
                <w:rFonts w:ascii="Times New Roman" w:hAnsi="Times New Roman" w:cs="Times New Roman"/>
                <w:sz w:val="24"/>
                <w:szCs w:val="24"/>
              </w:rPr>
              <w:t xml:space="preserve">Savienības tirgū” ir pirmoreiz darīt pieejamu </w:t>
            </w:r>
            <w:r>
              <w:rPr>
                <w:rFonts w:ascii="Times New Roman" w:hAnsi="Times New Roman" w:cs="Times New Roman"/>
                <w:sz w:val="24"/>
                <w:szCs w:val="24"/>
              </w:rPr>
              <w:t xml:space="preserve">Eiropas </w:t>
            </w:r>
            <w:r w:rsidRPr="00235808">
              <w:rPr>
                <w:rFonts w:ascii="Times New Roman" w:hAnsi="Times New Roman" w:cs="Times New Roman"/>
                <w:sz w:val="24"/>
                <w:szCs w:val="24"/>
              </w:rPr>
              <w:t>Savienības tirgū produktu, kas izstrādāts, izmantojot ģenētiskos resursus un ar ģenētiskajiem resursiem saistīt</w:t>
            </w:r>
            <w:r>
              <w:rPr>
                <w:rFonts w:ascii="Times New Roman" w:hAnsi="Times New Roman" w:cs="Times New Roman"/>
                <w:sz w:val="24"/>
                <w:szCs w:val="24"/>
              </w:rPr>
              <w:t>ās tradicionālās zināšanas.</w:t>
            </w:r>
          </w:p>
          <w:p w14:paraId="6D9DF3D4" w14:textId="77777777" w:rsidR="00AA4B29" w:rsidRPr="00235808" w:rsidRDefault="00AA4B29" w:rsidP="002067F1">
            <w:pPr>
              <w:spacing w:after="120" w:line="240" w:lineRule="auto"/>
              <w:ind w:left="10"/>
              <w:jc w:val="both"/>
              <w:rPr>
                <w:rFonts w:ascii="Times New Roman" w:hAnsi="Times New Roman" w:cs="Times New Roman"/>
                <w:sz w:val="24"/>
                <w:szCs w:val="24"/>
              </w:rPr>
            </w:pPr>
            <w:r>
              <w:rPr>
                <w:rFonts w:ascii="Times New Roman" w:hAnsi="Times New Roman" w:cs="Times New Roman"/>
                <w:sz w:val="24"/>
                <w:szCs w:val="24"/>
              </w:rPr>
              <w:t>“Darīt pieejamu”</w:t>
            </w:r>
            <w:r w:rsidRPr="00235808">
              <w:rPr>
                <w:rFonts w:ascii="Times New Roman" w:hAnsi="Times New Roman" w:cs="Times New Roman"/>
                <w:sz w:val="24"/>
                <w:szCs w:val="24"/>
              </w:rPr>
              <w:t xml:space="preserve"> nozīmē komercdarbības gaitā bez maksas vai par maksu veikt jebkāda veida piegādi </w:t>
            </w:r>
            <w:r>
              <w:rPr>
                <w:rFonts w:ascii="Times New Roman" w:hAnsi="Times New Roman" w:cs="Times New Roman"/>
                <w:sz w:val="24"/>
                <w:szCs w:val="24"/>
              </w:rPr>
              <w:t xml:space="preserve">Eiropas </w:t>
            </w:r>
            <w:r w:rsidRPr="00235808">
              <w:rPr>
                <w:rFonts w:ascii="Times New Roman" w:hAnsi="Times New Roman" w:cs="Times New Roman"/>
                <w:sz w:val="24"/>
                <w:szCs w:val="24"/>
              </w:rPr>
              <w:t xml:space="preserve">Savienības tirgū tālākai izplatīšanai, patēriņam vai izmantošanai. Laišana tirgū neietver iepriekšējus komerciālus izmēģinājumus, tostarp klīniskos izmēģinājumus, laukizmēģinājumus vai rezistences pret pesticīdiem izmēģinājumus, kā arī nenozīmē darīt pieejamas neatļautas zāles, lai sniegtu ārstēšanas iespējas atsevišķiem pacientiem vai </w:t>
            </w:r>
            <w:r>
              <w:rPr>
                <w:rFonts w:ascii="Times New Roman" w:hAnsi="Times New Roman" w:cs="Times New Roman"/>
                <w:sz w:val="24"/>
                <w:szCs w:val="24"/>
              </w:rPr>
              <w:t>pacientu grupām.</w:t>
            </w:r>
          </w:p>
          <w:p w14:paraId="6CBDD942" w14:textId="77777777" w:rsidR="00FA0A0D" w:rsidRPr="002067F1" w:rsidRDefault="00FA0A0D" w:rsidP="00FA0A0D">
            <w:pPr>
              <w:tabs>
                <w:tab w:val="left" w:pos="257"/>
              </w:tabs>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Pārkāpuma raksturs var būt, piemēram, no mazāka, ja lietotājs deklarāciju iesniedzis divus mēnešus pēc termiņa vai līdz lielākam – ja lietotājs, izteikti komerciāla produkta izstrādātājs, neiesniedz deklarāciju pēc divkārtēja kompetentās iestādes atgādinājuma.</w:t>
            </w:r>
          </w:p>
          <w:p w14:paraId="24CFD44C" w14:textId="586867BD" w:rsidR="00246738" w:rsidRPr="00435F6F" w:rsidRDefault="00246738" w:rsidP="00246738">
            <w:pPr>
              <w:spacing w:after="120" w:line="240" w:lineRule="auto"/>
              <w:jc w:val="both"/>
              <w:rPr>
                <w:rFonts w:ascii="Times New Roman" w:hAnsi="Times New Roman" w:cs="Times New Roman"/>
                <w:sz w:val="24"/>
                <w:szCs w:val="24"/>
              </w:rPr>
            </w:pPr>
            <w:r w:rsidRPr="00435F6F">
              <w:rPr>
                <w:rFonts w:ascii="Times New Roman" w:hAnsi="Times New Roman" w:cs="Times New Roman"/>
                <w:sz w:val="24"/>
                <w:szCs w:val="24"/>
              </w:rPr>
              <w:t xml:space="preserve">Kā minēto </w:t>
            </w:r>
            <w:r w:rsidR="00AA4B29">
              <w:rPr>
                <w:rFonts w:ascii="Times New Roman" w:hAnsi="Times New Roman" w:cs="Times New Roman"/>
                <w:sz w:val="24"/>
                <w:szCs w:val="24"/>
              </w:rPr>
              <w:t xml:space="preserve">un skaidroto </w:t>
            </w:r>
            <w:r w:rsidRPr="00435F6F">
              <w:rPr>
                <w:rFonts w:ascii="Times New Roman" w:hAnsi="Times New Roman" w:cs="Times New Roman"/>
                <w:sz w:val="24"/>
                <w:szCs w:val="24"/>
              </w:rPr>
              <w:t>pārkāpumu administratīvā soda veidi paredzēti brīdinājums vai naudas sods.</w:t>
            </w:r>
          </w:p>
          <w:p w14:paraId="0F1F6B3F" w14:textId="77777777" w:rsidR="003E23D9" w:rsidRDefault="000A7BB2" w:rsidP="00966C1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Lai noteiktu iespējamā</w:t>
            </w:r>
            <w:r w:rsidR="00BA359C" w:rsidRPr="000A7BB2">
              <w:rPr>
                <w:rFonts w:ascii="Times New Roman" w:hAnsi="Times New Roman" w:cs="Times New Roman"/>
                <w:sz w:val="24"/>
                <w:szCs w:val="24"/>
              </w:rPr>
              <w:t xml:space="preserve"> naudas soda apmēru, jāņem </w:t>
            </w:r>
            <w:r w:rsidR="00246738" w:rsidRPr="000A7BB2">
              <w:rPr>
                <w:rFonts w:ascii="Times New Roman" w:hAnsi="Times New Roman" w:cs="Times New Roman"/>
                <w:sz w:val="24"/>
                <w:szCs w:val="24"/>
              </w:rPr>
              <w:t>vērā, ka</w:t>
            </w:r>
            <w:r w:rsidR="003E23D9">
              <w:rPr>
                <w:rFonts w:ascii="Times New Roman" w:hAnsi="Times New Roman" w:cs="Times New Roman"/>
                <w:sz w:val="24"/>
                <w:szCs w:val="24"/>
              </w:rPr>
              <w:t>:</w:t>
            </w:r>
          </w:p>
          <w:p w14:paraId="1275E73C" w14:textId="0FD7C1E2" w:rsidR="003E23D9" w:rsidRDefault="00BA359C" w:rsidP="00966C16">
            <w:pPr>
              <w:spacing w:after="120" w:line="240" w:lineRule="auto"/>
              <w:jc w:val="both"/>
              <w:rPr>
                <w:rFonts w:ascii="Times New Roman" w:hAnsi="Times New Roman" w:cs="Times New Roman"/>
                <w:sz w:val="24"/>
                <w:szCs w:val="24"/>
              </w:rPr>
            </w:pPr>
            <w:r w:rsidRPr="000A7BB2">
              <w:rPr>
                <w:rFonts w:ascii="Times New Roman" w:hAnsi="Times New Roman" w:cs="Times New Roman"/>
                <w:sz w:val="24"/>
                <w:szCs w:val="24"/>
              </w:rPr>
              <w:t>1</w:t>
            </w:r>
            <w:r w:rsidR="003E23D9">
              <w:rPr>
                <w:rFonts w:ascii="Times New Roman" w:hAnsi="Times New Roman" w:cs="Times New Roman"/>
                <w:sz w:val="24"/>
                <w:szCs w:val="24"/>
              </w:rPr>
              <w:t>. </w:t>
            </w:r>
            <w:r w:rsidR="00246738" w:rsidRPr="00E21F1A">
              <w:rPr>
                <w:rFonts w:ascii="Times New Roman" w:hAnsi="Times New Roman" w:cs="Times New Roman"/>
                <w:sz w:val="24"/>
                <w:szCs w:val="24"/>
              </w:rPr>
              <w:t xml:space="preserve">Nagojas Protokols un attiecīgi </w:t>
            </w:r>
            <w:r w:rsidR="00A9205A" w:rsidRPr="00E21F1A">
              <w:rPr>
                <w:rFonts w:ascii="Times New Roman" w:hAnsi="Times New Roman" w:cs="Times New Roman"/>
                <w:sz w:val="24"/>
                <w:szCs w:val="24"/>
              </w:rPr>
              <w:t>r</w:t>
            </w:r>
            <w:r w:rsidR="00246738" w:rsidRPr="00E21F1A">
              <w:rPr>
                <w:rFonts w:ascii="Times New Roman" w:hAnsi="Times New Roman" w:cs="Times New Roman"/>
                <w:sz w:val="24"/>
                <w:szCs w:val="24"/>
              </w:rPr>
              <w:t xml:space="preserve">egula </w:t>
            </w:r>
            <w:r w:rsidR="00246738" w:rsidRPr="00122441">
              <w:rPr>
                <w:rFonts w:ascii="Times New Roman" w:hAnsi="Times New Roman" w:cs="Times New Roman"/>
                <w:sz w:val="24"/>
                <w:szCs w:val="24"/>
              </w:rPr>
              <w:t>neattiecas uz kādu noteiktu nozari, bet gan horizontāli uz vairumu ģenētisko resursu izmantošanas veidiem</w:t>
            </w:r>
            <w:r w:rsidR="003E23D9">
              <w:rPr>
                <w:rFonts w:ascii="Times New Roman" w:hAnsi="Times New Roman" w:cs="Times New Roman"/>
                <w:sz w:val="24"/>
                <w:szCs w:val="24"/>
              </w:rPr>
              <w:t>;</w:t>
            </w:r>
          </w:p>
          <w:p w14:paraId="18737061" w14:textId="1E742A0F" w:rsidR="003E23D9" w:rsidRDefault="00AF12D2" w:rsidP="00966C16">
            <w:pPr>
              <w:spacing w:after="120" w:line="240" w:lineRule="auto"/>
              <w:jc w:val="both"/>
              <w:rPr>
                <w:rFonts w:ascii="Times New Roman" w:hAnsi="Times New Roman" w:cs="Times New Roman"/>
                <w:sz w:val="24"/>
                <w:szCs w:val="24"/>
              </w:rPr>
            </w:pPr>
            <w:r w:rsidRPr="00122441">
              <w:rPr>
                <w:rFonts w:ascii="Times New Roman" w:hAnsi="Times New Roman" w:cs="Times New Roman"/>
                <w:sz w:val="24"/>
                <w:szCs w:val="24"/>
              </w:rPr>
              <w:t>2</w:t>
            </w:r>
            <w:r w:rsidR="003E23D9">
              <w:rPr>
                <w:rFonts w:ascii="Times New Roman" w:hAnsi="Times New Roman" w:cs="Times New Roman"/>
                <w:sz w:val="24"/>
                <w:szCs w:val="24"/>
              </w:rPr>
              <w:t>. tiesiskais regulējums attiecināms uz</w:t>
            </w:r>
            <w:r w:rsidRPr="00122441">
              <w:rPr>
                <w:rFonts w:ascii="Times New Roman" w:hAnsi="Times New Roman" w:cs="Times New Roman"/>
                <w:sz w:val="24"/>
                <w:szCs w:val="24"/>
              </w:rPr>
              <w:t xml:space="preserve"> Latvij</w:t>
            </w:r>
            <w:r w:rsidR="00561FD7">
              <w:rPr>
                <w:rFonts w:ascii="Times New Roman" w:hAnsi="Times New Roman" w:cs="Times New Roman"/>
                <w:sz w:val="24"/>
                <w:szCs w:val="24"/>
              </w:rPr>
              <w:t>as</w:t>
            </w:r>
            <w:r w:rsidRPr="00122441">
              <w:rPr>
                <w:rFonts w:ascii="Times New Roman" w:hAnsi="Times New Roman" w:cs="Times New Roman"/>
                <w:sz w:val="24"/>
                <w:szCs w:val="24"/>
              </w:rPr>
              <w:t xml:space="preserve"> personu iespējamiem pārkāpumiem atsevišķu valstu ģenētisko resursu izmantošanā</w:t>
            </w:r>
            <w:r w:rsidR="003E23D9">
              <w:rPr>
                <w:rFonts w:ascii="Times New Roman" w:hAnsi="Times New Roman" w:cs="Times New Roman"/>
                <w:sz w:val="24"/>
                <w:szCs w:val="24"/>
              </w:rPr>
              <w:t>;</w:t>
            </w:r>
          </w:p>
          <w:p w14:paraId="18B4D2A4" w14:textId="6BEF6270" w:rsidR="00E21F1A" w:rsidRDefault="003150D0" w:rsidP="00966C16">
            <w:pPr>
              <w:spacing w:after="120" w:line="240" w:lineRule="auto"/>
              <w:jc w:val="both"/>
              <w:rPr>
                <w:rFonts w:ascii="Times New Roman" w:hAnsi="Times New Roman" w:cs="Times New Roman"/>
                <w:sz w:val="24"/>
                <w:szCs w:val="24"/>
              </w:rPr>
            </w:pPr>
            <w:r w:rsidRPr="00122441">
              <w:rPr>
                <w:rFonts w:ascii="Times New Roman" w:hAnsi="Times New Roman" w:cs="Times New Roman"/>
                <w:sz w:val="24"/>
                <w:szCs w:val="24"/>
              </w:rPr>
              <w:t>3</w:t>
            </w:r>
            <w:r w:rsidR="003E23D9">
              <w:rPr>
                <w:rFonts w:ascii="Times New Roman" w:hAnsi="Times New Roman" w:cs="Times New Roman"/>
                <w:sz w:val="24"/>
                <w:szCs w:val="24"/>
              </w:rPr>
              <w:t>. </w:t>
            </w:r>
            <w:r w:rsidR="00E21F1A" w:rsidRPr="00E21F1A">
              <w:rPr>
                <w:rFonts w:ascii="Times New Roman" w:hAnsi="Times New Roman" w:cs="Times New Roman"/>
                <w:sz w:val="24"/>
                <w:szCs w:val="24"/>
              </w:rPr>
              <w:t xml:space="preserve">Nagojas Protokols un regula </w:t>
            </w:r>
            <w:r w:rsidR="00E21F1A">
              <w:rPr>
                <w:rFonts w:ascii="Times New Roman" w:hAnsi="Times New Roman" w:cs="Times New Roman"/>
                <w:sz w:val="24"/>
                <w:szCs w:val="24"/>
              </w:rPr>
              <w:t>i</w:t>
            </w:r>
            <w:r w:rsidR="003E23D9">
              <w:rPr>
                <w:rFonts w:ascii="Times New Roman" w:hAnsi="Times New Roman" w:cs="Times New Roman"/>
                <w:sz w:val="24"/>
                <w:szCs w:val="24"/>
              </w:rPr>
              <w:t>edibina jaunu</w:t>
            </w:r>
            <w:r w:rsidR="00E21F1A">
              <w:rPr>
                <w:rFonts w:ascii="Times New Roman" w:hAnsi="Times New Roman" w:cs="Times New Roman"/>
                <w:sz w:val="24"/>
                <w:szCs w:val="24"/>
              </w:rPr>
              <w:t xml:space="preserve"> tiesisk</w:t>
            </w:r>
            <w:r w:rsidR="003E23D9">
              <w:rPr>
                <w:rFonts w:ascii="Times New Roman" w:hAnsi="Times New Roman" w:cs="Times New Roman"/>
                <w:sz w:val="24"/>
                <w:szCs w:val="24"/>
              </w:rPr>
              <w:t>o</w:t>
            </w:r>
            <w:r w:rsidR="00E21F1A">
              <w:rPr>
                <w:rFonts w:ascii="Times New Roman" w:hAnsi="Times New Roman" w:cs="Times New Roman"/>
                <w:sz w:val="24"/>
                <w:szCs w:val="24"/>
              </w:rPr>
              <w:t xml:space="preserve"> regulējum</w:t>
            </w:r>
            <w:r w:rsidR="003E23D9">
              <w:rPr>
                <w:rFonts w:ascii="Times New Roman" w:hAnsi="Times New Roman" w:cs="Times New Roman"/>
                <w:sz w:val="24"/>
                <w:szCs w:val="24"/>
              </w:rPr>
              <w:t>u</w:t>
            </w:r>
            <w:r w:rsidR="00E21F1A">
              <w:rPr>
                <w:rFonts w:ascii="Times New Roman" w:hAnsi="Times New Roman" w:cs="Times New Roman"/>
                <w:sz w:val="24"/>
                <w:szCs w:val="24"/>
              </w:rPr>
              <w:t>, kura piemērošanā ir maz pieredzes.</w:t>
            </w:r>
          </w:p>
          <w:p w14:paraId="1BB3599A" w14:textId="32D9554D" w:rsidR="005D3FD1" w:rsidRDefault="005D3FD1" w:rsidP="00966C1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Tādās Eiropas Savienības dalībvalstīs kā Bulgārija, Čehija, </w:t>
            </w:r>
            <w:r w:rsidR="00307E8E">
              <w:rPr>
                <w:rFonts w:ascii="Times New Roman" w:hAnsi="Times New Roman" w:cs="Times New Roman"/>
                <w:sz w:val="24"/>
                <w:szCs w:val="24"/>
              </w:rPr>
              <w:t>Horvātija, Igaunija,</w:t>
            </w:r>
            <w:r>
              <w:rPr>
                <w:rFonts w:ascii="Times New Roman" w:hAnsi="Times New Roman" w:cs="Times New Roman"/>
                <w:sz w:val="24"/>
                <w:szCs w:val="24"/>
              </w:rPr>
              <w:t xml:space="preserve"> </w:t>
            </w:r>
            <w:r w:rsidR="00307E8E">
              <w:rPr>
                <w:rFonts w:ascii="Times New Roman" w:hAnsi="Times New Roman" w:cs="Times New Roman"/>
                <w:sz w:val="24"/>
                <w:szCs w:val="24"/>
              </w:rPr>
              <w:t>Lielbritānija, Lietuva, Malta,</w:t>
            </w:r>
            <w:r>
              <w:rPr>
                <w:rFonts w:ascii="Times New Roman" w:hAnsi="Times New Roman" w:cs="Times New Roman"/>
                <w:sz w:val="24"/>
                <w:szCs w:val="24"/>
              </w:rPr>
              <w:t xml:space="preserve"> Polija, </w:t>
            </w:r>
            <w:r w:rsidR="00307E8E">
              <w:rPr>
                <w:rFonts w:ascii="Times New Roman" w:hAnsi="Times New Roman" w:cs="Times New Roman"/>
                <w:sz w:val="24"/>
                <w:szCs w:val="24"/>
              </w:rPr>
              <w:t>Rumānija,</w:t>
            </w:r>
            <w:r>
              <w:rPr>
                <w:rFonts w:ascii="Times New Roman" w:hAnsi="Times New Roman" w:cs="Times New Roman"/>
                <w:sz w:val="24"/>
                <w:szCs w:val="24"/>
              </w:rPr>
              <w:t xml:space="preserve"> </w:t>
            </w:r>
            <w:r w:rsidR="008323CD">
              <w:rPr>
                <w:rFonts w:ascii="Times New Roman" w:hAnsi="Times New Roman" w:cs="Times New Roman"/>
                <w:sz w:val="24"/>
                <w:szCs w:val="24"/>
              </w:rPr>
              <w:t>Ungārija</w:t>
            </w:r>
            <w:r w:rsidR="00307E8E">
              <w:rPr>
                <w:rFonts w:ascii="Times New Roman" w:hAnsi="Times New Roman" w:cs="Times New Roman"/>
                <w:sz w:val="24"/>
                <w:szCs w:val="24"/>
              </w:rPr>
              <w:t xml:space="preserve"> un Zviedrija </w:t>
            </w:r>
            <w:r w:rsidR="00D53D82">
              <w:rPr>
                <w:rFonts w:ascii="Times New Roman" w:hAnsi="Times New Roman" w:cs="Times New Roman"/>
                <w:sz w:val="24"/>
                <w:szCs w:val="24"/>
              </w:rPr>
              <w:t xml:space="preserve">minimālā un maksimālā </w:t>
            </w:r>
            <w:r w:rsidR="00307E8E">
              <w:rPr>
                <w:rFonts w:ascii="Times New Roman" w:hAnsi="Times New Roman" w:cs="Times New Roman"/>
                <w:sz w:val="24"/>
                <w:szCs w:val="24"/>
              </w:rPr>
              <w:t>naudas soda apmērs</w:t>
            </w:r>
            <w:r>
              <w:rPr>
                <w:rFonts w:ascii="Times New Roman" w:hAnsi="Times New Roman" w:cs="Times New Roman"/>
                <w:sz w:val="24"/>
                <w:szCs w:val="24"/>
              </w:rPr>
              <w:t xml:space="preserve"> </w:t>
            </w:r>
            <w:r w:rsidR="00307E8E">
              <w:rPr>
                <w:rFonts w:ascii="Times New Roman" w:hAnsi="Times New Roman" w:cs="Times New Roman"/>
                <w:sz w:val="24"/>
                <w:szCs w:val="24"/>
              </w:rPr>
              <w:t>ir robežās no 100</w:t>
            </w:r>
            <w:r w:rsidR="00704F59">
              <w:rPr>
                <w:rFonts w:ascii="Times New Roman" w:hAnsi="Times New Roman" w:cs="Times New Roman"/>
                <w:sz w:val="24"/>
                <w:szCs w:val="24"/>
              </w:rPr>
              <w:t> </w:t>
            </w:r>
            <w:r w:rsidR="00307E8E" w:rsidRPr="00704F59">
              <w:rPr>
                <w:rFonts w:ascii="Times New Roman" w:hAnsi="Times New Roman" w:cs="Times New Roman"/>
                <w:i/>
                <w:sz w:val="24"/>
                <w:szCs w:val="24"/>
              </w:rPr>
              <w:t>euro</w:t>
            </w:r>
            <w:r w:rsidR="00307E8E">
              <w:rPr>
                <w:rFonts w:ascii="Times New Roman" w:hAnsi="Times New Roman" w:cs="Times New Roman"/>
                <w:sz w:val="24"/>
                <w:szCs w:val="24"/>
              </w:rPr>
              <w:t xml:space="preserve"> līdz </w:t>
            </w:r>
            <w:r w:rsidR="00D53D82">
              <w:rPr>
                <w:rFonts w:ascii="Times New Roman" w:hAnsi="Times New Roman" w:cs="Times New Roman"/>
                <w:sz w:val="24"/>
                <w:szCs w:val="24"/>
              </w:rPr>
              <w:t>32</w:t>
            </w:r>
            <w:r w:rsidR="00704F59">
              <w:rPr>
                <w:rFonts w:ascii="Times New Roman" w:hAnsi="Times New Roman" w:cs="Times New Roman"/>
                <w:sz w:val="24"/>
                <w:szCs w:val="24"/>
              </w:rPr>
              <w:t> </w:t>
            </w:r>
            <w:r w:rsidR="00D53D82">
              <w:rPr>
                <w:rFonts w:ascii="Times New Roman" w:hAnsi="Times New Roman" w:cs="Times New Roman"/>
                <w:sz w:val="24"/>
                <w:szCs w:val="24"/>
              </w:rPr>
              <w:t>000</w:t>
            </w:r>
            <w:r w:rsidR="00704F59">
              <w:rPr>
                <w:rFonts w:ascii="Times New Roman" w:hAnsi="Times New Roman" w:cs="Times New Roman"/>
                <w:sz w:val="24"/>
                <w:szCs w:val="24"/>
              </w:rPr>
              <w:t> </w:t>
            </w:r>
            <w:r w:rsidR="00D53D82" w:rsidRPr="00704F59">
              <w:rPr>
                <w:rFonts w:ascii="Times New Roman" w:hAnsi="Times New Roman" w:cs="Times New Roman"/>
                <w:i/>
                <w:sz w:val="24"/>
                <w:szCs w:val="24"/>
              </w:rPr>
              <w:t>euro</w:t>
            </w:r>
            <w:r w:rsidR="00737505">
              <w:rPr>
                <w:rFonts w:ascii="Times New Roman" w:hAnsi="Times New Roman" w:cs="Times New Roman"/>
                <w:sz w:val="24"/>
                <w:szCs w:val="24"/>
              </w:rPr>
              <w:t>, lielākai daļai valstu neizdalot pārkāpumus ar lielāku vai mazāku naudas soda apmēru.</w:t>
            </w:r>
          </w:p>
          <w:p w14:paraId="2855D7F8" w14:textId="743C8D24" w:rsidR="00737505" w:rsidRPr="008B5D28" w:rsidRDefault="00737505" w:rsidP="0073750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Likumprojektā izvēl</w:t>
            </w:r>
            <w:r w:rsidR="0061439B">
              <w:rPr>
                <w:rFonts w:ascii="Times New Roman" w:hAnsi="Times New Roman" w:cs="Times New Roman"/>
                <w:sz w:val="24"/>
                <w:szCs w:val="24"/>
              </w:rPr>
              <w:t xml:space="preserve">ēts izmantot Latvijai </w:t>
            </w:r>
            <w:r>
              <w:rPr>
                <w:rFonts w:ascii="Times New Roman" w:hAnsi="Times New Roman" w:cs="Times New Roman"/>
                <w:sz w:val="24"/>
                <w:szCs w:val="24"/>
              </w:rPr>
              <w:t>līdzīgās kaimiņvalsts Lietuvas noteiktos sodu apmērus, kas ir robežās no 100</w:t>
            </w:r>
            <w:r w:rsidR="00704F59">
              <w:rPr>
                <w:rFonts w:ascii="Times New Roman" w:hAnsi="Times New Roman" w:cs="Times New Roman"/>
                <w:sz w:val="24"/>
                <w:szCs w:val="24"/>
              </w:rPr>
              <w:t> </w:t>
            </w:r>
            <w:r w:rsidRPr="00704F59">
              <w:rPr>
                <w:rFonts w:ascii="Times New Roman" w:hAnsi="Times New Roman" w:cs="Times New Roman"/>
                <w:i/>
                <w:sz w:val="24"/>
                <w:szCs w:val="24"/>
              </w:rPr>
              <w:t>euro</w:t>
            </w:r>
            <w:r>
              <w:rPr>
                <w:rFonts w:ascii="Times New Roman" w:hAnsi="Times New Roman" w:cs="Times New Roman"/>
                <w:sz w:val="24"/>
                <w:szCs w:val="24"/>
              </w:rPr>
              <w:t xml:space="preserve"> līdz 14</w:t>
            </w:r>
            <w:r w:rsidR="00704F59">
              <w:rPr>
                <w:rFonts w:ascii="Times New Roman" w:hAnsi="Times New Roman" w:cs="Times New Roman"/>
                <w:sz w:val="24"/>
                <w:szCs w:val="24"/>
              </w:rPr>
              <w:t> </w:t>
            </w:r>
            <w:r>
              <w:rPr>
                <w:rFonts w:ascii="Times New Roman" w:hAnsi="Times New Roman" w:cs="Times New Roman"/>
                <w:sz w:val="24"/>
                <w:szCs w:val="24"/>
              </w:rPr>
              <w:t>000</w:t>
            </w:r>
            <w:r w:rsidR="00704F59">
              <w:rPr>
                <w:rFonts w:ascii="Times New Roman" w:hAnsi="Times New Roman" w:cs="Times New Roman"/>
                <w:sz w:val="24"/>
                <w:szCs w:val="24"/>
              </w:rPr>
              <w:t> </w:t>
            </w:r>
            <w:r w:rsidRPr="00704F59">
              <w:rPr>
                <w:rFonts w:ascii="Times New Roman" w:hAnsi="Times New Roman" w:cs="Times New Roman"/>
                <w:i/>
                <w:sz w:val="24"/>
                <w:szCs w:val="24"/>
              </w:rPr>
              <w:t>euro</w:t>
            </w:r>
            <w:r w:rsidR="00CD7796" w:rsidRPr="002067F1">
              <w:rPr>
                <w:rFonts w:ascii="Times New Roman" w:hAnsi="Times New Roman" w:cs="Times New Roman"/>
                <w:sz w:val="24"/>
                <w:szCs w:val="24"/>
              </w:rPr>
              <w:t xml:space="preserve"> </w:t>
            </w:r>
            <w:r w:rsidR="00CD7796" w:rsidRPr="00CD7796">
              <w:rPr>
                <w:rFonts w:ascii="Times New Roman" w:hAnsi="Times New Roman" w:cs="Times New Roman"/>
                <w:sz w:val="24"/>
                <w:szCs w:val="24"/>
              </w:rPr>
              <w:t>(neatkarīgi fiziskai vai juridiskai personai)</w:t>
            </w:r>
            <w:r w:rsidRPr="00CD7796">
              <w:rPr>
                <w:rFonts w:ascii="Times New Roman" w:hAnsi="Times New Roman" w:cs="Times New Roman"/>
                <w:sz w:val="24"/>
                <w:szCs w:val="24"/>
              </w:rPr>
              <w:t>.</w:t>
            </w:r>
            <w:r>
              <w:rPr>
                <w:rFonts w:ascii="Times New Roman" w:hAnsi="Times New Roman" w:cs="Times New Roman"/>
                <w:sz w:val="24"/>
                <w:szCs w:val="24"/>
              </w:rPr>
              <w:t xml:space="preserve"> Kā arī ņ</w:t>
            </w:r>
            <w:r w:rsidR="0061439B">
              <w:rPr>
                <w:rFonts w:ascii="Times New Roman" w:hAnsi="Times New Roman" w:cs="Times New Roman"/>
                <w:sz w:val="24"/>
                <w:szCs w:val="24"/>
              </w:rPr>
              <w:t>emot</w:t>
            </w:r>
            <w:r>
              <w:rPr>
                <w:rFonts w:ascii="Times New Roman" w:hAnsi="Times New Roman" w:cs="Times New Roman"/>
                <w:sz w:val="24"/>
                <w:szCs w:val="24"/>
              </w:rPr>
              <w:t xml:space="preserve"> vērā </w:t>
            </w:r>
            <w:r w:rsidR="005F7D12">
              <w:rPr>
                <w:rFonts w:ascii="Times New Roman" w:hAnsi="Times New Roman" w:cs="Times New Roman"/>
                <w:sz w:val="24"/>
                <w:szCs w:val="24"/>
              </w:rPr>
              <w:t xml:space="preserve">likumprojekta izstrādes laikā spēkā esošā </w:t>
            </w:r>
            <w:r w:rsidRPr="008B5D28">
              <w:rPr>
                <w:rFonts w:ascii="Times New Roman" w:hAnsi="Times New Roman" w:cs="Times New Roman"/>
                <w:sz w:val="24"/>
                <w:szCs w:val="24"/>
              </w:rPr>
              <w:t xml:space="preserve">Latvijas Administratīvo pārkāpumu kodeksa 26. pantā noteikto maksimālo </w:t>
            </w:r>
            <w:r w:rsidR="00182C61">
              <w:rPr>
                <w:rFonts w:ascii="Times New Roman" w:hAnsi="Times New Roman" w:cs="Times New Roman"/>
                <w:sz w:val="24"/>
                <w:szCs w:val="24"/>
              </w:rPr>
              <w:t xml:space="preserve">naudas sodu </w:t>
            </w:r>
            <w:r w:rsidR="00182C61" w:rsidRPr="008B5D28">
              <w:rPr>
                <w:rFonts w:ascii="Times New Roman" w:hAnsi="Times New Roman" w:cs="Times New Roman"/>
                <w:sz w:val="24"/>
                <w:szCs w:val="24"/>
              </w:rPr>
              <w:t>fiziskām personām (700</w:t>
            </w:r>
            <w:r w:rsidR="00704F59">
              <w:rPr>
                <w:rFonts w:ascii="Times New Roman" w:hAnsi="Times New Roman" w:cs="Times New Roman"/>
                <w:sz w:val="24"/>
                <w:szCs w:val="24"/>
              </w:rPr>
              <w:t> </w:t>
            </w:r>
            <w:r w:rsidR="00182C61" w:rsidRPr="00704F59">
              <w:rPr>
                <w:rFonts w:ascii="Times New Roman" w:hAnsi="Times New Roman" w:cs="Times New Roman"/>
                <w:i/>
                <w:sz w:val="24"/>
                <w:szCs w:val="24"/>
              </w:rPr>
              <w:t>euro</w:t>
            </w:r>
            <w:r w:rsidR="00182C61" w:rsidRPr="008B5D28">
              <w:rPr>
                <w:rFonts w:ascii="Times New Roman" w:hAnsi="Times New Roman" w:cs="Times New Roman"/>
                <w:sz w:val="24"/>
                <w:szCs w:val="24"/>
              </w:rPr>
              <w:t>)</w:t>
            </w:r>
            <w:r w:rsidR="00182C61">
              <w:rPr>
                <w:rFonts w:ascii="Times New Roman" w:hAnsi="Times New Roman" w:cs="Times New Roman"/>
                <w:sz w:val="24"/>
                <w:szCs w:val="24"/>
              </w:rPr>
              <w:t xml:space="preserve"> un</w:t>
            </w:r>
            <w:r w:rsidRPr="008B5D28">
              <w:rPr>
                <w:rFonts w:ascii="Times New Roman" w:hAnsi="Times New Roman" w:cs="Times New Roman"/>
                <w:sz w:val="24"/>
                <w:szCs w:val="24"/>
              </w:rPr>
              <w:t xml:space="preserve"> j</w:t>
            </w:r>
            <w:r w:rsidR="00182C61">
              <w:rPr>
                <w:rFonts w:ascii="Times New Roman" w:hAnsi="Times New Roman" w:cs="Times New Roman"/>
                <w:sz w:val="24"/>
                <w:szCs w:val="24"/>
              </w:rPr>
              <w:t>uridiskām personām (14</w:t>
            </w:r>
            <w:r w:rsidR="00704F59">
              <w:rPr>
                <w:rFonts w:ascii="Times New Roman" w:hAnsi="Times New Roman" w:cs="Times New Roman"/>
                <w:sz w:val="24"/>
                <w:szCs w:val="24"/>
              </w:rPr>
              <w:t> </w:t>
            </w:r>
            <w:r w:rsidR="00182C61">
              <w:rPr>
                <w:rFonts w:ascii="Times New Roman" w:hAnsi="Times New Roman" w:cs="Times New Roman"/>
                <w:sz w:val="24"/>
                <w:szCs w:val="24"/>
              </w:rPr>
              <w:t>000</w:t>
            </w:r>
            <w:r w:rsidR="00704F59">
              <w:rPr>
                <w:rFonts w:ascii="Times New Roman" w:hAnsi="Times New Roman" w:cs="Times New Roman"/>
                <w:sz w:val="24"/>
                <w:szCs w:val="24"/>
              </w:rPr>
              <w:t> </w:t>
            </w:r>
            <w:r w:rsidR="00182C61" w:rsidRPr="00704F59">
              <w:rPr>
                <w:rFonts w:ascii="Times New Roman" w:hAnsi="Times New Roman" w:cs="Times New Roman"/>
                <w:i/>
                <w:sz w:val="24"/>
                <w:szCs w:val="24"/>
              </w:rPr>
              <w:t>euro</w:t>
            </w:r>
            <w:r w:rsidR="00182C61">
              <w:rPr>
                <w:rFonts w:ascii="Times New Roman" w:hAnsi="Times New Roman" w:cs="Times New Roman"/>
                <w:sz w:val="24"/>
                <w:szCs w:val="24"/>
              </w:rPr>
              <w:t>)</w:t>
            </w:r>
            <w:r w:rsidRPr="008B5D28">
              <w:rPr>
                <w:rFonts w:ascii="Times New Roman" w:hAnsi="Times New Roman" w:cs="Times New Roman"/>
                <w:sz w:val="24"/>
                <w:szCs w:val="24"/>
              </w:rPr>
              <w:t>.</w:t>
            </w:r>
          </w:p>
          <w:p w14:paraId="66E6972C" w14:textId="51FF99A2" w:rsidR="00737505" w:rsidRDefault="0061439B" w:rsidP="00966C1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Tāpat izvēlēts arī nedalīt pārkāpumus smagākos vai vieglākos, jo ikviens no likumprojektā minētajiem pārkāpumiem var būt gan ar lielāku, gan mazāku negatīvo ietekmi, kas at</w:t>
            </w:r>
            <w:r w:rsidR="00FB1E9B">
              <w:rPr>
                <w:rFonts w:ascii="Times New Roman" w:hAnsi="Times New Roman" w:cs="Times New Roman"/>
                <w:sz w:val="24"/>
                <w:szCs w:val="24"/>
              </w:rPr>
              <w:t>bilstoši</w:t>
            </w:r>
            <w:r>
              <w:rPr>
                <w:rFonts w:ascii="Times New Roman" w:hAnsi="Times New Roman" w:cs="Times New Roman"/>
                <w:sz w:val="24"/>
                <w:szCs w:val="24"/>
              </w:rPr>
              <w:t xml:space="preserve"> jāņem vērā</w:t>
            </w:r>
            <w:r w:rsidR="00FB1E9B">
              <w:rPr>
                <w:rFonts w:ascii="Times New Roman" w:hAnsi="Times New Roman" w:cs="Times New Roman"/>
                <w:sz w:val="24"/>
                <w:szCs w:val="24"/>
              </w:rPr>
              <w:t>,</w:t>
            </w:r>
            <w:r>
              <w:rPr>
                <w:rFonts w:ascii="Times New Roman" w:hAnsi="Times New Roman" w:cs="Times New Roman"/>
                <w:sz w:val="24"/>
                <w:szCs w:val="24"/>
              </w:rPr>
              <w:t xml:space="preserve"> vērtējot piemērojamā naudas soda apjomu.</w:t>
            </w:r>
          </w:p>
          <w:p w14:paraId="6698BB9F" w14:textId="5A0B00D4" w:rsidR="005F7D12" w:rsidRPr="002067F1" w:rsidRDefault="0065222A" w:rsidP="00966C1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Likumprojekta 7</w:t>
            </w:r>
            <w:r w:rsidR="0061439B">
              <w:rPr>
                <w:rFonts w:ascii="Times New Roman" w:hAnsi="Times New Roman" w:cs="Times New Roman"/>
                <w:sz w:val="24"/>
                <w:szCs w:val="24"/>
              </w:rPr>
              <w:t>. pantā noteikti šādas naudas soda robežas – fiziskām personām no 100</w:t>
            </w:r>
            <w:r w:rsidR="00FB1E9B">
              <w:rPr>
                <w:rFonts w:ascii="Times New Roman" w:hAnsi="Times New Roman" w:cs="Times New Roman"/>
                <w:sz w:val="24"/>
                <w:szCs w:val="24"/>
              </w:rPr>
              <w:t> </w:t>
            </w:r>
            <w:r w:rsidR="0061439B" w:rsidRPr="002067F1">
              <w:rPr>
                <w:rFonts w:ascii="Times New Roman" w:hAnsi="Times New Roman" w:cs="Times New Roman"/>
                <w:sz w:val="24"/>
                <w:szCs w:val="24"/>
              </w:rPr>
              <w:t>euro</w:t>
            </w:r>
            <w:r w:rsidR="0061439B">
              <w:rPr>
                <w:rFonts w:ascii="Times New Roman" w:hAnsi="Times New Roman" w:cs="Times New Roman"/>
                <w:sz w:val="24"/>
                <w:szCs w:val="24"/>
              </w:rPr>
              <w:t xml:space="preserve"> līdz 700</w:t>
            </w:r>
            <w:r w:rsidR="00FB1E9B">
              <w:rPr>
                <w:rFonts w:ascii="Times New Roman" w:hAnsi="Times New Roman" w:cs="Times New Roman"/>
                <w:sz w:val="24"/>
                <w:szCs w:val="24"/>
              </w:rPr>
              <w:t> </w:t>
            </w:r>
            <w:r w:rsidR="0061439B" w:rsidRPr="00FB1E9B">
              <w:rPr>
                <w:rFonts w:ascii="Times New Roman" w:hAnsi="Times New Roman" w:cs="Times New Roman"/>
                <w:i/>
                <w:sz w:val="24"/>
                <w:szCs w:val="24"/>
              </w:rPr>
              <w:t>euro</w:t>
            </w:r>
            <w:r w:rsidR="0061439B">
              <w:rPr>
                <w:rFonts w:ascii="Times New Roman" w:hAnsi="Times New Roman" w:cs="Times New Roman"/>
                <w:sz w:val="24"/>
                <w:szCs w:val="24"/>
              </w:rPr>
              <w:t xml:space="preserve">, bet juridiskām personām </w:t>
            </w:r>
            <w:r w:rsidR="001C4AEE">
              <w:rPr>
                <w:rFonts w:ascii="Times New Roman" w:hAnsi="Times New Roman" w:cs="Times New Roman"/>
                <w:sz w:val="24"/>
                <w:szCs w:val="24"/>
              </w:rPr>
              <w:t>no 1</w:t>
            </w:r>
            <w:r w:rsidR="0061439B">
              <w:rPr>
                <w:rFonts w:ascii="Times New Roman" w:hAnsi="Times New Roman" w:cs="Times New Roman"/>
                <w:sz w:val="24"/>
                <w:szCs w:val="24"/>
              </w:rPr>
              <w:t>00</w:t>
            </w:r>
            <w:r w:rsidR="00FB1E9B">
              <w:rPr>
                <w:rFonts w:ascii="Times New Roman" w:hAnsi="Times New Roman" w:cs="Times New Roman"/>
                <w:sz w:val="24"/>
                <w:szCs w:val="24"/>
              </w:rPr>
              <w:t> </w:t>
            </w:r>
            <w:r w:rsidR="0061439B" w:rsidRPr="00FB1E9B">
              <w:rPr>
                <w:rFonts w:ascii="Times New Roman" w:hAnsi="Times New Roman" w:cs="Times New Roman"/>
                <w:i/>
                <w:sz w:val="24"/>
                <w:szCs w:val="24"/>
              </w:rPr>
              <w:t>euro</w:t>
            </w:r>
            <w:r w:rsidR="0061439B">
              <w:rPr>
                <w:rFonts w:ascii="Times New Roman" w:hAnsi="Times New Roman" w:cs="Times New Roman"/>
                <w:sz w:val="24"/>
                <w:szCs w:val="24"/>
              </w:rPr>
              <w:t xml:space="preserve"> līdz 14</w:t>
            </w:r>
            <w:r w:rsidR="00FB1E9B">
              <w:rPr>
                <w:rFonts w:ascii="Times New Roman" w:hAnsi="Times New Roman" w:cs="Times New Roman"/>
                <w:sz w:val="24"/>
                <w:szCs w:val="24"/>
              </w:rPr>
              <w:t> </w:t>
            </w:r>
            <w:r w:rsidR="0061439B">
              <w:rPr>
                <w:rFonts w:ascii="Times New Roman" w:hAnsi="Times New Roman" w:cs="Times New Roman"/>
                <w:sz w:val="24"/>
                <w:szCs w:val="24"/>
              </w:rPr>
              <w:t>000</w:t>
            </w:r>
            <w:r w:rsidR="00FB1E9B">
              <w:rPr>
                <w:rFonts w:ascii="Times New Roman" w:hAnsi="Times New Roman" w:cs="Times New Roman"/>
                <w:sz w:val="24"/>
                <w:szCs w:val="24"/>
              </w:rPr>
              <w:t> </w:t>
            </w:r>
            <w:r w:rsidR="003F604A" w:rsidRPr="00FB1E9B">
              <w:rPr>
                <w:rFonts w:ascii="Times New Roman" w:hAnsi="Times New Roman" w:cs="Times New Roman"/>
                <w:i/>
                <w:sz w:val="24"/>
                <w:szCs w:val="24"/>
              </w:rPr>
              <w:t>euro</w:t>
            </w:r>
            <w:r w:rsidR="005F7D12" w:rsidRPr="002067F1">
              <w:rPr>
                <w:rFonts w:ascii="Times New Roman" w:hAnsi="Times New Roman" w:cs="Times New Roman"/>
                <w:sz w:val="24"/>
                <w:szCs w:val="24"/>
              </w:rPr>
              <w:t>.</w:t>
            </w:r>
          </w:p>
          <w:p w14:paraId="60DA80E3" w14:textId="5834E633" w:rsidR="00DF4651" w:rsidRDefault="00DF4651" w:rsidP="00966C1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Paredzētie naudas soda apmēri nav pretrunā ar Administratīvās atbildības likuma 16. pantā noteikto maksimālo naudas sodu fiziskajām personām (2</w:t>
            </w:r>
            <w:r w:rsidR="00FB1E9B">
              <w:rPr>
                <w:rFonts w:ascii="Times New Roman" w:hAnsi="Times New Roman" w:cs="Times New Roman"/>
                <w:sz w:val="24"/>
                <w:szCs w:val="24"/>
              </w:rPr>
              <w:t> </w:t>
            </w:r>
            <w:r>
              <w:rPr>
                <w:rFonts w:ascii="Times New Roman" w:hAnsi="Times New Roman" w:cs="Times New Roman"/>
                <w:sz w:val="24"/>
                <w:szCs w:val="24"/>
              </w:rPr>
              <w:t>000</w:t>
            </w:r>
            <w:r w:rsidR="00FB1E9B">
              <w:rPr>
                <w:rFonts w:ascii="Times New Roman" w:hAnsi="Times New Roman" w:cs="Times New Roman"/>
                <w:sz w:val="24"/>
                <w:szCs w:val="24"/>
              </w:rPr>
              <w:t> </w:t>
            </w:r>
            <w:r w:rsidRPr="00FB1E9B">
              <w:rPr>
                <w:rFonts w:ascii="Times New Roman" w:hAnsi="Times New Roman" w:cs="Times New Roman"/>
                <w:i/>
                <w:sz w:val="24"/>
                <w:szCs w:val="24"/>
              </w:rPr>
              <w:t>euro</w:t>
            </w:r>
            <w:r>
              <w:rPr>
                <w:rFonts w:ascii="Times New Roman" w:hAnsi="Times New Roman" w:cs="Times New Roman"/>
                <w:sz w:val="24"/>
                <w:szCs w:val="24"/>
              </w:rPr>
              <w:t>) un juridiskajām personām (20</w:t>
            </w:r>
            <w:r w:rsidR="00FB1E9B">
              <w:rPr>
                <w:rFonts w:ascii="Times New Roman" w:hAnsi="Times New Roman" w:cs="Times New Roman"/>
                <w:sz w:val="24"/>
                <w:szCs w:val="24"/>
              </w:rPr>
              <w:t> </w:t>
            </w:r>
            <w:r>
              <w:rPr>
                <w:rFonts w:ascii="Times New Roman" w:hAnsi="Times New Roman" w:cs="Times New Roman"/>
                <w:sz w:val="24"/>
                <w:szCs w:val="24"/>
              </w:rPr>
              <w:t>000</w:t>
            </w:r>
            <w:r w:rsidR="00FB1E9B">
              <w:rPr>
                <w:rFonts w:ascii="Times New Roman" w:hAnsi="Times New Roman" w:cs="Times New Roman"/>
                <w:sz w:val="24"/>
                <w:szCs w:val="24"/>
              </w:rPr>
              <w:t> </w:t>
            </w:r>
            <w:r w:rsidRPr="00FB1E9B">
              <w:rPr>
                <w:rFonts w:ascii="Times New Roman" w:hAnsi="Times New Roman" w:cs="Times New Roman"/>
                <w:i/>
                <w:sz w:val="24"/>
                <w:szCs w:val="24"/>
              </w:rPr>
              <w:t>euro</w:t>
            </w:r>
            <w:r>
              <w:rPr>
                <w:rFonts w:ascii="Times New Roman" w:hAnsi="Times New Roman" w:cs="Times New Roman"/>
                <w:sz w:val="24"/>
                <w:szCs w:val="24"/>
              </w:rPr>
              <w:t>)</w:t>
            </w:r>
            <w:r w:rsidR="0065222A">
              <w:rPr>
                <w:rFonts w:ascii="Times New Roman" w:hAnsi="Times New Roman" w:cs="Times New Roman"/>
                <w:sz w:val="24"/>
                <w:szCs w:val="24"/>
              </w:rPr>
              <w:t>. (Likumprojekts paredz, ka tā 7</w:t>
            </w:r>
            <w:r>
              <w:rPr>
                <w:rFonts w:ascii="Times New Roman" w:hAnsi="Times New Roman" w:cs="Times New Roman"/>
                <w:sz w:val="24"/>
                <w:szCs w:val="24"/>
              </w:rPr>
              <w:t>. pants, kurā noteikti sodi, stāsies spēkā vienlaikus ar Administratīvās atbildības likumu – 2020. gada 1 janvārī).</w:t>
            </w:r>
            <w:r w:rsidR="003F604A" w:rsidRPr="003F604A">
              <w:rPr>
                <w:rFonts w:ascii="Times New Roman" w:hAnsi="Times New Roman" w:cs="Times New Roman"/>
                <w:sz w:val="24"/>
                <w:szCs w:val="24"/>
              </w:rPr>
              <w:t xml:space="preserve"> </w:t>
            </w:r>
          </w:p>
          <w:p w14:paraId="39D2C9E9" w14:textId="7319D165" w:rsidR="005F7D12" w:rsidRDefault="00DF4651" w:rsidP="003150D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Tāpat, s</w:t>
            </w:r>
            <w:r w:rsidR="003F604A" w:rsidRPr="003F604A">
              <w:rPr>
                <w:rFonts w:ascii="Times New Roman" w:hAnsi="Times New Roman" w:cs="Times New Roman"/>
                <w:sz w:val="24"/>
                <w:szCs w:val="24"/>
              </w:rPr>
              <w:t xml:space="preserve">askaņā ar Administratīvās atbildības likuma 16. panta </w:t>
            </w:r>
            <w:r w:rsidR="008E5530">
              <w:rPr>
                <w:rFonts w:ascii="Times New Roman" w:hAnsi="Times New Roman" w:cs="Times New Roman"/>
                <w:sz w:val="24"/>
                <w:szCs w:val="24"/>
              </w:rPr>
              <w:t xml:space="preserve">1. un </w:t>
            </w:r>
            <w:r w:rsidR="003F604A" w:rsidRPr="003F604A">
              <w:rPr>
                <w:rFonts w:ascii="Times New Roman" w:hAnsi="Times New Roman" w:cs="Times New Roman"/>
                <w:sz w:val="24"/>
                <w:szCs w:val="24"/>
              </w:rPr>
              <w:t>2. daļu</w:t>
            </w:r>
            <w:r>
              <w:rPr>
                <w:rFonts w:ascii="Times New Roman" w:hAnsi="Times New Roman" w:cs="Times New Roman"/>
                <w:sz w:val="24"/>
                <w:szCs w:val="24"/>
              </w:rPr>
              <w:t xml:space="preserve">, </w:t>
            </w:r>
            <w:r w:rsidR="008E5530">
              <w:rPr>
                <w:rFonts w:ascii="Times New Roman" w:hAnsi="Times New Roman" w:cs="Times New Roman"/>
                <w:sz w:val="24"/>
                <w:szCs w:val="24"/>
              </w:rPr>
              <w:t>likumpr</w:t>
            </w:r>
            <w:r w:rsidR="0065222A">
              <w:rPr>
                <w:rFonts w:ascii="Times New Roman" w:hAnsi="Times New Roman" w:cs="Times New Roman"/>
                <w:sz w:val="24"/>
                <w:szCs w:val="24"/>
              </w:rPr>
              <w:t>ojekta 7</w:t>
            </w:r>
            <w:r w:rsidR="008E5530">
              <w:rPr>
                <w:rFonts w:ascii="Times New Roman" w:hAnsi="Times New Roman" w:cs="Times New Roman"/>
                <w:sz w:val="24"/>
                <w:szCs w:val="24"/>
              </w:rPr>
              <w:t>. pantā paredzēto naudas sodu apmērs izteikts naudas soda vienībās,</w:t>
            </w:r>
            <w:r w:rsidR="003F604A" w:rsidRPr="003F604A">
              <w:rPr>
                <w:rFonts w:ascii="Times New Roman" w:hAnsi="Times New Roman" w:cs="Times New Roman"/>
                <w:sz w:val="24"/>
                <w:szCs w:val="24"/>
              </w:rPr>
              <w:t xml:space="preserve"> vienai naudas soda vienībai atbilst</w:t>
            </w:r>
            <w:r w:rsidR="008E5530">
              <w:rPr>
                <w:rFonts w:ascii="Times New Roman" w:hAnsi="Times New Roman" w:cs="Times New Roman"/>
                <w:sz w:val="24"/>
                <w:szCs w:val="24"/>
              </w:rPr>
              <w:t>ot</w:t>
            </w:r>
            <w:r w:rsidR="003F604A" w:rsidRPr="003F604A">
              <w:rPr>
                <w:rFonts w:ascii="Times New Roman" w:hAnsi="Times New Roman" w:cs="Times New Roman"/>
                <w:sz w:val="24"/>
                <w:szCs w:val="24"/>
              </w:rPr>
              <w:t xml:space="preserve"> pieci</w:t>
            </w:r>
            <w:r w:rsidR="008E5530">
              <w:rPr>
                <w:rFonts w:ascii="Times New Roman" w:hAnsi="Times New Roman" w:cs="Times New Roman"/>
                <w:sz w:val="24"/>
                <w:szCs w:val="24"/>
              </w:rPr>
              <w:t>em</w:t>
            </w:r>
            <w:r w:rsidR="003F604A" w:rsidRPr="003F604A">
              <w:rPr>
                <w:rFonts w:ascii="Times New Roman" w:hAnsi="Times New Roman" w:cs="Times New Roman"/>
                <w:sz w:val="24"/>
                <w:szCs w:val="24"/>
              </w:rPr>
              <w:t xml:space="preserve"> </w:t>
            </w:r>
            <w:r w:rsidR="003F604A" w:rsidRPr="00704F59">
              <w:rPr>
                <w:rFonts w:ascii="Times New Roman" w:hAnsi="Times New Roman" w:cs="Times New Roman"/>
                <w:i/>
                <w:sz w:val="24"/>
                <w:szCs w:val="24"/>
              </w:rPr>
              <w:t>euro</w:t>
            </w:r>
            <w:r w:rsidR="003F604A" w:rsidRPr="003F604A">
              <w:rPr>
                <w:rFonts w:ascii="Times New Roman" w:hAnsi="Times New Roman" w:cs="Times New Roman"/>
                <w:sz w:val="24"/>
                <w:szCs w:val="24"/>
              </w:rPr>
              <w:t>.</w:t>
            </w:r>
          </w:p>
          <w:p w14:paraId="239F96F6" w14:textId="00701B22" w:rsidR="000E19B8" w:rsidRPr="00F1748B" w:rsidRDefault="00691753" w:rsidP="003150D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Vienlaikus jāņem vērā, ka regulas un likumprojekta piemērošanas pieredze laika gaitā var būt p</w:t>
            </w:r>
            <w:r w:rsidR="00704F59">
              <w:rPr>
                <w:rFonts w:ascii="Times New Roman" w:hAnsi="Times New Roman" w:cs="Times New Roman"/>
                <w:sz w:val="24"/>
                <w:szCs w:val="24"/>
              </w:rPr>
              <w:t>amatojums</w:t>
            </w:r>
            <w:r>
              <w:rPr>
                <w:rFonts w:ascii="Times New Roman" w:hAnsi="Times New Roman" w:cs="Times New Roman"/>
                <w:sz w:val="24"/>
                <w:szCs w:val="24"/>
              </w:rPr>
              <w:t xml:space="preserve"> naudas sodu apmēra pārskatīšanai.</w:t>
            </w:r>
          </w:p>
          <w:p w14:paraId="435D86B4" w14:textId="2A837EE1" w:rsidR="008B5D28" w:rsidRPr="002067F1" w:rsidRDefault="0065222A" w:rsidP="0060127E">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Likumprojekta 8</w:t>
            </w:r>
            <w:r w:rsidR="008B5D28" w:rsidRPr="002067F1">
              <w:rPr>
                <w:rFonts w:ascii="Times New Roman" w:hAnsi="Times New Roman" w:cs="Times New Roman"/>
                <w:sz w:val="24"/>
                <w:szCs w:val="24"/>
              </w:rPr>
              <w:t>. pants.</w:t>
            </w:r>
          </w:p>
          <w:p w14:paraId="462D6D81" w14:textId="053AACD9" w:rsidR="008B5D28" w:rsidRPr="002067F1" w:rsidRDefault="008B5D28" w:rsidP="0060127E">
            <w:pPr>
              <w:pStyle w:val="tvhtml"/>
              <w:shd w:val="clear" w:color="auto" w:fill="FFFFFF"/>
              <w:spacing w:before="0" w:beforeAutospacing="0" w:after="120" w:afterAutospacing="0"/>
              <w:jc w:val="both"/>
              <w:rPr>
                <w:rFonts w:eastAsiaTheme="minorHAnsi"/>
                <w:lang w:eastAsia="en-US"/>
              </w:rPr>
            </w:pPr>
            <w:r w:rsidRPr="002067F1">
              <w:rPr>
                <w:rFonts w:eastAsiaTheme="minorHAnsi"/>
                <w:lang w:eastAsia="en-US"/>
              </w:rPr>
              <w:t>Saskaņā ar minētās jaunās nozaru administratīvo pārkāpumu kodifikācijas sistēmas prasībām</w:t>
            </w:r>
            <w:r w:rsidR="0065222A" w:rsidRPr="002067F1">
              <w:rPr>
                <w:rFonts w:eastAsiaTheme="minorHAnsi"/>
                <w:lang w:eastAsia="en-US"/>
              </w:rPr>
              <w:t xml:space="preserve"> likumprojekta 8</w:t>
            </w:r>
            <w:r w:rsidRPr="002067F1">
              <w:rPr>
                <w:rFonts w:eastAsiaTheme="minorHAnsi"/>
                <w:lang w:eastAsia="en-US"/>
              </w:rPr>
              <w:t xml:space="preserve">. pantā norādīts, ka  administratīvo pārkāpumu procesu par likumā minētajiem pārkāpumiem </w:t>
            </w:r>
            <w:r w:rsidR="00FB1E9B">
              <w:rPr>
                <w:rFonts w:eastAsiaTheme="minorHAnsi"/>
                <w:lang w:eastAsia="en-US"/>
              </w:rPr>
              <w:t>uzsāk un virza</w:t>
            </w:r>
            <w:r w:rsidRPr="002067F1">
              <w:rPr>
                <w:rFonts w:eastAsiaTheme="minorHAnsi"/>
                <w:lang w:eastAsia="en-US"/>
              </w:rPr>
              <w:t xml:space="preserve"> Dabas aizsardzības pārvalde.</w:t>
            </w:r>
          </w:p>
          <w:p w14:paraId="6C3EF442" w14:textId="005A8821" w:rsidR="008B5D28" w:rsidRPr="002067F1" w:rsidRDefault="00136918" w:rsidP="008B5D28">
            <w:pPr>
              <w:spacing w:after="120" w:line="240" w:lineRule="auto"/>
              <w:jc w:val="both"/>
              <w:rPr>
                <w:rFonts w:ascii="Times New Roman" w:hAnsi="Times New Roman" w:cs="Times New Roman"/>
                <w:sz w:val="24"/>
                <w:szCs w:val="24"/>
              </w:rPr>
            </w:pPr>
            <w:r w:rsidRPr="002067F1">
              <w:rPr>
                <w:rFonts w:ascii="Times New Roman" w:hAnsi="Times New Roman" w:cs="Times New Roman"/>
                <w:sz w:val="24"/>
                <w:szCs w:val="24"/>
              </w:rPr>
              <w:t>Pārejas noteikums.</w:t>
            </w:r>
          </w:p>
          <w:p w14:paraId="4EE585A8" w14:textId="7D18D01A" w:rsidR="008B5D28" w:rsidRPr="00A85052" w:rsidRDefault="00136918" w:rsidP="003150D0">
            <w:pPr>
              <w:spacing w:after="120" w:line="240" w:lineRule="auto"/>
              <w:jc w:val="both"/>
              <w:rPr>
                <w:rFonts w:ascii="Times New Roman" w:hAnsi="Times New Roman" w:cs="Times New Roman"/>
                <w:sz w:val="24"/>
                <w:szCs w:val="24"/>
              </w:rPr>
            </w:pPr>
            <w:r w:rsidRPr="00A85052">
              <w:rPr>
                <w:rFonts w:ascii="Times New Roman" w:hAnsi="Times New Roman" w:cs="Times New Roman"/>
                <w:sz w:val="24"/>
                <w:szCs w:val="24"/>
              </w:rPr>
              <w:t>T</w:t>
            </w:r>
            <w:r w:rsidR="0065222A">
              <w:rPr>
                <w:rFonts w:ascii="Times New Roman" w:hAnsi="Times New Roman" w:cs="Times New Roman"/>
                <w:sz w:val="24"/>
                <w:szCs w:val="24"/>
              </w:rPr>
              <w:t>iek noteikts, ka likumprojekta 7. un 8</w:t>
            </w:r>
            <w:r w:rsidRPr="00A85052">
              <w:rPr>
                <w:rFonts w:ascii="Times New Roman" w:hAnsi="Times New Roman" w:cs="Times New Roman"/>
                <w:sz w:val="24"/>
                <w:szCs w:val="24"/>
              </w:rPr>
              <w:t>. pants</w:t>
            </w:r>
            <w:r w:rsidR="00BD56E3" w:rsidRPr="00A85052">
              <w:rPr>
                <w:rFonts w:ascii="Times New Roman" w:hAnsi="Times New Roman" w:cs="Times New Roman"/>
                <w:sz w:val="24"/>
                <w:szCs w:val="24"/>
              </w:rPr>
              <w:t xml:space="preserve"> </w:t>
            </w:r>
            <w:r w:rsidRPr="00A85052">
              <w:rPr>
                <w:rFonts w:ascii="Times New Roman" w:hAnsi="Times New Roman" w:cs="Times New Roman"/>
                <w:sz w:val="24"/>
                <w:szCs w:val="24"/>
              </w:rPr>
              <w:t xml:space="preserve">stājas spēkā </w:t>
            </w:r>
            <w:r w:rsidR="00BD56E3" w:rsidRPr="00A85052">
              <w:rPr>
                <w:rFonts w:ascii="Times New Roman" w:hAnsi="Times New Roman" w:cs="Times New Roman"/>
                <w:sz w:val="24"/>
                <w:szCs w:val="24"/>
              </w:rPr>
              <w:t>vienlaikus</w:t>
            </w:r>
            <w:r w:rsidRPr="00A85052">
              <w:rPr>
                <w:rFonts w:ascii="Times New Roman" w:hAnsi="Times New Roman" w:cs="Times New Roman"/>
                <w:sz w:val="24"/>
                <w:szCs w:val="24"/>
              </w:rPr>
              <w:t xml:space="preserve"> ar Administratīvās atbildības likumu</w:t>
            </w:r>
            <w:r w:rsidR="00BD56E3" w:rsidRPr="00A85052">
              <w:rPr>
                <w:rFonts w:ascii="Times New Roman" w:hAnsi="Times New Roman" w:cs="Times New Roman"/>
                <w:sz w:val="24"/>
                <w:szCs w:val="24"/>
              </w:rPr>
              <w:t xml:space="preserve"> – </w:t>
            </w:r>
            <w:r w:rsidRPr="00A85052">
              <w:rPr>
                <w:rFonts w:ascii="Times New Roman" w:hAnsi="Times New Roman" w:cs="Times New Roman"/>
                <w:sz w:val="24"/>
                <w:szCs w:val="24"/>
              </w:rPr>
              <w:t xml:space="preserve"> 2020. gada 1. janvārī.</w:t>
            </w:r>
            <w:r w:rsidR="00BD56E3" w:rsidRPr="00A85052">
              <w:rPr>
                <w:rFonts w:ascii="Times New Roman" w:hAnsi="Times New Roman" w:cs="Times New Roman"/>
                <w:sz w:val="24"/>
                <w:szCs w:val="24"/>
              </w:rPr>
              <w:t xml:space="preserve"> Līdz šim datumam pēc būtības tos pašus pārkāpumu veidus, sodus un iestādi, kas tos var piemērot</w:t>
            </w:r>
            <w:r w:rsidR="001C4AEE" w:rsidRPr="00A85052">
              <w:rPr>
                <w:rFonts w:ascii="Times New Roman" w:hAnsi="Times New Roman" w:cs="Times New Roman"/>
                <w:sz w:val="24"/>
                <w:szCs w:val="24"/>
              </w:rPr>
              <w:t>,</w:t>
            </w:r>
            <w:r w:rsidR="00BD56E3" w:rsidRPr="00A85052">
              <w:rPr>
                <w:rFonts w:ascii="Times New Roman" w:hAnsi="Times New Roman" w:cs="Times New Roman"/>
                <w:sz w:val="24"/>
                <w:szCs w:val="24"/>
              </w:rPr>
              <w:t xml:space="preserve"> noteiks Latvijas Administratīvo pārkāpumu kodeksa grozījumi, kuri izstrādāti un virzīti vienlaikus ar šo likumprojektu. </w:t>
            </w:r>
          </w:p>
        </w:tc>
      </w:tr>
      <w:tr w:rsidR="00E5323B" w:rsidRPr="002D55CC" w14:paraId="34587340" w14:textId="77777777" w:rsidTr="005826E2">
        <w:trPr>
          <w:tblCellSpacing w:w="15" w:type="dxa"/>
        </w:trPr>
        <w:tc>
          <w:tcPr>
            <w:tcW w:w="116" w:type="pct"/>
            <w:tcBorders>
              <w:top w:val="outset" w:sz="6" w:space="0" w:color="auto"/>
              <w:left w:val="outset" w:sz="6" w:space="0" w:color="auto"/>
              <w:bottom w:val="outset" w:sz="6" w:space="0" w:color="auto"/>
              <w:right w:val="outset" w:sz="6" w:space="0" w:color="auto"/>
            </w:tcBorders>
            <w:hideMark/>
          </w:tcPr>
          <w:p w14:paraId="3C997F93" w14:textId="43621BD4"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3.</w:t>
            </w:r>
          </w:p>
        </w:tc>
        <w:tc>
          <w:tcPr>
            <w:tcW w:w="1874" w:type="pct"/>
            <w:tcBorders>
              <w:top w:val="outset" w:sz="6" w:space="0" w:color="auto"/>
              <w:left w:val="outset" w:sz="6" w:space="0" w:color="auto"/>
              <w:bottom w:val="outset" w:sz="6" w:space="0" w:color="auto"/>
              <w:right w:val="outset" w:sz="6" w:space="0" w:color="auto"/>
            </w:tcBorders>
            <w:hideMark/>
          </w:tcPr>
          <w:p w14:paraId="67BFF2A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44" w:type="pct"/>
            <w:tcBorders>
              <w:top w:val="outset" w:sz="6" w:space="0" w:color="auto"/>
              <w:left w:val="outset" w:sz="6" w:space="0" w:color="auto"/>
              <w:bottom w:val="outset" w:sz="6" w:space="0" w:color="auto"/>
              <w:right w:val="outset" w:sz="6" w:space="0" w:color="auto"/>
            </w:tcBorders>
            <w:hideMark/>
          </w:tcPr>
          <w:p w14:paraId="49CC0E96" w14:textId="3FB91A91" w:rsidR="00E5323B" w:rsidRPr="002D55CC" w:rsidRDefault="00CE4D1F" w:rsidP="009C604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73726">
              <w:rPr>
                <w:rFonts w:ascii="Times New Roman" w:hAnsi="Times New Roman" w:cs="Times New Roman"/>
                <w:sz w:val="24"/>
                <w:szCs w:val="24"/>
              </w:rPr>
              <w:t>Vides aizsardzības un reģionālās attīstības ministrija</w:t>
            </w:r>
            <w:r w:rsidR="009C6041">
              <w:rPr>
                <w:rFonts w:ascii="Times New Roman" w:hAnsi="Times New Roman" w:cs="Times New Roman"/>
                <w:sz w:val="24"/>
                <w:szCs w:val="24"/>
              </w:rPr>
              <w:t>.</w:t>
            </w:r>
          </w:p>
        </w:tc>
      </w:tr>
      <w:tr w:rsidR="00E5323B" w:rsidRPr="002D55CC" w14:paraId="712F6E13" w14:textId="77777777" w:rsidTr="005826E2">
        <w:trPr>
          <w:tblCellSpacing w:w="15" w:type="dxa"/>
        </w:trPr>
        <w:tc>
          <w:tcPr>
            <w:tcW w:w="116" w:type="pct"/>
            <w:tcBorders>
              <w:top w:val="outset" w:sz="6" w:space="0" w:color="auto"/>
              <w:left w:val="outset" w:sz="6" w:space="0" w:color="auto"/>
              <w:bottom w:val="outset" w:sz="6" w:space="0" w:color="auto"/>
              <w:right w:val="outset" w:sz="6" w:space="0" w:color="auto"/>
            </w:tcBorders>
            <w:hideMark/>
          </w:tcPr>
          <w:p w14:paraId="404A2129"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w:t>
            </w:r>
          </w:p>
        </w:tc>
        <w:tc>
          <w:tcPr>
            <w:tcW w:w="1874" w:type="pct"/>
            <w:tcBorders>
              <w:top w:val="outset" w:sz="6" w:space="0" w:color="auto"/>
              <w:left w:val="outset" w:sz="6" w:space="0" w:color="auto"/>
              <w:bottom w:val="outset" w:sz="6" w:space="0" w:color="auto"/>
              <w:right w:val="outset" w:sz="6" w:space="0" w:color="auto"/>
            </w:tcBorders>
            <w:hideMark/>
          </w:tcPr>
          <w:p w14:paraId="76E70399"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1781FF64" w14:textId="3705C159" w:rsidR="00E5323B" w:rsidRPr="002D55CC" w:rsidRDefault="00406CDF" w:rsidP="002661B4">
            <w:pPr>
              <w:spacing w:after="0" w:line="240" w:lineRule="auto"/>
              <w:rPr>
                <w:rFonts w:ascii="Times New Roman" w:eastAsia="Times New Roman" w:hAnsi="Times New Roman" w:cs="Times New Roman"/>
                <w:iCs/>
                <w:color w:val="A6A6A6" w:themeColor="background1" w:themeShade="A6"/>
                <w:sz w:val="24"/>
                <w:szCs w:val="24"/>
                <w:lang w:eastAsia="lv-LV"/>
              </w:rPr>
            </w:pPr>
            <w:r w:rsidRPr="00406CDF">
              <w:rPr>
                <w:rFonts w:ascii="Times New Roman" w:eastAsia="Times New Roman" w:hAnsi="Times New Roman" w:cs="Times New Roman"/>
                <w:iCs/>
                <w:sz w:val="24"/>
                <w:szCs w:val="24"/>
                <w:lang w:eastAsia="lv-LV"/>
              </w:rPr>
              <w:t>Nav</w:t>
            </w:r>
          </w:p>
        </w:tc>
      </w:tr>
    </w:tbl>
    <w:p w14:paraId="439ECB6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
        <w:gridCol w:w="1572"/>
        <w:gridCol w:w="7176"/>
      </w:tblGrid>
      <w:tr w:rsidR="00E5323B" w:rsidRPr="002D55CC" w14:paraId="1D1C932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EF36F8"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A549D2" w:rsidRPr="002D55CC" w14:paraId="182A5905" w14:textId="77777777" w:rsidTr="002A1419">
        <w:trPr>
          <w:trHeight w:val="653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6D8F9"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4FEA810"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8826552" w14:textId="775E6EC8" w:rsidR="005F1444" w:rsidRDefault="008F5FD0" w:rsidP="000C7F8B">
            <w:pPr>
              <w:pStyle w:val="Tiret0"/>
              <w:numPr>
                <w:ilvl w:val="0"/>
                <w:numId w:val="0"/>
              </w:numPr>
              <w:tabs>
                <w:tab w:val="left" w:pos="360"/>
              </w:tabs>
              <w:spacing w:before="0"/>
              <w:ind w:left="38"/>
            </w:pPr>
            <w:r>
              <w:t>Izvērtējumā</w:t>
            </w:r>
            <w:r>
              <w:rPr>
                <w:rStyle w:val="FootnoteReference"/>
              </w:rPr>
              <w:footnoteReference w:id="14"/>
            </w:r>
            <w:r w:rsidR="007D6EDE" w:rsidRPr="008F5FD0">
              <w:t xml:space="preserve"> par Bioloģiskās daudzveidības konvencijas Nagojas Protokola ratificēšanu</w:t>
            </w:r>
            <w:r w:rsidR="00AC4E32">
              <w:t xml:space="preserve"> </w:t>
            </w:r>
            <w:r w:rsidR="00E43845">
              <w:t xml:space="preserve">saistībā ar iespējami ietekmētām nozarēm </w:t>
            </w:r>
            <w:r w:rsidR="00164C9F">
              <w:t>norādīts, ka</w:t>
            </w:r>
            <w:r w:rsidR="005F1444">
              <w:t>:</w:t>
            </w:r>
          </w:p>
          <w:p w14:paraId="6D75F033" w14:textId="77777777" w:rsidR="005F1444" w:rsidRDefault="007D4B23" w:rsidP="0011075E">
            <w:pPr>
              <w:pStyle w:val="Tiret0"/>
              <w:numPr>
                <w:ilvl w:val="0"/>
                <w:numId w:val="4"/>
              </w:numPr>
              <w:tabs>
                <w:tab w:val="left" w:pos="463"/>
              </w:tabs>
              <w:spacing w:before="0"/>
              <w:ind w:left="38" w:firstLine="322"/>
            </w:pPr>
            <w:r>
              <w:t>lauksaimniecība, mežsaimniecība,</w:t>
            </w:r>
            <w:r w:rsidR="002679FD">
              <w:t xml:space="preserve"> apstrādes un pārējā rūpniecība</w:t>
            </w:r>
            <w:r>
              <w:t xml:space="preserve"> </w:t>
            </w:r>
            <w:r w:rsidR="00A579C8">
              <w:t xml:space="preserve">veido 17 % no Latvijas </w:t>
            </w:r>
            <w:r w:rsidR="00164C9F">
              <w:t xml:space="preserve">2015. gada </w:t>
            </w:r>
            <w:r w:rsidR="00A579C8">
              <w:t>IKP</w:t>
            </w:r>
            <w:r w:rsidR="005F1444">
              <w:t>;</w:t>
            </w:r>
          </w:p>
          <w:p w14:paraId="608CC691" w14:textId="77777777" w:rsidR="00A549D2" w:rsidRDefault="00164C9F" w:rsidP="0011075E">
            <w:pPr>
              <w:pStyle w:val="Tiret0"/>
              <w:numPr>
                <w:ilvl w:val="0"/>
                <w:numId w:val="4"/>
              </w:numPr>
              <w:tabs>
                <w:tab w:val="left" w:pos="463"/>
              </w:tabs>
              <w:spacing w:before="0"/>
              <w:ind w:left="38" w:firstLine="322"/>
            </w:pPr>
            <w:r>
              <w:t>uzņēmumu skaits nozarēs 2015. gadā</w:t>
            </w:r>
            <w:r w:rsidR="00222842">
              <w:t>:</w:t>
            </w:r>
          </w:p>
          <w:tbl>
            <w:tblPr>
              <w:tblW w:w="7300" w:type="dxa"/>
              <w:jc w:val="center"/>
              <w:tblLook w:val="04A0" w:firstRow="1" w:lastRow="0" w:firstColumn="1" w:lastColumn="0" w:noHBand="0" w:noVBand="1"/>
            </w:tblPr>
            <w:tblGrid>
              <w:gridCol w:w="1633"/>
              <w:gridCol w:w="1064"/>
              <w:gridCol w:w="974"/>
              <w:gridCol w:w="953"/>
              <w:gridCol w:w="1393"/>
              <w:gridCol w:w="1283"/>
            </w:tblGrid>
            <w:tr w:rsidR="00A549D2" w:rsidRPr="001553D4" w14:paraId="173A2B97" w14:textId="77777777" w:rsidTr="00222842">
              <w:trPr>
                <w:trHeight w:val="984"/>
                <w:jc w:val="center"/>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A9433" w14:textId="77777777" w:rsidR="00A549D2" w:rsidRPr="001553D4" w:rsidRDefault="00164C9F"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Nozares / uzņēmuma veids</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1204351B" w14:textId="77777777" w:rsidR="00A549D2" w:rsidRPr="001553D4" w:rsidRDefault="00164C9F" w:rsidP="009837EA">
                  <w:pPr>
                    <w:spacing w:after="0" w:line="240" w:lineRule="auto"/>
                    <w:jc w:val="center"/>
                    <w:rPr>
                      <w:rFonts w:ascii="Times New Roman" w:eastAsia="Times New Roman" w:hAnsi="Times New Roman" w:cs="Times New Roman"/>
                      <w:bCs/>
                      <w:color w:val="000000"/>
                      <w:sz w:val="20"/>
                      <w:szCs w:val="20"/>
                      <w:lang w:eastAsia="lv-LV"/>
                    </w:rPr>
                  </w:pPr>
                  <w:r w:rsidRPr="001553D4">
                    <w:rPr>
                      <w:rFonts w:ascii="Times New Roman" w:eastAsia="Times New Roman" w:hAnsi="Times New Roman" w:cs="Times New Roman"/>
                      <w:bCs/>
                      <w:color w:val="000000"/>
                      <w:sz w:val="20"/>
                      <w:szCs w:val="20"/>
                      <w:lang w:eastAsia="lv-LV"/>
                    </w:rPr>
                    <w:t>Pašn. p</w:t>
                  </w:r>
                  <w:r w:rsidR="00A549D2" w:rsidRPr="001553D4">
                    <w:rPr>
                      <w:rFonts w:ascii="Times New Roman" w:eastAsia="Times New Roman" w:hAnsi="Times New Roman" w:cs="Times New Roman"/>
                      <w:bCs/>
                      <w:color w:val="000000"/>
                      <w:sz w:val="20"/>
                      <w:szCs w:val="20"/>
                      <w:lang w:eastAsia="lv-LV"/>
                    </w:rPr>
                    <w:t>ers.</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467618B6" w14:textId="77777777" w:rsidR="00A549D2" w:rsidRPr="001553D4" w:rsidRDefault="00B0271C" w:rsidP="009837EA">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Zemn. un zvejn. s</w:t>
                  </w:r>
                  <w:r w:rsidR="00A549D2" w:rsidRPr="001553D4">
                    <w:rPr>
                      <w:rFonts w:ascii="Times New Roman" w:eastAsia="Times New Roman" w:hAnsi="Times New Roman" w:cs="Times New Roman"/>
                      <w:bCs/>
                      <w:color w:val="000000"/>
                      <w:sz w:val="20"/>
                      <w:szCs w:val="20"/>
                      <w:lang w:eastAsia="lv-LV"/>
                    </w:rPr>
                    <w:t>aimn.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9ED808" w14:textId="77777777" w:rsidR="00A549D2" w:rsidRPr="001553D4" w:rsidRDefault="00A549D2" w:rsidP="009837EA">
                  <w:pPr>
                    <w:spacing w:after="0" w:line="240" w:lineRule="auto"/>
                    <w:jc w:val="center"/>
                    <w:rPr>
                      <w:rFonts w:ascii="Times New Roman" w:eastAsia="Times New Roman" w:hAnsi="Times New Roman" w:cs="Times New Roman"/>
                      <w:bCs/>
                      <w:color w:val="000000"/>
                      <w:sz w:val="20"/>
                      <w:szCs w:val="20"/>
                      <w:lang w:eastAsia="lv-LV"/>
                    </w:rPr>
                  </w:pPr>
                  <w:r w:rsidRPr="001553D4">
                    <w:rPr>
                      <w:rFonts w:ascii="Times New Roman" w:eastAsia="Times New Roman" w:hAnsi="Times New Roman" w:cs="Times New Roman"/>
                      <w:bCs/>
                      <w:color w:val="000000"/>
                      <w:sz w:val="20"/>
                      <w:szCs w:val="20"/>
                      <w:lang w:eastAsia="lv-LV"/>
                    </w:rPr>
                    <w:t>Individ. komers.</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57D2838C" w14:textId="77777777" w:rsidR="00A549D2" w:rsidRPr="001553D4" w:rsidRDefault="00A549D2" w:rsidP="009837EA">
                  <w:pPr>
                    <w:spacing w:after="0" w:line="240" w:lineRule="auto"/>
                    <w:jc w:val="center"/>
                    <w:rPr>
                      <w:rFonts w:ascii="Times New Roman" w:eastAsia="Times New Roman" w:hAnsi="Times New Roman" w:cs="Times New Roman"/>
                      <w:bCs/>
                      <w:color w:val="000000"/>
                      <w:sz w:val="20"/>
                      <w:szCs w:val="20"/>
                      <w:lang w:eastAsia="lv-LV"/>
                    </w:rPr>
                  </w:pPr>
                  <w:r w:rsidRPr="001553D4">
                    <w:rPr>
                      <w:rFonts w:ascii="Times New Roman" w:eastAsia="Times New Roman" w:hAnsi="Times New Roman" w:cs="Times New Roman"/>
                      <w:bCs/>
                      <w:color w:val="000000"/>
                      <w:sz w:val="20"/>
                      <w:szCs w:val="20"/>
                      <w:lang w:eastAsia="lv-LV"/>
                    </w:rPr>
                    <w:t xml:space="preserve">Komercsab.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420D6721" w14:textId="77777777" w:rsidR="00A549D2" w:rsidRPr="001553D4" w:rsidRDefault="00A549D2" w:rsidP="009837EA">
                  <w:pPr>
                    <w:spacing w:after="0" w:line="240" w:lineRule="auto"/>
                    <w:jc w:val="center"/>
                    <w:rPr>
                      <w:rFonts w:ascii="Times New Roman" w:eastAsia="Times New Roman" w:hAnsi="Times New Roman" w:cs="Times New Roman"/>
                      <w:bCs/>
                      <w:color w:val="000000"/>
                      <w:sz w:val="20"/>
                      <w:szCs w:val="20"/>
                      <w:lang w:eastAsia="lv-LV"/>
                    </w:rPr>
                  </w:pPr>
                  <w:r w:rsidRPr="001553D4">
                    <w:rPr>
                      <w:rFonts w:ascii="Times New Roman" w:eastAsia="Times New Roman" w:hAnsi="Times New Roman" w:cs="Times New Roman"/>
                      <w:bCs/>
                      <w:color w:val="000000"/>
                      <w:sz w:val="20"/>
                      <w:szCs w:val="20"/>
                      <w:lang w:eastAsia="lv-LV"/>
                    </w:rPr>
                    <w:t xml:space="preserve">Fondi, nodibinājumi un biedrības </w:t>
                  </w:r>
                </w:p>
              </w:tc>
            </w:tr>
            <w:tr w:rsidR="00A549D2" w:rsidRPr="001553D4" w14:paraId="1051D0A1" w14:textId="77777777" w:rsidTr="00164C9F">
              <w:trPr>
                <w:trHeight w:val="286"/>
                <w:jc w:val="center"/>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DA70816" w14:textId="77777777" w:rsidR="00A549D2" w:rsidRPr="001553D4" w:rsidRDefault="00A549D2" w:rsidP="009837EA">
                  <w:pPr>
                    <w:spacing w:after="0" w:line="240" w:lineRule="auto"/>
                    <w:jc w:val="center"/>
                    <w:rPr>
                      <w:rFonts w:ascii="Times New Roman" w:eastAsia="Times New Roman" w:hAnsi="Times New Roman" w:cs="Times New Roman"/>
                      <w:b/>
                      <w:bCs/>
                      <w:color w:val="000000"/>
                      <w:sz w:val="20"/>
                      <w:szCs w:val="20"/>
                      <w:lang w:eastAsia="lv-LV"/>
                    </w:rPr>
                  </w:pPr>
                  <w:r w:rsidRPr="001553D4">
                    <w:rPr>
                      <w:rFonts w:ascii="Times New Roman" w:hAnsi="Times New Roman" w:cs="Times New Roman"/>
                      <w:sz w:val="20"/>
                      <w:szCs w:val="20"/>
                    </w:rPr>
                    <w:t>Lauksaimniecība, mežsaimniecība, zivsaimniecība</w:t>
                  </w:r>
                </w:p>
              </w:tc>
              <w:tc>
                <w:tcPr>
                  <w:tcW w:w="1231" w:type="dxa"/>
                  <w:tcBorders>
                    <w:top w:val="nil"/>
                    <w:left w:val="nil"/>
                    <w:bottom w:val="single" w:sz="4" w:space="0" w:color="auto"/>
                    <w:right w:val="single" w:sz="4" w:space="0" w:color="auto"/>
                  </w:tcBorders>
                  <w:shd w:val="clear" w:color="auto" w:fill="auto"/>
                  <w:vAlign w:val="center"/>
                  <w:hideMark/>
                </w:tcPr>
                <w:p w14:paraId="7BEE11B9"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14</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019</w:t>
                  </w:r>
                </w:p>
              </w:tc>
              <w:tc>
                <w:tcPr>
                  <w:tcW w:w="1066" w:type="dxa"/>
                  <w:tcBorders>
                    <w:top w:val="nil"/>
                    <w:left w:val="nil"/>
                    <w:bottom w:val="single" w:sz="4" w:space="0" w:color="auto"/>
                    <w:right w:val="single" w:sz="4" w:space="0" w:color="auto"/>
                  </w:tcBorders>
                  <w:shd w:val="clear" w:color="auto" w:fill="auto"/>
                  <w:vAlign w:val="center"/>
                  <w:hideMark/>
                </w:tcPr>
                <w:p w14:paraId="772AEF53"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9</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205</w:t>
                  </w:r>
                </w:p>
              </w:tc>
              <w:tc>
                <w:tcPr>
                  <w:tcW w:w="992" w:type="dxa"/>
                  <w:tcBorders>
                    <w:top w:val="nil"/>
                    <w:left w:val="nil"/>
                    <w:bottom w:val="single" w:sz="4" w:space="0" w:color="auto"/>
                    <w:right w:val="single" w:sz="4" w:space="0" w:color="auto"/>
                  </w:tcBorders>
                  <w:shd w:val="clear" w:color="auto" w:fill="auto"/>
                  <w:vAlign w:val="center"/>
                  <w:hideMark/>
                </w:tcPr>
                <w:p w14:paraId="452C2C94"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553</w:t>
                  </w:r>
                </w:p>
              </w:tc>
              <w:tc>
                <w:tcPr>
                  <w:tcW w:w="1479" w:type="dxa"/>
                  <w:tcBorders>
                    <w:top w:val="nil"/>
                    <w:left w:val="nil"/>
                    <w:bottom w:val="single" w:sz="4" w:space="0" w:color="auto"/>
                    <w:right w:val="single" w:sz="4" w:space="0" w:color="auto"/>
                  </w:tcBorders>
                  <w:shd w:val="clear" w:color="auto" w:fill="auto"/>
                  <w:vAlign w:val="center"/>
                  <w:hideMark/>
                </w:tcPr>
                <w:p w14:paraId="4AB6F31F"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3</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444</w:t>
                  </w:r>
                </w:p>
              </w:tc>
              <w:tc>
                <w:tcPr>
                  <w:tcW w:w="1096" w:type="dxa"/>
                  <w:tcBorders>
                    <w:top w:val="nil"/>
                    <w:left w:val="nil"/>
                    <w:bottom w:val="single" w:sz="4" w:space="0" w:color="auto"/>
                    <w:right w:val="single" w:sz="4" w:space="0" w:color="auto"/>
                  </w:tcBorders>
                  <w:shd w:val="clear" w:color="auto" w:fill="auto"/>
                  <w:vAlign w:val="center"/>
                  <w:hideMark/>
                </w:tcPr>
                <w:p w14:paraId="6799BF6E"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3</w:t>
                  </w:r>
                </w:p>
              </w:tc>
            </w:tr>
            <w:tr w:rsidR="00A549D2" w:rsidRPr="001553D4" w14:paraId="61A466C4" w14:textId="77777777" w:rsidTr="00164C9F">
              <w:trPr>
                <w:trHeight w:val="286"/>
                <w:jc w:val="center"/>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DBD7905" w14:textId="77777777" w:rsidR="00A549D2" w:rsidRPr="001553D4" w:rsidRDefault="001C3244" w:rsidP="009837EA">
                  <w:pPr>
                    <w:spacing w:after="0" w:line="240" w:lineRule="auto"/>
                    <w:jc w:val="center"/>
                    <w:rPr>
                      <w:rFonts w:ascii="Times New Roman" w:eastAsia="Times New Roman" w:hAnsi="Times New Roman" w:cs="Times New Roman"/>
                      <w:b/>
                      <w:bCs/>
                      <w:color w:val="000000"/>
                      <w:sz w:val="20"/>
                      <w:szCs w:val="20"/>
                      <w:lang w:eastAsia="lv-LV"/>
                    </w:rPr>
                  </w:pPr>
                  <w:r w:rsidRPr="001553D4">
                    <w:rPr>
                      <w:rFonts w:ascii="Times New Roman" w:hAnsi="Times New Roman" w:cs="Times New Roman"/>
                      <w:sz w:val="20"/>
                      <w:szCs w:val="20"/>
                    </w:rPr>
                    <w:t>A</w:t>
                  </w:r>
                  <w:r w:rsidR="00A549D2" w:rsidRPr="001553D4">
                    <w:rPr>
                      <w:rFonts w:ascii="Times New Roman" w:hAnsi="Times New Roman" w:cs="Times New Roman"/>
                      <w:sz w:val="20"/>
                      <w:szCs w:val="20"/>
                    </w:rPr>
                    <w:t>pstrādes rūpniecība</w:t>
                  </w:r>
                </w:p>
              </w:tc>
              <w:tc>
                <w:tcPr>
                  <w:tcW w:w="1231" w:type="dxa"/>
                  <w:tcBorders>
                    <w:top w:val="nil"/>
                    <w:left w:val="nil"/>
                    <w:bottom w:val="single" w:sz="4" w:space="0" w:color="auto"/>
                    <w:right w:val="single" w:sz="4" w:space="0" w:color="auto"/>
                  </w:tcBorders>
                  <w:shd w:val="clear" w:color="auto" w:fill="auto"/>
                  <w:vAlign w:val="center"/>
                  <w:hideMark/>
                </w:tcPr>
                <w:p w14:paraId="58D88810"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1</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519</w:t>
                  </w:r>
                </w:p>
              </w:tc>
              <w:tc>
                <w:tcPr>
                  <w:tcW w:w="1066" w:type="dxa"/>
                  <w:tcBorders>
                    <w:top w:val="nil"/>
                    <w:left w:val="nil"/>
                    <w:bottom w:val="single" w:sz="4" w:space="0" w:color="auto"/>
                    <w:right w:val="single" w:sz="4" w:space="0" w:color="auto"/>
                  </w:tcBorders>
                  <w:shd w:val="clear" w:color="auto" w:fill="auto"/>
                  <w:vAlign w:val="center"/>
                  <w:hideMark/>
                </w:tcPr>
                <w:p w14:paraId="05E8A016"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195</w:t>
                  </w:r>
                </w:p>
              </w:tc>
              <w:tc>
                <w:tcPr>
                  <w:tcW w:w="992" w:type="dxa"/>
                  <w:tcBorders>
                    <w:top w:val="nil"/>
                    <w:left w:val="nil"/>
                    <w:bottom w:val="single" w:sz="4" w:space="0" w:color="auto"/>
                    <w:right w:val="single" w:sz="4" w:space="0" w:color="auto"/>
                  </w:tcBorders>
                  <w:shd w:val="clear" w:color="auto" w:fill="auto"/>
                  <w:vAlign w:val="center"/>
                  <w:hideMark/>
                </w:tcPr>
                <w:p w14:paraId="48523067"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536</w:t>
                  </w:r>
                </w:p>
              </w:tc>
              <w:tc>
                <w:tcPr>
                  <w:tcW w:w="1479" w:type="dxa"/>
                  <w:tcBorders>
                    <w:top w:val="nil"/>
                    <w:left w:val="nil"/>
                    <w:bottom w:val="single" w:sz="4" w:space="0" w:color="auto"/>
                    <w:right w:val="single" w:sz="4" w:space="0" w:color="auto"/>
                  </w:tcBorders>
                  <w:shd w:val="clear" w:color="auto" w:fill="auto"/>
                  <w:vAlign w:val="center"/>
                  <w:hideMark/>
                </w:tcPr>
                <w:p w14:paraId="1417B30A"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8</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272</w:t>
                  </w:r>
                </w:p>
              </w:tc>
              <w:tc>
                <w:tcPr>
                  <w:tcW w:w="1096" w:type="dxa"/>
                  <w:tcBorders>
                    <w:top w:val="nil"/>
                    <w:left w:val="nil"/>
                    <w:bottom w:val="single" w:sz="4" w:space="0" w:color="auto"/>
                    <w:right w:val="single" w:sz="4" w:space="0" w:color="auto"/>
                  </w:tcBorders>
                  <w:shd w:val="clear" w:color="auto" w:fill="auto"/>
                  <w:vAlign w:val="center"/>
                  <w:hideMark/>
                </w:tcPr>
                <w:p w14:paraId="6C3C5561"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1</w:t>
                  </w:r>
                </w:p>
              </w:tc>
            </w:tr>
            <w:tr w:rsidR="00A549D2" w:rsidRPr="001553D4" w14:paraId="6CBDB145" w14:textId="77777777" w:rsidTr="00164C9F">
              <w:trPr>
                <w:trHeight w:val="286"/>
                <w:jc w:val="center"/>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B076935" w14:textId="77777777" w:rsidR="00A549D2" w:rsidRPr="001553D4" w:rsidRDefault="001C3244" w:rsidP="009837EA">
                  <w:pPr>
                    <w:spacing w:after="0" w:line="240" w:lineRule="auto"/>
                    <w:jc w:val="center"/>
                    <w:rPr>
                      <w:rFonts w:ascii="Times New Roman" w:eastAsia="Times New Roman" w:hAnsi="Times New Roman" w:cs="Times New Roman"/>
                      <w:b/>
                      <w:bCs/>
                      <w:color w:val="000000"/>
                      <w:sz w:val="20"/>
                      <w:szCs w:val="20"/>
                      <w:lang w:eastAsia="lv-LV"/>
                    </w:rPr>
                  </w:pPr>
                  <w:r w:rsidRPr="001553D4">
                    <w:rPr>
                      <w:rFonts w:ascii="Times New Roman" w:hAnsi="Times New Roman" w:cs="Times New Roman"/>
                      <w:sz w:val="20"/>
                      <w:szCs w:val="20"/>
                    </w:rPr>
                    <w:t>Z</w:t>
                  </w:r>
                  <w:r w:rsidR="00A549D2" w:rsidRPr="001553D4">
                    <w:rPr>
                      <w:rFonts w:ascii="Times New Roman" w:hAnsi="Times New Roman" w:cs="Times New Roman"/>
                      <w:sz w:val="20"/>
                      <w:szCs w:val="20"/>
                    </w:rPr>
                    <w:t>inātniskie un tehniskie pakalpojumi</w:t>
                  </w:r>
                </w:p>
              </w:tc>
              <w:tc>
                <w:tcPr>
                  <w:tcW w:w="1231" w:type="dxa"/>
                  <w:tcBorders>
                    <w:top w:val="nil"/>
                    <w:left w:val="nil"/>
                    <w:bottom w:val="single" w:sz="4" w:space="0" w:color="auto"/>
                    <w:right w:val="single" w:sz="4" w:space="0" w:color="auto"/>
                  </w:tcBorders>
                  <w:shd w:val="clear" w:color="auto" w:fill="auto"/>
                  <w:vAlign w:val="center"/>
                  <w:hideMark/>
                </w:tcPr>
                <w:p w14:paraId="665C07B1"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5</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390</w:t>
                  </w:r>
                </w:p>
              </w:tc>
              <w:tc>
                <w:tcPr>
                  <w:tcW w:w="1066" w:type="dxa"/>
                  <w:tcBorders>
                    <w:top w:val="nil"/>
                    <w:left w:val="nil"/>
                    <w:bottom w:val="single" w:sz="4" w:space="0" w:color="auto"/>
                    <w:right w:val="single" w:sz="4" w:space="0" w:color="auto"/>
                  </w:tcBorders>
                  <w:shd w:val="clear" w:color="auto" w:fill="auto"/>
                  <w:vAlign w:val="center"/>
                  <w:hideMark/>
                </w:tcPr>
                <w:p w14:paraId="73A011CD"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14:paraId="5ED7D304"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534</w:t>
                  </w:r>
                </w:p>
              </w:tc>
              <w:tc>
                <w:tcPr>
                  <w:tcW w:w="1479" w:type="dxa"/>
                  <w:tcBorders>
                    <w:top w:val="nil"/>
                    <w:left w:val="nil"/>
                    <w:bottom w:val="single" w:sz="4" w:space="0" w:color="auto"/>
                    <w:right w:val="single" w:sz="4" w:space="0" w:color="auto"/>
                  </w:tcBorders>
                  <w:shd w:val="clear" w:color="auto" w:fill="auto"/>
                  <w:vAlign w:val="center"/>
                  <w:hideMark/>
                </w:tcPr>
                <w:p w14:paraId="18C72FE0"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13</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372</w:t>
                  </w:r>
                </w:p>
              </w:tc>
              <w:tc>
                <w:tcPr>
                  <w:tcW w:w="1096" w:type="dxa"/>
                  <w:tcBorders>
                    <w:top w:val="nil"/>
                    <w:left w:val="nil"/>
                    <w:bottom w:val="single" w:sz="4" w:space="0" w:color="auto"/>
                    <w:right w:val="single" w:sz="4" w:space="0" w:color="auto"/>
                  </w:tcBorders>
                  <w:shd w:val="clear" w:color="auto" w:fill="auto"/>
                  <w:vAlign w:val="center"/>
                  <w:hideMark/>
                </w:tcPr>
                <w:p w14:paraId="2C845BAC"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28</w:t>
                  </w:r>
                </w:p>
              </w:tc>
            </w:tr>
          </w:tbl>
          <w:p w14:paraId="44469176" w14:textId="33E3A780" w:rsidR="005F1444" w:rsidRDefault="00BA0BCD" w:rsidP="0011075E">
            <w:pPr>
              <w:pStyle w:val="Tiret0"/>
              <w:numPr>
                <w:ilvl w:val="0"/>
                <w:numId w:val="5"/>
              </w:numPr>
              <w:tabs>
                <w:tab w:val="left" w:pos="463"/>
              </w:tabs>
              <w:ind w:left="38" w:firstLine="322"/>
            </w:pPr>
            <w:r>
              <w:t>visvairāk r</w:t>
            </w:r>
            <w:r w:rsidR="005F1444">
              <w:t>egula ietekmēs uzņēmumus, kas n</w:t>
            </w:r>
            <w:r w:rsidR="00AE5FF5">
              <w:t>odarbojas ar produktu inovāciju</w:t>
            </w:r>
            <w:r w:rsidR="004E55F6">
              <w:t>;</w:t>
            </w:r>
          </w:p>
          <w:p w14:paraId="62473D33" w14:textId="77777777" w:rsidR="00FD6DF6" w:rsidRDefault="00AE5FF5" w:rsidP="0011075E">
            <w:pPr>
              <w:pStyle w:val="Tiret0"/>
              <w:numPr>
                <w:ilvl w:val="0"/>
                <w:numId w:val="5"/>
              </w:numPr>
              <w:tabs>
                <w:tab w:val="left" w:pos="463"/>
              </w:tabs>
              <w:ind w:left="38" w:firstLine="322"/>
            </w:pPr>
            <w:r>
              <w:t>2012</w:t>
            </w:r>
            <w:r w:rsidR="00EF6F94">
              <w:t>.</w:t>
            </w:r>
            <w:r w:rsidR="00A45C81">
              <w:t>-2014. </w:t>
            </w:r>
            <w:r>
              <w:t xml:space="preserve">gadā Latvijā 1276 uzņēmumi </w:t>
            </w:r>
            <w:r w:rsidR="00E87B4E">
              <w:t>uzskatīti par inovatīviem, n</w:t>
            </w:r>
            <w:r>
              <w:t>o tiem 654 nodarbojas ar pakalpojumiem, 622 ar rūpniecību (no šiem 559 nodarbojas ar apstrādes rūpniecību);</w:t>
            </w:r>
          </w:p>
          <w:p w14:paraId="6203A57E" w14:textId="453A6AE0" w:rsidR="00E87B4E" w:rsidRDefault="00E87B4E" w:rsidP="0011075E">
            <w:pPr>
              <w:pStyle w:val="Tiret0"/>
              <w:numPr>
                <w:ilvl w:val="0"/>
                <w:numId w:val="5"/>
              </w:numPr>
              <w:tabs>
                <w:tab w:val="left" w:pos="463"/>
              </w:tabs>
              <w:ind w:left="38" w:firstLine="322"/>
            </w:pPr>
            <w:r>
              <w:t>k</w:t>
            </w:r>
            <w:r w:rsidR="00AE5FF5" w:rsidRPr="00FD6DF6">
              <w:t>opējie izdev</w:t>
            </w:r>
            <w:r>
              <w:t>umi rūpniecībā inovācijām 2014. </w:t>
            </w:r>
            <w:r w:rsidR="00AE5FF5" w:rsidRPr="00FD6DF6">
              <w:t>gadā bija 108.3</w:t>
            </w:r>
            <w:r w:rsidR="00704F59">
              <w:t> </w:t>
            </w:r>
            <w:r w:rsidR="00AE5FF5" w:rsidRPr="00FD6DF6">
              <w:t xml:space="preserve">miljoni </w:t>
            </w:r>
            <w:r w:rsidR="00704F59" w:rsidRPr="002067F1">
              <w:rPr>
                <w:i/>
              </w:rPr>
              <w:t>euro</w:t>
            </w:r>
            <w:r w:rsidR="00AE5FF5" w:rsidRPr="00FD6DF6">
              <w:t xml:space="preserve">, no kuriem tikai 13.7 miljoni </w:t>
            </w:r>
            <w:r w:rsidR="00704F59" w:rsidRPr="002067F1">
              <w:rPr>
                <w:i/>
              </w:rPr>
              <w:t>euro</w:t>
            </w:r>
            <w:r w:rsidR="00704F59">
              <w:t xml:space="preserve"> </w:t>
            </w:r>
            <w:r w:rsidR="00AE5FF5" w:rsidRPr="00FD6DF6">
              <w:t>ieguldīt</w:t>
            </w:r>
            <w:r>
              <w:t>i pētniecībā un attīstīšanā;</w:t>
            </w:r>
            <w:r w:rsidR="00AE5FF5" w:rsidRPr="00FD6DF6">
              <w:t xml:space="preserve"> </w:t>
            </w:r>
          </w:p>
          <w:p w14:paraId="40F0B60E" w14:textId="77777777" w:rsidR="00E87B4E" w:rsidRDefault="00E87B4E" w:rsidP="0011075E">
            <w:pPr>
              <w:pStyle w:val="Tiret0"/>
              <w:numPr>
                <w:ilvl w:val="0"/>
                <w:numId w:val="5"/>
              </w:numPr>
              <w:tabs>
                <w:tab w:val="left" w:pos="463"/>
              </w:tabs>
              <w:ind w:left="38" w:firstLine="322"/>
            </w:pPr>
            <w:r>
              <w:t>pētniecības un attīstīšanas ieguldījumi 2013. </w:t>
            </w:r>
            <w:r w:rsidR="00AE5FF5" w:rsidRPr="00FD6DF6">
              <w:t>gadā sastādīja 0.6</w:t>
            </w:r>
            <w:r>
              <w:t xml:space="preserve">  </w:t>
            </w:r>
            <w:r w:rsidR="00AE5FF5" w:rsidRPr="00FD6DF6">
              <w:t>%</w:t>
            </w:r>
            <w:r>
              <w:t>. no IKP</w:t>
            </w:r>
            <w:r w:rsidR="00AE5FF5" w:rsidRPr="00FD6DF6">
              <w:t>, bet Latvijas viedās speciali</w:t>
            </w:r>
            <w:r>
              <w:t>zācijas stratēģijas mērķis 2020. </w:t>
            </w:r>
            <w:r w:rsidR="00AE5FF5" w:rsidRPr="00FD6DF6">
              <w:t xml:space="preserve">gadam ir </w:t>
            </w:r>
            <w:r>
              <w:t>1.5%;</w:t>
            </w:r>
          </w:p>
          <w:p w14:paraId="23071B5E" w14:textId="780A41A4" w:rsidR="000C7F8B" w:rsidRDefault="00E87B4E" w:rsidP="00BA0BCD">
            <w:pPr>
              <w:pStyle w:val="Tiret0"/>
              <w:numPr>
                <w:ilvl w:val="0"/>
                <w:numId w:val="5"/>
              </w:numPr>
              <w:tabs>
                <w:tab w:val="left" w:pos="463"/>
              </w:tabs>
              <w:ind w:left="38" w:firstLine="322"/>
            </w:pPr>
            <w:r>
              <w:t>2014. </w:t>
            </w:r>
            <w:r w:rsidR="00AE5FF5" w:rsidRPr="00E87B4E">
              <w:t>gadā Latvijā uzņēmējdarbības sektorā bij</w:t>
            </w:r>
            <w:r>
              <w:t xml:space="preserve">a 411 zinātniskās iestādes, kurās </w:t>
            </w:r>
            <w:r w:rsidR="00AE5FF5" w:rsidRPr="00E87B4E">
              <w:t>noda</w:t>
            </w:r>
            <w:r>
              <w:t>rbināti</w:t>
            </w:r>
            <w:r w:rsidR="00C74F48">
              <w:t xml:space="preserve"> 776 </w:t>
            </w:r>
            <w:r w:rsidR="003E23D9">
              <w:t>speciālisti</w:t>
            </w:r>
            <w:r w:rsidR="00C74F48">
              <w:t>,</w:t>
            </w:r>
            <w:r>
              <w:t xml:space="preserve"> 2016. </w:t>
            </w:r>
            <w:r w:rsidR="00AE5FF5" w:rsidRPr="00E87B4E">
              <w:t xml:space="preserve">gadā </w:t>
            </w:r>
            <w:r w:rsidR="003E23D9">
              <w:t>speciālistu</w:t>
            </w:r>
            <w:r w:rsidR="00AE5FF5" w:rsidRPr="00E87B4E">
              <w:t xml:space="preserve"> skaits samazinājies </w:t>
            </w:r>
            <w:r>
              <w:t>līdz</w:t>
            </w:r>
            <w:r w:rsidR="00AE5FF5" w:rsidRPr="00E87B4E">
              <w:t xml:space="preserve"> 582.</w:t>
            </w:r>
          </w:p>
          <w:p w14:paraId="62B1BC4A" w14:textId="50E6BFD1" w:rsidR="00F133F3" w:rsidRDefault="00EA5DA3" w:rsidP="000C7F8B">
            <w:pPr>
              <w:pStyle w:val="Tiret0"/>
              <w:numPr>
                <w:ilvl w:val="0"/>
                <w:numId w:val="0"/>
              </w:numPr>
              <w:tabs>
                <w:tab w:val="left" w:pos="463"/>
              </w:tabs>
              <w:spacing w:before="0"/>
              <w:ind w:left="38"/>
              <w:rPr>
                <w:noProof/>
              </w:rPr>
            </w:pPr>
            <w:r>
              <w:t>Vienlaikus j</w:t>
            </w:r>
            <w:r w:rsidR="000C7F8B">
              <w:t xml:space="preserve">āņem vērā, ka </w:t>
            </w:r>
            <w:r w:rsidR="00E047FE">
              <w:t xml:space="preserve">saskaņā ar </w:t>
            </w:r>
            <w:r w:rsidR="00BA0BCD">
              <w:t>r</w:t>
            </w:r>
            <w:r w:rsidR="00DD3A73" w:rsidRPr="00EA5DA3">
              <w:t xml:space="preserve">egulas </w:t>
            </w:r>
            <w:r w:rsidR="00BA0BCD">
              <w:t>īstenošanas</w:t>
            </w:r>
            <w:r w:rsidR="00E047FE" w:rsidRPr="00EA5DA3">
              <w:t xml:space="preserve"> vadlīnijām</w:t>
            </w:r>
            <w:r w:rsidR="00E047FE" w:rsidRPr="00EA5DA3">
              <w:rPr>
                <w:rStyle w:val="FootnoteReference"/>
              </w:rPr>
              <w:footnoteReference w:id="15"/>
            </w:r>
            <w:r w:rsidR="00E047FE" w:rsidRPr="00EA5DA3">
              <w:t xml:space="preserve"> </w:t>
            </w:r>
            <w:r w:rsidR="00BA0BCD">
              <w:t>r</w:t>
            </w:r>
            <w:r w:rsidR="009A6978">
              <w:t>egula</w:t>
            </w:r>
            <w:r w:rsidRPr="00EA5DA3">
              <w:t xml:space="preserve"> </w:t>
            </w:r>
            <w:r w:rsidR="00DD3A73" w:rsidRPr="00EA5DA3">
              <w:t xml:space="preserve">un </w:t>
            </w:r>
            <w:r w:rsidR="009A6978">
              <w:t xml:space="preserve">attiecīgi </w:t>
            </w:r>
            <w:r w:rsidR="00BA0BCD">
              <w:t>l</w:t>
            </w:r>
            <w:r w:rsidR="00056EF2">
              <w:t>ikumprojekts</w:t>
            </w:r>
            <w:r w:rsidR="00557D5F" w:rsidRPr="00EA5DA3">
              <w:t xml:space="preserve"> </w:t>
            </w:r>
            <w:r w:rsidRPr="00EA5DA3">
              <w:t xml:space="preserve">var būt </w:t>
            </w:r>
            <w:r w:rsidR="00653C67">
              <w:t>piemērojami</w:t>
            </w:r>
            <w:r w:rsidRPr="00EA5DA3">
              <w:rPr>
                <w:noProof/>
              </w:rPr>
              <w:t>, ja pie</w:t>
            </w:r>
            <w:r w:rsidR="00CC0C6F" w:rsidRPr="00EA5DA3">
              <w:rPr>
                <w:noProof/>
              </w:rPr>
              <w:t xml:space="preserve">pildās visi turpmāk </w:t>
            </w:r>
            <w:r w:rsidR="00056EF2">
              <w:rPr>
                <w:noProof/>
              </w:rPr>
              <w:t>uzskaitītie</w:t>
            </w:r>
            <w:r w:rsidR="00CC0C6F" w:rsidRPr="00EA5DA3">
              <w:rPr>
                <w:noProof/>
              </w:rPr>
              <w:t xml:space="preserve"> </w:t>
            </w:r>
            <w:r w:rsidR="009A6978">
              <w:rPr>
                <w:noProof/>
              </w:rPr>
              <w:t xml:space="preserve">piemērošanas </w:t>
            </w:r>
            <w:r w:rsidR="00CC0C6F" w:rsidRPr="00EA5DA3">
              <w:rPr>
                <w:noProof/>
              </w:rPr>
              <w:t xml:space="preserve">nosacījumi par ģenētisko resursu veidu, </w:t>
            </w:r>
            <w:r w:rsidR="009837EA" w:rsidRPr="00EA5DA3">
              <w:rPr>
                <w:noProof/>
              </w:rPr>
              <w:t xml:space="preserve">izmantošanas mērķi, </w:t>
            </w:r>
            <w:r w:rsidR="00CC0C6F" w:rsidRPr="00EA5DA3">
              <w:rPr>
                <w:noProof/>
              </w:rPr>
              <w:t>piekļuves laiku</w:t>
            </w:r>
            <w:r w:rsidR="00920A9A" w:rsidRPr="00EA5DA3">
              <w:rPr>
                <w:noProof/>
              </w:rPr>
              <w:t xml:space="preserve">, izmantošanas </w:t>
            </w:r>
            <w:r w:rsidR="00CC0C6F" w:rsidRPr="00EA5DA3">
              <w:rPr>
                <w:noProof/>
              </w:rPr>
              <w:t>vietu un Nagojas Protokola un citu līdzī</w:t>
            </w:r>
            <w:r w:rsidR="00722927">
              <w:rPr>
                <w:noProof/>
              </w:rPr>
              <w:t xml:space="preserve">gu starptautisku līgumu statusu </w:t>
            </w:r>
            <w:r w:rsidR="00CC0C6F" w:rsidRPr="00EA5DA3">
              <w:rPr>
                <w:noProof/>
              </w:rPr>
              <w:t xml:space="preserve">ģenētisko resursu </w:t>
            </w:r>
            <w:r w:rsidR="00722927">
              <w:rPr>
                <w:noProof/>
              </w:rPr>
              <w:t xml:space="preserve">piederības </w:t>
            </w:r>
            <w:r w:rsidR="00CC0C6F" w:rsidRPr="00EA5DA3">
              <w:rPr>
                <w:noProof/>
              </w:rPr>
              <w:t>valstī.</w:t>
            </w:r>
          </w:p>
          <w:p w14:paraId="5791463D" w14:textId="44017C75" w:rsidR="00FD6DF6" w:rsidRDefault="00F370D3" w:rsidP="009837EA">
            <w:pPr>
              <w:pStyle w:val="Tiret0"/>
              <w:numPr>
                <w:ilvl w:val="0"/>
                <w:numId w:val="3"/>
              </w:numPr>
              <w:tabs>
                <w:tab w:val="left" w:pos="360"/>
              </w:tabs>
              <w:spacing w:before="0"/>
              <w:ind w:left="38" w:firstLine="0"/>
              <w:rPr>
                <w:noProof/>
              </w:rPr>
            </w:pPr>
            <w:r>
              <w:rPr>
                <w:noProof/>
              </w:rPr>
              <w:t>Ģenētisko resursu izmantošanas joma ir</w:t>
            </w:r>
            <w:r w:rsidR="00FD6DF6" w:rsidRPr="002D3EBB">
              <w:rPr>
                <w:noProof/>
              </w:rPr>
              <w:t xml:space="preserve"> pārtikas pārstrāde, mežsaimniecība, farmācija, kosmētikas izstrāde, atjaunojamās ene</w:t>
            </w:r>
            <w:r w:rsidR="00CC0C6F">
              <w:rPr>
                <w:noProof/>
              </w:rPr>
              <w:t>r</w:t>
            </w:r>
            <w:r w:rsidR="00FD6DF6" w:rsidRPr="002D3EBB">
              <w:rPr>
                <w:noProof/>
              </w:rPr>
              <w:t>ģijas bioavotu attīstīšana, kā arī augu un dzīvnieku šķirņu selekcija, augu aizsardzības bio-kontroles līdzekļu izstrāde, zinātnisko institūtu darbībā un citās</w:t>
            </w:r>
            <w:r w:rsidR="00FD6DF6">
              <w:rPr>
                <w:noProof/>
              </w:rPr>
              <w:t xml:space="preserve"> jomās</w:t>
            </w:r>
            <w:r w:rsidR="005D4AF0">
              <w:rPr>
                <w:noProof/>
              </w:rPr>
              <w:t>, bet izņemot cilvēka ģenētisko resursu izmantošanā</w:t>
            </w:r>
            <w:r w:rsidR="00FD6DF6" w:rsidRPr="002D3EBB">
              <w:rPr>
                <w:noProof/>
              </w:rPr>
              <w:t>.</w:t>
            </w:r>
          </w:p>
          <w:p w14:paraId="7B406674" w14:textId="2E0F9602" w:rsidR="009837EA" w:rsidRPr="006B463B" w:rsidRDefault="00F370D3" w:rsidP="009837EA">
            <w:pPr>
              <w:pStyle w:val="Tiret0"/>
              <w:numPr>
                <w:ilvl w:val="0"/>
                <w:numId w:val="3"/>
              </w:numPr>
              <w:tabs>
                <w:tab w:val="left" w:pos="360"/>
              </w:tabs>
              <w:spacing w:before="0"/>
              <w:ind w:left="38" w:firstLine="0"/>
              <w:rPr>
                <w:noProof/>
              </w:rPr>
            </w:pPr>
            <w:r>
              <w:rPr>
                <w:noProof/>
              </w:rPr>
              <w:t>Ģ</w:t>
            </w:r>
            <w:r w:rsidR="009837EA" w:rsidRPr="006B463B">
              <w:rPr>
                <w:noProof/>
              </w:rPr>
              <w:t>enētisko resursu izmantošana</w:t>
            </w:r>
            <w:r w:rsidR="004A0EFE">
              <w:rPr>
                <w:noProof/>
              </w:rPr>
              <w:t>s mērķis ir izpētes un izstrāde</w:t>
            </w:r>
            <w:r w:rsidR="009837EA" w:rsidRPr="006B463B">
              <w:rPr>
                <w:noProof/>
              </w:rPr>
              <w:t>s darbība (</w:t>
            </w:r>
            <w:r w:rsidR="00997ECD">
              <w:rPr>
                <w:i/>
                <w:noProof/>
              </w:rPr>
              <w:t xml:space="preserve">research and </w:t>
            </w:r>
            <w:r w:rsidR="009837EA" w:rsidRPr="006B463B">
              <w:rPr>
                <w:i/>
                <w:noProof/>
              </w:rPr>
              <w:t>development</w:t>
            </w:r>
            <w:r w:rsidR="00ED0FED">
              <w:rPr>
                <w:noProof/>
              </w:rPr>
              <w:t>)</w:t>
            </w:r>
            <w:r w:rsidR="009837EA" w:rsidRPr="006B463B">
              <w:rPr>
                <w:noProof/>
              </w:rPr>
              <w:t>.</w:t>
            </w:r>
          </w:p>
          <w:p w14:paraId="70A7573D" w14:textId="01C07051" w:rsidR="00FD6DF6" w:rsidRDefault="00653C67" w:rsidP="009837EA">
            <w:pPr>
              <w:pStyle w:val="Tiret0"/>
              <w:numPr>
                <w:ilvl w:val="0"/>
                <w:numId w:val="3"/>
              </w:numPr>
              <w:tabs>
                <w:tab w:val="left" w:pos="360"/>
              </w:tabs>
              <w:spacing w:before="0"/>
              <w:ind w:left="38" w:firstLine="0"/>
              <w:rPr>
                <w:noProof/>
              </w:rPr>
            </w:pPr>
            <w:r>
              <w:rPr>
                <w:noProof/>
              </w:rPr>
              <w:t>P</w:t>
            </w:r>
            <w:r w:rsidR="00FD6DF6">
              <w:rPr>
                <w:noProof/>
              </w:rPr>
              <w:t xml:space="preserve">iekļuve </w:t>
            </w:r>
            <w:r w:rsidR="002A1419">
              <w:rPr>
                <w:noProof/>
              </w:rPr>
              <w:t>ģenētiskajiem resursiem notiek</w:t>
            </w:r>
            <w:r w:rsidR="00FD6DF6">
              <w:rPr>
                <w:noProof/>
              </w:rPr>
              <w:t xml:space="preserve"> no Nagojas Protokola sp</w:t>
            </w:r>
            <w:r w:rsidR="009837EA">
              <w:rPr>
                <w:noProof/>
              </w:rPr>
              <w:t>ēkā stāšanās jeb sākot ar 2014. gada 12. </w:t>
            </w:r>
            <w:r w:rsidR="00FD6DF6">
              <w:rPr>
                <w:noProof/>
              </w:rPr>
              <w:t>oktobri, un, ja ģenētisko resursu izpēte</w:t>
            </w:r>
            <w:r w:rsidR="00E07363">
              <w:rPr>
                <w:noProof/>
              </w:rPr>
              <w:t>s</w:t>
            </w:r>
            <w:r w:rsidR="00FD6DF6">
              <w:rPr>
                <w:noProof/>
              </w:rPr>
              <w:t xml:space="preserve"> un </w:t>
            </w:r>
            <w:r w:rsidR="004A0EFE">
              <w:rPr>
                <w:noProof/>
              </w:rPr>
              <w:t>izstrāde</w:t>
            </w:r>
            <w:r w:rsidR="00E07363">
              <w:rPr>
                <w:noProof/>
              </w:rPr>
              <w:t>s darbība</w:t>
            </w:r>
            <w:r w:rsidR="00FD6DF6">
              <w:rPr>
                <w:noProof/>
              </w:rPr>
              <w:t xml:space="preserve"> notiek </w:t>
            </w:r>
            <w:r w:rsidR="00BA0BCD">
              <w:rPr>
                <w:noProof/>
              </w:rPr>
              <w:t>ES</w:t>
            </w:r>
            <w:r w:rsidR="00FD6DF6">
              <w:rPr>
                <w:noProof/>
              </w:rPr>
              <w:t>.</w:t>
            </w:r>
          </w:p>
          <w:p w14:paraId="5ECABCF7" w14:textId="437F967E" w:rsidR="00920A9A" w:rsidRDefault="00A45AE8" w:rsidP="00920A9A">
            <w:pPr>
              <w:pStyle w:val="Tiret0"/>
              <w:numPr>
                <w:ilvl w:val="0"/>
                <w:numId w:val="3"/>
              </w:numPr>
              <w:tabs>
                <w:tab w:val="left" w:pos="360"/>
              </w:tabs>
              <w:spacing w:before="0"/>
              <w:ind w:left="38" w:firstLine="0"/>
              <w:rPr>
                <w:noProof/>
              </w:rPr>
            </w:pPr>
            <w:r>
              <w:rPr>
                <w:noProof/>
              </w:rPr>
              <w:t>Ģenētiskos resursus plāno izmantot persona no Latvijas</w:t>
            </w:r>
            <w:r w:rsidR="00FD6DF6" w:rsidRPr="002D3EBB">
              <w:rPr>
                <w:noProof/>
              </w:rPr>
              <w:t>.</w:t>
            </w:r>
          </w:p>
          <w:p w14:paraId="348DAF8E" w14:textId="6D22FC7F" w:rsidR="00A45AE8" w:rsidRDefault="007961EA" w:rsidP="0011075E">
            <w:pPr>
              <w:pStyle w:val="Tiret0"/>
              <w:numPr>
                <w:ilvl w:val="0"/>
                <w:numId w:val="3"/>
              </w:numPr>
              <w:tabs>
                <w:tab w:val="left" w:pos="360"/>
              </w:tabs>
              <w:spacing w:before="0"/>
              <w:ind w:left="38" w:firstLine="0"/>
              <w:rPr>
                <w:noProof/>
              </w:rPr>
            </w:pPr>
            <w:r>
              <w:rPr>
                <w:noProof/>
              </w:rPr>
              <w:t xml:space="preserve">Plānots izmantot tādas valsts </w:t>
            </w:r>
            <w:r w:rsidR="00FD6DF6" w:rsidRPr="002D3EBB">
              <w:rPr>
                <w:noProof/>
              </w:rPr>
              <w:t>ģenētiskos resursus, kas ir Nagojas Protokola dalībvalsts, un kas pieejai ģenētiskajiem resursiem ir izvēlējusies noteikt piekļuves noteikumus.</w:t>
            </w:r>
            <w:r w:rsidR="00FD6DF6">
              <w:rPr>
                <w:noProof/>
              </w:rPr>
              <w:t xml:space="preserve"> </w:t>
            </w:r>
            <w:r w:rsidR="002A1419">
              <w:rPr>
                <w:noProof/>
              </w:rPr>
              <w:t>Šobrīd no Eiropas Savienības dalībvalstīm, kas ir Nagojas Protokola puses, paredzēt piekļuves noteikumus saviem ģenētiskajiem resursiem izvēlējusies Francija, Horvātija, Malta un Spānija.</w:t>
            </w:r>
          </w:p>
          <w:p w14:paraId="22C028AC" w14:textId="723D8E44" w:rsidR="002D3EBB" w:rsidRDefault="002A1419" w:rsidP="0011075E">
            <w:pPr>
              <w:pStyle w:val="Tiret0"/>
              <w:numPr>
                <w:ilvl w:val="0"/>
                <w:numId w:val="3"/>
              </w:numPr>
              <w:tabs>
                <w:tab w:val="left" w:pos="360"/>
              </w:tabs>
              <w:spacing w:before="0"/>
              <w:ind w:left="38" w:firstLine="0"/>
              <w:rPr>
                <w:noProof/>
              </w:rPr>
            </w:pPr>
            <w:r>
              <w:rPr>
                <w:noProof/>
              </w:rPr>
              <w:t>Konkrēto</w:t>
            </w:r>
            <w:r w:rsidR="00FD6DF6">
              <w:rPr>
                <w:noProof/>
              </w:rPr>
              <w:t xml:space="preserve"> ģenētisko resursu </w:t>
            </w:r>
            <w:r>
              <w:rPr>
                <w:noProof/>
              </w:rPr>
              <w:t xml:space="preserve">veidu </w:t>
            </w:r>
            <w:r w:rsidR="00FD6DF6">
              <w:rPr>
                <w:noProof/>
              </w:rPr>
              <w:t xml:space="preserve">izmantošanu </w:t>
            </w:r>
            <w:r w:rsidR="00704F59">
              <w:rPr>
                <w:noProof/>
              </w:rPr>
              <w:t>Latvijā</w:t>
            </w:r>
            <w:r w:rsidR="00FD6DF6">
              <w:rPr>
                <w:noProof/>
              </w:rPr>
              <w:t xml:space="preserve"> </w:t>
            </w:r>
            <w:r>
              <w:rPr>
                <w:noProof/>
              </w:rPr>
              <w:t>ne</w:t>
            </w:r>
            <w:r w:rsidR="00FD6DF6" w:rsidRPr="002D3EBB">
              <w:rPr>
                <w:noProof/>
              </w:rPr>
              <w:t xml:space="preserve">regulē </w:t>
            </w:r>
            <w:r w:rsidR="00FD6DF6">
              <w:rPr>
                <w:noProof/>
              </w:rPr>
              <w:t xml:space="preserve">citi Nagojas Protokolam atbilstoši </w:t>
            </w:r>
            <w:r w:rsidR="00FD6DF6" w:rsidRPr="002D3EBB">
              <w:rPr>
                <w:noProof/>
              </w:rPr>
              <w:t>starptautiski līgumi. Piemēram, Starptautiskais līgums par augu ģenētiskajiem resursiem pārtikai un lauksaimniecībai</w:t>
            </w:r>
            <w:r w:rsidR="00FD6DF6">
              <w:rPr>
                <w:rStyle w:val="FootnoteReference"/>
                <w:noProof/>
              </w:rPr>
              <w:footnoteReference w:id="16"/>
            </w:r>
            <w:r w:rsidR="00FD6DF6" w:rsidRPr="002D3EBB">
              <w:rPr>
                <w:noProof/>
              </w:rPr>
              <w:t>.</w:t>
            </w:r>
          </w:p>
          <w:p w14:paraId="300703D2" w14:textId="3E87C9E7" w:rsidR="000579EF" w:rsidRPr="002D3EBB" w:rsidRDefault="0056706E" w:rsidP="009A6978">
            <w:pPr>
              <w:pStyle w:val="Tiret0"/>
              <w:numPr>
                <w:ilvl w:val="0"/>
                <w:numId w:val="0"/>
              </w:numPr>
              <w:tabs>
                <w:tab w:val="left" w:pos="360"/>
              </w:tabs>
              <w:spacing w:before="0"/>
              <w:ind w:left="38"/>
              <w:rPr>
                <w:noProof/>
              </w:rPr>
            </w:pPr>
            <w:r>
              <w:rPr>
                <w:noProof/>
              </w:rPr>
              <w:t xml:space="preserve">Kopumā, ņemot vērā minētos nosacījumus, iespējamo ģenētisko resursu lietotāju skaits vērtējams kā neliels. </w:t>
            </w:r>
          </w:p>
        </w:tc>
      </w:tr>
      <w:tr w:rsidR="00A549D2" w:rsidRPr="002D55CC" w14:paraId="3DB73C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5E477"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3A864B"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E3EB5A6" w14:textId="77777777" w:rsidR="00604F94" w:rsidRPr="00F370D3" w:rsidRDefault="007F6218" w:rsidP="00ED0FE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L</w:t>
            </w:r>
            <w:r w:rsidR="008C546B" w:rsidRPr="00F370D3">
              <w:rPr>
                <w:rFonts w:ascii="Times New Roman" w:eastAsia="Times New Roman" w:hAnsi="Times New Roman" w:cs="Times New Roman"/>
                <w:iCs/>
                <w:sz w:val="24"/>
                <w:szCs w:val="24"/>
                <w:lang w:eastAsia="lv-LV"/>
              </w:rPr>
              <w:t>ikumprojekts veicina sakārtotāku uzņēmējdarbības vidi</w:t>
            </w:r>
            <w:r w:rsidR="003F0751" w:rsidRPr="00F370D3">
              <w:rPr>
                <w:rFonts w:ascii="Times New Roman" w:eastAsia="Times New Roman" w:hAnsi="Times New Roman" w:cs="Times New Roman"/>
                <w:iCs/>
                <w:sz w:val="24"/>
                <w:szCs w:val="24"/>
                <w:lang w:eastAsia="lv-LV"/>
              </w:rPr>
              <w:t>.</w:t>
            </w:r>
          </w:p>
          <w:p w14:paraId="26CB894F" w14:textId="3C851CED" w:rsidR="003F0751" w:rsidRPr="00F370D3" w:rsidRDefault="003F0751" w:rsidP="00ED0FE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 xml:space="preserve">Neparedz atšķirīgu pieeju, atkarībā no </w:t>
            </w:r>
            <w:r w:rsidR="003E23D9">
              <w:rPr>
                <w:rFonts w:ascii="Times New Roman" w:eastAsia="Times New Roman" w:hAnsi="Times New Roman" w:cs="Times New Roman"/>
                <w:iCs/>
                <w:sz w:val="24"/>
                <w:szCs w:val="24"/>
                <w:lang w:eastAsia="lv-LV"/>
              </w:rPr>
              <w:t>komersanta</w:t>
            </w:r>
            <w:r w:rsidRPr="00F370D3">
              <w:rPr>
                <w:rFonts w:ascii="Times New Roman" w:eastAsia="Times New Roman" w:hAnsi="Times New Roman" w:cs="Times New Roman"/>
                <w:iCs/>
                <w:sz w:val="24"/>
                <w:szCs w:val="24"/>
                <w:lang w:eastAsia="lv-LV"/>
              </w:rPr>
              <w:t xml:space="preserve"> lieluma.</w:t>
            </w:r>
          </w:p>
          <w:p w14:paraId="695F53AB" w14:textId="77777777" w:rsidR="003F0751" w:rsidRPr="00F370D3" w:rsidRDefault="00C669CC" w:rsidP="00ED0FE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Ietekme uz Nacionālā attīstības plāna rādītājiem vērtējama kā nebūtiska</w:t>
            </w:r>
            <w:r w:rsidR="00BB6D7E" w:rsidRPr="00F370D3">
              <w:rPr>
                <w:rFonts w:ascii="Times New Roman" w:eastAsia="Times New Roman" w:hAnsi="Times New Roman" w:cs="Times New Roman"/>
                <w:iCs/>
                <w:sz w:val="24"/>
                <w:szCs w:val="24"/>
                <w:lang w:eastAsia="lv-LV"/>
              </w:rPr>
              <w:t xml:space="preserve"> vai pozitīva</w:t>
            </w:r>
            <w:r w:rsidRPr="00F370D3">
              <w:rPr>
                <w:rFonts w:ascii="Times New Roman" w:eastAsia="Times New Roman" w:hAnsi="Times New Roman" w:cs="Times New Roman"/>
                <w:iCs/>
                <w:sz w:val="24"/>
                <w:szCs w:val="24"/>
                <w:lang w:eastAsia="lv-LV"/>
              </w:rPr>
              <w:t>.</w:t>
            </w:r>
          </w:p>
          <w:p w14:paraId="0919BB43" w14:textId="1A493D8F" w:rsidR="00367ED1" w:rsidRPr="00F370D3" w:rsidRDefault="00D25945" w:rsidP="00ED0FE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Konkuren</w:t>
            </w:r>
            <w:r w:rsidR="00BA0BCD">
              <w:rPr>
                <w:rFonts w:ascii="Times New Roman" w:eastAsia="Times New Roman" w:hAnsi="Times New Roman" w:cs="Times New Roman"/>
                <w:iCs/>
                <w:sz w:val="24"/>
                <w:szCs w:val="24"/>
                <w:lang w:eastAsia="lv-LV"/>
              </w:rPr>
              <w:t>ces ziņā l</w:t>
            </w:r>
            <w:r w:rsidR="0010501D" w:rsidRPr="00F370D3">
              <w:rPr>
                <w:rFonts w:ascii="Times New Roman" w:eastAsia="Times New Roman" w:hAnsi="Times New Roman" w:cs="Times New Roman"/>
                <w:iCs/>
                <w:sz w:val="24"/>
                <w:szCs w:val="24"/>
                <w:lang w:eastAsia="lv-LV"/>
              </w:rPr>
              <w:t>ikumprojekts ne</w:t>
            </w:r>
            <w:r w:rsidR="003E23D9">
              <w:rPr>
                <w:rFonts w:ascii="Times New Roman" w:eastAsia="Times New Roman" w:hAnsi="Times New Roman" w:cs="Times New Roman"/>
                <w:iCs/>
                <w:sz w:val="24"/>
                <w:szCs w:val="24"/>
                <w:lang w:eastAsia="lv-LV"/>
              </w:rPr>
              <w:t>sniedz</w:t>
            </w:r>
            <w:r w:rsidR="0010501D" w:rsidRPr="00F370D3">
              <w:rPr>
                <w:rFonts w:ascii="Times New Roman" w:eastAsia="Times New Roman" w:hAnsi="Times New Roman" w:cs="Times New Roman"/>
                <w:iCs/>
                <w:sz w:val="24"/>
                <w:szCs w:val="24"/>
                <w:lang w:eastAsia="lv-LV"/>
              </w:rPr>
              <w:t xml:space="preserve"> priekšrocības atsevišķiem </w:t>
            </w:r>
            <w:r w:rsidR="003E23D9">
              <w:rPr>
                <w:rFonts w:ascii="Times New Roman" w:eastAsia="Times New Roman" w:hAnsi="Times New Roman" w:cs="Times New Roman"/>
                <w:iCs/>
                <w:sz w:val="24"/>
                <w:szCs w:val="24"/>
                <w:lang w:eastAsia="lv-LV"/>
              </w:rPr>
              <w:t>komersantiem</w:t>
            </w:r>
            <w:r w:rsidR="0010501D" w:rsidRPr="00F370D3">
              <w:rPr>
                <w:rFonts w:ascii="Times New Roman" w:eastAsia="Times New Roman" w:hAnsi="Times New Roman" w:cs="Times New Roman"/>
                <w:iCs/>
                <w:sz w:val="24"/>
                <w:szCs w:val="24"/>
                <w:lang w:eastAsia="lv-LV"/>
              </w:rPr>
              <w:t xml:space="preserve"> vai nozar</w:t>
            </w:r>
            <w:r w:rsidR="001050AD" w:rsidRPr="00F370D3">
              <w:rPr>
                <w:rFonts w:ascii="Times New Roman" w:eastAsia="Times New Roman" w:hAnsi="Times New Roman" w:cs="Times New Roman"/>
                <w:iCs/>
                <w:sz w:val="24"/>
                <w:szCs w:val="24"/>
                <w:lang w:eastAsia="lv-LV"/>
              </w:rPr>
              <w:t xml:space="preserve">ēm; var veicināt konkurētspēju ar jauniem produktiem, kuru izstrādē izmantoti </w:t>
            </w:r>
            <w:r w:rsidR="003E23D9">
              <w:rPr>
                <w:rFonts w:ascii="Times New Roman" w:eastAsia="Times New Roman" w:hAnsi="Times New Roman" w:cs="Times New Roman"/>
                <w:iCs/>
                <w:sz w:val="24"/>
                <w:szCs w:val="24"/>
                <w:lang w:eastAsia="lv-LV"/>
              </w:rPr>
              <w:t>tiesiski</w:t>
            </w:r>
            <w:r w:rsidR="001050AD" w:rsidRPr="00F370D3">
              <w:rPr>
                <w:rFonts w:ascii="Times New Roman" w:eastAsia="Times New Roman" w:hAnsi="Times New Roman" w:cs="Times New Roman"/>
                <w:iCs/>
                <w:sz w:val="24"/>
                <w:szCs w:val="24"/>
                <w:lang w:eastAsia="lv-LV"/>
              </w:rPr>
              <w:t xml:space="preserve"> iegūti ģenētiskie resursi.</w:t>
            </w:r>
          </w:p>
          <w:p w14:paraId="3B31C1A5" w14:textId="177CE1D1" w:rsidR="00C669CC" w:rsidRPr="00F370D3" w:rsidRDefault="00367ED1" w:rsidP="00ED0FE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Iespējamā ietekme uz vidi vērtējama pozitīvi, ņemot vērā Bioloģiskās daudz</w:t>
            </w:r>
            <w:r w:rsidR="00BA0BCD">
              <w:rPr>
                <w:rFonts w:ascii="Times New Roman" w:eastAsia="Times New Roman" w:hAnsi="Times New Roman" w:cs="Times New Roman"/>
                <w:iCs/>
                <w:sz w:val="24"/>
                <w:szCs w:val="24"/>
                <w:lang w:eastAsia="lv-LV"/>
              </w:rPr>
              <w:t>veidības</w:t>
            </w:r>
            <w:r w:rsidR="003E23D9">
              <w:rPr>
                <w:rFonts w:ascii="Times New Roman" w:eastAsia="Times New Roman" w:hAnsi="Times New Roman" w:cs="Times New Roman"/>
                <w:iCs/>
                <w:sz w:val="24"/>
                <w:szCs w:val="24"/>
                <w:lang w:eastAsia="lv-LV"/>
              </w:rPr>
              <w:t xml:space="preserve"> konvencijas</w:t>
            </w:r>
            <w:r w:rsidR="00BA0BCD">
              <w:rPr>
                <w:rFonts w:ascii="Times New Roman" w:eastAsia="Times New Roman" w:hAnsi="Times New Roman" w:cs="Times New Roman"/>
                <w:iCs/>
                <w:sz w:val="24"/>
                <w:szCs w:val="24"/>
                <w:lang w:eastAsia="lv-LV"/>
              </w:rPr>
              <w:t>, Nagojas Protokola un r</w:t>
            </w:r>
            <w:r w:rsidRPr="00F370D3">
              <w:rPr>
                <w:rFonts w:ascii="Times New Roman" w:eastAsia="Times New Roman" w:hAnsi="Times New Roman" w:cs="Times New Roman"/>
                <w:iCs/>
                <w:sz w:val="24"/>
                <w:szCs w:val="24"/>
                <w:lang w:eastAsia="lv-LV"/>
              </w:rPr>
              <w:t>egulas</w:t>
            </w:r>
            <w:r w:rsidR="00D25945" w:rsidRPr="00F370D3">
              <w:rPr>
                <w:rFonts w:ascii="Times New Roman" w:eastAsia="Times New Roman" w:hAnsi="Times New Roman" w:cs="Times New Roman"/>
                <w:iCs/>
                <w:sz w:val="24"/>
                <w:szCs w:val="24"/>
                <w:lang w:eastAsia="lv-LV"/>
              </w:rPr>
              <w:t xml:space="preserve"> </w:t>
            </w:r>
            <w:r w:rsidR="000C7F8B" w:rsidRPr="00F370D3">
              <w:rPr>
                <w:rFonts w:ascii="Times New Roman" w:eastAsia="Times New Roman" w:hAnsi="Times New Roman" w:cs="Times New Roman"/>
                <w:iCs/>
                <w:sz w:val="24"/>
                <w:szCs w:val="24"/>
                <w:lang w:eastAsia="lv-LV"/>
              </w:rPr>
              <w:t xml:space="preserve">kā </w:t>
            </w:r>
            <w:r w:rsidR="00ED2183" w:rsidRPr="00F370D3">
              <w:rPr>
                <w:rFonts w:ascii="Times New Roman" w:eastAsia="Times New Roman" w:hAnsi="Times New Roman" w:cs="Times New Roman"/>
                <w:iCs/>
                <w:sz w:val="24"/>
                <w:szCs w:val="24"/>
                <w:lang w:eastAsia="lv-LV"/>
              </w:rPr>
              <w:t xml:space="preserve">dabas aizsardzības </w:t>
            </w:r>
            <w:r w:rsidR="000C7F8B" w:rsidRPr="00F370D3">
              <w:rPr>
                <w:rFonts w:ascii="Times New Roman" w:eastAsia="Times New Roman" w:hAnsi="Times New Roman" w:cs="Times New Roman"/>
                <w:iCs/>
                <w:sz w:val="24"/>
                <w:szCs w:val="24"/>
                <w:lang w:eastAsia="lv-LV"/>
              </w:rPr>
              <w:t>līgumu būtību</w:t>
            </w:r>
            <w:r w:rsidR="00C54A5F" w:rsidRPr="00F370D3">
              <w:rPr>
                <w:rFonts w:ascii="Times New Roman" w:eastAsia="Times New Roman" w:hAnsi="Times New Roman" w:cs="Times New Roman"/>
                <w:iCs/>
                <w:sz w:val="24"/>
                <w:szCs w:val="24"/>
                <w:lang w:eastAsia="lv-LV"/>
              </w:rPr>
              <w:t>.</w:t>
            </w:r>
            <w:r w:rsidR="00ED2183" w:rsidRPr="00F370D3">
              <w:rPr>
                <w:rFonts w:ascii="Times New Roman" w:eastAsia="Times New Roman" w:hAnsi="Times New Roman" w:cs="Times New Roman"/>
                <w:iCs/>
                <w:sz w:val="24"/>
                <w:szCs w:val="24"/>
                <w:lang w:eastAsia="lv-LV"/>
              </w:rPr>
              <w:t xml:space="preserve"> Līdz ar to, vispārīgi arī ietekmi uz veselību var vērtēt pozitīvi.</w:t>
            </w:r>
          </w:p>
          <w:p w14:paraId="7EDEBBA4" w14:textId="77777777" w:rsidR="00ED2183" w:rsidRPr="00F370D3" w:rsidRDefault="00ED2183" w:rsidP="00ED0FE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 xml:space="preserve">Likumprojekts neparedz atsevišķu regulējumu nevalstiskajām organizācijām. </w:t>
            </w:r>
          </w:p>
          <w:p w14:paraId="41D18793" w14:textId="548DD4FC" w:rsidR="006D09F6" w:rsidRDefault="00D25945" w:rsidP="00ED0FE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 xml:space="preserve">Komersantiem </w:t>
            </w:r>
            <w:r w:rsidR="008B1B0D" w:rsidRPr="00F370D3">
              <w:rPr>
                <w:rFonts w:ascii="Times New Roman" w:eastAsia="Times New Roman" w:hAnsi="Times New Roman" w:cs="Times New Roman"/>
                <w:iCs/>
                <w:sz w:val="24"/>
                <w:szCs w:val="24"/>
                <w:lang w:eastAsia="lv-LV"/>
              </w:rPr>
              <w:t>ietekme paredza</w:t>
            </w:r>
            <w:r w:rsidR="00BA0BCD">
              <w:rPr>
                <w:rFonts w:ascii="Times New Roman" w:eastAsia="Times New Roman" w:hAnsi="Times New Roman" w:cs="Times New Roman"/>
                <w:iCs/>
                <w:sz w:val="24"/>
                <w:szCs w:val="24"/>
                <w:lang w:eastAsia="lv-LV"/>
              </w:rPr>
              <w:t>ma situācijās, kad, saskaņā ar r</w:t>
            </w:r>
            <w:r w:rsidR="008B1B0D" w:rsidRPr="00F370D3">
              <w:rPr>
                <w:rFonts w:ascii="Times New Roman" w:eastAsia="Times New Roman" w:hAnsi="Times New Roman" w:cs="Times New Roman"/>
                <w:iCs/>
                <w:sz w:val="24"/>
                <w:szCs w:val="24"/>
                <w:lang w:eastAsia="lv-LV"/>
              </w:rPr>
              <w:t>egulu, piemērojamas attiecīgās ģenētisko resursu valsts noteiktās</w:t>
            </w:r>
            <w:r w:rsidR="00757447">
              <w:rPr>
                <w:rFonts w:ascii="Times New Roman" w:eastAsia="Times New Roman" w:hAnsi="Times New Roman" w:cs="Times New Roman"/>
                <w:iCs/>
                <w:sz w:val="24"/>
                <w:szCs w:val="24"/>
                <w:lang w:eastAsia="lv-LV"/>
              </w:rPr>
              <w:t xml:space="preserve"> ģenētisko resursu piekļuves</w:t>
            </w:r>
            <w:r w:rsidR="008B1B0D" w:rsidRPr="00F370D3">
              <w:rPr>
                <w:rFonts w:ascii="Times New Roman" w:eastAsia="Times New Roman" w:hAnsi="Times New Roman" w:cs="Times New Roman"/>
                <w:iCs/>
                <w:sz w:val="24"/>
                <w:szCs w:val="24"/>
                <w:lang w:eastAsia="lv-LV"/>
              </w:rPr>
              <w:t xml:space="preserve"> normas</w:t>
            </w:r>
            <w:r w:rsidR="00EE6A20" w:rsidRPr="00F370D3">
              <w:rPr>
                <w:rFonts w:ascii="Times New Roman" w:eastAsia="Times New Roman" w:hAnsi="Times New Roman" w:cs="Times New Roman"/>
                <w:iCs/>
                <w:sz w:val="24"/>
                <w:szCs w:val="24"/>
                <w:lang w:eastAsia="lv-LV"/>
              </w:rPr>
              <w:t xml:space="preserve"> un procedūras</w:t>
            </w:r>
            <w:r w:rsidR="008B1B0D" w:rsidRPr="00F370D3">
              <w:rPr>
                <w:rFonts w:ascii="Times New Roman" w:eastAsia="Times New Roman" w:hAnsi="Times New Roman" w:cs="Times New Roman"/>
                <w:iCs/>
                <w:sz w:val="24"/>
                <w:szCs w:val="24"/>
                <w:lang w:eastAsia="lv-LV"/>
              </w:rPr>
              <w:t>.</w:t>
            </w:r>
            <w:r w:rsidR="00757447">
              <w:rPr>
                <w:rFonts w:ascii="Times New Roman" w:eastAsia="Times New Roman" w:hAnsi="Times New Roman" w:cs="Times New Roman"/>
                <w:iCs/>
                <w:sz w:val="24"/>
                <w:szCs w:val="24"/>
                <w:lang w:eastAsia="lv-LV"/>
              </w:rPr>
              <w:t xml:space="preserve"> Vienlaikus pienācīgas pārbaudes deklarāciju iesniegšana </w:t>
            </w:r>
            <w:r w:rsidR="007661F0">
              <w:rPr>
                <w:rFonts w:ascii="Times New Roman" w:eastAsia="Times New Roman" w:hAnsi="Times New Roman" w:cs="Times New Roman"/>
                <w:iCs/>
                <w:sz w:val="24"/>
                <w:szCs w:val="24"/>
                <w:lang w:eastAsia="lv-LV"/>
              </w:rPr>
              <w:t xml:space="preserve">Latvijas </w:t>
            </w:r>
            <w:r w:rsidR="00757447">
              <w:rPr>
                <w:rFonts w:ascii="Times New Roman" w:eastAsia="Times New Roman" w:hAnsi="Times New Roman" w:cs="Times New Roman"/>
                <w:iCs/>
                <w:sz w:val="24"/>
                <w:szCs w:val="24"/>
                <w:lang w:eastAsia="lv-LV"/>
              </w:rPr>
              <w:t xml:space="preserve">kompetentajai iestādei iespējama vienkārši, izmantojot Eiropas Komisijas elektronisko informācijas sistēmu </w:t>
            </w:r>
            <w:hyperlink r:id="rId14" w:history="1">
              <w:r w:rsidR="00757447" w:rsidRPr="00CA463E">
                <w:rPr>
                  <w:rFonts w:ascii="Times New Roman" w:eastAsia="Times New Roman" w:hAnsi="Times New Roman" w:cs="Times New Roman"/>
                  <w:iCs/>
                  <w:sz w:val="24"/>
                  <w:szCs w:val="24"/>
                  <w:lang w:eastAsia="lv-LV"/>
                </w:rPr>
                <w:t>DECLARE</w:t>
              </w:r>
            </w:hyperlink>
            <w:r w:rsidR="00757447">
              <w:rPr>
                <w:rFonts w:ascii="Times New Roman" w:eastAsia="Times New Roman" w:hAnsi="Times New Roman" w:cs="Times New Roman"/>
                <w:iCs/>
                <w:sz w:val="24"/>
                <w:szCs w:val="24"/>
                <w:lang w:eastAsia="lv-LV"/>
              </w:rPr>
              <w:t>.</w:t>
            </w:r>
          </w:p>
          <w:p w14:paraId="0FC11C3A" w14:textId="77777777" w:rsidR="007F4851" w:rsidRPr="00C8469C" w:rsidRDefault="007F4851" w:rsidP="007F4851">
            <w:pPr>
              <w:shd w:val="clear" w:color="auto" w:fill="FFFFFF"/>
              <w:spacing w:before="240" w:after="120" w:line="240" w:lineRule="auto"/>
              <w:rPr>
                <w:rFonts w:ascii="Times New Roman" w:eastAsia="Times New Roman" w:hAnsi="Times New Roman" w:cs="Times New Roman"/>
                <w:b/>
                <w:bCs/>
                <w:color w:val="000000"/>
                <w:sz w:val="20"/>
                <w:szCs w:val="20"/>
                <w:lang w:eastAsia="lv-LV"/>
              </w:rPr>
            </w:pPr>
            <w:r w:rsidRPr="007F4851">
              <w:rPr>
                <w:rFonts w:ascii="Times New Roman" w:eastAsia="Times New Roman" w:hAnsi="Times New Roman" w:cs="Times New Roman"/>
                <w:b/>
                <w:bCs/>
                <w:color w:val="000000"/>
                <w:sz w:val="20"/>
                <w:szCs w:val="20"/>
                <w:lang w:eastAsia="lv-LV"/>
              </w:rPr>
              <w:t xml:space="preserve">Likumprojekta un </w:t>
            </w:r>
            <w:r w:rsidRPr="00C8469C">
              <w:rPr>
                <w:rFonts w:ascii="Times New Roman" w:eastAsia="Times New Roman" w:hAnsi="Times New Roman" w:cs="Times New Roman"/>
                <w:b/>
                <w:bCs/>
                <w:color w:val="000000"/>
                <w:sz w:val="20"/>
                <w:szCs w:val="20"/>
                <w:lang w:eastAsia="lv-LV"/>
              </w:rPr>
              <w:t>regulas piemērošanas nosacījumu pārskats</w:t>
            </w:r>
          </w:p>
          <w:tbl>
            <w:tblPr>
              <w:tblW w:w="6859" w:type="dxa"/>
              <w:tblCellSpacing w:w="0" w:type="dxa"/>
              <w:tblInd w:w="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231"/>
              <w:gridCol w:w="1358"/>
              <w:gridCol w:w="2133"/>
              <w:gridCol w:w="2133"/>
            </w:tblGrid>
            <w:tr w:rsidR="00B25A63" w:rsidRPr="007F4851" w14:paraId="06127E0B" w14:textId="77777777" w:rsidTr="00B25A63">
              <w:trPr>
                <w:tblCellSpacing w:w="0" w:type="dxa"/>
              </w:trPr>
              <w:tc>
                <w:tcPr>
                  <w:tcW w:w="916" w:type="pct"/>
                  <w:shd w:val="clear" w:color="auto" w:fill="FFFFFF"/>
                  <w:tcMar>
                    <w:left w:w="57" w:type="dxa"/>
                    <w:right w:w="57" w:type="dxa"/>
                  </w:tcMar>
                  <w:hideMark/>
                </w:tcPr>
                <w:p w14:paraId="7E6484A1" w14:textId="77777777" w:rsidR="00B25A63" w:rsidRPr="00C8469C" w:rsidRDefault="00B25A63" w:rsidP="007F4851">
                  <w:pPr>
                    <w:spacing w:after="120" w:line="240" w:lineRule="auto"/>
                    <w:jc w:val="both"/>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 </w:t>
                  </w:r>
                </w:p>
              </w:tc>
              <w:tc>
                <w:tcPr>
                  <w:tcW w:w="1251" w:type="pct"/>
                  <w:shd w:val="clear" w:color="auto" w:fill="FFFFFF"/>
                </w:tcPr>
                <w:p w14:paraId="28D37ECA" w14:textId="77777777" w:rsidR="00B25A63" w:rsidRPr="00C8469C" w:rsidRDefault="00B25A63" w:rsidP="007F4851">
                  <w:pPr>
                    <w:spacing w:after="120" w:line="240" w:lineRule="auto"/>
                    <w:jc w:val="center"/>
                    <w:rPr>
                      <w:rFonts w:ascii="Times New Roman" w:eastAsia="Times New Roman" w:hAnsi="Times New Roman" w:cs="Times New Roman"/>
                      <w:b/>
                      <w:bCs/>
                      <w:color w:val="000000"/>
                      <w:sz w:val="20"/>
                      <w:szCs w:val="20"/>
                      <w:lang w:eastAsia="lv-LV"/>
                    </w:rPr>
                  </w:pPr>
                </w:p>
              </w:tc>
              <w:tc>
                <w:tcPr>
                  <w:tcW w:w="1244" w:type="pct"/>
                  <w:shd w:val="clear" w:color="auto" w:fill="FFFFFF"/>
                  <w:tcMar>
                    <w:left w:w="57" w:type="dxa"/>
                    <w:right w:w="57" w:type="dxa"/>
                  </w:tcMar>
                  <w:hideMark/>
                </w:tcPr>
                <w:p w14:paraId="71411117" w14:textId="2EB675D7" w:rsidR="00B25A63" w:rsidRPr="00C8469C" w:rsidRDefault="00B25A63" w:rsidP="007F4851">
                  <w:pPr>
                    <w:spacing w:after="120" w:line="240" w:lineRule="auto"/>
                    <w:jc w:val="center"/>
                    <w:rPr>
                      <w:rFonts w:ascii="Times New Roman" w:eastAsia="Times New Roman" w:hAnsi="Times New Roman" w:cs="Times New Roman"/>
                      <w:b/>
                      <w:bCs/>
                      <w:color w:val="000000"/>
                      <w:sz w:val="20"/>
                      <w:szCs w:val="20"/>
                      <w:lang w:eastAsia="lv-LV"/>
                    </w:rPr>
                  </w:pPr>
                  <w:r w:rsidRPr="00B25A63">
                    <w:rPr>
                      <w:rFonts w:ascii="Times New Roman" w:eastAsia="Times New Roman" w:hAnsi="Times New Roman" w:cs="Times New Roman"/>
                      <w:b/>
                      <w:bCs/>
                      <w:color w:val="000000"/>
                      <w:sz w:val="20"/>
                      <w:szCs w:val="20"/>
                      <w:u w:val="single"/>
                      <w:lang w:eastAsia="lv-LV"/>
                    </w:rPr>
                    <w:t>Ietilpst</w:t>
                  </w:r>
                  <w:r w:rsidRPr="00C8469C">
                    <w:rPr>
                      <w:rFonts w:ascii="Times New Roman" w:eastAsia="Times New Roman" w:hAnsi="Times New Roman" w:cs="Times New Roman"/>
                      <w:b/>
                      <w:bCs/>
                      <w:color w:val="000000"/>
                      <w:sz w:val="20"/>
                      <w:szCs w:val="20"/>
                      <w:lang w:eastAsia="lv-LV"/>
                    </w:rPr>
                    <w:t xml:space="preserve"> piemērošanas jomā (kumulatīvi nosacījumi)</w:t>
                  </w:r>
                </w:p>
              </w:tc>
              <w:tc>
                <w:tcPr>
                  <w:tcW w:w="1589" w:type="pct"/>
                  <w:shd w:val="clear" w:color="auto" w:fill="FFFFFF"/>
                  <w:tcMar>
                    <w:left w:w="57" w:type="dxa"/>
                    <w:right w:w="57" w:type="dxa"/>
                  </w:tcMar>
                  <w:hideMark/>
                </w:tcPr>
                <w:p w14:paraId="6839A241" w14:textId="77777777" w:rsidR="00B25A63" w:rsidRPr="00C8469C" w:rsidRDefault="00B25A63" w:rsidP="007F4851">
                  <w:pPr>
                    <w:spacing w:after="120" w:line="240" w:lineRule="auto"/>
                    <w:jc w:val="center"/>
                    <w:rPr>
                      <w:rFonts w:ascii="Times New Roman" w:eastAsia="Times New Roman" w:hAnsi="Times New Roman" w:cs="Times New Roman"/>
                      <w:b/>
                      <w:bCs/>
                      <w:color w:val="000000"/>
                      <w:sz w:val="20"/>
                      <w:szCs w:val="20"/>
                      <w:lang w:eastAsia="lv-LV"/>
                    </w:rPr>
                  </w:pPr>
                  <w:r w:rsidRPr="00B25A63">
                    <w:rPr>
                      <w:rFonts w:ascii="Times New Roman" w:eastAsia="Times New Roman" w:hAnsi="Times New Roman" w:cs="Times New Roman"/>
                      <w:b/>
                      <w:bCs/>
                      <w:color w:val="000000"/>
                      <w:sz w:val="20"/>
                      <w:szCs w:val="20"/>
                      <w:u w:val="single"/>
                      <w:lang w:eastAsia="lv-LV"/>
                    </w:rPr>
                    <w:t>Neietilpst</w:t>
                  </w:r>
                  <w:r w:rsidRPr="00C8469C">
                    <w:rPr>
                      <w:rFonts w:ascii="Times New Roman" w:eastAsia="Times New Roman" w:hAnsi="Times New Roman" w:cs="Times New Roman"/>
                      <w:b/>
                      <w:bCs/>
                      <w:color w:val="000000"/>
                      <w:sz w:val="20"/>
                      <w:szCs w:val="20"/>
                      <w:lang w:eastAsia="lv-LV"/>
                    </w:rPr>
                    <w:t xml:space="preserve"> piemērošanas jomā</w:t>
                  </w:r>
                </w:p>
              </w:tc>
            </w:tr>
            <w:tr w:rsidR="00B25A63" w:rsidRPr="00C8469C" w14:paraId="2315F065" w14:textId="77777777" w:rsidTr="00B25A63">
              <w:trPr>
                <w:tblCellSpacing w:w="0" w:type="dxa"/>
              </w:trPr>
              <w:tc>
                <w:tcPr>
                  <w:tcW w:w="916" w:type="pct"/>
                  <w:shd w:val="clear" w:color="auto" w:fill="FFFFFF"/>
                  <w:tcMar>
                    <w:left w:w="57" w:type="dxa"/>
                    <w:right w:w="57" w:type="dxa"/>
                  </w:tcMar>
                  <w:hideMark/>
                </w:tcPr>
                <w:p w14:paraId="0E7A2B17"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Ģeogrāfiskā piemērošanas joma (ģenētisko resursu un ar tiem saistīto tradicionālo zināšanu izcelsme)</w:t>
                  </w:r>
                </w:p>
              </w:tc>
              <w:tc>
                <w:tcPr>
                  <w:tcW w:w="1251" w:type="pct"/>
                  <w:shd w:val="clear" w:color="auto" w:fill="FFFFFF"/>
                </w:tcPr>
                <w:p w14:paraId="1400524C" w14:textId="4974134D"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Piekļuves vieta …</w:t>
                  </w:r>
                </w:p>
              </w:tc>
              <w:tc>
                <w:tcPr>
                  <w:tcW w:w="1244" w:type="pct"/>
                  <w:shd w:val="clear" w:color="auto" w:fill="FFFFFF"/>
                  <w:tcMar>
                    <w:left w:w="57" w:type="dxa"/>
                    <w:right w:w="57" w:type="dxa"/>
                  </w:tcMar>
                  <w:hideMark/>
                </w:tcPr>
                <w:p w14:paraId="7FD3C294" w14:textId="54B3E260"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Ir valsts jurisdikcijā</w:t>
                  </w:r>
                </w:p>
              </w:tc>
              <w:tc>
                <w:tcPr>
                  <w:tcW w:w="1589" w:type="pct"/>
                  <w:shd w:val="clear" w:color="auto" w:fill="FFFFFF"/>
                  <w:tcMar>
                    <w:left w:w="57" w:type="dxa"/>
                    <w:right w:w="57" w:type="dxa"/>
                  </w:tcMar>
                  <w:hideMark/>
                </w:tcPr>
                <w:p w14:paraId="79DCB4ED" w14:textId="06CB499B"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 xml:space="preserve">Nav valsts jurisdikcijā vai ir Antarktikas Līguma </w:t>
                  </w:r>
                  <w:r w:rsidR="003E23D9">
                    <w:rPr>
                      <w:rFonts w:ascii="Times New Roman" w:eastAsia="Times New Roman" w:hAnsi="Times New Roman" w:cs="Times New Roman"/>
                      <w:color w:val="000000"/>
                      <w:sz w:val="20"/>
                      <w:szCs w:val="20"/>
                      <w:lang w:eastAsia="lv-LV"/>
                    </w:rPr>
                    <w:t>S</w:t>
                  </w:r>
                  <w:r w:rsidR="00561FD7">
                    <w:rPr>
                      <w:rFonts w:ascii="Times New Roman" w:eastAsia="Times New Roman" w:hAnsi="Times New Roman" w:cs="Times New Roman"/>
                      <w:color w:val="000000"/>
                      <w:sz w:val="20"/>
                      <w:szCs w:val="20"/>
                      <w:lang w:eastAsia="lv-LV"/>
                    </w:rPr>
                    <w:t>istēmā iekļautā</w:t>
                  </w:r>
                  <w:r w:rsidRPr="00C8469C">
                    <w:rPr>
                      <w:rFonts w:ascii="Times New Roman" w:eastAsia="Times New Roman" w:hAnsi="Times New Roman" w:cs="Times New Roman"/>
                      <w:color w:val="000000"/>
                      <w:sz w:val="20"/>
                      <w:szCs w:val="20"/>
                      <w:lang w:eastAsia="lv-LV"/>
                    </w:rPr>
                    <w:t xml:space="preserve"> teritorija</w:t>
                  </w:r>
                </w:p>
              </w:tc>
            </w:tr>
            <w:tr w:rsidR="00B25A63" w:rsidRPr="00C8469C" w14:paraId="4CF51C9D" w14:textId="77777777" w:rsidTr="00B25A63">
              <w:trPr>
                <w:tblCellSpacing w:w="0" w:type="dxa"/>
              </w:trPr>
              <w:tc>
                <w:tcPr>
                  <w:tcW w:w="916" w:type="pct"/>
                  <w:shd w:val="clear" w:color="auto" w:fill="FFFFFF"/>
                  <w:tcMar>
                    <w:left w:w="57" w:type="dxa"/>
                    <w:right w:w="57" w:type="dxa"/>
                  </w:tcMar>
                  <w:hideMark/>
                </w:tcPr>
                <w:p w14:paraId="1BB415C1" w14:textId="77777777" w:rsidR="00B25A63" w:rsidRPr="00C8469C" w:rsidRDefault="00B25A63" w:rsidP="007F4851">
                  <w:pPr>
                    <w:spacing w:after="120" w:line="240" w:lineRule="auto"/>
                    <w:jc w:val="both"/>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 </w:t>
                  </w:r>
                </w:p>
              </w:tc>
              <w:tc>
                <w:tcPr>
                  <w:tcW w:w="1251" w:type="pct"/>
                  <w:shd w:val="clear" w:color="auto" w:fill="FFFFFF"/>
                </w:tcPr>
                <w:p w14:paraId="256C5603" w14:textId="7B680B61"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Piegādātājvalsts</w:t>
                  </w:r>
                </w:p>
              </w:tc>
              <w:tc>
                <w:tcPr>
                  <w:tcW w:w="1244" w:type="pct"/>
                  <w:shd w:val="clear" w:color="auto" w:fill="FFFFFF"/>
                  <w:tcMar>
                    <w:left w:w="57" w:type="dxa"/>
                    <w:right w:w="57" w:type="dxa"/>
                  </w:tcMar>
                  <w:hideMark/>
                </w:tcPr>
                <w:p w14:paraId="66B35664" w14:textId="6B61E3C8"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Ir Nagojas Protokola puse</w:t>
                  </w:r>
                </w:p>
              </w:tc>
              <w:tc>
                <w:tcPr>
                  <w:tcW w:w="1589" w:type="pct"/>
                  <w:shd w:val="clear" w:color="auto" w:fill="FFFFFF"/>
                  <w:tcMar>
                    <w:left w:w="57" w:type="dxa"/>
                    <w:right w:w="57" w:type="dxa"/>
                  </w:tcMar>
                  <w:hideMark/>
                </w:tcPr>
                <w:p w14:paraId="09062CE6"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Nav Nagojas Protokola puse</w:t>
                  </w:r>
                </w:p>
              </w:tc>
            </w:tr>
            <w:tr w:rsidR="00B25A63" w:rsidRPr="00C8469C" w14:paraId="22DE33AF" w14:textId="77777777" w:rsidTr="00B25A63">
              <w:trPr>
                <w:tblCellSpacing w:w="0" w:type="dxa"/>
              </w:trPr>
              <w:tc>
                <w:tcPr>
                  <w:tcW w:w="916" w:type="pct"/>
                  <w:shd w:val="clear" w:color="auto" w:fill="FFFFFF"/>
                  <w:tcMar>
                    <w:left w:w="57" w:type="dxa"/>
                    <w:right w:w="57" w:type="dxa"/>
                  </w:tcMar>
                  <w:hideMark/>
                </w:tcPr>
                <w:p w14:paraId="7257A18D" w14:textId="77777777" w:rsidR="00B25A63" w:rsidRPr="00C8469C" w:rsidRDefault="00B25A63" w:rsidP="007F4851">
                  <w:pPr>
                    <w:spacing w:after="120" w:line="240" w:lineRule="auto"/>
                    <w:jc w:val="both"/>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 </w:t>
                  </w:r>
                </w:p>
              </w:tc>
              <w:tc>
                <w:tcPr>
                  <w:tcW w:w="1251" w:type="pct"/>
                  <w:shd w:val="clear" w:color="auto" w:fill="FFFFFF"/>
                </w:tcPr>
                <w:p w14:paraId="6AD2D812" w14:textId="38690A70"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Piegādātājvalstij …</w:t>
                  </w:r>
                </w:p>
              </w:tc>
              <w:tc>
                <w:tcPr>
                  <w:tcW w:w="1244" w:type="pct"/>
                  <w:shd w:val="clear" w:color="auto" w:fill="FFFFFF"/>
                  <w:tcMar>
                    <w:left w:w="57" w:type="dxa"/>
                    <w:right w:w="57" w:type="dxa"/>
                  </w:tcMar>
                  <w:hideMark/>
                </w:tcPr>
                <w:p w14:paraId="26DD9B5B" w14:textId="482C695C"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Valstī ir noteikti piekļuves tiesību akti</w:t>
                  </w:r>
                </w:p>
              </w:tc>
              <w:tc>
                <w:tcPr>
                  <w:tcW w:w="1589" w:type="pct"/>
                  <w:shd w:val="clear" w:color="auto" w:fill="FFFFFF"/>
                  <w:tcMar>
                    <w:left w:w="57" w:type="dxa"/>
                    <w:right w:w="57" w:type="dxa"/>
                  </w:tcMar>
                  <w:hideMark/>
                </w:tcPr>
                <w:p w14:paraId="1E9DB2B9"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Nav piemērojamu piekļuves tiesību aktu</w:t>
                  </w:r>
                </w:p>
              </w:tc>
            </w:tr>
            <w:tr w:rsidR="00B25A63" w:rsidRPr="00C8469C" w14:paraId="0D4AD060" w14:textId="77777777" w:rsidTr="00B25A63">
              <w:trPr>
                <w:tblCellSpacing w:w="0" w:type="dxa"/>
              </w:trPr>
              <w:tc>
                <w:tcPr>
                  <w:tcW w:w="916" w:type="pct"/>
                  <w:shd w:val="clear" w:color="auto" w:fill="FFFFFF"/>
                  <w:tcMar>
                    <w:left w:w="57" w:type="dxa"/>
                    <w:right w:w="57" w:type="dxa"/>
                  </w:tcMar>
                  <w:hideMark/>
                </w:tcPr>
                <w:p w14:paraId="41717732"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Piemērošanas laiks</w:t>
                  </w:r>
                </w:p>
              </w:tc>
              <w:tc>
                <w:tcPr>
                  <w:tcW w:w="1251" w:type="pct"/>
                  <w:shd w:val="clear" w:color="auto" w:fill="FFFFFF"/>
                </w:tcPr>
                <w:p w14:paraId="7033877B" w14:textId="0B3DFE05"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Piekļuve …</w:t>
                  </w:r>
                </w:p>
              </w:tc>
              <w:tc>
                <w:tcPr>
                  <w:tcW w:w="1244" w:type="pct"/>
                  <w:shd w:val="clear" w:color="auto" w:fill="FFFFFF"/>
                  <w:tcMar>
                    <w:left w:w="57" w:type="dxa"/>
                    <w:right w:w="57" w:type="dxa"/>
                  </w:tcMar>
                  <w:hideMark/>
                </w:tcPr>
                <w:p w14:paraId="38F6A2F7" w14:textId="35B808BA"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No 2014. gada 12. oktobra</w:t>
                  </w:r>
                </w:p>
              </w:tc>
              <w:tc>
                <w:tcPr>
                  <w:tcW w:w="1589" w:type="pct"/>
                  <w:shd w:val="clear" w:color="auto" w:fill="FFFFFF"/>
                  <w:tcMar>
                    <w:left w:w="57" w:type="dxa"/>
                    <w:right w:w="57" w:type="dxa"/>
                  </w:tcMar>
                  <w:hideMark/>
                </w:tcPr>
                <w:p w14:paraId="68D6A37D"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Pirms 2014. gada 12. oktobra</w:t>
                  </w:r>
                </w:p>
              </w:tc>
            </w:tr>
            <w:tr w:rsidR="00B25A63" w:rsidRPr="00C8469C" w14:paraId="2721143F" w14:textId="77777777" w:rsidTr="00B25A63">
              <w:trPr>
                <w:tblCellSpacing w:w="0" w:type="dxa"/>
              </w:trPr>
              <w:tc>
                <w:tcPr>
                  <w:tcW w:w="916" w:type="pct"/>
                  <w:shd w:val="clear" w:color="auto" w:fill="FFFFFF"/>
                  <w:tcMar>
                    <w:left w:w="57" w:type="dxa"/>
                    <w:right w:w="57" w:type="dxa"/>
                  </w:tcMar>
                  <w:hideMark/>
                </w:tcPr>
                <w:p w14:paraId="0A289DD0"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Materiālā piemērošanas joma</w:t>
                  </w:r>
                </w:p>
              </w:tc>
              <w:tc>
                <w:tcPr>
                  <w:tcW w:w="1251" w:type="pct"/>
                  <w:shd w:val="clear" w:color="auto" w:fill="FFFFFF"/>
                </w:tcPr>
                <w:p w14:paraId="7BB4AF24" w14:textId="052CB8A3"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Ģenētiskie resursi …</w:t>
                  </w:r>
                </w:p>
              </w:tc>
              <w:tc>
                <w:tcPr>
                  <w:tcW w:w="1244" w:type="pct"/>
                  <w:shd w:val="clear" w:color="auto" w:fill="FFFFFF"/>
                  <w:tcMar>
                    <w:left w:w="57" w:type="dxa"/>
                    <w:right w:w="57" w:type="dxa"/>
                  </w:tcMar>
                  <w:hideMark/>
                </w:tcPr>
                <w:p w14:paraId="533AEB1C" w14:textId="03E17791"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 xml:space="preserve">Nav aptverti citā specializētā starptautiskā  instrumentā </w:t>
                  </w:r>
                </w:p>
              </w:tc>
              <w:tc>
                <w:tcPr>
                  <w:tcW w:w="1589" w:type="pct"/>
                  <w:shd w:val="clear" w:color="auto" w:fill="FFFFFF"/>
                  <w:tcMar>
                    <w:left w:w="57" w:type="dxa"/>
                    <w:right w:w="57" w:type="dxa"/>
                  </w:tcMar>
                  <w:hideMark/>
                </w:tcPr>
                <w:p w14:paraId="165A7401"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Ir aptverti specializētā starptautiskā  instrumentā (piemēram</w:t>
                  </w:r>
                  <w:r w:rsidRPr="00C8469C">
                    <w:rPr>
                      <w:rFonts w:ascii="Times New Roman" w:hAnsi="Times New Roman" w:cs="Times New Roman"/>
                      <w:noProof/>
                      <w:sz w:val="20"/>
                      <w:szCs w:val="20"/>
                    </w:rPr>
                    <w:t>, Starptautiskais līgums par augu ģenētiskajiem resursiem pārtikai un lauksaimniecībai)</w:t>
                  </w:r>
                </w:p>
              </w:tc>
            </w:tr>
            <w:tr w:rsidR="00B25A63" w:rsidRPr="00C8469C" w14:paraId="64A0978E" w14:textId="77777777" w:rsidTr="00B25A63">
              <w:trPr>
                <w:tblCellSpacing w:w="0" w:type="dxa"/>
              </w:trPr>
              <w:tc>
                <w:tcPr>
                  <w:tcW w:w="916" w:type="pct"/>
                  <w:shd w:val="clear" w:color="auto" w:fill="FFFFFF"/>
                  <w:tcMar>
                    <w:left w:w="57" w:type="dxa"/>
                    <w:right w:w="57" w:type="dxa"/>
                  </w:tcMar>
                  <w:hideMark/>
                </w:tcPr>
                <w:p w14:paraId="3B126C1C" w14:textId="77777777" w:rsidR="00B25A63" w:rsidRPr="00C8469C" w:rsidRDefault="00B25A63" w:rsidP="007F4851">
                  <w:pPr>
                    <w:spacing w:after="120" w:line="240" w:lineRule="auto"/>
                    <w:jc w:val="both"/>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 </w:t>
                  </w:r>
                </w:p>
              </w:tc>
              <w:tc>
                <w:tcPr>
                  <w:tcW w:w="1251" w:type="pct"/>
                  <w:shd w:val="clear" w:color="auto" w:fill="FFFFFF"/>
                </w:tcPr>
                <w:p w14:paraId="44A93EE6"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p>
              </w:tc>
              <w:tc>
                <w:tcPr>
                  <w:tcW w:w="1244" w:type="pct"/>
                  <w:shd w:val="clear" w:color="auto" w:fill="FFFFFF"/>
                  <w:tcMar>
                    <w:left w:w="57" w:type="dxa"/>
                    <w:right w:w="57" w:type="dxa"/>
                  </w:tcMar>
                  <w:hideMark/>
                </w:tcPr>
                <w:p w14:paraId="4CCA42FE" w14:textId="5DB0047E"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Nav cilvēka izcelsmes</w:t>
                  </w:r>
                </w:p>
              </w:tc>
              <w:tc>
                <w:tcPr>
                  <w:tcW w:w="1589" w:type="pct"/>
                  <w:shd w:val="clear" w:color="auto" w:fill="FFFFFF"/>
                  <w:tcMar>
                    <w:left w:w="57" w:type="dxa"/>
                    <w:right w:w="57" w:type="dxa"/>
                  </w:tcMar>
                  <w:hideMark/>
                </w:tcPr>
                <w:p w14:paraId="0678D56E"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Ir cilvēka izcelsmes</w:t>
                  </w:r>
                </w:p>
              </w:tc>
            </w:tr>
            <w:tr w:rsidR="00B25A63" w:rsidRPr="00C8469C" w14:paraId="1D373631" w14:textId="77777777" w:rsidTr="00B25A63">
              <w:trPr>
                <w:tblCellSpacing w:w="0" w:type="dxa"/>
              </w:trPr>
              <w:tc>
                <w:tcPr>
                  <w:tcW w:w="916" w:type="pct"/>
                  <w:shd w:val="clear" w:color="auto" w:fill="FFFFFF"/>
                  <w:tcMar>
                    <w:left w:w="57" w:type="dxa"/>
                    <w:right w:w="57" w:type="dxa"/>
                  </w:tcMar>
                  <w:hideMark/>
                </w:tcPr>
                <w:p w14:paraId="7FE2FE12" w14:textId="77777777" w:rsidR="00B25A63" w:rsidRPr="00C8469C" w:rsidRDefault="00B25A63" w:rsidP="007F4851">
                  <w:pPr>
                    <w:spacing w:after="120" w:line="240" w:lineRule="auto"/>
                    <w:jc w:val="both"/>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 </w:t>
                  </w:r>
                </w:p>
              </w:tc>
              <w:tc>
                <w:tcPr>
                  <w:tcW w:w="1251" w:type="pct"/>
                  <w:shd w:val="clear" w:color="auto" w:fill="FFFFFF"/>
                </w:tcPr>
                <w:p w14:paraId="1E1139D7"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p>
              </w:tc>
              <w:tc>
                <w:tcPr>
                  <w:tcW w:w="1244" w:type="pct"/>
                  <w:shd w:val="clear" w:color="auto" w:fill="FFFFFF"/>
                  <w:tcMar>
                    <w:left w:w="57" w:type="dxa"/>
                    <w:right w:w="57" w:type="dxa"/>
                  </w:tcMar>
                  <w:hideMark/>
                </w:tcPr>
                <w:p w14:paraId="4239F06D" w14:textId="2BDED153"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Iegūti kā preces, bet vēlāk veikta izpēte un izstrāde</w:t>
                  </w:r>
                </w:p>
              </w:tc>
              <w:tc>
                <w:tcPr>
                  <w:tcW w:w="1589" w:type="pct"/>
                  <w:shd w:val="clear" w:color="auto" w:fill="FFFFFF"/>
                  <w:tcMar>
                    <w:left w:w="57" w:type="dxa"/>
                    <w:right w:w="57" w:type="dxa"/>
                  </w:tcMar>
                  <w:hideMark/>
                </w:tcPr>
                <w:p w14:paraId="43C9510D"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Izmantoti kā preces</w:t>
                  </w:r>
                </w:p>
              </w:tc>
            </w:tr>
            <w:tr w:rsidR="00B25A63" w:rsidRPr="00C8469C" w14:paraId="024D61BC" w14:textId="77777777" w:rsidTr="00B25A63">
              <w:trPr>
                <w:tblCellSpacing w:w="0" w:type="dxa"/>
              </w:trPr>
              <w:tc>
                <w:tcPr>
                  <w:tcW w:w="916" w:type="pct"/>
                  <w:shd w:val="clear" w:color="auto" w:fill="FFFFFF"/>
                  <w:tcMar>
                    <w:left w:w="57" w:type="dxa"/>
                    <w:right w:w="57" w:type="dxa"/>
                  </w:tcMar>
                  <w:hideMark/>
                </w:tcPr>
                <w:p w14:paraId="6A26C0CD" w14:textId="77777777" w:rsidR="00B25A63" w:rsidRPr="00C8469C" w:rsidRDefault="00B25A63" w:rsidP="007F4851">
                  <w:pPr>
                    <w:spacing w:after="120" w:line="240" w:lineRule="auto"/>
                    <w:jc w:val="both"/>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 </w:t>
                  </w:r>
                </w:p>
              </w:tc>
              <w:tc>
                <w:tcPr>
                  <w:tcW w:w="1251" w:type="pct"/>
                  <w:shd w:val="clear" w:color="auto" w:fill="FFFFFF"/>
                </w:tcPr>
                <w:p w14:paraId="02E7F827" w14:textId="57A5E0F8"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Izmantošana</w:t>
                  </w:r>
                </w:p>
              </w:tc>
              <w:tc>
                <w:tcPr>
                  <w:tcW w:w="1244" w:type="pct"/>
                  <w:shd w:val="clear" w:color="auto" w:fill="FFFFFF"/>
                  <w:tcMar>
                    <w:left w:w="57" w:type="dxa"/>
                    <w:right w:w="57" w:type="dxa"/>
                  </w:tcMar>
                  <w:hideMark/>
                </w:tcPr>
                <w:p w14:paraId="6BBF71DB" w14:textId="15E4BB09"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Izpēte un izstrāde saistībā ar ģenētisko un/vai bioķīmisko sastāvu</w:t>
                  </w:r>
                </w:p>
              </w:tc>
              <w:tc>
                <w:tcPr>
                  <w:tcW w:w="1589" w:type="pct"/>
                  <w:shd w:val="clear" w:color="auto" w:fill="FFFFFF"/>
                  <w:tcMar>
                    <w:left w:w="57" w:type="dxa"/>
                    <w:right w:w="57" w:type="dxa"/>
                  </w:tcMar>
                  <w:hideMark/>
                </w:tcPr>
                <w:p w14:paraId="2A7FC24A"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Netiek veikta šāda izpēte un izstrāde</w:t>
                  </w:r>
                </w:p>
              </w:tc>
            </w:tr>
            <w:tr w:rsidR="00B25A63" w:rsidRPr="00C8469C" w14:paraId="1B2662C1" w14:textId="77777777" w:rsidTr="00B25A63">
              <w:trPr>
                <w:tblCellSpacing w:w="0" w:type="dxa"/>
              </w:trPr>
              <w:tc>
                <w:tcPr>
                  <w:tcW w:w="916" w:type="pct"/>
                  <w:shd w:val="clear" w:color="auto" w:fill="FFFFFF"/>
                  <w:tcMar>
                    <w:left w:w="57" w:type="dxa"/>
                    <w:right w:w="57" w:type="dxa"/>
                  </w:tcMar>
                  <w:hideMark/>
                </w:tcPr>
                <w:p w14:paraId="6DAB1C65"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Piemērošanas joma attiecībā uz personām</w:t>
                  </w:r>
                </w:p>
              </w:tc>
              <w:tc>
                <w:tcPr>
                  <w:tcW w:w="1251" w:type="pct"/>
                  <w:shd w:val="clear" w:color="auto" w:fill="FFFFFF"/>
                </w:tcPr>
                <w:p w14:paraId="44225E17"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p>
              </w:tc>
              <w:tc>
                <w:tcPr>
                  <w:tcW w:w="1244" w:type="pct"/>
                  <w:shd w:val="clear" w:color="auto" w:fill="FFFFFF"/>
                  <w:tcMar>
                    <w:left w:w="57" w:type="dxa"/>
                    <w:right w:w="57" w:type="dxa"/>
                  </w:tcMar>
                  <w:hideMark/>
                </w:tcPr>
                <w:p w14:paraId="586D4A40" w14:textId="1827A645"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Fiziskas un juridiskas personas, kas lieto ģenētiskos resursus un ar tiem saistītas tradicionālās zināšanas</w:t>
                  </w:r>
                </w:p>
              </w:tc>
              <w:tc>
                <w:tcPr>
                  <w:tcW w:w="1589" w:type="pct"/>
                  <w:shd w:val="clear" w:color="auto" w:fill="FFFFFF"/>
                  <w:tcMar>
                    <w:left w:w="57" w:type="dxa"/>
                    <w:right w:w="57" w:type="dxa"/>
                  </w:tcMar>
                  <w:hideMark/>
                </w:tcPr>
                <w:p w14:paraId="73C657E2"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Personas, kas </w:t>
                  </w:r>
                  <w:r w:rsidRPr="00C8469C">
                    <w:rPr>
                      <w:rFonts w:ascii="Times New Roman" w:eastAsia="Times New Roman" w:hAnsi="Times New Roman" w:cs="Times New Roman"/>
                      <w:i/>
                      <w:iCs/>
                      <w:color w:val="000000"/>
                      <w:sz w:val="20"/>
                      <w:szCs w:val="20"/>
                      <w:lang w:eastAsia="lv-LV"/>
                    </w:rPr>
                    <w:t>tikai</w:t>
                  </w:r>
                  <w:r w:rsidRPr="00C8469C">
                    <w:rPr>
                      <w:rFonts w:ascii="Times New Roman" w:eastAsia="Times New Roman" w:hAnsi="Times New Roman" w:cs="Times New Roman"/>
                      <w:color w:val="000000"/>
                      <w:sz w:val="20"/>
                      <w:szCs w:val="20"/>
                      <w:lang w:eastAsia="lv-LV"/>
                    </w:rPr>
                    <w:t xml:space="preserve"> nodod vai laiž tirgū produktus, kuru pamatā ir </w:t>
                  </w:r>
                  <w:r>
                    <w:rPr>
                      <w:rFonts w:ascii="Times New Roman" w:eastAsia="Times New Roman" w:hAnsi="Times New Roman" w:cs="Times New Roman"/>
                      <w:color w:val="000000"/>
                      <w:sz w:val="20"/>
                      <w:szCs w:val="20"/>
                      <w:lang w:eastAsia="lv-LV"/>
                    </w:rPr>
                    <w:t>ģenētiskie resursi</w:t>
                  </w:r>
                  <w:r w:rsidRPr="00C8469C">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un ar tiem saistītas tradicionālās zināšanas</w:t>
                  </w:r>
                </w:p>
              </w:tc>
            </w:tr>
            <w:tr w:rsidR="00B25A63" w:rsidRPr="00C8469C" w14:paraId="21C71FCB" w14:textId="77777777" w:rsidTr="00B25A63">
              <w:trPr>
                <w:tblCellSpacing w:w="0" w:type="dxa"/>
              </w:trPr>
              <w:tc>
                <w:tcPr>
                  <w:tcW w:w="916" w:type="pct"/>
                  <w:shd w:val="clear" w:color="auto" w:fill="FFFFFF"/>
                  <w:tcMar>
                    <w:left w:w="57" w:type="dxa"/>
                    <w:right w:w="57" w:type="dxa"/>
                  </w:tcMar>
                  <w:hideMark/>
                </w:tcPr>
                <w:p w14:paraId="2AA73E16"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color w:val="000000"/>
                      <w:sz w:val="20"/>
                      <w:szCs w:val="20"/>
                      <w:lang w:eastAsia="lv-LV"/>
                    </w:rPr>
                    <w:t>Ģeogrāfiskā piemērošanas joma (izmantošana)</w:t>
                  </w:r>
                </w:p>
              </w:tc>
              <w:tc>
                <w:tcPr>
                  <w:tcW w:w="1251" w:type="pct"/>
                  <w:shd w:val="clear" w:color="auto" w:fill="FFFFFF"/>
                </w:tcPr>
                <w:p w14:paraId="5AACC537" w14:textId="43CD275E" w:rsidR="00B25A63" w:rsidRDefault="00B25A63" w:rsidP="007F4851">
                  <w:pPr>
                    <w:spacing w:after="12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Izpēte un izstrāde</w:t>
                  </w:r>
                </w:p>
              </w:tc>
              <w:tc>
                <w:tcPr>
                  <w:tcW w:w="1244" w:type="pct"/>
                  <w:shd w:val="clear" w:color="auto" w:fill="FFFFFF"/>
                  <w:tcMar>
                    <w:left w:w="57" w:type="dxa"/>
                    <w:right w:w="57" w:type="dxa"/>
                  </w:tcMar>
                  <w:hideMark/>
                </w:tcPr>
                <w:p w14:paraId="6D059FC4" w14:textId="75806B99"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Eiropas Savienības</w:t>
                  </w:r>
                  <w:r w:rsidRPr="00C8469C">
                    <w:rPr>
                      <w:rFonts w:ascii="Times New Roman" w:eastAsia="Times New Roman" w:hAnsi="Times New Roman" w:cs="Times New Roman"/>
                      <w:color w:val="000000"/>
                      <w:sz w:val="20"/>
                      <w:szCs w:val="20"/>
                      <w:lang w:eastAsia="lv-LV"/>
                    </w:rPr>
                    <w:t xml:space="preserve"> teritorijā</w:t>
                  </w:r>
                </w:p>
              </w:tc>
              <w:tc>
                <w:tcPr>
                  <w:tcW w:w="1589" w:type="pct"/>
                  <w:shd w:val="clear" w:color="auto" w:fill="FFFFFF"/>
                  <w:tcMar>
                    <w:left w:w="57" w:type="dxa"/>
                    <w:right w:w="57" w:type="dxa"/>
                  </w:tcMar>
                  <w:hideMark/>
                </w:tcPr>
                <w:p w14:paraId="0BCF10E0" w14:textId="77777777" w:rsidR="00B25A63" w:rsidRPr="00C8469C" w:rsidRDefault="00B25A63" w:rsidP="007F4851">
                  <w:pPr>
                    <w:spacing w:after="120" w:line="240" w:lineRule="auto"/>
                    <w:rPr>
                      <w:rFonts w:ascii="Times New Roman" w:eastAsia="Times New Roman" w:hAnsi="Times New Roman" w:cs="Times New Roman"/>
                      <w:color w:val="000000"/>
                      <w:sz w:val="20"/>
                      <w:szCs w:val="20"/>
                      <w:lang w:eastAsia="lv-LV"/>
                    </w:rPr>
                  </w:pPr>
                  <w:r w:rsidRPr="00C8469C">
                    <w:rPr>
                      <w:rFonts w:ascii="Times New Roman" w:eastAsia="Times New Roman" w:hAnsi="Times New Roman" w:cs="Times New Roman"/>
                      <w:i/>
                      <w:iCs/>
                      <w:color w:val="000000"/>
                      <w:sz w:val="20"/>
                      <w:szCs w:val="20"/>
                      <w:lang w:eastAsia="lv-LV"/>
                    </w:rPr>
                    <w:t>Tikai</w:t>
                  </w:r>
                  <w:r>
                    <w:rPr>
                      <w:rFonts w:ascii="Times New Roman" w:eastAsia="Times New Roman" w:hAnsi="Times New Roman" w:cs="Times New Roman"/>
                      <w:color w:val="000000"/>
                      <w:sz w:val="20"/>
                      <w:szCs w:val="20"/>
                      <w:lang w:eastAsia="lv-LV"/>
                    </w:rPr>
                    <w:t> ārpus Eiropas Savienības</w:t>
                  </w:r>
                  <w:r w:rsidRPr="00C8469C">
                    <w:rPr>
                      <w:rFonts w:ascii="Times New Roman" w:eastAsia="Times New Roman" w:hAnsi="Times New Roman" w:cs="Times New Roman"/>
                      <w:color w:val="000000"/>
                      <w:sz w:val="20"/>
                      <w:szCs w:val="20"/>
                      <w:lang w:eastAsia="lv-LV"/>
                    </w:rPr>
                    <w:t xml:space="preserve"> teritorijas</w:t>
                  </w:r>
                </w:p>
              </w:tc>
            </w:tr>
          </w:tbl>
          <w:p w14:paraId="274F06EA" w14:textId="77777777" w:rsidR="0076692D" w:rsidRPr="00F370D3" w:rsidRDefault="0076692D" w:rsidP="00ED0FED">
            <w:pPr>
              <w:spacing w:after="120" w:line="240" w:lineRule="auto"/>
              <w:jc w:val="both"/>
              <w:rPr>
                <w:rFonts w:ascii="Times New Roman" w:eastAsia="Times New Roman" w:hAnsi="Times New Roman" w:cs="Times New Roman"/>
                <w:iCs/>
                <w:sz w:val="24"/>
                <w:szCs w:val="24"/>
                <w:lang w:eastAsia="lv-LV"/>
              </w:rPr>
            </w:pPr>
          </w:p>
          <w:p w14:paraId="1E4AFC21" w14:textId="655D23D9" w:rsidR="00E5323B" w:rsidRPr="00F370D3" w:rsidRDefault="005C592F" w:rsidP="00BA0BC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 xml:space="preserve">Regulas </w:t>
            </w:r>
            <w:r w:rsidR="00F370D3" w:rsidRPr="00F370D3">
              <w:rPr>
                <w:rFonts w:ascii="Times New Roman" w:eastAsia="Times New Roman" w:hAnsi="Times New Roman" w:cs="Times New Roman"/>
                <w:iCs/>
                <w:sz w:val="24"/>
                <w:szCs w:val="24"/>
                <w:lang w:eastAsia="lv-LV"/>
              </w:rPr>
              <w:t>kompetentās iestādes</w:t>
            </w:r>
            <w:r w:rsidR="00BA0BCD">
              <w:rPr>
                <w:rFonts w:ascii="Times New Roman" w:eastAsia="Times New Roman" w:hAnsi="Times New Roman" w:cs="Times New Roman"/>
                <w:iCs/>
                <w:sz w:val="24"/>
                <w:szCs w:val="24"/>
                <w:lang w:eastAsia="lv-LV"/>
              </w:rPr>
              <w:t xml:space="preserve"> (Dabas aizsardzības pārvaldes</w:t>
            </w:r>
            <w:r w:rsidRPr="00F370D3">
              <w:rPr>
                <w:rFonts w:ascii="Times New Roman" w:eastAsia="Times New Roman" w:hAnsi="Times New Roman" w:cs="Times New Roman"/>
                <w:iCs/>
                <w:sz w:val="24"/>
                <w:szCs w:val="24"/>
                <w:lang w:eastAsia="lv-LV"/>
              </w:rPr>
              <w:t xml:space="preserve">) </w:t>
            </w:r>
            <w:r w:rsidR="00F370D3" w:rsidRPr="00F370D3">
              <w:rPr>
                <w:rFonts w:ascii="Times New Roman" w:eastAsia="Times New Roman" w:hAnsi="Times New Roman" w:cs="Times New Roman"/>
                <w:iCs/>
                <w:sz w:val="24"/>
                <w:szCs w:val="24"/>
                <w:lang w:eastAsia="lv-LV"/>
              </w:rPr>
              <w:t xml:space="preserve">administratīvais slogs jeb pienākumi kopumā aprakstāmi kā komunikācija ar esošajiem un potenciālajiem ģenētisko resursu lietotājiem, lietotāju deklarāciju </w:t>
            </w:r>
            <w:r w:rsidR="00F370D3">
              <w:rPr>
                <w:rFonts w:ascii="Times New Roman" w:eastAsia="Times New Roman" w:hAnsi="Times New Roman" w:cs="Times New Roman"/>
                <w:iCs/>
                <w:sz w:val="24"/>
                <w:szCs w:val="24"/>
                <w:lang w:eastAsia="lv-LV"/>
              </w:rPr>
              <w:t xml:space="preserve">un citas iesniegtās dokumentācijas </w:t>
            </w:r>
            <w:r w:rsidR="00F370D3" w:rsidRPr="00F370D3">
              <w:rPr>
                <w:rFonts w:ascii="Times New Roman" w:eastAsia="Times New Roman" w:hAnsi="Times New Roman" w:cs="Times New Roman"/>
                <w:iCs/>
                <w:sz w:val="24"/>
                <w:szCs w:val="24"/>
                <w:lang w:eastAsia="lv-LV"/>
              </w:rPr>
              <w:t xml:space="preserve">izskatīšana (Eiropas Komisijas informācijas sistēmā DECLARE), sadarbība ar Nagojas Protokola </w:t>
            </w:r>
            <w:r w:rsidR="00F370D3" w:rsidRPr="00F370D3">
              <w:rPr>
                <w:rFonts w:ascii="Times New Roman" w:hAnsi="Times New Roman" w:cs="Times New Roman"/>
                <w:sz w:val="24"/>
                <w:szCs w:val="24"/>
              </w:rPr>
              <w:t>Piekļuves un ieguvumu sadales centru, Nagojas Protokola dalībvalstīm, Eiropas Komisiju un citām ES kompetentajām iestādēm</w:t>
            </w:r>
            <w:r w:rsidR="00F370D3" w:rsidRPr="00F370D3">
              <w:rPr>
                <w:rFonts w:ascii="Times New Roman" w:eastAsia="Times New Roman" w:hAnsi="Times New Roman" w:cs="Times New Roman"/>
                <w:iCs/>
                <w:sz w:val="24"/>
                <w:szCs w:val="24"/>
                <w:lang w:eastAsia="lv-LV"/>
              </w:rPr>
              <w:t>, lietotāju kontroles plāna izveide, lietotāju p</w:t>
            </w:r>
            <w:r w:rsidR="00352795">
              <w:rPr>
                <w:rFonts w:ascii="Times New Roman" w:eastAsia="Times New Roman" w:hAnsi="Times New Roman" w:cs="Times New Roman"/>
                <w:iCs/>
                <w:sz w:val="24"/>
                <w:szCs w:val="24"/>
                <w:lang w:eastAsia="lv-LV"/>
              </w:rPr>
              <w:t>ārbaudes un</w:t>
            </w:r>
            <w:r w:rsidR="00F370D3" w:rsidRPr="00F370D3">
              <w:rPr>
                <w:rFonts w:ascii="Times New Roman" w:eastAsia="Times New Roman" w:hAnsi="Times New Roman" w:cs="Times New Roman"/>
                <w:iCs/>
                <w:sz w:val="24"/>
                <w:szCs w:val="24"/>
                <w:lang w:eastAsia="lv-LV"/>
              </w:rPr>
              <w:t xml:space="preserve"> sodu piemērošana (nepieciešamības gadījumā)</w:t>
            </w:r>
            <w:r w:rsidR="008050D6" w:rsidRPr="00F370D3">
              <w:rPr>
                <w:rFonts w:ascii="Times New Roman" w:eastAsia="Times New Roman" w:hAnsi="Times New Roman" w:cs="Times New Roman"/>
                <w:iCs/>
                <w:sz w:val="24"/>
                <w:szCs w:val="24"/>
                <w:lang w:eastAsia="lv-LV"/>
              </w:rPr>
              <w:t>.</w:t>
            </w:r>
          </w:p>
        </w:tc>
      </w:tr>
      <w:tr w:rsidR="00A549D2" w:rsidRPr="002D55CC" w14:paraId="127B9B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A3806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80B3CC"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099A92" w14:textId="5A9C439E" w:rsidR="00E5323B" w:rsidRPr="004B008C" w:rsidRDefault="00A439BC" w:rsidP="005670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Iespējamās informācijas sniegšanas, pieņemšanas, apstrādes vai uzglabāšanas izmaksas ir </w:t>
            </w:r>
            <w:r w:rsidRPr="00177E20">
              <w:rPr>
                <w:rFonts w:ascii="Times New Roman" w:eastAsia="Times New Roman" w:hAnsi="Times New Roman" w:cs="Times New Roman"/>
                <w:iCs/>
                <w:sz w:val="24"/>
                <w:szCs w:val="24"/>
                <w:lang w:eastAsia="lv-LV"/>
              </w:rPr>
              <w:t xml:space="preserve">nepietiekami konkrēti </w:t>
            </w:r>
            <w:r w:rsidR="0056706E">
              <w:rPr>
                <w:rFonts w:ascii="Times New Roman" w:eastAsia="Times New Roman" w:hAnsi="Times New Roman" w:cs="Times New Roman"/>
                <w:iCs/>
                <w:sz w:val="24"/>
                <w:szCs w:val="24"/>
                <w:lang w:eastAsia="lv-LV"/>
              </w:rPr>
              <w:t>novērtējamas</w:t>
            </w:r>
            <w:r>
              <w:rPr>
                <w:rFonts w:ascii="Times New Roman" w:eastAsia="Times New Roman" w:hAnsi="Times New Roman" w:cs="Times New Roman"/>
                <w:iCs/>
                <w:sz w:val="24"/>
                <w:szCs w:val="24"/>
                <w:lang w:eastAsia="lv-LV"/>
              </w:rPr>
              <w:t xml:space="preserve"> gan iespējamiem ģenētisko resursu lietotājiem, gan kompetentajai iestādei (Dabas aizsardzības pārvaldei).</w:t>
            </w:r>
            <w:r w:rsidRPr="005911D9">
              <w:rPr>
                <w:rFonts w:ascii="Times New Roman" w:eastAsia="Times New Roman" w:hAnsi="Times New Roman" w:cs="Times New Roman"/>
                <w:iCs/>
                <w:sz w:val="24"/>
                <w:szCs w:val="24"/>
                <w:lang w:eastAsia="lv-LV"/>
              </w:rPr>
              <w:t xml:space="preserve"> </w:t>
            </w:r>
          </w:p>
        </w:tc>
      </w:tr>
      <w:tr w:rsidR="00A549D2" w:rsidRPr="002D55CC" w14:paraId="02346E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FDA3EF"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86C856"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0C07424" w14:textId="09B13E21" w:rsidR="00E5323B" w:rsidRPr="005911D9" w:rsidRDefault="00731063" w:rsidP="007F7FB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Iespējamās</w:t>
            </w:r>
            <w:r w:rsidR="004E64C3" w:rsidRPr="005911D9">
              <w:rPr>
                <w:rFonts w:ascii="Times New Roman" w:eastAsia="Times New Roman" w:hAnsi="Times New Roman" w:cs="Times New Roman"/>
                <w:iCs/>
                <w:sz w:val="24"/>
                <w:szCs w:val="24"/>
                <w:lang w:eastAsia="lv-LV"/>
              </w:rPr>
              <w:t xml:space="preserve"> atbilstības izmaksas </w:t>
            </w:r>
            <w:r>
              <w:rPr>
                <w:rFonts w:ascii="Times New Roman" w:eastAsia="Times New Roman" w:hAnsi="Times New Roman" w:cs="Times New Roman"/>
                <w:iCs/>
                <w:sz w:val="24"/>
                <w:szCs w:val="24"/>
                <w:lang w:eastAsia="lv-LV"/>
              </w:rPr>
              <w:t xml:space="preserve">fiziskām vai juridiskām personām </w:t>
            </w:r>
            <w:r w:rsidR="007F7FBA">
              <w:rPr>
                <w:rFonts w:ascii="Times New Roman" w:eastAsia="Times New Roman" w:hAnsi="Times New Roman" w:cs="Times New Roman"/>
                <w:iCs/>
                <w:sz w:val="24"/>
                <w:szCs w:val="24"/>
                <w:lang w:eastAsia="lv-LV"/>
              </w:rPr>
              <w:t>vērtējamas kā samērīgas. To monetārs novērtējums ir problemātisks, apzinoties iespējamās atšķirīgās prasības ģenētisko resursu pieejai</w:t>
            </w:r>
            <w:r w:rsidR="00E305EA">
              <w:rPr>
                <w:rFonts w:ascii="Times New Roman" w:eastAsia="Times New Roman" w:hAnsi="Times New Roman" w:cs="Times New Roman"/>
                <w:iCs/>
                <w:sz w:val="24"/>
                <w:szCs w:val="24"/>
                <w:lang w:eastAsia="lv-LV"/>
              </w:rPr>
              <w:t xml:space="preserve"> dažādās valstīs</w:t>
            </w:r>
            <w:r w:rsidR="004E64C3" w:rsidRPr="005911D9">
              <w:rPr>
                <w:rFonts w:ascii="Times New Roman" w:eastAsia="Times New Roman" w:hAnsi="Times New Roman" w:cs="Times New Roman"/>
                <w:iCs/>
                <w:sz w:val="24"/>
                <w:szCs w:val="24"/>
                <w:lang w:eastAsia="lv-LV"/>
              </w:rPr>
              <w:t>.</w:t>
            </w:r>
          </w:p>
        </w:tc>
      </w:tr>
      <w:tr w:rsidR="00A549D2" w:rsidRPr="002D55CC" w14:paraId="243CE6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88F63"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C2195C5"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62D2C8" w14:textId="2C095898" w:rsidR="00574290" w:rsidRPr="002A1419" w:rsidRDefault="00574290" w:rsidP="002A1419">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sidRPr="004B008C">
              <w:rPr>
                <w:rFonts w:ascii="Times New Roman" w:eastAsia="Times New Roman" w:hAnsi="Times New Roman" w:cs="Times New Roman"/>
                <w:iCs/>
                <w:sz w:val="24"/>
                <w:szCs w:val="24"/>
                <w:lang w:eastAsia="lv-LV"/>
              </w:rPr>
              <w:t>Nagojas Protokola, ģenētisko resursu pieejas noteikumu un citu starptautisku ģenētisko resursu līgumu statuss valstīs pieejams Bioloģiskās daudzveidības konvencijas Nagojas Protok</w:t>
            </w:r>
            <w:r w:rsidR="00D30EE6">
              <w:rPr>
                <w:rFonts w:ascii="Times New Roman" w:eastAsia="Times New Roman" w:hAnsi="Times New Roman" w:cs="Times New Roman"/>
                <w:iCs/>
                <w:sz w:val="24"/>
                <w:szCs w:val="24"/>
                <w:lang w:eastAsia="lv-LV"/>
              </w:rPr>
              <w:t>o</w:t>
            </w:r>
            <w:r w:rsidRPr="004B008C">
              <w:rPr>
                <w:rFonts w:ascii="Times New Roman" w:eastAsia="Times New Roman" w:hAnsi="Times New Roman" w:cs="Times New Roman"/>
                <w:iCs/>
                <w:sz w:val="24"/>
                <w:szCs w:val="24"/>
                <w:lang w:eastAsia="lv-LV"/>
              </w:rPr>
              <w:t xml:space="preserve">la Informācijas portālā: </w:t>
            </w:r>
            <w:hyperlink r:id="rId15" w:history="1">
              <w:r w:rsidR="004B008C" w:rsidRPr="004B008C">
                <w:rPr>
                  <w:rStyle w:val="Hyperlink"/>
                  <w:rFonts w:ascii="Times New Roman" w:eastAsia="Times New Roman" w:hAnsi="Times New Roman" w:cs="Times New Roman"/>
                  <w:iCs/>
                  <w:sz w:val="24"/>
                  <w:szCs w:val="24"/>
                  <w:lang w:eastAsia="lv-LV"/>
                </w:rPr>
                <w:t>https://absch.cbd.int/</w:t>
              </w:r>
            </w:hyperlink>
            <w:r w:rsidR="004B008C" w:rsidRPr="004B008C">
              <w:rPr>
                <w:rStyle w:val="Hyperlink"/>
                <w:rFonts w:ascii="Times New Roman" w:eastAsia="Times New Roman" w:hAnsi="Times New Roman" w:cs="Times New Roman"/>
                <w:iCs/>
                <w:sz w:val="24"/>
                <w:szCs w:val="24"/>
                <w:lang w:eastAsia="lv-LV"/>
              </w:rPr>
              <w:t xml:space="preserve"> </w:t>
            </w:r>
          </w:p>
        </w:tc>
      </w:tr>
    </w:tbl>
    <w:p w14:paraId="4F73C247"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082"/>
        <w:gridCol w:w="1054"/>
        <w:gridCol w:w="867"/>
        <w:gridCol w:w="1054"/>
        <w:gridCol w:w="867"/>
        <w:gridCol w:w="1360"/>
        <w:gridCol w:w="1143"/>
      </w:tblGrid>
      <w:tr w:rsidR="00E5323B" w:rsidRPr="002D55CC" w14:paraId="079D7967"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6F106C5" w14:textId="4881E24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III.</w:t>
            </w:r>
            <w:r w:rsidR="00EC0D4B">
              <w:rPr>
                <w:rFonts w:ascii="Times New Roman" w:eastAsia="Times New Roman" w:hAnsi="Times New Roman" w:cs="Times New Roman"/>
                <w:b/>
                <w:bCs/>
                <w:iCs/>
                <w:color w:val="414142"/>
                <w:sz w:val="24"/>
                <w:szCs w:val="24"/>
                <w:lang w:eastAsia="lv-LV"/>
              </w:rPr>
              <w:t> </w:t>
            </w:r>
            <w:r w:rsidRPr="002D55CC">
              <w:rPr>
                <w:rFonts w:ascii="Times New Roman" w:eastAsia="Times New Roman" w:hAnsi="Times New Roman" w:cs="Times New Roman"/>
                <w:b/>
                <w:bCs/>
                <w:iCs/>
                <w:color w:val="414142"/>
                <w:sz w:val="24"/>
                <w:szCs w:val="24"/>
                <w:lang w:eastAsia="lv-LV"/>
              </w:rPr>
              <w:t>Tiesību akta projekta ietekme uz valsts budžetu un pašvaldību budžetiem</w:t>
            </w:r>
          </w:p>
        </w:tc>
      </w:tr>
      <w:tr w:rsidR="00E5323B" w:rsidRPr="002D55CC" w14:paraId="7318F914" w14:textId="77777777" w:rsidTr="00835A2D">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3F4722FC"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Rādītāji</w:t>
            </w:r>
          </w:p>
        </w:tc>
        <w:tc>
          <w:tcPr>
            <w:tcW w:w="118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715EABA" w14:textId="7A5FB37B" w:rsidR="00655F2C" w:rsidRPr="002D55CC" w:rsidRDefault="007E5B3E"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2019</w:t>
            </w:r>
          </w:p>
        </w:tc>
        <w:tc>
          <w:tcPr>
            <w:tcW w:w="2876" w:type="pct"/>
            <w:gridSpan w:val="5"/>
            <w:tcBorders>
              <w:top w:val="outset" w:sz="6" w:space="0" w:color="auto"/>
              <w:left w:val="outset" w:sz="6" w:space="0" w:color="auto"/>
              <w:bottom w:val="outset" w:sz="6" w:space="0" w:color="auto"/>
              <w:right w:val="outset" w:sz="6" w:space="0" w:color="auto"/>
            </w:tcBorders>
            <w:vAlign w:val="center"/>
            <w:hideMark/>
          </w:tcPr>
          <w:p w14:paraId="0EDA987F"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Turpmākie trīs gadi (</w:t>
            </w:r>
            <w:r w:rsidRPr="002D55CC">
              <w:rPr>
                <w:rFonts w:ascii="Times New Roman" w:eastAsia="Times New Roman" w:hAnsi="Times New Roman" w:cs="Times New Roman"/>
                <w:i/>
                <w:iCs/>
                <w:color w:val="414142"/>
                <w:sz w:val="24"/>
                <w:szCs w:val="24"/>
                <w:lang w:eastAsia="lv-LV"/>
              </w:rPr>
              <w:t>euro</w:t>
            </w:r>
            <w:r w:rsidRPr="002D55CC">
              <w:rPr>
                <w:rFonts w:ascii="Times New Roman" w:eastAsia="Times New Roman" w:hAnsi="Times New Roman" w:cs="Times New Roman"/>
                <w:iCs/>
                <w:color w:val="414142"/>
                <w:sz w:val="24"/>
                <w:szCs w:val="24"/>
                <w:lang w:eastAsia="lv-LV"/>
              </w:rPr>
              <w:t>)</w:t>
            </w:r>
          </w:p>
        </w:tc>
      </w:tr>
      <w:tr w:rsidR="00E5323B" w:rsidRPr="002D55CC" w14:paraId="7B4F0538" w14:textId="77777777" w:rsidTr="00835A2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187645"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183" w:type="pct"/>
            <w:gridSpan w:val="2"/>
            <w:vMerge/>
            <w:tcBorders>
              <w:top w:val="outset" w:sz="6" w:space="0" w:color="auto"/>
              <w:left w:val="outset" w:sz="6" w:space="0" w:color="auto"/>
              <w:bottom w:val="outset" w:sz="6" w:space="0" w:color="auto"/>
              <w:right w:val="outset" w:sz="6" w:space="0" w:color="auto"/>
            </w:tcBorders>
            <w:vAlign w:val="center"/>
            <w:hideMark/>
          </w:tcPr>
          <w:p w14:paraId="657DEE3C"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2B296457" w14:textId="6624BAA5" w:rsidR="00655F2C" w:rsidRPr="002D55CC" w:rsidRDefault="007E5B3E"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2020</w:t>
            </w:r>
          </w:p>
        </w:tc>
        <w:tc>
          <w:tcPr>
            <w:tcW w:w="1213" w:type="pct"/>
            <w:gridSpan w:val="2"/>
            <w:tcBorders>
              <w:top w:val="outset" w:sz="6" w:space="0" w:color="auto"/>
              <w:left w:val="outset" w:sz="6" w:space="0" w:color="auto"/>
              <w:bottom w:val="outset" w:sz="6" w:space="0" w:color="auto"/>
              <w:right w:val="outset" w:sz="6" w:space="0" w:color="auto"/>
            </w:tcBorders>
            <w:vAlign w:val="center"/>
            <w:hideMark/>
          </w:tcPr>
          <w:p w14:paraId="6DFB30B3" w14:textId="2543735E" w:rsidR="00655F2C" w:rsidRPr="002D55CC" w:rsidRDefault="007E5B3E"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2021</w:t>
            </w:r>
          </w:p>
        </w:tc>
        <w:tc>
          <w:tcPr>
            <w:tcW w:w="586" w:type="pct"/>
            <w:tcBorders>
              <w:top w:val="outset" w:sz="6" w:space="0" w:color="auto"/>
              <w:left w:val="outset" w:sz="6" w:space="0" w:color="auto"/>
              <w:bottom w:val="outset" w:sz="6" w:space="0" w:color="auto"/>
              <w:right w:val="outset" w:sz="6" w:space="0" w:color="auto"/>
            </w:tcBorders>
            <w:vAlign w:val="center"/>
            <w:hideMark/>
          </w:tcPr>
          <w:p w14:paraId="58882DB9" w14:textId="4D240729" w:rsidR="00655F2C" w:rsidRPr="002D55CC" w:rsidRDefault="007E5B3E"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2022</w:t>
            </w:r>
          </w:p>
        </w:tc>
      </w:tr>
      <w:tr w:rsidR="00893038" w:rsidRPr="002D55CC" w14:paraId="360F2794" w14:textId="77777777" w:rsidTr="00835A2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882E94"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14:paraId="006FB9B6"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343BB4"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43E35843"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BDC88D" w14:textId="27C19141"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salīdzinot ar vidēja termiņa</w:t>
            </w:r>
            <w:r w:rsidR="007E5B3E">
              <w:rPr>
                <w:rFonts w:ascii="Times New Roman" w:eastAsia="Times New Roman" w:hAnsi="Times New Roman" w:cs="Times New Roman"/>
                <w:iCs/>
                <w:color w:val="414142"/>
                <w:sz w:val="24"/>
                <w:szCs w:val="24"/>
                <w:lang w:eastAsia="lv-LV"/>
              </w:rPr>
              <w:t xml:space="preserve"> budžeta ietvaru 2020.</w:t>
            </w:r>
            <w:r w:rsidRPr="002D55CC">
              <w:rPr>
                <w:rFonts w:ascii="Times New Roman" w:eastAsia="Times New Roman" w:hAnsi="Times New Roman" w:cs="Times New Roman"/>
                <w:iCs/>
                <w:color w:val="414142"/>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2C38445"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saskaņā ar vidēja termiņa budžeta ietvaru</w:t>
            </w:r>
          </w:p>
        </w:tc>
        <w:tc>
          <w:tcPr>
            <w:tcW w:w="734" w:type="pct"/>
            <w:tcBorders>
              <w:top w:val="outset" w:sz="6" w:space="0" w:color="auto"/>
              <w:left w:val="outset" w:sz="6" w:space="0" w:color="auto"/>
              <w:bottom w:val="outset" w:sz="6" w:space="0" w:color="auto"/>
              <w:right w:val="outset" w:sz="6" w:space="0" w:color="auto"/>
            </w:tcBorders>
            <w:vAlign w:val="center"/>
            <w:hideMark/>
          </w:tcPr>
          <w:p w14:paraId="41B603A3" w14:textId="1F8E1143"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salīdzinot ar v</w:t>
            </w:r>
            <w:r w:rsidR="00063078">
              <w:rPr>
                <w:rFonts w:ascii="Times New Roman" w:eastAsia="Times New Roman" w:hAnsi="Times New Roman" w:cs="Times New Roman"/>
                <w:iCs/>
                <w:color w:val="414142"/>
                <w:sz w:val="24"/>
                <w:szCs w:val="24"/>
                <w:lang w:eastAsia="lv-LV"/>
              </w:rPr>
              <w:t>idēja termiņa budžeta ietvaru 2021. </w:t>
            </w:r>
            <w:r w:rsidRPr="002D55CC">
              <w:rPr>
                <w:rFonts w:ascii="Times New Roman" w:eastAsia="Times New Roman" w:hAnsi="Times New Roman" w:cs="Times New Roman"/>
                <w:iCs/>
                <w:color w:val="414142"/>
                <w:sz w:val="24"/>
                <w:szCs w:val="24"/>
                <w:lang w:eastAsia="lv-LV"/>
              </w:rPr>
              <w:t>gadam</w:t>
            </w:r>
          </w:p>
        </w:tc>
        <w:tc>
          <w:tcPr>
            <w:tcW w:w="586" w:type="pct"/>
            <w:tcBorders>
              <w:top w:val="outset" w:sz="6" w:space="0" w:color="auto"/>
              <w:left w:val="outset" w:sz="6" w:space="0" w:color="auto"/>
              <w:bottom w:val="outset" w:sz="6" w:space="0" w:color="auto"/>
              <w:right w:val="outset" w:sz="6" w:space="0" w:color="auto"/>
            </w:tcBorders>
            <w:vAlign w:val="center"/>
            <w:hideMark/>
          </w:tcPr>
          <w:p w14:paraId="7EB6635F" w14:textId="5AF6BC4F"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salīdzinot ar vid</w:t>
            </w:r>
            <w:r w:rsidR="00063078">
              <w:rPr>
                <w:rFonts w:ascii="Times New Roman" w:eastAsia="Times New Roman" w:hAnsi="Times New Roman" w:cs="Times New Roman"/>
                <w:iCs/>
                <w:color w:val="414142"/>
                <w:sz w:val="24"/>
                <w:szCs w:val="24"/>
                <w:lang w:eastAsia="lv-LV"/>
              </w:rPr>
              <w:t>ēja termiņa budžeta ietvaru 2021.</w:t>
            </w:r>
            <w:r w:rsidRPr="002D55CC">
              <w:rPr>
                <w:rFonts w:ascii="Times New Roman" w:eastAsia="Times New Roman" w:hAnsi="Times New Roman" w:cs="Times New Roman"/>
                <w:iCs/>
                <w:color w:val="414142"/>
                <w:sz w:val="24"/>
                <w:szCs w:val="24"/>
                <w:lang w:eastAsia="lv-LV"/>
              </w:rPr>
              <w:t xml:space="preserve"> gadam</w:t>
            </w:r>
          </w:p>
        </w:tc>
      </w:tr>
      <w:tr w:rsidR="00893038" w:rsidRPr="002D55CC" w14:paraId="42A1BDD0"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7E6E1A2D"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601" w:type="pct"/>
            <w:tcBorders>
              <w:top w:val="outset" w:sz="6" w:space="0" w:color="auto"/>
              <w:left w:val="outset" w:sz="6" w:space="0" w:color="auto"/>
              <w:bottom w:val="outset" w:sz="6" w:space="0" w:color="auto"/>
              <w:right w:val="outset" w:sz="6" w:space="0" w:color="auto"/>
            </w:tcBorders>
            <w:vAlign w:val="center"/>
            <w:hideMark/>
          </w:tcPr>
          <w:p w14:paraId="60EF2024"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B0DF37"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2C702E87"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B5B9F2"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AB6F0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6</w:t>
            </w:r>
          </w:p>
        </w:tc>
        <w:tc>
          <w:tcPr>
            <w:tcW w:w="734" w:type="pct"/>
            <w:tcBorders>
              <w:top w:val="outset" w:sz="6" w:space="0" w:color="auto"/>
              <w:left w:val="outset" w:sz="6" w:space="0" w:color="auto"/>
              <w:bottom w:val="outset" w:sz="6" w:space="0" w:color="auto"/>
              <w:right w:val="outset" w:sz="6" w:space="0" w:color="auto"/>
            </w:tcBorders>
            <w:vAlign w:val="center"/>
            <w:hideMark/>
          </w:tcPr>
          <w:p w14:paraId="1FCE3708"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7</w:t>
            </w:r>
          </w:p>
        </w:tc>
        <w:tc>
          <w:tcPr>
            <w:tcW w:w="586" w:type="pct"/>
            <w:tcBorders>
              <w:top w:val="outset" w:sz="6" w:space="0" w:color="auto"/>
              <w:left w:val="outset" w:sz="6" w:space="0" w:color="auto"/>
              <w:bottom w:val="outset" w:sz="6" w:space="0" w:color="auto"/>
              <w:right w:val="outset" w:sz="6" w:space="0" w:color="auto"/>
            </w:tcBorders>
            <w:vAlign w:val="center"/>
            <w:hideMark/>
          </w:tcPr>
          <w:p w14:paraId="4521F43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8</w:t>
            </w:r>
          </w:p>
        </w:tc>
      </w:tr>
      <w:tr w:rsidR="00893038" w:rsidRPr="002D55CC" w14:paraId="4B12444B"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tcPr>
          <w:p w14:paraId="5603BAFB" w14:textId="6C1BB326"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 Budžeta ieņēmumi</w:t>
            </w:r>
          </w:p>
        </w:tc>
        <w:tc>
          <w:tcPr>
            <w:tcW w:w="601" w:type="pct"/>
            <w:tcBorders>
              <w:top w:val="outset" w:sz="6" w:space="0" w:color="auto"/>
              <w:left w:val="outset" w:sz="6" w:space="0" w:color="auto"/>
              <w:bottom w:val="outset" w:sz="6" w:space="0" w:color="auto"/>
              <w:right w:val="outset" w:sz="6" w:space="0" w:color="auto"/>
            </w:tcBorders>
            <w:vAlign w:val="center"/>
          </w:tcPr>
          <w:p w14:paraId="682923EB" w14:textId="7DB496B0"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463FCB">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tcPr>
          <w:p w14:paraId="0D53EE6D" w14:textId="1405CEB5"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463FCB">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tcPr>
          <w:p w14:paraId="67EE8F55" w14:textId="6A9EED21"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45FD9183" w14:textId="79ADA3D0"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2BC41C11" w14:textId="60FBC2AC"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734" w:type="pct"/>
            <w:tcBorders>
              <w:top w:val="outset" w:sz="6" w:space="0" w:color="auto"/>
              <w:left w:val="outset" w:sz="6" w:space="0" w:color="auto"/>
              <w:bottom w:val="outset" w:sz="6" w:space="0" w:color="auto"/>
              <w:right w:val="outset" w:sz="6" w:space="0" w:color="auto"/>
            </w:tcBorders>
          </w:tcPr>
          <w:p w14:paraId="1D758AF9" w14:textId="7778C04B"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tcPr>
          <w:p w14:paraId="41614148" w14:textId="3E32E5D7"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r>
      <w:tr w:rsidR="00893038" w:rsidRPr="002D55CC" w14:paraId="07AC18D5"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tcPr>
          <w:p w14:paraId="5ED1C0D0" w14:textId="336E3D0C"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601" w:type="pct"/>
            <w:tcBorders>
              <w:top w:val="outset" w:sz="6" w:space="0" w:color="auto"/>
              <w:left w:val="outset" w:sz="6" w:space="0" w:color="auto"/>
              <w:bottom w:val="outset" w:sz="6" w:space="0" w:color="auto"/>
              <w:right w:val="outset" w:sz="6" w:space="0" w:color="auto"/>
            </w:tcBorders>
          </w:tcPr>
          <w:p w14:paraId="2FDEC434" w14:textId="2728D5A5" w:rsidR="0005301F" w:rsidRPr="00463FCB" w:rsidRDefault="0005301F" w:rsidP="0005301F">
            <w:pPr>
              <w:spacing w:after="0" w:line="240" w:lineRule="auto"/>
              <w:rPr>
                <w:rFonts w:ascii="Times New Roman" w:eastAsia="Times New Roman" w:hAnsi="Times New Roman" w:cs="Times New Roman"/>
                <w:iCs/>
                <w:sz w:val="24"/>
                <w:szCs w:val="24"/>
                <w:lang w:eastAsia="lv-LV"/>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tcPr>
          <w:p w14:paraId="1019D42A" w14:textId="6498DE13" w:rsidR="0005301F" w:rsidRPr="00463FCB" w:rsidRDefault="0005301F" w:rsidP="0005301F">
            <w:pPr>
              <w:spacing w:after="0" w:line="240" w:lineRule="auto"/>
              <w:rPr>
                <w:rFonts w:ascii="Times New Roman" w:eastAsia="Times New Roman" w:hAnsi="Times New Roman" w:cs="Times New Roman"/>
                <w:iCs/>
                <w:sz w:val="24"/>
                <w:szCs w:val="24"/>
                <w:lang w:eastAsia="lv-LV"/>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49ECF77E" w14:textId="6DFC0DE3" w:rsidR="0005301F" w:rsidRDefault="0005301F" w:rsidP="0005301F">
            <w:pPr>
              <w:spacing w:after="0" w:line="240" w:lineRule="auto"/>
              <w:rPr>
                <w:rFonts w:ascii="Times New Roman" w:eastAsia="Times New Roman" w:hAnsi="Times New Roman" w:cs="Times New Roman"/>
                <w:iCs/>
                <w:sz w:val="24"/>
                <w:szCs w:val="24"/>
                <w:lang w:eastAsia="lv-LV"/>
              </w:rPr>
            </w:pPr>
            <w:r w:rsidRPr="009F23F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22DF8B5F" w14:textId="15726790"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74F272E1" w14:textId="356825A3"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734" w:type="pct"/>
            <w:tcBorders>
              <w:top w:val="outset" w:sz="6" w:space="0" w:color="auto"/>
              <w:left w:val="outset" w:sz="6" w:space="0" w:color="auto"/>
              <w:bottom w:val="outset" w:sz="6" w:space="0" w:color="auto"/>
              <w:right w:val="outset" w:sz="6" w:space="0" w:color="auto"/>
            </w:tcBorders>
          </w:tcPr>
          <w:p w14:paraId="142E2ADC" w14:textId="6E75F488"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tcPr>
          <w:p w14:paraId="4A2EFCFB" w14:textId="41A83A41"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r>
      <w:tr w:rsidR="00893038" w:rsidRPr="002D55CC" w14:paraId="602B753D"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5C5BD92" w14:textId="77777777"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1.2. valsts speciālais budžets</w:t>
            </w:r>
          </w:p>
        </w:tc>
        <w:tc>
          <w:tcPr>
            <w:tcW w:w="601" w:type="pct"/>
            <w:tcBorders>
              <w:top w:val="outset" w:sz="6" w:space="0" w:color="auto"/>
              <w:left w:val="outset" w:sz="6" w:space="0" w:color="auto"/>
              <w:bottom w:val="outset" w:sz="6" w:space="0" w:color="auto"/>
              <w:right w:val="outset" w:sz="6" w:space="0" w:color="auto"/>
            </w:tcBorders>
          </w:tcPr>
          <w:p w14:paraId="5E064D19"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32C8A7BA"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56D756C5"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E28B95B"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1B5BA038"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734" w:type="pct"/>
            <w:tcBorders>
              <w:top w:val="outset" w:sz="6" w:space="0" w:color="auto"/>
              <w:left w:val="outset" w:sz="6" w:space="0" w:color="auto"/>
              <w:bottom w:val="outset" w:sz="6" w:space="0" w:color="auto"/>
              <w:right w:val="outset" w:sz="6" w:space="0" w:color="auto"/>
            </w:tcBorders>
          </w:tcPr>
          <w:p w14:paraId="251E34C0"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86" w:type="pct"/>
            <w:tcBorders>
              <w:top w:val="outset" w:sz="6" w:space="0" w:color="auto"/>
              <w:left w:val="outset" w:sz="6" w:space="0" w:color="auto"/>
              <w:bottom w:val="outset" w:sz="6" w:space="0" w:color="auto"/>
              <w:right w:val="outset" w:sz="6" w:space="0" w:color="auto"/>
            </w:tcBorders>
          </w:tcPr>
          <w:p w14:paraId="12DA6A44"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r>
      <w:tr w:rsidR="00893038" w:rsidRPr="002D55CC" w14:paraId="4D7DE535"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E3D8A63" w14:textId="77777777"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1.3. pašvaldību budžets</w:t>
            </w:r>
          </w:p>
        </w:tc>
        <w:tc>
          <w:tcPr>
            <w:tcW w:w="601" w:type="pct"/>
            <w:tcBorders>
              <w:top w:val="outset" w:sz="6" w:space="0" w:color="auto"/>
              <w:left w:val="outset" w:sz="6" w:space="0" w:color="auto"/>
              <w:bottom w:val="outset" w:sz="6" w:space="0" w:color="auto"/>
              <w:right w:val="outset" w:sz="6" w:space="0" w:color="auto"/>
            </w:tcBorders>
          </w:tcPr>
          <w:p w14:paraId="19F2E104"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5AF2368"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AEE1529"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AAEB192"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3ADEE244"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734" w:type="pct"/>
            <w:tcBorders>
              <w:top w:val="outset" w:sz="6" w:space="0" w:color="auto"/>
              <w:left w:val="outset" w:sz="6" w:space="0" w:color="auto"/>
              <w:bottom w:val="outset" w:sz="6" w:space="0" w:color="auto"/>
              <w:right w:val="outset" w:sz="6" w:space="0" w:color="auto"/>
            </w:tcBorders>
          </w:tcPr>
          <w:p w14:paraId="139B1556"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86" w:type="pct"/>
            <w:tcBorders>
              <w:top w:val="outset" w:sz="6" w:space="0" w:color="auto"/>
              <w:left w:val="outset" w:sz="6" w:space="0" w:color="auto"/>
              <w:bottom w:val="outset" w:sz="6" w:space="0" w:color="auto"/>
              <w:right w:val="outset" w:sz="6" w:space="0" w:color="auto"/>
            </w:tcBorders>
          </w:tcPr>
          <w:p w14:paraId="3F8E346C"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r>
      <w:tr w:rsidR="00835A2D" w:rsidRPr="002D55CC" w14:paraId="47C153F8"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tcPr>
          <w:p w14:paraId="03399DED" w14:textId="46052407" w:rsidR="00835A2D" w:rsidRPr="002D55CC" w:rsidRDefault="00835A2D" w:rsidP="00835A2D">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 Budžeta izdevumi</w:t>
            </w:r>
          </w:p>
        </w:tc>
        <w:tc>
          <w:tcPr>
            <w:tcW w:w="601" w:type="pct"/>
            <w:tcBorders>
              <w:top w:val="outset" w:sz="6" w:space="0" w:color="auto"/>
              <w:left w:val="outset" w:sz="6" w:space="0" w:color="auto"/>
              <w:bottom w:val="outset" w:sz="6" w:space="0" w:color="auto"/>
              <w:right w:val="outset" w:sz="6" w:space="0" w:color="auto"/>
            </w:tcBorders>
          </w:tcPr>
          <w:p w14:paraId="546C31BD" w14:textId="2239358B" w:rsidR="00835A2D" w:rsidRPr="00463FCB" w:rsidRDefault="00835A2D" w:rsidP="00835A2D">
            <w:pPr>
              <w:rPr>
                <w:rFonts w:ascii="Times New Roman" w:hAnsi="Times New Roman" w:cs="Times New Roman"/>
                <w:sz w:val="24"/>
                <w:szCs w:val="24"/>
              </w:rPr>
            </w:pPr>
            <w:r w:rsidRPr="000C02FA">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5BCF2AF" w14:textId="6D6023BF" w:rsidR="00835A2D" w:rsidRPr="00463FCB" w:rsidRDefault="00835A2D" w:rsidP="00835A2D">
            <w:pPr>
              <w:rPr>
                <w:rFonts w:ascii="Times New Roman" w:hAnsi="Times New Roman" w:cs="Times New Roman"/>
                <w:sz w:val="24"/>
                <w:szCs w:val="24"/>
              </w:rPr>
            </w:pPr>
            <w:r w:rsidRPr="000C02FA">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4CB6F7F1" w14:textId="17AC3C2A" w:rsidR="00835A2D" w:rsidRPr="00463FCB" w:rsidRDefault="00835A2D" w:rsidP="00835A2D">
            <w:pPr>
              <w:rPr>
                <w:rFonts w:ascii="Times New Roman" w:hAnsi="Times New Roman" w:cs="Times New Roman"/>
                <w:sz w:val="24"/>
                <w:szCs w:val="24"/>
              </w:rPr>
            </w:pPr>
            <w:r w:rsidRPr="000C02FA">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2252C69F" w14:textId="38494177" w:rsidR="00835A2D" w:rsidRPr="00463FCB" w:rsidRDefault="00835A2D" w:rsidP="00835A2D">
            <w:pPr>
              <w:rPr>
                <w:rFonts w:ascii="Times New Roman" w:hAnsi="Times New Roman" w:cs="Times New Roman"/>
                <w:sz w:val="24"/>
                <w:szCs w:val="24"/>
              </w:rPr>
            </w:pPr>
            <w:r>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5C9A9515" w14:textId="458CD992" w:rsidR="00835A2D" w:rsidRPr="00463FCB" w:rsidRDefault="00835A2D" w:rsidP="00835A2D">
            <w:pPr>
              <w:rPr>
                <w:rFonts w:ascii="Times New Roman" w:hAnsi="Times New Roman" w:cs="Times New Roman"/>
                <w:sz w:val="24"/>
                <w:szCs w:val="24"/>
              </w:rPr>
            </w:pPr>
            <w:r w:rsidRPr="000C02FA">
              <w:rPr>
                <w:rFonts w:ascii="Times New Roman" w:hAnsi="Times New Roman" w:cs="Times New Roman"/>
                <w:sz w:val="24"/>
                <w:szCs w:val="24"/>
              </w:rPr>
              <w:t>0</w:t>
            </w:r>
          </w:p>
        </w:tc>
        <w:tc>
          <w:tcPr>
            <w:tcW w:w="734" w:type="pct"/>
            <w:tcBorders>
              <w:top w:val="outset" w:sz="6" w:space="0" w:color="auto"/>
              <w:left w:val="outset" w:sz="6" w:space="0" w:color="auto"/>
              <w:bottom w:val="outset" w:sz="6" w:space="0" w:color="auto"/>
              <w:right w:val="outset" w:sz="6" w:space="0" w:color="auto"/>
            </w:tcBorders>
          </w:tcPr>
          <w:p w14:paraId="31561FDF" w14:textId="44FB8AE3" w:rsidR="00835A2D" w:rsidRPr="00463FCB" w:rsidRDefault="00835A2D" w:rsidP="00835A2D">
            <w:pPr>
              <w:rPr>
                <w:rFonts w:ascii="Times New Roman" w:hAnsi="Times New Roman" w:cs="Times New Roman"/>
                <w:sz w:val="24"/>
                <w:szCs w:val="24"/>
              </w:rPr>
            </w:pPr>
            <w:r>
              <w:rPr>
                <w:rFonts w:ascii="Times New Roman" w:hAnsi="Times New Roman" w:cs="Times New Roman"/>
                <w:sz w:val="24"/>
                <w:szCs w:val="24"/>
              </w:rPr>
              <w:t>0</w:t>
            </w:r>
          </w:p>
        </w:tc>
        <w:tc>
          <w:tcPr>
            <w:tcW w:w="586" w:type="pct"/>
            <w:tcBorders>
              <w:top w:val="outset" w:sz="6" w:space="0" w:color="auto"/>
              <w:left w:val="outset" w:sz="6" w:space="0" w:color="auto"/>
              <w:bottom w:val="outset" w:sz="6" w:space="0" w:color="auto"/>
              <w:right w:val="outset" w:sz="6" w:space="0" w:color="auto"/>
            </w:tcBorders>
          </w:tcPr>
          <w:p w14:paraId="50116E4D" w14:textId="010C1118" w:rsidR="00835A2D" w:rsidRPr="00463FCB" w:rsidRDefault="00835A2D" w:rsidP="00835A2D">
            <w:pPr>
              <w:rPr>
                <w:rFonts w:ascii="Times New Roman" w:hAnsi="Times New Roman" w:cs="Times New Roman"/>
                <w:sz w:val="24"/>
                <w:szCs w:val="24"/>
              </w:rPr>
            </w:pPr>
            <w:r>
              <w:rPr>
                <w:rFonts w:ascii="Times New Roman" w:hAnsi="Times New Roman" w:cs="Times New Roman"/>
                <w:sz w:val="24"/>
                <w:szCs w:val="24"/>
              </w:rPr>
              <w:t>0</w:t>
            </w:r>
          </w:p>
        </w:tc>
      </w:tr>
      <w:tr w:rsidR="00835A2D" w:rsidRPr="002D55CC" w14:paraId="5BD7882D"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tcPr>
          <w:p w14:paraId="1322BD5A" w14:textId="721FB7CF" w:rsidR="00835A2D" w:rsidRPr="002D55CC" w:rsidRDefault="00835A2D" w:rsidP="00835A2D">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2.1. valsts pamatbudžets</w:t>
            </w:r>
          </w:p>
        </w:tc>
        <w:tc>
          <w:tcPr>
            <w:tcW w:w="601" w:type="pct"/>
            <w:tcBorders>
              <w:top w:val="outset" w:sz="6" w:space="0" w:color="auto"/>
              <w:left w:val="outset" w:sz="6" w:space="0" w:color="auto"/>
              <w:bottom w:val="outset" w:sz="6" w:space="0" w:color="auto"/>
              <w:right w:val="outset" w:sz="6" w:space="0" w:color="auto"/>
            </w:tcBorders>
          </w:tcPr>
          <w:p w14:paraId="36C6F259" w14:textId="07C7D111" w:rsidR="00835A2D" w:rsidRPr="00463FCB" w:rsidRDefault="00835A2D" w:rsidP="00835A2D">
            <w:pPr>
              <w:rPr>
                <w:rFonts w:ascii="Times New Roman" w:hAnsi="Times New Roman" w:cs="Times New Roman"/>
                <w:sz w:val="24"/>
                <w:szCs w:val="24"/>
              </w:rPr>
            </w:pPr>
            <w:r w:rsidRPr="000C02FA">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094C1335" w14:textId="1C48491B" w:rsidR="00835A2D" w:rsidRPr="00463FCB" w:rsidRDefault="00835A2D" w:rsidP="00835A2D">
            <w:pPr>
              <w:rPr>
                <w:rFonts w:ascii="Times New Roman" w:hAnsi="Times New Roman" w:cs="Times New Roman"/>
                <w:sz w:val="24"/>
                <w:szCs w:val="24"/>
              </w:rPr>
            </w:pPr>
            <w:r w:rsidRPr="000C02FA">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468987AF" w14:textId="4783865D" w:rsidR="00835A2D" w:rsidRPr="00463FCB" w:rsidRDefault="00835A2D" w:rsidP="00835A2D">
            <w:pPr>
              <w:rPr>
                <w:rFonts w:ascii="Times New Roman" w:hAnsi="Times New Roman" w:cs="Times New Roman"/>
                <w:sz w:val="24"/>
                <w:szCs w:val="24"/>
              </w:rPr>
            </w:pPr>
            <w:r w:rsidRPr="000C02FA">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25271D97" w14:textId="6D613357" w:rsidR="00835A2D" w:rsidRPr="00463FCB" w:rsidRDefault="00835A2D" w:rsidP="00835A2D">
            <w:pPr>
              <w:rPr>
                <w:rFonts w:ascii="Times New Roman" w:hAnsi="Times New Roman" w:cs="Times New Roman"/>
                <w:sz w:val="24"/>
                <w:szCs w:val="24"/>
              </w:rPr>
            </w:pPr>
            <w:r>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68A6FB9A" w14:textId="1BC66CD6" w:rsidR="00835A2D" w:rsidRPr="00463FCB" w:rsidRDefault="00835A2D" w:rsidP="00835A2D">
            <w:pPr>
              <w:rPr>
                <w:rFonts w:ascii="Times New Roman" w:hAnsi="Times New Roman" w:cs="Times New Roman"/>
                <w:sz w:val="24"/>
                <w:szCs w:val="24"/>
              </w:rPr>
            </w:pPr>
            <w:r w:rsidRPr="000C02FA">
              <w:rPr>
                <w:rFonts w:ascii="Times New Roman" w:hAnsi="Times New Roman" w:cs="Times New Roman"/>
                <w:sz w:val="24"/>
                <w:szCs w:val="24"/>
              </w:rPr>
              <w:t>0</w:t>
            </w:r>
          </w:p>
        </w:tc>
        <w:tc>
          <w:tcPr>
            <w:tcW w:w="734" w:type="pct"/>
            <w:tcBorders>
              <w:top w:val="outset" w:sz="6" w:space="0" w:color="auto"/>
              <w:left w:val="outset" w:sz="6" w:space="0" w:color="auto"/>
              <w:bottom w:val="outset" w:sz="6" w:space="0" w:color="auto"/>
              <w:right w:val="outset" w:sz="6" w:space="0" w:color="auto"/>
            </w:tcBorders>
          </w:tcPr>
          <w:p w14:paraId="690F234D" w14:textId="46F8650A" w:rsidR="00835A2D" w:rsidRPr="00463FCB" w:rsidRDefault="00835A2D" w:rsidP="00835A2D">
            <w:pPr>
              <w:rPr>
                <w:rFonts w:ascii="Times New Roman" w:hAnsi="Times New Roman" w:cs="Times New Roman"/>
                <w:sz w:val="24"/>
                <w:szCs w:val="24"/>
              </w:rPr>
            </w:pPr>
            <w:r>
              <w:rPr>
                <w:rFonts w:ascii="Times New Roman" w:hAnsi="Times New Roman" w:cs="Times New Roman"/>
                <w:sz w:val="24"/>
                <w:szCs w:val="24"/>
              </w:rPr>
              <w:t>0</w:t>
            </w:r>
          </w:p>
        </w:tc>
        <w:tc>
          <w:tcPr>
            <w:tcW w:w="586" w:type="pct"/>
            <w:tcBorders>
              <w:top w:val="outset" w:sz="6" w:space="0" w:color="auto"/>
              <w:left w:val="outset" w:sz="6" w:space="0" w:color="auto"/>
              <w:bottom w:val="outset" w:sz="6" w:space="0" w:color="auto"/>
              <w:right w:val="outset" w:sz="6" w:space="0" w:color="auto"/>
            </w:tcBorders>
          </w:tcPr>
          <w:p w14:paraId="04CA3172" w14:textId="06B66603" w:rsidR="00835A2D" w:rsidRPr="00463FCB" w:rsidRDefault="00835A2D" w:rsidP="00835A2D">
            <w:pPr>
              <w:rPr>
                <w:rFonts w:ascii="Times New Roman" w:hAnsi="Times New Roman" w:cs="Times New Roman"/>
                <w:sz w:val="24"/>
                <w:szCs w:val="24"/>
              </w:rPr>
            </w:pPr>
            <w:r>
              <w:rPr>
                <w:rFonts w:ascii="Times New Roman" w:hAnsi="Times New Roman" w:cs="Times New Roman"/>
                <w:sz w:val="24"/>
                <w:szCs w:val="24"/>
              </w:rPr>
              <w:t>0</w:t>
            </w:r>
          </w:p>
        </w:tc>
      </w:tr>
      <w:tr w:rsidR="00893038" w:rsidRPr="002D55CC" w14:paraId="1D7E40BB"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ECAB5C8" w14:textId="77777777"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2.2. valsts speciālais budžets</w:t>
            </w:r>
          </w:p>
        </w:tc>
        <w:tc>
          <w:tcPr>
            <w:tcW w:w="601" w:type="pct"/>
            <w:tcBorders>
              <w:top w:val="outset" w:sz="6" w:space="0" w:color="auto"/>
              <w:left w:val="outset" w:sz="6" w:space="0" w:color="auto"/>
              <w:bottom w:val="outset" w:sz="6" w:space="0" w:color="auto"/>
              <w:right w:val="outset" w:sz="6" w:space="0" w:color="auto"/>
            </w:tcBorders>
          </w:tcPr>
          <w:p w14:paraId="41ACAA93"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tcPr>
          <w:p w14:paraId="1818990E"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02B464CA"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D8B3D6C"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41C0403D"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734" w:type="pct"/>
            <w:tcBorders>
              <w:top w:val="outset" w:sz="6" w:space="0" w:color="auto"/>
              <w:left w:val="outset" w:sz="6" w:space="0" w:color="auto"/>
              <w:bottom w:val="outset" w:sz="6" w:space="0" w:color="auto"/>
              <w:right w:val="outset" w:sz="6" w:space="0" w:color="auto"/>
            </w:tcBorders>
          </w:tcPr>
          <w:p w14:paraId="076D3323"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86" w:type="pct"/>
            <w:tcBorders>
              <w:top w:val="outset" w:sz="6" w:space="0" w:color="auto"/>
              <w:left w:val="outset" w:sz="6" w:space="0" w:color="auto"/>
              <w:bottom w:val="outset" w:sz="6" w:space="0" w:color="auto"/>
              <w:right w:val="outset" w:sz="6" w:space="0" w:color="auto"/>
            </w:tcBorders>
          </w:tcPr>
          <w:p w14:paraId="034F8A6E"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r>
      <w:tr w:rsidR="00893038" w:rsidRPr="002D55CC" w14:paraId="604BD9BD"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F860434" w14:textId="77777777"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2.3. pašvaldību budžets</w:t>
            </w:r>
          </w:p>
        </w:tc>
        <w:tc>
          <w:tcPr>
            <w:tcW w:w="601" w:type="pct"/>
            <w:tcBorders>
              <w:top w:val="outset" w:sz="6" w:space="0" w:color="auto"/>
              <w:left w:val="outset" w:sz="6" w:space="0" w:color="auto"/>
              <w:bottom w:val="outset" w:sz="6" w:space="0" w:color="auto"/>
              <w:right w:val="outset" w:sz="6" w:space="0" w:color="auto"/>
            </w:tcBorders>
          </w:tcPr>
          <w:p w14:paraId="235C0733"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tcPr>
          <w:p w14:paraId="1C8CEDDF"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658E3C48"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CAB7FCF"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A52E004"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734" w:type="pct"/>
            <w:tcBorders>
              <w:top w:val="outset" w:sz="6" w:space="0" w:color="auto"/>
              <w:left w:val="outset" w:sz="6" w:space="0" w:color="auto"/>
              <w:bottom w:val="outset" w:sz="6" w:space="0" w:color="auto"/>
              <w:right w:val="outset" w:sz="6" w:space="0" w:color="auto"/>
            </w:tcBorders>
          </w:tcPr>
          <w:p w14:paraId="58690604"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86" w:type="pct"/>
            <w:tcBorders>
              <w:top w:val="outset" w:sz="6" w:space="0" w:color="auto"/>
              <w:left w:val="outset" w:sz="6" w:space="0" w:color="auto"/>
              <w:bottom w:val="outset" w:sz="6" w:space="0" w:color="auto"/>
              <w:right w:val="outset" w:sz="6" w:space="0" w:color="auto"/>
            </w:tcBorders>
          </w:tcPr>
          <w:p w14:paraId="5018BE5D"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r>
      <w:tr w:rsidR="00893038" w:rsidRPr="002D55CC" w14:paraId="0AEB122D"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tcPr>
          <w:p w14:paraId="5F5A1648" w14:textId="0F97F4EF" w:rsidR="00734C8F" w:rsidRPr="002D55CC" w:rsidRDefault="00734C8F" w:rsidP="00734C8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 Finansiālā ietekme</w:t>
            </w:r>
          </w:p>
        </w:tc>
        <w:tc>
          <w:tcPr>
            <w:tcW w:w="601" w:type="pct"/>
            <w:tcBorders>
              <w:top w:val="outset" w:sz="6" w:space="0" w:color="auto"/>
              <w:left w:val="outset" w:sz="6" w:space="0" w:color="auto"/>
              <w:bottom w:val="outset" w:sz="6" w:space="0" w:color="auto"/>
              <w:right w:val="outset" w:sz="6" w:space="0" w:color="auto"/>
            </w:tcBorders>
          </w:tcPr>
          <w:p w14:paraId="1E15A418" w14:textId="539C2FCB" w:rsidR="00734C8F" w:rsidRPr="00463FCB" w:rsidRDefault="00734C8F" w:rsidP="00734C8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tcPr>
          <w:p w14:paraId="3F4501B0" w14:textId="29E256B7" w:rsidR="00734C8F" w:rsidRPr="00463FCB" w:rsidRDefault="00734C8F" w:rsidP="00734C8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555E9607" w14:textId="7B43C902" w:rsidR="00734C8F" w:rsidRPr="00301D12" w:rsidRDefault="00734C8F" w:rsidP="00734C8F">
            <w:pPr>
              <w:rPr>
                <w:rFonts w:ascii="Times New Roman" w:hAnsi="Times New Roman" w:cs="Times New Roman"/>
                <w:sz w:val="24"/>
                <w:szCs w:val="24"/>
              </w:rPr>
            </w:pPr>
            <w:r w:rsidRPr="00301D12">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28AE6343" w14:textId="1E742F40" w:rsidR="00734C8F" w:rsidRPr="00301D12" w:rsidRDefault="006009B3" w:rsidP="00734C8F">
            <w:pPr>
              <w:rPr>
                <w:rFonts w:ascii="Times New Roman" w:hAnsi="Times New Roman" w:cs="Times New Roman"/>
                <w:sz w:val="24"/>
                <w:szCs w:val="24"/>
              </w:rPr>
            </w:pPr>
            <w:r>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4522B737" w14:textId="3C36927F" w:rsidR="00734C8F" w:rsidRPr="00301D12" w:rsidRDefault="00734C8F" w:rsidP="00734C8F">
            <w:pPr>
              <w:rPr>
                <w:rFonts w:ascii="Times New Roman" w:hAnsi="Times New Roman" w:cs="Times New Roman"/>
                <w:sz w:val="24"/>
                <w:szCs w:val="24"/>
              </w:rPr>
            </w:pPr>
            <w:r w:rsidRPr="00301D12">
              <w:rPr>
                <w:rFonts w:ascii="Times New Roman" w:hAnsi="Times New Roman" w:cs="Times New Roman"/>
                <w:sz w:val="24"/>
                <w:szCs w:val="24"/>
              </w:rPr>
              <w:t>0</w:t>
            </w:r>
          </w:p>
        </w:tc>
        <w:tc>
          <w:tcPr>
            <w:tcW w:w="734" w:type="pct"/>
            <w:tcBorders>
              <w:top w:val="outset" w:sz="6" w:space="0" w:color="auto"/>
              <w:left w:val="outset" w:sz="6" w:space="0" w:color="auto"/>
              <w:bottom w:val="outset" w:sz="6" w:space="0" w:color="auto"/>
              <w:right w:val="outset" w:sz="6" w:space="0" w:color="auto"/>
            </w:tcBorders>
          </w:tcPr>
          <w:p w14:paraId="5FDB8375" w14:textId="6CDC4C09" w:rsidR="00734C8F" w:rsidRPr="00301D12" w:rsidRDefault="006009B3" w:rsidP="00734C8F">
            <w:pPr>
              <w:rPr>
                <w:rFonts w:ascii="Times New Roman" w:hAnsi="Times New Roman" w:cs="Times New Roman"/>
                <w:sz w:val="24"/>
                <w:szCs w:val="24"/>
              </w:rPr>
            </w:pPr>
            <w:r>
              <w:rPr>
                <w:rFonts w:ascii="Times New Roman" w:hAnsi="Times New Roman" w:cs="Times New Roman"/>
                <w:sz w:val="24"/>
                <w:szCs w:val="24"/>
              </w:rPr>
              <w:t>0</w:t>
            </w:r>
          </w:p>
        </w:tc>
        <w:tc>
          <w:tcPr>
            <w:tcW w:w="586" w:type="pct"/>
            <w:tcBorders>
              <w:top w:val="outset" w:sz="6" w:space="0" w:color="auto"/>
              <w:left w:val="outset" w:sz="6" w:space="0" w:color="auto"/>
              <w:bottom w:val="outset" w:sz="6" w:space="0" w:color="auto"/>
              <w:right w:val="outset" w:sz="6" w:space="0" w:color="auto"/>
            </w:tcBorders>
          </w:tcPr>
          <w:p w14:paraId="034F0E7A" w14:textId="5A5DD4E1" w:rsidR="00734C8F" w:rsidRPr="00301D12" w:rsidRDefault="006009B3" w:rsidP="00734C8F">
            <w:pPr>
              <w:rPr>
                <w:rFonts w:ascii="Times New Roman" w:hAnsi="Times New Roman" w:cs="Times New Roman"/>
                <w:sz w:val="24"/>
                <w:szCs w:val="24"/>
              </w:rPr>
            </w:pPr>
            <w:r>
              <w:rPr>
                <w:rFonts w:ascii="Times New Roman" w:hAnsi="Times New Roman" w:cs="Times New Roman"/>
                <w:sz w:val="24"/>
                <w:szCs w:val="24"/>
              </w:rPr>
              <w:t>0</w:t>
            </w:r>
          </w:p>
        </w:tc>
      </w:tr>
      <w:tr w:rsidR="00893038" w:rsidRPr="002D55CC" w14:paraId="58F084D7"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tcPr>
          <w:p w14:paraId="2AB7AE09" w14:textId="77C95312" w:rsidR="00734C8F" w:rsidRPr="002D55CC" w:rsidRDefault="00734C8F" w:rsidP="00734C8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3.1. valsts pamatbudžets</w:t>
            </w:r>
          </w:p>
        </w:tc>
        <w:tc>
          <w:tcPr>
            <w:tcW w:w="601" w:type="pct"/>
            <w:tcBorders>
              <w:top w:val="outset" w:sz="6" w:space="0" w:color="auto"/>
              <w:left w:val="outset" w:sz="6" w:space="0" w:color="auto"/>
              <w:bottom w:val="outset" w:sz="6" w:space="0" w:color="auto"/>
              <w:right w:val="outset" w:sz="6" w:space="0" w:color="auto"/>
            </w:tcBorders>
          </w:tcPr>
          <w:p w14:paraId="639C5134" w14:textId="0184BF5F" w:rsidR="00734C8F" w:rsidRPr="00463FCB" w:rsidRDefault="00734C8F" w:rsidP="00734C8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tcPr>
          <w:p w14:paraId="7EE43218" w14:textId="5CAE4D4B" w:rsidR="00734C8F" w:rsidRPr="00463FCB" w:rsidRDefault="00734C8F" w:rsidP="00734C8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1362CCBD" w14:textId="72835500" w:rsidR="00734C8F" w:rsidRPr="00301D12" w:rsidRDefault="00734C8F" w:rsidP="00734C8F">
            <w:pPr>
              <w:rPr>
                <w:rFonts w:ascii="Times New Roman" w:hAnsi="Times New Roman" w:cs="Times New Roman"/>
                <w:sz w:val="24"/>
                <w:szCs w:val="24"/>
              </w:rPr>
            </w:pPr>
            <w:r w:rsidRPr="00301D12">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055389D" w14:textId="6A455987" w:rsidR="00734C8F" w:rsidRPr="00301D12" w:rsidRDefault="006009B3" w:rsidP="00734C8F">
            <w:pPr>
              <w:rPr>
                <w:rFonts w:ascii="Times New Roman" w:hAnsi="Times New Roman" w:cs="Times New Roman"/>
                <w:sz w:val="24"/>
                <w:szCs w:val="24"/>
              </w:rPr>
            </w:pPr>
            <w:r>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069C396" w14:textId="41000B9B" w:rsidR="00734C8F" w:rsidRPr="00301D12" w:rsidRDefault="00734C8F" w:rsidP="00734C8F">
            <w:pPr>
              <w:rPr>
                <w:rFonts w:ascii="Times New Roman" w:hAnsi="Times New Roman" w:cs="Times New Roman"/>
                <w:sz w:val="24"/>
                <w:szCs w:val="24"/>
              </w:rPr>
            </w:pPr>
            <w:r w:rsidRPr="00301D12">
              <w:rPr>
                <w:rFonts w:ascii="Times New Roman" w:hAnsi="Times New Roman" w:cs="Times New Roman"/>
                <w:sz w:val="24"/>
                <w:szCs w:val="24"/>
              </w:rPr>
              <w:t>0</w:t>
            </w:r>
          </w:p>
        </w:tc>
        <w:tc>
          <w:tcPr>
            <w:tcW w:w="734" w:type="pct"/>
            <w:tcBorders>
              <w:top w:val="outset" w:sz="6" w:space="0" w:color="auto"/>
              <w:left w:val="outset" w:sz="6" w:space="0" w:color="auto"/>
              <w:bottom w:val="outset" w:sz="6" w:space="0" w:color="auto"/>
              <w:right w:val="outset" w:sz="6" w:space="0" w:color="auto"/>
            </w:tcBorders>
          </w:tcPr>
          <w:p w14:paraId="2481488E" w14:textId="0188817D" w:rsidR="00734C8F" w:rsidRPr="00301D12" w:rsidRDefault="006009B3" w:rsidP="00734C8F">
            <w:pPr>
              <w:rPr>
                <w:rFonts w:ascii="Times New Roman" w:hAnsi="Times New Roman" w:cs="Times New Roman"/>
                <w:sz w:val="24"/>
                <w:szCs w:val="24"/>
              </w:rPr>
            </w:pPr>
            <w:r>
              <w:rPr>
                <w:rFonts w:ascii="Times New Roman" w:hAnsi="Times New Roman" w:cs="Times New Roman"/>
                <w:sz w:val="24"/>
                <w:szCs w:val="24"/>
              </w:rPr>
              <w:t>0</w:t>
            </w:r>
          </w:p>
        </w:tc>
        <w:tc>
          <w:tcPr>
            <w:tcW w:w="586" w:type="pct"/>
            <w:tcBorders>
              <w:top w:val="outset" w:sz="6" w:space="0" w:color="auto"/>
              <w:left w:val="outset" w:sz="6" w:space="0" w:color="auto"/>
              <w:bottom w:val="outset" w:sz="6" w:space="0" w:color="auto"/>
              <w:right w:val="outset" w:sz="6" w:space="0" w:color="auto"/>
            </w:tcBorders>
          </w:tcPr>
          <w:p w14:paraId="0EC93B31" w14:textId="5CBC986C" w:rsidR="00734C8F" w:rsidRPr="00301D12" w:rsidRDefault="006009B3" w:rsidP="00734C8F">
            <w:pPr>
              <w:rPr>
                <w:rFonts w:ascii="Times New Roman" w:hAnsi="Times New Roman" w:cs="Times New Roman"/>
                <w:sz w:val="24"/>
                <w:szCs w:val="24"/>
              </w:rPr>
            </w:pPr>
            <w:r>
              <w:rPr>
                <w:rFonts w:ascii="Times New Roman" w:hAnsi="Times New Roman" w:cs="Times New Roman"/>
                <w:sz w:val="24"/>
                <w:szCs w:val="24"/>
              </w:rPr>
              <w:t>0</w:t>
            </w:r>
          </w:p>
        </w:tc>
      </w:tr>
      <w:tr w:rsidR="00893038" w:rsidRPr="002D55CC" w14:paraId="3D0AB80C"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259F2C2"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3.2. speciālais budžets</w:t>
            </w:r>
          </w:p>
        </w:tc>
        <w:tc>
          <w:tcPr>
            <w:tcW w:w="601" w:type="pct"/>
            <w:tcBorders>
              <w:top w:val="outset" w:sz="6" w:space="0" w:color="auto"/>
              <w:left w:val="outset" w:sz="6" w:space="0" w:color="auto"/>
              <w:bottom w:val="outset" w:sz="6" w:space="0" w:color="auto"/>
              <w:right w:val="outset" w:sz="6" w:space="0" w:color="auto"/>
            </w:tcBorders>
            <w:hideMark/>
          </w:tcPr>
          <w:p w14:paraId="6FC2B32A"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hideMark/>
          </w:tcPr>
          <w:p w14:paraId="1B6033C8"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54AF2F89"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FBF773B"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4F4DF1D1"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734" w:type="pct"/>
            <w:tcBorders>
              <w:top w:val="outset" w:sz="6" w:space="0" w:color="auto"/>
              <w:left w:val="outset" w:sz="6" w:space="0" w:color="auto"/>
              <w:bottom w:val="outset" w:sz="6" w:space="0" w:color="auto"/>
              <w:right w:val="outset" w:sz="6" w:space="0" w:color="auto"/>
            </w:tcBorders>
          </w:tcPr>
          <w:p w14:paraId="7C42C187"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586" w:type="pct"/>
            <w:tcBorders>
              <w:top w:val="outset" w:sz="6" w:space="0" w:color="auto"/>
              <w:left w:val="outset" w:sz="6" w:space="0" w:color="auto"/>
              <w:bottom w:val="outset" w:sz="6" w:space="0" w:color="auto"/>
              <w:right w:val="outset" w:sz="6" w:space="0" w:color="auto"/>
            </w:tcBorders>
          </w:tcPr>
          <w:p w14:paraId="280759BF"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r>
      <w:tr w:rsidR="00893038" w:rsidRPr="002D55CC" w14:paraId="5792F471"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F437F05"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3.3. pašvaldību budžets</w:t>
            </w:r>
          </w:p>
        </w:tc>
        <w:tc>
          <w:tcPr>
            <w:tcW w:w="601" w:type="pct"/>
            <w:tcBorders>
              <w:top w:val="outset" w:sz="6" w:space="0" w:color="auto"/>
              <w:left w:val="outset" w:sz="6" w:space="0" w:color="auto"/>
              <w:bottom w:val="outset" w:sz="6" w:space="0" w:color="auto"/>
              <w:right w:val="outset" w:sz="6" w:space="0" w:color="auto"/>
            </w:tcBorders>
            <w:hideMark/>
          </w:tcPr>
          <w:p w14:paraId="3B6CDAC7"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hideMark/>
          </w:tcPr>
          <w:p w14:paraId="5A11D6B6"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7966FCD3"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7EFE1C64"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5941E56"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734" w:type="pct"/>
            <w:tcBorders>
              <w:top w:val="outset" w:sz="6" w:space="0" w:color="auto"/>
              <w:left w:val="outset" w:sz="6" w:space="0" w:color="auto"/>
              <w:bottom w:val="outset" w:sz="6" w:space="0" w:color="auto"/>
              <w:right w:val="outset" w:sz="6" w:space="0" w:color="auto"/>
            </w:tcBorders>
          </w:tcPr>
          <w:p w14:paraId="4E5CCCBE"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586" w:type="pct"/>
            <w:tcBorders>
              <w:top w:val="outset" w:sz="6" w:space="0" w:color="auto"/>
              <w:left w:val="outset" w:sz="6" w:space="0" w:color="auto"/>
              <w:bottom w:val="outset" w:sz="6" w:space="0" w:color="auto"/>
              <w:right w:val="outset" w:sz="6" w:space="0" w:color="auto"/>
            </w:tcBorders>
          </w:tcPr>
          <w:p w14:paraId="59276678"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r>
      <w:tr w:rsidR="00893038" w:rsidRPr="002D55CC" w14:paraId="03CC99CC"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BB86DA4"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601" w:type="pct"/>
            <w:tcBorders>
              <w:top w:val="outset" w:sz="6" w:space="0" w:color="auto"/>
              <w:left w:val="outset" w:sz="6" w:space="0" w:color="auto"/>
              <w:bottom w:val="outset" w:sz="6" w:space="0" w:color="auto"/>
              <w:right w:val="outset" w:sz="6" w:space="0" w:color="auto"/>
            </w:tcBorders>
            <w:vAlign w:val="center"/>
            <w:hideMark/>
          </w:tcPr>
          <w:p w14:paraId="2D52F735" w14:textId="77777777" w:rsidR="00B14F5F" w:rsidRPr="00463FCB" w:rsidRDefault="00B14F5F" w:rsidP="00B14F5F">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E282CB" w14:textId="77777777" w:rsidR="00B14F5F" w:rsidRPr="00463FCB" w:rsidRDefault="00B14F5F" w:rsidP="00B14F5F">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6C09E15" w14:textId="77777777" w:rsidR="00B14F5F" w:rsidRPr="00463FCB" w:rsidRDefault="00B14F5F" w:rsidP="00B14F5F">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7D5A87" w14:textId="77777777" w:rsidR="00B14F5F" w:rsidRPr="00463FCB" w:rsidRDefault="00B14F5F" w:rsidP="00B14F5F">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206D125" w14:textId="77777777" w:rsidR="00B14F5F" w:rsidRPr="00463FCB" w:rsidRDefault="00B14F5F" w:rsidP="00B14F5F">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734" w:type="pct"/>
            <w:tcBorders>
              <w:top w:val="outset" w:sz="6" w:space="0" w:color="auto"/>
              <w:left w:val="outset" w:sz="6" w:space="0" w:color="auto"/>
              <w:bottom w:val="outset" w:sz="6" w:space="0" w:color="auto"/>
              <w:right w:val="outset" w:sz="6" w:space="0" w:color="auto"/>
            </w:tcBorders>
            <w:vAlign w:val="center"/>
            <w:hideMark/>
          </w:tcPr>
          <w:p w14:paraId="6A926C0E"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14:paraId="0E483958"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 0</w:t>
            </w:r>
          </w:p>
        </w:tc>
      </w:tr>
      <w:tr w:rsidR="00893038" w:rsidRPr="002D55CC" w14:paraId="05229CF7"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B34DCC2" w14:textId="77777777" w:rsidR="002B4E92" w:rsidRPr="002D55CC" w:rsidRDefault="002B4E92" w:rsidP="002B4E92">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 Precizēta finansiālā ietekme</w:t>
            </w:r>
          </w:p>
        </w:tc>
        <w:tc>
          <w:tcPr>
            <w:tcW w:w="601" w:type="pct"/>
            <w:vMerge w:val="restart"/>
            <w:tcBorders>
              <w:top w:val="outset" w:sz="6" w:space="0" w:color="auto"/>
              <w:left w:val="outset" w:sz="6" w:space="0" w:color="auto"/>
              <w:bottom w:val="outset" w:sz="6" w:space="0" w:color="auto"/>
              <w:right w:val="outset" w:sz="6" w:space="0" w:color="auto"/>
            </w:tcBorders>
            <w:vAlign w:val="center"/>
            <w:hideMark/>
          </w:tcPr>
          <w:p w14:paraId="1605DA6B"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7998E979"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7A41C668"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486582EF"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795CEE1A"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7D274F22"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6813B692" w14:textId="77777777" w:rsidR="002B4E92" w:rsidRPr="00463FCB" w:rsidRDefault="002B4E92" w:rsidP="002B4E92">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74FFC8B"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329843DA"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166FD67E"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5B846083"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00775909"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7D9F60C5"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66504FBD" w14:textId="4A305B86" w:rsidR="002B4E92" w:rsidRPr="00301D12" w:rsidRDefault="006009B3" w:rsidP="002B4E92">
            <w:pPr>
              <w:rPr>
                <w:rFonts w:ascii="Times New Roman" w:hAnsi="Times New Roman" w:cs="Times New Roman"/>
                <w:sz w:val="24"/>
                <w:szCs w:val="24"/>
              </w:rPr>
            </w:pPr>
            <w:r>
              <w:rPr>
                <w:rFonts w:ascii="Times New Roman" w:hAnsi="Times New Roman" w:cs="Times New Roman"/>
                <w:sz w:val="24"/>
                <w:szCs w:val="24"/>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320FF9E0" w14:textId="77777777" w:rsidR="002B4E92" w:rsidRPr="00301D12" w:rsidRDefault="002B4E92" w:rsidP="002B4E92">
            <w:pPr>
              <w:spacing w:after="0" w:line="240" w:lineRule="auto"/>
              <w:jc w:val="center"/>
              <w:rPr>
                <w:rFonts w:ascii="Times New Roman" w:eastAsia="Times New Roman" w:hAnsi="Times New Roman" w:cs="Times New Roman"/>
                <w:iCs/>
                <w:sz w:val="24"/>
                <w:szCs w:val="24"/>
                <w:lang w:eastAsia="lv-LV"/>
              </w:rPr>
            </w:pPr>
          </w:p>
          <w:p w14:paraId="29F1D5A7" w14:textId="77777777" w:rsidR="002B4E92" w:rsidRPr="00301D12" w:rsidRDefault="002B4E92" w:rsidP="002B4E92">
            <w:pPr>
              <w:spacing w:after="0" w:line="240" w:lineRule="auto"/>
              <w:jc w:val="center"/>
              <w:rPr>
                <w:rFonts w:ascii="Times New Roman" w:eastAsia="Times New Roman" w:hAnsi="Times New Roman" w:cs="Times New Roman"/>
                <w:iCs/>
                <w:sz w:val="24"/>
                <w:szCs w:val="24"/>
                <w:lang w:eastAsia="lv-LV"/>
              </w:rPr>
            </w:pPr>
          </w:p>
          <w:p w14:paraId="3D9E21E3" w14:textId="77777777" w:rsidR="002B4E92" w:rsidRPr="00301D12" w:rsidRDefault="002B4E92" w:rsidP="002B4E92">
            <w:pPr>
              <w:spacing w:after="0" w:line="240" w:lineRule="auto"/>
              <w:jc w:val="center"/>
              <w:rPr>
                <w:rFonts w:ascii="Times New Roman" w:eastAsia="Times New Roman" w:hAnsi="Times New Roman" w:cs="Times New Roman"/>
                <w:iCs/>
                <w:sz w:val="24"/>
                <w:szCs w:val="24"/>
                <w:lang w:eastAsia="lv-LV"/>
              </w:rPr>
            </w:pPr>
          </w:p>
          <w:p w14:paraId="7686E079" w14:textId="77777777" w:rsidR="002B4E92" w:rsidRPr="00301D12" w:rsidRDefault="002B4E92" w:rsidP="002B4E92">
            <w:pPr>
              <w:spacing w:after="0" w:line="240" w:lineRule="auto"/>
              <w:jc w:val="center"/>
              <w:rPr>
                <w:rFonts w:ascii="Times New Roman" w:eastAsia="Times New Roman" w:hAnsi="Times New Roman" w:cs="Times New Roman"/>
                <w:iCs/>
                <w:sz w:val="24"/>
                <w:szCs w:val="24"/>
                <w:lang w:eastAsia="lv-LV"/>
              </w:rPr>
            </w:pPr>
          </w:p>
          <w:p w14:paraId="2F5E6816" w14:textId="77777777" w:rsidR="002B4E92" w:rsidRPr="00301D12" w:rsidRDefault="002B4E92" w:rsidP="002B4E92">
            <w:pPr>
              <w:spacing w:after="0" w:line="240" w:lineRule="auto"/>
              <w:jc w:val="center"/>
              <w:rPr>
                <w:rFonts w:ascii="Times New Roman" w:eastAsia="Times New Roman" w:hAnsi="Times New Roman" w:cs="Times New Roman"/>
                <w:iCs/>
                <w:sz w:val="24"/>
                <w:szCs w:val="24"/>
                <w:lang w:eastAsia="lv-LV"/>
              </w:rPr>
            </w:pPr>
          </w:p>
          <w:p w14:paraId="53CBDDA5" w14:textId="77777777" w:rsidR="002B4E92" w:rsidRPr="00301D12" w:rsidRDefault="002B4E92" w:rsidP="002B4E92">
            <w:pPr>
              <w:spacing w:after="0" w:line="240" w:lineRule="auto"/>
              <w:jc w:val="center"/>
              <w:rPr>
                <w:rFonts w:ascii="Times New Roman" w:eastAsia="Times New Roman" w:hAnsi="Times New Roman" w:cs="Times New Roman"/>
                <w:iCs/>
                <w:sz w:val="24"/>
                <w:szCs w:val="24"/>
                <w:lang w:eastAsia="lv-LV"/>
              </w:rPr>
            </w:pPr>
            <w:r w:rsidRPr="00301D12">
              <w:rPr>
                <w:rFonts w:ascii="Times New Roman" w:eastAsia="Times New Roman" w:hAnsi="Times New Roman" w:cs="Times New Roman"/>
                <w:iCs/>
                <w:sz w:val="24"/>
                <w:szCs w:val="24"/>
                <w:lang w:eastAsia="lv-LV"/>
              </w:rPr>
              <w:t>X</w:t>
            </w:r>
          </w:p>
        </w:tc>
        <w:tc>
          <w:tcPr>
            <w:tcW w:w="734" w:type="pct"/>
            <w:tcBorders>
              <w:top w:val="outset" w:sz="6" w:space="0" w:color="auto"/>
              <w:left w:val="outset" w:sz="6" w:space="0" w:color="auto"/>
              <w:bottom w:val="outset" w:sz="6" w:space="0" w:color="auto"/>
              <w:right w:val="outset" w:sz="6" w:space="0" w:color="auto"/>
            </w:tcBorders>
            <w:hideMark/>
          </w:tcPr>
          <w:p w14:paraId="4F02F1FC" w14:textId="538ED851" w:rsidR="002B4E92" w:rsidRPr="00301D12" w:rsidRDefault="006009B3" w:rsidP="002B4E92">
            <w:pPr>
              <w:rPr>
                <w:rFonts w:ascii="Times New Roman" w:hAnsi="Times New Roman" w:cs="Times New Roman"/>
                <w:sz w:val="24"/>
                <w:szCs w:val="24"/>
              </w:rPr>
            </w:pPr>
            <w:r>
              <w:rPr>
                <w:rFonts w:ascii="Times New Roman" w:hAnsi="Times New Roman" w:cs="Times New Roman"/>
                <w:sz w:val="24"/>
                <w:szCs w:val="24"/>
              </w:rPr>
              <w:t>0</w:t>
            </w:r>
          </w:p>
        </w:tc>
        <w:tc>
          <w:tcPr>
            <w:tcW w:w="586" w:type="pct"/>
            <w:tcBorders>
              <w:top w:val="outset" w:sz="6" w:space="0" w:color="auto"/>
              <w:left w:val="outset" w:sz="6" w:space="0" w:color="auto"/>
              <w:bottom w:val="outset" w:sz="6" w:space="0" w:color="auto"/>
              <w:right w:val="outset" w:sz="6" w:space="0" w:color="auto"/>
            </w:tcBorders>
            <w:hideMark/>
          </w:tcPr>
          <w:p w14:paraId="3F0A31BB" w14:textId="2A0D7B56" w:rsidR="002B4E92" w:rsidRPr="00301D12" w:rsidRDefault="006009B3" w:rsidP="002B4E92">
            <w:pPr>
              <w:rPr>
                <w:rFonts w:ascii="Times New Roman" w:hAnsi="Times New Roman" w:cs="Times New Roman"/>
                <w:sz w:val="24"/>
                <w:szCs w:val="24"/>
              </w:rPr>
            </w:pPr>
            <w:r>
              <w:rPr>
                <w:rFonts w:ascii="Times New Roman" w:hAnsi="Times New Roman" w:cs="Times New Roman"/>
                <w:sz w:val="24"/>
                <w:szCs w:val="24"/>
              </w:rPr>
              <w:t>0</w:t>
            </w:r>
          </w:p>
        </w:tc>
      </w:tr>
      <w:tr w:rsidR="00893038" w:rsidRPr="002D55CC" w14:paraId="4F7D98EA"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BEC74E4" w14:textId="77777777" w:rsidR="002B4E92" w:rsidRPr="002D55CC" w:rsidRDefault="002B4E92" w:rsidP="002B4E92">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5.1. valsts pamatbudžets</w:t>
            </w:r>
          </w:p>
        </w:tc>
        <w:tc>
          <w:tcPr>
            <w:tcW w:w="601" w:type="pct"/>
            <w:vMerge/>
            <w:tcBorders>
              <w:top w:val="outset" w:sz="6" w:space="0" w:color="auto"/>
              <w:left w:val="outset" w:sz="6" w:space="0" w:color="auto"/>
              <w:bottom w:val="outset" w:sz="6" w:space="0" w:color="auto"/>
              <w:right w:val="outset" w:sz="6" w:space="0" w:color="auto"/>
            </w:tcBorders>
            <w:vAlign w:val="center"/>
            <w:hideMark/>
          </w:tcPr>
          <w:p w14:paraId="594D1B67" w14:textId="77777777" w:rsidR="002B4E92" w:rsidRPr="00463FCB" w:rsidRDefault="002B4E92" w:rsidP="002B4E9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7E2130AE" w14:textId="77777777" w:rsidR="002B4E92" w:rsidRPr="00463FCB" w:rsidRDefault="002B4E92" w:rsidP="002B4E92">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5A55837D" w14:textId="77777777" w:rsidR="002B4E92" w:rsidRPr="00463FCB" w:rsidRDefault="002B4E92" w:rsidP="002B4E9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1DA22B0E" w14:textId="624158E6" w:rsidR="002B4E92" w:rsidRPr="00301D12" w:rsidRDefault="006009B3" w:rsidP="002B4E92">
            <w:pP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5A66FD" w14:textId="77777777" w:rsidR="002B4E92" w:rsidRPr="00301D12" w:rsidRDefault="002B4E92" w:rsidP="002B4E92">
            <w:pPr>
              <w:spacing w:after="0" w:line="240" w:lineRule="auto"/>
              <w:rPr>
                <w:rFonts w:ascii="Times New Roman" w:eastAsia="Times New Roman" w:hAnsi="Times New Roman" w:cs="Times New Roman"/>
                <w:iCs/>
                <w:sz w:val="24"/>
                <w:szCs w:val="24"/>
                <w:lang w:eastAsia="lv-LV"/>
              </w:rPr>
            </w:pPr>
          </w:p>
        </w:tc>
        <w:tc>
          <w:tcPr>
            <w:tcW w:w="734" w:type="pct"/>
            <w:tcBorders>
              <w:top w:val="outset" w:sz="6" w:space="0" w:color="auto"/>
              <w:left w:val="outset" w:sz="6" w:space="0" w:color="auto"/>
              <w:bottom w:val="outset" w:sz="6" w:space="0" w:color="auto"/>
              <w:right w:val="outset" w:sz="6" w:space="0" w:color="auto"/>
            </w:tcBorders>
            <w:hideMark/>
          </w:tcPr>
          <w:p w14:paraId="342DECE0" w14:textId="7FFC5468" w:rsidR="002B4E92" w:rsidRPr="00301D12" w:rsidRDefault="006009B3" w:rsidP="002B4E92">
            <w:pPr>
              <w:rPr>
                <w:rFonts w:ascii="Times New Roman" w:hAnsi="Times New Roman" w:cs="Times New Roman"/>
                <w:sz w:val="24"/>
                <w:szCs w:val="24"/>
              </w:rPr>
            </w:pPr>
            <w:r>
              <w:rPr>
                <w:rFonts w:ascii="Times New Roman" w:hAnsi="Times New Roman" w:cs="Times New Roman"/>
                <w:sz w:val="24"/>
                <w:szCs w:val="24"/>
              </w:rPr>
              <w:t>0</w:t>
            </w:r>
          </w:p>
        </w:tc>
        <w:tc>
          <w:tcPr>
            <w:tcW w:w="586" w:type="pct"/>
            <w:tcBorders>
              <w:top w:val="outset" w:sz="6" w:space="0" w:color="auto"/>
              <w:left w:val="outset" w:sz="6" w:space="0" w:color="auto"/>
              <w:bottom w:val="outset" w:sz="6" w:space="0" w:color="auto"/>
              <w:right w:val="outset" w:sz="6" w:space="0" w:color="auto"/>
            </w:tcBorders>
            <w:hideMark/>
          </w:tcPr>
          <w:p w14:paraId="60E515AE" w14:textId="0E3F065B" w:rsidR="002B4E92" w:rsidRPr="00301D12" w:rsidRDefault="006009B3" w:rsidP="002B4E92">
            <w:pPr>
              <w:rPr>
                <w:rFonts w:ascii="Times New Roman" w:hAnsi="Times New Roman" w:cs="Times New Roman"/>
                <w:sz w:val="24"/>
                <w:szCs w:val="24"/>
              </w:rPr>
            </w:pPr>
            <w:r>
              <w:rPr>
                <w:rFonts w:ascii="Times New Roman" w:hAnsi="Times New Roman" w:cs="Times New Roman"/>
                <w:sz w:val="24"/>
                <w:szCs w:val="24"/>
              </w:rPr>
              <w:t>0</w:t>
            </w:r>
          </w:p>
        </w:tc>
      </w:tr>
      <w:tr w:rsidR="00893038" w:rsidRPr="002D55CC" w14:paraId="639239F5"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06027A5"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5.2. speciālais budžets</w:t>
            </w:r>
          </w:p>
        </w:tc>
        <w:tc>
          <w:tcPr>
            <w:tcW w:w="601" w:type="pct"/>
            <w:vMerge/>
            <w:tcBorders>
              <w:top w:val="outset" w:sz="6" w:space="0" w:color="auto"/>
              <w:left w:val="outset" w:sz="6" w:space="0" w:color="auto"/>
              <w:bottom w:val="outset" w:sz="6" w:space="0" w:color="auto"/>
              <w:right w:val="outset" w:sz="6" w:space="0" w:color="auto"/>
            </w:tcBorders>
            <w:vAlign w:val="center"/>
            <w:hideMark/>
          </w:tcPr>
          <w:p w14:paraId="23DDA83B"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098B9742"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4B367ED1"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04ABE87A"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024DE9"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p>
        </w:tc>
        <w:tc>
          <w:tcPr>
            <w:tcW w:w="734" w:type="pct"/>
            <w:tcBorders>
              <w:top w:val="outset" w:sz="6" w:space="0" w:color="auto"/>
              <w:left w:val="outset" w:sz="6" w:space="0" w:color="auto"/>
              <w:bottom w:val="outset" w:sz="6" w:space="0" w:color="auto"/>
              <w:right w:val="outset" w:sz="6" w:space="0" w:color="auto"/>
            </w:tcBorders>
            <w:hideMark/>
          </w:tcPr>
          <w:p w14:paraId="3D73C953"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86" w:type="pct"/>
            <w:tcBorders>
              <w:top w:val="outset" w:sz="6" w:space="0" w:color="auto"/>
              <w:left w:val="outset" w:sz="6" w:space="0" w:color="auto"/>
              <w:bottom w:val="outset" w:sz="6" w:space="0" w:color="auto"/>
              <w:right w:val="outset" w:sz="6" w:space="0" w:color="auto"/>
            </w:tcBorders>
            <w:hideMark/>
          </w:tcPr>
          <w:p w14:paraId="1DFF3B4A"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r>
      <w:tr w:rsidR="00893038" w:rsidRPr="002D55CC" w14:paraId="183B6B23"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BC64F0E"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5.3. pašvaldību budžets</w:t>
            </w:r>
          </w:p>
        </w:tc>
        <w:tc>
          <w:tcPr>
            <w:tcW w:w="601" w:type="pct"/>
            <w:vMerge/>
            <w:tcBorders>
              <w:top w:val="outset" w:sz="6" w:space="0" w:color="auto"/>
              <w:left w:val="outset" w:sz="6" w:space="0" w:color="auto"/>
              <w:bottom w:val="outset" w:sz="6" w:space="0" w:color="auto"/>
              <w:right w:val="outset" w:sz="6" w:space="0" w:color="auto"/>
            </w:tcBorders>
            <w:vAlign w:val="center"/>
            <w:hideMark/>
          </w:tcPr>
          <w:p w14:paraId="01D3D13D"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360EBC18"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6E52C1A1"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77DB3752"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E62C1E"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p>
        </w:tc>
        <w:tc>
          <w:tcPr>
            <w:tcW w:w="734" w:type="pct"/>
            <w:tcBorders>
              <w:top w:val="outset" w:sz="6" w:space="0" w:color="auto"/>
              <w:left w:val="outset" w:sz="6" w:space="0" w:color="auto"/>
              <w:bottom w:val="outset" w:sz="6" w:space="0" w:color="auto"/>
              <w:right w:val="outset" w:sz="6" w:space="0" w:color="auto"/>
            </w:tcBorders>
            <w:hideMark/>
          </w:tcPr>
          <w:p w14:paraId="2C3740F5"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86" w:type="pct"/>
            <w:tcBorders>
              <w:top w:val="outset" w:sz="6" w:space="0" w:color="auto"/>
              <w:left w:val="outset" w:sz="6" w:space="0" w:color="auto"/>
              <w:bottom w:val="outset" w:sz="6" w:space="0" w:color="auto"/>
              <w:right w:val="outset" w:sz="6" w:space="0" w:color="auto"/>
            </w:tcBorders>
            <w:hideMark/>
          </w:tcPr>
          <w:p w14:paraId="5EC3CA79"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r>
      <w:tr w:rsidR="00B14F5F" w:rsidRPr="002D55CC" w14:paraId="5AD134AD" w14:textId="77777777" w:rsidTr="00835A2D">
        <w:trPr>
          <w:trHeight w:val="3357"/>
          <w:tblCellSpacing w:w="15" w:type="dxa"/>
        </w:trPr>
        <w:tc>
          <w:tcPr>
            <w:tcW w:w="874" w:type="pct"/>
            <w:tcBorders>
              <w:top w:val="outset" w:sz="6" w:space="0" w:color="auto"/>
              <w:left w:val="outset" w:sz="6" w:space="0" w:color="auto"/>
              <w:right w:val="outset" w:sz="6" w:space="0" w:color="auto"/>
            </w:tcBorders>
            <w:hideMark/>
          </w:tcPr>
          <w:p w14:paraId="3A89D5C3"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right w:val="outset" w:sz="6" w:space="0" w:color="auto"/>
            </w:tcBorders>
            <w:vAlign w:val="center"/>
            <w:hideMark/>
          </w:tcPr>
          <w:p w14:paraId="0191EB32" w14:textId="4281C8CC" w:rsidR="00736238" w:rsidRPr="00736238" w:rsidRDefault="00736238" w:rsidP="00736238">
            <w:pPr>
              <w:jc w:val="both"/>
              <w:rPr>
                <w:rFonts w:ascii="Times New Roman" w:hAnsi="Times New Roman" w:cs="Times New Roman"/>
                <w:sz w:val="24"/>
                <w:szCs w:val="24"/>
                <w:shd w:val="clear" w:color="auto" w:fill="FFFFFF"/>
              </w:rPr>
            </w:pPr>
          </w:p>
          <w:tbl>
            <w:tblPr>
              <w:tblStyle w:val="TableGrid"/>
              <w:tblW w:w="0" w:type="auto"/>
              <w:tblLook w:val="04A0" w:firstRow="1" w:lastRow="0" w:firstColumn="1" w:lastColumn="0" w:noHBand="0" w:noVBand="1"/>
            </w:tblPr>
            <w:tblGrid>
              <w:gridCol w:w="1591"/>
              <w:gridCol w:w="1424"/>
              <w:gridCol w:w="1392"/>
              <w:gridCol w:w="1376"/>
              <w:gridCol w:w="1499"/>
            </w:tblGrid>
            <w:tr w:rsidR="00736238" w14:paraId="10573379" w14:textId="77777777" w:rsidTr="00176F18">
              <w:trPr>
                <w:trHeight w:val="630"/>
              </w:trPr>
              <w:tc>
                <w:tcPr>
                  <w:tcW w:w="2263" w:type="dxa"/>
                  <w:tcBorders>
                    <w:top w:val="single" w:sz="4" w:space="0" w:color="auto"/>
                    <w:left w:val="single" w:sz="4" w:space="0" w:color="auto"/>
                    <w:bottom w:val="single" w:sz="4" w:space="0" w:color="auto"/>
                    <w:right w:val="single" w:sz="4" w:space="0" w:color="auto"/>
                  </w:tcBorders>
                  <w:hideMark/>
                </w:tcPr>
                <w:p w14:paraId="771CE95A" w14:textId="77777777" w:rsidR="00736238" w:rsidRPr="00736238" w:rsidRDefault="00736238" w:rsidP="00736238">
                  <w:pPr>
                    <w:rPr>
                      <w:rFonts w:ascii="Times New Roman" w:hAnsi="Times New Roman" w:cs="Times New Roman"/>
                      <w:bCs/>
                      <w:color w:val="000000" w:themeColor="text1"/>
                      <w:sz w:val="24"/>
                      <w:szCs w:val="24"/>
                    </w:rPr>
                  </w:pPr>
                  <w:r w:rsidRPr="00736238">
                    <w:rPr>
                      <w:rFonts w:ascii="Times New Roman" w:hAnsi="Times New Roman" w:cs="Times New Roman"/>
                      <w:bCs/>
                      <w:color w:val="000000" w:themeColor="text1"/>
                      <w:sz w:val="24"/>
                      <w:szCs w:val="24"/>
                    </w:rPr>
                    <w:t>Izdevumi </w:t>
                  </w:r>
                </w:p>
              </w:tc>
              <w:tc>
                <w:tcPr>
                  <w:tcW w:w="1701" w:type="dxa"/>
                  <w:tcBorders>
                    <w:top w:val="single" w:sz="4" w:space="0" w:color="auto"/>
                    <w:left w:val="single" w:sz="4" w:space="0" w:color="auto"/>
                    <w:bottom w:val="single" w:sz="4" w:space="0" w:color="auto"/>
                    <w:right w:val="single" w:sz="4" w:space="0" w:color="auto"/>
                  </w:tcBorders>
                  <w:hideMark/>
                </w:tcPr>
                <w:p w14:paraId="2B3113E3" w14:textId="77777777" w:rsidR="00736238" w:rsidRPr="00736238" w:rsidRDefault="00736238" w:rsidP="00736238">
                  <w:pPr>
                    <w:rPr>
                      <w:rFonts w:ascii="Times New Roman" w:hAnsi="Times New Roman" w:cs="Times New Roman"/>
                      <w:bCs/>
                      <w:color w:val="000000" w:themeColor="text1"/>
                      <w:sz w:val="24"/>
                      <w:szCs w:val="24"/>
                    </w:rPr>
                  </w:pPr>
                  <w:r w:rsidRPr="00736238">
                    <w:rPr>
                      <w:rFonts w:ascii="Times New Roman" w:hAnsi="Times New Roman" w:cs="Times New Roman"/>
                      <w:bCs/>
                      <w:color w:val="000000" w:themeColor="text1"/>
                      <w:sz w:val="24"/>
                      <w:szCs w:val="24"/>
                    </w:rPr>
                    <w:t>2019.</w:t>
                  </w:r>
                  <w:r>
                    <w:rPr>
                      <w:rFonts w:ascii="Times New Roman" w:hAnsi="Times New Roman" w:cs="Times New Roman"/>
                      <w:bCs/>
                      <w:color w:val="000000" w:themeColor="text1"/>
                      <w:sz w:val="24"/>
                      <w:szCs w:val="24"/>
                    </w:rPr>
                    <w:t> </w:t>
                  </w:r>
                  <w:r w:rsidRPr="00736238">
                    <w:rPr>
                      <w:rFonts w:ascii="Times New Roman" w:hAnsi="Times New Roman" w:cs="Times New Roman"/>
                      <w:bCs/>
                      <w:color w:val="000000" w:themeColor="text1"/>
                      <w:sz w:val="24"/>
                      <w:szCs w:val="24"/>
                    </w:rPr>
                    <w:t>gads (8 mēneši)</w:t>
                  </w:r>
                </w:p>
              </w:tc>
              <w:tc>
                <w:tcPr>
                  <w:tcW w:w="1418" w:type="dxa"/>
                  <w:tcBorders>
                    <w:top w:val="single" w:sz="4" w:space="0" w:color="auto"/>
                    <w:left w:val="single" w:sz="4" w:space="0" w:color="auto"/>
                    <w:bottom w:val="single" w:sz="4" w:space="0" w:color="auto"/>
                    <w:right w:val="single" w:sz="4" w:space="0" w:color="auto"/>
                  </w:tcBorders>
                  <w:hideMark/>
                </w:tcPr>
                <w:p w14:paraId="14D4BE6A" w14:textId="7F7A61C3" w:rsidR="00736238" w:rsidRPr="00736238" w:rsidRDefault="00736238" w:rsidP="00736238">
                  <w:pPr>
                    <w:rPr>
                      <w:rFonts w:ascii="Times New Roman" w:hAnsi="Times New Roman" w:cs="Times New Roman"/>
                      <w:bCs/>
                      <w:color w:val="000000" w:themeColor="text1"/>
                      <w:sz w:val="24"/>
                      <w:szCs w:val="24"/>
                    </w:rPr>
                  </w:pPr>
                  <w:r w:rsidRPr="00736238">
                    <w:rPr>
                      <w:rFonts w:ascii="Times New Roman" w:hAnsi="Times New Roman" w:cs="Times New Roman"/>
                      <w:bCs/>
                      <w:color w:val="000000" w:themeColor="text1"/>
                      <w:sz w:val="24"/>
                      <w:szCs w:val="24"/>
                    </w:rPr>
                    <w:t>2020.</w:t>
                  </w:r>
                  <w:r>
                    <w:rPr>
                      <w:rFonts w:ascii="Times New Roman" w:hAnsi="Times New Roman" w:cs="Times New Roman"/>
                      <w:bCs/>
                      <w:color w:val="000000" w:themeColor="text1"/>
                      <w:sz w:val="24"/>
                      <w:szCs w:val="24"/>
                    </w:rPr>
                    <w:t> </w:t>
                  </w:r>
                  <w:r w:rsidRPr="00736238">
                    <w:rPr>
                      <w:rFonts w:ascii="Times New Roman" w:hAnsi="Times New Roman" w:cs="Times New Roman"/>
                      <w:bCs/>
                      <w:color w:val="000000" w:themeColor="text1"/>
                      <w:sz w:val="24"/>
                      <w:szCs w:val="24"/>
                    </w:rPr>
                    <w:t>gads</w:t>
                  </w:r>
                </w:p>
              </w:tc>
              <w:tc>
                <w:tcPr>
                  <w:tcW w:w="1276" w:type="dxa"/>
                  <w:tcBorders>
                    <w:top w:val="single" w:sz="4" w:space="0" w:color="auto"/>
                    <w:left w:val="single" w:sz="4" w:space="0" w:color="auto"/>
                    <w:bottom w:val="single" w:sz="4" w:space="0" w:color="auto"/>
                    <w:right w:val="single" w:sz="4" w:space="0" w:color="auto"/>
                  </w:tcBorders>
                  <w:hideMark/>
                </w:tcPr>
                <w:p w14:paraId="40999EE8" w14:textId="15057DFD" w:rsidR="00736238" w:rsidRPr="00736238" w:rsidRDefault="00736238" w:rsidP="00736238">
                  <w:pPr>
                    <w:rPr>
                      <w:rFonts w:ascii="Times New Roman" w:hAnsi="Times New Roman" w:cs="Times New Roman"/>
                      <w:bCs/>
                      <w:color w:val="000000" w:themeColor="text1"/>
                      <w:sz w:val="24"/>
                      <w:szCs w:val="24"/>
                    </w:rPr>
                  </w:pPr>
                  <w:r w:rsidRPr="00736238">
                    <w:rPr>
                      <w:rFonts w:ascii="Times New Roman" w:hAnsi="Times New Roman" w:cs="Times New Roman"/>
                      <w:bCs/>
                      <w:color w:val="000000" w:themeColor="text1"/>
                      <w:sz w:val="24"/>
                      <w:szCs w:val="24"/>
                    </w:rPr>
                    <w:t>2021.</w:t>
                  </w:r>
                  <w:r>
                    <w:rPr>
                      <w:rFonts w:ascii="Times New Roman" w:hAnsi="Times New Roman" w:cs="Times New Roman"/>
                      <w:bCs/>
                      <w:color w:val="000000" w:themeColor="text1"/>
                      <w:sz w:val="24"/>
                      <w:szCs w:val="24"/>
                    </w:rPr>
                    <w:t> </w:t>
                  </w:r>
                  <w:r w:rsidRPr="00736238">
                    <w:rPr>
                      <w:rFonts w:ascii="Times New Roman" w:hAnsi="Times New Roman" w:cs="Times New Roman"/>
                      <w:bCs/>
                      <w:color w:val="000000" w:themeColor="text1"/>
                      <w:sz w:val="24"/>
                      <w:szCs w:val="24"/>
                    </w:rPr>
                    <w:t>gads</w:t>
                  </w:r>
                </w:p>
              </w:tc>
              <w:tc>
                <w:tcPr>
                  <w:tcW w:w="1701" w:type="dxa"/>
                  <w:tcBorders>
                    <w:top w:val="single" w:sz="4" w:space="0" w:color="auto"/>
                    <w:left w:val="single" w:sz="4" w:space="0" w:color="auto"/>
                    <w:bottom w:val="single" w:sz="4" w:space="0" w:color="auto"/>
                    <w:right w:val="single" w:sz="4" w:space="0" w:color="auto"/>
                  </w:tcBorders>
                  <w:hideMark/>
                </w:tcPr>
                <w:p w14:paraId="6071FF2C" w14:textId="77777777" w:rsidR="00736238" w:rsidRPr="00736238" w:rsidRDefault="00736238" w:rsidP="00736238">
                  <w:pPr>
                    <w:rPr>
                      <w:rFonts w:ascii="Times New Roman" w:hAnsi="Times New Roman" w:cs="Times New Roman"/>
                      <w:bCs/>
                      <w:color w:val="000000" w:themeColor="text1"/>
                      <w:sz w:val="24"/>
                      <w:szCs w:val="24"/>
                    </w:rPr>
                  </w:pPr>
                  <w:r w:rsidRPr="00736238">
                    <w:rPr>
                      <w:rFonts w:ascii="Times New Roman" w:hAnsi="Times New Roman" w:cs="Times New Roman"/>
                      <w:bCs/>
                      <w:color w:val="000000" w:themeColor="text1"/>
                      <w:sz w:val="24"/>
                      <w:szCs w:val="24"/>
                    </w:rPr>
                    <w:t xml:space="preserve">Turpmāk katru gadu </w:t>
                  </w:r>
                </w:p>
              </w:tc>
            </w:tr>
            <w:tr w:rsidR="00736238" w14:paraId="41C16C4D" w14:textId="77777777" w:rsidTr="00176F18">
              <w:trPr>
                <w:trHeight w:val="555"/>
              </w:trPr>
              <w:tc>
                <w:tcPr>
                  <w:tcW w:w="2263" w:type="dxa"/>
                  <w:tcBorders>
                    <w:top w:val="single" w:sz="4" w:space="0" w:color="auto"/>
                    <w:left w:val="single" w:sz="4" w:space="0" w:color="auto"/>
                    <w:bottom w:val="single" w:sz="4" w:space="0" w:color="auto"/>
                    <w:right w:val="single" w:sz="4" w:space="0" w:color="auto"/>
                  </w:tcBorders>
                  <w:hideMark/>
                </w:tcPr>
                <w:p w14:paraId="7C5E5F6D" w14:textId="77777777" w:rsidR="00736238" w:rsidRDefault="00736238" w:rsidP="00736238">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atlīdzība </w:t>
                  </w:r>
                </w:p>
              </w:tc>
              <w:tc>
                <w:tcPr>
                  <w:tcW w:w="1701" w:type="dxa"/>
                  <w:tcBorders>
                    <w:top w:val="single" w:sz="4" w:space="0" w:color="auto"/>
                    <w:left w:val="single" w:sz="4" w:space="0" w:color="auto"/>
                    <w:bottom w:val="single" w:sz="4" w:space="0" w:color="auto"/>
                    <w:right w:val="single" w:sz="4" w:space="0" w:color="auto"/>
                  </w:tcBorders>
                </w:tcPr>
                <w:p w14:paraId="4B7FDAD3" w14:textId="67751979" w:rsidR="00736238" w:rsidRDefault="008558CB" w:rsidP="007362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1 199 * 8 = 9592 </w:t>
                  </w:r>
                  <w:r w:rsidR="00736238" w:rsidRPr="00736238">
                    <w:rPr>
                      <w:rFonts w:ascii="Times New Roman" w:hAnsi="Times New Roman" w:cs="Times New Roman"/>
                      <w:i/>
                      <w:color w:val="000000" w:themeColor="text1"/>
                      <w:sz w:val="24"/>
                      <w:szCs w:val="24"/>
                    </w:rPr>
                    <w:t>euro</w:t>
                  </w:r>
                </w:p>
                <w:p w14:paraId="02FA9ECE" w14:textId="77777777" w:rsidR="00736238" w:rsidRDefault="00736238" w:rsidP="00736238">
                  <w:pPr>
                    <w:rPr>
                      <w:rFonts w:ascii="Times New Roman" w:hAnsi="Times New Roman" w:cs="Times New Roman"/>
                      <w:b/>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63AB099E" w14:textId="31F5D325" w:rsidR="00736238" w:rsidRDefault="008558CB" w:rsidP="00736238">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14 388 </w:t>
                  </w:r>
                  <w:r w:rsidR="00736238" w:rsidRPr="00736238">
                    <w:rPr>
                      <w:rFonts w:ascii="Times New Roman" w:hAnsi="Times New Roman" w:cs="Times New Roman"/>
                      <w:i/>
                      <w:color w:val="000000" w:themeColor="text1"/>
                      <w:sz w:val="24"/>
                      <w:szCs w:val="24"/>
                    </w:rPr>
                    <w:t>euro</w:t>
                  </w:r>
                </w:p>
              </w:tc>
              <w:tc>
                <w:tcPr>
                  <w:tcW w:w="1276" w:type="dxa"/>
                  <w:tcBorders>
                    <w:top w:val="single" w:sz="4" w:space="0" w:color="auto"/>
                    <w:left w:val="single" w:sz="4" w:space="0" w:color="auto"/>
                    <w:bottom w:val="single" w:sz="4" w:space="0" w:color="auto"/>
                    <w:right w:val="single" w:sz="4" w:space="0" w:color="auto"/>
                  </w:tcBorders>
                  <w:hideMark/>
                </w:tcPr>
                <w:p w14:paraId="339CE8DD" w14:textId="0ED56F4C" w:rsidR="00736238" w:rsidRDefault="008558CB" w:rsidP="00736238">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14 388 </w:t>
                  </w:r>
                  <w:r w:rsidR="00736238" w:rsidRPr="00736238">
                    <w:rPr>
                      <w:rFonts w:ascii="Times New Roman" w:hAnsi="Times New Roman" w:cs="Times New Roman"/>
                      <w:i/>
                      <w:color w:val="000000" w:themeColor="text1"/>
                      <w:sz w:val="24"/>
                      <w:szCs w:val="24"/>
                    </w:rPr>
                    <w:t>euro</w:t>
                  </w:r>
                </w:p>
              </w:tc>
              <w:tc>
                <w:tcPr>
                  <w:tcW w:w="1701" w:type="dxa"/>
                  <w:tcBorders>
                    <w:top w:val="single" w:sz="4" w:space="0" w:color="auto"/>
                    <w:left w:val="single" w:sz="4" w:space="0" w:color="auto"/>
                    <w:bottom w:val="single" w:sz="4" w:space="0" w:color="auto"/>
                    <w:right w:val="single" w:sz="4" w:space="0" w:color="auto"/>
                  </w:tcBorders>
                  <w:hideMark/>
                </w:tcPr>
                <w:p w14:paraId="259E376F" w14:textId="3687A822" w:rsidR="00736238" w:rsidRDefault="008558CB" w:rsidP="00736238">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14 338 </w:t>
                  </w:r>
                  <w:r w:rsidR="00736238" w:rsidRPr="00736238">
                    <w:rPr>
                      <w:rFonts w:ascii="Times New Roman" w:hAnsi="Times New Roman" w:cs="Times New Roman"/>
                      <w:i/>
                      <w:color w:val="000000" w:themeColor="text1"/>
                      <w:sz w:val="24"/>
                      <w:szCs w:val="24"/>
                    </w:rPr>
                    <w:t>euro</w:t>
                  </w:r>
                </w:p>
              </w:tc>
            </w:tr>
          </w:tbl>
          <w:p w14:paraId="54DA6E95" w14:textId="694FB783" w:rsidR="00B14F5F" w:rsidRPr="00EA3928" w:rsidRDefault="00835A2D" w:rsidP="00EA3928">
            <w:pPr>
              <w:rPr>
                <w:rFonts w:ascii="Times New Roman" w:hAnsi="Times New Roman" w:cs="Times New Roman"/>
                <w:color w:val="000000" w:themeColor="text1"/>
              </w:rPr>
            </w:pPr>
            <w:r>
              <w:rPr>
                <w:rFonts w:ascii="Times New Roman" w:hAnsi="Times New Roman" w:cs="Times New Roman"/>
                <w:color w:val="000000" w:themeColor="text1"/>
                <w:sz w:val="24"/>
                <w:szCs w:val="24"/>
              </w:rPr>
              <w:t>Piemaksa Dabas aizsardzības pārvaldes darbiniekiem: vidēji d</w:t>
            </w:r>
            <w:r w:rsidR="00736238">
              <w:rPr>
                <w:rFonts w:ascii="Times New Roman" w:hAnsi="Times New Roman" w:cs="Times New Roman"/>
                <w:color w:val="000000" w:themeColor="text1"/>
                <w:sz w:val="24"/>
                <w:szCs w:val="24"/>
              </w:rPr>
              <w:t xml:space="preserve">ivi darbinieki * vidēji 483 </w:t>
            </w:r>
            <w:r w:rsidR="00736238" w:rsidRPr="00736238">
              <w:rPr>
                <w:rFonts w:ascii="Times New Roman" w:hAnsi="Times New Roman" w:cs="Times New Roman"/>
                <w:i/>
                <w:color w:val="000000" w:themeColor="text1"/>
                <w:sz w:val="24"/>
                <w:szCs w:val="24"/>
              </w:rPr>
              <w:t>euro</w:t>
            </w:r>
            <w:r w:rsidR="008558CB">
              <w:rPr>
                <w:rFonts w:ascii="Times New Roman" w:hAnsi="Times New Roman" w:cs="Times New Roman"/>
                <w:color w:val="000000" w:themeColor="text1"/>
                <w:sz w:val="24"/>
                <w:szCs w:val="24"/>
              </w:rPr>
              <w:t xml:space="preserve"> + 2*24.09%= 1199 </w:t>
            </w:r>
            <w:r w:rsidR="00736238" w:rsidRPr="00736238">
              <w:rPr>
                <w:rFonts w:ascii="Times New Roman" w:hAnsi="Times New Roman" w:cs="Times New Roman"/>
                <w:i/>
                <w:color w:val="000000" w:themeColor="text1"/>
                <w:sz w:val="24"/>
                <w:szCs w:val="24"/>
              </w:rPr>
              <w:t>eu</w:t>
            </w:r>
            <w:r w:rsidRPr="00736238">
              <w:rPr>
                <w:rFonts w:ascii="Times New Roman" w:hAnsi="Times New Roman" w:cs="Times New Roman"/>
                <w:i/>
                <w:color w:val="000000" w:themeColor="text1"/>
                <w:sz w:val="24"/>
                <w:szCs w:val="24"/>
              </w:rPr>
              <w:t>ro</w:t>
            </w:r>
            <w:r>
              <w:rPr>
                <w:rFonts w:ascii="Times New Roman" w:hAnsi="Times New Roman" w:cs="Times New Roman"/>
                <w:color w:val="000000" w:themeColor="text1"/>
                <w:sz w:val="24"/>
                <w:szCs w:val="24"/>
              </w:rPr>
              <w:t xml:space="preserve"> / mēnesī.</w:t>
            </w:r>
          </w:p>
        </w:tc>
      </w:tr>
      <w:tr w:rsidR="00B14F5F" w:rsidRPr="002D55CC" w14:paraId="253E8CAA" w14:textId="77777777" w:rsidTr="00835A2D">
        <w:trPr>
          <w:trHeight w:val="296"/>
          <w:tblCellSpacing w:w="15" w:type="dxa"/>
        </w:trPr>
        <w:tc>
          <w:tcPr>
            <w:tcW w:w="874" w:type="pct"/>
            <w:vMerge w:val="restart"/>
            <w:tcBorders>
              <w:top w:val="outset" w:sz="6" w:space="0" w:color="auto"/>
              <w:left w:val="outset" w:sz="6" w:space="0" w:color="auto"/>
              <w:right w:val="outset" w:sz="6" w:space="0" w:color="auto"/>
            </w:tcBorders>
            <w:hideMark/>
          </w:tcPr>
          <w:p w14:paraId="26DEB5EE" w14:textId="41471168"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left w:val="outset" w:sz="6" w:space="0" w:color="auto"/>
              <w:right w:val="outset" w:sz="6" w:space="0" w:color="auto"/>
            </w:tcBorders>
            <w:vAlign w:val="center"/>
            <w:hideMark/>
          </w:tcPr>
          <w:p w14:paraId="48F62036"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p>
        </w:tc>
      </w:tr>
      <w:tr w:rsidR="00B14F5F" w:rsidRPr="002D55CC" w14:paraId="39D21672" w14:textId="77777777" w:rsidTr="00835A2D">
        <w:trPr>
          <w:trHeight w:val="295"/>
          <w:tblCellSpacing w:w="15" w:type="dxa"/>
        </w:trPr>
        <w:tc>
          <w:tcPr>
            <w:tcW w:w="874" w:type="pct"/>
            <w:vMerge/>
            <w:tcBorders>
              <w:left w:val="outset" w:sz="6" w:space="0" w:color="auto"/>
              <w:bottom w:val="outset" w:sz="6" w:space="0" w:color="auto"/>
              <w:right w:val="outset" w:sz="6" w:space="0" w:color="auto"/>
            </w:tcBorders>
          </w:tcPr>
          <w:p w14:paraId="0EDF6BDC"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p>
        </w:tc>
        <w:tc>
          <w:tcPr>
            <w:tcW w:w="0" w:type="auto"/>
            <w:gridSpan w:val="7"/>
            <w:tcBorders>
              <w:left w:val="outset" w:sz="6" w:space="0" w:color="auto"/>
              <w:right w:val="outset" w:sz="6" w:space="0" w:color="auto"/>
            </w:tcBorders>
            <w:vAlign w:val="center"/>
          </w:tcPr>
          <w:p w14:paraId="2C39A094" w14:textId="75567676" w:rsidR="00775213" w:rsidRPr="002D55CC" w:rsidRDefault="00775213" w:rsidP="00CD2F1A">
            <w:pPr>
              <w:spacing w:after="0" w:line="240" w:lineRule="auto"/>
              <w:rPr>
                <w:rFonts w:ascii="Times New Roman" w:eastAsia="Times New Roman" w:hAnsi="Times New Roman" w:cs="Times New Roman"/>
                <w:iCs/>
                <w:color w:val="414142"/>
                <w:sz w:val="24"/>
                <w:szCs w:val="24"/>
                <w:lang w:eastAsia="lv-LV"/>
              </w:rPr>
            </w:pPr>
          </w:p>
        </w:tc>
      </w:tr>
      <w:tr w:rsidR="00B14F5F" w:rsidRPr="002D55CC" w14:paraId="7E646DFB"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BA70F73"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6.2. detalizēts izdevumu aprēķins</w:t>
            </w:r>
          </w:p>
        </w:tc>
        <w:tc>
          <w:tcPr>
            <w:tcW w:w="0" w:type="auto"/>
            <w:gridSpan w:val="7"/>
            <w:tcBorders>
              <w:left w:val="outset" w:sz="6" w:space="0" w:color="auto"/>
              <w:bottom w:val="outset" w:sz="6" w:space="0" w:color="auto"/>
              <w:right w:val="outset" w:sz="6" w:space="0" w:color="auto"/>
            </w:tcBorders>
            <w:vAlign w:val="center"/>
            <w:hideMark/>
          </w:tcPr>
          <w:p w14:paraId="0308A9BD"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p>
        </w:tc>
      </w:tr>
      <w:tr w:rsidR="00B14F5F" w:rsidRPr="002D55CC" w14:paraId="3478EB3C"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DDC2A79"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75AB83CE" w14:textId="552B87F6" w:rsidR="00B14F5F" w:rsidRDefault="00B14F5F" w:rsidP="00B14F5F">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Amata v</w:t>
            </w:r>
            <w:r w:rsidR="00DE7813">
              <w:rPr>
                <w:rFonts w:ascii="Times New Roman" w:eastAsia="Times New Roman" w:hAnsi="Times New Roman" w:cs="Times New Roman"/>
                <w:iCs/>
                <w:sz w:val="24"/>
                <w:szCs w:val="24"/>
                <w:lang w:eastAsia="lv-LV"/>
              </w:rPr>
              <w:t xml:space="preserve">ietu skaita izmaiņas </w:t>
            </w:r>
            <w:r w:rsidR="00CD2F1A">
              <w:rPr>
                <w:rFonts w:ascii="Times New Roman" w:eastAsia="Times New Roman" w:hAnsi="Times New Roman" w:cs="Times New Roman"/>
                <w:iCs/>
                <w:sz w:val="24"/>
                <w:szCs w:val="24"/>
                <w:lang w:eastAsia="lv-LV"/>
              </w:rPr>
              <w:t>resorā</w:t>
            </w:r>
            <w:r w:rsidR="00813FC1">
              <w:rPr>
                <w:rFonts w:ascii="Times New Roman" w:eastAsia="Times New Roman" w:hAnsi="Times New Roman" w:cs="Times New Roman"/>
                <w:iCs/>
                <w:sz w:val="24"/>
                <w:szCs w:val="24"/>
                <w:lang w:eastAsia="lv-LV"/>
              </w:rPr>
              <w:t xml:space="preserve"> nav</w:t>
            </w:r>
            <w:r w:rsidR="00DE7813">
              <w:rPr>
                <w:rFonts w:ascii="Times New Roman" w:eastAsia="Times New Roman" w:hAnsi="Times New Roman" w:cs="Times New Roman"/>
                <w:iCs/>
                <w:sz w:val="24"/>
                <w:szCs w:val="24"/>
                <w:lang w:eastAsia="lv-LV"/>
              </w:rPr>
              <w:t xml:space="preserve"> plānotas</w:t>
            </w:r>
            <w:r>
              <w:rPr>
                <w:rFonts w:ascii="Times New Roman" w:eastAsia="Times New Roman" w:hAnsi="Times New Roman" w:cs="Times New Roman"/>
                <w:iCs/>
                <w:sz w:val="24"/>
                <w:szCs w:val="24"/>
                <w:lang w:eastAsia="lv-LV"/>
              </w:rPr>
              <w:t>.</w:t>
            </w:r>
          </w:p>
          <w:p w14:paraId="32565147" w14:textId="4EFAFC6D" w:rsidR="00301D12" w:rsidRPr="00AF7938" w:rsidRDefault="00301D12" w:rsidP="007B50AA">
            <w:pPr>
              <w:spacing w:after="120" w:line="240" w:lineRule="auto"/>
              <w:jc w:val="both"/>
              <w:rPr>
                <w:rFonts w:ascii="Times New Roman" w:hAnsi="Times New Roman" w:cs="Times New Roman"/>
                <w:sz w:val="24"/>
                <w:szCs w:val="24"/>
              </w:rPr>
            </w:pPr>
          </w:p>
        </w:tc>
      </w:tr>
      <w:tr w:rsidR="00B14F5F" w:rsidRPr="002D55CC" w14:paraId="69C0E262" w14:textId="77777777" w:rsidTr="00835A2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DE5197E"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790FAF31" w14:textId="6BA8C0CE" w:rsidR="00D01724" w:rsidRPr="007868C2" w:rsidRDefault="00D01724" w:rsidP="007868C2">
            <w:pPr>
              <w:spacing w:after="120" w:line="240" w:lineRule="auto"/>
              <w:jc w:val="both"/>
              <w:rPr>
                <w:rFonts w:ascii="Times New Roman" w:hAnsi="Times New Roman" w:cs="Times New Roman"/>
                <w:sz w:val="24"/>
                <w:szCs w:val="24"/>
                <w:shd w:val="clear" w:color="auto" w:fill="FFFFFF"/>
              </w:rPr>
            </w:pPr>
            <w:r w:rsidRPr="00736238">
              <w:rPr>
                <w:rFonts w:ascii="Times New Roman" w:hAnsi="Times New Roman" w:cs="Times New Roman"/>
                <w:sz w:val="24"/>
                <w:szCs w:val="24"/>
              </w:rPr>
              <w:t>Saskaņā ar Ministru kabineta 2019. gada 8. februāra sēdes protokollēmumu Nr. 6 (1.</w:t>
            </w:r>
            <w:r>
              <w:rPr>
                <w:rFonts w:ascii="Times New Roman" w:hAnsi="Times New Roman" w:cs="Times New Roman"/>
                <w:sz w:val="24"/>
                <w:szCs w:val="24"/>
                <w:shd w:val="clear" w:color="auto" w:fill="FFFFFF"/>
              </w:rPr>
              <w:t> </w:t>
            </w:r>
            <w:r w:rsidRPr="00736238">
              <w:rPr>
                <w:rFonts w:ascii="Times New Roman" w:hAnsi="Times New Roman" w:cs="Times New Roman"/>
                <w:sz w:val="24"/>
                <w:szCs w:val="24"/>
                <w:shd w:val="clear" w:color="auto" w:fill="FFFFFF"/>
              </w:rPr>
              <w:t>§ 23. un 23.1. punkts)</w:t>
            </w:r>
            <w:r w:rsidRPr="00736238">
              <w:rPr>
                <w:rStyle w:val="FootnoteReference"/>
                <w:rFonts w:ascii="Times New Roman" w:hAnsi="Times New Roman" w:cs="Times New Roman"/>
                <w:sz w:val="24"/>
                <w:szCs w:val="24"/>
                <w:shd w:val="clear" w:color="auto" w:fill="FFFFFF"/>
              </w:rPr>
              <w:footnoteReference w:customMarkFollows="1" w:id="17"/>
              <w:t>[1]</w:t>
            </w:r>
            <w:r w:rsidRPr="00736238">
              <w:rPr>
                <w:rFonts w:ascii="Times New Roman" w:hAnsi="Times New Roman" w:cs="Times New Roman"/>
                <w:sz w:val="24"/>
                <w:szCs w:val="24"/>
                <w:shd w:val="clear" w:color="auto" w:fill="FFFFFF"/>
              </w:rPr>
              <w:t>, anotācijas 2. punktā minētais finansējums pārdalīts</w:t>
            </w:r>
            <w:r w:rsidRPr="00736238">
              <w:rPr>
                <w:sz w:val="24"/>
                <w:szCs w:val="24"/>
              </w:rPr>
              <w:t xml:space="preserve"> </w:t>
            </w:r>
            <w:r>
              <w:rPr>
                <w:rFonts w:ascii="Times New Roman" w:hAnsi="Times New Roman" w:cs="Times New Roman"/>
                <w:sz w:val="24"/>
                <w:szCs w:val="24"/>
                <w:shd w:val="clear" w:color="auto" w:fill="FFFFFF"/>
              </w:rPr>
              <w:t>budžeta apakšprogrammā</w:t>
            </w:r>
            <w:r w:rsidRPr="00736238">
              <w:rPr>
                <w:rFonts w:ascii="Times New Roman" w:hAnsi="Times New Roman" w:cs="Times New Roman"/>
                <w:sz w:val="24"/>
                <w:szCs w:val="24"/>
                <w:shd w:val="clear" w:color="auto" w:fill="FFFFFF"/>
              </w:rPr>
              <w:t xml:space="preserve"> 24.08.00 “Nacionālo</w:t>
            </w:r>
            <w:r>
              <w:rPr>
                <w:rFonts w:ascii="Times New Roman" w:hAnsi="Times New Roman" w:cs="Times New Roman"/>
                <w:sz w:val="24"/>
                <w:szCs w:val="24"/>
                <w:shd w:val="clear" w:color="auto" w:fill="FFFFFF"/>
              </w:rPr>
              <w:t xml:space="preserve"> parku darbības nodrošināšana” </w:t>
            </w:r>
            <w:r w:rsidRPr="00736238">
              <w:rPr>
                <w:rFonts w:ascii="Times New Roman" w:hAnsi="Times New Roman" w:cs="Times New Roman"/>
                <w:sz w:val="24"/>
                <w:szCs w:val="24"/>
                <w:shd w:val="clear" w:color="auto" w:fill="FFFFFF"/>
              </w:rPr>
              <w:t>no izdevumiem sociāliem pabalstiem (kompensācijas par īpaši aizsargājamo nemedījamo sugu un migrējošo sugu dzīvnieku nodarītajiem postījumiem) uz izdevumiem atlīdzībai 2019.</w:t>
            </w:r>
            <w:r>
              <w:rPr>
                <w:rFonts w:ascii="Times New Roman" w:hAnsi="Times New Roman" w:cs="Times New Roman"/>
                <w:sz w:val="24"/>
                <w:szCs w:val="24"/>
                <w:shd w:val="clear" w:color="auto" w:fill="FFFFFF"/>
              </w:rPr>
              <w:t> </w:t>
            </w:r>
            <w:r w:rsidRPr="00736238">
              <w:rPr>
                <w:rFonts w:ascii="Times New Roman" w:hAnsi="Times New Roman" w:cs="Times New Roman"/>
                <w:sz w:val="24"/>
                <w:szCs w:val="24"/>
                <w:shd w:val="clear" w:color="auto" w:fill="FFFFFF"/>
              </w:rPr>
              <w:t>gadam 9</w:t>
            </w:r>
            <w:r w:rsidR="00704F59">
              <w:rPr>
                <w:rFonts w:ascii="Times New Roman" w:hAnsi="Times New Roman" w:cs="Times New Roman"/>
                <w:sz w:val="24"/>
                <w:szCs w:val="24"/>
                <w:shd w:val="clear" w:color="auto" w:fill="FFFFFF"/>
              </w:rPr>
              <w:t> </w:t>
            </w:r>
            <w:r w:rsidRPr="00736238">
              <w:rPr>
                <w:rFonts w:ascii="Times New Roman" w:hAnsi="Times New Roman" w:cs="Times New Roman"/>
                <w:sz w:val="24"/>
                <w:szCs w:val="24"/>
                <w:shd w:val="clear" w:color="auto" w:fill="FFFFFF"/>
              </w:rPr>
              <w:t>592</w:t>
            </w:r>
            <w:r w:rsidR="00704F59">
              <w:rPr>
                <w:rFonts w:ascii="Times New Roman" w:hAnsi="Times New Roman" w:cs="Times New Roman"/>
                <w:sz w:val="24"/>
                <w:szCs w:val="24"/>
                <w:shd w:val="clear" w:color="auto" w:fill="FFFFFF"/>
              </w:rPr>
              <w:t> </w:t>
            </w:r>
            <w:r w:rsidRPr="00736238">
              <w:rPr>
                <w:rFonts w:ascii="Times New Roman" w:hAnsi="Times New Roman" w:cs="Times New Roman"/>
                <w:i/>
                <w:sz w:val="24"/>
                <w:szCs w:val="24"/>
                <w:shd w:val="clear" w:color="auto" w:fill="FFFFFF"/>
              </w:rPr>
              <w:t>euro</w:t>
            </w:r>
            <w:r>
              <w:rPr>
                <w:rFonts w:ascii="Times New Roman" w:hAnsi="Times New Roman" w:cs="Times New Roman"/>
                <w:sz w:val="24"/>
                <w:szCs w:val="24"/>
                <w:shd w:val="clear" w:color="auto" w:fill="FFFFFF"/>
              </w:rPr>
              <w:t xml:space="preserve"> un turpmākiem gadiem 14</w:t>
            </w:r>
            <w:r w:rsidR="006562BB">
              <w:rPr>
                <w:rFonts w:ascii="Times New Roman" w:hAnsi="Times New Roman" w:cs="Times New Roman"/>
                <w:sz w:val="24"/>
                <w:szCs w:val="24"/>
                <w:shd w:val="clear" w:color="auto" w:fill="FFFFFF"/>
              </w:rPr>
              <w:t> </w:t>
            </w:r>
            <w:r w:rsidRPr="00736238">
              <w:rPr>
                <w:rFonts w:ascii="Times New Roman" w:hAnsi="Times New Roman" w:cs="Times New Roman"/>
                <w:sz w:val="24"/>
                <w:szCs w:val="24"/>
                <w:shd w:val="clear" w:color="auto" w:fill="FFFFFF"/>
              </w:rPr>
              <w:t>388</w:t>
            </w:r>
            <w:r w:rsidR="006562BB">
              <w:rPr>
                <w:rFonts w:ascii="Times New Roman" w:hAnsi="Times New Roman" w:cs="Times New Roman"/>
                <w:sz w:val="24"/>
                <w:szCs w:val="24"/>
                <w:shd w:val="clear" w:color="auto" w:fill="FFFFFF"/>
              </w:rPr>
              <w:t> </w:t>
            </w:r>
            <w:r w:rsidRPr="00736238">
              <w:rPr>
                <w:rFonts w:ascii="Times New Roman" w:hAnsi="Times New Roman" w:cs="Times New Roman"/>
                <w:i/>
                <w:sz w:val="24"/>
                <w:szCs w:val="24"/>
                <w:shd w:val="clear" w:color="auto" w:fill="FFFFFF"/>
              </w:rPr>
              <w:t>euro</w:t>
            </w:r>
            <w:r>
              <w:rPr>
                <w:rFonts w:ascii="Times New Roman" w:hAnsi="Times New Roman" w:cs="Times New Roman"/>
                <w:sz w:val="24"/>
                <w:szCs w:val="24"/>
                <w:shd w:val="clear" w:color="auto" w:fill="FFFFFF"/>
              </w:rPr>
              <w:t>.</w:t>
            </w:r>
          </w:p>
        </w:tc>
      </w:tr>
    </w:tbl>
    <w:p w14:paraId="27B9C5E9" w14:textId="6A6A53E5"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611593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EA3C3C" w14:textId="55B90513"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IV.</w:t>
            </w:r>
            <w:r w:rsidR="00EC0D4B">
              <w:rPr>
                <w:rFonts w:ascii="Times New Roman" w:eastAsia="Times New Roman" w:hAnsi="Times New Roman" w:cs="Times New Roman"/>
                <w:b/>
                <w:bCs/>
                <w:iCs/>
                <w:color w:val="414142"/>
                <w:sz w:val="24"/>
                <w:szCs w:val="24"/>
                <w:lang w:eastAsia="lv-LV"/>
              </w:rPr>
              <w:t> </w:t>
            </w:r>
            <w:r w:rsidRPr="002D55CC">
              <w:rPr>
                <w:rFonts w:ascii="Times New Roman" w:eastAsia="Times New Roman" w:hAnsi="Times New Roman" w:cs="Times New Roman"/>
                <w:b/>
                <w:bCs/>
                <w:iCs/>
                <w:color w:val="414142"/>
                <w:sz w:val="24"/>
                <w:szCs w:val="24"/>
                <w:lang w:eastAsia="lv-LV"/>
              </w:rPr>
              <w:t>Tiesību akta projekta ietekme uz spēkā esošo tiesību normu sistēmu</w:t>
            </w:r>
          </w:p>
        </w:tc>
      </w:tr>
      <w:tr w:rsidR="00E5323B" w:rsidRPr="002D55CC" w14:paraId="00BE15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C0D215"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4832B0"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2DE05B0" w14:textId="3FD36AB1" w:rsidR="00BE3078" w:rsidRDefault="001143A6" w:rsidP="001143A6">
            <w:pPr>
              <w:spacing w:after="12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Saskaņā ar r</w:t>
            </w:r>
            <w:r w:rsidR="00BE3078" w:rsidRPr="00BE3078">
              <w:rPr>
                <w:rFonts w:ascii="Times New Roman" w:eastAsia="Times New Roman" w:hAnsi="Times New Roman" w:cs="Times New Roman"/>
                <w:iCs/>
                <w:sz w:val="24"/>
                <w:szCs w:val="24"/>
                <w:lang w:eastAsia="lv-LV"/>
              </w:rPr>
              <w:t>egulas 11. </w:t>
            </w:r>
            <w:r w:rsidR="00BE3078" w:rsidRPr="00BE3078">
              <w:rPr>
                <w:rFonts w:ascii="Times New Roman" w:hAnsi="Times New Roman" w:cs="Times New Roman"/>
                <w:sz w:val="24"/>
                <w:szCs w:val="24"/>
              </w:rPr>
              <w:t xml:space="preserve">pantu par sankciju paredzēšanu un 4. un 7. pantā noteikto par ģenētisko resursu lietotāju pienākumiem un lietotāju atbilstības uzraudzību, </w:t>
            </w:r>
            <w:r w:rsidR="00EC0D4B">
              <w:rPr>
                <w:rFonts w:ascii="Times New Roman" w:eastAsia="Times New Roman" w:hAnsi="Times New Roman" w:cs="Times New Roman"/>
                <w:iCs/>
                <w:sz w:val="24"/>
                <w:szCs w:val="24"/>
                <w:lang w:eastAsia="lv-LV"/>
              </w:rPr>
              <w:t>vienlaikus</w:t>
            </w:r>
            <w:r>
              <w:rPr>
                <w:rFonts w:ascii="Times New Roman" w:eastAsia="Times New Roman" w:hAnsi="Times New Roman" w:cs="Times New Roman"/>
                <w:iCs/>
                <w:sz w:val="24"/>
                <w:szCs w:val="24"/>
                <w:lang w:eastAsia="lv-LV"/>
              </w:rPr>
              <w:t xml:space="preserve"> ar l</w:t>
            </w:r>
            <w:r w:rsidR="005B4C5F" w:rsidRPr="00BE3078">
              <w:rPr>
                <w:rFonts w:ascii="Times New Roman" w:eastAsia="Times New Roman" w:hAnsi="Times New Roman" w:cs="Times New Roman"/>
                <w:iCs/>
                <w:sz w:val="24"/>
                <w:szCs w:val="24"/>
                <w:lang w:eastAsia="lv-LV"/>
              </w:rPr>
              <w:t>ikumprojektu tiek virzīt</w:t>
            </w:r>
            <w:r w:rsidR="00BE3078" w:rsidRPr="00BE3078">
              <w:rPr>
                <w:rFonts w:ascii="Times New Roman" w:eastAsia="Times New Roman" w:hAnsi="Times New Roman" w:cs="Times New Roman"/>
                <w:iCs/>
                <w:sz w:val="24"/>
                <w:szCs w:val="24"/>
                <w:lang w:eastAsia="lv-LV"/>
              </w:rPr>
              <w:t xml:space="preserve">s </w:t>
            </w:r>
            <w:r w:rsidR="003E23D9">
              <w:rPr>
                <w:rFonts w:ascii="Times New Roman" w:eastAsia="Times New Roman" w:hAnsi="Times New Roman" w:cs="Times New Roman"/>
                <w:iCs/>
                <w:sz w:val="24"/>
                <w:szCs w:val="24"/>
                <w:lang w:eastAsia="lv-LV"/>
              </w:rPr>
              <w:t xml:space="preserve">apstiprināšanai likumdošanas procesā </w:t>
            </w:r>
            <w:r w:rsidR="00BE3078" w:rsidRPr="00BE3078">
              <w:rPr>
                <w:rFonts w:ascii="Times New Roman" w:eastAsia="Times New Roman" w:hAnsi="Times New Roman" w:cs="Times New Roman"/>
                <w:iCs/>
                <w:sz w:val="24"/>
                <w:szCs w:val="24"/>
                <w:lang w:eastAsia="lv-LV"/>
              </w:rPr>
              <w:t xml:space="preserve">arī </w:t>
            </w:r>
            <w:r w:rsidR="00EC0D4B">
              <w:rPr>
                <w:rFonts w:ascii="Times New Roman" w:eastAsia="Times New Roman" w:hAnsi="Times New Roman" w:cs="Times New Roman"/>
                <w:iCs/>
                <w:sz w:val="24"/>
                <w:szCs w:val="24"/>
                <w:lang w:eastAsia="lv-LV"/>
              </w:rPr>
              <w:t>likumprojekts “G</w:t>
            </w:r>
            <w:r w:rsidR="00BE3078" w:rsidRPr="00BE3078">
              <w:rPr>
                <w:rFonts w:ascii="Times New Roman" w:eastAsia="Times New Roman" w:hAnsi="Times New Roman" w:cs="Times New Roman"/>
                <w:iCs/>
                <w:sz w:val="24"/>
                <w:szCs w:val="24"/>
                <w:lang w:eastAsia="lv-LV"/>
              </w:rPr>
              <w:t>rozījum</w:t>
            </w:r>
            <w:r w:rsidR="008349AC">
              <w:rPr>
                <w:rFonts w:ascii="Times New Roman" w:eastAsia="Times New Roman" w:hAnsi="Times New Roman" w:cs="Times New Roman"/>
                <w:iCs/>
                <w:sz w:val="24"/>
                <w:szCs w:val="24"/>
                <w:lang w:eastAsia="lv-LV"/>
              </w:rPr>
              <w:t>i</w:t>
            </w:r>
            <w:r w:rsidR="00BE3078" w:rsidRPr="00BE3078">
              <w:rPr>
                <w:rFonts w:ascii="Times New Roman" w:eastAsia="Times New Roman" w:hAnsi="Times New Roman" w:cs="Times New Roman"/>
                <w:iCs/>
                <w:sz w:val="24"/>
                <w:szCs w:val="24"/>
                <w:lang w:eastAsia="lv-LV"/>
              </w:rPr>
              <w:t xml:space="preserve"> Latvijas Administratīvo pārkāpumu kodeksā</w:t>
            </w:r>
            <w:r w:rsidR="00EC0D4B">
              <w:rPr>
                <w:rFonts w:ascii="Times New Roman" w:eastAsia="Times New Roman" w:hAnsi="Times New Roman" w:cs="Times New Roman"/>
                <w:iCs/>
                <w:sz w:val="24"/>
                <w:szCs w:val="24"/>
                <w:lang w:eastAsia="lv-LV"/>
              </w:rPr>
              <w:t>”</w:t>
            </w:r>
            <w:r w:rsidR="00BE3078" w:rsidRPr="00BE3078">
              <w:rPr>
                <w:rFonts w:ascii="Times New Roman" w:eastAsia="Times New Roman" w:hAnsi="Times New Roman" w:cs="Times New Roman"/>
                <w:iCs/>
                <w:sz w:val="24"/>
                <w:szCs w:val="24"/>
                <w:lang w:eastAsia="lv-LV"/>
              </w:rPr>
              <w:t>,</w:t>
            </w:r>
            <w:r w:rsidR="00BE3078" w:rsidRPr="00BE3078">
              <w:rPr>
                <w:rFonts w:ascii="Times New Roman" w:hAnsi="Times New Roman" w:cs="Times New Roman"/>
                <w:sz w:val="24"/>
                <w:szCs w:val="24"/>
              </w:rPr>
              <w:t xml:space="preserve"> norādot pārkāpumus un nosakot iespējamos administratīvos sodus</w:t>
            </w:r>
            <w:r w:rsidR="00F04763">
              <w:rPr>
                <w:rFonts w:ascii="Times New Roman" w:hAnsi="Times New Roman" w:cs="Times New Roman"/>
                <w:sz w:val="24"/>
                <w:szCs w:val="24"/>
              </w:rPr>
              <w:t>.</w:t>
            </w:r>
          </w:p>
          <w:p w14:paraId="57CD7994" w14:textId="71CC39A5" w:rsidR="00FF3A4C" w:rsidRPr="00BE3078" w:rsidRDefault="00FF3A4C" w:rsidP="00BE3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Nepieciešam</w:t>
            </w:r>
            <w:r w:rsidR="005C5326">
              <w:rPr>
                <w:rFonts w:ascii="Times New Roman" w:hAnsi="Times New Roman" w:cs="Times New Roman"/>
                <w:sz w:val="24"/>
                <w:szCs w:val="24"/>
              </w:rPr>
              <w:t>s izstrādāt grozījumus</w:t>
            </w:r>
            <w:r>
              <w:rPr>
                <w:rFonts w:ascii="Times New Roman" w:hAnsi="Times New Roman" w:cs="Times New Roman"/>
                <w:sz w:val="24"/>
                <w:szCs w:val="24"/>
              </w:rPr>
              <w:t xml:space="preserve"> Ministru kabineta 2009. gada 2. jūnija noteikumos Nr. 507 “Dabas aizsardzības pārvaldes nolikums”.</w:t>
            </w:r>
          </w:p>
        </w:tc>
      </w:tr>
      <w:tr w:rsidR="00E5323B" w:rsidRPr="002D55CC" w14:paraId="2200C2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452D4E"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7D17E"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F5CB10A" w14:textId="6A74ABA0" w:rsidR="00E5323B" w:rsidRPr="002D55CC" w:rsidRDefault="00EB4F04" w:rsidP="008D6ED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Vides aizsardzības un reģionālās attīstības ministrija</w:t>
            </w:r>
          </w:p>
        </w:tc>
      </w:tr>
      <w:tr w:rsidR="00E5323B" w:rsidRPr="002D55CC" w14:paraId="174D55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23F1E9"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8043889"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4F99EC9" w14:textId="42CC6EB2" w:rsidR="00E5323B" w:rsidRPr="00D66751" w:rsidRDefault="002740FD" w:rsidP="00874D42">
            <w:pPr>
              <w:spacing w:after="120" w:line="240" w:lineRule="auto"/>
              <w:jc w:val="both"/>
              <w:rPr>
                <w:rFonts w:ascii="Arial" w:hAnsi="Arial" w:cs="Arial"/>
                <w:b/>
                <w:bCs/>
                <w:color w:val="414142"/>
                <w:sz w:val="20"/>
                <w:szCs w:val="20"/>
                <w:shd w:val="clear" w:color="auto" w:fill="FFFFFF"/>
              </w:rPr>
            </w:pPr>
            <w:r>
              <w:rPr>
                <w:rFonts w:ascii="Times New Roman" w:hAnsi="Times New Roman" w:cs="Times New Roman"/>
                <w:sz w:val="24"/>
                <w:szCs w:val="24"/>
              </w:rPr>
              <w:t>Nav</w:t>
            </w:r>
          </w:p>
        </w:tc>
      </w:tr>
    </w:tbl>
    <w:p w14:paraId="0CDB5F81"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26756C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EB930E"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2D55CC" w14:paraId="378204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E1C9ED"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0C312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4C7B8BC" w14:textId="72F7FB7A" w:rsidR="00E5323B" w:rsidRPr="00221B0F" w:rsidRDefault="00B43520" w:rsidP="00221B0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Regulas</w:t>
            </w:r>
            <w:r w:rsidR="00822298" w:rsidRPr="00221B0F">
              <w:rPr>
                <w:rFonts w:ascii="Times New Roman" w:hAnsi="Times New Roman" w:cs="Times New Roman"/>
                <w:sz w:val="24"/>
                <w:szCs w:val="24"/>
              </w:rPr>
              <w:t xml:space="preserve"> </w:t>
            </w:r>
            <w:r w:rsidRPr="00B221B3">
              <w:rPr>
                <w:rFonts w:ascii="Times New Roman" w:hAnsi="Times New Roman" w:cs="Times New Roman"/>
                <w:sz w:val="24"/>
                <w:szCs w:val="24"/>
                <w:shd w:val="clear" w:color="auto" w:fill="FFFFFF" w:themeFill="background1"/>
              </w:rPr>
              <w:t>6. panta 1. punkts, 7. panta 1. punkts,</w:t>
            </w:r>
            <w:r w:rsidR="00370D05">
              <w:rPr>
                <w:rFonts w:ascii="Times New Roman" w:hAnsi="Times New Roman" w:cs="Times New Roman"/>
                <w:sz w:val="24"/>
                <w:szCs w:val="24"/>
                <w:shd w:val="clear" w:color="auto" w:fill="FFFFFF" w:themeFill="background1"/>
              </w:rPr>
              <w:t xml:space="preserve"> 11. panta 1. punkts</w:t>
            </w:r>
            <w:r w:rsidRPr="00B221B3">
              <w:rPr>
                <w:rFonts w:ascii="Times New Roman" w:hAnsi="Times New Roman" w:cs="Times New Roman"/>
                <w:sz w:val="24"/>
                <w:szCs w:val="24"/>
                <w:shd w:val="clear" w:color="auto" w:fill="FFFFFF" w:themeFill="background1"/>
              </w:rPr>
              <w:t>.</w:t>
            </w:r>
          </w:p>
          <w:p w14:paraId="4B091BF3" w14:textId="7DCABC58" w:rsidR="00221B0F" w:rsidRPr="00AF7938" w:rsidRDefault="00221B0F" w:rsidP="00221B0F">
            <w:pPr>
              <w:spacing w:after="120" w:line="240" w:lineRule="auto"/>
              <w:jc w:val="both"/>
              <w:rPr>
                <w:rFonts w:ascii="Times New Roman" w:eastAsia="Times New Roman" w:hAnsi="Times New Roman" w:cs="Times New Roman"/>
                <w:iCs/>
                <w:sz w:val="24"/>
                <w:szCs w:val="24"/>
                <w:lang w:eastAsia="lv-LV"/>
              </w:rPr>
            </w:pPr>
          </w:p>
        </w:tc>
      </w:tr>
      <w:tr w:rsidR="00E5323B" w:rsidRPr="002D55CC" w14:paraId="0AEB27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E27191"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72B9168"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5ADE305" w14:textId="4B7B798A" w:rsidR="002716E0" w:rsidRPr="00AD2188" w:rsidRDefault="005C5326" w:rsidP="00DA501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2D55CC" w14:paraId="3334CE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5A672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333B5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7F6FBA" w14:textId="37BF70F7" w:rsidR="00E5323B" w:rsidRDefault="00FE692E" w:rsidP="002740FD">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Lēmums par Bioloģiskās daudzveidības konvencijas Nagojas Protokola </w:t>
            </w:r>
            <w:r w:rsidR="005C5326">
              <w:rPr>
                <w:rFonts w:ascii="Times New Roman" w:eastAsia="Times New Roman" w:hAnsi="Times New Roman" w:cs="Times New Roman"/>
                <w:iCs/>
                <w:sz w:val="24"/>
                <w:szCs w:val="24"/>
                <w:lang w:eastAsia="lv-LV"/>
              </w:rPr>
              <w:t xml:space="preserve">ienešanu Latvijas tiesību sistēmā </w:t>
            </w:r>
            <w:r>
              <w:rPr>
                <w:rFonts w:ascii="Times New Roman" w:eastAsia="Times New Roman" w:hAnsi="Times New Roman" w:cs="Times New Roman"/>
                <w:iCs/>
                <w:sz w:val="24"/>
                <w:szCs w:val="24"/>
                <w:lang w:eastAsia="lv-LV"/>
              </w:rPr>
              <w:t>nav pieņemts.</w:t>
            </w:r>
          </w:p>
          <w:p w14:paraId="3D77AD01" w14:textId="72D5A4BB" w:rsidR="002740FD" w:rsidRPr="002740FD" w:rsidRDefault="002740FD" w:rsidP="002740FD">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Likumprojekts veicinās </w:t>
            </w:r>
            <w:r w:rsidRPr="00CC4807">
              <w:rPr>
                <w:rFonts w:ascii="Times New Roman" w:hAnsi="Times New Roman" w:cs="Times New Roman"/>
                <w:noProof/>
                <w:sz w:val="24"/>
                <w:szCs w:val="24"/>
              </w:rPr>
              <w:t>Biolo</w:t>
            </w:r>
            <w:r>
              <w:rPr>
                <w:rFonts w:ascii="Times New Roman" w:hAnsi="Times New Roman" w:cs="Times New Roman"/>
                <w:noProof/>
                <w:sz w:val="24"/>
                <w:szCs w:val="24"/>
              </w:rPr>
              <w:t>ģiskās daudzveidības konvencijas trešā</w:t>
            </w:r>
            <w:r w:rsidRPr="00CC4807">
              <w:rPr>
                <w:rFonts w:ascii="Times New Roman" w:hAnsi="Times New Roman" w:cs="Times New Roman"/>
                <w:noProof/>
                <w:sz w:val="24"/>
                <w:szCs w:val="24"/>
              </w:rPr>
              <w:t xml:space="preserve"> </w:t>
            </w:r>
            <w:r>
              <w:rPr>
                <w:rFonts w:ascii="Times New Roman" w:hAnsi="Times New Roman" w:cs="Times New Roman"/>
                <w:noProof/>
                <w:sz w:val="24"/>
                <w:szCs w:val="24"/>
              </w:rPr>
              <w:t>mērķa īstenošanu (</w:t>
            </w:r>
            <w:r w:rsidRPr="00CC4807">
              <w:rPr>
                <w:rFonts w:ascii="Times New Roman" w:hAnsi="Times New Roman" w:cs="Times New Roman"/>
                <w:sz w:val="24"/>
                <w:szCs w:val="24"/>
              </w:rPr>
              <w:t>godīga un līdztiesīga ģenētisko resursu patērēšanā iegūto labumu sadale, ietverot gan pienācīgu pieeju ģenētiskajiem resursiem, gan atbilstošu tehnoloģiju nodošanu, ņemot vērā visas tiesības uz šiem resursiem un tehnoloģ</w:t>
            </w:r>
            <w:r>
              <w:rPr>
                <w:rFonts w:ascii="Times New Roman" w:hAnsi="Times New Roman" w:cs="Times New Roman"/>
                <w:sz w:val="24"/>
                <w:szCs w:val="24"/>
              </w:rPr>
              <w:t>ijām, gan pienācīgu finansēšanu).</w:t>
            </w:r>
          </w:p>
        </w:tc>
      </w:tr>
    </w:tbl>
    <w:p w14:paraId="0BEB03AC"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8"/>
        <w:gridCol w:w="2060"/>
        <w:gridCol w:w="2206"/>
        <w:gridCol w:w="2711"/>
      </w:tblGrid>
      <w:tr w:rsidR="00E5323B" w:rsidRPr="002D55CC" w14:paraId="48063D3A"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1F89202"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1. tabula</w:t>
            </w:r>
            <w:r w:rsidRPr="002D55CC">
              <w:rPr>
                <w:rFonts w:ascii="Times New Roman" w:eastAsia="Times New Roman" w:hAnsi="Times New Roman" w:cs="Times New Roman"/>
                <w:b/>
                <w:bCs/>
                <w:iCs/>
                <w:color w:val="414142"/>
                <w:sz w:val="24"/>
                <w:szCs w:val="24"/>
                <w:lang w:eastAsia="lv-LV"/>
              </w:rPr>
              <w:br/>
              <w:t>Tiesību akta projekta atbilstība ES tiesību aktiem</w:t>
            </w:r>
          </w:p>
        </w:tc>
      </w:tr>
      <w:tr w:rsidR="00E5323B" w:rsidRPr="002D55CC" w14:paraId="152168B4" w14:textId="77777777" w:rsidTr="0047530C">
        <w:trPr>
          <w:tblCellSpacing w:w="15" w:type="dxa"/>
        </w:trPr>
        <w:tc>
          <w:tcPr>
            <w:tcW w:w="1130" w:type="pct"/>
            <w:tcBorders>
              <w:top w:val="outset" w:sz="6" w:space="0" w:color="auto"/>
              <w:left w:val="outset" w:sz="6" w:space="0" w:color="auto"/>
              <w:bottom w:val="outset" w:sz="6" w:space="0" w:color="auto"/>
              <w:right w:val="outset" w:sz="6" w:space="0" w:color="auto"/>
            </w:tcBorders>
            <w:hideMark/>
          </w:tcPr>
          <w:p w14:paraId="3267C67E"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Attiecīgā ES tiesību akta datums, numurs un nosaukums</w:t>
            </w:r>
          </w:p>
        </w:tc>
        <w:tc>
          <w:tcPr>
            <w:tcW w:w="3821" w:type="pct"/>
            <w:gridSpan w:val="3"/>
            <w:tcBorders>
              <w:top w:val="outset" w:sz="6" w:space="0" w:color="auto"/>
              <w:left w:val="outset" w:sz="6" w:space="0" w:color="auto"/>
              <w:bottom w:val="outset" w:sz="6" w:space="0" w:color="auto"/>
              <w:right w:val="outset" w:sz="6" w:space="0" w:color="auto"/>
            </w:tcBorders>
            <w:hideMark/>
          </w:tcPr>
          <w:p w14:paraId="5236A33E" w14:textId="581130E3" w:rsidR="00E5323B" w:rsidRPr="002D55C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2D55CC" w14:paraId="79A65B72" w14:textId="77777777" w:rsidTr="0047530C">
        <w:trPr>
          <w:tblCellSpacing w:w="15" w:type="dxa"/>
        </w:trPr>
        <w:tc>
          <w:tcPr>
            <w:tcW w:w="1130" w:type="pct"/>
            <w:tcBorders>
              <w:top w:val="outset" w:sz="6" w:space="0" w:color="auto"/>
              <w:left w:val="outset" w:sz="6" w:space="0" w:color="auto"/>
              <w:bottom w:val="outset" w:sz="6" w:space="0" w:color="auto"/>
              <w:right w:val="outset" w:sz="6" w:space="0" w:color="auto"/>
            </w:tcBorders>
            <w:vAlign w:val="center"/>
            <w:hideMark/>
          </w:tcPr>
          <w:p w14:paraId="3DBA797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w:t>
            </w:r>
          </w:p>
        </w:tc>
        <w:tc>
          <w:tcPr>
            <w:tcW w:w="1129" w:type="pct"/>
            <w:tcBorders>
              <w:top w:val="outset" w:sz="6" w:space="0" w:color="auto"/>
              <w:left w:val="outset" w:sz="6" w:space="0" w:color="auto"/>
              <w:bottom w:val="outset" w:sz="6" w:space="0" w:color="auto"/>
              <w:right w:val="outset" w:sz="6" w:space="0" w:color="auto"/>
            </w:tcBorders>
            <w:vAlign w:val="center"/>
            <w:hideMark/>
          </w:tcPr>
          <w:p w14:paraId="35D1926F"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B</w:t>
            </w:r>
          </w:p>
        </w:tc>
        <w:tc>
          <w:tcPr>
            <w:tcW w:w="1210" w:type="pct"/>
            <w:tcBorders>
              <w:top w:val="outset" w:sz="6" w:space="0" w:color="auto"/>
              <w:left w:val="outset" w:sz="6" w:space="0" w:color="auto"/>
              <w:bottom w:val="outset" w:sz="6" w:space="0" w:color="auto"/>
              <w:right w:val="outset" w:sz="6" w:space="0" w:color="auto"/>
            </w:tcBorders>
            <w:vAlign w:val="center"/>
            <w:hideMark/>
          </w:tcPr>
          <w:p w14:paraId="43EB7082"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w:t>
            </w:r>
          </w:p>
        </w:tc>
        <w:tc>
          <w:tcPr>
            <w:tcW w:w="1448" w:type="pct"/>
            <w:tcBorders>
              <w:top w:val="outset" w:sz="6" w:space="0" w:color="auto"/>
              <w:left w:val="outset" w:sz="6" w:space="0" w:color="auto"/>
              <w:bottom w:val="outset" w:sz="6" w:space="0" w:color="auto"/>
              <w:right w:val="outset" w:sz="6" w:space="0" w:color="auto"/>
            </w:tcBorders>
            <w:vAlign w:val="center"/>
            <w:hideMark/>
          </w:tcPr>
          <w:p w14:paraId="3A48104E"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D</w:t>
            </w:r>
          </w:p>
        </w:tc>
      </w:tr>
      <w:tr w:rsidR="00B43520" w:rsidRPr="002D55CC" w14:paraId="04CFD10F" w14:textId="77777777" w:rsidTr="0047530C">
        <w:trPr>
          <w:tblCellSpacing w:w="15" w:type="dxa"/>
        </w:trPr>
        <w:tc>
          <w:tcPr>
            <w:tcW w:w="1130" w:type="pct"/>
            <w:tcBorders>
              <w:top w:val="outset" w:sz="6" w:space="0" w:color="auto"/>
              <w:left w:val="outset" w:sz="6" w:space="0" w:color="auto"/>
              <w:bottom w:val="outset" w:sz="6" w:space="0" w:color="auto"/>
              <w:right w:val="outset" w:sz="6" w:space="0" w:color="auto"/>
            </w:tcBorders>
          </w:tcPr>
          <w:p w14:paraId="3393D4D6" w14:textId="6D88C0E5" w:rsidR="00B43520" w:rsidRPr="00B43520" w:rsidRDefault="00B43520" w:rsidP="00B43520">
            <w:pPr>
              <w:spacing w:after="120" w:line="240" w:lineRule="auto"/>
              <w:jc w:val="both"/>
              <w:rPr>
                <w:rFonts w:ascii="Times New Roman" w:hAnsi="Times New Roman" w:cs="Times New Roman"/>
                <w:sz w:val="24"/>
                <w:szCs w:val="24"/>
              </w:rPr>
            </w:pPr>
            <w:r w:rsidRPr="00B43520">
              <w:rPr>
                <w:rFonts w:ascii="Times New Roman" w:hAnsi="Times New Roman" w:cs="Times New Roman"/>
                <w:sz w:val="24"/>
                <w:szCs w:val="24"/>
                <w:shd w:val="clear" w:color="auto" w:fill="FFFFFF" w:themeFill="background1"/>
              </w:rPr>
              <w:t>6. panta 1. punkts</w:t>
            </w:r>
          </w:p>
          <w:p w14:paraId="4822EE53" w14:textId="77777777" w:rsidR="00B43520" w:rsidRPr="00B43520" w:rsidRDefault="00B43520" w:rsidP="00B43520">
            <w:pPr>
              <w:spacing w:after="0" w:line="240" w:lineRule="auto"/>
              <w:rPr>
                <w:rFonts w:ascii="Times New Roman" w:eastAsia="Times New Roman" w:hAnsi="Times New Roman" w:cs="Times New Roman"/>
                <w:iCs/>
                <w:sz w:val="24"/>
                <w:szCs w:val="24"/>
                <w:lang w:eastAsia="lv-LV"/>
              </w:rPr>
            </w:pPr>
          </w:p>
        </w:tc>
        <w:tc>
          <w:tcPr>
            <w:tcW w:w="1129" w:type="pct"/>
            <w:tcBorders>
              <w:top w:val="outset" w:sz="6" w:space="0" w:color="auto"/>
              <w:left w:val="outset" w:sz="6" w:space="0" w:color="auto"/>
              <w:bottom w:val="outset" w:sz="6" w:space="0" w:color="auto"/>
              <w:right w:val="outset" w:sz="6" w:space="0" w:color="auto"/>
            </w:tcBorders>
          </w:tcPr>
          <w:p w14:paraId="7F1DB054" w14:textId="7B023643" w:rsidR="00B43520" w:rsidRPr="00B43520" w:rsidRDefault="00B43520" w:rsidP="0047530C">
            <w:pPr>
              <w:spacing w:after="0" w:line="240" w:lineRule="auto"/>
              <w:rPr>
                <w:rFonts w:ascii="Times New Roman" w:eastAsia="Times New Roman" w:hAnsi="Times New Roman" w:cs="Times New Roman"/>
                <w:iCs/>
                <w:sz w:val="24"/>
                <w:szCs w:val="24"/>
                <w:lang w:eastAsia="lv-LV"/>
              </w:rPr>
            </w:pPr>
            <w:r w:rsidRPr="00B43520">
              <w:rPr>
                <w:rFonts w:ascii="Times New Roman" w:eastAsia="Times New Roman" w:hAnsi="Times New Roman" w:cs="Times New Roman"/>
                <w:iCs/>
                <w:sz w:val="24"/>
                <w:szCs w:val="24"/>
                <w:lang w:eastAsia="lv-LV"/>
              </w:rPr>
              <w:t xml:space="preserve">Likumprojekta </w:t>
            </w:r>
            <w:r w:rsidR="0065222A">
              <w:rPr>
                <w:rFonts w:ascii="Times New Roman" w:eastAsia="Times New Roman" w:hAnsi="Times New Roman" w:cs="Times New Roman"/>
                <w:iCs/>
                <w:sz w:val="24"/>
                <w:szCs w:val="24"/>
                <w:lang w:eastAsia="lv-LV"/>
              </w:rPr>
              <w:t>4</w:t>
            </w:r>
            <w:r w:rsidRPr="00B43520">
              <w:rPr>
                <w:rFonts w:ascii="Times New Roman" w:eastAsia="Times New Roman" w:hAnsi="Times New Roman" w:cs="Times New Roman"/>
                <w:iCs/>
                <w:sz w:val="24"/>
                <w:szCs w:val="24"/>
                <w:lang w:eastAsia="lv-LV"/>
              </w:rPr>
              <w:t>. pants</w:t>
            </w:r>
          </w:p>
        </w:tc>
        <w:tc>
          <w:tcPr>
            <w:tcW w:w="1210" w:type="pct"/>
            <w:tcBorders>
              <w:top w:val="outset" w:sz="6" w:space="0" w:color="auto"/>
              <w:left w:val="outset" w:sz="6" w:space="0" w:color="auto"/>
              <w:bottom w:val="outset" w:sz="6" w:space="0" w:color="auto"/>
              <w:right w:val="outset" w:sz="6" w:space="0" w:color="auto"/>
            </w:tcBorders>
          </w:tcPr>
          <w:p w14:paraId="31027FFA" w14:textId="6779B565" w:rsidR="00B43520" w:rsidRPr="00B43520" w:rsidRDefault="006D5434" w:rsidP="00B43520">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Ieviests</w:t>
            </w:r>
            <w:r w:rsidR="00B43520" w:rsidRPr="00B43520">
              <w:rPr>
                <w:rFonts w:ascii="Times New Roman" w:hAnsi="Times New Roman" w:cs="Times New Roman"/>
                <w:sz w:val="24"/>
                <w:szCs w:val="24"/>
              </w:rPr>
              <w:t xml:space="preserve"> pilnībā</w:t>
            </w:r>
          </w:p>
        </w:tc>
        <w:tc>
          <w:tcPr>
            <w:tcW w:w="1448" w:type="pct"/>
            <w:tcBorders>
              <w:top w:val="outset" w:sz="6" w:space="0" w:color="auto"/>
              <w:left w:val="outset" w:sz="6" w:space="0" w:color="auto"/>
              <w:bottom w:val="outset" w:sz="6" w:space="0" w:color="auto"/>
              <w:right w:val="outset" w:sz="6" w:space="0" w:color="auto"/>
            </w:tcBorders>
          </w:tcPr>
          <w:p w14:paraId="47F45E3B" w14:textId="26AEA955" w:rsidR="00B43520" w:rsidRPr="00B43520" w:rsidRDefault="00B43520" w:rsidP="00B43520">
            <w:pPr>
              <w:spacing w:after="0" w:line="240" w:lineRule="auto"/>
              <w:rPr>
                <w:rFonts w:ascii="Times New Roman" w:eastAsia="Times New Roman" w:hAnsi="Times New Roman" w:cs="Times New Roman"/>
                <w:iCs/>
                <w:sz w:val="24"/>
                <w:szCs w:val="24"/>
                <w:lang w:eastAsia="lv-LV"/>
              </w:rPr>
            </w:pPr>
            <w:r w:rsidRPr="00B43520">
              <w:rPr>
                <w:rFonts w:ascii="Times New Roman" w:hAnsi="Times New Roman" w:cs="Times New Roman"/>
                <w:sz w:val="24"/>
                <w:szCs w:val="24"/>
              </w:rPr>
              <w:t>Neparedz stingrākas prasības</w:t>
            </w:r>
          </w:p>
        </w:tc>
      </w:tr>
      <w:tr w:rsidR="00B43520" w:rsidRPr="002D55CC" w14:paraId="6E911C1F" w14:textId="77777777" w:rsidTr="0047530C">
        <w:trPr>
          <w:tblCellSpacing w:w="15" w:type="dxa"/>
        </w:trPr>
        <w:tc>
          <w:tcPr>
            <w:tcW w:w="1130" w:type="pct"/>
            <w:tcBorders>
              <w:top w:val="outset" w:sz="6" w:space="0" w:color="auto"/>
              <w:left w:val="outset" w:sz="6" w:space="0" w:color="auto"/>
              <w:bottom w:val="outset" w:sz="6" w:space="0" w:color="auto"/>
              <w:right w:val="outset" w:sz="6" w:space="0" w:color="auto"/>
            </w:tcBorders>
          </w:tcPr>
          <w:p w14:paraId="6006C30F" w14:textId="566E652D" w:rsidR="00B43520" w:rsidRPr="00B43520" w:rsidRDefault="00B43520" w:rsidP="00B43520">
            <w:pPr>
              <w:spacing w:after="120" w:line="240" w:lineRule="auto"/>
              <w:jc w:val="both"/>
              <w:rPr>
                <w:rFonts w:ascii="Times New Roman" w:hAnsi="Times New Roman" w:cs="Times New Roman"/>
                <w:sz w:val="24"/>
                <w:szCs w:val="24"/>
                <w:shd w:val="clear" w:color="auto" w:fill="FFFFFF" w:themeFill="background1"/>
              </w:rPr>
            </w:pPr>
            <w:r w:rsidRPr="00B43520">
              <w:rPr>
                <w:rFonts w:ascii="Times New Roman" w:hAnsi="Times New Roman" w:cs="Times New Roman"/>
                <w:sz w:val="24"/>
                <w:szCs w:val="24"/>
                <w:shd w:val="clear" w:color="auto" w:fill="FFFFFF" w:themeFill="background1"/>
              </w:rPr>
              <w:t>7. panta 1. punkts</w:t>
            </w:r>
          </w:p>
        </w:tc>
        <w:tc>
          <w:tcPr>
            <w:tcW w:w="1129" w:type="pct"/>
            <w:tcBorders>
              <w:top w:val="outset" w:sz="6" w:space="0" w:color="auto"/>
              <w:left w:val="outset" w:sz="6" w:space="0" w:color="auto"/>
              <w:bottom w:val="outset" w:sz="6" w:space="0" w:color="auto"/>
              <w:right w:val="outset" w:sz="6" w:space="0" w:color="auto"/>
            </w:tcBorders>
          </w:tcPr>
          <w:p w14:paraId="7E75F5E8" w14:textId="5E1B13BA" w:rsidR="00B43520" w:rsidRPr="00B43520" w:rsidRDefault="00B43520" w:rsidP="0047530C">
            <w:pPr>
              <w:spacing w:after="0" w:line="240" w:lineRule="auto"/>
              <w:rPr>
                <w:rFonts w:ascii="Times New Roman" w:eastAsia="Times New Roman" w:hAnsi="Times New Roman" w:cs="Times New Roman"/>
                <w:iCs/>
                <w:sz w:val="24"/>
                <w:szCs w:val="24"/>
                <w:lang w:eastAsia="lv-LV"/>
              </w:rPr>
            </w:pPr>
            <w:r w:rsidRPr="00B43520">
              <w:rPr>
                <w:rFonts w:ascii="Times New Roman" w:eastAsia="Times New Roman" w:hAnsi="Times New Roman" w:cs="Times New Roman"/>
                <w:iCs/>
                <w:sz w:val="24"/>
                <w:szCs w:val="24"/>
                <w:lang w:eastAsia="lv-LV"/>
              </w:rPr>
              <w:t xml:space="preserve">Likumprojekta </w:t>
            </w:r>
            <w:r w:rsidR="0065222A">
              <w:rPr>
                <w:rFonts w:ascii="Times New Roman" w:eastAsia="Times New Roman" w:hAnsi="Times New Roman" w:cs="Times New Roman"/>
                <w:iCs/>
                <w:sz w:val="24"/>
                <w:szCs w:val="24"/>
                <w:lang w:eastAsia="lv-LV"/>
              </w:rPr>
              <w:t>5</w:t>
            </w:r>
            <w:r w:rsidRPr="00B43520">
              <w:rPr>
                <w:rFonts w:ascii="Times New Roman" w:eastAsia="Times New Roman" w:hAnsi="Times New Roman" w:cs="Times New Roman"/>
                <w:iCs/>
                <w:sz w:val="24"/>
                <w:szCs w:val="24"/>
                <w:lang w:eastAsia="lv-LV"/>
              </w:rPr>
              <w:t>. pants</w:t>
            </w:r>
          </w:p>
        </w:tc>
        <w:tc>
          <w:tcPr>
            <w:tcW w:w="1210" w:type="pct"/>
            <w:tcBorders>
              <w:top w:val="outset" w:sz="6" w:space="0" w:color="auto"/>
              <w:left w:val="outset" w:sz="6" w:space="0" w:color="auto"/>
              <w:bottom w:val="outset" w:sz="6" w:space="0" w:color="auto"/>
              <w:right w:val="outset" w:sz="6" w:space="0" w:color="auto"/>
            </w:tcBorders>
          </w:tcPr>
          <w:p w14:paraId="0E67AEDC" w14:textId="4330DAE7" w:rsidR="00B43520" w:rsidRPr="00B43520" w:rsidRDefault="006D5434" w:rsidP="00B43520">
            <w:pPr>
              <w:spacing w:after="0" w:line="240" w:lineRule="auto"/>
              <w:rPr>
                <w:rFonts w:ascii="Times New Roman" w:hAnsi="Times New Roman" w:cs="Times New Roman"/>
                <w:sz w:val="24"/>
                <w:szCs w:val="24"/>
              </w:rPr>
            </w:pPr>
            <w:r>
              <w:rPr>
                <w:rFonts w:ascii="Times New Roman" w:hAnsi="Times New Roman" w:cs="Times New Roman"/>
                <w:sz w:val="24"/>
                <w:szCs w:val="24"/>
              </w:rPr>
              <w:t>Ieviests</w:t>
            </w:r>
            <w:r w:rsidR="00B43520" w:rsidRPr="00B43520">
              <w:rPr>
                <w:rFonts w:ascii="Times New Roman" w:hAnsi="Times New Roman" w:cs="Times New Roman"/>
                <w:sz w:val="24"/>
                <w:szCs w:val="24"/>
              </w:rPr>
              <w:t xml:space="preserve"> pilnībā</w:t>
            </w:r>
          </w:p>
        </w:tc>
        <w:tc>
          <w:tcPr>
            <w:tcW w:w="1448" w:type="pct"/>
            <w:tcBorders>
              <w:top w:val="outset" w:sz="6" w:space="0" w:color="auto"/>
              <w:left w:val="outset" w:sz="6" w:space="0" w:color="auto"/>
              <w:bottom w:val="outset" w:sz="6" w:space="0" w:color="auto"/>
              <w:right w:val="outset" w:sz="6" w:space="0" w:color="auto"/>
            </w:tcBorders>
          </w:tcPr>
          <w:p w14:paraId="3AABDEDA" w14:textId="4ACFCF73" w:rsidR="00B43520" w:rsidRPr="00B43520" w:rsidRDefault="00B43520" w:rsidP="00B43520">
            <w:pPr>
              <w:spacing w:after="0" w:line="240" w:lineRule="auto"/>
              <w:rPr>
                <w:rFonts w:ascii="Times New Roman" w:hAnsi="Times New Roman" w:cs="Times New Roman"/>
                <w:sz w:val="24"/>
                <w:szCs w:val="24"/>
              </w:rPr>
            </w:pPr>
            <w:r w:rsidRPr="00B43520">
              <w:rPr>
                <w:rFonts w:ascii="Times New Roman" w:hAnsi="Times New Roman" w:cs="Times New Roman"/>
                <w:sz w:val="24"/>
                <w:szCs w:val="24"/>
              </w:rPr>
              <w:t>Neparedz stingrākas prasības</w:t>
            </w:r>
          </w:p>
        </w:tc>
      </w:tr>
      <w:tr w:rsidR="00B43520" w:rsidRPr="002D55CC" w14:paraId="6A41C2CF" w14:textId="77777777" w:rsidTr="0047530C">
        <w:trPr>
          <w:tblCellSpacing w:w="15" w:type="dxa"/>
        </w:trPr>
        <w:tc>
          <w:tcPr>
            <w:tcW w:w="1130" w:type="pct"/>
            <w:tcBorders>
              <w:top w:val="outset" w:sz="6" w:space="0" w:color="auto"/>
              <w:left w:val="outset" w:sz="6" w:space="0" w:color="auto"/>
              <w:bottom w:val="outset" w:sz="6" w:space="0" w:color="auto"/>
              <w:right w:val="outset" w:sz="6" w:space="0" w:color="auto"/>
            </w:tcBorders>
          </w:tcPr>
          <w:p w14:paraId="6E23B577" w14:textId="780F620D" w:rsidR="00B43520" w:rsidRPr="00B43520" w:rsidRDefault="00370D05" w:rsidP="00B43520">
            <w:pPr>
              <w:spacing w:after="120" w:line="24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11</w:t>
            </w:r>
            <w:r w:rsidR="00B43520" w:rsidRPr="00B43520">
              <w:rPr>
                <w:rFonts w:ascii="Times New Roman" w:hAnsi="Times New Roman" w:cs="Times New Roman"/>
                <w:sz w:val="24"/>
                <w:szCs w:val="24"/>
                <w:shd w:val="clear" w:color="auto" w:fill="FFFFFF" w:themeFill="background1"/>
              </w:rPr>
              <w:t>. panta 1. punkts</w:t>
            </w:r>
          </w:p>
        </w:tc>
        <w:tc>
          <w:tcPr>
            <w:tcW w:w="1129" w:type="pct"/>
            <w:tcBorders>
              <w:top w:val="outset" w:sz="6" w:space="0" w:color="auto"/>
              <w:left w:val="outset" w:sz="6" w:space="0" w:color="auto"/>
              <w:bottom w:val="outset" w:sz="6" w:space="0" w:color="auto"/>
              <w:right w:val="outset" w:sz="6" w:space="0" w:color="auto"/>
            </w:tcBorders>
          </w:tcPr>
          <w:p w14:paraId="6AF59036" w14:textId="06D2D4B7" w:rsidR="00B43520" w:rsidRPr="00B43520" w:rsidRDefault="00B43520" w:rsidP="0047530C">
            <w:pPr>
              <w:spacing w:after="0" w:line="240" w:lineRule="auto"/>
              <w:rPr>
                <w:rFonts w:ascii="Times New Roman" w:eastAsia="Times New Roman" w:hAnsi="Times New Roman" w:cs="Times New Roman"/>
                <w:iCs/>
                <w:sz w:val="24"/>
                <w:szCs w:val="24"/>
                <w:lang w:eastAsia="lv-LV"/>
              </w:rPr>
            </w:pPr>
            <w:r w:rsidRPr="00B43520">
              <w:rPr>
                <w:rFonts w:ascii="Times New Roman" w:eastAsia="Times New Roman" w:hAnsi="Times New Roman" w:cs="Times New Roman"/>
                <w:iCs/>
                <w:sz w:val="24"/>
                <w:szCs w:val="24"/>
                <w:lang w:eastAsia="lv-LV"/>
              </w:rPr>
              <w:t xml:space="preserve">Likumprojekta </w:t>
            </w:r>
            <w:r w:rsidR="0065222A">
              <w:rPr>
                <w:rFonts w:ascii="Times New Roman" w:eastAsia="Times New Roman" w:hAnsi="Times New Roman" w:cs="Times New Roman"/>
                <w:iCs/>
                <w:sz w:val="24"/>
                <w:szCs w:val="24"/>
                <w:lang w:eastAsia="lv-LV"/>
              </w:rPr>
              <w:t>7</w:t>
            </w:r>
            <w:r w:rsidRPr="00B43520">
              <w:rPr>
                <w:rFonts w:ascii="Times New Roman" w:eastAsia="Times New Roman" w:hAnsi="Times New Roman" w:cs="Times New Roman"/>
                <w:iCs/>
                <w:sz w:val="24"/>
                <w:szCs w:val="24"/>
                <w:lang w:eastAsia="lv-LV"/>
              </w:rPr>
              <w:t>.</w:t>
            </w:r>
            <w:r w:rsidR="00370D05">
              <w:rPr>
                <w:rFonts w:ascii="Times New Roman" w:eastAsia="Times New Roman" w:hAnsi="Times New Roman" w:cs="Times New Roman"/>
                <w:iCs/>
                <w:sz w:val="24"/>
                <w:szCs w:val="24"/>
                <w:lang w:eastAsia="lv-LV"/>
              </w:rPr>
              <w:t xml:space="preserve"> un </w:t>
            </w:r>
            <w:r w:rsidR="0065222A">
              <w:rPr>
                <w:rFonts w:ascii="Times New Roman" w:eastAsia="Times New Roman" w:hAnsi="Times New Roman" w:cs="Times New Roman"/>
                <w:iCs/>
                <w:sz w:val="24"/>
                <w:szCs w:val="24"/>
                <w:lang w:eastAsia="lv-LV"/>
              </w:rPr>
              <w:t>8</w:t>
            </w:r>
            <w:r w:rsidR="00370D05">
              <w:rPr>
                <w:rFonts w:ascii="Times New Roman" w:eastAsia="Times New Roman" w:hAnsi="Times New Roman" w:cs="Times New Roman"/>
                <w:iCs/>
                <w:sz w:val="24"/>
                <w:szCs w:val="24"/>
                <w:lang w:eastAsia="lv-LV"/>
              </w:rPr>
              <w:t>. </w:t>
            </w:r>
            <w:r w:rsidRPr="00B43520">
              <w:rPr>
                <w:rFonts w:ascii="Times New Roman" w:eastAsia="Times New Roman" w:hAnsi="Times New Roman" w:cs="Times New Roman"/>
                <w:iCs/>
                <w:sz w:val="24"/>
                <w:szCs w:val="24"/>
                <w:lang w:eastAsia="lv-LV"/>
              </w:rPr>
              <w:t>pants</w:t>
            </w:r>
          </w:p>
        </w:tc>
        <w:tc>
          <w:tcPr>
            <w:tcW w:w="1210" w:type="pct"/>
            <w:tcBorders>
              <w:top w:val="outset" w:sz="6" w:space="0" w:color="auto"/>
              <w:left w:val="outset" w:sz="6" w:space="0" w:color="auto"/>
              <w:bottom w:val="outset" w:sz="6" w:space="0" w:color="auto"/>
              <w:right w:val="outset" w:sz="6" w:space="0" w:color="auto"/>
            </w:tcBorders>
          </w:tcPr>
          <w:p w14:paraId="69AA5CBA" w14:textId="444AA962" w:rsidR="00B43520" w:rsidRPr="00B43520" w:rsidRDefault="006D5434" w:rsidP="00B43520">
            <w:pPr>
              <w:spacing w:after="0" w:line="240" w:lineRule="auto"/>
              <w:rPr>
                <w:rFonts w:ascii="Times New Roman" w:hAnsi="Times New Roman" w:cs="Times New Roman"/>
                <w:sz w:val="24"/>
                <w:szCs w:val="24"/>
              </w:rPr>
            </w:pPr>
            <w:r>
              <w:rPr>
                <w:rFonts w:ascii="Times New Roman" w:hAnsi="Times New Roman" w:cs="Times New Roman"/>
                <w:sz w:val="24"/>
                <w:szCs w:val="24"/>
              </w:rPr>
              <w:t>Ieviests</w:t>
            </w:r>
            <w:r w:rsidR="00B43520" w:rsidRPr="00B43520">
              <w:rPr>
                <w:rFonts w:ascii="Times New Roman" w:hAnsi="Times New Roman" w:cs="Times New Roman"/>
                <w:sz w:val="24"/>
                <w:szCs w:val="24"/>
              </w:rPr>
              <w:t xml:space="preserve"> pilnībā</w:t>
            </w:r>
          </w:p>
        </w:tc>
        <w:tc>
          <w:tcPr>
            <w:tcW w:w="1448" w:type="pct"/>
            <w:tcBorders>
              <w:top w:val="outset" w:sz="6" w:space="0" w:color="auto"/>
              <w:left w:val="outset" w:sz="6" w:space="0" w:color="auto"/>
              <w:bottom w:val="outset" w:sz="6" w:space="0" w:color="auto"/>
              <w:right w:val="outset" w:sz="6" w:space="0" w:color="auto"/>
            </w:tcBorders>
          </w:tcPr>
          <w:p w14:paraId="47B4482D" w14:textId="05D38B15" w:rsidR="00B43520" w:rsidRPr="00B43520" w:rsidRDefault="00B43520" w:rsidP="00B43520">
            <w:pPr>
              <w:spacing w:after="0" w:line="240" w:lineRule="auto"/>
              <w:rPr>
                <w:rFonts w:ascii="Times New Roman" w:hAnsi="Times New Roman" w:cs="Times New Roman"/>
                <w:sz w:val="24"/>
                <w:szCs w:val="24"/>
              </w:rPr>
            </w:pPr>
            <w:r w:rsidRPr="00B43520">
              <w:rPr>
                <w:rFonts w:ascii="Times New Roman" w:hAnsi="Times New Roman" w:cs="Times New Roman"/>
                <w:sz w:val="24"/>
                <w:szCs w:val="24"/>
              </w:rPr>
              <w:t>Neparedz stingrākas prasības</w:t>
            </w:r>
          </w:p>
        </w:tc>
      </w:tr>
      <w:tr w:rsidR="00E5323B" w:rsidRPr="002D55CC" w14:paraId="2A491BFB" w14:textId="77777777" w:rsidTr="0047530C">
        <w:trPr>
          <w:tblCellSpacing w:w="15" w:type="dxa"/>
        </w:trPr>
        <w:tc>
          <w:tcPr>
            <w:tcW w:w="1130" w:type="pct"/>
            <w:tcBorders>
              <w:top w:val="outset" w:sz="6" w:space="0" w:color="auto"/>
              <w:left w:val="outset" w:sz="6" w:space="0" w:color="auto"/>
              <w:bottom w:val="outset" w:sz="6" w:space="0" w:color="auto"/>
              <w:right w:val="outset" w:sz="6" w:space="0" w:color="auto"/>
            </w:tcBorders>
            <w:hideMark/>
          </w:tcPr>
          <w:p w14:paraId="0FD09B65"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821" w:type="pct"/>
            <w:gridSpan w:val="3"/>
            <w:tcBorders>
              <w:top w:val="outset" w:sz="6" w:space="0" w:color="auto"/>
              <w:left w:val="outset" w:sz="6" w:space="0" w:color="auto"/>
              <w:bottom w:val="outset" w:sz="6" w:space="0" w:color="auto"/>
              <w:right w:val="outset" w:sz="6" w:space="0" w:color="auto"/>
            </w:tcBorders>
            <w:hideMark/>
          </w:tcPr>
          <w:p w14:paraId="50E63341" w14:textId="30272CC8" w:rsidR="00E5323B" w:rsidRPr="002D55CC" w:rsidRDefault="00585CC8" w:rsidP="002740F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2D55CC" w14:paraId="662B1D2C" w14:textId="77777777" w:rsidTr="0047530C">
        <w:trPr>
          <w:tblCellSpacing w:w="15" w:type="dxa"/>
        </w:trPr>
        <w:tc>
          <w:tcPr>
            <w:tcW w:w="1130" w:type="pct"/>
            <w:tcBorders>
              <w:top w:val="outset" w:sz="6" w:space="0" w:color="auto"/>
              <w:left w:val="outset" w:sz="6" w:space="0" w:color="auto"/>
              <w:bottom w:val="outset" w:sz="6" w:space="0" w:color="auto"/>
              <w:right w:val="outset" w:sz="6" w:space="0" w:color="auto"/>
            </w:tcBorders>
            <w:hideMark/>
          </w:tcPr>
          <w:p w14:paraId="51C33E14"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1" w:type="pct"/>
            <w:gridSpan w:val="3"/>
            <w:tcBorders>
              <w:top w:val="outset" w:sz="6" w:space="0" w:color="auto"/>
              <w:left w:val="outset" w:sz="6" w:space="0" w:color="auto"/>
              <w:bottom w:val="outset" w:sz="6" w:space="0" w:color="auto"/>
              <w:right w:val="outset" w:sz="6" w:space="0" w:color="auto"/>
            </w:tcBorders>
            <w:hideMark/>
          </w:tcPr>
          <w:p w14:paraId="4A31738F" w14:textId="77777777" w:rsidR="00E5323B" w:rsidRPr="002D55CC" w:rsidRDefault="00580B0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80B0A">
              <w:rPr>
                <w:rFonts w:ascii="Times New Roman" w:eastAsia="Times New Roman" w:hAnsi="Times New Roman" w:cs="Times New Roman"/>
                <w:iCs/>
                <w:sz w:val="24"/>
                <w:szCs w:val="24"/>
                <w:lang w:eastAsia="lv-LV"/>
              </w:rPr>
              <w:t>Projekts šo jomu neskar</w:t>
            </w:r>
            <w:r w:rsidR="00451B7C">
              <w:rPr>
                <w:rFonts w:ascii="Times New Roman" w:eastAsia="Times New Roman" w:hAnsi="Times New Roman" w:cs="Times New Roman"/>
                <w:iCs/>
                <w:sz w:val="24"/>
                <w:szCs w:val="24"/>
                <w:lang w:eastAsia="lv-LV"/>
              </w:rPr>
              <w:t>.</w:t>
            </w:r>
          </w:p>
        </w:tc>
      </w:tr>
      <w:tr w:rsidR="00E5323B" w:rsidRPr="002D55CC" w14:paraId="1A4C7C7B" w14:textId="77777777" w:rsidTr="0047530C">
        <w:trPr>
          <w:tblCellSpacing w:w="15" w:type="dxa"/>
        </w:trPr>
        <w:tc>
          <w:tcPr>
            <w:tcW w:w="1130" w:type="pct"/>
            <w:tcBorders>
              <w:top w:val="outset" w:sz="6" w:space="0" w:color="auto"/>
              <w:left w:val="outset" w:sz="6" w:space="0" w:color="auto"/>
              <w:bottom w:val="outset" w:sz="6" w:space="0" w:color="auto"/>
              <w:right w:val="outset" w:sz="6" w:space="0" w:color="auto"/>
            </w:tcBorders>
            <w:hideMark/>
          </w:tcPr>
          <w:p w14:paraId="1F0B143A"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821" w:type="pct"/>
            <w:gridSpan w:val="3"/>
            <w:tcBorders>
              <w:top w:val="outset" w:sz="6" w:space="0" w:color="auto"/>
              <w:left w:val="outset" w:sz="6" w:space="0" w:color="auto"/>
              <w:bottom w:val="outset" w:sz="6" w:space="0" w:color="auto"/>
              <w:right w:val="outset" w:sz="6" w:space="0" w:color="auto"/>
            </w:tcBorders>
            <w:hideMark/>
          </w:tcPr>
          <w:p w14:paraId="0713B67D" w14:textId="43F99932" w:rsidR="00E5323B" w:rsidRPr="002D55CC" w:rsidRDefault="0069694E" w:rsidP="001F284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Regula (kā arī īstenošanas regula) nenosaka fiziski kādā veidā</w:t>
            </w:r>
            <w:r w:rsidR="007F0EE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lietotājiem kompetentajai </w:t>
            </w:r>
            <w:r w:rsidR="007F0EEE">
              <w:rPr>
                <w:rFonts w:ascii="Times New Roman" w:eastAsia="Times New Roman" w:hAnsi="Times New Roman" w:cs="Times New Roman"/>
                <w:iCs/>
                <w:sz w:val="24"/>
                <w:szCs w:val="24"/>
                <w:lang w:eastAsia="lv-LV"/>
              </w:rPr>
              <w:t xml:space="preserve">iestādei </w:t>
            </w:r>
            <w:r>
              <w:rPr>
                <w:rFonts w:ascii="Times New Roman" w:eastAsia="Times New Roman" w:hAnsi="Times New Roman" w:cs="Times New Roman"/>
                <w:iCs/>
                <w:sz w:val="24"/>
                <w:szCs w:val="24"/>
                <w:lang w:eastAsia="lv-LV"/>
              </w:rPr>
              <w:t xml:space="preserve">jāiesniedz deklarācijas. Ņemot vērā, ka Eiropas Komisija deklarāciju iesniegšanai </w:t>
            </w:r>
            <w:r w:rsidR="00370D05">
              <w:rPr>
                <w:rFonts w:ascii="Times New Roman" w:eastAsia="Times New Roman" w:hAnsi="Times New Roman" w:cs="Times New Roman"/>
                <w:iCs/>
                <w:sz w:val="24"/>
                <w:szCs w:val="24"/>
                <w:lang w:eastAsia="lv-LV"/>
              </w:rPr>
              <w:t>pielāgojusi</w:t>
            </w:r>
            <w:r>
              <w:rPr>
                <w:rFonts w:ascii="Times New Roman" w:eastAsia="Times New Roman" w:hAnsi="Times New Roman" w:cs="Times New Roman"/>
                <w:iCs/>
                <w:sz w:val="24"/>
                <w:szCs w:val="24"/>
                <w:lang w:eastAsia="lv-LV"/>
              </w:rPr>
              <w:t xml:space="preserve"> tās informācijas sistēmu DECLARE, likumprojekta </w:t>
            </w:r>
            <w:r w:rsidR="0065222A">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 pants no</w:t>
            </w:r>
            <w:r w:rsidR="00704F59">
              <w:rPr>
                <w:rFonts w:ascii="Times New Roman" w:eastAsia="Times New Roman" w:hAnsi="Times New Roman" w:cs="Times New Roman"/>
                <w:iCs/>
                <w:sz w:val="24"/>
                <w:szCs w:val="24"/>
                <w:lang w:eastAsia="lv-LV"/>
              </w:rPr>
              <w:t>teic</w:t>
            </w:r>
            <w:r>
              <w:rPr>
                <w:rFonts w:ascii="Times New Roman" w:eastAsia="Times New Roman" w:hAnsi="Times New Roman" w:cs="Times New Roman"/>
                <w:iCs/>
                <w:sz w:val="24"/>
                <w:szCs w:val="24"/>
                <w:lang w:eastAsia="lv-LV"/>
              </w:rPr>
              <w:t>, ka deklarācijas jāiesniedz</w:t>
            </w:r>
            <w:r w:rsidR="00704F5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izmantojot minēto sistēmu.</w:t>
            </w:r>
          </w:p>
        </w:tc>
      </w:tr>
    </w:tbl>
    <w:p w14:paraId="679D03FC" w14:textId="268D5174" w:rsidR="00C85192" w:rsidRPr="002D55CC" w:rsidRDefault="00C85192" w:rsidP="00E5323B">
      <w:pPr>
        <w:spacing w:after="0" w:line="240" w:lineRule="auto"/>
        <w:rPr>
          <w:rFonts w:ascii="Times New Roman" w:eastAsia="Times New Roman" w:hAnsi="Times New Roman" w:cs="Times New Roman"/>
          <w:iCs/>
          <w:color w:val="414142"/>
          <w:sz w:val="24"/>
          <w:szCs w:val="24"/>
          <w:lang w:eastAsia="lv-LV"/>
        </w:rPr>
      </w:pPr>
    </w:p>
    <w:tbl>
      <w:tblPr>
        <w:tblpPr w:leftFromText="180" w:rightFromText="180" w:vertAnchor="text" w:horzAnchor="margin" w:tblpXSpec="center" w:tblpY="1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C85192" w:rsidRPr="00AB092E" w14:paraId="0478B28D" w14:textId="77777777" w:rsidTr="00AF7938">
        <w:trPr>
          <w:trHeight w:val="556"/>
        </w:trPr>
        <w:tc>
          <w:tcPr>
            <w:tcW w:w="9077" w:type="dxa"/>
            <w:vAlign w:val="center"/>
          </w:tcPr>
          <w:p w14:paraId="0DAEC2ED" w14:textId="668303D6" w:rsidR="00C85192" w:rsidRPr="00AB092E" w:rsidRDefault="00C85192" w:rsidP="00AF7938">
            <w:pPr>
              <w:pStyle w:val="naisnod"/>
              <w:spacing w:before="0" w:beforeAutospacing="0" w:after="0" w:afterAutospacing="0"/>
              <w:ind w:left="57" w:right="57"/>
              <w:rPr>
                <w:b/>
              </w:rPr>
            </w:pPr>
            <w:r>
              <w:rPr>
                <w:b/>
                <w:bCs/>
                <w:iCs/>
                <w:color w:val="414142"/>
              </w:rPr>
              <w:t>2. </w:t>
            </w:r>
            <w:r w:rsidRPr="002D55CC">
              <w:rPr>
                <w:b/>
                <w:bCs/>
                <w:iCs/>
                <w:color w:val="414142"/>
              </w:rPr>
              <w:t>tabula</w:t>
            </w:r>
            <w:r w:rsidRPr="002D55CC">
              <w:rPr>
                <w:b/>
                <w:bCs/>
                <w:iCs/>
                <w:color w:val="414142"/>
              </w:rPr>
              <w:br/>
              <w:t>Ar tiesību akta projektu izpildītās vai uzņemtās saistības, kas izriet no starptautiskajiem tiesību aktiem vai starptautiskas institūcijas vai organizācijas dokumentiem.</w:t>
            </w:r>
            <w:r w:rsidRPr="002D55CC">
              <w:rPr>
                <w:b/>
                <w:bCs/>
                <w:iCs/>
                <w:color w:val="414142"/>
              </w:rPr>
              <w:br/>
              <w:t>Pasākumi šo saistību izpildei</w:t>
            </w:r>
          </w:p>
        </w:tc>
      </w:tr>
      <w:tr w:rsidR="00C85192" w:rsidRPr="00AB092E" w14:paraId="68F1E0DE" w14:textId="77777777" w:rsidTr="00AF7938">
        <w:trPr>
          <w:trHeight w:val="556"/>
        </w:trPr>
        <w:tc>
          <w:tcPr>
            <w:tcW w:w="9077" w:type="dxa"/>
            <w:vAlign w:val="center"/>
          </w:tcPr>
          <w:p w14:paraId="25668465" w14:textId="77777777" w:rsidR="00C85192" w:rsidRPr="00AB092E" w:rsidRDefault="00C85192" w:rsidP="00AF7938">
            <w:pPr>
              <w:pStyle w:val="naisnod"/>
              <w:spacing w:before="0" w:beforeAutospacing="0" w:after="0" w:afterAutospacing="0"/>
              <w:ind w:left="57" w:right="57"/>
              <w:jc w:val="center"/>
              <w:rPr>
                <w:b/>
                <w:bCs/>
              </w:rPr>
            </w:pPr>
            <w:r w:rsidRPr="00AB092E">
              <w:rPr>
                <w:bCs/>
                <w:iCs/>
              </w:rPr>
              <w:t>Projekts šo jomu neskar</w:t>
            </w:r>
            <w:r w:rsidRPr="00AB092E">
              <w:t>.</w:t>
            </w:r>
          </w:p>
        </w:tc>
      </w:tr>
    </w:tbl>
    <w:p w14:paraId="224C9E1C" w14:textId="77777777" w:rsidR="00C85192" w:rsidRPr="00AB092E" w:rsidRDefault="00C85192" w:rsidP="00C85192"/>
    <w:p w14:paraId="7A4E4C59" w14:textId="62837143"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631285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D3DEAE"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2D55CC" w14:paraId="3313A4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A64228"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44CE5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1E1D0B7" w14:textId="5909D516" w:rsidR="0047397D" w:rsidRDefault="0047397D" w:rsidP="0047397D">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 xml:space="preserve">aicināti līdzdarboties, rakstiski </w:t>
            </w:r>
            <w:r>
              <w:t>sniedzot viedokli par likum</w:t>
            </w:r>
            <w:r w:rsidRPr="00CD00B5">
              <w:t>projektu tā izstrādes stadijā.</w:t>
            </w:r>
          </w:p>
          <w:p w14:paraId="0D34865F" w14:textId="21D953C7" w:rsidR="00B02174" w:rsidRPr="00483117" w:rsidRDefault="0047397D" w:rsidP="00483117">
            <w:pPr>
              <w:pStyle w:val="naisf"/>
              <w:spacing w:before="0" w:after="240"/>
              <w:ind w:left="57" w:right="57" w:firstLine="0"/>
            </w:pPr>
            <w:r w:rsidRPr="00170A8E">
              <w:t xml:space="preserve">Sabiedrības pārstāvji ir informēti par iespēju līdzdarboties, publicējot paziņojumu par līdzdalības procesu </w:t>
            </w:r>
            <w:r>
              <w:t xml:space="preserve">Vides aizsardzības un reģionālās attīstības </w:t>
            </w:r>
            <w:r w:rsidRPr="00170A8E">
              <w:t>ministri</w:t>
            </w:r>
            <w:r>
              <w:t>jas tīmekļ</w:t>
            </w:r>
            <w:r w:rsidRPr="00170A8E">
              <w:t>vietnē</w:t>
            </w:r>
            <w:r>
              <w:t xml:space="preserve"> </w:t>
            </w:r>
            <w:hyperlink r:id="rId16" w:history="1">
              <w:r w:rsidRPr="00150A48">
                <w:rPr>
                  <w:rStyle w:val="Hyperlink"/>
                </w:rPr>
                <w:t>www.varam.gov.lv</w:t>
              </w:r>
            </w:hyperlink>
            <w:r>
              <w:t xml:space="preserve">. </w:t>
            </w:r>
          </w:p>
        </w:tc>
      </w:tr>
      <w:tr w:rsidR="00E5323B" w:rsidRPr="002D55CC" w14:paraId="141E7E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9AD955"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905E0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B733B2E" w14:textId="67814A71" w:rsidR="00996704" w:rsidRDefault="008115C8" w:rsidP="009C5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996704" w:rsidRPr="00E73726">
              <w:rPr>
                <w:rFonts w:ascii="Times New Roman" w:hAnsi="Times New Roman" w:cs="Times New Roman"/>
                <w:sz w:val="24"/>
                <w:szCs w:val="24"/>
              </w:rPr>
              <w:t>inistrija</w:t>
            </w:r>
            <w:r w:rsidR="00996704">
              <w:rPr>
                <w:rFonts w:ascii="Times New Roman" w:hAnsi="Times New Roman" w:cs="Times New Roman"/>
                <w:sz w:val="24"/>
                <w:szCs w:val="24"/>
              </w:rPr>
              <w:t>s tīmekļvietnē</w:t>
            </w:r>
            <w:r w:rsidR="0021733F">
              <w:rPr>
                <w:rFonts w:ascii="Times New Roman" w:hAnsi="Times New Roman" w:cs="Times New Roman"/>
                <w:sz w:val="24"/>
                <w:szCs w:val="24"/>
              </w:rPr>
              <w:t xml:space="preserve"> </w:t>
            </w:r>
            <w:hyperlink r:id="rId17" w:history="1">
              <w:r w:rsidR="0021733F" w:rsidRPr="00744B79">
                <w:rPr>
                  <w:rStyle w:val="Hyperlink"/>
                  <w:rFonts w:ascii="Times New Roman" w:hAnsi="Times New Roman" w:cs="Times New Roman"/>
                  <w:sz w:val="24"/>
                  <w:szCs w:val="24"/>
                </w:rPr>
                <w:t>www.varam.gov.lv</w:t>
              </w:r>
            </w:hyperlink>
            <w:r w:rsidR="0021733F">
              <w:rPr>
                <w:rFonts w:ascii="Times New Roman" w:hAnsi="Times New Roman" w:cs="Times New Roman"/>
                <w:sz w:val="24"/>
                <w:szCs w:val="24"/>
              </w:rPr>
              <w:t xml:space="preserve"> </w:t>
            </w:r>
            <w:r w:rsidR="000922EE">
              <w:rPr>
                <w:rFonts w:ascii="Times New Roman" w:hAnsi="Times New Roman" w:cs="Times New Roman"/>
                <w:sz w:val="24"/>
                <w:szCs w:val="24"/>
              </w:rPr>
              <w:t>publicēts</w:t>
            </w:r>
            <w:r w:rsidR="00996704">
              <w:rPr>
                <w:rFonts w:ascii="Times New Roman" w:hAnsi="Times New Roman" w:cs="Times New Roman"/>
                <w:sz w:val="24"/>
                <w:szCs w:val="24"/>
              </w:rPr>
              <w:t xml:space="preserve">: </w:t>
            </w:r>
          </w:p>
          <w:p w14:paraId="6EB24659" w14:textId="7AB03B1B" w:rsidR="00E5323B" w:rsidRPr="009B5749" w:rsidRDefault="00996704" w:rsidP="009C58C7">
            <w:pPr>
              <w:pStyle w:val="ListParagraph"/>
              <w:numPr>
                <w:ilvl w:val="0"/>
                <w:numId w:val="6"/>
              </w:numPr>
              <w:tabs>
                <w:tab w:val="left" w:pos="440"/>
              </w:tabs>
              <w:spacing w:after="0" w:line="240" w:lineRule="auto"/>
              <w:ind w:left="0" w:firstLine="111"/>
              <w:jc w:val="both"/>
              <w:rPr>
                <w:rFonts w:ascii="Times New Roman" w:hAnsi="Times New Roman" w:cs="Times New Roman"/>
                <w:sz w:val="24"/>
                <w:szCs w:val="24"/>
              </w:rPr>
            </w:pPr>
            <w:r w:rsidRPr="009B5749">
              <w:rPr>
                <w:rFonts w:ascii="Times New Roman" w:hAnsi="Times New Roman" w:cs="Times New Roman"/>
                <w:sz w:val="24"/>
                <w:szCs w:val="24"/>
              </w:rPr>
              <w:t xml:space="preserve">paziņojums par līdzdalības iespējām </w:t>
            </w:r>
            <w:r w:rsidR="002740FD">
              <w:rPr>
                <w:rFonts w:ascii="Times New Roman" w:hAnsi="Times New Roman" w:cs="Times New Roman"/>
                <w:sz w:val="24"/>
                <w:szCs w:val="24"/>
              </w:rPr>
              <w:t>l</w:t>
            </w:r>
            <w:r w:rsidR="0047397D">
              <w:rPr>
                <w:rFonts w:ascii="Times New Roman" w:hAnsi="Times New Roman" w:cs="Times New Roman"/>
                <w:sz w:val="24"/>
                <w:szCs w:val="24"/>
              </w:rPr>
              <w:t>ikumprojekta</w:t>
            </w:r>
            <w:r w:rsidRPr="009B5749">
              <w:rPr>
                <w:rFonts w:ascii="Times New Roman" w:hAnsi="Times New Roman" w:cs="Times New Roman"/>
                <w:sz w:val="24"/>
                <w:szCs w:val="24"/>
              </w:rPr>
              <w:t xml:space="preserve"> izstrādē</w:t>
            </w:r>
            <w:r w:rsidR="000922EE" w:rsidRPr="009B5749">
              <w:rPr>
                <w:rFonts w:ascii="Times New Roman" w:hAnsi="Times New Roman" w:cs="Times New Roman"/>
                <w:sz w:val="24"/>
                <w:szCs w:val="24"/>
              </w:rPr>
              <w:t xml:space="preserve"> </w:t>
            </w:r>
            <w:hyperlink r:id="rId18" w:history="1">
              <w:r w:rsidR="000922EE" w:rsidRPr="009B5749">
                <w:rPr>
                  <w:rStyle w:val="Hyperlink"/>
                  <w:rFonts w:ascii="Times New Roman" w:eastAsia="Times New Roman" w:hAnsi="Times New Roman" w:cs="Times New Roman"/>
                  <w:iCs/>
                  <w:sz w:val="24"/>
                  <w:szCs w:val="24"/>
                  <w:lang w:eastAsia="lv-LV"/>
                </w:rPr>
                <w:t>2017. gada 27. jūlijā</w:t>
              </w:r>
            </w:hyperlink>
            <w:r w:rsidRPr="009B5749">
              <w:rPr>
                <w:rFonts w:ascii="Times New Roman" w:hAnsi="Times New Roman" w:cs="Times New Roman"/>
                <w:sz w:val="24"/>
                <w:szCs w:val="24"/>
              </w:rPr>
              <w:t>;</w:t>
            </w:r>
          </w:p>
          <w:p w14:paraId="1D995378" w14:textId="6B560675" w:rsidR="00996704" w:rsidRPr="009B5749" w:rsidRDefault="0047397D" w:rsidP="009C58C7">
            <w:pPr>
              <w:pStyle w:val="ListParagraph"/>
              <w:numPr>
                <w:ilvl w:val="0"/>
                <w:numId w:val="6"/>
              </w:numPr>
              <w:tabs>
                <w:tab w:val="left" w:pos="440"/>
              </w:tabs>
              <w:spacing w:after="0" w:line="240" w:lineRule="auto"/>
              <w:ind w:left="0" w:firstLine="111"/>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Precizētais </w:t>
            </w:r>
            <w:r w:rsidR="002740FD">
              <w:rPr>
                <w:rFonts w:ascii="Times New Roman" w:hAnsi="Times New Roman" w:cs="Times New Roman"/>
                <w:sz w:val="24"/>
                <w:szCs w:val="24"/>
              </w:rPr>
              <w:t>l</w:t>
            </w:r>
            <w:r w:rsidR="000922EE" w:rsidRPr="009B5749">
              <w:rPr>
                <w:rFonts w:ascii="Times New Roman" w:hAnsi="Times New Roman" w:cs="Times New Roman"/>
                <w:sz w:val="24"/>
                <w:szCs w:val="24"/>
              </w:rPr>
              <w:t xml:space="preserve">ikumprojekts un paziņojums par līdzdalības iespējām tā izstrādē </w:t>
            </w:r>
            <w:hyperlink r:id="rId19" w:history="1">
              <w:r w:rsidR="000922EE" w:rsidRPr="009B5749">
                <w:rPr>
                  <w:rStyle w:val="Hyperlink"/>
                  <w:rFonts w:ascii="Times New Roman" w:eastAsia="Times New Roman" w:hAnsi="Times New Roman" w:cs="Times New Roman"/>
                  <w:iCs/>
                  <w:sz w:val="24"/>
                  <w:szCs w:val="24"/>
                  <w:lang w:eastAsia="lv-LV"/>
                </w:rPr>
                <w:t>2018. gada 6. aprīlī</w:t>
              </w:r>
            </w:hyperlink>
            <w:r w:rsidR="000922EE" w:rsidRPr="009B5749">
              <w:rPr>
                <w:rFonts w:ascii="Times New Roman" w:eastAsia="Times New Roman" w:hAnsi="Times New Roman" w:cs="Times New Roman"/>
                <w:iCs/>
                <w:sz w:val="24"/>
                <w:szCs w:val="24"/>
                <w:lang w:eastAsia="lv-LV"/>
              </w:rPr>
              <w:t>;</w:t>
            </w:r>
          </w:p>
          <w:p w14:paraId="5BB0181D" w14:textId="3E544780" w:rsidR="00533D50" w:rsidRPr="00533D50" w:rsidRDefault="0047397D" w:rsidP="009C58C7">
            <w:pPr>
              <w:pStyle w:val="ListParagraph"/>
              <w:numPr>
                <w:ilvl w:val="0"/>
                <w:numId w:val="6"/>
              </w:numPr>
              <w:tabs>
                <w:tab w:val="left" w:pos="440"/>
              </w:tabs>
              <w:spacing w:after="0" w:line="240" w:lineRule="auto"/>
              <w:ind w:left="0" w:firstLine="111"/>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Precizētais </w:t>
            </w:r>
            <w:r w:rsidR="002740FD">
              <w:rPr>
                <w:rFonts w:ascii="Times New Roman" w:eastAsia="Times New Roman" w:hAnsi="Times New Roman" w:cs="Times New Roman"/>
                <w:iCs/>
                <w:sz w:val="24"/>
                <w:szCs w:val="24"/>
                <w:lang w:eastAsia="lv-LV"/>
              </w:rPr>
              <w:t>l</w:t>
            </w:r>
            <w:r w:rsidR="000922EE" w:rsidRPr="009B5749">
              <w:rPr>
                <w:rFonts w:ascii="Times New Roman" w:eastAsia="Times New Roman" w:hAnsi="Times New Roman" w:cs="Times New Roman"/>
                <w:iCs/>
                <w:sz w:val="24"/>
                <w:szCs w:val="24"/>
                <w:lang w:eastAsia="lv-LV"/>
              </w:rPr>
              <w:t>ikumprojekts</w:t>
            </w:r>
            <w:r>
              <w:rPr>
                <w:rFonts w:ascii="Times New Roman" w:eastAsia="Times New Roman" w:hAnsi="Times New Roman" w:cs="Times New Roman"/>
                <w:iCs/>
                <w:sz w:val="24"/>
                <w:szCs w:val="24"/>
                <w:lang w:eastAsia="lv-LV"/>
              </w:rPr>
              <w:t xml:space="preserve"> </w:t>
            </w:r>
            <w:hyperlink r:id="rId20" w:history="1">
              <w:r w:rsidR="000922EE" w:rsidRPr="009B5749">
                <w:rPr>
                  <w:rStyle w:val="Hyperlink"/>
                  <w:rFonts w:ascii="Times New Roman" w:eastAsia="Times New Roman" w:hAnsi="Times New Roman" w:cs="Times New Roman"/>
                  <w:iCs/>
                  <w:sz w:val="24"/>
                  <w:szCs w:val="24"/>
                  <w:lang w:eastAsia="lv-LV"/>
                </w:rPr>
                <w:t>2018. gada 6. aprīlī</w:t>
              </w:r>
            </w:hyperlink>
            <w:r w:rsidR="00533D50">
              <w:rPr>
                <w:rFonts w:ascii="Times New Roman" w:eastAsia="Times New Roman" w:hAnsi="Times New Roman" w:cs="Times New Roman"/>
                <w:iCs/>
                <w:sz w:val="24"/>
                <w:szCs w:val="24"/>
                <w:lang w:eastAsia="lv-LV"/>
              </w:rPr>
              <w:t>;</w:t>
            </w:r>
          </w:p>
          <w:p w14:paraId="5BDFF4A7" w14:textId="77777777" w:rsidR="00370D05" w:rsidRPr="009D798B" w:rsidRDefault="002740FD" w:rsidP="009C58C7">
            <w:pPr>
              <w:pStyle w:val="ListParagraph"/>
              <w:numPr>
                <w:ilvl w:val="0"/>
                <w:numId w:val="6"/>
              </w:numPr>
              <w:tabs>
                <w:tab w:val="left" w:pos="440"/>
              </w:tabs>
              <w:spacing w:after="0" w:line="240" w:lineRule="auto"/>
              <w:ind w:left="0" w:firstLine="111"/>
              <w:jc w:val="both"/>
              <w:rPr>
                <w:rStyle w:val="Hyperlink"/>
                <w:rFonts w:ascii="Times New Roman" w:eastAsia="Times New Roman" w:hAnsi="Times New Roman" w:cs="Times New Roman"/>
                <w:iCs/>
                <w:color w:val="A6A6A6" w:themeColor="background1" w:themeShade="A6"/>
                <w:sz w:val="24"/>
                <w:szCs w:val="24"/>
                <w:u w:val="none"/>
                <w:lang w:eastAsia="lv-LV"/>
              </w:rPr>
            </w:pPr>
            <w:r>
              <w:rPr>
                <w:rFonts w:ascii="Times New Roman" w:eastAsia="Times New Roman" w:hAnsi="Times New Roman" w:cs="Times New Roman"/>
                <w:iCs/>
                <w:sz w:val="24"/>
                <w:szCs w:val="24"/>
                <w:lang w:eastAsia="lv-LV"/>
              </w:rPr>
              <w:t>Precizē</w:t>
            </w:r>
            <w:r w:rsidR="0047397D">
              <w:rPr>
                <w:rFonts w:ascii="Times New Roman" w:eastAsia="Times New Roman" w:hAnsi="Times New Roman" w:cs="Times New Roman"/>
                <w:iCs/>
                <w:sz w:val="24"/>
                <w:szCs w:val="24"/>
                <w:lang w:eastAsia="lv-LV"/>
              </w:rPr>
              <w:t xml:space="preserve">tais </w:t>
            </w:r>
            <w:r>
              <w:rPr>
                <w:rFonts w:ascii="Times New Roman" w:eastAsia="Times New Roman" w:hAnsi="Times New Roman" w:cs="Times New Roman"/>
                <w:iCs/>
                <w:sz w:val="24"/>
                <w:szCs w:val="24"/>
                <w:lang w:eastAsia="lv-LV"/>
              </w:rPr>
              <w:t>l</w:t>
            </w:r>
            <w:r w:rsidR="00533D50">
              <w:rPr>
                <w:rFonts w:ascii="Times New Roman" w:eastAsia="Times New Roman" w:hAnsi="Times New Roman" w:cs="Times New Roman"/>
                <w:iCs/>
                <w:sz w:val="24"/>
                <w:szCs w:val="24"/>
                <w:lang w:eastAsia="lv-LV"/>
              </w:rPr>
              <w:t xml:space="preserve">ikumprojekts </w:t>
            </w:r>
            <w:hyperlink r:id="rId21" w:history="1">
              <w:r w:rsidR="00533D50" w:rsidRPr="00533D50">
                <w:rPr>
                  <w:rStyle w:val="Hyperlink"/>
                  <w:rFonts w:ascii="Times New Roman" w:eastAsia="Times New Roman" w:hAnsi="Times New Roman" w:cs="Times New Roman"/>
                  <w:iCs/>
                  <w:sz w:val="24"/>
                  <w:szCs w:val="24"/>
                  <w:lang w:eastAsia="lv-LV"/>
                </w:rPr>
                <w:t>2018. gada 17. jūlijā</w:t>
              </w:r>
            </w:hyperlink>
            <w:r w:rsidR="00370D05">
              <w:rPr>
                <w:rStyle w:val="Hyperlink"/>
                <w:rFonts w:ascii="Times New Roman" w:eastAsia="Times New Roman" w:hAnsi="Times New Roman" w:cs="Times New Roman"/>
                <w:iCs/>
                <w:sz w:val="24"/>
                <w:szCs w:val="24"/>
                <w:lang w:eastAsia="lv-LV"/>
              </w:rPr>
              <w:t>;</w:t>
            </w:r>
          </w:p>
          <w:p w14:paraId="607C1AD6" w14:textId="1F8FE4B5" w:rsidR="00533D50" w:rsidRPr="00533D50" w:rsidRDefault="00370D05" w:rsidP="009C58C7">
            <w:pPr>
              <w:pStyle w:val="ListParagraph"/>
              <w:numPr>
                <w:ilvl w:val="0"/>
                <w:numId w:val="6"/>
              </w:numPr>
              <w:tabs>
                <w:tab w:val="left" w:pos="440"/>
              </w:tabs>
              <w:spacing w:after="0" w:line="240" w:lineRule="auto"/>
              <w:ind w:left="0" w:firstLine="111"/>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paziņojums par līdzdalības iespējām normatīvā akta izstrādē un Likumprojekts </w:t>
            </w:r>
            <w:hyperlink r:id="rId22" w:history="1">
              <w:r w:rsidRPr="00DE1FF1">
                <w:rPr>
                  <w:rStyle w:val="Hyperlink"/>
                  <w:rFonts w:ascii="Times New Roman" w:eastAsia="Times New Roman" w:hAnsi="Times New Roman" w:cs="Times New Roman"/>
                  <w:iCs/>
                  <w:sz w:val="24"/>
                  <w:szCs w:val="24"/>
                  <w:lang w:eastAsia="lv-LV"/>
                </w:rPr>
                <w:t>2018. gada 25. oktobrī</w:t>
              </w:r>
            </w:hyperlink>
            <w:r>
              <w:rPr>
                <w:rFonts w:ascii="Times New Roman" w:eastAsia="Times New Roman" w:hAnsi="Times New Roman" w:cs="Times New Roman"/>
                <w:iCs/>
                <w:sz w:val="24"/>
                <w:szCs w:val="24"/>
                <w:lang w:eastAsia="lv-LV"/>
              </w:rPr>
              <w:t xml:space="preserve"> (arī Ministru kabineta tīmekļa </w:t>
            </w:r>
            <w:hyperlink r:id="rId23" w:history="1">
              <w:r w:rsidRPr="00DE1FF1">
                <w:rPr>
                  <w:rStyle w:val="Hyperlink"/>
                  <w:rFonts w:ascii="Times New Roman" w:eastAsia="Times New Roman" w:hAnsi="Times New Roman" w:cs="Times New Roman"/>
                  <w:iCs/>
                  <w:sz w:val="24"/>
                  <w:szCs w:val="24"/>
                  <w:lang w:eastAsia="lv-LV"/>
                </w:rPr>
                <w:t>vietnē</w:t>
              </w:r>
            </w:hyperlink>
            <w:r>
              <w:rPr>
                <w:rFonts w:ascii="Times New Roman" w:eastAsia="Times New Roman" w:hAnsi="Times New Roman" w:cs="Times New Roman"/>
                <w:iCs/>
                <w:sz w:val="24"/>
                <w:szCs w:val="24"/>
                <w:lang w:eastAsia="lv-LV"/>
              </w:rPr>
              <w:t>, priekšlikumiem līdz 2018. gada 9. novembrim)</w:t>
            </w:r>
            <w:r w:rsidR="00533D50">
              <w:rPr>
                <w:rFonts w:ascii="Times New Roman" w:eastAsia="Times New Roman" w:hAnsi="Times New Roman" w:cs="Times New Roman"/>
                <w:iCs/>
                <w:sz w:val="24"/>
                <w:szCs w:val="24"/>
                <w:lang w:eastAsia="lv-LV"/>
              </w:rPr>
              <w:t>.</w:t>
            </w:r>
          </w:p>
        </w:tc>
      </w:tr>
      <w:tr w:rsidR="00E5323B" w:rsidRPr="002D55CC" w14:paraId="323A58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F25582" w14:textId="39B994D8"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C7456E"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6BF4156" w14:textId="4CCE3697" w:rsidR="00E5323B" w:rsidRPr="000D3333" w:rsidRDefault="0047351D" w:rsidP="009C58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saņemti priekšlikumi vai iebildumi.</w:t>
            </w:r>
            <w:r w:rsidR="00996704">
              <w:rPr>
                <w:rFonts w:ascii="Times New Roman" w:eastAsia="Times New Roman" w:hAnsi="Times New Roman" w:cs="Times New Roman"/>
                <w:iCs/>
                <w:color w:val="A6A6A6" w:themeColor="background1" w:themeShade="A6"/>
                <w:sz w:val="24"/>
                <w:szCs w:val="24"/>
                <w:lang w:eastAsia="lv-LV"/>
              </w:rPr>
              <w:t xml:space="preserve"> </w:t>
            </w:r>
          </w:p>
        </w:tc>
      </w:tr>
      <w:tr w:rsidR="00E5323B" w:rsidRPr="002D55CC" w14:paraId="70A7FF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6DCB81"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624C039"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EF1290" w14:textId="77777777" w:rsidR="00E5323B" w:rsidRPr="000D3333" w:rsidRDefault="00DC5D42" w:rsidP="009C58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804552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428B44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44E17C"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2D55CC" w14:paraId="0C0EEB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2CB3B"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FB9DA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358E8BA" w14:textId="77777777" w:rsidR="00E5323B" w:rsidRDefault="0026184D" w:rsidP="009C58C7">
            <w:pPr>
              <w:spacing w:after="0" w:line="240" w:lineRule="auto"/>
              <w:jc w:val="both"/>
              <w:rPr>
                <w:rFonts w:ascii="Times New Roman" w:eastAsia="Times New Roman" w:hAnsi="Times New Roman" w:cs="Times New Roman"/>
                <w:iCs/>
                <w:sz w:val="24"/>
                <w:szCs w:val="24"/>
                <w:lang w:eastAsia="lv-LV"/>
              </w:rPr>
            </w:pPr>
            <w:r w:rsidRPr="0026184D">
              <w:rPr>
                <w:rFonts w:ascii="Times New Roman" w:eastAsia="Times New Roman" w:hAnsi="Times New Roman" w:cs="Times New Roman"/>
                <w:iCs/>
                <w:sz w:val="24"/>
                <w:szCs w:val="24"/>
                <w:lang w:eastAsia="lv-LV"/>
              </w:rPr>
              <w:t xml:space="preserve">Dabas aizsardzības pārvalde, </w:t>
            </w:r>
            <w:r w:rsidR="00AB1E88">
              <w:rPr>
                <w:rFonts w:ascii="Times New Roman" w:eastAsia="Times New Roman" w:hAnsi="Times New Roman" w:cs="Times New Roman"/>
                <w:iCs/>
                <w:sz w:val="24"/>
                <w:szCs w:val="24"/>
                <w:lang w:eastAsia="lv-LV"/>
              </w:rPr>
              <w:t>m</w:t>
            </w:r>
            <w:r w:rsidRPr="0026184D">
              <w:rPr>
                <w:rFonts w:ascii="Times New Roman" w:eastAsia="Times New Roman" w:hAnsi="Times New Roman" w:cs="Times New Roman"/>
                <w:iCs/>
                <w:sz w:val="24"/>
                <w:szCs w:val="24"/>
                <w:lang w:eastAsia="lv-LV"/>
              </w:rPr>
              <w:t>inistrija</w:t>
            </w:r>
            <w:r w:rsidR="00B411C9">
              <w:rPr>
                <w:rFonts w:ascii="Times New Roman" w:eastAsia="Times New Roman" w:hAnsi="Times New Roman" w:cs="Times New Roman"/>
                <w:iCs/>
                <w:sz w:val="24"/>
                <w:szCs w:val="24"/>
                <w:lang w:eastAsia="lv-LV"/>
              </w:rPr>
              <w:t xml:space="preserve"> (Nagojas Protokola kontaktpersona)</w:t>
            </w:r>
            <w:r w:rsidRPr="0026184D">
              <w:rPr>
                <w:rFonts w:ascii="Times New Roman" w:eastAsia="Times New Roman" w:hAnsi="Times New Roman" w:cs="Times New Roman"/>
                <w:iCs/>
                <w:sz w:val="24"/>
                <w:szCs w:val="24"/>
                <w:lang w:eastAsia="lv-LV"/>
              </w:rPr>
              <w:t>.</w:t>
            </w:r>
          </w:p>
          <w:p w14:paraId="59DCF0CE" w14:textId="2299888A" w:rsidR="008D6841" w:rsidRPr="0026184D" w:rsidRDefault="008D6841" w:rsidP="00A17F0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ģenētisko resursu izmantošana iespējama </w:t>
            </w:r>
            <w:r w:rsidR="00A17F0F">
              <w:rPr>
                <w:rFonts w:ascii="Times New Roman" w:eastAsia="Times New Roman" w:hAnsi="Times New Roman" w:cs="Times New Roman"/>
                <w:iCs/>
                <w:sz w:val="24"/>
                <w:szCs w:val="24"/>
                <w:lang w:eastAsia="lv-LV"/>
              </w:rPr>
              <w:t>dažādās tautsaimniecības nozarēs</w:t>
            </w:r>
            <w:r>
              <w:rPr>
                <w:rFonts w:ascii="Times New Roman" w:eastAsia="Times New Roman" w:hAnsi="Times New Roman" w:cs="Times New Roman"/>
                <w:iCs/>
                <w:sz w:val="24"/>
                <w:szCs w:val="24"/>
                <w:lang w:eastAsia="lv-LV"/>
              </w:rPr>
              <w:t>, likumprojekta un abu regulu sekmīga</w:t>
            </w:r>
            <w:r w:rsidR="00634B5D">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īstenošanai nepieciešama nozaru sadarbība ar nacionālo kompetento iestādi gan </w:t>
            </w:r>
            <w:r w:rsidR="00250D14">
              <w:rPr>
                <w:rFonts w:ascii="Times New Roman" w:eastAsia="Times New Roman" w:hAnsi="Times New Roman" w:cs="Times New Roman"/>
                <w:iCs/>
                <w:sz w:val="24"/>
                <w:szCs w:val="24"/>
                <w:lang w:eastAsia="lv-LV"/>
              </w:rPr>
              <w:t xml:space="preserve">ģenētisko resursu </w:t>
            </w:r>
            <w:r>
              <w:rPr>
                <w:rFonts w:ascii="Times New Roman" w:eastAsia="Times New Roman" w:hAnsi="Times New Roman" w:cs="Times New Roman"/>
                <w:iCs/>
                <w:sz w:val="24"/>
                <w:szCs w:val="24"/>
                <w:lang w:eastAsia="lv-LV"/>
              </w:rPr>
              <w:t>lietotāju</w:t>
            </w:r>
            <w:r w:rsidR="003E51B6">
              <w:rPr>
                <w:rFonts w:ascii="Times New Roman" w:eastAsia="Times New Roman" w:hAnsi="Times New Roman" w:cs="Times New Roman"/>
                <w:iCs/>
                <w:sz w:val="24"/>
                <w:szCs w:val="24"/>
                <w:lang w:eastAsia="lv-LV"/>
              </w:rPr>
              <w:t xml:space="preserve">, gan nozaru kontroles institūciju līmenī. </w:t>
            </w:r>
          </w:p>
        </w:tc>
      </w:tr>
      <w:tr w:rsidR="00E5323B" w:rsidRPr="002D55CC" w14:paraId="7E3516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B61BC"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143A9"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Projekta izpildes ietekme uz pārvaldes funkcijām un institucionālo struktūru.</w:t>
            </w:r>
            <w:r w:rsidRPr="002D55C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59555CF" w14:textId="005919A5" w:rsidR="005C5AFD" w:rsidRDefault="005C5AFD" w:rsidP="00BF4506">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īstenotu regulas noteikto, l</w:t>
            </w:r>
            <w:r w:rsidRPr="0038423A">
              <w:rPr>
                <w:rFonts w:ascii="Times New Roman" w:eastAsia="Times New Roman" w:hAnsi="Times New Roman" w:cs="Times New Roman"/>
                <w:iCs/>
                <w:sz w:val="24"/>
                <w:szCs w:val="24"/>
                <w:lang w:eastAsia="lv-LV"/>
              </w:rPr>
              <w:t>ikumprojekt</w:t>
            </w:r>
            <w:r>
              <w:rPr>
                <w:rFonts w:ascii="Times New Roman" w:eastAsia="Times New Roman" w:hAnsi="Times New Roman" w:cs="Times New Roman"/>
                <w:iCs/>
                <w:sz w:val="24"/>
                <w:szCs w:val="24"/>
                <w:lang w:eastAsia="lv-LV"/>
              </w:rPr>
              <w:t>s paplašina Dabas aizsardzības pārvaldes funkcijas un uzdevumus.</w:t>
            </w:r>
          </w:p>
          <w:p w14:paraId="036614B5" w14:textId="6B186D3E" w:rsidR="00E5323B" w:rsidRPr="002D55CC" w:rsidRDefault="002740FD" w:rsidP="00BF4506">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Saistībā ar l</w:t>
            </w:r>
            <w:r w:rsidR="0038423A">
              <w:rPr>
                <w:rFonts w:ascii="Times New Roman" w:hAnsi="Times New Roman" w:cs="Times New Roman"/>
                <w:sz w:val="24"/>
                <w:szCs w:val="24"/>
              </w:rPr>
              <w:t>ikumprojektu nav nepieciešams veidot jaunas institūcijas, likvidēt vai reorganizēt esošās.</w:t>
            </w:r>
          </w:p>
        </w:tc>
      </w:tr>
      <w:tr w:rsidR="00E5323B" w:rsidRPr="002D55CC" w14:paraId="600737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AA4C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4F47D1"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83169D" w14:textId="30821C44" w:rsidR="00E5323B" w:rsidRPr="00282F0E" w:rsidRDefault="00A85052" w:rsidP="00282F0E">
            <w:pPr>
              <w:spacing w:after="0" w:line="240" w:lineRule="auto"/>
              <w:jc w:val="both"/>
              <w:rPr>
                <w:rFonts w:ascii="Times New Roman" w:hAnsi="Times New Roman" w:cs="Times New Roman"/>
                <w:sz w:val="24"/>
                <w:szCs w:val="24"/>
              </w:rPr>
            </w:pPr>
            <w:r w:rsidRPr="00282F0E">
              <w:rPr>
                <w:rFonts w:ascii="Times New Roman" w:hAnsi="Times New Roman" w:cs="Times New Roman"/>
                <w:sz w:val="24"/>
                <w:szCs w:val="24"/>
              </w:rPr>
              <w:t>Lai veicinātu izpratni par likumprojekta un, tajā skaitā regulas un īstenošanas regulas, paredz</w:t>
            </w:r>
            <w:r w:rsidR="00282F0E" w:rsidRPr="00282F0E">
              <w:rPr>
                <w:rFonts w:ascii="Times New Roman" w:hAnsi="Times New Roman" w:cs="Times New Roman"/>
                <w:sz w:val="24"/>
                <w:szCs w:val="24"/>
              </w:rPr>
              <w:t>ētajiem</w:t>
            </w:r>
            <w:r w:rsidRPr="00282F0E">
              <w:rPr>
                <w:rFonts w:ascii="Times New Roman" w:hAnsi="Times New Roman" w:cs="Times New Roman"/>
                <w:sz w:val="24"/>
                <w:szCs w:val="24"/>
              </w:rPr>
              <w:t xml:space="preserve"> pienākum</w:t>
            </w:r>
            <w:r w:rsidR="00282F0E" w:rsidRPr="00282F0E">
              <w:rPr>
                <w:rFonts w:ascii="Times New Roman" w:hAnsi="Times New Roman" w:cs="Times New Roman"/>
                <w:sz w:val="24"/>
                <w:szCs w:val="24"/>
              </w:rPr>
              <w:t xml:space="preserve">iem </w:t>
            </w:r>
            <w:r w:rsidRPr="00282F0E">
              <w:rPr>
                <w:rFonts w:ascii="Times New Roman" w:hAnsi="Times New Roman" w:cs="Times New Roman"/>
                <w:sz w:val="24"/>
                <w:szCs w:val="24"/>
              </w:rPr>
              <w:t xml:space="preserve">ģenētisko resursu lietotājiem no Latvijas, </w:t>
            </w:r>
            <w:r w:rsidR="00282F0E" w:rsidRPr="00282F0E">
              <w:rPr>
                <w:rFonts w:ascii="Times New Roman" w:hAnsi="Times New Roman" w:cs="Times New Roman"/>
                <w:sz w:val="24"/>
                <w:szCs w:val="24"/>
              </w:rPr>
              <w:t>nepieciešams izstrādāt veicamo pienākumu īsu skaidrojumu</w:t>
            </w:r>
            <w:r w:rsidRPr="00282F0E">
              <w:rPr>
                <w:rFonts w:ascii="Times New Roman" w:hAnsi="Times New Roman" w:cs="Times New Roman"/>
                <w:sz w:val="24"/>
                <w:szCs w:val="24"/>
              </w:rPr>
              <w:t xml:space="preserve"> (piemēram, </w:t>
            </w:r>
            <w:r w:rsidR="008558CB">
              <w:rPr>
                <w:rFonts w:ascii="Times New Roman" w:hAnsi="Times New Roman" w:cs="Times New Roman"/>
                <w:sz w:val="24"/>
                <w:szCs w:val="24"/>
              </w:rPr>
              <w:t>"</w:t>
            </w:r>
            <w:r w:rsidR="00282F0E" w:rsidRPr="00282F0E">
              <w:rPr>
                <w:rFonts w:ascii="Times New Roman" w:hAnsi="Times New Roman" w:cs="Times New Roman"/>
                <w:sz w:val="24"/>
                <w:szCs w:val="24"/>
              </w:rPr>
              <w:t>ceļa karti</w:t>
            </w:r>
            <w:r w:rsidR="008558CB">
              <w:rPr>
                <w:rFonts w:ascii="Times New Roman" w:hAnsi="Times New Roman" w:cs="Times New Roman"/>
                <w:sz w:val="24"/>
                <w:szCs w:val="24"/>
              </w:rPr>
              <w:t>"</w:t>
            </w:r>
            <w:r w:rsidRPr="00282F0E">
              <w:rPr>
                <w:rFonts w:ascii="Times New Roman" w:hAnsi="Times New Roman" w:cs="Times New Roman"/>
                <w:sz w:val="24"/>
                <w:szCs w:val="24"/>
              </w:rPr>
              <w:t>).</w:t>
            </w:r>
          </w:p>
        </w:tc>
      </w:tr>
    </w:tbl>
    <w:p w14:paraId="0FF8CC4D" w14:textId="77777777" w:rsidR="00C25B49" w:rsidRDefault="00C25B49" w:rsidP="00894C55">
      <w:pPr>
        <w:spacing w:after="0" w:line="240" w:lineRule="auto"/>
        <w:rPr>
          <w:rFonts w:ascii="Times New Roman" w:hAnsi="Times New Roman" w:cs="Times New Roman"/>
          <w:sz w:val="28"/>
          <w:szCs w:val="28"/>
        </w:rPr>
      </w:pPr>
    </w:p>
    <w:p w14:paraId="56C2539A" w14:textId="77777777" w:rsidR="004407B6" w:rsidRPr="002D55CC" w:rsidRDefault="004407B6" w:rsidP="00894C55">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407B6" w14:paraId="51DDDBAC" w14:textId="77777777" w:rsidTr="004407B6">
        <w:trPr>
          <w:trHeight w:val="409"/>
        </w:trPr>
        <w:tc>
          <w:tcPr>
            <w:tcW w:w="4530" w:type="dxa"/>
          </w:tcPr>
          <w:p w14:paraId="780E2C89" w14:textId="45952AAF" w:rsidR="004407B6" w:rsidRDefault="004407B6" w:rsidP="00894C55">
            <w:pPr>
              <w:rPr>
                <w:rFonts w:ascii="Times New Roman" w:hAnsi="Times New Roman" w:cs="Times New Roman"/>
                <w:sz w:val="28"/>
                <w:szCs w:val="28"/>
              </w:rPr>
            </w:pPr>
            <w:r>
              <w:rPr>
                <w:rFonts w:ascii="Times New Roman" w:hAnsi="Times New Roman" w:cs="Times New Roman"/>
                <w:sz w:val="28"/>
                <w:szCs w:val="28"/>
              </w:rPr>
              <w:t xml:space="preserve">Vides aizsardzības un </w:t>
            </w:r>
            <w:r w:rsidR="008558CB">
              <w:rPr>
                <w:rFonts w:ascii="Times New Roman" w:hAnsi="Times New Roman" w:cs="Times New Roman"/>
                <w:sz w:val="28"/>
                <w:szCs w:val="28"/>
              </w:rPr>
              <w:t>reģionālās attīstības ministrs</w:t>
            </w:r>
            <w:bookmarkStart w:id="0" w:name="_GoBack"/>
            <w:bookmarkEnd w:id="0"/>
          </w:p>
        </w:tc>
        <w:tc>
          <w:tcPr>
            <w:tcW w:w="4531" w:type="dxa"/>
          </w:tcPr>
          <w:p w14:paraId="52CF6BB2" w14:textId="77777777" w:rsidR="004407B6" w:rsidRDefault="004407B6" w:rsidP="004407B6">
            <w:pPr>
              <w:tabs>
                <w:tab w:val="left" w:pos="6237"/>
              </w:tabs>
              <w:ind w:firstLine="720"/>
              <w:jc w:val="right"/>
              <w:rPr>
                <w:rFonts w:ascii="Times New Roman" w:hAnsi="Times New Roman" w:cs="Times New Roman"/>
                <w:sz w:val="28"/>
                <w:szCs w:val="28"/>
              </w:rPr>
            </w:pPr>
          </w:p>
          <w:p w14:paraId="7A63631A" w14:textId="5976DE77" w:rsidR="004407B6" w:rsidRDefault="005C5AFD" w:rsidP="004407B6">
            <w:pPr>
              <w:tabs>
                <w:tab w:val="left" w:pos="6237"/>
              </w:tabs>
              <w:ind w:firstLine="720"/>
              <w:jc w:val="right"/>
              <w:rPr>
                <w:rFonts w:ascii="Times New Roman" w:hAnsi="Times New Roman" w:cs="Times New Roman"/>
                <w:sz w:val="28"/>
                <w:szCs w:val="28"/>
              </w:rPr>
            </w:pPr>
            <w:r>
              <w:rPr>
                <w:rFonts w:ascii="Times New Roman" w:hAnsi="Times New Roman" w:cs="Times New Roman"/>
                <w:sz w:val="28"/>
                <w:szCs w:val="28"/>
              </w:rPr>
              <w:t>Juris</w:t>
            </w:r>
            <w:r w:rsidR="00704F59">
              <w:rPr>
                <w:rFonts w:ascii="Times New Roman" w:hAnsi="Times New Roman" w:cs="Times New Roman"/>
                <w:sz w:val="28"/>
                <w:szCs w:val="28"/>
              </w:rPr>
              <w:t> </w:t>
            </w:r>
            <w:r>
              <w:rPr>
                <w:rFonts w:ascii="Times New Roman" w:hAnsi="Times New Roman" w:cs="Times New Roman"/>
                <w:sz w:val="28"/>
                <w:szCs w:val="28"/>
              </w:rPr>
              <w:t>Pūce</w:t>
            </w:r>
          </w:p>
        </w:tc>
      </w:tr>
    </w:tbl>
    <w:p w14:paraId="47413FCF" w14:textId="77777777" w:rsidR="00E5323B" w:rsidRPr="002D55CC" w:rsidRDefault="00E5323B" w:rsidP="00894C55">
      <w:pPr>
        <w:spacing w:after="0" w:line="240" w:lineRule="auto"/>
        <w:rPr>
          <w:rFonts w:ascii="Times New Roman" w:hAnsi="Times New Roman" w:cs="Times New Roman"/>
          <w:sz w:val="28"/>
          <w:szCs w:val="28"/>
        </w:rPr>
      </w:pPr>
    </w:p>
    <w:p w14:paraId="28C13843" w14:textId="77777777" w:rsidR="00894C55" w:rsidRPr="002D55CC" w:rsidRDefault="00894C55" w:rsidP="005C5AFD">
      <w:pPr>
        <w:tabs>
          <w:tab w:val="left" w:pos="6237"/>
        </w:tabs>
        <w:spacing w:after="0" w:line="240" w:lineRule="auto"/>
        <w:rPr>
          <w:rFonts w:ascii="Times New Roman" w:hAnsi="Times New Roman" w:cs="Times New Roman"/>
          <w:sz w:val="28"/>
          <w:szCs w:val="28"/>
        </w:rPr>
      </w:pPr>
    </w:p>
    <w:p w14:paraId="17983956" w14:textId="77777777" w:rsidR="00894C55" w:rsidRPr="002D55CC" w:rsidRDefault="00DC5D42"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Šļaukstiņš 67026523</w:t>
      </w:r>
    </w:p>
    <w:p w14:paraId="45DC474C" w14:textId="289120DF" w:rsidR="00894C55" w:rsidRPr="002D55CC" w:rsidRDefault="005C0E0D" w:rsidP="00894C55">
      <w:pPr>
        <w:tabs>
          <w:tab w:val="left" w:pos="6237"/>
        </w:tabs>
        <w:spacing w:after="0" w:line="240" w:lineRule="auto"/>
        <w:rPr>
          <w:rFonts w:ascii="Times New Roman" w:hAnsi="Times New Roman" w:cs="Times New Roman"/>
          <w:sz w:val="24"/>
          <w:szCs w:val="28"/>
        </w:rPr>
      </w:pPr>
      <w:hyperlink r:id="rId24" w:history="1">
        <w:r w:rsidR="00704F59" w:rsidRPr="00704F59">
          <w:rPr>
            <w:rStyle w:val="Hyperlink"/>
            <w:rFonts w:ascii="Times New Roman" w:hAnsi="Times New Roman" w:cs="Times New Roman"/>
            <w:sz w:val="24"/>
            <w:szCs w:val="28"/>
          </w:rPr>
          <w:t>Valdimarts.Slaukstins@varam.gov.lv</w:t>
        </w:r>
      </w:hyperlink>
      <w:r w:rsidR="0021733F">
        <w:rPr>
          <w:rFonts w:ascii="Times New Roman" w:hAnsi="Times New Roman" w:cs="Times New Roman"/>
          <w:sz w:val="24"/>
          <w:szCs w:val="28"/>
        </w:rPr>
        <w:t xml:space="preserve"> </w:t>
      </w:r>
    </w:p>
    <w:sectPr w:rsidR="00894C55" w:rsidRPr="002D55CC" w:rsidSect="00B25A63">
      <w:headerReference w:type="default" r:id="rId25"/>
      <w:footerReference w:type="default" r:id="rId26"/>
      <w:footerReference w:type="first" r:id="rId2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8DF25" w14:textId="77777777" w:rsidR="005C0E0D" w:rsidRDefault="005C0E0D" w:rsidP="00894C55">
      <w:pPr>
        <w:spacing w:after="0" w:line="240" w:lineRule="auto"/>
      </w:pPr>
      <w:r>
        <w:separator/>
      </w:r>
    </w:p>
  </w:endnote>
  <w:endnote w:type="continuationSeparator" w:id="0">
    <w:p w14:paraId="60D71E65" w14:textId="77777777" w:rsidR="005C0E0D" w:rsidRDefault="005C0E0D" w:rsidP="00894C55">
      <w:pPr>
        <w:spacing w:after="0" w:line="240" w:lineRule="auto"/>
      </w:pPr>
      <w:r>
        <w:continuationSeparator/>
      </w:r>
    </w:p>
  </w:endnote>
  <w:endnote w:type="continuationNotice" w:id="1">
    <w:p w14:paraId="08A60059" w14:textId="77777777" w:rsidR="00165C6F" w:rsidRDefault="00165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D023" w14:textId="5B6B665B" w:rsidR="005C0E0D" w:rsidRPr="00D31181" w:rsidRDefault="005C0E0D" w:rsidP="00D31181">
    <w:pPr>
      <w:pStyle w:val="Footer"/>
      <w:rPr>
        <w:rFonts w:ascii="Times New Roman" w:hAnsi="Times New Roman" w:cs="Times New Roman"/>
        <w:sz w:val="24"/>
        <w:szCs w:val="24"/>
      </w:rPr>
    </w:pPr>
    <w:r>
      <w:rPr>
        <w:rFonts w:ascii="Times New Roman" w:hAnsi="Times New Roman" w:cs="Times New Roman"/>
        <w:sz w:val="24"/>
        <w:szCs w:val="24"/>
      </w:rPr>
      <w:t>VARAMLik_180619_gen_res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9B83" w14:textId="633992A3" w:rsidR="005C0E0D" w:rsidRPr="00D31181" w:rsidRDefault="005C0E0D" w:rsidP="00166F71">
    <w:pPr>
      <w:pStyle w:val="Footer"/>
      <w:rPr>
        <w:rFonts w:ascii="Times New Roman" w:hAnsi="Times New Roman" w:cs="Times New Roman"/>
        <w:sz w:val="24"/>
        <w:szCs w:val="24"/>
      </w:rPr>
    </w:pPr>
    <w:r>
      <w:rPr>
        <w:rFonts w:ascii="Times New Roman" w:hAnsi="Times New Roman" w:cs="Times New Roman"/>
        <w:sz w:val="24"/>
        <w:szCs w:val="24"/>
      </w:rPr>
      <w:t>VARAMLik_180619_gen_res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CB052" w14:textId="77777777" w:rsidR="005C0E0D" w:rsidRDefault="005C0E0D" w:rsidP="00894C55">
      <w:pPr>
        <w:spacing w:after="0" w:line="240" w:lineRule="auto"/>
      </w:pPr>
      <w:r>
        <w:separator/>
      </w:r>
    </w:p>
  </w:footnote>
  <w:footnote w:type="continuationSeparator" w:id="0">
    <w:p w14:paraId="31305A9A" w14:textId="77777777" w:rsidR="005C0E0D" w:rsidRDefault="005C0E0D" w:rsidP="00894C55">
      <w:pPr>
        <w:spacing w:after="0" w:line="240" w:lineRule="auto"/>
      </w:pPr>
      <w:r>
        <w:continuationSeparator/>
      </w:r>
    </w:p>
  </w:footnote>
  <w:footnote w:type="continuationNotice" w:id="1">
    <w:p w14:paraId="4A051CF1" w14:textId="77777777" w:rsidR="00165C6F" w:rsidRDefault="00165C6F">
      <w:pPr>
        <w:spacing w:after="0" w:line="240" w:lineRule="auto"/>
      </w:pPr>
    </w:p>
  </w:footnote>
  <w:footnote w:id="2">
    <w:p w14:paraId="48A3DF46" w14:textId="1D67CB42" w:rsidR="005C0E0D" w:rsidRPr="00AF7938" w:rsidRDefault="005C0E0D" w:rsidP="00AF7938">
      <w:pPr>
        <w:pStyle w:val="FootnoteText"/>
        <w:spacing w:after="120"/>
        <w:rPr>
          <w:rFonts w:ascii="Times New Roman" w:hAnsi="Times New Roman" w:cs="Times New Roman"/>
        </w:rPr>
      </w:pPr>
      <w:r>
        <w:rPr>
          <w:rStyle w:val="FootnoteReference"/>
        </w:rPr>
        <w:footnoteRef/>
      </w:r>
      <w:r>
        <w:t> </w:t>
      </w:r>
      <w:hyperlink r:id="rId1" w:history="1">
        <w:r w:rsidRPr="00AF7938">
          <w:rPr>
            <w:rStyle w:val="Hyperlink"/>
            <w:rFonts w:ascii="Times New Roman" w:hAnsi="Times New Roman" w:cs="Times New Roman"/>
          </w:rPr>
          <w:t>https://www.cbd.int/abs/text/default.shtml</w:t>
        </w:r>
      </w:hyperlink>
    </w:p>
  </w:footnote>
  <w:footnote w:id="3">
    <w:p w14:paraId="068708E5" w14:textId="25E194C8" w:rsidR="005C0E0D" w:rsidRPr="000B3250" w:rsidRDefault="005C0E0D" w:rsidP="007A13A2">
      <w:pPr>
        <w:pStyle w:val="FootnoteText"/>
        <w:spacing w:after="120"/>
        <w:jc w:val="both"/>
        <w:rPr>
          <w:rFonts w:ascii="Times New Roman" w:hAnsi="Times New Roman" w:cs="Times New Roman"/>
        </w:rPr>
      </w:pPr>
      <w:r w:rsidRPr="000B3250">
        <w:rPr>
          <w:rStyle w:val="FootnoteReference"/>
          <w:rFonts w:ascii="Times New Roman" w:hAnsi="Times New Roman" w:cs="Times New Roman"/>
        </w:rPr>
        <w:footnoteRef/>
      </w:r>
      <w:r>
        <w:rPr>
          <w:rFonts w:ascii="Times New Roman" w:hAnsi="Times New Roman" w:cs="Times New Roman"/>
        </w:rPr>
        <w:t> </w:t>
      </w:r>
      <w:r w:rsidRPr="00153750">
        <w:rPr>
          <w:rStyle w:val="Hyperlink"/>
          <w:rFonts w:ascii="Times New Roman" w:hAnsi="Times New Roman" w:cs="Times New Roman"/>
          <w:color w:val="auto"/>
          <w:u w:val="none"/>
        </w:rPr>
        <w:t xml:space="preserve">Komisijas </w:t>
      </w:r>
      <w:r>
        <w:rPr>
          <w:rStyle w:val="Hyperlink"/>
          <w:rFonts w:ascii="Times New Roman" w:hAnsi="Times New Roman" w:cs="Times New Roman"/>
          <w:color w:val="auto"/>
          <w:u w:val="none"/>
        </w:rPr>
        <w:t xml:space="preserve">2015. gada 13. oktobra </w:t>
      </w:r>
      <w:r w:rsidRPr="00153750">
        <w:rPr>
          <w:rStyle w:val="Hyperlink"/>
          <w:rFonts w:ascii="Times New Roman" w:hAnsi="Times New Roman" w:cs="Times New Roman"/>
          <w:color w:val="auto"/>
          <w:u w:val="none"/>
        </w:rPr>
        <w:t>īstenošanas Regula 2015/1866</w:t>
      </w:r>
      <w:r>
        <w:rPr>
          <w:rStyle w:val="Hyperlink"/>
          <w:rFonts w:ascii="Times New Roman" w:hAnsi="Times New Roman" w:cs="Times New Roman"/>
          <w:color w:val="auto"/>
          <w:u w:val="none"/>
        </w:rPr>
        <w:t>/ES</w:t>
      </w:r>
      <w:r w:rsidRPr="00153750">
        <w:rPr>
          <w:rStyle w:val="Hyperlink"/>
          <w:rFonts w:ascii="Times New Roman" w:hAnsi="Times New Roman" w:cs="Times New Roman"/>
          <w:color w:val="auto"/>
          <w:u w:val="none"/>
        </w:rPr>
        <w:t xml:space="preserve">, ar ko paredz sīki izstrādātus noteikumus par to, kā Eiropas Parlamenta un Padomes Regulu (ES) Nr. 511/2014 īstenot </w:t>
      </w:r>
      <w:r w:rsidRPr="00153750">
        <w:rPr>
          <w:rStyle w:val="Hyperlink"/>
          <w:rFonts w:ascii="Times New Roman" w:hAnsi="Times New Roman" w:cs="Times New Roman"/>
          <w:bCs/>
          <w:color w:val="auto"/>
          <w:u w:val="none"/>
        </w:rPr>
        <w:t>attiecībā uz kolekciju reģistru, lietotāju atbilstības uzraudzību un paraugpraksi</w:t>
      </w:r>
    </w:p>
  </w:footnote>
  <w:footnote w:id="4">
    <w:p w14:paraId="456ABFF7" w14:textId="5C93FF18" w:rsidR="005C0E0D" w:rsidRPr="00D9614F" w:rsidRDefault="005C0E0D" w:rsidP="00A9393A">
      <w:pPr>
        <w:spacing w:after="120"/>
        <w:jc w:val="both"/>
        <w:rPr>
          <w:rFonts w:ascii="Times New Roman" w:hAnsi="Times New Roman" w:cs="Times New Roman"/>
          <w:sz w:val="20"/>
          <w:szCs w:val="20"/>
        </w:rPr>
      </w:pPr>
      <w:r>
        <w:rPr>
          <w:rStyle w:val="FootnoteReference"/>
        </w:rPr>
        <w:footnoteRef/>
      </w:r>
      <w:r>
        <w:t xml:space="preserve"> </w:t>
      </w:r>
      <w:r w:rsidRPr="005A5793">
        <w:rPr>
          <w:rFonts w:ascii="Times New Roman" w:hAnsi="Times New Roman" w:cs="Times New Roman"/>
          <w:sz w:val="20"/>
          <w:szCs w:val="20"/>
        </w:rPr>
        <w:t>Līguma par Eiropas Savienības darbību (turpmāk – LESD) 191., 192., 193. pants noteic, ka ES vides politikai jābūt vērstai uz vides aizsardzību, cilvēku veselības aizsardzību, dabas resursu racionālu un lietderīgu izmantošanu un tādu pasākumu īstenošanas veicināšanu starptautiskā līmenī, lai risinātu reģionāla vai vispasaules līmeņa vides problēmas. ES vides normatīvais regulējums noteic tikai minimālos standartus, kas neliedz jebkuru ES dalībvalsti ieviest vai īstenot daudz stingrākas vides aizsardzības prasības, ja vien tās atbilstīgas LESD. Papildus minētajam un saskaņā ar LESD 216. pantu Savienība var slēgt nolīgumu ar vienu vai vairākām trešām valstīm vai starptautiskām organizācijām, kas secīgi ir saistošs ES dalībvalstīm, ja tas paredzēts Līgumos vai ja šāda nolīguma noslēgšana ir nepieciešama, lai saskaņā ar Savienības politiku sasniegtu kādu no Līgumos izvirzītajiem mērķiem, vai ja tas ir noteikts saistošā Savienības tiesību aktā, vai tas varētu ietekmēt kopējos noteikumus vai mainīt to saturu. Gan ES dalībvalstis, gan ES var vides aizsardzības jomā kļūt par st</w:t>
      </w:r>
      <w:r>
        <w:rPr>
          <w:rFonts w:ascii="Times New Roman" w:hAnsi="Times New Roman" w:cs="Times New Roman"/>
          <w:sz w:val="20"/>
          <w:szCs w:val="20"/>
        </w:rPr>
        <w:t>a</w:t>
      </w:r>
      <w:r w:rsidRPr="005A5793">
        <w:rPr>
          <w:rFonts w:ascii="Times New Roman" w:hAnsi="Times New Roman" w:cs="Times New Roman"/>
          <w:sz w:val="20"/>
          <w:szCs w:val="20"/>
        </w:rPr>
        <w:t>rptautisku nolīgumu pusēm, tomēr ES dalībvalstis minēto</w:t>
      </w:r>
      <w:r>
        <w:rPr>
          <w:rFonts w:ascii="Times New Roman" w:hAnsi="Times New Roman" w:cs="Times New Roman"/>
          <w:sz w:val="20"/>
          <w:szCs w:val="20"/>
        </w:rPr>
        <w:t xml:space="preserve"> kompetenci īsteno tā, lai starp</w:t>
      </w:r>
      <w:r w:rsidRPr="005A5793">
        <w:rPr>
          <w:rFonts w:ascii="Times New Roman" w:hAnsi="Times New Roman" w:cs="Times New Roman"/>
          <w:sz w:val="20"/>
          <w:szCs w:val="20"/>
        </w:rPr>
        <w:t>tautisko nolīgumu slēgšana neietekmētu ES kopīgās prasības vai mainītu to darbības jomu. Tas nozīmē, ka, ja dabas aizsardzības jomā ES ir pieņēmusi ES un tās dalībvalstīm saistošu harmonizētu regulējumu, ES dalībvalstīm nav kompetences uzņemties tādas starptautiskās saistības, kurām būtu ietekme uz minēto saistošo regulējumu. Tomēr, lai gan ES kompetencē ir noteikt minimālos standartus dabas aizsardzības jomā, ES dalībvalstu kompetencē ir slēgt starptautiskus nolīgumus, kas noteic augstākus standartus, ja vien tie ir ES regulējumam atbilstīgi. Ievērojot minēto un iedibināto Eiropas Savienības Tiesas praksi (Eiropas Kopienu tiesas 1978. gada 14. novembra spriedums lietā C-1/78; Eiropas Kopienu tiesas 1979. gada 4. oktobra viedoklis lietā 1/78, Eiropas Kopienu tiesas 1994. gada 15. novembra viedoklis lietā 1/94) secināms, ka starptautisko nolīgumu saistības var pieprasīt, gan ES, gan ES dalībvalstu esību kā starptautiskā nolīguma pusēm. Secīgi ES institūciju ikdienas prakse liecina, ka jēdziens “jaukts nolīgums” jeb “</w:t>
      </w:r>
      <w:r w:rsidRPr="005A5793">
        <w:rPr>
          <w:rFonts w:ascii="Times New Roman" w:hAnsi="Times New Roman" w:cs="Times New Roman"/>
          <w:i/>
          <w:sz w:val="20"/>
          <w:szCs w:val="20"/>
        </w:rPr>
        <w:t>mixed-agreement</w:t>
      </w:r>
      <w:r w:rsidRPr="005A5793">
        <w:rPr>
          <w:rFonts w:ascii="Times New Roman" w:hAnsi="Times New Roman" w:cs="Times New Roman"/>
          <w:sz w:val="20"/>
          <w:szCs w:val="20"/>
        </w:rPr>
        <w:t xml:space="preserve">” ir neatņemams ES tiesību elements, kā uz to arī vērsusi uzmanību Eiropas Kopienu tiesa 1987. gada 30. septembra spriedumā lietā C-12/86 </w:t>
      </w:r>
      <w:r w:rsidRPr="005A5793">
        <w:rPr>
          <w:rFonts w:ascii="Times New Roman" w:hAnsi="Times New Roman" w:cs="Times New Roman"/>
          <w:i/>
          <w:sz w:val="20"/>
          <w:szCs w:val="20"/>
        </w:rPr>
        <w:t>Meryem Demirel</w:t>
      </w:r>
      <w:r w:rsidRPr="005A5793">
        <w:rPr>
          <w:rFonts w:ascii="Times New Roman" w:hAnsi="Times New Roman" w:cs="Times New Roman"/>
          <w:sz w:val="20"/>
          <w:szCs w:val="20"/>
        </w:rPr>
        <w:t xml:space="preserve"> pret </w:t>
      </w:r>
      <w:r w:rsidRPr="005A5793">
        <w:rPr>
          <w:rFonts w:ascii="Times New Roman" w:hAnsi="Times New Roman" w:cs="Times New Roman"/>
          <w:i/>
          <w:sz w:val="20"/>
          <w:szCs w:val="20"/>
        </w:rPr>
        <w:t>Stadt Schwäbisch Gmünd</w:t>
      </w:r>
      <w:r w:rsidRPr="005A5793">
        <w:rPr>
          <w:rFonts w:ascii="Times New Roman" w:hAnsi="Times New Roman" w:cs="Times New Roman"/>
          <w:sz w:val="20"/>
          <w:szCs w:val="20"/>
        </w:rPr>
        <w:t>. Ņemot vērā to, ka konkrētajā gadījumā pieejas noteikumu paredzēšanu saviem ģenētiskajiem resursiem un to izmantošanā gūto labumu sadales nosacījumus regula un īstenošanas regula nereglamentē, secināms, ka pēc būtības regula iedibina gan ES, gan ES dalībvalstu kompetenču līdzāspastāvēšanu, par ko Eiropas Savienības tiesa ar iedibināto praksi ir nonākusi pie secinājuma, ka ES un ES dalībvalstīm ir dalīta kompetence, ja starptautiskais nolīgums regulē gan ES dalībvalstu ekskluzīvo kompetenci, gan to ekskluzīvo kompetenci, kas piemīt tikai ES (Eiropas Kopienu tiesas 1978. gada 14. novembra spriedums lietā C-1/78).</w:t>
      </w:r>
    </w:p>
  </w:footnote>
  <w:footnote w:id="5">
    <w:p w14:paraId="16E9A414" w14:textId="08FC1AA8" w:rsidR="005C0E0D" w:rsidRDefault="005C0E0D" w:rsidP="00A9393A">
      <w:pPr>
        <w:pStyle w:val="FootnoteText"/>
        <w:spacing w:after="120"/>
        <w:jc w:val="both"/>
      </w:pPr>
      <w:r w:rsidRPr="00FC0801">
        <w:rPr>
          <w:rStyle w:val="FootnoteReference"/>
          <w:rFonts w:ascii="Times New Roman" w:hAnsi="Times New Roman" w:cs="Times New Roman"/>
        </w:rPr>
        <w:footnoteRef/>
      </w:r>
      <w:r w:rsidRPr="00FC0801">
        <w:rPr>
          <w:rFonts w:ascii="Times New Roman" w:hAnsi="Times New Roman" w:cs="Times New Roman"/>
        </w:rPr>
        <w:t xml:space="preserve"> </w:t>
      </w:r>
      <w:hyperlink r:id="rId2" w:history="1">
        <w:r w:rsidRPr="00FC0801">
          <w:rPr>
            <w:rStyle w:val="Hyperlink"/>
            <w:rFonts w:ascii="Times New Roman" w:hAnsi="Times New Roman" w:cs="Times New Roman"/>
            <w:bdr w:val="none" w:sz="0" w:space="0" w:color="auto" w:frame="1"/>
            <w:shd w:val="clear" w:color="auto" w:fill="FFFFFF"/>
          </w:rPr>
          <w:t>Komisijas paziņojums</w:t>
        </w:r>
      </w:hyperlink>
      <w:r w:rsidRPr="00FC0801">
        <w:rPr>
          <w:rStyle w:val="Strong"/>
          <w:rFonts w:ascii="Times New Roman" w:hAnsi="Times New Roman" w:cs="Times New Roman"/>
          <w:b w:val="0"/>
          <w:bdr w:val="none" w:sz="0" w:space="0" w:color="auto" w:frame="1"/>
          <w:shd w:val="clear" w:color="auto" w:fill="FFFFFF"/>
        </w:rPr>
        <w:t xml:space="preserve"> – Norādījumi par piemērošanas jomu un galvenajiem pienākumiem attiecībā uz Eiropas Parlamenta un Padomes Regulu Nr.</w:t>
      </w:r>
      <w:r>
        <w:rPr>
          <w:rStyle w:val="Strong"/>
          <w:rFonts w:ascii="Times New Roman" w:hAnsi="Times New Roman" w:cs="Times New Roman"/>
          <w:b w:val="0"/>
          <w:bdr w:val="none" w:sz="0" w:space="0" w:color="auto" w:frame="1"/>
          <w:shd w:val="clear" w:color="auto" w:fill="FFFFFF"/>
        </w:rPr>
        <w:t> </w:t>
      </w:r>
      <w:r w:rsidRPr="00FC0801">
        <w:rPr>
          <w:rStyle w:val="Strong"/>
          <w:rFonts w:ascii="Times New Roman" w:hAnsi="Times New Roman" w:cs="Times New Roman"/>
          <w:b w:val="0"/>
          <w:bdr w:val="none" w:sz="0" w:space="0" w:color="auto" w:frame="1"/>
          <w:shd w:val="clear" w:color="auto" w:fill="FFFFFF"/>
        </w:rPr>
        <w:t>511/2014</w:t>
      </w:r>
      <w:r>
        <w:rPr>
          <w:rStyle w:val="Strong"/>
          <w:rFonts w:ascii="Times New Roman" w:hAnsi="Times New Roman" w:cs="Times New Roman"/>
          <w:b w:val="0"/>
          <w:bdr w:val="none" w:sz="0" w:space="0" w:color="auto" w:frame="1"/>
          <w:shd w:val="clear" w:color="auto" w:fill="FFFFFF"/>
        </w:rPr>
        <w:t>/ES</w:t>
      </w:r>
      <w:r w:rsidRPr="00FC0801">
        <w:rPr>
          <w:rStyle w:val="Strong"/>
          <w:rFonts w:ascii="Times New Roman" w:hAnsi="Times New Roman" w:cs="Times New Roman"/>
          <w:b w:val="0"/>
          <w:bdr w:val="none" w:sz="0" w:space="0" w:color="auto" w:frame="1"/>
          <w:shd w:val="clear" w:color="auto" w:fill="FFFFFF"/>
        </w:rPr>
        <w:t xml:space="preserve"> par no Nagojas Protokola par piekļuvi ģenētiskajiem resursiem un to ieguvumu taisnīgu un godīgu sadali, kas gūti no šo resursu izmantošanas, izrietošiem atbilstības pasākumiem lietotājiem Savienībā</w:t>
      </w:r>
    </w:p>
  </w:footnote>
  <w:footnote w:id="6">
    <w:p w14:paraId="2576778E" w14:textId="2C4A7F9F" w:rsidR="005C0E0D" w:rsidRDefault="005C0E0D">
      <w:pPr>
        <w:pStyle w:val="FootnoteText"/>
      </w:pPr>
      <w:r>
        <w:rPr>
          <w:rStyle w:val="FootnoteReference"/>
        </w:rPr>
        <w:footnoteRef/>
      </w:r>
      <w:r>
        <w:t> </w:t>
      </w:r>
      <w:hyperlink r:id="rId3" w:history="1">
        <w:r w:rsidRPr="002067F1">
          <w:rPr>
            <w:rStyle w:val="Hyperlink"/>
            <w:rFonts w:ascii="Times New Roman" w:hAnsi="Times New Roman" w:cs="Times New Roman"/>
          </w:rPr>
          <w:t>https://www.cbd.int/abs/text/articles/default.shtml?sec=abs-37</w:t>
        </w:r>
      </w:hyperlink>
    </w:p>
  </w:footnote>
  <w:footnote w:id="7">
    <w:p w14:paraId="7208BD29" w14:textId="1C05673C" w:rsidR="005C0E0D" w:rsidRDefault="005C0E0D" w:rsidP="00982657">
      <w:pPr>
        <w:pStyle w:val="FootnoteText"/>
        <w:jc w:val="both"/>
      </w:pPr>
      <w:r>
        <w:rPr>
          <w:rStyle w:val="FootnoteReference"/>
        </w:rPr>
        <w:footnoteRef/>
      </w:r>
      <w:r>
        <w:t xml:space="preserve"> </w:t>
      </w:r>
      <w:hyperlink r:id="rId4" w:history="1">
        <w:r w:rsidRPr="00FC0801">
          <w:rPr>
            <w:rStyle w:val="Hyperlink"/>
            <w:rFonts w:ascii="Times New Roman" w:hAnsi="Times New Roman" w:cs="Times New Roman"/>
            <w:bdr w:val="none" w:sz="0" w:space="0" w:color="auto" w:frame="1"/>
            <w:shd w:val="clear" w:color="auto" w:fill="FFFFFF"/>
          </w:rPr>
          <w:t>Komisijas paziņojums</w:t>
        </w:r>
      </w:hyperlink>
      <w:r w:rsidRPr="00FC0801">
        <w:rPr>
          <w:rStyle w:val="Strong"/>
          <w:rFonts w:ascii="Times New Roman" w:hAnsi="Times New Roman" w:cs="Times New Roman"/>
          <w:b w:val="0"/>
          <w:bdr w:val="none" w:sz="0" w:space="0" w:color="auto" w:frame="1"/>
          <w:shd w:val="clear" w:color="auto" w:fill="FFFFFF"/>
        </w:rPr>
        <w:t xml:space="preserve"> – Norādījumi par piemērošanas jomu un galvenajiem pienākumiem attiecībā uz Eiropas Parlam</w:t>
      </w:r>
      <w:r>
        <w:rPr>
          <w:rStyle w:val="Strong"/>
          <w:rFonts w:ascii="Times New Roman" w:hAnsi="Times New Roman" w:cs="Times New Roman"/>
          <w:b w:val="0"/>
          <w:bdr w:val="none" w:sz="0" w:space="0" w:color="auto" w:frame="1"/>
          <w:shd w:val="clear" w:color="auto" w:fill="FFFFFF"/>
        </w:rPr>
        <w:t>enta un Padomes Regulu Nr. </w:t>
      </w:r>
      <w:r w:rsidRPr="00FC0801">
        <w:rPr>
          <w:rStyle w:val="Strong"/>
          <w:rFonts w:ascii="Times New Roman" w:hAnsi="Times New Roman" w:cs="Times New Roman"/>
          <w:b w:val="0"/>
          <w:bdr w:val="none" w:sz="0" w:space="0" w:color="auto" w:frame="1"/>
          <w:shd w:val="clear" w:color="auto" w:fill="FFFFFF"/>
        </w:rPr>
        <w:t>511/2014</w:t>
      </w:r>
      <w:r>
        <w:rPr>
          <w:rStyle w:val="Strong"/>
          <w:rFonts w:ascii="Times New Roman" w:hAnsi="Times New Roman" w:cs="Times New Roman"/>
          <w:b w:val="0"/>
          <w:bdr w:val="none" w:sz="0" w:space="0" w:color="auto" w:frame="1"/>
          <w:shd w:val="clear" w:color="auto" w:fill="FFFFFF"/>
        </w:rPr>
        <w:t>/ES</w:t>
      </w:r>
      <w:r w:rsidRPr="00FC0801">
        <w:rPr>
          <w:rStyle w:val="Strong"/>
          <w:rFonts w:ascii="Times New Roman" w:hAnsi="Times New Roman" w:cs="Times New Roman"/>
          <w:b w:val="0"/>
          <w:bdr w:val="none" w:sz="0" w:space="0" w:color="auto" w:frame="1"/>
          <w:shd w:val="clear" w:color="auto" w:fill="FFFFFF"/>
        </w:rPr>
        <w:t xml:space="preserve"> par no Nagojas Protokola par piekļuvi ģenētiskajiem resursiem un to ieguvumu taisnīgu un godīgu sadali, kas gūti no šo resursu izmantošanas, izrietošiem atbilstības pasākumiem lietotājiem Savienībā</w:t>
      </w:r>
      <w:r>
        <w:rPr>
          <w:rStyle w:val="Strong"/>
          <w:rFonts w:ascii="Times New Roman" w:hAnsi="Times New Roman" w:cs="Times New Roman"/>
          <w:b w:val="0"/>
          <w:bdr w:val="none" w:sz="0" w:space="0" w:color="auto" w:frame="1"/>
          <w:shd w:val="clear" w:color="auto" w:fill="FFFFFF"/>
        </w:rPr>
        <w:t>, 3.1. nodaļa</w:t>
      </w:r>
    </w:p>
  </w:footnote>
  <w:footnote w:id="8">
    <w:p w14:paraId="4B31CED9" w14:textId="77777777" w:rsidR="005C0E0D" w:rsidRPr="00AF7938" w:rsidRDefault="005C0E0D" w:rsidP="00AD60A6">
      <w:pPr>
        <w:pStyle w:val="FootnoteText"/>
        <w:spacing w:after="120"/>
        <w:jc w:val="both"/>
        <w:rPr>
          <w:rFonts w:ascii="Times New Roman" w:hAnsi="Times New Roman" w:cs="Times New Roman"/>
          <w:b/>
        </w:rPr>
      </w:pPr>
      <w:r w:rsidRPr="00E047FE">
        <w:rPr>
          <w:rStyle w:val="FootnoteReference"/>
          <w:rFonts w:ascii="Times New Roman" w:hAnsi="Times New Roman" w:cs="Times New Roman"/>
          <w:sz w:val="24"/>
          <w:szCs w:val="24"/>
        </w:rPr>
        <w:footnoteRef/>
      </w:r>
      <w:r>
        <w:rPr>
          <w:rFonts w:ascii="Times New Roman" w:hAnsi="Times New Roman" w:cs="Times New Roman"/>
          <w:b/>
          <w:sz w:val="24"/>
          <w:szCs w:val="24"/>
        </w:rPr>
        <w:t> </w:t>
      </w:r>
      <w:hyperlink r:id="rId5" w:history="1">
        <w:r w:rsidRPr="00AF7938">
          <w:rPr>
            <w:rStyle w:val="Hyperlink"/>
            <w:rFonts w:ascii="Times New Roman" w:hAnsi="Times New Roman" w:cs="Times New Roman"/>
            <w:bdr w:val="none" w:sz="0" w:space="0" w:color="auto" w:frame="1"/>
            <w:shd w:val="clear" w:color="auto" w:fill="FFFFFF"/>
          </w:rPr>
          <w:t>Komisijas paziņojums</w:t>
        </w:r>
      </w:hyperlink>
      <w:r w:rsidRPr="00AF7938">
        <w:rPr>
          <w:rStyle w:val="Strong"/>
          <w:rFonts w:ascii="Times New Roman" w:hAnsi="Times New Roman" w:cs="Times New Roman"/>
          <w:b w:val="0"/>
          <w:bdr w:val="none" w:sz="0" w:space="0" w:color="auto" w:frame="1"/>
          <w:shd w:val="clear" w:color="auto" w:fill="FFFFFF"/>
        </w:rPr>
        <w:t xml:space="preserve"> – Norādījumi par piemērošanas jomu un galvenajiem pienākumiem attiecībā uz Eiropas Parlamenta un Padomes Regulu Nr.</w:t>
      </w:r>
      <w:r w:rsidRPr="00585CC8">
        <w:rPr>
          <w:rStyle w:val="Strong"/>
          <w:rFonts w:ascii="Times New Roman" w:hAnsi="Times New Roman" w:cs="Times New Roman"/>
          <w:b w:val="0"/>
          <w:bdr w:val="none" w:sz="0" w:space="0" w:color="auto" w:frame="1"/>
          <w:shd w:val="clear" w:color="auto" w:fill="FFFFFF"/>
        </w:rPr>
        <w:t> </w:t>
      </w:r>
      <w:r w:rsidRPr="00AF7938">
        <w:rPr>
          <w:rStyle w:val="Strong"/>
          <w:rFonts w:ascii="Times New Roman" w:hAnsi="Times New Roman" w:cs="Times New Roman"/>
          <w:b w:val="0"/>
          <w:bdr w:val="none" w:sz="0" w:space="0" w:color="auto" w:frame="1"/>
          <w:shd w:val="clear" w:color="auto" w:fill="FFFFFF"/>
        </w:rPr>
        <w:t>511/2014</w:t>
      </w:r>
      <w:r w:rsidRPr="00585CC8">
        <w:rPr>
          <w:rStyle w:val="Strong"/>
          <w:rFonts w:ascii="Times New Roman" w:hAnsi="Times New Roman" w:cs="Times New Roman"/>
          <w:b w:val="0"/>
          <w:bdr w:val="none" w:sz="0" w:space="0" w:color="auto" w:frame="1"/>
          <w:shd w:val="clear" w:color="auto" w:fill="FFFFFF"/>
        </w:rPr>
        <w:t>/ES</w:t>
      </w:r>
      <w:r w:rsidRPr="00AF7938">
        <w:rPr>
          <w:rStyle w:val="Strong"/>
          <w:rFonts w:ascii="Times New Roman" w:hAnsi="Times New Roman" w:cs="Times New Roman"/>
          <w:b w:val="0"/>
          <w:bdr w:val="none" w:sz="0" w:space="0" w:color="auto" w:frame="1"/>
          <w:shd w:val="clear" w:color="auto" w:fill="FFFFFF"/>
        </w:rPr>
        <w:t xml:space="preserve"> par no Nagojas Protokola par piekļuvi ģenētiskajiem resursiem un to ieguvumu taisnīgu un godīgu sadali, kas gūti no šo resursu izmantošanas, izrietošiem atbilstības pasākumiem lietotājiem Savienībā</w:t>
      </w:r>
    </w:p>
  </w:footnote>
  <w:footnote w:id="9">
    <w:p w14:paraId="27B4850A" w14:textId="52686740" w:rsidR="005C0E0D" w:rsidRPr="00920AFB" w:rsidRDefault="005C0E0D" w:rsidP="006F1A81">
      <w:pPr>
        <w:pStyle w:val="FootnoteText"/>
        <w:jc w:val="both"/>
        <w:rPr>
          <w:rFonts w:ascii="Times New Roman" w:hAnsi="Times New Roman" w:cs="Times New Roman"/>
        </w:rPr>
      </w:pPr>
      <w:r w:rsidRPr="00920AFB">
        <w:rPr>
          <w:rStyle w:val="FootnoteReference"/>
          <w:rFonts w:ascii="Times New Roman" w:hAnsi="Times New Roman" w:cs="Times New Roman"/>
        </w:rPr>
        <w:t>[1]</w:t>
      </w:r>
      <w:r>
        <w:rPr>
          <w:rFonts w:ascii="Times New Roman" w:hAnsi="Times New Roman" w:cs="Times New Roman"/>
        </w:rPr>
        <w:t> </w:t>
      </w:r>
      <w:hyperlink r:id="rId6" w:history="1">
        <w:r w:rsidRPr="00920AFB">
          <w:rPr>
            <w:rStyle w:val="Hyperlink"/>
            <w:rFonts w:ascii="Times New Roman" w:hAnsi="Times New Roman" w:cs="Times New Roman"/>
            <w:bdr w:val="none" w:sz="0" w:space="0" w:color="auto" w:frame="1"/>
            <w:shd w:val="clear" w:color="auto" w:fill="FFFFFF"/>
          </w:rPr>
          <w:t>Komisijas paziņojums</w:t>
        </w:r>
      </w:hyperlink>
      <w:r w:rsidRPr="00920AFB">
        <w:rPr>
          <w:rStyle w:val="Strong"/>
          <w:rFonts w:ascii="Times New Roman" w:hAnsi="Times New Roman" w:cs="Times New Roman"/>
          <w:b w:val="0"/>
          <w:bCs w:val="0"/>
          <w:bdr w:val="none" w:sz="0" w:space="0" w:color="auto" w:frame="1"/>
          <w:shd w:val="clear" w:color="auto" w:fill="FFFFFF"/>
        </w:rPr>
        <w:t xml:space="preserve"> – Norādījumi par piemērošanas jomu un galvenajiem pienākumiem attiecībā uz Eiropas Parlamenta un Padomes Regulu Nr.</w:t>
      </w:r>
      <w:r>
        <w:rPr>
          <w:rStyle w:val="Strong"/>
          <w:rFonts w:ascii="Times New Roman" w:hAnsi="Times New Roman" w:cs="Times New Roman"/>
          <w:b w:val="0"/>
          <w:bCs w:val="0"/>
          <w:bdr w:val="none" w:sz="0" w:space="0" w:color="auto" w:frame="1"/>
          <w:shd w:val="clear" w:color="auto" w:fill="FFFFFF"/>
        </w:rPr>
        <w:t> </w:t>
      </w:r>
      <w:r w:rsidRPr="00920AFB">
        <w:rPr>
          <w:rStyle w:val="Strong"/>
          <w:rFonts w:ascii="Times New Roman" w:hAnsi="Times New Roman" w:cs="Times New Roman"/>
          <w:b w:val="0"/>
          <w:bCs w:val="0"/>
          <w:bdr w:val="none" w:sz="0" w:space="0" w:color="auto" w:frame="1"/>
          <w:shd w:val="clear" w:color="auto" w:fill="FFFFFF"/>
        </w:rPr>
        <w:t>511/2014</w:t>
      </w:r>
      <w:r>
        <w:rPr>
          <w:rStyle w:val="Strong"/>
          <w:rFonts w:ascii="Times New Roman" w:hAnsi="Times New Roman" w:cs="Times New Roman"/>
          <w:b w:val="0"/>
          <w:bCs w:val="0"/>
          <w:bdr w:val="none" w:sz="0" w:space="0" w:color="auto" w:frame="1"/>
          <w:shd w:val="clear" w:color="auto" w:fill="FFFFFF"/>
        </w:rPr>
        <w:t>/ES</w:t>
      </w:r>
      <w:r w:rsidRPr="00920AFB">
        <w:rPr>
          <w:rStyle w:val="Strong"/>
          <w:rFonts w:ascii="Times New Roman" w:hAnsi="Times New Roman" w:cs="Times New Roman"/>
          <w:b w:val="0"/>
          <w:bCs w:val="0"/>
          <w:bdr w:val="none" w:sz="0" w:space="0" w:color="auto" w:frame="1"/>
          <w:shd w:val="clear" w:color="auto" w:fill="FFFFFF"/>
        </w:rPr>
        <w:t xml:space="preserve"> par no Nagojas Protokola par piekļuvi ģenētiskajiem resursiem un to ieguvumu taisnīgu un godīgu sadali, kas gūti no šo resursu izmantošanas, izrietošiem atbilstības pasākumiem lietotājiem Savienībā</w:t>
      </w:r>
    </w:p>
  </w:footnote>
  <w:footnote w:id="10">
    <w:p w14:paraId="7B3218A8" w14:textId="0B1E8C3B" w:rsidR="005C0E0D" w:rsidRDefault="005C0E0D" w:rsidP="007D1884">
      <w:pPr>
        <w:pStyle w:val="FootnoteText"/>
        <w:spacing w:after="120"/>
        <w:jc w:val="both"/>
      </w:pPr>
      <w:r>
        <w:rPr>
          <w:rStyle w:val="FootnoteReference"/>
        </w:rPr>
        <w:footnoteRef/>
      </w:r>
      <w:r w:rsidR="008558CB">
        <w:t> </w:t>
      </w:r>
      <w:hyperlink r:id="rId7" w:history="1">
        <w:r w:rsidRPr="00FC0801">
          <w:rPr>
            <w:rStyle w:val="Hyperlink"/>
            <w:rFonts w:ascii="Times New Roman" w:hAnsi="Times New Roman" w:cs="Times New Roman"/>
            <w:bdr w:val="none" w:sz="0" w:space="0" w:color="auto" w:frame="1"/>
            <w:shd w:val="clear" w:color="auto" w:fill="FFFFFF"/>
          </w:rPr>
          <w:t>Komisijas paziņojums</w:t>
        </w:r>
      </w:hyperlink>
      <w:r w:rsidRPr="00FC0801">
        <w:rPr>
          <w:rStyle w:val="Strong"/>
          <w:rFonts w:ascii="Times New Roman" w:hAnsi="Times New Roman" w:cs="Times New Roman"/>
          <w:b w:val="0"/>
          <w:bdr w:val="none" w:sz="0" w:space="0" w:color="auto" w:frame="1"/>
          <w:shd w:val="clear" w:color="auto" w:fill="FFFFFF"/>
        </w:rPr>
        <w:t xml:space="preserve"> – Norādījumi par piemērošanas jomu un galvenajiem pienākumiem attiecībā uz Eiropas Parlamenta un Padomes Regulu Nr.</w:t>
      </w:r>
      <w:r>
        <w:rPr>
          <w:rStyle w:val="Strong"/>
          <w:rFonts w:ascii="Times New Roman" w:hAnsi="Times New Roman" w:cs="Times New Roman"/>
          <w:b w:val="0"/>
          <w:bdr w:val="none" w:sz="0" w:space="0" w:color="auto" w:frame="1"/>
          <w:shd w:val="clear" w:color="auto" w:fill="FFFFFF"/>
        </w:rPr>
        <w:t> </w:t>
      </w:r>
      <w:r w:rsidRPr="00FC0801">
        <w:rPr>
          <w:rStyle w:val="Strong"/>
          <w:rFonts w:ascii="Times New Roman" w:hAnsi="Times New Roman" w:cs="Times New Roman"/>
          <w:b w:val="0"/>
          <w:bdr w:val="none" w:sz="0" w:space="0" w:color="auto" w:frame="1"/>
          <w:shd w:val="clear" w:color="auto" w:fill="FFFFFF"/>
        </w:rPr>
        <w:t>511/2014</w:t>
      </w:r>
      <w:r>
        <w:rPr>
          <w:rStyle w:val="Strong"/>
          <w:rFonts w:ascii="Times New Roman" w:hAnsi="Times New Roman" w:cs="Times New Roman"/>
          <w:b w:val="0"/>
          <w:bdr w:val="none" w:sz="0" w:space="0" w:color="auto" w:frame="1"/>
          <w:shd w:val="clear" w:color="auto" w:fill="FFFFFF"/>
        </w:rPr>
        <w:t>/ES</w:t>
      </w:r>
      <w:r w:rsidRPr="00FC0801">
        <w:rPr>
          <w:rStyle w:val="Strong"/>
          <w:rFonts w:ascii="Times New Roman" w:hAnsi="Times New Roman" w:cs="Times New Roman"/>
          <w:b w:val="0"/>
          <w:bdr w:val="none" w:sz="0" w:space="0" w:color="auto" w:frame="1"/>
          <w:shd w:val="clear" w:color="auto" w:fill="FFFFFF"/>
        </w:rPr>
        <w:t xml:space="preserve"> par no Nagojas Protokola par piekļuvi ģenētiskajiem resursiem un to ieguvumu taisnīgu un godīgu sadali, kas gūti no šo resursu izmantošanas, izrietošiem atbilstības pasākumiem lietotājiem Savienībā</w:t>
      </w:r>
      <w:r>
        <w:rPr>
          <w:rStyle w:val="Strong"/>
          <w:rFonts w:ascii="Times New Roman" w:hAnsi="Times New Roman" w:cs="Times New Roman"/>
          <w:b w:val="0"/>
          <w:bdr w:val="none" w:sz="0" w:space="0" w:color="auto" w:frame="1"/>
          <w:shd w:val="clear" w:color="auto" w:fill="FFFFFF"/>
        </w:rPr>
        <w:t>, 3.2. nodaļa</w:t>
      </w:r>
    </w:p>
  </w:footnote>
  <w:footnote w:id="11">
    <w:p w14:paraId="288A19ED" w14:textId="0695D213" w:rsidR="005C0E0D" w:rsidRPr="007D1884" w:rsidRDefault="005C0E0D" w:rsidP="007D1884">
      <w:pPr>
        <w:pStyle w:val="ListParagraph"/>
        <w:tabs>
          <w:tab w:val="left" w:pos="257"/>
        </w:tabs>
        <w:spacing w:after="120" w:line="240" w:lineRule="auto"/>
        <w:ind w:left="0"/>
        <w:contextualSpacing w:val="0"/>
        <w:jc w:val="both"/>
        <w:rPr>
          <w:rFonts w:ascii="Times New Roman" w:hAnsi="Times New Roman" w:cs="Times New Roman"/>
          <w:color w:val="000000"/>
          <w:sz w:val="20"/>
          <w:szCs w:val="20"/>
          <w:shd w:val="clear" w:color="auto" w:fill="FFFFFF"/>
        </w:rPr>
      </w:pPr>
      <w:r>
        <w:rPr>
          <w:rStyle w:val="FootnoteReference"/>
        </w:rPr>
        <w:footnoteRef/>
      </w:r>
      <w:r w:rsidR="008558CB">
        <w:t> </w:t>
      </w:r>
      <w:r w:rsidRPr="007D1884">
        <w:rPr>
          <w:rFonts w:ascii="Times New Roman" w:hAnsi="Times New Roman" w:cs="Times New Roman"/>
          <w:color w:val="000000"/>
          <w:sz w:val="20"/>
          <w:szCs w:val="20"/>
          <w:shd w:val="clear" w:color="auto" w:fill="FFFFFF"/>
        </w:rPr>
        <w:t>Par pienācīgu pārbaudi regulas vadlīnijās norādīts, ka</w:t>
      </w:r>
      <w:r w:rsidRPr="007D1884">
        <w:rPr>
          <w:rFonts w:ascii="Times New Roman" w:hAnsi="Times New Roman" w:cs="Times New Roman"/>
          <w:sz w:val="20"/>
          <w:szCs w:val="20"/>
        </w:rPr>
        <w:t xml:space="preserve"> </w:t>
      </w:r>
      <w:r w:rsidRPr="007D1884">
        <w:rPr>
          <w:rFonts w:ascii="Times New Roman" w:hAnsi="Times New Roman" w:cs="Times New Roman"/>
          <w:color w:val="000000"/>
          <w:sz w:val="20"/>
          <w:szCs w:val="20"/>
          <w:shd w:val="clear" w:color="auto" w:fill="FFFFFF"/>
        </w:rPr>
        <w:t xml:space="preserve">pienācīga pārbaude “atkarībā no apstākļiem var izpausties dažādi. </w:t>
      </w:r>
      <w:r>
        <w:rPr>
          <w:rFonts w:ascii="Times New Roman" w:hAnsi="Times New Roman" w:cs="Times New Roman"/>
          <w:color w:val="000000"/>
          <w:sz w:val="20"/>
          <w:szCs w:val="20"/>
          <w:shd w:val="clear" w:color="auto" w:fill="FFFFFF"/>
        </w:rPr>
        <w:t>[..]</w:t>
      </w:r>
      <w:r w:rsidRPr="007D1884">
        <w:rPr>
          <w:rFonts w:ascii="Times New Roman" w:hAnsi="Times New Roman" w:cs="Times New Roman"/>
          <w:color w:val="000000"/>
          <w:sz w:val="20"/>
          <w:szCs w:val="20"/>
          <w:shd w:val="clear" w:color="auto" w:fill="FFFFFF"/>
        </w:rPr>
        <w:t xml:space="preserve"> pienācīga pārbaude neparedz vienādus pasākumus visiem lietotājiem, un, lai gan visiem lietotājiem ir jāveic pienācīga pārbaude, tā ļauj tiem rīkoties diezgan brīvi, lai veiktu konkrētus pasākumus, kas ir vispiemērotākie attiecīgajā kontekstā un vislabāk atbilst viņu iespējām.”</w:t>
      </w:r>
    </w:p>
  </w:footnote>
  <w:footnote w:id="12">
    <w:p w14:paraId="6F5BA707" w14:textId="1684D1D5" w:rsidR="005C0E0D" w:rsidRPr="00617279" w:rsidRDefault="005C0E0D" w:rsidP="00617279">
      <w:pPr>
        <w:pStyle w:val="FootnoteText"/>
        <w:jc w:val="both"/>
        <w:rPr>
          <w:rFonts w:ascii="Times New Roman" w:hAnsi="Times New Roman" w:cs="Times New Roman"/>
        </w:rPr>
      </w:pPr>
      <w:r w:rsidRPr="00617279">
        <w:rPr>
          <w:rStyle w:val="FootnoteReference"/>
          <w:rFonts w:ascii="Times New Roman" w:hAnsi="Times New Roman" w:cs="Times New Roman"/>
        </w:rPr>
        <w:footnoteRef/>
      </w:r>
      <w:r>
        <w:rPr>
          <w:rFonts w:ascii="Times New Roman" w:hAnsi="Times New Roman" w:cs="Times New Roman"/>
        </w:rPr>
        <w:t> </w:t>
      </w:r>
      <w:r w:rsidRPr="00617279">
        <w:rPr>
          <w:rFonts w:ascii="Times New Roman" w:hAnsi="Times New Roman" w:cs="Times New Roman"/>
          <w:color w:val="000000"/>
          <w:shd w:val="clear" w:color="auto" w:fill="FFFFFF"/>
        </w:rPr>
        <w:t xml:space="preserve">Eiropas Parlamenta un Padomes </w:t>
      </w:r>
      <w:r>
        <w:rPr>
          <w:rFonts w:ascii="Times New Roman" w:hAnsi="Times New Roman" w:cs="Times New Roman"/>
          <w:color w:val="000000"/>
          <w:shd w:val="clear" w:color="auto" w:fill="FFFFFF"/>
        </w:rPr>
        <w:t xml:space="preserve">2013. gada 22. oktobra </w:t>
      </w:r>
      <w:r w:rsidRPr="00617279">
        <w:rPr>
          <w:rFonts w:ascii="Times New Roman" w:hAnsi="Times New Roman" w:cs="Times New Roman"/>
          <w:color w:val="000000"/>
          <w:shd w:val="clear" w:color="auto" w:fill="FFFFFF"/>
        </w:rPr>
        <w:t>Lēmums Nr.</w:t>
      </w:r>
      <w:r>
        <w:rPr>
          <w:rFonts w:ascii="Times New Roman" w:hAnsi="Times New Roman" w:cs="Times New Roman"/>
          <w:color w:val="000000"/>
          <w:shd w:val="clear" w:color="auto" w:fill="FFFFFF"/>
        </w:rPr>
        <w:t> </w:t>
      </w:r>
      <w:r w:rsidRPr="00617279">
        <w:rPr>
          <w:rFonts w:ascii="Times New Roman" w:hAnsi="Times New Roman" w:cs="Times New Roman"/>
          <w:color w:val="000000"/>
          <w:shd w:val="clear" w:color="auto" w:fill="FFFFFF"/>
        </w:rPr>
        <w:t>1082/2013/ES par nopietniem pārrobežu veselības apdraudējumiem un ar ko atceļ Lēmumu Nr.</w:t>
      </w:r>
      <w:r>
        <w:rPr>
          <w:rFonts w:ascii="Times New Roman" w:hAnsi="Times New Roman" w:cs="Times New Roman"/>
          <w:color w:val="000000"/>
          <w:shd w:val="clear" w:color="auto" w:fill="FFFFFF"/>
        </w:rPr>
        <w:t> </w:t>
      </w:r>
      <w:r w:rsidRPr="00617279">
        <w:rPr>
          <w:rFonts w:ascii="Times New Roman" w:hAnsi="Times New Roman" w:cs="Times New Roman"/>
          <w:color w:val="000000"/>
          <w:shd w:val="clear" w:color="auto" w:fill="FFFFFF"/>
        </w:rPr>
        <w:t>2119/98/EK (</w:t>
      </w:r>
      <w:hyperlink r:id="rId8" w:history="1">
        <w:r w:rsidRPr="00617279">
          <w:rPr>
            <w:rStyle w:val="Hyperlink"/>
            <w:rFonts w:ascii="Times New Roman" w:hAnsi="Times New Roman" w:cs="Times New Roman"/>
            <w:shd w:val="clear" w:color="auto" w:fill="FFFFFF"/>
          </w:rPr>
          <w:t>OV L 293, 5.11.2013., 1.</w:t>
        </w:r>
        <w:r>
          <w:rPr>
            <w:rStyle w:val="Hyperlink"/>
            <w:rFonts w:ascii="Times New Roman" w:hAnsi="Times New Roman" w:cs="Times New Roman"/>
            <w:shd w:val="clear" w:color="auto" w:fill="FFFFFF"/>
          </w:rPr>
          <w:t> </w:t>
        </w:r>
        <w:r w:rsidRPr="00617279">
          <w:rPr>
            <w:rStyle w:val="Hyperlink"/>
            <w:rFonts w:ascii="Times New Roman" w:hAnsi="Times New Roman" w:cs="Times New Roman"/>
            <w:shd w:val="clear" w:color="auto" w:fill="FFFFFF"/>
          </w:rPr>
          <w:t>lpp.</w:t>
        </w:r>
      </w:hyperlink>
      <w:r w:rsidRPr="00617279">
        <w:rPr>
          <w:rFonts w:ascii="Times New Roman" w:hAnsi="Times New Roman" w:cs="Times New Roman"/>
          <w:color w:val="000000"/>
          <w:shd w:val="clear" w:color="auto" w:fill="FFFFFF"/>
        </w:rPr>
        <w:t>).</w:t>
      </w:r>
    </w:p>
  </w:footnote>
  <w:footnote w:id="13">
    <w:p w14:paraId="3B8EE0C0" w14:textId="77777777" w:rsidR="005C0E0D" w:rsidRPr="00AF7938" w:rsidRDefault="005C0E0D" w:rsidP="00C03359">
      <w:pPr>
        <w:pStyle w:val="FootnoteText"/>
        <w:spacing w:after="120"/>
        <w:jc w:val="both"/>
        <w:rPr>
          <w:rFonts w:ascii="Times New Roman" w:hAnsi="Times New Roman" w:cs="Times New Roman"/>
          <w:b/>
        </w:rPr>
      </w:pPr>
      <w:r w:rsidRPr="00E047FE">
        <w:rPr>
          <w:rStyle w:val="FootnoteReference"/>
          <w:rFonts w:ascii="Times New Roman" w:hAnsi="Times New Roman" w:cs="Times New Roman"/>
          <w:sz w:val="24"/>
          <w:szCs w:val="24"/>
        </w:rPr>
        <w:footnoteRef/>
      </w:r>
      <w:r>
        <w:rPr>
          <w:rFonts w:ascii="Times New Roman" w:hAnsi="Times New Roman" w:cs="Times New Roman"/>
          <w:b/>
          <w:sz w:val="24"/>
          <w:szCs w:val="24"/>
        </w:rPr>
        <w:t> </w:t>
      </w:r>
      <w:hyperlink r:id="rId9" w:history="1">
        <w:r w:rsidRPr="00AF7938">
          <w:rPr>
            <w:rStyle w:val="Hyperlink"/>
            <w:rFonts w:ascii="Times New Roman" w:hAnsi="Times New Roman" w:cs="Times New Roman"/>
            <w:bdr w:val="none" w:sz="0" w:space="0" w:color="auto" w:frame="1"/>
            <w:shd w:val="clear" w:color="auto" w:fill="FFFFFF"/>
          </w:rPr>
          <w:t>Komisijas paziņojums</w:t>
        </w:r>
      </w:hyperlink>
      <w:r w:rsidRPr="00AF7938">
        <w:rPr>
          <w:rStyle w:val="Strong"/>
          <w:rFonts w:ascii="Times New Roman" w:hAnsi="Times New Roman" w:cs="Times New Roman"/>
          <w:b w:val="0"/>
          <w:bdr w:val="none" w:sz="0" w:space="0" w:color="auto" w:frame="1"/>
          <w:shd w:val="clear" w:color="auto" w:fill="FFFFFF"/>
        </w:rPr>
        <w:t xml:space="preserve"> – Norādījumi par piemērošanas jomu un galvenajiem pienākumiem attiecībā uz Eiropas Parlamenta un Padomes Regulu Nr.</w:t>
      </w:r>
      <w:r w:rsidRPr="00585CC8">
        <w:rPr>
          <w:rStyle w:val="Strong"/>
          <w:rFonts w:ascii="Times New Roman" w:hAnsi="Times New Roman" w:cs="Times New Roman"/>
          <w:b w:val="0"/>
          <w:bdr w:val="none" w:sz="0" w:space="0" w:color="auto" w:frame="1"/>
          <w:shd w:val="clear" w:color="auto" w:fill="FFFFFF"/>
        </w:rPr>
        <w:t> </w:t>
      </w:r>
      <w:r w:rsidRPr="00AF7938">
        <w:rPr>
          <w:rStyle w:val="Strong"/>
          <w:rFonts w:ascii="Times New Roman" w:hAnsi="Times New Roman" w:cs="Times New Roman"/>
          <w:b w:val="0"/>
          <w:bdr w:val="none" w:sz="0" w:space="0" w:color="auto" w:frame="1"/>
          <w:shd w:val="clear" w:color="auto" w:fill="FFFFFF"/>
        </w:rPr>
        <w:t>511/2014</w:t>
      </w:r>
      <w:r w:rsidRPr="00585CC8">
        <w:rPr>
          <w:rStyle w:val="Strong"/>
          <w:rFonts w:ascii="Times New Roman" w:hAnsi="Times New Roman" w:cs="Times New Roman"/>
          <w:b w:val="0"/>
          <w:bdr w:val="none" w:sz="0" w:space="0" w:color="auto" w:frame="1"/>
          <w:shd w:val="clear" w:color="auto" w:fill="FFFFFF"/>
        </w:rPr>
        <w:t>/ES</w:t>
      </w:r>
      <w:r w:rsidRPr="00AF7938">
        <w:rPr>
          <w:rStyle w:val="Strong"/>
          <w:rFonts w:ascii="Times New Roman" w:hAnsi="Times New Roman" w:cs="Times New Roman"/>
          <w:b w:val="0"/>
          <w:bdr w:val="none" w:sz="0" w:space="0" w:color="auto" w:frame="1"/>
          <w:shd w:val="clear" w:color="auto" w:fill="FFFFFF"/>
        </w:rPr>
        <w:t xml:space="preserve"> par no Nagojas Protokola par piekļuvi ģenētiskajiem resursiem un to ieguvumu taisnīgu un godīgu sadali, kas gūti no šo resursu izmantošanas, izrietošiem atbilstības pasākumiem lietotājiem Savienībā</w:t>
      </w:r>
    </w:p>
  </w:footnote>
  <w:footnote w:id="14">
    <w:p w14:paraId="2095D37C" w14:textId="7CB2486D" w:rsidR="005C0E0D" w:rsidRPr="00AF7938" w:rsidRDefault="005C0E0D" w:rsidP="00CE274A">
      <w:pPr>
        <w:pStyle w:val="FootnoteText"/>
        <w:tabs>
          <w:tab w:val="left" w:pos="284"/>
        </w:tabs>
        <w:spacing w:after="120"/>
        <w:jc w:val="both"/>
        <w:rPr>
          <w:rFonts w:ascii="Times New Roman" w:hAnsi="Times New Roman" w:cs="Times New Roman"/>
        </w:rPr>
      </w:pPr>
      <w:r>
        <w:rPr>
          <w:rStyle w:val="FootnoteReference"/>
        </w:rPr>
        <w:footnoteRef/>
      </w:r>
      <w:r>
        <w:t> </w:t>
      </w:r>
      <w:hyperlink r:id="rId10" w:history="1">
        <w:r w:rsidRPr="00AF7938">
          <w:rPr>
            <w:rStyle w:val="Hyperlink"/>
            <w:rFonts w:ascii="Times New Roman" w:hAnsi="Times New Roman" w:cs="Times New Roman"/>
          </w:rPr>
          <w:t>https://www.lvafa.gov.lv/materiali/petijumi/195-multisektorialie-projekti/pms2017/230-izvertejums-par-biologiskas-daudzveidibas-konvencijas-nagojas-protokola-ratificesanu</w:t>
        </w:r>
      </w:hyperlink>
      <w:r w:rsidRPr="00AF7938">
        <w:rPr>
          <w:rFonts w:ascii="Times New Roman" w:hAnsi="Times New Roman" w:cs="Times New Roman"/>
        </w:rPr>
        <w:t xml:space="preserve"> </w:t>
      </w:r>
    </w:p>
  </w:footnote>
  <w:footnote w:id="15">
    <w:p w14:paraId="62D960BB" w14:textId="1270A55A" w:rsidR="005C0E0D" w:rsidRPr="00AF7938" w:rsidRDefault="005C0E0D" w:rsidP="00CE274A">
      <w:pPr>
        <w:pStyle w:val="FootnoteText"/>
        <w:spacing w:after="120"/>
        <w:jc w:val="both"/>
        <w:rPr>
          <w:rFonts w:ascii="Times New Roman" w:hAnsi="Times New Roman" w:cs="Times New Roman"/>
          <w:b/>
        </w:rPr>
      </w:pPr>
      <w:r w:rsidRPr="00E047FE">
        <w:rPr>
          <w:rStyle w:val="FootnoteReference"/>
          <w:rFonts w:ascii="Times New Roman" w:hAnsi="Times New Roman" w:cs="Times New Roman"/>
          <w:sz w:val="24"/>
          <w:szCs w:val="24"/>
        </w:rPr>
        <w:footnoteRef/>
      </w:r>
      <w:r>
        <w:rPr>
          <w:rFonts w:ascii="Times New Roman" w:hAnsi="Times New Roman" w:cs="Times New Roman"/>
          <w:b/>
          <w:sz w:val="24"/>
          <w:szCs w:val="24"/>
        </w:rPr>
        <w:t> </w:t>
      </w:r>
      <w:hyperlink r:id="rId11" w:history="1">
        <w:r w:rsidRPr="00AF7938">
          <w:rPr>
            <w:rStyle w:val="Hyperlink"/>
            <w:rFonts w:ascii="Times New Roman" w:hAnsi="Times New Roman" w:cs="Times New Roman"/>
            <w:bdr w:val="none" w:sz="0" w:space="0" w:color="auto" w:frame="1"/>
            <w:shd w:val="clear" w:color="auto" w:fill="FFFFFF"/>
          </w:rPr>
          <w:t>Komisijas paziņojums</w:t>
        </w:r>
      </w:hyperlink>
      <w:r w:rsidRPr="00AF7938">
        <w:rPr>
          <w:rStyle w:val="Strong"/>
          <w:rFonts w:ascii="Times New Roman" w:hAnsi="Times New Roman" w:cs="Times New Roman"/>
          <w:b w:val="0"/>
          <w:bdr w:val="none" w:sz="0" w:space="0" w:color="auto" w:frame="1"/>
          <w:shd w:val="clear" w:color="auto" w:fill="FFFFFF"/>
        </w:rPr>
        <w:t xml:space="preserve"> – Norādījumi par piemērošanas jomu un galvenajiem pienākumiem attiecībā uz Eiropas Parlamenta un Padomes Regulu Nr.</w:t>
      </w:r>
      <w:r w:rsidRPr="00585CC8">
        <w:rPr>
          <w:rStyle w:val="Strong"/>
          <w:rFonts w:ascii="Times New Roman" w:hAnsi="Times New Roman" w:cs="Times New Roman"/>
          <w:b w:val="0"/>
          <w:bdr w:val="none" w:sz="0" w:space="0" w:color="auto" w:frame="1"/>
          <w:shd w:val="clear" w:color="auto" w:fill="FFFFFF"/>
        </w:rPr>
        <w:t> </w:t>
      </w:r>
      <w:r w:rsidRPr="00AF7938">
        <w:rPr>
          <w:rStyle w:val="Strong"/>
          <w:rFonts w:ascii="Times New Roman" w:hAnsi="Times New Roman" w:cs="Times New Roman"/>
          <w:b w:val="0"/>
          <w:bdr w:val="none" w:sz="0" w:space="0" w:color="auto" w:frame="1"/>
          <w:shd w:val="clear" w:color="auto" w:fill="FFFFFF"/>
        </w:rPr>
        <w:t>511/2014</w:t>
      </w:r>
      <w:r w:rsidRPr="00585CC8">
        <w:rPr>
          <w:rStyle w:val="Strong"/>
          <w:rFonts w:ascii="Times New Roman" w:hAnsi="Times New Roman" w:cs="Times New Roman"/>
          <w:b w:val="0"/>
          <w:bdr w:val="none" w:sz="0" w:space="0" w:color="auto" w:frame="1"/>
          <w:shd w:val="clear" w:color="auto" w:fill="FFFFFF"/>
        </w:rPr>
        <w:t>/ES</w:t>
      </w:r>
      <w:r w:rsidRPr="00AF7938">
        <w:rPr>
          <w:rStyle w:val="Strong"/>
          <w:rFonts w:ascii="Times New Roman" w:hAnsi="Times New Roman" w:cs="Times New Roman"/>
          <w:b w:val="0"/>
          <w:bdr w:val="none" w:sz="0" w:space="0" w:color="auto" w:frame="1"/>
          <w:shd w:val="clear" w:color="auto" w:fill="FFFFFF"/>
        </w:rPr>
        <w:t xml:space="preserve"> par no Nagojas Protokola par piekļuvi ģenētiskajiem resursiem un to ieguvumu taisnīgu un godīgu sadali, kas gūti no šo resursu izmantošanas, izrietošiem atbilstības pasākumiem lietotājiem Savienībā</w:t>
      </w:r>
    </w:p>
  </w:footnote>
  <w:footnote w:id="16">
    <w:p w14:paraId="649429E8" w14:textId="06843A5A" w:rsidR="005C0E0D" w:rsidRPr="00E047FE" w:rsidRDefault="005C0E0D" w:rsidP="00E047FE">
      <w:pPr>
        <w:pStyle w:val="FootnoteText"/>
        <w:spacing w:after="120"/>
        <w:jc w:val="both"/>
      </w:pPr>
      <w:r w:rsidRPr="00AF7938">
        <w:rPr>
          <w:rStyle w:val="FootnoteReference"/>
          <w:rFonts w:ascii="Times New Roman" w:hAnsi="Times New Roman" w:cs="Times New Roman"/>
        </w:rPr>
        <w:footnoteRef/>
      </w:r>
      <w:r w:rsidRPr="00AF7938">
        <w:rPr>
          <w:rFonts w:ascii="Times New Roman" w:hAnsi="Times New Roman" w:cs="Times New Roman"/>
          <w:b/>
        </w:rPr>
        <w:t> </w:t>
      </w:r>
      <w:hyperlink r:id="rId12" w:history="1">
        <w:r w:rsidRPr="00AF7938">
          <w:rPr>
            <w:rStyle w:val="Hyperlink"/>
            <w:rFonts w:ascii="Times New Roman" w:hAnsi="Times New Roman" w:cs="Times New Roman"/>
          </w:rPr>
          <w:t>http://www.fao.org/plant-treaty/en/</w:t>
        </w:r>
      </w:hyperlink>
      <w:r w:rsidRPr="00E047FE">
        <w:t xml:space="preserve"> </w:t>
      </w:r>
    </w:p>
  </w:footnote>
  <w:footnote w:id="17">
    <w:p w14:paraId="2DE8C84E" w14:textId="0072A2F0" w:rsidR="005C0E0D" w:rsidRDefault="005C0E0D" w:rsidP="00D01724">
      <w:pPr>
        <w:pStyle w:val="FootnoteText"/>
        <w:rPr>
          <w:rFonts w:ascii="Calibri" w:hAnsi="Calibri" w:cs="Calibri"/>
        </w:rPr>
      </w:pPr>
      <w:r>
        <w:rPr>
          <w:rStyle w:val="FootnoteReference"/>
        </w:rPr>
        <w:t>[1]</w:t>
      </w:r>
      <w:r>
        <w:t> </w:t>
      </w:r>
      <w:hyperlink r:id="rId13" w:history="1">
        <w:r w:rsidRPr="002067F1">
          <w:rPr>
            <w:rStyle w:val="Hyperlink"/>
            <w:rFonts w:ascii="Times New Roman" w:hAnsi="Times New Roman" w:cs="Times New Roman"/>
          </w:rPr>
          <w:t>http://tap.mk.gov.lv/mk/mksedes/saraksts/protokols/?protokols=2019-02-08</w:t>
        </w:r>
      </w:hyperlink>
      <w:r w:rsidRPr="002067F1">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CE087F" w14:textId="77777777" w:rsidR="005C0E0D" w:rsidRPr="00C25B49" w:rsidRDefault="005C0E0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558CB">
          <w:rPr>
            <w:rFonts w:ascii="Times New Roman" w:hAnsi="Times New Roman" w:cs="Times New Roman"/>
            <w:noProof/>
            <w:sz w:val="24"/>
            <w:szCs w:val="20"/>
          </w:rPr>
          <w:t>26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05E"/>
    <w:multiLevelType w:val="hybridMultilevel"/>
    <w:tmpl w:val="826E1D3E"/>
    <w:lvl w:ilvl="0" w:tplc="D8FE26C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3C1B26"/>
    <w:multiLevelType w:val="hybridMultilevel"/>
    <w:tmpl w:val="8DFCA8A2"/>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0469C"/>
    <w:multiLevelType w:val="hybridMultilevel"/>
    <w:tmpl w:val="AAB8CE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D75CDA"/>
    <w:multiLevelType w:val="hybridMultilevel"/>
    <w:tmpl w:val="F69ED25C"/>
    <w:lvl w:ilvl="0" w:tplc="C472D172">
      <w:start w:val="1"/>
      <w:numFmt w:val="lowerLetter"/>
      <w:lvlText w:val="(%1)"/>
      <w:lvlJc w:val="left"/>
      <w:pPr>
        <w:ind w:left="295"/>
      </w:pPr>
      <w:rPr>
        <w:rFonts w:ascii="Times New Roman" w:eastAsia="Calibri" w:hAnsi="Times New Roman" w:cs="Times New Roman" w:hint="default"/>
        <w:b w:val="0"/>
        <w:i w:val="0"/>
        <w:strike w:val="0"/>
        <w:dstrike w:val="0"/>
        <w:color w:val="050004"/>
        <w:sz w:val="24"/>
        <w:szCs w:val="24"/>
        <w:u w:val="none" w:color="000000"/>
        <w:bdr w:val="none" w:sz="0" w:space="0" w:color="auto"/>
        <w:shd w:val="clear" w:color="auto" w:fill="auto"/>
        <w:vertAlign w:val="baseline"/>
      </w:rPr>
    </w:lvl>
    <w:lvl w:ilvl="1" w:tplc="870AF0A4">
      <w:start w:val="1"/>
      <w:numFmt w:val="lowerLetter"/>
      <w:lvlText w:val="%2"/>
      <w:lvlJc w:val="left"/>
      <w:pPr>
        <w:ind w:left="108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764C9E8A">
      <w:start w:val="1"/>
      <w:numFmt w:val="lowerRoman"/>
      <w:lvlText w:val="%3"/>
      <w:lvlJc w:val="left"/>
      <w:pPr>
        <w:ind w:left="180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BE5AF678">
      <w:start w:val="1"/>
      <w:numFmt w:val="decimal"/>
      <w:lvlText w:val="%4"/>
      <w:lvlJc w:val="left"/>
      <w:pPr>
        <w:ind w:left="252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F9B6886A">
      <w:start w:val="1"/>
      <w:numFmt w:val="lowerLetter"/>
      <w:lvlText w:val="%5"/>
      <w:lvlJc w:val="left"/>
      <w:pPr>
        <w:ind w:left="324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C04A7F88">
      <w:start w:val="1"/>
      <w:numFmt w:val="lowerRoman"/>
      <w:lvlText w:val="%6"/>
      <w:lvlJc w:val="left"/>
      <w:pPr>
        <w:ind w:left="396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299C8AC0">
      <w:start w:val="1"/>
      <w:numFmt w:val="decimal"/>
      <w:lvlText w:val="%7"/>
      <w:lvlJc w:val="left"/>
      <w:pPr>
        <w:ind w:left="468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4F7255E8">
      <w:start w:val="1"/>
      <w:numFmt w:val="lowerLetter"/>
      <w:lvlText w:val="%8"/>
      <w:lvlJc w:val="left"/>
      <w:pPr>
        <w:ind w:left="540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03F084E0">
      <w:start w:val="1"/>
      <w:numFmt w:val="lowerRoman"/>
      <w:lvlText w:val="%9"/>
      <w:lvlJc w:val="left"/>
      <w:pPr>
        <w:ind w:left="612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5" w15:restartNumberingAfterBreak="0">
    <w:nsid w:val="37963EC3"/>
    <w:multiLevelType w:val="hybridMultilevel"/>
    <w:tmpl w:val="598A91EC"/>
    <w:lvl w:ilvl="0" w:tplc="97922E94">
      <w:start w:val="1"/>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045BD8"/>
    <w:multiLevelType w:val="hybridMultilevel"/>
    <w:tmpl w:val="54107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A770D3"/>
    <w:multiLevelType w:val="hybridMultilevel"/>
    <w:tmpl w:val="5EAC427E"/>
    <w:lvl w:ilvl="0" w:tplc="291C7D3E">
      <w:start w:val="1"/>
      <w:numFmt w:val="decimal"/>
      <w:lvlText w:val="%1."/>
      <w:lvlJc w:val="left"/>
      <w:pPr>
        <w:ind w:left="1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13B8C750">
      <w:start w:val="1"/>
      <w:numFmt w:val="lowerLetter"/>
      <w:lvlText w:val="%2"/>
      <w:lvlJc w:val="left"/>
      <w:pPr>
        <w:ind w:left="108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E1D89808">
      <w:start w:val="1"/>
      <w:numFmt w:val="lowerRoman"/>
      <w:lvlText w:val="%3"/>
      <w:lvlJc w:val="left"/>
      <w:pPr>
        <w:ind w:left="180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D50E1EB2">
      <w:start w:val="1"/>
      <w:numFmt w:val="decimal"/>
      <w:lvlText w:val="%4"/>
      <w:lvlJc w:val="left"/>
      <w:pPr>
        <w:ind w:left="252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05D65EAC">
      <w:start w:val="1"/>
      <w:numFmt w:val="lowerLetter"/>
      <w:lvlText w:val="%5"/>
      <w:lvlJc w:val="left"/>
      <w:pPr>
        <w:ind w:left="324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6A70B498">
      <w:start w:val="1"/>
      <w:numFmt w:val="lowerRoman"/>
      <w:lvlText w:val="%6"/>
      <w:lvlJc w:val="left"/>
      <w:pPr>
        <w:ind w:left="396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C5B0893C">
      <w:start w:val="1"/>
      <w:numFmt w:val="decimal"/>
      <w:lvlText w:val="%7"/>
      <w:lvlJc w:val="left"/>
      <w:pPr>
        <w:ind w:left="468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526C941E">
      <w:start w:val="1"/>
      <w:numFmt w:val="lowerLetter"/>
      <w:lvlText w:val="%8"/>
      <w:lvlJc w:val="left"/>
      <w:pPr>
        <w:ind w:left="540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EF2AA9E6">
      <w:start w:val="1"/>
      <w:numFmt w:val="lowerRoman"/>
      <w:lvlText w:val="%9"/>
      <w:lvlJc w:val="left"/>
      <w:pPr>
        <w:ind w:left="612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8" w15:restartNumberingAfterBreak="0">
    <w:nsid w:val="4B8317C1"/>
    <w:multiLevelType w:val="hybridMultilevel"/>
    <w:tmpl w:val="85463D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0B1A77"/>
    <w:multiLevelType w:val="hybridMultilevel"/>
    <w:tmpl w:val="D0D61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762B24"/>
    <w:multiLevelType w:val="hybridMultilevel"/>
    <w:tmpl w:val="5D3411D4"/>
    <w:lvl w:ilvl="0" w:tplc="55E49630">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B344910"/>
    <w:multiLevelType w:val="hybridMultilevel"/>
    <w:tmpl w:val="65DE6F3E"/>
    <w:lvl w:ilvl="0" w:tplc="382A1AC4">
      <w:start w:val="3"/>
      <w:numFmt w:val="decimal"/>
      <w:lvlText w:val="%1."/>
      <w:lvlJc w:val="left"/>
      <w:pPr>
        <w:ind w:left="1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4546DC62">
      <w:start w:val="1"/>
      <w:numFmt w:val="lowerLetter"/>
      <w:lvlText w:val="%2"/>
      <w:lvlJc w:val="left"/>
      <w:pPr>
        <w:ind w:left="108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5686D846">
      <w:start w:val="1"/>
      <w:numFmt w:val="lowerRoman"/>
      <w:lvlText w:val="%3"/>
      <w:lvlJc w:val="left"/>
      <w:pPr>
        <w:ind w:left="180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85F0D0E2">
      <w:start w:val="1"/>
      <w:numFmt w:val="decimal"/>
      <w:lvlText w:val="%4"/>
      <w:lvlJc w:val="left"/>
      <w:pPr>
        <w:ind w:left="252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23C0DAD2">
      <w:start w:val="1"/>
      <w:numFmt w:val="lowerLetter"/>
      <w:lvlText w:val="%5"/>
      <w:lvlJc w:val="left"/>
      <w:pPr>
        <w:ind w:left="324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65CE1FAA">
      <w:start w:val="1"/>
      <w:numFmt w:val="lowerRoman"/>
      <w:lvlText w:val="%6"/>
      <w:lvlJc w:val="left"/>
      <w:pPr>
        <w:ind w:left="396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FE2804E8">
      <w:start w:val="1"/>
      <w:numFmt w:val="decimal"/>
      <w:lvlText w:val="%7"/>
      <w:lvlJc w:val="left"/>
      <w:pPr>
        <w:ind w:left="468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AEAC8146">
      <w:start w:val="1"/>
      <w:numFmt w:val="lowerLetter"/>
      <w:lvlText w:val="%8"/>
      <w:lvlJc w:val="left"/>
      <w:pPr>
        <w:ind w:left="540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FA2E5E10">
      <w:start w:val="1"/>
      <w:numFmt w:val="lowerRoman"/>
      <w:lvlText w:val="%9"/>
      <w:lvlJc w:val="left"/>
      <w:pPr>
        <w:ind w:left="612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12" w15:restartNumberingAfterBreak="0">
    <w:nsid w:val="7C954196"/>
    <w:multiLevelType w:val="hybridMultilevel"/>
    <w:tmpl w:val="994A3FEC"/>
    <w:lvl w:ilvl="0" w:tplc="D8FE26C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DFA30BF"/>
    <w:multiLevelType w:val="hybridMultilevel"/>
    <w:tmpl w:val="D4A67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072C4A"/>
    <w:multiLevelType w:val="hybridMultilevel"/>
    <w:tmpl w:val="C152FB58"/>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8224EA"/>
    <w:multiLevelType w:val="singleLevel"/>
    <w:tmpl w:val="34DEB8CE"/>
    <w:name w:val="Tiret 4"/>
    <w:lvl w:ilvl="0">
      <w:start w:val="1"/>
      <w:numFmt w:val="bullet"/>
      <w:pStyle w:val="Tiret0"/>
      <w:lvlText w:val="–"/>
      <w:lvlJc w:val="left"/>
      <w:pPr>
        <w:tabs>
          <w:tab w:val="num" w:pos="850"/>
        </w:tabs>
        <w:ind w:left="850" w:hanging="850"/>
      </w:pPr>
    </w:lvl>
  </w:abstractNum>
  <w:num w:numId="1">
    <w:abstractNumId w:val="15"/>
  </w:num>
  <w:num w:numId="2">
    <w:abstractNumId w:val="2"/>
  </w:num>
  <w:num w:numId="3">
    <w:abstractNumId w:val="9"/>
  </w:num>
  <w:num w:numId="4">
    <w:abstractNumId w:val="14"/>
  </w:num>
  <w:num w:numId="5">
    <w:abstractNumId w:val="1"/>
  </w:num>
  <w:num w:numId="6">
    <w:abstractNumId w:val="0"/>
  </w:num>
  <w:num w:numId="7">
    <w:abstractNumId w:val="10"/>
  </w:num>
  <w:num w:numId="8">
    <w:abstractNumId w:val="6"/>
  </w:num>
  <w:num w:numId="9">
    <w:abstractNumId w:val="5"/>
  </w:num>
  <w:num w:numId="10">
    <w:abstractNumId w:val="13"/>
  </w:num>
  <w:num w:numId="11">
    <w:abstractNumId w:val="3"/>
  </w:num>
  <w:num w:numId="12">
    <w:abstractNumId w:val="8"/>
  </w:num>
  <w:num w:numId="13">
    <w:abstractNumId w:val="12"/>
  </w:num>
  <w:num w:numId="14">
    <w:abstractNumId w:val="7"/>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83"/>
    <w:rsid w:val="00004A72"/>
    <w:rsid w:val="00006C43"/>
    <w:rsid w:val="00007BD8"/>
    <w:rsid w:val="000109A3"/>
    <w:rsid w:val="000127F6"/>
    <w:rsid w:val="00017EE3"/>
    <w:rsid w:val="00022433"/>
    <w:rsid w:val="00024364"/>
    <w:rsid w:val="00024F6B"/>
    <w:rsid w:val="0002572C"/>
    <w:rsid w:val="00031D88"/>
    <w:rsid w:val="0004669F"/>
    <w:rsid w:val="00046D37"/>
    <w:rsid w:val="0005301F"/>
    <w:rsid w:val="00053F9F"/>
    <w:rsid w:val="00054F4A"/>
    <w:rsid w:val="00055C2D"/>
    <w:rsid w:val="00056EF2"/>
    <w:rsid w:val="00057357"/>
    <w:rsid w:val="000579EF"/>
    <w:rsid w:val="00061918"/>
    <w:rsid w:val="00063078"/>
    <w:rsid w:val="00065594"/>
    <w:rsid w:val="00072A87"/>
    <w:rsid w:val="00073F00"/>
    <w:rsid w:val="00086C0C"/>
    <w:rsid w:val="00086C7D"/>
    <w:rsid w:val="000922EE"/>
    <w:rsid w:val="000959AA"/>
    <w:rsid w:val="0009640E"/>
    <w:rsid w:val="000975FB"/>
    <w:rsid w:val="000979C3"/>
    <w:rsid w:val="00097CC1"/>
    <w:rsid w:val="000A26FE"/>
    <w:rsid w:val="000A68C1"/>
    <w:rsid w:val="000A7910"/>
    <w:rsid w:val="000A7BB2"/>
    <w:rsid w:val="000A7E29"/>
    <w:rsid w:val="000B0430"/>
    <w:rsid w:val="000B1765"/>
    <w:rsid w:val="000B5FAC"/>
    <w:rsid w:val="000C01A2"/>
    <w:rsid w:val="000C1F12"/>
    <w:rsid w:val="000C2165"/>
    <w:rsid w:val="000C522E"/>
    <w:rsid w:val="000C7F8B"/>
    <w:rsid w:val="000D3333"/>
    <w:rsid w:val="000D4813"/>
    <w:rsid w:val="000D6483"/>
    <w:rsid w:val="000E0734"/>
    <w:rsid w:val="000E0F8C"/>
    <w:rsid w:val="000E19B8"/>
    <w:rsid w:val="000E1CC2"/>
    <w:rsid w:val="000E3520"/>
    <w:rsid w:val="000E400F"/>
    <w:rsid w:val="000E7BD3"/>
    <w:rsid w:val="000F071D"/>
    <w:rsid w:val="000F520D"/>
    <w:rsid w:val="001037A5"/>
    <w:rsid w:val="00104126"/>
    <w:rsid w:val="0010501D"/>
    <w:rsid w:val="001050AD"/>
    <w:rsid w:val="00110531"/>
    <w:rsid w:val="0011075E"/>
    <w:rsid w:val="001126E8"/>
    <w:rsid w:val="001143A6"/>
    <w:rsid w:val="0012008D"/>
    <w:rsid w:val="00122441"/>
    <w:rsid w:val="00130932"/>
    <w:rsid w:val="001323B4"/>
    <w:rsid w:val="00135C4A"/>
    <w:rsid w:val="00136918"/>
    <w:rsid w:val="0014244B"/>
    <w:rsid w:val="00143118"/>
    <w:rsid w:val="00143F6E"/>
    <w:rsid w:val="001461DE"/>
    <w:rsid w:val="001469E8"/>
    <w:rsid w:val="001504DB"/>
    <w:rsid w:val="00152650"/>
    <w:rsid w:val="00153750"/>
    <w:rsid w:val="001553D4"/>
    <w:rsid w:val="001556A8"/>
    <w:rsid w:val="00161EC5"/>
    <w:rsid w:val="00162695"/>
    <w:rsid w:val="00163EDD"/>
    <w:rsid w:val="0016428C"/>
    <w:rsid w:val="00164C9F"/>
    <w:rsid w:val="00165C6F"/>
    <w:rsid w:val="00165FCD"/>
    <w:rsid w:val="00166F71"/>
    <w:rsid w:val="00167997"/>
    <w:rsid w:val="00170F95"/>
    <w:rsid w:val="0017234C"/>
    <w:rsid w:val="00176638"/>
    <w:rsid w:val="0017680D"/>
    <w:rsid w:val="00176F18"/>
    <w:rsid w:val="00177E20"/>
    <w:rsid w:val="00182C61"/>
    <w:rsid w:val="0018372F"/>
    <w:rsid w:val="00184B1D"/>
    <w:rsid w:val="0019085D"/>
    <w:rsid w:val="00194DAB"/>
    <w:rsid w:val="001A60C7"/>
    <w:rsid w:val="001B03B4"/>
    <w:rsid w:val="001B0C27"/>
    <w:rsid w:val="001B251A"/>
    <w:rsid w:val="001B4487"/>
    <w:rsid w:val="001B6164"/>
    <w:rsid w:val="001C0422"/>
    <w:rsid w:val="001C31CF"/>
    <w:rsid w:val="001C3244"/>
    <w:rsid w:val="001C3D29"/>
    <w:rsid w:val="001C4605"/>
    <w:rsid w:val="001C4AEE"/>
    <w:rsid w:val="001C74F9"/>
    <w:rsid w:val="001D1B01"/>
    <w:rsid w:val="001D1FF8"/>
    <w:rsid w:val="001D5C00"/>
    <w:rsid w:val="001D660D"/>
    <w:rsid w:val="001D7CD5"/>
    <w:rsid w:val="001E071B"/>
    <w:rsid w:val="001E3B76"/>
    <w:rsid w:val="001E3DB3"/>
    <w:rsid w:val="001F2845"/>
    <w:rsid w:val="001F31C1"/>
    <w:rsid w:val="00201C78"/>
    <w:rsid w:val="002028EF"/>
    <w:rsid w:val="00203B44"/>
    <w:rsid w:val="002067F1"/>
    <w:rsid w:val="0020794B"/>
    <w:rsid w:val="0021365C"/>
    <w:rsid w:val="0021733F"/>
    <w:rsid w:val="00221B0F"/>
    <w:rsid w:val="00222663"/>
    <w:rsid w:val="00222842"/>
    <w:rsid w:val="00235808"/>
    <w:rsid w:val="002358E1"/>
    <w:rsid w:val="002419C5"/>
    <w:rsid w:val="002420AC"/>
    <w:rsid w:val="00243426"/>
    <w:rsid w:val="002450DA"/>
    <w:rsid w:val="0024580D"/>
    <w:rsid w:val="00246738"/>
    <w:rsid w:val="00250D14"/>
    <w:rsid w:val="00257B52"/>
    <w:rsid w:val="0026033D"/>
    <w:rsid w:val="00260D19"/>
    <w:rsid w:val="0026184D"/>
    <w:rsid w:val="00262C5A"/>
    <w:rsid w:val="0026348B"/>
    <w:rsid w:val="00265EBF"/>
    <w:rsid w:val="002661B4"/>
    <w:rsid w:val="002679FD"/>
    <w:rsid w:val="002716E0"/>
    <w:rsid w:val="00272C2D"/>
    <w:rsid w:val="00272D62"/>
    <w:rsid w:val="002740FD"/>
    <w:rsid w:val="0027514F"/>
    <w:rsid w:val="00282F0E"/>
    <w:rsid w:val="00284B4D"/>
    <w:rsid w:val="0028650A"/>
    <w:rsid w:val="00297DF6"/>
    <w:rsid w:val="002A0351"/>
    <w:rsid w:val="002A1419"/>
    <w:rsid w:val="002A5BB8"/>
    <w:rsid w:val="002A7D67"/>
    <w:rsid w:val="002B3775"/>
    <w:rsid w:val="002B4E92"/>
    <w:rsid w:val="002C1E31"/>
    <w:rsid w:val="002C2F0A"/>
    <w:rsid w:val="002C41A0"/>
    <w:rsid w:val="002C5624"/>
    <w:rsid w:val="002C5FA0"/>
    <w:rsid w:val="002D1D4B"/>
    <w:rsid w:val="002D25D0"/>
    <w:rsid w:val="002D3EBB"/>
    <w:rsid w:val="002D55CC"/>
    <w:rsid w:val="002D5941"/>
    <w:rsid w:val="002D64FD"/>
    <w:rsid w:val="002E1C05"/>
    <w:rsid w:val="002E31C2"/>
    <w:rsid w:val="002E371D"/>
    <w:rsid w:val="002E611D"/>
    <w:rsid w:val="002E6304"/>
    <w:rsid w:val="002E72C1"/>
    <w:rsid w:val="002F0B12"/>
    <w:rsid w:val="002F5C26"/>
    <w:rsid w:val="002F6232"/>
    <w:rsid w:val="002F67C1"/>
    <w:rsid w:val="00301D12"/>
    <w:rsid w:val="003025C6"/>
    <w:rsid w:val="003047D6"/>
    <w:rsid w:val="00307E20"/>
    <w:rsid w:val="00307E8E"/>
    <w:rsid w:val="003115F7"/>
    <w:rsid w:val="00313EB2"/>
    <w:rsid w:val="003150D0"/>
    <w:rsid w:val="00322D90"/>
    <w:rsid w:val="00323AB3"/>
    <w:rsid w:val="00325CBF"/>
    <w:rsid w:val="00325F9D"/>
    <w:rsid w:val="00330674"/>
    <w:rsid w:val="00333EA6"/>
    <w:rsid w:val="003427B3"/>
    <w:rsid w:val="0034412C"/>
    <w:rsid w:val="00344950"/>
    <w:rsid w:val="003458D5"/>
    <w:rsid w:val="003463FA"/>
    <w:rsid w:val="00347947"/>
    <w:rsid w:val="0035126F"/>
    <w:rsid w:val="00352795"/>
    <w:rsid w:val="003540A8"/>
    <w:rsid w:val="00354FA3"/>
    <w:rsid w:val="00360A82"/>
    <w:rsid w:val="00362623"/>
    <w:rsid w:val="0036386C"/>
    <w:rsid w:val="003647C9"/>
    <w:rsid w:val="00365DBA"/>
    <w:rsid w:val="00367ED1"/>
    <w:rsid w:val="00370D05"/>
    <w:rsid w:val="00372930"/>
    <w:rsid w:val="00372FCD"/>
    <w:rsid w:val="00376D50"/>
    <w:rsid w:val="00377682"/>
    <w:rsid w:val="0037799F"/>
    <w:rsid w:val="0038423A"/>
    <w:rsid w:val="00390C9B"/>
    <w:rsid w:val="003919F5"/>
    <w:rsid w:val="00392D39"/>
    <w:rsid w:val="00393B88"/>
    <w:rsid w:val="00396EA8"/>
    <w:rsid w:val="00397F4B"/>
    <w:rsid w:val="003A0799"/>
    <w:rsid w:val="003A13F2"/>
    <w:rsid w:val="003A628D"/>
    <w:rsid w:val="003A7902"/>
    <w:rsid w:val="003B0BF9"/>
    <w:rsid w:val="003B2CE3"/>
    <w:rsid w:val="003B3042"/>
    <w:rsid w:val="003B51E5"/>
    <w:rsid w:val="003B5606"/>
    <w:rsid w:val="003B791E"/>
    <w:rsid w:val="003C2361"/>
    <w:rsid w:val="003C4A35"/>
    <w:rsid w:val="003C572C"/>
    <w:rsid w:val="003D2DD7"/>
    <w:rsid w:val="003E0791"/>
    <w:rsid w:val="003E1E57"/>
    <w:rsid w:val="003E2304"/>
    <w:rsid w:val="003E23D9"/>
    <w:rsid w:val="003E51B6"/>
    <w:rsid w:val="003E75B0"/>
    <w:rsid w:val="003E789C"/>
    <w:rsid w:val="003F0751"/>
    <w:rsid w:val="003F28AC"/>
    <w:rsid w:val="003F604A"/>
    <w:rsid w:val="00401E7F"/>
    <w:rsid w:val="00403F4B"/>
    <w:rsid w:val="00406CDF"/>
    <w:rsid w:val="00410147"/>
    <w:rsid w:val="004102C8"/>
    <w:rsid w:val="00413065"/>
    <w:rsid w:val="00414D4A"/>
    <w:rsid w:val="00415A24"/>
    <w:rsid w:val="00421002"/>
    <w:rsid w:val="004264F2"/>
    <w:rsid w:val="00427FE0"/>
    <w:rsid w:val="0043025A"/>
    <w:rsid w:val="00430303"/>
    <w:rsid w:val="00433BE5"/>
    <w:rsid w:val="00434FA1"/>
    <w:rsid w:val="0043565B"/>
    <w:rsid w:val="00435F6F"/>
    <w:rsid w:val="0043650D"/>
    <w:rsid w:val="00437416"/>
    <w:rsid w:val="004379C2"/>
    <w:rsid w:val="00437BDA"/>
    <w:rsid w:val="004407B6"/>
    <w:rsid w:val="00440F89"/>
    <w:rsid w:val="00443602"/>
    <w:rsid w:val="00444EC9"/>
    <w:rsid w:val="004454FE"/>
    <w:rsid w:val="00450CA8"/>
    <w:rsid w:val="00451B7C"/>
    <w:rsid w:val="004525E2"/>
    <w:rsid w:val="004546A3"/>
    <w:rsid w:val="00456E40"/>
    <w:rsid w:val="00457957"/>
    <w:rsid w:val="00457986"/>
    <w:rsid w:val="004626C5"/>
    <w:rsid w:val="00463FCB"/>
    <w:rsid w:val="00467343"/>
    <w:rsid w:val="004673AA"/>
    <w:rsid w:val="004675F5"/>
    <w:rsid w:val="00471F27"/>
    <w:rsid w:val="004722AE"/>
    <w:rsid w:val="0047351D"/>
    <w:rsid w:val="0047397D"/>
    <w:rsid w:val="0047530C"/>
    <w:rsid w:val="00476F9B"/>
    <w:rsid w:val="00482FFE"/>
    <w:rsid w:val="00483043"/>
    <w:rsid w:val="00483117"/>
    <w:rsid w:val="00484FEF"/>
    <w:rsid w:val="004859D0"/>
    <w:rsid w:val="004901DF"/>
    <w:rsid w:val="00490A2F"/>
    <w:rsid w:val="00490F96"/>
    <w:rsid w:val="00494C04"/>
    <w:rsid w:val="004A0EFE"/>
    <w:rsid w:val="004A1005"/>
    <w:rsid w:val="004A446A"/>
    <w:rsid w:val="004B008C"/>
    <w:rsid w:val="004B0E96"/>
    <w:rsid w:val="004B0EDA"/>
    <w:rsid w:val="004B4686"/>
    <w:rsid w:val="004C0543"/>
    <w:rsid w:val="004C05D5"/>
    <w:rsid w:val="004C663E"/>
    <w:rsid w:val="004C78BE"/>
    <w:rsid w:val="004C7B2E"/>
    <w:rsid w:val="004D1A23"/>
    <w:rsid w:val="004D3BB5"/>
    <w:rsid w:val="004E070A"/>
    <w:rsid w:val="004E55F6"/>
    <w:rsid w:val="004E64C3"/>
    <w:rsid w:val="004F0D10"/>
    <w:rsid w:val="004F1236"/>
    <w:rsid w:val="0050178F"/>
    <w:rsid w:val="00504D90"/>
    <w:rsid w:val="0050656E"/>
    <w:rsid w:val="005128F4"/>
    <w:rsid w:val="005138B0"/>
    <w:rsid w:val="00513C72"/>
    <w:rsid w:val="005158D5"/>
    <w:rsid w:val="00517CC9"/>
    <w:rsid w:val="005325E2"/>
    <w:rsid w:val="00533D50"/>
    <w:rsid w:val="00534614"/>
    <w:rsid w:val="005351E8"/>
    <w:rsid w:val="00540D02"/>
    <w:rsid w:val="0054440C"/>
    <w:rsid w:val="005448F6"/>
    <w:rsid w:val="00545140"/>
    <w:rsid w:val="00551028"/>
    <w:rsid w:val="005575C2"/>
    <w:rsid w:val="00557D5F"/>
    <w:rsid w:val="0056039C"/>
    <w:rsid w:val="00561FD7"/>
    <w:rsid w:val="00562B18"/>
    <w:rsid w:val="00565F3E"/>
    <w:rsid w:val="0056706E"/>
    <w:rsid w:val="00567C9C"/>
    <w:rsid w:val="005714CF"/>
    <w:rsid w:val="00572687"/>
    <w:rsid w:val="00574290"/>
    <w:rsid w:val="00575035"/>
    <w:rsid w:val="0057510D"/>
    <w:rsid w:val="00580461"/>
    <w:rsid w:val="00580B0A"/>
    <w:rsid w:val="005816FC"/>
    <w:rsid w:val="0058225B"/>
    <w:rsid w:val="005826E2"/>
    <w:rsid w:val="00583D0B"/>
    <w:rsid w:val="00585830"/>
    <w:rsid w:val="00585CC8"/>
    <w:rsid w:val="00586A1C"/>
    <w:rsid w:val="005905D8"/>
    <w:rsid w:val="005911D9"/>
    <w:rsid w:val="00591421"/>
    <w:rsid w:val="005917D4"/>
    <w:rsid w:val="005A2A2F"/>
    <w:rsid w:val="005A5587"/>
    <w:rsid w:val="005B0961"/>
    <w:rsid w:val="005B31A7"/>
    <w:rsid w:val="005B4C5F"/>
    <w:rsid w:val="005B4FBB"/>
    <w:rsid w:val="005C0E0D"/>
    <w:rsid w:val="005C1C96"/>
    <w:rsid w:val="005C5326"/>
    <w:rsid w:val="005C592F"/>
    <w:rsid w:val="005C5AFD"/>
    <w:rsid w:val="005D03EC"/>
    <w:rsid w:val="005D27AC"/>
    <w:rsid w:val="005D3FD1"/>
    <w:rsid w:val="005D487D"/>
    <w:rsid w:val="005D4AF0"/>
    <w:rsid w:val="005D5394"/>
    <w:rsid w:val="005E0C82"/>
    <w:rsid w:val="005E2B21"/>
    <w:rsid w:val="005E4B5D"/>
    <w:rsid w:val="005E4B77"/>
    <w:rsid w:val="005E4E2C"/>
    <w:rsid w:val="005E53AA"/>
    <w:rsid w:val="005E5614"/>
    <w:rsid w:val="005F1444"/>
    <w:rsid w:val="005F7D12"/>
    <w:rsid w:val="006009B3"/>
    <w:rsid w:val="00601253"/>
    <w:rsid w:val="0060127E"/>
    <w:rsid w:val="006023B8"/>
    <w:rsid w:val="00602794"/>
    <w:rsid w:val="00602F5A"/>
    <w:rsid w:val="00604983"/>
    <w:rsid w:val="00604F94"/>
    <w:rsid w:val="006118B8"/>
    <w:rsid w:val="00612B11"/>
    <w:rsid w:val="0061439B"/>
    <w:rsid w:val="00615957"/>
    <w:rsid w:val="00617279"/>
    <w:rsid w:val="006203B1"/>
    <w:rsid w:val="006234B0"/>
    <w:rsid w:val="00627AB4"/>
    <w:rsid w:val="00633C23"/>
    <w:rsid w:val="00634B5D"/>
    <w:rsid w:val="00635218"/>
    <w:rsid w:val="00637A81"/>
    <w:rsid w:val="006400E7"/>
    <w:rsid w:val="006444D0"/>
    <w:rsid w:val="0065222A"/>
    <w:rsid w:val="00653769"/>
    <w:rsid w:val="00653C67"/>
    <w:rsid w:val="00655F2C"/>
    <w:rsid w:val="006562BB"/>
    <w:rsid w:val="00660FA8"/>
    <w:rsid w:val="00663CE2"/>
    <w:rsid w:val="00672CFB"/>
    <w:rsid w:val="006739DD"/>
    <w:rsid w:val="00674AD8"/>
    <w:rsid w:val="00676062"/>
    <w:rsid w:val="00682463"/>
    <w:rsid w:val="00686CB4"/>
    <w:rsid w:val="00691753"/>
    <w:rsid w:val="00694839"/>
    <w:rsid w:val="0069694E"/>
    <w:rsid w:val="006A5B82"/>
    <w:rsid w:val="006A65F3"/>
    <w:rsid w:val="006A76D6"/>
    <w:rsid w:val="006B1585"/>
    <w:rsid w:val="006B2C28"/>
    <w:rsid w:val="006B2F16"/>
    <w:rsid w:val="006B35AA"/>
    <w:rsid w:val="006B463B"/>
    <w:rsid w:val="006B6AD8"/>
    <w:rsid w:val="006C575D"/>
    <w:rsid w:val="006C6BE9"/>
    <w:rsid w:val="006D09F6"/>
    <w:rsid w:val="006D5434"/>
    <w:rsid w:val="006E0DDD"/>
    <w:rsid w:val="006E1081"/>
    <w:rsid w:val="006E1F4A"/>
    <w:rsid w:val="006E4707"/>
    <w:rsid w:val="006E4A01"/>
    <w:rsid w:val="006E526D"/>
    <w:rsid w:val="006E6A86"/>
    <w:rsid w:val="006F1A81"/>
    <w:rsid w:val="007018E0"/>
    <w:rsid w:val="007036BB"/>
    <w:rsid w:val="007039A1"/>
    <w:rsid w:val="00704F59"/>
    <w:rsid w:val="007078FD"/>
    <w:rsid w:val="00710F3D"/>
    <w:rsid w:val="00715945"/>
    <w:rsid w:val="00716373"/>
    <w:rsid w:val="00720585"/>
    <w:rsid w:val="007219CD"/>
    <w:rsid w:val="007227AB"/>
    <w:rsid w:val="00722927"/>
    <w:rsid w:val="00723383"/>
    <w:rsid w:val="007305DE"/>
    <w:rsid w:val="00730F21"/>
    <w:rsid w:val="00731063"/>
    <w:rsid w:val="00734173"/>
    <w:rsid w:val="00734C8F"/>
    <w:rsid w:val="00735D39"/>
    <w:rsid w:val="00736238"/>
    <w:rsid w:val="00737505"/>
    <w:rsid w:val="007417EB"/>
    <w:rsid w:val="007434E6"/>
    <w:rsid w:val="007455BA"/>
    <w:rsid w:val="00746F17"/>
    <w:rsid w:val="007518DA"/>
    <w:rsid w:val="00751FA1"/>
    <w:rsid w:val="007548FE"/>
    <w:rsid w:val="00755466"/>
    <w:rsid w:val="00757447"/>
    <w:rsid w:val="007609E0"/>
    <w:rsid w:val="00763046"/>
    <w:rsid w:val="00765971"/>
    <w:rsid w:val="00766082"/>
    <w:rsid w:val="007661F0"/>
    <w:rsid w:val="0076692D"/>
    <w:rsid w:val="00772B11"/>
    <w:rsid w:val="00773AF6"/>
    <w:rsid w:val="00774639"/>
    <w:rsid w:val="00774EC1"/>
    <w:rsid w:val="00775213"/>
    <w:rsid w:val="00780548"/>
    <w:rsid w:val="00781B77"/>
    <w:rsid w:val="007868C2"/>
    <w:rsid w:val="007934BB"/>
    <w:rsid w:val="00795DB8"/>
    <w:rsid w:val="00795F71"/>
    <w:rsid w:val="007961EA"/>
    <w:rsid w:val="007974D6"/>
    <w:rsid w:val="007A13A2"/>
    <w:rsid w:val="007A38FF"/>
    <w:rsid w:val="007B07AA"/>
    <w:rsid w:val="007B431F"/>
    <w:rsid w:val="007B4819"/>
    <w:rsid w:val="007B493A"/>
    <w:rsid w:val="007B50AA"/>
    <w:rsid w:val="007B5D9D"/>
    <w:rsid w:val="007C232F"/>
    <w:rsid w:val="007C3D09"/>
    <w:rsid w:val="007C6BB6"/>
    <w:rsid w:val="007C7E80"/>
    <w:rsid w:val="007D1884"/>
    <w:rsid w:val="007D2873"/>
    <w:rsid w:val="007D4B23"/>
    <w:rsid w:val="007D5FE2"/>
    <w:rsid w:val="007D6EDE"/>
    <w:rsid w:val="007E23B9"/>
    <w:rsid w:val="007E5B3E"/>
    <w:rsid w:val="007E5F7A"/>
    <w:rsid w:val="007E73AB"/>
    <w:rsid w:val="007F0EEE"/>
    <w:rsid w:val="007F24FF"/>
    <w:rsid w:val="007F46D8"/>
    <w:rsid w:val="007F4851"/>
    <w:rsid w:val="007F6218"/>
    <w:rsid w:val="007F7E43"/>
    <w:rsid w:val="007F7FBA"/>
    <w:rsid w:val="0080477C"/>
    <w:rsid w:val="008050D6"/>
    <w:rsid w:val="00810BB7"/>
    <w:rsid w:val="008115C8"/>
    <w:rsid w:val="00813FC1"/>
    <w:rsid w:val="00816C11"/>
    <w:rsid w:val="00817F19"/>
    <w:rsid w:val="00822298"/>
    <w:rsid w:val="00831576"/>
    <w:rsid w:val="008323CD"/>
    <w:rsid w:val="00833117"/>
    <w:rsid w:val="008349AC"/>
    <w:rsid w:val="00835A2D"/>
    <w:rsid w:val="00835C50"/>
    <w:rsid w:val="00840820"/>
    <w:rsid w:val="008423D9"/>
    <w:rsid w:val="008458CB"/>
    <w:rsid w:val="00846771"/>
    <w:rsid w:val="008529A6"/>
    <w:rsid w:val="00854A1F"/>
    <w:rsid w:val="008558CB"/>
    <w:rsid w:val="00874D42"/>
    <w:rsid w:val="00882975"/>
    <w:rsid w:val="0088473F"/>
    <w:rsid w:val="00884BA1"/>
    <w:rsid w:val="00884C12"/>
    <w:rsid w:val="00885258"/>
    <w:rsid w:val="008903A0"/>
    <w:rsid w:val="00893038"/>
    <w:rsid w:val="00894C55"/>
    <w:rsid w:val="0089553B"/>
    <w:rsid w:val="00896D36"/>
    <w:rsid w:val="008A4F8C"/>
    <w:rsid w:val="008A6D9B"/>
    <w:rsid w:val="008B1B0D"/>
    <w:rsid w:val="008B1E02"/>
    <w:rsid w:val="008B3A7B"/>
    <w:rsid w:val="008B40F1"/>
    <w:rsid w:val="008B4E8D"/>
    <w:rsid w:val="008B5D28"/>
    <w:rsid w:val="008B601D"/>
    <w:rsid w:val="008B6DCA"/>
    <w:rsid w:val="008B746D"/>
    <w:rsid w:val="008C1F55"/>
    <w:rsid w:val="008C388B"/>
    <w:rsid w:val="008C5130"/>
    <w:rsid w:val="008C546B"/>
    <w:rsid w:val="008C5B77"/>
    <w:rsid w:val="008C6E99"/>
    <w:rsid w:val="008D0C00"/>
    <w:rsid w:val="008D20A4"/>
    <w:rsid w:val="008D35A5"/>
    <w:rsid w:val="008D4D5B"/>
    <w:rsid w:val="008D6841"/>
    <w:rsid w:val="008D6ED1"/>
    <w:rsid w:val="008E30D5"/>
    <w:rsid w:val="008E3638"/>
    <w:rsid w:val="008E5530"/>
    <w:rsid w:val="008E79A2"/>
    <w:rsid w:val="008F1D5F"/>
    <w:rsid w:val="008F5FD0"/>
    <w:rsid w:val="009006B6"/>
    <w:rsid w:val="00900CEA"/>
    <w:rsid w:val="0090272F"/>
    <w:rsid w:val="00902C7A"/>
    <w:rsid w:val="00904FE0"/>
    <w:rsid w:val="00920A9A"/>
    <w:rsid w:val="00920AFB"/>
    <w:rsid w:val="00920D1F"/>
    <w:rsid w:val="00925414"/>
    <w:rsid w:val="00930221"/>
    <w:rsid w:val="00932FC0"/>
    <w:rsid w:val="00933324"/>
    <w:rsid w:val="00943502"/>
    <w:rsid w:val="009444C9"/>
    <w:rsid w:val="00945B3E"/>
    <w:rsid w:val="00946C96"/>
    <w:rsid w:val="00953461"/>
    <w:rsid w:val="00953CBF"/>
    <w:rsid w:val="00954BE9"/>
    <w:rsid w:val="0095726B"/>
    <w:rsid w:val="00964220"/>
    <w:rsid w:val="00964C21"/>
    <w:rsid w:val="00965C57"/>
    <w:rsid w:val="00966C16"/>
    <w:rsid w:val="00972CF8"/>
    <w:rsid w:val="00980BB0"/>
    <w:rsid w:val="00982657"/>
    <w:rsid w:val="009837EA"/>
    <w:rsid w:val="0098647D"/>
    <w:rsid w:val="0098651D"/>
    <w:rsid w:val="009869E1"/>
    <w:rsid w:val="0099264C"/>
    <w:rsid w:val="00996704"/>
    <w:rsid w:val="00996DC9"/>
    <w:rsid w:val="00997ECD"/>
    <w:rsid w:val="009A043E"/>
    <w:rsid w:val="009A1520"/>
    <w:rsid w:val="009A2654"/>
    <w:rsid w:val="009A59FC"/>
    <w:rsid w:val="009A6978"/>
    <w:rsid w:val="009B5749"/>
    <w:rsid w:val="009B6F44"/>
    <w:rsid w:val="009B79E4"/>
    <w:rsid w:val="009C0F2A"/>
    <w:rsid w:val="009C58C7"/>
    <w:rsid w:val="009C6041"/>
    <w:rsid w:val="009C7419"/>
    <w:rsid w:val="009D0706"/>
    <w:rsid w:val="009D1068"/>
    <w:rsid w:val="009D390C"/>
    <w:rsid w:val="009D6900"/>
    <w:rsid w:val="009D798B"/>
    <w:rsid w:val="009E1E4F"/>
    <w:rsid w:val="009E20E5"/>
    <w:rsid w:val="009E392E"/>
    <w:rsid w:val="009E40A6"/>
    <w:rsid w:val="009E475C"/>
    <w:rsid w:val="009F2DA7"/>
    <w:rsid w:val="009F3149"/>
    <w:rsid w:val="009F344A"/>
    <w:rsid w:val="00A029CF"/>
    <w:rsid w:val="00A055AB"/>
    <w:rsid w:val="00A10FC3"/>
    <w:rsid w:val="00A115D4"/>
    <w:rsid w:val="00A13EB1"/>
    <w:rsid w:val="00A1504D"/>
    <w:rsid w:val="00A17F0F"/>
    <w:rsid w:val="00A20731"/>
    <w:rsid w:val="00A32611"/>
    <w:rsid w:val="00A340AA"/>
    <w:rsid w:val="00A35C90"/>
    <w:rsid w:val="00A429F9"/>
    <w:rsid w:val="00A439BC"/>
    <w:rsid w:val="00A449F0"/>
    <w:rsid w:val="00A45AE8"/>
    <w:rsid w:val="00A45C81"/>
    <w:rsid w:val="00A46EB2"/>
    <w:rsid w:val="00A50D36"/>
    <w:rsid w:val="00A52C20"/>
    <w:rsid w:val="00A549D2"/>
    <w:rsid w:val="00A54A59"/>
    <w:rsid w:val="00A579C8"/>
    <w:rsid w:val="00A6073E"/>
    <w:rsid w:val="00A72231"/>
    <w:rsid w:val="00A72551"/>
    <w:rsid w:val="00A72DA8"/>
    <w:rsid w:val="00A74339"/>
    <w:rsid w:val="00A7589F"/>
    <w:rsid w:val="00A75FC9"/>
    <w:rsid w:val="00A763F8"/>
    <w:rsid w:val="00A80CD2"/>
    <w:rsid w:val="00A85052"/>
    <w:rsid w:val="00A8588A"/>
    <w:rsid w:val="00A9205A"/>
    <w:rsid w:val="00A9393A"/>
    <w:rsid w:val="00A95ED0"/>
    <w:rsid w:val="00A962F8"/>
    <w:rsid w:val="00AA46FE"/>
    <w:rsid w:val="00AA4B29"/>
    <w:rsid w:val="00AB11AC"/>
    <w:rsid w:val="00AB1BF5"/>
    <w:rsid w:val="00AB1E88"/>
    <w:rsid w:val="00AB39EA"/>
    <w:rsid w:val="00AB564F"/>
    <w:rsid w:val="00AB6234"/>
    <w:rsid w:val="00AC087F"/>
    <w:rsid w:val="00AC0D7D"/>
    <w:rsid w:val="00AC0DFE"/>
    <w:rsid w:val="00AC2D7E"/>
    <w:rsid w:val="00AC4631"/>
    <w:rsid w:val="00AC49D3"/>
    <w:rsid w:val="00AC4E32"/>
    <w:rsid w:val="00AC6DB8"/>
    <w:rsid w:val="00AD2188"/>
    <w:rsid w:val="00AD367F"/>
    <w:rsid w:val="00AD3A6D"/>
    <w:rsid w:val="00AD3F01"/>
    <w:rsid w:val="00AD5194"/>
    <w:rsid w:val="00AD60A6"/>
    <w:rsid w:val="00AE0AFD"/>
    <w:rsid w:val="00AE2D7B"/>
    <w:rsid w:val="00AE3EE5"/>
    <w:rsid w:val="00AE5567"/>
    <w:rsid w:val="00AE5FF5"/>
    <w:rsid w:val="00AE760A"/>
    <w:rsid w:val="00AE79CC"/>
    <w:rsid w:val="00AF1239"/>
    <w:rsid w:val="00AF12D2"/>
    <w:rsid w:val="00AF234A"/>
    <w:rsid w:val="00AF3295"/>
    <w:rsid w:val="00AF57D9"/>
    <w:rsid w:val="00AF6363"/>
    <w:rsid w:val="00AF7938"/>
    <w:rsid w:val="00B00EBA"/>
    <w:rsid w:val="00B02174"/>
    <w:rsid w:val="00B0271C"/>
    <w:rsid w:val="00B05972"/>
    <w:rsid w:val="00B065EA"/>
    <w:rsid w:val="00B14EEC"/>
    <w:rsid w:val="00B14F5F"/>
    <w:rsid w:val="00B16199"/>
    <w:rsid w:val="00B16480"/>
    <w:rsid w:val="00B17830"/>
    <w:rsid w:val="00B2165C"/>
    <w:rsid w:val="00B221B3"/>
    <w:rsid w:val="00B233D0"/>
    <w:rsid w:val="00B25A63"/>
    <w:rsid w:val="00B33E30"/>
    <w:rsid w:val="00B363A8"/>
    <w:rsid w:val="00B411C9"/>
    <w:rsid w:val="00B43520"/>
    <w:rsid w:val="00B44FC9"/>
    <w:rsid w:val="00B466F3"/>
    <w:rsid w:val="00B46809"/>
    <w:rsid w:val="00B46A50"/>
    <w:rsid w:val="00B476FC"/>
    <w:rsid w:val="00B51B29"/>
    <w:rsid w:val="00B53D70"/>
    <w:rsid w:val="00B54AAD"/>
    <w:rsid w:val="00B55A62"/>
    <w:rsid w:val="00B57EE5"/>
    <w:rsid w:val="00B611C4"/>
    <w:rsid w:val="00B6470A"/>
    <w:rsid w:val="00B658D7"/>
    <w:rsid w:val="00B7269F"/>
    <w:rsid w:val="00B7394C"/>
    <w:rsid w:val="00B75377"/>
    <w:rsid w:val="00B766A7"/>
    <w:rsid w:val="00B77B5E"/>
    <w:rsid w:val="00B81F84"/>
    <w:rsid w:val="00B822DC"/>
    <w:rsid w:val="00B833D3"/>
    <w:rsid w:val="00B838E7"/>
    <w:rsid w:val="00B9163B"/>
    <w:rsid w:val="00B950C4"/>
    <w:rsid w:val="00B96D5D"/>
    <w:rsid w:val="00BA0BCD"/>
    <w:rsid w:val="00BA20AA"/>
    <w:rsid w:val="00BA359C"/>
    <w:rsid w:val="00BA4601"/>
    <w:rsid w:val="00BA6A04"/>
    <w:rsid w:val="00BB25F4"/>
    <w:rsid w:val="00BB444D"/>
    <w:rsid w:val="00BB6D7E"/>
    <w:rsid w:val="00BC0EF7"/>
    <w:rsid w:val="00BC5EF8"/>
    <w:rsid w:val="00BD0D1F"/>
    <w:rsid w:val="00BD1FD1"/>
    <w:rsid w:val="00BD4425"/>
    <w:rsid w:val="00BD46B8"/>
    <w:rsid w:val="00BD56E3"/>
    <w:rsid w:val="00BE1608"/>
    <w:rsid w:val="00BE1610"/>
    <w:rsid w:val="00BE304D"/>
    <w:rsid w:val="00BE3078"/>
    <w:rsid w:val="00BE521B"/>
    <w:rsid w:val="00BF05A1"/>
    <w:rsid w:val="00BF16B3"/>
    <w:rsid w:val="00BF4506"/>
    <w:rsid w:val="00C0098C"/>
    <w:rsid w:val="00C00D21"/>
    <w:rsid w:val="00C01BB3"/>
    <w:rsid w:val="00C02617"/>
    <w:rsid w:val="00C03359"/>
    <w:rsid w:val="00C05306"/>
    <w:rsid w:val="00C1236C"/>
    <w:rsid w:val="00C1442F"/>
    <w:rsid w:val="00C14E8C"/>
    <w:rsid w:val="00C24950"/>
    <w:rsid w:val="00C25063"/>
    <w:rsid w:val="00C25B49"/>
    <w:rsid w:val="00C31587"/>
    <w:rsid w:val="00C350D5"/>
    <w:rsid w:val="00C40733"/>
    <w:rsid w:val="00C40AFF"/>
    <w:rsid w:val="00C45D3B"/>
    <w:rsid w:val="00C45DB6"/>
    <w:rsid w:val="00C506BA"/>
    <w:rsid w:val="00C529EA"/>
    <w:rsid w:val="00C5351E"/>
    <w:rsid w:val="00C54A5F"/>
    <w:rsid w:val="00C608CC"/>
    <w:rsid w:val="00C64792"/>
    <w:rsid w:val="00C649DD"/>
    <w:rsid w:val="00C66294"/>
    <w:rsid w:val="00C669CC"/>
    <w:rsid w:val="00C74F48"/>
    <w:rsid w:val="00C765D8"/>
    <w:rsid w:val="00C77D2F"/>
    <w:rsid w:val="00C83044"/>
    <w:rsid w:val="00C83792"/>
    <w:rsid w:val="00C83DC0"/>
    <w:rsid w:val="00C85192"/>
    <w:rsid w:val="00C85E63"/>
    <w:rsid w:val="00C90580"/>
    <w:rsid w:val="00C90B71"/>
    <w:rsid w:val="00C92E1E"/>
    <w:rsid w:val="00C9311B"/>
    <w:rsid w:val="00C93F81"/>
    <w:rsid w:val="00C948AC"/>
    <w:rsid w:val="00C95AC4"/>
    <w:rsid w:val="00C96114"/>
    <w:rsid w:val="00CA0258"/>
    <w:rsid w:val="00CA2679"/>
    <w:rsid w:val="00CA3CCA"/>
    <w:rsid w:val="00CA463E"/>
    <w:rsid w:val="00CA47A9"/>
    <w:rsid w:val="00CA5690"/>
    <w:rsid w:val="00CA5CAF"/>
    <w:rsid w:val="00CA695B"/>
    <w:rsid w:val="00CA6F0B"/>
    <w:rsid w:val="00CB08A2"/>
    <w:rsid w:val="00CC0C6F"/>
    <w:rsid w:val="00CC0D2D"/>
    <w:rsid w:val="00CC116C"/>
    <w:rsid w:val="00CC3716"/>
    <w:rsid w:val="00CC3C4B"/>
    <w:rsid w:val="00CC4356"/>
    <w:rsid w:val="00CC4807"/>
    <w:rsid w:val="00CC7955"/>
    <w:rsid w:val="00CD0310"/>
    <w:rsid w:val="00CD2F1A"/>
    <w:rsid w:val="00CD443C"/>
    <w:rsid w:val="00CD7303"/>
    <w:rsid w:val="00CD7796"/>
    <w:rsid w:val="00CE045C"/>
    <w:rsid w:val="00CE274A"/>
    <w:rsid w:val="00CE3829"/>
    <w:rsid w:val="00CE4D1F"/>
    <w:rsid w:val="00CE5569"/>
    <w:rsid w:val="00CE5657"/>
    <w:rsid w:val="00CF3ED0"/>
    <w:rsid w:val="00CF69FA"/>
    <w:rsid w:val="00D00F12"/>
    <w:rsid w:val="00D01724"/>
    <w:rsid w:val="00D022EB"/>
    <w:rsid w:val="00D0241F"/>
    <w:rsid w:val="00D0358C"/>
    <w:rsid w:val="00D06412"/>
    <w:rsid w:val="00D10C71"/>
    <w:rsid w:val="00D12248"/>
    <w:rsid w:val="00D12BC6"/>
    <w:rsid w:val="00D133F8"/>
    <w:rsid w:val="00D136CB"/>
    <w:rsid w:val="00D14A3E"/>
    <w:rsid w:val="00D168D5"/>
    <w:rsid w:val="00D211F9"/>
    <w:rsid w:val="00D21825"/>
    <w:rsid w:val="00D230E4"/>
    <w:rsid w:val="00D250AE"/>
    <w:rsid w:val="00D25945"/>
    <w:rsid w:val="00D27613"/>
    <w:rsid w:val="00D30EE6"/>
    <w:rsid w:val="00D31181"/>
    <w:rsid w:val="00D3243C"/>
    <w:rsid w:val="00D46AA6"/>
    <w:rsid w:val="00D5167C"/>
    <w:rsid w:val="00D523C9"/>
    <w:rsid w:val="00D53D82"/>
    <w:rsid w:val="00D54DE0"/>
    <w:rsid w:val="00D57C25"/>
    <w:rsid w:val="00D62580"/>
    <w:rsid w:val="00D64C02"/>
    <w:rsid w:val="00D64D2B"/>
    <w:rsid w:val="00D64E4F"/>
    <w:rsid w:val="00D650D4"/>
    <w:rsid w:val="00D66751"/>
    <w:rsid w:val="00D67190"/>
    <w:rsid w:val="00D778E1"/>
    <w:rsid w:val="00D810A3"/>
    <w:rsid w:val="00D87B8A"/>
    <w:rsid w:val="00D90B8C"/>
    <w:rsid w:val="00D9233F"/>
    <w:rsid w:val="00D92D42"/>
    <w:rsid w:val="00D9306E"/>
    <w:rsid w:val="00D955CF"/>
    <w:rsid w:val="00D9614F"/>
    <w:rsid w:val="00D96E94"/>
    <w:rsid w:val="00DA433B"/>
    <w:rsid w:val="00DA501E"/>
    <w:rsid w:val="00DA6409"/>
    <w:rsid w:val="00DA64E3"/>
    <w:rsid w:val="00DA66FC"/>
    <w:rsid w:val="00DB145B"/>
    <w:rsid w:val="00DB209A"/>
    <w:rsid w:val="00DB3721"/>
    <w:rsid w:val="00DB6905"/>
    <w:rsid w:val="00DC02B9"/>
    <w:rsid w:val="00DC09D2"/>
    <w:rsid w:val="00DC15D7"/>
    <w:rsid w:val="00DC43DC"/>
    <w:rsid w:val="00DC576D"/>
    <w:rsid w:val="00DC5D42"/>
    <w:rsid w:val="00DD1837"/>
    <w:rsid w:val="00DD3A73"/>
    <w:rsid w:val="00DD43FD"/>
    <w:rsid w:val="00DE0A15"/>
    <w:rsid w:val="00DE0E00"/>
    <w:rsid w:val="00DE15BA"/>
    <w:rsid w:val="00DE4946"/>
    <w:rsid w:val="00DE7813"/>
    <w:rsid w:val="00DF4651"/>
    <w:rsid w:val="00DF6F69"/>
    <w:rsid w:val="00E028F7"/>
    <w:rsid w:val="00E02BB7"/>
    <w:rsid w:val="00E02FE0"/>
    <w:rsid w:val="00E047FE"/>
    <w:rsid w:val="00E07363"/>
    <w:rsid w:val="00E14523"/>
    <w:rsid w:val="00E165FA"/>
    <w:rsid w:val="00E20F99"/>
    <w:rsid w:val="00E21F1A"/>
    <w:rsid w:val="00E22400"/>
    <w:rsid w:val="00E305EA"/>
    <w:rsid w:val="00E3716B"/>
    <w:rsid w:val="00E40CA1"/>
    <w:rsid w:val="00E43165"/>
    <w:rsid w:val="00E43845"/>
    <w:rsid w:val="00E521AA"/>
    <w:rsid w:val="00E5323B"/>
    <w:rsid w:val="00E642D3"/>
    <w:rsid w:val="00E65271"/>
    <w:rsid w:val="00E670C7"/>
    <w:rsid w:val="00E70D8F"/>
    <w:rsid w:val="00E73726"/>
    <w:rsid w:val="00E737DC"/>
    <w:rsid w:val="00E80088"/>
    <w:rsid w:val="00E808D4"/>
    <w:rsid w:val="00E868A2"/>
    <w:rsid w:val="00E8749E"/>
    <w:rsid w:val="00E87B4E"/>
    <w:rsid w:val="00E90C01"/>
    <w:rsid w:val="00E96B40"/>
    <w:rsid w:val="00EA3928"/>
    <w:rsid w:val="00EA3DD2"/>
    <w:rsid w:val="00EA486E"/>
    <w:rsid w:val="00EA5993"/>
    <w:rsid w:val="00EA5DA3"/>
    <w:rsid w:val="00EB016B"/>
    <w:rsid w:val="00EB0E93"/>
    <w:rsid w:val="00EB16FE"/>
    <w:rsid w:val="00EB3CCE"/>
    <w:rsid w:val="00EB4F04"/>
    <w:rsid w:val="00EB5829"/>
    <w:rsid w:val="00EB5892"/>
    <w:rsid w:val="00EC0D4B"/>
    <w:rsid w:val="00EC165C"/>
    <w:rsid w:val="00EC2CBA"/>
    <w:rsid w:val="00EC31F0"/>
    <w:rsid w:val="00ED0FED"/>
    <w:rsid w:val="00ED2183"/>
    <w:rsid w:val="00ED624E"/>
    <w:rsid w:val="00ED657D"/>
    <w:rsid w:val="00ED66A3"/>
    <w:rsid w:val="00ED67D4"/>
    <w:rsid w:val="00EE001B"/>
    <w:rsid w:val="00EE1112"/>
    <w:rsid w:val="00EE16E2"/>
    <w:rsid w:val="00EE6A20"/>
    <w:rsid w:val="00EF38DE"/>
    <w:rsid w:val="00EF6B36"/>
    <w:rsid w:val="00EF6F94"/>
    <w:rsid w:val="00F00127"/>
    <w:rsid w:val="00F00501"/>
    <w:rsid w:val="00F024F4"/>
    <w:rsid w:val="00F032AA"/>
    <w:rsid w:val="00F04763"/>
    <w:rsid w:val="00F048EA"/>
    <w:rsid w:val="00F0607D"/>
    <w:rsid w:val="00F07398"/>
    <w:rsid w:val="00F11B4A"/>
    <w:rsid w:val="00F133EA"/>
    <w:rsid w:val="00F133F3"/>
    <w:rsid w:val="00F1748B"/>
    <w:rsid w:val="00F17999"/>
    <w:rsid w:val="00F21E72"/>
    <w:rsid w:val="00F31411"/>
    <w:rsid w:val="00F3537A"/>
    <w:rsid w:val="00F370D3"/>
    <w:rsid w:val="00F40124"/>
    <w:rsid w:val="00F41711"/>
    <w:rsid w:val="00F433F1"/>
    <w:rsid w:val="00F51883"/>
    <w:rsid w:val="00F57B0C"/>
    <w:rsid w:val="00F62C17"/>
    <w:rsid w:val="00F66A6C"/>
    <w:rsid w:val="00F670B4"/>
    <w:rsid w:val="00F67531"/>
    <w:rsid w:val="00F74210"/>
    <w:rsid w:val="00F777C5"/>
    <w:rsid w:val="00F808B6"/>
    <w:rsid w:val="00F812B0"/>
    <w:rsid w:val="00F83D03"/>
    <w:rsid w:val="00F84157"/>
    <w:rsid w:val="00F92074"/>
    <w:rsid w:val="00F93B40"/>
    <w:rsid w:val="00F94ADA"/>
    <w:rsid w:val="00FA084D"/>
    <w:rsid w:val="00FA0A0D"/>
    <w:rsid w:val="00FA1734"/>
    <w:rsid w:val="00FA70C0"/>
    <w:rsid w:val="00FA70F3"/>
    <w:rsid w:val="00FB1E9B"/>
    <w:rsid w:val="00FB401F"/>
    <w:rsid w:val="00FC1F80"/>
    <w:rsid w:val="00FC7485"/>
    <w:rsid w:val="00FD2E19"/>
    <w:rsid w:val="00FD447E"/>
    <w:rsid w:val="00FD6DF6"/>
    <w:rsid w:val="00FE26B5"/>
    <w:rsid w:val="00FE37ED"/>
    <w:rsid w:val="00FE53ED"/>
    <w:rsid w:val="00FE692E"/>
    <w:rsid w:val="00FE76D2"/>
    <w:rsid w:val="00FF3A4C"/>
    <w:rsid w:val="00FF3DE9"/>
    <w:rsid w:val="00FF760B"/>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8A7A8"/>
  <w15:docId w15:val="{8A112268-7844-461E-A05F-A8E83DFF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3E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iret0">
    <w:name w:val="Tiret 0"/>
    <w:basedOn w:val="Normal"/>
    <w:rsid w:val="007C6BB6"/>
    <w:pPr>
      <w:numPr>
        <w:numId w:val="1"/>
      </w:numPr>
      <w:spacing w:before="120" w:after="120"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3EBB"/>
    <w:rPr>
      <w:rFonts w:ascii="Times New Roman" w:eastAsia="Times New Roman" w:hAnsi="Times New Roman" w:cs="Times New Roman"/>
      <w:b/>
      <w:bCs/>
      <w:sz w:val="27"/>
      <w:szCs w:val="27"/>
      <w:lang w:eastAsia="lv-LV"/>
    </w:rPr>
  </w:style>
  <w:style w:type="paragraph" w:styleId="FootnoteText">
    <w:name w:val="footnote text"/>
    <w:aliases w:val="fn,Geneva 9,Font: Geneva 9,Boston 10,f,ft,Fotnotstext Char,ft Char,single space,FOOTNOTES,ADB,single space1,footnote text1,FOOTNOTES1,fn1,ADB1,single space2,footnote text2,FOOTNOTES2,fn2,ADB2,single space3"/>
    <w:basedOn w:val="Normal"/>
    <w:link w:val="FootnoteTextChar"/>
    <w:uiPriority w:val="99"/>
    <w:unhideWhenUsed/>
    <w:rsid w:val="007078FD"/>
    <w:pPr>
      <w:spacing w:after="0" w:line="240" w:lineRule="auto"/>
    </w:pPr>
    <w:rPr>
      <w:sz w:val="20"/>
      <w:szCs w:val="20"/>
    </w:rPr>
  </w:style>
  <w:style w:type="character" w:customStyle="1" w:styleId="FootnoteTextChar">
    <w:name w:val="Footnote Text Char"/>
    <w:aliases w:val="fn Char1,Geneva 9 Char1,Font: Geneva 9 Char1,Boston 10 Char1,f Char1,ft Char2,Fotnotstext Char Char1,ft Char Char1,single space Char1,FOOTNOTES Char1,ADB Char1,single space1 Char1,footnote text1 Char1,FOOTNOTES1 Char1,fn1 Char1"/>
    <w:basedOn w:val="DefaultParagraphFont"/>
    <w:link w:val="FootnoteText"/>
    <w:uiPriority w:val="99"/>
    <w:semiHidden/>
    <w:rsid w:val="007078FD"/>
    <w:rPr>
      <w:sz w:val="20"/>
      <w:szCs w:val="20"/>
    </w:rPr>
  </w:style>
  <w:style w:type="character" w:styleId="FootnoteReference">
    <w:name w:val="footnote reference"/>
    <w:aliases w:val="SUPERS,Footnote reference number,Footnote symbol,note TESI,-E Fußnotenzeichen,number,Footnote,Footnote Reference Superscript,BVI fnr,Footnote symboFußnotenzeichen,Footnote sign,EN Footnote Reference,Times 10 Point,Exposant 3 Point,fr"/>
    <w:basedOn w:val="DefaultParagraphFont"/>
    <w:uiPriority w:val="99"/>
    <w:semiHidden/>
    <w:unhideWhenUsed/>
    <w:rsid w:val="007078FD"/>
    <w:rPr>
      <w:vertAlign w:val="superscript"/>
    </w:rPr>
  </w:style>
  <w:style w:type="character" w:customStyle="1" w:styleId="FootnoteTextChar1">
    <w:name w:val="Footnote Text Char1"/>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locked/>
    <w:rsid w:val="007D6EDE"/>
    <w:rPr>
      <w:rFonts w:ascii="Times New Roman" w:hAnsi="Times New Roman" w:cs="Times New Roman"/>
      <w:sz w:val="20"/>
      <w:szCs w:val="20"/>
    </w:rPr>
  </w:style>
  <w:style w:type="paragraph" w:styleId="ListParagraph">
    <w:name w:val="List Paragraph"/>
    <w:basedOn w:val="Normal"/>
    <w:uiPriority w:val="34"/>
    <w:qFormat/>
    <w:rsid w:val="0011075E"/>
    <w:pPr>
      <w:ind w:left="720"/>
      <w:contextualSpacing/>
    </w:pPr>
  </w:style>
  <w:style w:type="table" w:styleId="TableGrid">
    <w:name w:val="Table Grid"/>
    <w:basedOn w:val="TableNormal"/>
    <w:uiPriority w:val="39"/>
    <w:rsid w:val="0044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2B9"/>
    <w:rPr>
      <w:sz w:val="16"/>
      <w:szCs w:val="16"/>
    </w:rPr>
  </w:style>
  <w:style w:type="paragraph" w:styleId="CommentText">
    <w:name w:val="annotation text"/>
    <w:basedOn w:val="Normal"/>
    <w:link w:val="CommentTextChar"/>
    <w:uiPriority w:val="99"/>
    <w:semiHidden/>
    <w:unhideWhenUsed/>
    <w:rsid w:val="00DC02B9"/>
    <w:pPr>
      <w:spacing w:line="240" w:lineRule="auto"/>
    </w:pPr>
    <w:rPr>
      <w:sz w:val="20"/>
      <w:szCs w:val="20"/>
    </w:rPr>
  </w:style>
  <w:style w:type="character" w:customStyle="1" w:styleId="CommentTextChar">
    <w:name w:val="Comment Text Char"/>
    <w:basedOn w:val="DefaultParagraphFont"/>
    <w:link w:val="CommentText"/>
    <w:uiPriority w:val="99"/>
    <w:semiHidden/>
    <w:rsid w:val="00DC02B9"/>
    <w:rPr>
      <w:sz w:val="20"/>
      <w:szCs w:val="20"/>
    </w:rPr>
  </w:style>
  <w:style w:type="paragraph" w:styleId="CommentSubject">
    <w:name w:val="annotation subject"/>
    <w:basedOn w:val="CommentText"/>
    <w:next w:val="CommentText"/>
    <w:link w:val="CommentSubjectChar"/>
    <w:uiPriority w:val="99"/>
    <w:semiHidden/>
    <w:unhideWhenUsed/>
    <w:rsid w:val="00DC02B9"/>
    <w:rPr>
      <w:b/>
      <w:bCs/>
    </w:rPr>
  </w:style>
  <w:style w:type="character" w:customStyle="1" w:styleId="CommentSubjectChar">
    <w:name w:val="Comment Subject Char"/>
    <w:basedOn w:val="CommentTextChar"/>
    <w:link w:val="CommentSubject"/>
    <w:uiPriority w:val="99"/>
    <w:semiHidden/>
    <w:rsid w:val="00DC02B9"/>
    <w:rPr>
      <w:b/>
      <w:bCs/>
      <w:sz w:val="20"/>
      <w:szCs w:val="20"/>
    </w:rPr>
  </w:style>
  <w:style w:type="character" w:styleId="Strong">
    <w:name w:val="Strong"/>
    <w:basedOn w:val="DefaultParagraphFont"/>
    <w:uiPriority w:val="22"/>
    <w:qFormat/>
    <w:rsid w:val="00E047FE"/>
    <w:rPr>
      <w:b/>
      <w:bCs/>
    </w:rPr>
  </w:style>
  <w:style w:type="paragraph" w:customStyle="1" w:styleId="naisf">
    <w:name w:val="naisf"/>
    <w:basedOn w:val="Normal"/>
    <w:rsid w:val="0047397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C851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BA4601"/>
    <w:pPr>
      <w:spacing w:before="75" w:after="75" w:line="240" w:lineRule="auto"/>
      <w:jc w:val="center"/>
    </w:pPr>
    <w:rPr>
      <w:rFonts w:ascii="Times New Roman" w:eastAsia="Times New Roman" w:hAnsi="Times New Roman" w:cs="Times New Roman"/>
      <w:sz w:val="24"/>
      <w:szCs w:val="24"/>
      <w:lang w:eastAsia="lv-LV"/>
    </w:rPr>
  </w:style>
  <w:style w:type="character" w:customStyle="1" w:styleId="italic">
    <w:name w:val="italic"/>
    <w:basedOn w:val="DefaultParagraphFont"/>
    <w:rsid w:val="00AB11AC"/>
  </w:style>
  <w:style w:type="paragraph" w:customStyle="1" w:styleId="doc-ti">
    <w:name w:val="doc-ti"/>
    <w:basedOn w:val="Normal"/>
    <w:rsid w:val="00F920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4C054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9050001">
      <w:bodyDiv w:val="1"/>
      <w:marLeft w:val="0"/>
      <w:marRight w:val="0"/>
      <w:marTop w:val="0"/>
      <w:marBottom w:val="0"/>
      <w:divBdr>
        <w:top w:val="none" w:sz="0" w:space="0" w:color="auto"/>
        <w:left w:val="none" w:sz="0" w:space="0" w:color="auto"/>
        <w:bottom w:val="none" w:sz="0" w:space="0" w:color="auto"/>
        <w:right w:val="none" w:sz="0" w:space="0" w:color="auto"/>
      </w:divBdr>
    </w:div>
    <w:div w:id="268590480">
      <w:bodyDiv w:val="1"/>
      <w:marLeft w:val="0"/>
      <w:marRight w:val="0"/>
      <w:marTop w:val="0"/>
      <w:marBottom w:val="0"/>
      <w:divBdr>
        <w:top w:val="none" w:sz="0" w:space="0" w:color="auto"/>
        <w:left w:val="none" w:sz="0" w:space="0" w:color="auto"/>
        <w:bottom w:val="none" w:sz="0" w:space="0" w:color="auto"/>
        <w:right w:val="none" w:sz="0" w:space="0" w:color="auto"/>
      </w:divBdr>
    </w:div>
    <w:div w:id="382144261">
      <w:bodyDiv w:val="1"/>
      <w:marLeft w:val="0"/>
      <w:marRight w:val="0"/>
      <w:marTop w:val="0"/>
      <w:marBottom w:val="0"/>
      <w:divBdr>
        <w:top w:val="none" w:sz="0" w:space="0" w:color="auto"/>
        <w:left w:val="none" w:sz="0" w:space="0" w:color="auto"/>
        <w:bottom w:val="none" w:sz="0" w:space="0" w:color="auto"/>
        <w:right w:val="none" w:sz="0" w:space="0" w:color="auto"/>
      </w:divBdr>
    </w:div>
    <w:div w:id="393286025">
      <w:bodyDiv w:val="1"/>
      <w:marLeft w:val="0"/>
      <w:marRight w:val="0"/>
      <w:marTop w:val="0"/>
      <w:marBottom w:val="0"/>
      <w:divBdr>
        <w:top w:val="none" w:sz="0" w:space="0" w:color="auto"/>
        <w:left w:val="none" w:sz="0" w:space="0" w:color="auto"/>
        <w:bottom w:val="none" w:sz="0" w:space="0" w:color="auto"/>
        <w:right w:val="none" w:sz="0" w:space="0" w:color="auto"/>
      </w:divBdr>
    </w:div>
    <w:div w:id="594094135">
      <w:bodyDiv w:val="1"/>
      <w:marLeft w:val="0"/>
      <w:marRight w:val="0"/>
      <w:marTop w:val="0"/>
      <w:marBottom w:val="0"/>
      <w:divBdr>
        <w:top w:val="none" w:sz="0" w:space="0" w:color="auto"/>
        <w:left w:val="none" w:sz="0" w:space="0" w:color="auto"/>
        <w:bottom w:val="none" w:sz="0" w:space="0" w:color="auto"/>
        <w:right w:val="none" w:sz="0" w:space="0" w:color="auto"/>
      </w:divBdr>
    </w:div>
    <w:div w:id="790593331">
      <w:bodyDiv w:val="1"/>
      <w:marLeft w:val="0"/>
      <w:marRight w:val="0"/>
      <w:marTop w:val="0"/>
      <w:marBottom w:val="0"/>
      <w:divBdr>
        <w:top w:val="none" w:sz="0" w:space="0" w:color="auto"/>
        <w:left w:val="none" w:sz="0" w:space="0" w:color="auto"/>
        <w:bottom w:val="none" w:sz="0" w:space="0" w:color="auto"/>
        <w:right w:val="none" w:sz="0" w:space="0" w:color="auto"/>
      </w:divBdr>
    </w:div>
    <w:div w:id="844435798">
      <w:bodyDiv w:val="1"/>
      <w:marLeft w:val="0"/>
      <w:marRight w:val="0"/>
      <w:marTop w:val="0"/>
      <w:marBottom w:val="0"/>
      <w:divBdr>
        <w:top w:val="none" w:sz="0" w:space="0" w:color="auto"/>
        <w:left w:val="none" w:sz="0" w:space="0" w:color="auto"/>
        <w:bottom w:val="none" w:sz="0" w:space="0" w:color="auto"/>
        <w:right w:val="none" w:sz="0" w:space="0" w:color="auto"/>
      </w:divBdr>
    </w:div>
    <w:div w:id="13453291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2180635">
      <w:bodyDiv w:val="1"/>
      <w:marLeft w:val="0"/>
      <w:marRight w:val="0"/>
      <w:marTop w:val="0"/>
      <w:marBottom w:val="0"/>
      <w:divBdr>
        <w:top w:val="none" w:sz="0" w:space="0" w:color="auto"/>
        <w:left w:val="none" w:sz="0" w:space="0" w:color="auto"/>
        <w:bottom w:val="none" w:sz="0" w:space="0" w:color="auto"/>
        <w:right w:val="none" w:sz="0" w:space="0" w:color="auto"/>
      </w:divBdr>
    </w:div>
    <w:div w:id="1528904345">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
    <w:div w:id="1590845066">
      <w:bodyDiv w:val="1"/>
      <w:marLeft w:val="0"/>
      <w:marRight w:val="0"/>
      <w:marTop w:val="0"/>
      <w:marBottom w:val="0"/>
      <w:divBdr>
        <w:top w:val="none" w:sz="0" w:space="0" w:color="auto"/>
        <w:left w:val="none" w:sz="0" w:space="0" w:color="auto"/>
        <w:bottom w:val="none" w:sz="0" w:space="0" w:color="auto"/>
        <w:right w:val="none" w:sz="0" w:space="0" w:color="auto"/>
      </w:divBdr>
    </w:div>
    <w:div w:id="1745953854">
      <w:bodyDiv w:val="1"/>
      <w:marLeft w:val="0"/>
      <w:marRight w:val="0"/>
      <w:marTop w:val="0"/>
      <w:marBottom w:val="0"/>
      <w:divBdr>
        <w:top w:val="none" w:sz="0" w:space="0" w:color="auto"/>
        <w:left w:val="none" w:sz="0" w:space="0" w:color="auto"/>
        <w:bottom w:val="none" w:sz="0" w:space="0" w:color="auto"/>
        <w:right w:val="none" w:sz="0" w:space="0" w:color="auto"/>
      </w:divBdr>
    </w:div>
    <w:div w:id="1960450934">
      <w:bodyDiv w:val="1"/>
      <w:marLeft w:val="0"/>
      <w:marRight w:val="0"/>
      <w:marTop w:val="0"/>
      <w:marBottom w:val="0"/>
      <w:divBdr>
        <w:top w:val="none" w:sz="0" w:space="0" w:color="auto"/>
        <w:left w:val="none" w:sz="0" w:space="0" w:color="auto"/>
        <w:bottom w:val="none" w:sz="0" w:space="0" w:color="auto"/>
        <w:right w:val="none" w:sz="0" w:space="0" w:color="auto"/>
      </w:divBdr>
    </w:div>
    <w:div w:id="2020112958">
      <w:bodyDiv w:val="1"/>
      <w:marLeft w:val="0"/>
      <w:marRight w:val="0"/>
      <w:marTop w:val="0"/>
      <w:marBottom w:val="0"/>
      <w:divBdr>
        <w:top w:val="none" w:sz="0" w:space="0" w:color="auto"/>
        <w:left w:val="none" w:sz="0" w:space="0" w:color="auto"/>
        <w:bottom w:val="none" w:sz="0" w:space="0" w:color="auto"/>
        <w:right w:val="none" w:sz="0" w:space="0" w:color="auto"/>
      </w:divBdr>
    </w:div>
    <w:div w:id="2047219382">
      <w:bodyDiv w:val="1"/>
      <w:marLeft w:val="0"/>
      <w:marRight w:val="0"/>
      <w:marTop w:val="0"/>
      <w:marBottom w:val="0"/>
      <w:divBdr>
        <w:top w:val="none" w:sz="0" w:space="0" w:color="auto"/>
        <w:left w:val="none" w:sz="0" w:space="0" w:color="auto"/>
        <w:bottom w:val="none" w:sz="0" w:space="0" w:color="auto"/>
        <w:right w:val="none" w:sz="0" w:space="0" w:color="auto"/>
      </w:divBdr>
    </w:div>
    <w:div w:id="2081246280">
      <w:bodyDiv w:val="1"/>
      <w:marLeft w:val="0"/>
      <w:marRight w:val="0"/>
      <w:marTop w:val="0"/>
      <w:marBottom w:val="0"/>
      <w:divBdr>
        <w:top w:val="none" w:sz="0" w:space="0" w:color="auto"/>
        <w:left w:val="none" w:sz="0" w:space="0" w:color="auto"/>
        <w:bottom w:val="none" w:sz="0" w:space="0" w:color="auto"/>
        <w:right w:val="none" w:sz="0" w:space="0" w:color="auto"/>
      </w:divBdr>
    </w:div>
    <w:div w:id="21338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sch.cbd.int/" TargetMode="External"/><Relationship Id="rId13" Type="http://schemas.openxmlformats.org/officeDocument/2006/relationships/hyperlink" Target="https://eur-lex.europa.eu/legal-content/LV/TXT/PDF/?uri=CELEX:32015R1866&amp;from=EN" TargetMode="External"/><Relationship Id="rId18" Type="http://schemas.openxmlformats.org/officeDocument/2006/relationships/hyperlink" Target="http://www.varam.gov.lv/lat/lidzd/pazinojumi_par_lidzdalibas_iesp/?doc=2478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varam.gov.lv/lat/likumdosana/normativo_aktu_projekti/dabas_aizsardzibas_joma/?doc=26261" TargetMode="External"/><Relationship Id="rId7" Type="http://schemas.openxmlformats.org/officeDocument/2006/relationships/endnotes" Target="endnotes.xml"/><Relationship Id="rId12" Type="http://schemas.openxmlformats.org/officeDocument/2006/relationships/hyperlink" Target="https://eur-lex.europa.eu/legal-content/LV/TXT/PDF/?uri=CELEX:32015R1866&amp;from=EN" TargetMode="External"/><Relationship Id="rId17" Type="http://schemas.openxmlformats.org/officeDocument/2006/relationships/hyperlink" Target="http://www.varam.gov.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artao\AppData\Local\Microsoft\Windows\Temporary%20Internet%20Files\Content.Outlook\9B2JD3UU\www.varam.gov.lv" TargetMode="External"/><Relationship Id="rId20" Type="http://schemas.openxmlformats.org/officeDocument/2006/relationships/hyperlink" Target="http://www.varam.gov.lv/lat/likumdosana/normativo_aktu_projekti/dabas_aizsardzibas_joma/?doc=25848"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biodiversity/international/abs/pdf/Question%20and%20answer%20users.pdf" TargetMode="External"/><Relationship Id="rId24" Type="http://schemas.openxmlformats.org/officeDocument/2006/relationships/hyperlink" Target="mailto:Valdimarts.Slaukstins@varam.gov.lv" TargetMode="External"/><Relationship Id="rId5" Type="http://schemas.openxmlformats.org/officeDocument/2006/relationships/webSettings" Target="webSettings.xml"/><Relationship Id="rId15" Type="http://schemas.openxmlformats.org/officeDocument/2006/relationships/hyperlink" Target="https://absch.cbd.int/" TargetMode="External"/><Relationship Id="rId23" Type="http://schemas.openxmlformats.org/officeDocument/2006/relationships/hyperlink" Target="https://www.mk.gov.lv/content/ministru-kabineta-diskusiju-dokumenti" TargetMode="External"/><Relationship Id="rId28" Type="http://schemas.openxmlformats.org/officeDocument/2006/relationships/fontTable" Target="fontTable.xml"/><Relationship Id="rId10" Type="http://schemas.openxmlformats.org/officeDocument/2006/relationships/hyperlink" Target="http://ec.europa.eu/environment/nature/biodiversity/international/abs/pdf/Question%20and%20answer%20users.pdf" TargetMode="External"/><Relationship Id="rId19" Type="http://schemas.openxmlformats.org/officeDocument/2006/relationships/hyperlink" Target="http://www.varam.gov.lv/lat/lidzd/pazinojumi_par_lidzdalibas_iesp/?doc=25849" TargetMode="External"/><Relationship Id="rId4" Type="http://schemas.openxmlformats.org/officeDocument/2006/relationships/settings" Target="settings.xml"/><Relationship Id="rId9" Type="http://schemas.openxmlformats.org/officeDocument/2006/relationships/hyperlink" Target="http://ec.europa.eu/environment/nature/biodiversity/international/abs/pdf/Question%20and%20answer%20users.pdf" TargetMode="External"/><Relationship Id="rId14" Type="http://schemas.openxmlformats.org/officeDocument/2006/relationships/hyperlink" Target="http://ec.europa.eu/environment/nature/biodiversity/international/abs/pdf/Question%20and%20answer%20users.pdf" TargetMode="External"/><Relationship Id="rId22" Type="http://schemas.openxmlformats.org/officeDocument/2006/relationships/hyperlink" Target="http://www.varam.gov.lv/lat/lidzd/pazinojumi_par_lidzdalibas_iesp/?doc=26641"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AUTO/?uri=OJ:L:2013:293:TOC" TargetMode="External"/><Relationship Id="rId13" Type="http://schemas.openxmlformats.org/officeDocument/2006/relationships/hyperlink" Target="http://tap.mk.gov.lv/mk/mksedes/saraksts/protokols/?protokols=2019-02-08" TargetMode="External"/><Relationship Id="rId3" Type="http://schemas.openxmlformats.org/officeDocument/2006/relationships/hyperlink" Target="https://www.cbd.int/abs/text/articles/default.shtml?sec=abs-37" TargetMode="External"/><Relationship Id="rId7" Type="http://schemas.openxmlformats.org/officeDocument/2006/relationships/hyperlink" Target="https://eur-lex.europa.eu/legal-content/LV/TXT/?uri=CELEX:52016XC0827(01)" TargetMode="External"/><Relationship Id="rId12" Type="http://schemas.openxmlformats.org/officeDocument/2006/relationships/hyperlink" Target="http://www.fao.org/plant-treaty/en/" TargetMode="External"/><Relationship Id="rId2" Type="http://schemas.openxmlformats.org/officeDocument/2006/relationships/hyperlink" Target="https://eur-lex.europa.eu/legal-content/LV/TXT/?uri=CELEX:52016XC0827(01)" TargetMode="External"/><Relationship Id="rId1" Type="http://schemas.openxmlformats.org/officeDocument/2006/relationships/hyperlink" Target="https://www.cbd.int/abs/text/default.shtml" TargetMode="External"/><Relationship Id="rId6" Type="http://schemas.openxmlformats.org/officeDocument/2006/relationships/hyperlink" Target="https://eur-lex.europa.eu/legal-content/LV/TXT/?uri=CELEX:52016XC0827(01)" TargetMode="External"/><Relationship Id="rId11" Type="http://schemas.openxmlformats.org/officeDocument/2006/relationships/hyperlink" Target="https://eur-lex.europa.eu/legal-content/LV/TXT/?uri=CELEX:52016XC0827(01)" TargetMode="External"/><Relationship Id="rId5" Type="http://schemas.openxmlformats.org/officeDocument/2006/relationships/hyperlink" Target="https://eur-lex.europa.eu/legal-content/LV/TXT/?uri=CELEX:52016XC0827(01)" TargetMode="External"/><Relationship Id="rId10" Type="http://schemas.openxmlformats.org/officeDocument/2006/relationships/hyperlink" Target="https://www.lvafa.gov.lv/materiali/petijumi/195-multisektorialie-projekti/pms2017/230-izvertejums-par-biologiskas-daudzveidibas-konvencijas-nagojas-protokola-ratificesanu" TargetMode="External"/><Relationship Id="rId4" Type="http://schemas.openxmlformats.org/officeDocument/2006/relationships/hyperlink" Target="https://eur-lex.europa.eu/legal-content/LV/TXT/?uri=CELEX:52016XC0827(01)" TargetMode="External"/><Relationship Id="rId9" Type="http://schemas.openxmlformats.org/officeDocument/2006/relationships/hyperlink" Target="https://eur-lex.europa.eu/legal-content/LV/TXT/?uri=CELEX:52016XC082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0661D"/>
    <w:rsid w:val="00057C8B"/>
    <w:rsid w:val="00084514"/>
    <w:rsid w:val="000953B1"/>
    <w:rsid w:val="000A637B"/>
    <w:rsid w:val="000E25A9"/>
    <w:rsid w:val="000F16BA"/>
    <w:rsid w:val="001B7FC0"/>
    <w:rsid w:val="00212CB0"/>
    <w:rsid w:val="0027455F"/>
    <w:rsid w:val="002A5A53"/>
    <w:rsid w:val="002D21EB"/>
    <w:rsid w:val="002E70CE"/>
    <w:rsid w:val="00344186"/>
    <w:rsid w:val="00394971"/>
    <w:rsid w:val="003950BC"/>
    <w:rsid w:val="003E738D"/>
    <w:rsid w:val="00430D2F"/>
    <w:rsid w:val="004471AA"/>
    <w:rsid w:val="00472F39"/>
    <w:rsid w:val="004B00E6"/>
    <w:rsid w:val="005162E2"/>
    <w:rsid w:val="00523A63"/>
    <w:rsid w:val="00633D04"/>
    <w:rsid w:val="00652926"/>
    <w:rsid w:val="00763557"/>
    <w:rsid w:val="007801F4"/>
    <w:rsid w:val="007D6B8D"/>
    <w:rsid w:val="007F7C1A"/>
    <w:rsid w:val="008439C3"/>
    <w:rsid w:val="008601ED"/>
    <w:rsid w:val="0089104E"/>
    <w:rsid w:val="008A7E44"/>
    <w:rsid w:val="008B623B"/>
    <w:rsid w:val="008D39C9"/>
    <w:rsid w:val="008D7A16"/>
    <w:rsid w:val="00915C39"/>
    <w:rsid w:val="009C1B4C"/>
    <w:rsid w:val="00AC2394"/>
    <w:rsid w:val="00AD4A2F"/>
    <w:rsid w:val="00AE4258"/>
    <w:rsid w:val="00B3767C"/>
    <w:rsid w:val="00B7044D"/>
    <w:rsid w:val="00B92F31"/>
    <w:rsid w:val="00C00671"/>
    <w:rsid w:val="00CF5B50"/>
    <w:rsid w:val="00D830C7"/>
    <w:rsid w:val="00E16113"/>
    <w:rsid w:val="00E86FF4"/>
    <w:rsid w:val="00EE49F8"/>
    <w:rsid w:val="00F90A62"/>
    <w:rsid w:val="00F90FED"/>
    <w:rsid w:val="00F95F73"/>
    <w:rsid w:val="00FF5A7C"/>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258"/>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DFDAC551F1104B1EAF5DC51F08819DB9">
    <w:name w:val="DFDAC551F1104B1EAF5DC51F08819DB9"/>
    <w:rsid w:val="00AE4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A929-9225-47EA-A243-B685BEDC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7574</Words>
  <Characters>43175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Likumprojekta “Ģenētikso resursu izmantošanas likums” sākotnējās ietekmes novērtējuma ziņojums (anotācija)</vt:lpstr>
    </vt:vector>
  </TitlesOfParts>
  <Company>VARAM Dabas aizsardzības departaments</Company>
  <LinksUpToDate>false</LinksUpToDate>
  <CharactersWithSpaces>50648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“Ģenētikso resursu izmantošanas likums” sākotnējās ietekmes novērtējuma ziņojums (anotācija)</dc:title>
  <dc:subject>Anotācija</dc:subject>
  <dc:creator>Valdimārts Šļaukstiņš</dc:creator>
  <dc:description>67026523, valdimarts.slaukstins@varam.gov.lv</dc:description>
  <cp:lastModifiedBy>Marta Ošleja</cp:lastModifiedBy>
  <cp:revision>7</cp:revision>
  <dcterms:created xsi:type="dcterms:W3CDTF">2019-06-18T11:29:00Z</dcterms:created>
  <dcterms:modified xsi:type="dcterms:W3CDTF">2019-06-20T15:22:00Z</dcterms:modified>
</cp:coreProperties>
</file>