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B584" w14:textId="591B6524" w:rsidR="002D6C57" w:rsidRPr="00E2066B" w:rsidRDefault="002D6C57" w:rsidP="00A808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040DE4" w14:textId="48637A66" w:rsidR="00A808DD" w:rsidRDefault="00A808DD" w:rsidP="00A808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5B6EC0" w14:textId="77777777" w:rsidR="00845C9D" w:rsidRPr="00E2066B" w:rsidRDefault="00845C9D" w:rsidP="00A808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A7A3FB" w14:textId="77777777" w:rsidR="00A808DD" w:rsidRPr="00E2066B" w:rsidRDefault="00A808DD" w:rsidP="00A808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2EACEA" w14:textId="55F08B2C" w:rsidR="00A808DD" w:rsidRPr="00E2066B" w:rsidRDefault="00A808DD" w:rsidP="00A808D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6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FE3F6C">
        <w:rPr>
          <w:rFonts w:ascii="Times New Roman" w:hAnsi="Times New Roman" w:cs="Times New Roman"/>
          <w:sz w:val="28"/>
          <w:szCs w:val="28"/>
        </w:rPr>
        <w:t>2. jūlijā</w:t>
      </w:r>
      <w:r w:rsidRPr="00E2066B">
        <w:rPr>
          <w:rFonts w:ascii="Times New Roman" w:hAnsi="Times New Roman" w:cs="Times New Roman"/>
          <w:sz w:val="28"/>
          <w:szCs w:val="28"/>
        </w:rPr>
        <w:tab/>
        <w:t>Noteikumi Nr.</w:t>
      </w:r>
      <w:r w:rsidR="00FE3F6C">
        <w:rPr>
          <w:rFonts w:ascii="Times New Roman" w:hAnsi="Times New Roman" w:cs="Times New Roman"/>
          <w:sz w:val="28"/>
          <w:szCs w:val="28"/>
        </w:rPr>
        <w:t> 294</w:t>
      </w:r>
    </w:p>
    <w:p w14:paraId="0CAC4A4D" w14:textId="68E01601" w:rsidR="00A808DD" w:rsidRPr="00E2066B" w:rsidRDefault="00A808DD" w:rsidP="00A808D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6B">
        <w:rPr>
          <w:rFonts w:ascii="Times New Roman" w:hAnsi="Times New Roman" w:cs="Times New Roman"/>
          <w:sz w:val="28"/>
          <w:szCs w:val="28"/>
        </w:rPr>
        <w:t>Rīgā</w:t>
      </w:r>
      <w:r w:rsidRPr="00E2066B">
        <w:rPr>
          <w:rFonts w:ascii="Times New Roman" w:hAnsi="Times New Roman" w:cs="Times New Roman"/>
          <w:sz w:val="28"/>
          <w:szCs w:val="28"/>
        </w:rPr>
        <w:tab/>
        <w:t>(prot. Nr. </w:t>
      </w:r>
      <w:r w:rsidR="00FE3F6C">
        <w:rPr>
          <w:rFonts w:ascii="Times New Roman" w:hAnsi="Times New Roman" w:cs="Times New Roman"/>
          <w:sz w:val="28"/>
          <w:szCs w:val="28"/>
        </w:rPr>
        <w:t>31</w:t>
      </w:r>
      <w:r w:rsidRPr="00E2066B">
        <w:rPr>
          <w:rFonts w:ascii="Times New Roman" w:hAnsi="Times New Roman" w:cs="Times New Roman"/>
          <w:sz w:val="28"/>
          <w:szCs w:val="28"/>
        </w:rPr>
        <w:t> </w:t>
      </w:r>
      <w:r w:rsidR="00FE3F6C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E2066B">
        <w:rPr>
          <w:rFonts w:ascii="Times New Roman" w:hAnsi="Times New Roman" w:cs="Times New Roman"/>
          <w:sz w:val="28"/>
          <w:szCs w:val="28"/>
        </w:rPr>
        <w:t>. §)</w:t>
      </w:r>
    </w:p>
    <w:p w14:paraId="2E7EE8E5" w14:textId="27B96A45" w:rsidR="002D6C57" w:rsidRPr="00E2066B" w:rsidRDefault="002D6C57" w:rsidP="00A808D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49061D2" w14:textId="0DBE8455" w:rsidR="002D6C57" w:rsidRPr="00E2066B" w:rsidRDefault="002D6C57" w:rsidP="00A80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2014. gada 7. janvāra noteikumos Nr. 16 </w:t>
      </w:r>
      <w:r w:rsidR="00A808DD" w:rsidRPr="00E206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206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Trokšņa novērtēšanas un pārvaldības kārtība</w:t>
      </w:r>
      <w:r w:rsidR="00A808DD" w:rsidRPr="00E206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5EFADA8" w14:textId="77777777" w:rsidR="00B571FA" w:rsidRPr="00E2066B" w:rsidRDefault="00B571FA" w:rsidP="00B67A9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78EF59" w14:textId="77777777" w:rsidR="00B825CA" w:rsidRPr="00E2066B" w:rsidRDefault="002D6C57" w:rsidP="00A808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likuma </w:t>
      </w:r>
    </w:p>
    <w:p w14:paraId="4ED80FA6" w14:textId="42284E35" w:rsidR="00B571FA" w:rsidRPr="00E2066B" w:rsidRDefault="00A808DD" w:rsidP="00A808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6C57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Par piesārņojumu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205A0F5" w14:textId="51DD2F3E" w:rsidR="002D6C57" w:rsidRPr="00E2066B" w:rsidRDefault="002D6C57" w:rsidP="00A808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18.</w:t>
      </w:r>
      <w:r w:rsidRPr="00E20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</w:t>
      </w:r>
    </w:p>
    <w:p w14:paraId="5CFCD7E1" w14:textId="77777777" w:rsidR="002D6C57" w:rsidRPr="00E2066B" w:rsidRDefault="002D6C57" w:rsidP="00B67A9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F2BCC2" w14:textId="1E98C413" w:rsidR="002D6C57" w:rsidRPr="00E2066B" w:rsidRDefault="002D6C57" w:rsidP="00A808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Izdarīt Ministru kabineta 2014. gada 7. janvāra noteikumos Nr. 16 </w:t>
      </w:r>
      <w:r w:rsidR="00A808DD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Trokšņa novērtēšanas un pārvaldības kārtība</w:t>
      </w:r>
      <w:r w:rsidR="00A808DD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(Latvijas Vēstnesis, 2014, 16. nr.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2015, 193. nr.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2017, 254. nr.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2018, 157. nr</w:t>
      </w:r>
      <w:r w:rsidR="00EF6EC6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) šādus grozījumus:</w:t>
      </w:r>
    </w:p>
    <w:p w14:paraId="5463C1D7" w14:textId="77777777" w:rsidR="00A808DD" w:rsidRPr="00E2066B" w:rsidRDefault="00A808DD" w:rsidP="00A808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405F80" w14:textId="2AD49EEB" w:rsidR="002D6C57" w:rsidRPr="00E2066B" w:rsidRDefault="00B67A97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2D6C5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Svītrot 6.5. apakšpunktu</w:t>
      </w:r>
      <w:r w:rsidR="0013486B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DBC8A7" w14:textId="77777777" w:rsidR="00A808DD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D27FA6" w14:textId="14813751" w:rsidR="002A6E28" w:rsidRPr="00E2066B" w:rsidRDefault="00B67A97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2A6E2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Izteikt 7. punktu šādā redakcijā:</w:t>
      </w:r>
    </w:p>
    <w:p w14:paraId="3F77F595" w14:textId="77777777" w:rsidR="00A808DD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03E6BF" w14:textId="736BE510" w:rsidR="002A6E28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2A6E2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350A9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Vides trokšņa rādītāju piemērošanas kārtība un novērtēšanas metodes norādītas šo noteikumu 1. pielikumā. Vides trokšņa robežlielumi un to novērtēšanas nosacījumi norādīti šo noteikumu 2. pielikumā.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6E2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Vides trokšņa emisijas (ievades datu) mērījumiem izmanto metodes, kas nodrošina, ka iegūtie dati ir ticami, reprezentatīvi un salīdzināmi. Ja izmantotās metodes atbilst piemērojamo standartu prasībām, tās uzskatām</w:t>
      </w:r>
      <w:r w:rsidR="00E0185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2A6E2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s par atbilstošām šajos noteikumos minēto prasību izpildei</w:t>
      </w:r>
      <w:r w:rsidR="002A7113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</w:p>
    <w:p w14:paraId="620426F4" w14:textId="77777777" w:rsidR="00A808DD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5DDBA" w14:textId="673D0F36" w:rsidR="00AB3FF9" w:rsidRPr="00E2066B" w:rsidRDefault="00B67A97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AB3FF9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 Papildināt noteikumus ar 7</w:t>
      </w:r>
      <w:r w:rsidR="006D34D5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B3FF9" w:rsidRPr="00E20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2B5675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 7.</w:t>
      </w:r>
      <w:r w:rsidR="002B5675" w:rsidRPr="00E20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E20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 </w:t>
      </w:r>
      <w:r w:rsidR="00AB3FF9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punktu šādā redakcijā:</w:t>
      </w:r>
    </w:p>
    <w:p w14:paraId="50D76E5A" w14:textId="77777777" w:rsidR="00A808DD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A2F06D" w14:textId="44D91631" w:rsidR="00625524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404CED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83049C" w:rsidRPr="00E20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B3FF9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Vides aizsardzības un reģionālās attīstības ministrija sadarbībā ar attiecīgo standartu tehnisko komiteju iesaka nacionālajai standartizācijas institūcijai saistībā ar šiem noteikumiem izstrādājamo, adaptējamo un piemērojamo standartu sarakstu</w:t>
      </w:r>
      <w:r w:rsidR="00731335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un nacionālā standartizācijas institūcija publicē savā tīmekļvietnē to Latvijas nacionālo standartu sarakstu, kurus piemēro šo noteikumu prasību izpildei (turpmāk </w:t>
      </w:r>
      <w:r w:rsidR="00B67A9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31335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piemērojamie standarti)</w:t>
      </w:r>
      <w:r w:rsidR="00011561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6B72036" w14:textId="77777777" w:rsidR="00B67A97" w:rsidRPr="00E2066B" w:rsidRDefault="00B67A97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D3832E" w14:textId="24D52B60" w:rsidR="00760F47" w:rsidRPr="00E2066B" w:rsidRDefault="00625524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83049C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304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83049C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F5578" w:rsidRP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>Izstrādājot</w:t>
      </w:r>
      <w:r w:rsid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rokšņa stratēģisk</w:t>
      </w:r>
      <w:r w:rsid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>ās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kar</w:t>
      </w:r>
      <w:r w:rsid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>tes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413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un rīcības plānu</w:t>
      </w:r>
      <w:r w:rsid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9E2413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autoceļam, dzelzceļa līnijai, lidosta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vai aglomerācijai</w:t>
      </w:r>
      <w:r w:rsid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0F4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vides trokšņa rādītāju novērtēšanai izmanto </w:t>
      </w:r>
      <w:r w:rsidR="000551E8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šo noteikumu 5. pielikumā </w:t>
      </w:r>
      <w:r w:rsidR="005F5578" w:rsidRPr="005F5578">
        <w:rPr>
          <w:rFonts w:ascii="Times New Roman" w:eastAsia="Times New Roman" w:hAnsi="Times New Roman" w:cs="Times New Roman"/>
          <w:sz w:val="28"/>
          <w:szCs w:val="28"/>
          <w:lang w:eastAsia="ar-SA"/>
        </w:rPr>
        <w:t>norādī</w:t>
      </w:r>
      <w:r w:rsidR="00760F4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tās aprēķinu metodes</w:t>
      </w:r>
      <w:r w:rsidR="00275C8E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808DD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</w:p>
    <w:p w14:paraId="49DAADA0" w14:textId="77777777" w:rsidR="00B67A97" w:rsidRPr="00E2066B" w:rsidRDefault="00B67A97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9CA99D" w14:textId="0D461B0B" w:rsidR="002D6C57" w:rsidRPr="005F5578" w:rsidRDefault="0026471C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F55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B3201" w:rsidRPr="005F55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6B5A22" w:rsidRPr="005F55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Izteikt informatīvo atsauci</w:t>
      </w:r>
      <w:r w:rsidR="00C96A90" w:rsidRPr="005F55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uz Eiropas Savienības direktīv</w:t>
      </w:r>
      <w:r w:rsidR="005F5578" w:rsidRPr="005F55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u</w:t>
      </w:r>
      <w:r w:rsidR="006B5A22" w:rsidRPr="005F55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šādā redakcijā:</w:t>
      </w:r>
    </w:p>
    <w:p w14:paraId="5C749A15" w14:textId="77777777" w:rsidR="00A808DD" w:rsidRPr="00E2066B" w:rsidRDefault="00A808DD" w:rsidP="00B67A97">
      <w:pPr>
        <w:pStyle w:val="tvhtml"/>
        <w:spacing w:before="0" w:beforeAutospacing="0" w:after="0" w:afterAutospacing="0"/>
        <w:ind w:firstLine="709"/>
        <w:rPr>
          <w:sz w:val="28"/>
          <w:szCs w:val="28"/>
        </w:rPr>
      </w:pPr>
    </w:p>
    <w:p w14:paraId="7A23A61A" w14:textId="13420D78" w:rsidR="002D6C57" w:rsidRPr="00E2066B" w:rsidRDefault="00A808DD" w:rsidP="00B6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2D6C57" w:rsidRPr="00E206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Informatīva atsauce uz Eiropas Savienības direktīvām</w:t>
      </w:r>
    </w:p>
    <w:p w14:paraId="680B7AA6" w14:textId="77777777" w:rsidR="00A808DD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A82AE2" w14:textId="77777777" w:rsidR="002D6C57" w:rsidRPr="00E2066B" w:rsidRDefault="002D6C57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Noteikumos iekļautas tiesību normas, kas izriet no:</w:t>
      </w:r>
    </w:p>
    <w:p w14:paraId="0281E843" w14:textId="1DA8B887" w:rsidR="002D6C57" w:rsidRPr="00E2066B" w:rsidRDefault="003B3201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2D6C5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Eiropas Parlamenta un Padomes 2002. gada 25. jūnija Direktīvas 2002/4</w:t>
      </w:r>
      <w:r w:rsidR="003B7DAF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D6C57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/EK par vides trokšņa novērtēšanu un pārvaldību;</w:t>
      </w:r>
    </w:p>
    <w:p w14:paraId="248F6E96" w14:textId="79C0E8CA" w:rsidR="00D71DDC" w:rsidRPr="00E2066B" w:rsidRDefault="003B3201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2) </w:t>
      </w:r>
      <w:r w:rsidR="00D71DDC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Komisijas 2015. gada 19. maija Direktīvas (ES) 2015/996, ar ko nosaka kopīgas trokšņa novērtēšanas metodes saskaņā ar Eiropas Parlamenta un Padomes Direktīvu 200</w:t>
      </w:r>
      <w:r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71DDC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/49/EK.</w:t>
      </w:r>
      <w:r w:rsidR="002A7113" w:rsidRPr="00E2066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</w:p>
    <w:p w14:paraId="6B2BD520" w14:textId="77777777" w:rsidR="00A808DD" w:rsidRPr="00E2066B" w:rsidRDefault="00A808DD" w:rsidP="00A808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36A3A2" w14:textId="7DACD9C8" w:rsidR="002D6C57" w:rsidRPr="00E2066B" w:rsidRDefault="0026471C" w:rsidP="00A808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B3201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6C57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1. pielikuma 3.</w:t>
      </w:r>
      <w:r w:rsidR="00245C39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2D6C57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245C39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</w:t>
      </w:r>
      <w:r w:rsidR="00CD207B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BD42B22" w14:textId="77777777" w:rsidR="00A808DD" w:rsidRPr="00E2066B" w:rsidRDefault="00A808DD" w:rsidP="00A808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A171C4" w14:textId="0FA0862D" w:rsidR="00B825CA" w:rsidRPr="00E2066B" w:rsidRDefault="0026471C" w:rsidP="00A808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67A97" w:rsidRPr="00E2066B">
        <w:rPr>
          <w:rFonts w:ascii="Times New Roman" w:hAnsi="Times New Roman" w:cs="Times New Roman"/>
          <w:sz w:val="28"/>
          <w:szCs w:val="28"/>
        </w:rPr>
        <w:t>. </w:t>
      </w:r>
      <w:r w:rsidR="00085487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1. pielikuma 6.</w:t>
      </w:r>
      <w:r w:rsidR="009C75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7.</w:t>
      </w:r>
      <w:r w:rsidR="00085487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</w:t>
      </w:r>
      <w:r w:rsidR="00B825CA" w:rsidRPr="00E2066B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redakcijā:</w:t>
      </w:r>
    </w:p>
    <w:p w14:paraId="250CCC7C" w14:textId="77777777" w:rsidR="00A808DD" w:rsidRPr="00E2066B" w:rsidRDefault="00A808DD" w:rsidP="00A808DD">
      <w:pPr>
        <w:pStyle w:val="tvhtml"/>
        <w:spacing w:before="0" w:beforeAutospacing="0" w:after="0" w:afterAutospacing="0"/>
        <w:ind w:firstLine="709"/>
        <w:rPr>
          <w:sz w:val="28"/>
          <w:szCs w:val="28"/>
        </w:rPr>
      </w:pPr>
    </w:p>
    <w:p w14:paraId="6B4BF46F" w14:textId="0CFBDE12" w:rsidR="00B825CA" w:rsidRPr="00E2066B" w:rsidRDefault="00A808DD" w:rsidP="00A808DD">
      <w:pPr>
        <w:pStyle w:val="tvhtml"/>
        <w:spacing w:before="0" w:beforeAutospacing="0" w:after="0" w:afterAutospacing="0"/>
        <w:ind w:firstLine="709"/>
        <w:rPr>
          <w:sz w:val="28"/>
          <w:szCs w:val="28"/>
        </w:rPr>
      </w:pPr>
      <w:r w:rsidRPr="00E2066B">
        <w:rPr>
          <w:sz w:val="28"/>
          <w:szCs w:val="28"/>
        </w:rPr>
        <w:t>"</w:t>
      </w:r>
      <w:r w:rsidR="00B825CA" w:rsidRPr="00E2066B">
        <w:rPr>
          <w:sz w:val="28"/>
          <w:szCs w:val="28"/>
        </w:rPr>
        <w:t>6</w:t>
      </w:r>
      <w:r w:rsidR="00B67A97" w:rsidRPr="00E2066B">
        <w:rPr>
          <w:sz w:val="28"/>
          <w:szCs w:val="28"/>
        </w:rPr>
        <w:t>. </w:t>
      </w:r>
      <w:r w:rsidR="00B825CA" w:rsidRPr="00E2066B">
        <w:rPr>
          <w:sz w:val="28"/>
          <w:szCs w:val="28"/>
        </w:rPr>
        <w:t>Lai novērtētu vides trokšņa rādītājus, izmanto šādas aprēķinu metodes:</w:t>
      </w:r>
    </w:p>
    <w:p w14:paraId="3583195A" w14:textId="77777777" w:rsidR="00B67A97" w:rsidRPr="00E2066B" w:rsidRDefault="00B67A97" w:rsidP="00A808DD">
      <w:pPr>
        <w:pStyle w:val="tvhtml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4572"/>
        <w:gridCol w:w="3849"/>
      </w:tblGrid>
      <w:tr w:rsidR="00E2066B" w:rsidRPr="00E2066B" w14:paraId="12D0845A" w14:textId="77777777" w:rsidTr="009604A5">
        <w:tc>
          <w:tcPr>
            <w:tcW w:w="348" w:type="pct"/>
            <w:vAlign w:val="center"/>
            <w:hideMark/>
          </w:tcPr>
          <w:p w14:paraId="5BED3F42" w14:textId="3BF2FFEF" w:rsidR="00B825CA" w:rsidRPr="00E2066B" w:rsidRDefault="00B825CA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B5F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90" w:type="pct"/>
            <w:vAlign w:val="center"/>
            <w:hideMark/>
          </w:tcPr>
          <w:p w14:paraId="37A0A769" w14:textId="77777777" w:rsidR="00B825CA" w:rsidRPr="00E2066B" w:rsidRDefault="00B825CA" w:rsidP="0053716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Metodes nosaukums</w:t>
            </w:r>
          </w:p>
        </w:tc>
        <w:tc>
          <w:tcPr>
            <w:tcW w:w="2096" w:type="pct"/>
            <w:vAlign w:val="center"/>
            <w:hideMark/>
          </w:tcPr>
          <w:p w14:paraId="29433838" w14:textId="5FFA09AC" w:rsidR="00B825CA" w:rsidRPr="00E2066B" w:rsidRDefault="00B825CA" w:rsidP="0053716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Norādījumi un ierobežojumi </w:t>
            </w:r>
            <w:r w:rsidR="0029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metodes lietošanā</w:t>
            </w:r>
          </w:p>
        </w:tc>
      </w:tr>
      <w:tr w:rsidR="00E2066B" w:rsidRPr="00E2066B" w14:paraId="04E39A40" w14:textId="77777777" w:rsidTr="009604A5">
        <w:tc>
          <w:tcPr>
            <w:tcW w:w="348" w:type="pct"/>
            <w:hideMark/>
          </w:tcPr>
          <w:p w14:paraId="64723986" w14:textId="77777777" w:rsidR="00B825CA" w:rsidRPr="00E2066B" w:rsidRDefault="00B825CA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2490" w:type="pct"/>
            <w:hideMark/>
          </w:tcPr>
          <w:p w14:paraId="0D15B8CD" w14:textId="09A288A5" w:rsidR="00B825CA" w:rsidRPr="00537164" w:rsidRDefault="00537164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</w:pPr>
            <w:r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Ministru kabineta 2014</w:t>
            </w:r>
            <w:r w:rsidR="005B5F1C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. </w:t>
            </w:r>
            <w:r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gada 7</w:t>
            </w:r>
            <w:r w:rsidR="005B5F1C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. </w:t>
            </w:r>
            <w:r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janvāra noteikumu Nr</w:t>
            </w:r>
            <w:r w:rsidR="005B5F1C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. </w:t>
            </w:r>
            <w:r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16 "Trokšņa novērtēšanas un pārvaldības kārtība"</w:t>
            </w:r>
            <w:r w:rsidR="00290927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5. pielikuma 2.1. sadaļ</w:t>
            </w:r>
            <w:r w:rsidR="00290927"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ā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Vispārīgi noteikumi </w:t>
            </w:r>
            <w:r w:rsidR="00F10DCF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–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ceļu satiksmes, sliežu ceļu un rūpnieciskais troksnis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, 2.4. sadaļ</w:t>
            </w:r>
            <w:r w:rsidR="00290927"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ā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Rūpnieciskais troksnis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, 2.5. sadaļ</w:t>
            </w:r>
            <w:r w:rsidR="00290927"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ā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Aprēķins: trokšņa izplatīšanās no ceļu satiksmes, sliežu ceļu satiksmes un rūpnieciskajiem avotiem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attiecībā uz rūpnieciskajiem avotiem un 2.8. sadaļ</w:t>
            </w:r>
            <w:r w:rsidR="00290927" w:rsidRPr="00537164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ā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B825CA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Trokšņa līmeņi un iedzīvotāju skaits ēkās</w:t>
            </w:r>
            <w:r w:rsidR="00A808DD" w:rsidRPr="00E2066B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"</w:t>
            </w:r>
            <w:r w:rsidR="00290927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 xml:space="preserve"> </w:t>
            </w:r>
            <w:r w:rsidR="00290927" w:rsidRPr="00290927">
              <w:rPr>
                <w:rFonts w:ascii="Times New Roman" w:eastAsia="Times New Roman" w:hAnsi="Times New Roman" w:cs="EUAlbertina"/>
                <w:sz w:val="24"/>
                <w:szCs w:val="24"/>
                <w:lang w:eastAsia="lv-LV"/>
              </w:rPr>
              <w:t>norādītās metodes</w:t>
            </w:r>
          </w:p>
        </w:tc>
        <w:tc>
          <w:tcPr>
            <w:tcW w:w="2096" w:type="pct"/>
            <w:hideMark/>
          </w:tcPr>
          <w:p w14:paraId="155F5243" w14:textId="77777777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rūpnieciskās darbības radītā trokšņa novērtēšanai</w:t>
            </w:r>
          </w:p>
        </w:tc>
      </w:tr>
      <w:tr w:rsidR="00E2066B" w:rsidRPr="00E2066B" w14:paraId="103479A0" w14:textId="77777777" w:rsidTr="009604A5">
        <w:tc>
          <w:tcPr>
            <w:tcW w:w="348" w:type="pct"/>
            <w:hideMark/>
          </w:tcPr>
          <w:p w14:paraId="3A727CB4" w14:textId="77777777" w:rsidR="00B825CA" w:rsidRPr="00E2066B" w:rsidRDefault="00B825CA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2490" w:type="pct"/>
            <w:hideMark/>
          </w:tcPr>
          <w:p w14:paraId="5526E30D" w14:textId="093A994B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Metode ECAC.CEAC Doc. 29 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metode trokšņa kontūru aprēķināšanai ap civilajām lidostām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Report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Standard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Method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Computing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Noise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Contours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around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Airports</w:t>
            </w:r>
            <w:proofErr w:type="spellEnd"/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1997</w:t>
            </w:r>
          </w:p>
        </w:tc>
        <w:tc>
          <w:tcPr>
            <w:tcW w:w="2096" w:type="pct"/>
            <w:hideMark/>
          </w:tcPr>
          <w:p w14:paraId="4015FD70" w14:textId="77777777" w:rsidR="005B5F1C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gaisakuģu radītā trokšņa novērtēšanai.</w:t>
            </w:r>
          </w:p>
          <w:p w14:paraId="4FE14582" w14:textId="0E49CBA4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lidojuma trajektorijas modelēšanas segmentācijas paņēmienu, kas minēts dokumenta ECAC.CEAC Doc. 29 7.5.</w:t>
            </w:r>
            <w:r w:rsidR="0029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apakšpunktā</w:t>
            </w:r>
          </w:p>
        </w:tc>
      </w:tr>
      <w:tr w:rsidR="00E2066B" w:rsidRPr="00E2066B" w14:paraId="14C80CE3" w14:textId="77777777" w:rsidTr="009604A5">
        <w:tc>
          <w:tcPr>
            <w:tcW w:w="348" w:type="pct"/>
            <w:hideMark/>
          </w:tcPr>
          <w:p w14:paraId="482AAA18" w14:textId="77777777" w:rsidR="00B825CA" w:rsidRPr="00E2066B" w:rsidRDefault="00B825CA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2490" w:type="pct"/>
            <w:hideMark/>
          </w:tcPr>
          <w:p w14:paraId="27CC32B0" w14:textId="1BACEABE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Francijā izstrādātā aprēķina metode 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NMPB-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Routes-96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(SETRA-CERTU-LCPC-CSTB)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minēta izdevumā 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Arrêté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1995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relatif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bruit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infrastructures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routières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Journal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Officiel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1995,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Article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Francijas standartā XPS 31-133</w:t>
            </w:r>
          </w:p>
        </w:tc>
        <w:tc>
          <w:tcPr>
            <w:tcW w:w="2096" w:type="pct"/>
            <w:hideMark/>
          </w:tcPr>
          <w:p w14:paraId="5FC146DA" w14:textId="776F8E9C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Izmanto ceļu satiksmes radītā trokšņa novērtēšanai. Attiecībā uz ievades datiem, kas raksturo emisiju, šajos dokumentos ir atsauce uz izdevumu 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Rokasgrāmata sauszemes transporta 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troksnim, buklets trokšņa līmeņu prognozēšanai, CETUR 1980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Guide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bruit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transports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terrestres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fascicule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prévision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niveaux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sonores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CETUR 1980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604A5" w:rsidRPr="00E2066B" w14:paraId="36BC965A" w14:textId="77777777" w:rsidTr="009604A5">
        <w:tc>
          <w:tcPr>
            <w:tcW w:w="348" w:type="pct"/>
            <w:hideMark/>
          </w:tcPr>
          <w:p w14:paraId="59A32553" w14:textId="77777777" w:rsidR="00B825CA" w:rsidRPr="00E2066B" w:rsidRDefault="00B825CA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6.4.</w:t>
            </w:r>
          </w:p>
        </w:tc>
        <w:tc>
          <w:tcPr>
            <w:tcW w:w="2490" w:type="pct"/>
            <w:hideMark/>
          </w:tcPr>
          <w:p w14:paraId="62DBB838" w14:textId="48CBA6AA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Nīderlandē izstrādātā aprēķina metode 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RMR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(publicēta izdevumā 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Reken-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Meetvoorschrift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Railverkeerslawaai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'96,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Ministerie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Volkshuisvesting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Ruimtelijke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Ordening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Milieubeheer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 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November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1996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96" w:type="pct"/>
            <w:hideMark/>
          </w:tcPr>
          <w:p w14:paraId="223718BC" w14:textId="17F67C70" w:rsidR="00B825CA" w:rsidRPr="00E2066B" w:rsidRDefault="00B825CA" w:rsidP="005371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dzelzceļa un tramvaju satiksmes radītā trokšņa novērtēšanai, ņemot vērā konkrēto sliežu ceļu un vilces līdzekļu tipu</w:t>
            </w:r>
          </w:p>
        </w:tc>
      </w:tr>
    </w:tbl>
    <w:p w14:paraId="11413141" w14:textId="5D4518A8" w:rsidR="00B825CA" w:rsidRPr="00E2066B" w:rsidRDefault="00B825CA" w:rsidP="00A808DD">
      <w:pPr>
        <w:suppressAutoHyphens/>
        <w:spacing w:after="0" w:line="240" w:lineRule="auto"/>
        <w:ind w:firstLine="709"/>
        <w:rPr>
          <w:rFonts w:ascii="Times New Roman" w:eastAsia="Times New Roman" w:hAnsi="Times New Roman" w:cs="EUAlbertina"/>
          <w:sz w:val="28"/>
          <w:szCs w:val="28"/>
          <w:lang w:eastAsia="lv-LV"/>
        </w:rPr>
      </w:pPr>
    </w:p>
    <w:p w14:paraId="1D1AD6EC" w14:textId="20EDB4FA" w:rsidR="00AF6A41" w:rsidRPr="00E2066B" w:rsidRDefault="002D6C57" w:rsidP="000606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EUAlbertina"/>
          <w:sz w:val="28"/>
          <w:szCs w:val="28"/>
          <w:lang w:eastAsia="lv-LV"/>
        </w:rPr>
      </w:pPr>
      <w:r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7</w:t>
      </w:r>
      <w:r w:rsidR="00B67A97" w:rsidRPr="00E2066B">
        <w:rPr>
          <w:rFonts w:ascii="Times New Roman" w:hAnsi="Times New Roman" w:cs="Times New Roman"/>
          <w:sz w:val="28"/>
          <w:szCs w:val="28"/>
        </w:rPr>
        <w:t>. </w:t>
      </w:r>
      <w:r w:rsidR="005D1050" w:rsidRPr="00E2066B">
        <w:rPr>
          <w:rFonts w:ascii="Times New Roman" w:hAnsi="Times New Roman" w:cs="Times New Roman"/>
          <w:sz w:val="28"/>
          <w:szCs w:val="28"/>
        </w:rPr>
        <w:t>T</w:t>
      </w:r>
      <w:r w:rsidR="00AF6A41" w:rsidRPr="00E2066B">
        <w:rPr>
          <w:rFonts w:ascii="Times New Roman" w:hAnsi="Times New Roman" w:cs="Times New Roman"/>
          <w:sz w:val="28"/>
          <w:szCs w:val="28"/>
        </w:rPr>
        <w:t xml:space="preserve">rokšņa mērījumiem izmanto piemērojamos standartos noteikto metožu principus, ņemot vērā </w:t>
      </w:r>
      <w:r w:rsidR="009C75FD">
        <w:rPr>
          <w:rFonts w:ascii="Times New Roman" w:hAnsi="Times New Roman" w:cs="Times New Roman"/>
          <w:sz w:val="28"/>
          <w:szCs w:val="28"/>
        </w:rPr>
        <w:t>šā</w:t>
      </w:r>
      <w:r w:rsidR="000606C3" w:rsidRPr="000606C3">
        <w:rPr>
          <w:rFonts w:ascii="Times New Roman" w:hAnsi="Times New Roman" w:cs="Times New Roman"/>
          <w:sz w:val="28"/>
          <w:szCs w:val="28"/>
        </w:rPr>
        <w:t xml:space="preserve"> </w:t>
      </w:r>
      <w:r w:rsidR="001D57BB" w:rsidRPr="00E2066B">
        <w:rPr>
          <w:rFonts w:ascii="Times New Roman" w:hAnsi="Times New Roman" w:cs="Times New Roman"/>
          <w:sz w:val="28"/>
          <w:szCs w:val="28"/>
        </w:rPr>
        <w:t>pielikuma 1.2., 1.3.</w:t>
      </w:r>
      <w:r w:rsidR="00A171AD" w:rsidRPr="00E2066B">
        <w:rPr>
          <w:rFonts w:ascii="Times New Roman" w:hAnsi="Times New Roman" w:cs="Times New Roman"/>
          <w:sz w:val="28"/>
          <w:szCs w:val="28"/>
        </w:rPr>
        <w:t xml:space="preserve"> un</w:t>
      </w:r>
      <w:r w:rsidR="001D57BB" w:rsidRPr="00E2066B">
        <w:rPr>
          <w:rFonts w:ascii="Times New Roman" w:hAnsi="Times New Roman" w:cs="Times New Roman"/>
          <w:sz w:val="28"/>
          <w:szCs w:val="28"/>
        </w:rPr>
        <w:t xml:space="preserve"> 1.4. </w:t>
      </w:r>
      <w:r w:rsidR="00AF6A41" w:rsidRPr="00E2066B">
        <w:rPr>
          <w:rFonts w:ascii="Times New Roman" w:hAnsi="Times New Roman" w:cs="Times New Roman"/>
          <w:sz w:val="28"/>
          <w:szCs w:val="28"/>
        </w:rPr>
        <w:t>apakšpunkt</w:t>
      </w:r>
      <w:r w:rsidR="00A171AD" w:rsidRPr="00E2066B">
        <w:rPr>
          <w:rFonts w:ascii="Times New Roman" w:hAnsi="Times New Roman" w:cs="Times New Roman"/>
          <w:sz w:val="28"/>
          <w:szCs w:val="28"/>
        </w:rPr>
        <w:t>ā</w:t>
      </w:r>
      <w:r w:rsidR="000606C3">
        <w:rPr>
          <w:rFonts w:ascii="Times New Roman" w:hAnsi="Times New Roman" w:cs="Times New Roman"/>
          <w:sz w:val="28"/>
          <w:szCs w:val="28"/>
        </w:rPr>
        <w:t xml:space="preserve"> minē</w:t>
      </w:r>
      <w:r w:rsidR="00AF6A41" w:rsidRPr="00E2066B">
        <w:rPr>
          <w:rFonts w:ascii="Times New Roman" w:hAnsi="Times New Roman" w:cs="Times New Roman"/>
          <w:sz w:val="28"/>
          <w:szCs w:val="28"/>
        </w:rPr>
        <w:t>tās prasības</w:t>
      </w:r>
      <w:r w:rsidR="002A7113" w:rsidRPr="00E2066B">
        <w:rPr>
          <w:rFonts w:ascii="Times New Roman" w:hAnsi="Times New Roman" w:cs="Times New Roman"/>
          <w:sz w:val="28"/>
          <w:szCs w:val="28"/>
        </w:rPr>
        <w:t>.</w:t>
      </w:r>
      <w:r w:rsidR="00A808DD" w:rsidRPr="00E2066B">
        <w:rPr>
          <w:rFonts w:ascii="Times New Roman" w:hAnsi="Times New Roman" w:cs="Times New Roman"/>
          <w:sz w:val="28"/>
          <w:szCs w:val="28"/>
        </w:rPr>
        <w:t>"</w:t>
      </w:r>
    </w:p>
    <w:p w14:paraId="54EC9C39" w14:textId="77777777" w:rsidR="00A808DD" w:rsidRPr="00E2066B" w:rsidRDefault="00A808DD" w:rsidP="00A808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EUAlbertina"/>
          <w:sz w:val="28"/>
          <w:szCs w:val="28"/>
          <w:lang w:eastAsia="lv-LV"/>
        </w:rPr>
      </w:pPr>
    </w:p>
    <w:p w14:paraId="2AC9A03B" w14:textId="231F269D" w:rsidR="00B70FA1" w:rsidRPr="00E2066B" w:rsidRDefault="009C75FD" w:rsidP="00A808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EUAlbertina"/>
          <w:sz w:val="28"/>
          <w:szCs w:val="28"/>
          <w:lang w:eastAsia="lv-LV"/>
        </w:rPr>
      </w:pPr>
      <w:r>
        <w:rPr>
          <w:rFonts w:ascii="Times New Roman" w:eastAsia="Times New Roman" w:hAnsi="Times New Roman" w:cs="EUAlbertina"/>
          <w:sz w:val="28"/>
          <w:szCs w:val="28"/>
          <w:lang w:eastAsia="lv-LV"/>
        </w:rPr>
        <w:t>7</w:t>
      </w:r>
      <w:r w:rsidR="003B3201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. </w:t>
      </w:r>
      <w:r w:rsidR="000E4CE6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 xml:space="preserve">Izteikt </w:t>
      </w:r>
      <w:r w:rsidR="002D6C57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2. pielikuma 1. </w:t>
      </w:r>
      <w:r w:rsidR="000E4CE6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punktu šādā redakcijā:</w:t>
      </w:r>
    </w:p>
    <w:p w14:paraId="582B4816" w14:textId="77777777" w:rsidR="00A808DD" w:rsidRPr="00E2066B" w:rsidRDefault="00A808D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EUAlbertina"/>
          <w:sz w:val="28"/>
          <w:szCs w:val="28"/>
          <w:lang w:eastAsia="lv-LV"/>
        </w:rPr>
      </w:pPr>
    </w:p>
    <w:p w14:paraId="1D8CCC15" w14:textId="6EEBF9BF" w:rsidR="000E4CE6" w:rsidRPr="005B5F1C" w:rsidRDefault="00A808DD" w:rsidP="00A808DD">
      <w:pPr>
        <w:pStyle w:val="tvhtml"/>
        <w:spacing w:before="0" w:beforeAutospacing="0" w:after="0" w:afterAutospacing="0"/>
        <w:jc w:val="center"/>
        <w:rPr>
          <w:b/>
          <w:bCs/>
          <w:sz w:val="28"/>
        </w:rPr>
      </w:pPr>
      <w:r w:rsidRPr="005B5F1C">
        <w:rPr>
          <w:rFonts w:cs="EUAlbertina"/>
          <w:sz w:val="28"/>
          <w:szCs w:val="28"/>
        </w:rPr>
        <w:t>"</w:t>
      </w:r>
      <w:r w:rsidR="000E4CE6" w:rsidRPr="005B5F1C">
        <w:rPr>
          <w:b/>
          <w:bCs/>
          <w:sz w:val="28"/>
        </w:rPr>
        <w:t>1. Vides trokšņa robežlielumi</w:t>
      </w:r>
    </w:p>
    <w:p w14:paraId="6DD90ED1" w14:textId="77777777" w:rsidR="005B5F1C" w:rsidRPr="005B5F1C" w:rsidRDefault="005B5F1C" w:rsidP="005B5F1C">
      <w:pPr>
        <w:pStyle w:val="tvhtml"/>
        <w:spacing w:before="0" w:beforeAutospacing="0" w:after="0" w:afterAutospacing="0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5074"/>
        <w:gridCol w:w="1178"/>
        <w:gridCol w:w="1178"/>
        <w:gridCol w:w="997"/>
      </w:tblGrid>
      <w:tr w:rsidR="00E2066B" w:rsidRPr="00E2066B" w14:paraId="44AA844E" w14:textId="77777777" w:rsidTr="000606C3">
        <w:tc>
          <w:tcPr>
            <w:tcW w:w="350" w:type="pct"/>
            <w:vMerge w:val="restart"/>
            <w:vAlign w:val="center"/>
            <w:hideMark/>
          </w:tcPr>
          <w:p w14:paraId="25F14A4F" w14:textId="22B52203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5B5F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B5F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08DD"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00" w:type="pct"/>
            <w:vMerge w:val="restart"/>
            <w:vAlign w:val="center"/>
            <w:hideMark/>
          </w:tcPr>
          <w:p w14:paraId="34BC7504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Apbūves teritorijas izmantošanas funkcija</w:t>
            </w:r>
          </w:p>
        </w:tc>
        <w:tc>
          <w:tcPr>
            <w:tcW w:w="1850" w:type="pct"/>
            <w:gridSpan w:val="3"/>
            <w:vAlign w:val="center"/>
            <w:hideMark/>
          </w:tcPr>
          <w:p w14:paraId="3CE1FCC2" w14:textId="3AB5E8DA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Trokšņa robežlielumi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E2066B" w:rsidRPr="00E2066B" w14:paraId="5D47B0DE" w14:textId="77777777" w:rsidTr="000606C3">
        <w:tc>
          <w:tcPr>
            <w:tcW w:w="350" w:type="pct"/>
            <w:vMerge/>
            <w:vAlign w:val="center"/>
            <w:hideMark/>
          </w:tcPr>
          <w:p w14:paraId="5CA27867" w14:textId="77777777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F1FFFA" w14:textId="77777777" w:rsidR="000E4CE6" w:rsidRPr="00E2066B" w:rsidRDefault="000E4CE6" w:rsidP="00A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hideMark/>
          </w:tcPr>
          <w:p w14:paraId="61F5FDA0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diena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dB(A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650" w:type="pct"/>
            <w:hideMark/>
          </w:tcPr>
          <w:p w14:paraId="350FBADE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vakars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dB(A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550" w:type="pct"/>
            <w:hideMark/>
          </w:tcPr>
          <w:p w14:paraId="3780A506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nakts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dB(A</w:t>
            </w:r>
            <w:proofErr w:type="spellEnd"/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))</w:t>
            </w:r>
          </w:p>
        </w:tc>
      </w:tr>
      <w:tr w:rsidR="00E2066B" w:rsidRPr="00E2066B" w14:paraId="0516E16E" w14:textId="77777777" w:rsidTr="000606C3">
        <w:tc>
          <w:tcPr>
            <w:tcW w:w="350" w:type="pct"/>
            <w:hideMark/>
          </w:tcPr>
          <w:p w14:paraId="22591EC0" w14:textId="77777777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800" w:type="pct"/>
            <w:hideMark/>
          </w:tcPr>
          <w:p w14:paraId="4FFD6705" w14:textId="77777777" w:rsidR="000E4CE6" w:rsidRPr="00E2066B" w:rsidRDefault="000E4CE6" w:rsidP="00976D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Individuālo (savrupmāju, mazstāvu vai viensētu) dzīvojamo māju, bērnu iestāžu, ārstniecības, veselības un sociālās aprūpes iestāžu apbūves teritorija</w:t>
            </w:r>
          </w:p>
        </w:tc>
        <w:tc>
          <w:tcPr>
            <w:tcW w:w="650" w:type="pct"/>
            <w:hideMark/>
          </w:tcPr>
          <w:p w14:paraId="4765F84B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650" w:type="pct"/>
            <w:hideMark/>
          </w:tcPr>
          <w:p w14:paraId="2DF3280B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50" w:type="pct"/>
            <w:hideMark/>
          </w:tcPr>
          <w:p w14:paraId="6453FCD2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E2066B" w:rsidRPr="00E2066B" w14:paraId="1A427023" w14:textId="77777777" w:rsidTr="000606C3">
        <w:tc>
          <w:tcPr>
            <w:tcW w:w="350" w:type="pct"/>
            <w:hideMark/>
          </w:tcPr>
          <w:p w14:paraId="59D2E3F8" w14:textId="77777777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800" w:type="pct"/>
            <w:hideMark/>
          </w:tcPr>
          <w:p w14:paraId="0A8084FA" w14:textId="77777777" w:rsidR="000E4CE6" w:rsidRPr="00E2066B" w:rsidRDefault="000E4CE6" w:rsidP="00976D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Daudzstāvu dzīvojamās apbūves teritorija</w:t>
            </w:r>
          </w:p>
        </w:tc>
        <w:tc>
          <w:tcPr>
            <w:tcW w:w="650" w:type="pct"/>
            <w:hideMark/>
          </w:tcPr>
          <w:p w14:paraId="7F7A232A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650" w:type="pct"/>
            <w:hideMark/>
          </w:tcPr>
          <w:p w14:paraId="0BA3F2E1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50" w:type="pct"/>
            <w:hideMark/>
          </w:tcPr>
          <w:p w14:paraId="2BA95584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E2066B" w:rsidRPr="00E2066B" w14:paraId="0552B3EB" w14:textId="77777777" w:rsidTr="000606C3">
        <w:tc>
          <w:tcPr>
            <w:tcW w:w="350" w:type="pct"/>
            <w:hideMark/>
          </w:tcPr>
          <w:p w14:paraId="01D4B7A0" w14:textId="77777777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800" w:type="pct"/>
            <w:hideMark/>
          </w:tcPr>
          <w:p w14:paraId="58951E7C" w14:textId="77777777" w:rsidR="000E4CE6" w:rsidRPr="00E2066B" w:rsidRDefault="000E4CE6" w:rsidP="00976D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apbūves teritorija (sabiedrisko un pārvaldes objektu teritorija, tai skaitā kultūras iestāžu, izglītības un zinātnes iestāžu, valsts un pašvaldību pārvaldes iestāžu un viesnīcu teritorija) (ar dzīvojamo apbūvi)</w:t>
            </w:r>
          </w:p>
        </w:tc>
        <w:tc>
          <w:tcPr>
            <w:tcW w:w="650" w:type="pct"/>
            <w:hideMark/>
          </w:tcPr>
          <w:p w14:paraId="6BBF5F13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650" w:type="pct"/>
            <w:hideMark/>
          </w:tcPr>
          <w:p w14:paraId="27AF5F8E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50" w:type="pct"/>
            <w:hideMark/>
          </w:tcPr>
          <w:p w14:paraId="0DF1839C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E2066B" w:rsidRPr="00E2066B" w14:paraId="4F2E7107" w14:textId="77777777" w:rsidTr="000606C3">
        <w:tc>
          <w:tcPr>
            <w:tcW w:w="350" w:type="pct"/>
            <w:hideMark/>
          </w:tcPr>
          <w:p w14:paraId="50CCF358" w14:textId="77777777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800" w:type="pct"/>
            <w:hideMark/>
          </w:tcPr>
          <w:p w14:paraId="61A060EA" w14:textId="77777777" w:rsidR="000E4CE6" w:rsidRPr="00E2066B" w:rsidRDefault="000E4CE6" w:rsidP="00976D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Jauktas apbūves teritorija, tai skaitā tirdzniecības un pakalpojumu būvju teritorija (ar dzīvojamo apbūvi)</w:t>
            </w:r>
          </w:p>
        </w:tc>
        <w:tc>
          <w:tcPr>
            <w:tcW w:w="650" w:type="pct"/>
            <w:hideMark/>
          </w:tcPr>
          <w:p w14:paraId="60B2EB10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650" w:type="pct"/>
            <w:hideMark/>
          </w:tcPr>
          <w:p w14:paraId="4AF0C0E5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50" w:type="pct"/>
            <w:hideMark/>
          </w:tcPr>
          <w:p w14:paraId="1124E33E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E2066B" w:rsidRPr="00E2066B" w14:paraId="74266CCC" w14:textId="77777777" w:rsidTr="000606C3">
        <w:tc>
          <w:tcPr>
            <w:tcW w:w="350" w:type="pct"/>
            <w:hideMark/>
          </w:tcPr>
          <w:p w14:paraId="43B2F987" w14:textId="77777777" w:rsidR="000E4CE6" w:rsidRPr="00E2066B" w:rsidRDefault="000E4CE6" w:rsidP="0059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800" w:type="pct"/>
            <w:hideMark/>
          </w:tcPr>
          <w:p w14:paraId="441B7DAB" w14:textId="77777777" w:rsidR="000E4CE6" w:rsidRPr="00E2066B" w:rsidRDefault="000E4CE6" w:rsidP="00976D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Klusie rajoni apdzīvotās vietās</w:t>
            </w:r>
          </w:p>
        </w:tc>
        <w:tc>
          <w:tcPr>
            <w:tcW w:w="650" w:type="pct"/>
            <w:hideMark/>
          </w:tcPr>
          <w:p w14:paraId="6DB0E9DA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50" w:type="pct"/>
            <w:hideMark/>
          </w:tcPr>
          <w:p w14:paraId="37083D24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50" w:type="pct"/>
            <w:hideMark/>
          </w:tcPr>
          <w:p w14:paraId="521E6C1D" w14:textId="77777777" w:rsidR="000E4CE6" w:rsidRPr="00E2066B" w:rsidRDefault="000E4CE6" w:rsidP="00A8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</w:tbl>
    <w:p w14:paraId="3F7A3C6B" w14:textId="77777777" w:rsidR="00A808DD" w:rsidRPr="00E2066B" w:rsidRDefault="00A808DD" w:rsidP="00B67A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08AF17" w14:textId="5B48BD66" w:rsidR="000E4CE6" w:rsidRPr="00E2066B" w:rsidRDefault="000E4CE6" w:rsidP="009C7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  <w:r w:rsidR="007964A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E206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67A97" w:rsidRPr="007964A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Aizsargjoslās gar autoceļiem (tai skaitā arī gar autoceļiem, uz kuriem satiksmes intensitāte ir mazāka nekā trīs miljoni transportlīdzekļu gadā), aizsargjoslās gar dzelzceļiem un teritorijās, kas atrodas tuvāk par 30</w:t>
      </w:r>
      <w:r w:rsidR="002A7113"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no stacionāriem trokšņa avotiem, vides trokšņa robežlielumi uzskatāmi par </w:t>
      </w:r>
      <w:proofErr w:type="spellStart"/>
      <w:r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mērķlielumiem</w:t>
      </w:r>
      <w:proofErr w:type="spellEnd"/>
      <w:r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808DD" w:rsidRPr="00E2066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166B8839" w14:textId="52548739" w:rsidR="000E4CE6" w:rsidRPr="00E2066B" w:rsidRDefault="000E4CE6" w:rsidP="00B67A9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EUAlbertina"/>
          <w:sz w:val="28"/>
          <w:szCs w:val="28"/>
          <w:lang w:eastAsia="lv-LV"/>
        </w:rPr>
      </w:pPr>
    </w:p>
    <w:p w14:paraId="080655FA" w14:textId="77777777" w:rsidR="009C75FD" w:rsidRDefault="009C75FD">
      <w:pPr>
        <w:rPr>
          <w:rFonts w:ascii="Times New Roman" w:eastAsia="Times New Roman" w:hAnsi="Times New Roman" w:cs="EUAlbertina"/>
          <w:sz w:val="28"/>
          <w:szCs w:val="28"/>
          <w:lang w:eastAsia="lv-LV"/>
        </w:rPr>
      </w:pPr>
      <w:r>
        <w:rPr>
          <w:rFonts w:ascii="Times New Roman" w:eastAsia="Times New Roman" w:hAnsi="Times New Roman" w:cs="EUAlbertina"/>
          <w:sz w:val="28"/>
          <w:szCs w:val="28"/>
          <w:lang w:eastAsia="lv-LV"/>
        </w:rPr>
        <w:br w:type="page"/>
      </w:r>
    </w:p>
    <w:p w14:paraId="0F635A8E" w14:textId="4EB16F44" w:rsidR="00CD207B" w:rsidRPr="00E2066B" w:rsidRDefault="009C75FD" w:rsidP="00B67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EUAlbertina"/>
          <w:sz w:val="28"/>
          <w:szCs w:val="28"/>
          <w:lang w:eastAsia="lv-LV"/>
        </w:rPr>
      </w:pPr>
      <w:r>
        <w:rPr>
          <w:rFonts w:ascii="Times New Roman" w:eastAsia="Times New Roman" w:hAnsi="Times New Roman" w:cs="EUAlbertina"/>
          <w:sz w:val="28"/>
          <w:szCs w:val="28"/>
          <w:lang w:eastAsia="lv-LV"/>
        </w:rPr>
        <w:lastRenderedPageBreak/>
        <w:t>8</w:t>
      </w:r>
      <w:r w:rsidR="003B3201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. </w:t>
      </w:r>
      <w:r w:rsidR="002D6C57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Papildināt noteikumus ar 5.</w:t>
      </w:r>
      <w:r w:rsidR="0013486B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 </w:t>
      </w:r>
      <w:r w:rsidR="002D6C57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pielikumu</w:t>
      </w:r>
      <w:r w:rsidR="0023346E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 xml:space="preserve"> (pielikum</w:t>
      </w:r>
      <w:r w:rsidR="000E4CE6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s</w:t>
      </w:r>
      <w:r w:rsidR="0023346E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)</w:t>
      </w:r>
      <w:r w:rsidR="00A84962" w:rsidRPr="00E2066B">
        <w:rPr>
          <w:rFonts w:ascii="Times New Roman" w:eastAsia="Times New Roman" w:hAnsi="Times New Roman" w:cs="EUAlbertina"/>
          <w:sz w:val="28"/>
          <w:szCs w:val="28"/>
          <w:lang w:eastAsia="lv-LV"/>
        </w:rPr>
        <w:t>.</w:t>
      </w:r>
    </w:p>
    <w:p w14:paraId="526C9B74" w14:textId="77777777" w:rsidR="00A808DD" w:rsidRPr="00E2066B" w:rsidRDefault="00A808DD" w:rsidP="00B67A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488CF" w14:textId="77777777" w:rsidR="00A808DD" w:rsidRPr="00E2066B" w:rsidRDefault="00A808DD" w:rsidP="00B67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51349A" w14:textId="77777777" w:rsidR="00A808DD" w:rsidRPr="00E2066B" w:rsidRDefault="00A808DD" w:rsidP="00B67A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07478F" w14:textId="77777777" w:rsidR="009149F4" w:rsidRDefault="009149F4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C511C9A" w14:textId="77777777" w:rsidR="009149F4" w:rsidRDefault="009149F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EC3301D" w14:textId="77777777" w:rsidR="009149F4" w:rsidRPr="00DE283C" w:rsidRDefault="009149F4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28B2CFC" w14:textId="77777777" w:rsidR="009149F4" w:rsidRDefault="009149F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497F03" w14:textId="77777777" w:rsidR="009149F4" w:rsidRDefault="009149F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9A6A2A" w14:textId="77777777" w:rsidR="009149F4" w:rsidRDefault="009149F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E79018" w14:textId="77777777" w:rsidR="009149F4" w:rsidRPr="00333282" w:rsidRDefault="009149F4" w:rsidP="0078772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A6EDF59" w14:textId="4027A13F" w:rsidR="00A2707D" w:rsidRPr="00DE283C" w:rsidRDefault="00A2707D" w:rsidP="00A2707D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FF013C" w14:textId="77777777" w:rsidR="00A2707D" w:rsidRPr="00E2066B" w:rsidRDefault="00A2707D" w:rsidP="00A808DD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A2707D" w:rsidRPr="00E2066B" w:rsidSect="00A808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0A0A" w14:textId="77777777" w:rsidR="0026471C" w:rsidRDefault="0026471C" w:rsidP="002D6C57">
      <w:pPr>
        <w:spacing w:after="0" w:line="240" w:lineRule="auto"/>
      </w:pPr>
      <w:r>
        <w:separator/>
      </w:r>
    </w:p>
  </w:endnote>
  <w:endnote w:type="continuationSeparator" w:id="0">
    <w:p w14:paraId="47950263" w14:textId="77777777" w:rsidR="0026471C" w:rsidRDefault="0026471C" w:rsidP="002D6C57">
      <w:pPr>
        <w:spacing w:after="0" w:line="240" w:lineRule="auto"/>
      </w:pPr>
      <w:r>
        <w:continuationSeparator/>
      </w:r>
    </w:p>
  </w:endnote>
  <w:endnote w:type="continuationNotice" w:id="1">
    <w:p w14:paraId="2A987847" w14:textId="77777777" w:rsidR="003257E2" w:rsidRDefault="00325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77F4" w14:textId="77777777" w:rsidR="00A808DD" w:rsidRPr="00A808DD" w:rsidRDefault="00A808DD" w:rsidP="00A808D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75B1" w14:textId="571113E9" w:rsidR="0026471C" w:rsidRPr="00A808DD" w:rsidRDefault="00A808DD" w:rsidP="00A808D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63D0" w14:textId="77777777" w:rsidR="0026471C" w:rsidRDefault="0026471C" w:rsidP="002D6C57">
      <w:pPr>
        <w:spacing w:after="0" w:line="240" w:lineRule="auto"/>
      </w:pPr>
      <w:r>
        <w:separator/>
      </w:r>
    </w:p>
  </w:footnote>
  <w:footnote w:type="continuationSeparator" w:id="0">
    <w:p w14:paraId="3E9D1ABE" w14:textId="77777777" w:rsidR="0026471C" w:rsidRDefault="0026471C" w:rsidP="002D6C57">
      <w:pPr>
        <w:spacing w:after="0" w:line="240" w:lineRule="auto"/>
      </w:pPr>
      <w:r>
        <w:continuationSeparator/>
      </w:r>
    </w:p>
  </w:footnote>
  <w:footnote w:type="continuationNotice" w:id="1">
    <w:p w14:paraId="703F2062" w14:textId="77777777" w:rsidR="003257E2" w:rsidRDefault="00325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978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9E0EFC" w14:textId="0382D375" w:rsidR="0026471C" w:rsidRPr="00D522F8" w:rsidRDefault="002647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22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2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2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7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22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705E" w14:textId="733929A4" w:rsidR="00A808DD" w:rsidRDefault="00A808DD">
    <w:pPr>
      <w:pStyle w:val="Header"/>
      <w:rPr>
        <w:rFonts w:ascii="Times New Roman" w:hAnsi="Times New Roman" w:cs="Times New Roman"/>
        <w:sz w:val="24"/>
        <w:szCs w:val="24"/>
      </w:rPr>
    </w:pPr>
  </w:p>
  <w:p w14:paraId="68424A9B" w14:textId="08ADDF3C" w:rsidR="00A808DD" w:rsidRPr="00A142D0" w:rsidRDefault="00A808DD" w:rsidP="00501350">
    <w:pPr>
      <w:pStyle w:val="Header"/>
    </w:pPr>
    <w:r>
      <w:rPr>
        <w:noProof/>
      </w:rPr>
      <w:drawing>
        <wp:inline distT="0" distB="0" distL="0" distR="0" wp14:anchorId="089C1E47" wp14:editId="4404D6B6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F82"/>
    <w:multiLevelType w:val="hybridMultilevel"/>
    <w:tmpl w:val="DC5C46FC"/>
    <w:lvl w:ilvl="0" w:tplc="3D30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D0B1E"/>
    <w:multiLevelType w:val="hybridMultilevel"/>
    <w:tmpl w:val="4054635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7829E3"/>
    <w:multiLevelType w:val="hybridMultilevel"/>
    <w:tmpl w:val="13B66C90"/>
    <w:lvl w:ilvl="0" w:tplc="4E6601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914B5"/>
    <w:multiLevelType w:val="hybridMultilevel"/>
    <w:tmpl w:val="22BC08CA"/>
    <w:lvl w:ilvl="0" w:tplc="0EA4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C61B48"/>
    <w:multiLevelType w:val="hybridMultilevel"/>
    <w:tmpl w:val="50D44F8C"/>
    <w:lvl w:ilvl="0" w:tplc="68921C4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57"/>
    <w:rsid w:val="00001914"/>
    <w:rsid w:val="000026E3"/>
    <w:rsid w:val="00002F2B"/>
    <w:rsid w:val="00011561"/>
    <w:rsid w:val="0004248F"/>
    <w:rsid w:val="00054CE9"/>
    <w:rsid w:val="000551E8"/>
    <w:rsid w:val="000606C3"/>
    <w:rsid w:val="00085487"/>
    <w:rsid w:val="000E4CE6"/>
    <w:rsid w:val="00107998"/>
    <w:rsid w:val="0011635B"/>
    <w:rsid w:val="00120F47"/>
    <w:rsid w:val="0013486B"/>
    <w:rsid w:val="0014399A"/>
    <w:rsid w:val="00147A4F"/>
    <w:rsid w:val="0016227E"/>
    <w:rsid w:val="001735BD"/>
    <w:rsid w:val="00183613"/>
    <w:rsid w:val="001945B0"/>
    <w:rsid w:val="001C4C94"/>
    <w:rsid w:val="001D57BB"/>
    <w:rsid w:val="001D5D63"/>
    <w:rsid w:val="001F0E4B"/>
    <w:rsid w:val="001F1AA7"/>
    <w:rsid w:val="00202FA6"/>
    <w:rsid w:val="0021531A"/>
    <w:rsid w:val="002206E0"/>
    <w:rsid w:val="00231091"/>
    <w:rsid w:val="0023346E"/>
    <w:rsid w:val="002453B3"/>
    <w:rsid w:val="00245C39"/>
    <w:rsid w:val="0026471C"/>
    <w:rsid w:val="00275C8E"/>
    <w:rsid w:val="00290927"/>
    <w:rsid w:val="00291AAB"/>
    <w:rsid w:val="00294F33"/>
    <w:rsid w:val="002A2287"/>
    <w:rsid w:val="002A2C11"/>
    <w:rsid w:val="002A6E28"/>
    <w:rsid w:val="002A7113"/>
    <w:rsid w:val="002B5675"/>
    <w:rsid w:val="002C1A61"/>
    <w:rsid w:val="002C66FD"/>
    <w:rsid w:val="002D6C57"/>
    <w:rsid w:val="002F649F"/>
    <w:rsid w:val="002F7FAA"/>
    <w:rsid w:val="00313A9F"/>
    <w:rsid w:val="003257E2"/>
    <w:rsid w:val="00350A98"/>
    <w:rsid w:val="00352FD2"/>
    <w:rsid w:val="003A3F14"/>
    <w:rsid w:val="003B3201"/>
    <w:rsid w:val="003B4B4E"/>
    <w:rsid w:val="003B7DAF"/>
    <w:rsid w:val="003D19DC"/>
    <w:rsid w:val="003F1F06"/>
    <w:rsid w:val="003F35D4"/>
    <w:rsid w:val="00404CED"/>
    <w:rsid w:val="00411303"/>
    <w:rsid w:val="00443BCF"/>
    <w:rsid w:val="00446276"/>
    <w:rsid w:val="00472049"/>
    <w:rsid w:val="004768F7"/>
    <w:rsid w:val="00491E86"/>
    <w:rsid w:val="004A10D3"/>
    <w:rsid w:val="004C6646"/>
    <w:rsid w:val="004C6EAE"/>
    <w:rsid w:val="004E7B1A"/>
    <w:rsid w:val="004F60F2"/>
    <w:rsid w:val="004F640D"/>
    <w:rsid w:val="00500CA9"/>
    <w:rsid w:val="00512033"/>
    <w:rsid w:val="00522A91"/>
    <w:rsid w:val="00537164"/>
    <w:rsid w:val="005422A9"/>
    <w:rsid w:val="00574285"/>
    <w:rsid w:val="00586AB8"/>
    <w:rsid w:val="00595722"/>
    <w:rsid w:val="005B5F1C"/>
    <w:rsid w:val="005C1F6C"/>
    <w:rsid w:val="005D1050"/>
    <w:rsid w:val="005F16FB"/>
    <w:rsid w:val="005F5578"/>
    <w:rsid w:val="00625524"/>
    <w:rsid w:val="00661738"/>
    <w:rsid w:val="00661A58"/>
    <w:rsid w:val="00694AF3"/>
    <w:rsid w:val="006B5A22"/>
    <w:rsid w:val="006B7E32"/>
    <w:rsid w:val="006D34D5"/>
    <w:rsid w:val="006F2C1A"/>
    <w:rsid w:val="00717DDA"/>
    <w:rsid w:val="00731335"/>
    <w:rsid w:val="0073477C"/>
    <w:rsid w:val="00736E5C"/>
    <w:rsid w:val="00744163"/>
    <w:rsid w:val="00755327"/>
    <w:rsid w:val="00755654"/>
    <w:rsid w:val="00757BE5"/>
    <w:rsid w:val="00760F47"/>
    <w:rsid w:val="00783720"/>
    <w:rsid w:val="00787723"/>
    <w:rsid w:val="007964A3"/>
    <w:rsid w:val="007A1501"/>
    <w:rsid w:val="007D66C2"/>
    <w:rsid w:val="007D7F01"/>
    <w:rsid w:val="0083049C"/>
    <w:rsid w:val="00845C9D"/>
    <w:rsid w:val="00850B74"/>
    <w:rsid w:val="00852E99"/>
    <w:rsid w:val="008C5E53"/>
    <w:rsid w:val="008D0DD7"/>
    <w:rsid w:val="00903CB8"/>
    <w:rsid w:val="009149F4"/>
    <w:rsid w:val="00927D46"/>
    <w:rsid w:val="009604A5"/>
    <w:rsid w:val="00963639"/>
    <w:rsid w:val="00972ECA"/>
    <w:rsid w:val="00976D3D"/>
    <w:rsid w:val="00990063"/>
    <w:rsid w:val="009956A6"/>
    <w:rsid w:val="009B2E5D"/>
    <w:rsid w:val="009C1702"/>
    <w:rsid w:val="009C5B08"/>
    <w:rsid w:val="009C75FD"/>
    <w:rsid w:val="009C76AF"/>
    <w:rsid w:val="009E2413"/>
    <w:rsid w:val="009E66CE"/>
    <w:rsid w:val="009F13A9"/>
    <w:rsid w:val="009F6D5C"/>
    <w:rsid w:val="00A138E0"/>
    <w:rsid w:val="00A170E8"/>
    <w:rsid w:val="00A171AD"/>
    <w:rsid w:val="00A2707D"/>
    <w:rsid w:val="00A350A0"/>
    <w:rsid w:val="00A6056F"/>
    <w:rsid w:val="00A67F46"/>
    <w:rsid w:val="00A74EBC"/>
    <w:rsid w:val="00A808DD"/>
    <w:rsid w:val="00A84962"/>
    <w:rsid w:val="00AB3FF9"/>
    <w:rsid w:val="00AF2A4F"/>
    <w:rsid w:val="00AF6A41"/>
    <w:rsid w:val="00B26EDD"/>
    <w:rsid w:val="00B26F2B"/>
    <w:rsid w:val="00B31B58"/>
    <w:rsid w:val="00B33E1F"/>
    <w:rsid w:val="00B36BBA"/>
    <w:rsid w:val="00B46C1B"/>
    <w:rsid w:val="00B571FA"/>
    <w:rsid w:val="00B67A97"/>
    <w:rsid w:val="00B70FA1"/>
    <w:rsid w:val="00B825CA"/>
    <w:rsid w:val="00B95923"/>
    <w:rsid w:val="00BA0150"/>
    <w:rsid w:val="00BE772B"/>
    <w:rsid w:val="00C2226D"/>
    <w:rsid w:val="00C64A76"/>
    <w:rsid w:val="00C656FD"/>
    <w:rsid w:val="00C66C04"/>
    <w:rsid w:val="00C74B6E"/>
    <w:rsid w:val="00C84A3A"/>
    <w:rsid w:val="00C96A90"/>
    <w:rsid w:val="00CA1B21"/>
    <w:rsid w:val="00CD207B"/>
    <w:rsid w:val="00CF6E5E"/>
    <w:rsid w:val="00D522F8"/>
    <w:rsid w:val="00D661A8"/>
    <w:rsid w:val="00D71DDC"/>
    <w:rsid w:val="00D72DFB"/>
    <w:rsid w:val="00DA37EC"/>
    <w:rsid w:val="00DD5455"/>
    <w:rsid w:val="00DF21C4"/>
    <w:rsid w:val="00E0185E"/>
    <w:rsid w:val="00E073ED"/>
    <w:rsid w:val="00E2066B"/>
    <w:rsid w:val="00E208A1"/>
    <w:rsid w:val="00E273C8"/>
    <w:rsid w:val="00E35B3B"/>
    <w:rsid w:val="00E35FD7"/>
    <w:rsid w:val="00E434F1"/>
    <w:rsid w:val="00E44927"/>
    <w:rsid w:val="00E551FF"/>
    <w:rsid w:val="00E76E05"/>
    <w:rsid w:val="00E86F89"/>
    <w:rsid w:val="00EC6552"/>
    <w:rsid w:val="00EC704B"/>
    <w:rsid w:val="00EC7787"/>
    <w:rsid w:val="00ED58E7"/>
    <w:rsid w:val="00EE2728"/>
    <w:rsid w:val="00EE34E8"/>
    <w:rsid w:val="00EF6EC6"/>
    <w:rsid w:val="00F02495"/>
    <w:rsid w:val="00F10DCF"/>
    <w:rsid w:val="00F422E8"/>
    <w:rsid w:val="00F650DA"/>
    <w:rsid w:val="00F74B68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37BE54"/>
  <w15:chartTrackingRefBased/>
  <w15:docId w15:val="{2E60AA84-DDB0-4C1A-8781-027FEBC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57"/>
  </w:style>
  <w:style w:type="paragraph" w:styleId="Footer">
    <w:name w:val="footer"/>
    <w:basedOn w:val="Normal"/>
    <w:link w:val="FooterChar"/>
    <w:uiPriority w:val="99"/>
    <w:unhideWhenUsed/>
    <w:rsid w:val="002D6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57"/>
  </w:style>
  <w:style w:type="paragraph" w:customStyle="1" w:styleId="naisnod">
    <w:name w:val="naisnod"/>
    <w:basedOn w:val="Normal"/>
    <w:rsid w:val="002D6C57"/>
    <w:pPr>
      <w:suppressAutoHyphens/>
      <w:spacing w:before="150" w:after="150" w:line="100" w:lineRule="atLeast"/>
      <w:jc w:val="center"/>
    </w:pPr>
    <w:rPr>
      <w:rFonts w:ascii="EUAlbertina" w:eastAsia="Times New Roman" w:hAnsi="EUAlbertina" w:cs="EUAlbertina"/>
      <w:b/>
      <w:bCs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7B"/>
    <w:rPr>
      <w:b/>
      <w:bCs/>
      <w:sz w:val="20"/>
      <w:szCs w:val="20"/>
    </w:rPr>
  </w:style>
  <w:style w:type="paragraph" w:customStyle="1" w:styleId="tv213">
    <w:name w:val="tv213"/>
    <w:basedOn w:val="Normal"/>
    <w:rsid w:val="009F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F1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DDC"/>
    <w:pPr>
      <w:ind w:left="720"/>
      <w:contextualSpacing/>
    </w:pPr>
  </w:style>
  <w:style w:type="paragraph" w:customStyle="1" w:styleId="ti-grseq-1">
    <w:name w:val="ti-grseq-1"/>
    <w:basedOn w:val="Normal"/>
    <w:rsid w:val="0076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8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A808D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270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9149F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C101-D938-40C0-BF58-C03967E1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3684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7.janvāra noteikumos Nr. 16 "Trokšņa novērtēšanas un pārvaldības kārtība"</vt:lpstr>
    </vt:vector>
  </TitlesOfParts>
  <Company>Vides aizsardzības un reģionālās attīstības ministrija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7.janvāra noteikumos Nr. 16 "Trokšņa novērtēšanas un pārvaldības kārtība"</dc:title>
  <dc:subject>MK noteikumu projekts</dc:subject>
  <dc:creator>Judīte Dipāne</dc:creator>
  <cp:keywords/>
  <dc:description>67026415, judite.dipane@varam.gov.lv</dc:description>
  <cp:lastModifiedBy>Leontine Babkina</cp:lastModifiedBy>
  <cp:revision>33</cp:revision>
  <cp:lastPrinted>2019-06-14T11:13:00Z</cp:lastPrinted>
  <dcterms:created xsi:type="dcterms:W3CDTF">2019-05-09T09:00:00Z</dcterms:created>
  <dcterms:modified xsi:type="dcterms:W3CDTF">2019-07-02T13:00:00Z</dcterms:modified>
</cp:coreProperties>
</file>