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EF5C" w14:textId="77777777" w:rsidR="00894C55" w:rsidRDefault="00EC6E12" w:rsidP="00EC6E12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eastAsia="lv-LV"/>
        </w:rPr>
      </w:pPr>
      <w:r w:rsidRPr="00EC6E12">
        <w:rPr>
          <w:rFonts w:ascii="Times New Roman" w:hAnsi="Times New Roman" w:cs="Times New Roman"/>
          <w:b/>
          <w:sz w:val="28"/>
          <w:szCs w:val="24"/>
          <w:lang w:eastAsia="lv-LV"/>
        </w:rPr>
        <w:t xml:space="preserve">Ministru </w:t>
      </w:r>
      <w:r>
        <w:rPr>
          <w:rFonts w:ascii="Times New Roman" w:hAnsi="Times New Roman" w:cs="Times New Roman"/>
          <w:b/>
          <w:sz w:val="28"/>
          <w:szCs w:val="24"/>
          <w:lang w:eastAsia="lv-LV"/>
        </w:rPr>
        <w:t xml:space="preserve">kabineta rīkojuma projekta “Par finanšu līdzekļu piešķiršanu no valsts budžeta programmas “Līdzekļi neparedzētiem gadījumiem”” </w:t>
      </w:r>
      <w:r w:rsidR="00894C55" w:rsidRPr="00EC6E12">
        <w:rPr>
          <w:rFonts w:ascii="Times New Roman" w:hAnsi="Times New Roman" w:cs="Times New Roman"/>
          <w:b/>
          <w:sz w:val="28"/>
          <w:szCs w:val="24"/>
          <w:lang w:eastAsia="lv-LV"/>
        </w:rPr>
        <w:t>sākotnējās ietekmes novērtējuma ziņojums (anotācija)</w:t>
      </w:r>
    </w:p>
    <w:p w14:paraId="5908560A" w14:textId="77777777" w:rsidR="00EC6E12" w:rsidRDefault="00EC6E12" w:rsidP="00EC6E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C6E12" w14:paraId="4D80017E" w14:textId="77777777" w:rsidTr="00AE7E7D">
        <w:tc>
          <w:tcPr>
            <w:tcW w:w="9214" w:type="dxa"/>
          </w:tcPr>
          <w:p w14:paraId="2FD9B1A0" w14:textId="77777777" w:rsidR="00EC6E12" w:rsidRPr="00EC6E12" w:rsidRDefault="00EC6E12" w:rsidP="00EC6E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130487" w14:paraId="47880FBB" w14:textId="77777777" w:rsidTr="00AE7E7D">
        <w:tc>
          <w:tcPr>
            <w:tcW w:w="9214" w:type="dxa"/>
          </w:tcPr>
          <w:p w14:paraId="42C62BB8" w14:textId="77777777" w:rsidR="00130487" w:rsidRDefault="00130487" w:rsidP="00EC6E1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49D04343" w14:textId="77777777" w:rsidR="00EC6E12" w:rsidRDefault="00EC6E12" w:rsidP="00EC6E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6946"/>
        <w:gridCol w:w="141"/>
      </w:tblGrid>
      <w:tr w:rsidR="00EC6E12" w14:paraId="0C4C18F9" w14:textId="77777777" w:rsidTr="00AE7E7D">
        <w:tc>
          <w:tcPr>
            <w:tcW w:w="9214" w:type="dxa"/>
            <w:gridSpan w:val="4"/>
          </w:tcPr>
          <w:p w14:paraId="55B1425F" w14:textId="77777777" w:rsidR="00EC6E12" w:rsidRPr="00EC6E12" w:rsidRDefault="00EC6E12" w:rsidP="00EC6E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30487" w14:paraId="18E53E91" w14:textId="77777777" w:rsidTr="00AE7E7D">
        <w:tc>
          <w:tcPr>
            <w:tcW w:w="568" w:type="dxa"/>
          </w:tcPr>
          <w:p w14:paraId="5E66AF7E" w14:textId="77777777" w:rsidR="00130487" w:rsidRDefault="00130487" w:rsidP="00130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9" w:type="dxa"/>
          </w:tcPr>
          <w:p w14:paraId="246766F7" w14:textId="77777777" w:rsidR="00130487" w:rsidRPr="00EC6E12" w:rsidRDefault="00130487" w:rsidP="00130487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7087" w:type="dxa"/>
            <w:gridSpan w:val="2"/>
          </w:tcPr>
          <w:p w14:paraId="2DE5E4AD" w14:textId="77777777" w:rsidR="0079260F" w:rsidRPr="0079260F" w:rsidRDefault="0079260F" w:rsidP="00155578">
            <w:pPr>
              <w:pStyle w:val="NoSpacing"/>
              <w:ind w:firstLine="311"/>
              <w:jc w:val="both"/>
              <w:rPr>
                <w:rFonts w:ascii="Times New Roman" w:hAnsi="Times New Roman" w:cs="Times New Roman"/>
                <w:sz w:val="24"/>
              </w:rPr>
            </w:pPr>
            <w:r w:rsidRPr="0079260F">
              <w:rPr>
                <w:rFonts w:ascii="Times New Roman" w:hAnsi="Times New Roman" w:cs="Times New Roman"/>
                <w:sz w:val="24"/>
              </w:rPr>
              <w:t xml:space="preserve">Ministru kabineta rīkojuma projekts “Par finanšu līdzekļu piešķiršanu no valsts budžeta programmas “Līdzekļi neparedzētiem gadījumiem”” (turpmāk – rīkojuma projekts) izstrādāts, pamatojoties uz: </w:t>
            </w:r>
          </w:p>
          <w:p w14:paraId="67829D9B" w14:textId="12323F98" w:rsidR="00130487" w:rsidRPr="008E4FC3" w:rsidRDefault="0079260F" w:rsidP="008E4FC3">
            <w:pPr>
              <w:pStyle w:val="NoSpacing"/>
              <w:ind w:firstLine="311"/>
              <w:jc w:val="both"/>
              <w:rPr>
                <w:rFonts w:ascii="Times New Roman" w:hAnsi="Times New Roman" w:cs="Times New Roman"/>
                <w:sz w:val="24"/>
              </w:rPr>
            </w:pPr>
            <w:r w:rsidRPr="0079260F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922E9E" w:rsidRPr="00922E9E">
              <w:rPr>
                <w:rFonts w:ascii="Times New Roman" w:hAnsi="Times New Roman" w:cs="Times New Roman"/>
                <w:sz w:val="24"/>
              </w:rPr>
              <w:t xml:space="preserve">Ministru kabineta 2018. gada 17. jūlija noteikumu Nr.421 “Kārtība, kādā veic gadskārtējā valsts budžeta likumā noteiktās apropriācijas izmaiņas” 41.punktu, kas nosaka, ka  līdzekļus no programmas </w:t>
            </w:r>
            <w:r w:rsidR="00DA6113">
              <w:rPr>
                <w:rFonts w:ascii="Times New Roman" w:hAnsi="Times New Roman" w:cs="Times New Roman"/>
                <w:sz w:val="24"/>
              </w:rPr>
              <w:t>“</w:t>
            </w:r>
            <w:r w:rsidR="00922E9E" w:rsidRPr="00922E9E">
              <w:rPr>
                <w:rFonts w:ascii="Times New Roman" w:hAnsi="Times New Roman" w:cs="Times New Roman"/>
                <w:sz w:val="24"/>
              </w:rPr>
              <w:t>Līdzekļi neparedzētiem gadījumiem</w:t>
            </w:r>
            <w:r w:rsidR="00DA6113">
              <w:rPr>
                <w:rFonts w:ascii="Times New Roman" w:hAnsi="Times New Roman" w:cs="Times New Roman"/>
                <w:sz w:val="24"/>
              </w:rPr>
              <w:t>”</w:t>
            </w:r>
            <w:r w:rsidR="00922E9E" w:rsidRPr="00922E9E">
              <w:rPr>
                <w:rFonts w:ascii="Times New Roman" w:hAnsi="Times New Roman" w:cs="Times New Roman"/>
                <w:sz w:val="24"/>
              </w:rPr>
              <w:t xml:space="preserve"> piešķir valstiski īpaši nozīmīgiem pasākumiem, valsts pamatbudžeta apropriācijās neparedzētiem izdevumiem katastrofu un dabas stihiju seku novēršanai un to radīto zaudējumu kompensēšanai un citiem neparedzētiem gadījumiem</w:t>
            </w:r>
            <w:r w:rsidR="008E4FC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9260F" w14:paraId="7A5EA76B" w14:textId="77777777" w:rsidTr="00AE7E7D">
        <w:tc>
          <w:tcPr>
            <w:tcW w:w="568" w:type="dxa"/>
          </w:tcPr>
          <w:p w14:paraId="2D9E12CC" w14:textId="77777777" w:rsidR="0079260F" w:rsidRDefault="0079260F" w:rsidP="007926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9" w:type="dxa"/>
          </w:tcPr>
          <w:p w14:paraId="2443F8F3" w14:textId="77777777" w:rsidR="00152501" w:rsidRDefault="0079260F" w:rsidP="0079260F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EB237C6" w14:textId="77777777" w:rsidR="0079260F" w:rsidRPr="00152501" w:rsidRDefault="0079260F" w:rsidP="00152501">
            <w:pPr>
              <w:jc w:val="center"/>
            </w:pPr>
          </w:p>
        </w:tc>
        <w:tc>
          <w:tcPr>
            <w:tcW w:w="7087" w:type="dxa"/>
            <w:gridSpan w:val="2"/>
          </w:tcPr>
          <w:p w14:paraId="76129B4A" w14:textId="77777777" w:rsidR="008F2600" w:rsidRPr="008F2600" w:rsidRDefault="00B87199" w:rsidP="008F2600">
            <w:pPr>
              <w:ind w:right="26" w:firstLine="453"/>
              <w:jc w:val="both"/>
            </w:pPr>
            <w:r>
              <w:rPr>
                <w:color w:val="000000"/>
              </w:rPr>
              <w:t xml:space="preserve">SIA </w:t>
            </w:r>
            <w:r w:rsidR="009C6CD1">
              <w:rPr>
                <w:color w:val="000000"/>
              </w:rPr>
              <w:t>“</w:t>
            </w:r>
            <w:r>
              <w:rPr>
                <w:color w:val="000000"/>
              </w:rPr>
              <w:t>Rīgas Austrumu klīniskā universitātes slimnīca</w:t>
            </w:r>
            <w:r w:rsidR="009C6CD1">
              <w:rPr>
                <w:color w:val="000000"/>
              </w:rPr>
              <w:t>” stacionāra “</w:t>
            </w:r>
            <w:r w:rsidR="009C6CD1" w:rsidRPr="009C6CD1">
              <w:t>Latvijas Onkoloģijas centrs</w:t>
            </w:r>
            <w:r w:rsidR="009C6CD1" w:rsidRPr="009C6CD1">
              <w:rPr>
                <w:color w:val="000000"/>
              </w:rPr>
              <w:t>”</w:t>
            </w:r>
            <w:r w:rsidR="009C6CD1">
              <w:rPr>
                <w:color w:val="000000"/>
              </w:rPr>
              <w:t xml:space="preserve"> (turpmāk – LOC) </w:t>
            </w:r>
            <w:r w:rsidR="009C6CD1" w:rsidRPr="009C6CD1">
              <w:rPr>
                <w:bCs/>
              </w:rPr>
              <w:t>ēka</w:t>
            </w:r>
            <w:r w:rsidR="009C6CD1">
              <w:rPr>
                <w:bCs/>
              </w:rPr>
              <w:t xml:space="preserve"> ir </w:t>
            </w:r>
            <w:r w:rsidR="009C6CD1" w:rsidRPr="009C6CD1">
              <w:t xml:space="preserve">būvēta un nodota ekspluatācijā </w:t>
            </w:r>
            <w:r w:rsidR="009C6CD1" w:rsidRPr="009C6CD1">
              <w:rPr>
                <w:color w:val="000000"/>
              </w:rPr>
              <w:t>1980.gadā</w:t>
            </w:r>
            <w:r w:rsidR="009C6CD1" w:rsidRPr="009C6CD1">
              <w:t xml:space="preserve"> un tajā esošās </w:t>
            </w:r>
            <w:proofErr w:type="spellStart"/>
            <w:r w:rsidR="009C6CD1" w:rsidRPr="009C6CD1">
              <w:t>inženiersistēmas</w:t>
            </w:r>
            <w:proofErr w:type="spellEnd"/>
            <w:r w:rsidR="009C6CD1" w:rsidRPr="009C6CD1">
              <w:t xml:space="preserve"> - ūdens, kanalizācijas, siltumtīkli un elektrotīkli līdz šim ir ekspluatēti bez pārbūves jau 38 gadus, veicot tikai to remontu ārkārtas gadījumos</w:t>
            </w:r>
            <w:r w:rsidR="008F2600">
              <w:t>, līdz ar to</w:t>
            </w:r>
            <w:r w:rsidR="009C6CD1" w:rsidRPr="009C6CD1">
              <w:t xml:space="preserve"> LOC ēkas </w:t>
            </w:r>
            <w:proofErr w:type="spellStart"/>
            <w:r w:rsidR="009C6CD1" w:rsidRPr="009C6CD1">
              <w:t>inženiersistēmas</w:t>
            </w:r>
            <w:proofErr w:type="spellEnd"/>
            <w:r w:rsidR="009C6CD1" w:rsidRPr="009C6CD1">
              <w:t xml:space="preserve"> ir fiziski un morāli novecojušas, tai skaitā vairākas atrodas </w:t>
            </w:r>
            <w:proofErr w:type="spellStart"/>
            <w:r w:rsidR="009C6CD1" w:rsidRPr="009C6CD1">
              <w:t>pirmsavārijas</w:t>
            </w:r>
            <w:proofErr w:type="spellEnd"/>
            <w:r w:rsidR="009C6CD1" w:rsidRPr="009C6CD1">
              <w:t xml:space="preserve"> stāvoklī, un</w:t>
            </w:r>
            <w:r w:rsidR="008F2600">
              <w:t xml:space="preserve"> steidzami</w:t>
            </w:r>
            <w:r w:rsidR="009C6CD1" w:rsidRPr="009C6CD1">
              <w:t xml:space="preserve"> būtu veicami to atjaunošanas darbi.</w:t>
            </w:r>
          </w:p>
          <w:p w14:paraId="39493B55" w14:textId="5CAD05B3" w:rsidR="0031401C" w:rsidRPr="009C6CD1" w:rsidRDefault="009C6CD1" w:rsidP="002A3A1E">
            <w:pPr>
              <w:ind w:right="26" w:firstLine="453"/>
              <w:jc w:val="both"/>
            </w:pPr>
            <w:r w:rsidRPr="00736C5D">
              <w:t xml:space="preserve">2011.gadā tika konstatētas būtiskas problēmas ūdensvadu un kanalizācijas sistēmu darbībā, līdz ar to, 2011.gadā tika izstrādāts </w:t>
            </w:r>
            <w:r w:rsidR="008F2600" w:rsidRPr="00736C5D">
              <w:t>t</w:t>
            </w:r>
            <w:r w:rsidRPr="00736C5D">
              <w:t xml:space="preserve">ehniskais projekts </w:t>
            </w:r>
            <w:r w:rsidRPr="00736C5D">
              <w:rPr>
                <w:i/>
              </w:rPr>
              <w:t xml:space="preserve">“Stacionāra “Latvijas Onkoloģijas centrs” ūdens apgādes sistēmas rekonstrukcija”. </w:t>
            </w:r>
          </w:p>
          <w:p w14:paraId="1675F1B2" w14:textId="5C49408A" w:rsidR="002A3A1E" w:rsidRDefault="009C6CD1" w:rsidP="002A3A1E">
            <w:pPr>
              <w:ind w:right="26" w:firstLine="453"/>
              <w:jc w:val="both"/>
            </w:pPr>
            <w:r w:rsidRPr="009C6CD1">
              <w:t>Konstatējams, ka jau vairāku gadu garumā, lai novērstu avārijas stāvokli, regulāri nepieciešami finanšu līdzekļi un papildus cilvēkresursu piesaiste steidzamiem remontdarbiem, avāriju novēršanai (</w:t>
            </w:r>
            <w:proofErr w:type="spellStart"/>
            <w:r w:rsidRPr="009C6CD1">
              <w:t>korodējušo</w:t>
            </w:r>
            <w:proofErr w:type="spellEnd"/>
            <w:r w:rsidRPr="009C6CD1">
              <w:t xml:space="preserve"> cauruļu plīsumu risku novēršanai žņaugu (</w:t>
            </w:r>
            <w:proofErr w:type="spellStart"/>
            <w:r w:rsidRPr="009C6CD1">
              <w:t>remontskavu</w:t>
            </w:r>
            <w:proofErr w:type="spellEnd"/>
            <w:r w:rsidRPr="009C6CD1">
              <w:t xml:space="preserve">) uzlikšana u.c.), jo pastāv augsts risks cauruļu plīsumam, ņemot vērā, ka atsevišķi cauruļu posmi ir uz sabrukuma robežas. Kopš daļējas inženiertīklu atjaunošanas brīža arī pārējos LOC korpusos </w:t>
            </w:r>
            <w:proofErr w:type="spellStart"/>
            <w:r w:rsidRPr="009C6CD1">
              <w:t>inženierapgādes</w:t>
            </w:r>
            <w:proofErr w:type="spellEnd"/>
            <w:r w:rsidRPr="009C6CD1">
              <w:t xml:space="preserve"> tīklu stāvoklis ir būtiski pasliktinājies – atbilstoši tehniskajam novērtējam ūdensvada un kanalizācijas tīklu nolietojums ir sasniedzis 90%, kas ir uzskatāms par avārijas stāvokli un nepieciešama nekavējoša tīklu atjaunošana. </w:t>
            </w:r>
          </w:p>
          <w:p w14:paraId="3BFD7114" w14:textId="0060C63C" w:rsidR="002A3A1E" w:rsidRDefault="00424A5C" w:rsidP="00424A5C">
            <w:pPr>
              <w:ind w:right="26"/>
              <w:jc w:val="both"/>
            </w:pPr>
            <w:r>
              <w:t xml:space="preserve">       </w:t>
            </w:r>
            <w:r w:rsidR="002A3A1E" w:rsidRPr="002A3A1E">
              <w:t>2019.gada 6.martā ir noslēgts līgums Nr.</w:t>
            </w:r>
            <w:r w:rsidR="002A3A1E">
              <w:t>B</w:t>
            </w:r>
            <w:r w:rsidR="002A3A1E" w:rsidRPr="002A3A1E">
              <w:t xml:space="preserve">8-2019/174 ar tehniskā projekta autoru SIA”PRO VIA”, par izmaiņu veikšanu iepriekš izstrādātajā </w:t>
            </w:r>
            <w:r w:rsidR="007F60D1">
              <w:t>t</w:t>
            </w:r>
            <w:r w:rsidR="002A3A1E" w:rsidRPr="002A3A1E">
              <w:t xml:space="preserve">ehniskajā projektā </w:t>
            </w:r>
            <w:r w:rsidR="002A3A1E" w:rsidRPr="002A3A1E">
              <w:rPr>
                <w:i/>
              </w:rPr>
              <w:t>“Stacionāra “Latvijas Onkoloģijas centrs” ūdensvada rekonstrukcija</w:t>
            </w:r>
            <w:r w:rsidR="002A3A1E" w:rsidRPr="00736C5D">
              <w:rPr>
                <w:i/>
              </w:rPr>
              <w:t>”.</w:t>
            </w:r>
            <w:r w:rsidR="002A3A1E" w:rsidRPr="00736C5D">
              <w:t xml:space="preserve"> </w:t>
            </w:r>
            <w:r w:rsidR="004411A4">
              <w:t>Iepriekš minētā l</w:t>
            </w:r>
            <w:r w:rsidR="002A3A1E" w:rsidRPr="00736C5D">
              <w:t>īguma ietvaros</w:t>
            </w:r>
            <w:r w:rsidR="00244D98">
              <w:t xml:space="preserve"> tika veikta kritiskā stāvoklī esošo inženierkomunikāciju tehniskā apsekošana</w:t>
            </w:r>
            <w:r w:rsidR="00171AFD">
              <w:t xml:space="preserve"> un atzinums izsniegts 2019.gada 27.martā</w:t>
            </w:r>
            <w:r w:rsidR="00244D98">
              <w:t>.</w:t>
            </w:r>
            <w:r w:rsidR="00027250" w:rsidRPr="00736C5D">
              <w:t xml:space="preserve"> </w:t>
            </w:r>
            <w:r w:rsidR="00E91834">
              <w:t xml:space="preserve">Apsekošanas </w:t>
            </w:r>
            <w:r w:rsidR="00E91834">
              <w:lastRenderedPageBreak/>
              <w:t>rezultātā tika konstatēts</w:t>
            </w:r>
            <w:r w:rsidR="00DA54D3">
              <w:t>, ka</w:t>
            </w:r>
            <w:r w:rsidR="00E91834">
              <w:t xml:space="preserve"> LOK ēkas</w:t>
            </w:r>
            <w:r w:rsidR="00432D46">
              <w:t xml:space="preserve"> ūdensapgādes un kanalizācijas sistēmas darbības nodrošināšanai</w:t>
            </w:r>
            <w:r w:rsidR="00DA54D3">
              <w:t>/ uzlabošanai</w:t>
            </w:r>
            <w:r w:rsidR="00432D46">
              <w:t xml:space="preserve"> steidzami </w:t>
            </w:r>
            <w:r w:rsidR="00E91834">
              <w:t xml:space="preserve"> </w:t>
            </w:r>
            <w:r w:rsidR="00AC72B8">
              <w:t>nepieciešams veikt:</w:t>
            </w:r>
          </w:p>
          <w:p w14:paraId="6F4C746D" w14:textId="150B4B94" w:rsidR="00AC72B8" w:rsidRDefault="00AC72B8" w:rsidP="00AC72B8">
            <w:pPr>
              <w:pStyle w:val="ListParagraph"/>
              <w:numPr>
                <w:ilvl w:val="0"/>
                <w:numId w:val="9"/>
              </w:numPr>
              <w:ind w:right="26"/>
              <w:jc w:val="both"/>
            </w:pPr>
            <w:r>
              <w:t>kritiskā stāvoklī esošo cauruļvadu posmu pārbūvi;</w:t>
            </w:r>
          </w:p>
          <w:p w14:paraId="426BEEDB" w14:textId="0C472C5C" w:rsidR="00AC72B8" w:rsidRDefault="00AC72B8" w:rsidP="00AC72B8">
            <w:pPr>
              <w:pStyle w:val="ListParagraph"/>
              <w:numPr>
                <w:ilvl w:val="0"/>
                <w:numId w:val="9"/>
              </w:numPr>
              <w:ind w:right="26"/>
              <w:jc w:val="both"/>
            </w:pPr>
            <w:r>
              <w:t>esošo cauruļvadu stiprinājumu papildināšanu;</w:t>
            </w:r>
          </w:p>
          <w:p w14:paraId="667E06B9" w14:textId="65B116E0" w:rsidR="00AC72B8" w:rsidRDefault="00AC72B8" w:rsidP="00AC72B8">
            <w:pPr>
              <w:pStyle w:val="ListParagraph"/>
              <w:numPr>
                <w:ilvl w:val="0"/>
                <w:numId w:val="9"/>
              </w:numPr>
              <w:ind w:right="26"/>
              <w:jc w:val="both"/>
            </w:pPr>
            <w:r>
              <w:t>visa ūdens ievada mezgla pārbūvi;</w:t>
            </w:r>
          </w:p>
          <w:p w14:paraId="1073F4F1" w14:textId="603B7C35" w:rsidR="00AC72B8" w:rsidRDefault="00AC72B8" w:rsidP="00AC72B8">
            <w:pPr>
              <w:pStyle w:val="ListParagraph"/>
              <w:numPr>
                <w:ilvl w:val="0"/>
                <w:numId w:val="9"/>
              </w:numPr>
              <w:ind w:right="26"/>
              <w:jc w:val="both"/>
            </w:pPr>
            <w:r>
              <w:t>maģistrālo ūdensvadu un pievadu pārbūvi;</w:t>
            </w:r>
          </w:p>
          <w:p w14:paraId="3C4B0644" w14:textId="08F17800" w:rsidR="00AC72B8" w:rsidRDefault="00AC72B8" w:rsidP="00AC72B8">
            <w:pPr>
              <w:pStyle w:val="ListParagraph"/>
              <w:numPr>
                <w:ilvl w:val="0"/>
                <w:numId w:val="9"/>
              </w:numPr>
              <w:ind w:right="26"/>
              <w:jc w:val="both"/>
            </w:pPr>
            <w:r>
              <w:t xml:space="preserve">visas </w:t>
            </w:r>
            <w:proofErr w:type="spellStart"/>
            <w:r>
              <w:t>noslēgarmatūras</w:t>
            </w:r>
            <w:proofErr w:type="spellEnd"/>
            <w:r>
              <w:t xml:space="preserve"> maiņu;</w:t>
            </w:r>
          </w:p>
          <w:p w14:paraId="6623DE0D" w14:textId="261E263E" w:rsidR="00AC72B8" w:rsidRDefault="00AC72B8" w:rsidP="00AC72B8">
            <w:pPr>
              <w:pStyle w:val="ListParagraph"/>
              <w:numPr>
                <w:ilvl w:val="0"/>
                <w:numId w:val="9"/>
              </w:numPr>
              <w:ind w:right="26"/>
              <w:jc w:val="both"/>
            </w:pPr>
            <w:r>
              <w:t>kompensācijas posmu izbūvi uz maģistrāļu taisnajiem posmiem;</w:t>
            </w:r>
          </w:p>
          <w:p w14:paraId="62016D49" w14:textId="41D67262" w:rsidR="00AC72B8" w:rsidRDefault="00AC72B8" w:rsidP="00AC72B8">
            <w:pPr>
              <w:pStyle w:val="ListParagraph"/>
              <w:numPr>
                <w:ilvl w:val="0"/>
                <w:numId w:val="9"/>
              </w:numPr>
              <w:ind w:right="26"/>
              <w:jc w:val="both"/>
            </w:pPr>
            <w:r>
              <w:t>nepieciešamo izolāciju izbūvi ap cauruļvadiem, tai skaitā šķērsojumu vietās;</w:t>
            </w:r>
          </w:p>
          <w:p w14:paraId="268CD0C2" w14:textId="1DDB3242" w:rsidR="00AC72B8" w:rsidRDefault="00AC72B8" w:rsidP="00AC72B8">
            <w:pPr>
              <w:pStyle w:val="ListParagraph"/>
              <w:numPr>
                <w:ilvl w:val="0"/>
                <w:numId w:val="9"/>
              </w:numPr>
              <w:ind w:right="26"/>
              <w:jc w:val="both"/>
            </w:pPr>
            <w:r>
              <w:t>kanalizācijas saslēgumu un izvadu rekonstrukciju;</w:t>
            </w:r>
          </w:p>
          <w:p w14:paraId="5CDAC6CC" w14:textId="72045056" w:rsidR="00AC72B8" w:rsidRDefault="00AC72B8" w:rsidP="0027542F">
            <w:pPr>
              <w:pStyle w:val="ListParagraph"/>
              <w:numPr>
                <w:ilvl w:val="0"/>
                <w:numId w:val="9"/>
              </w:numPr>
              <w:ind w:right="26"/>
              <w:jc w:val="both"/>
            </w:pPr>
            <w:r>
              <w:t>kanalizācijas sistēmas elementu izveidi vai sakārtošanu (grīdas ūdeņu savākšanas bedres ar sūkņiem, trapi).</w:t>
            </w:r>
          </w:p>
          <w:p w14:paraId="30B453DF" w14:textId="77777777" w:rsidR="00EB322C" w:rsidRPr="009C6CD1" w:rsidRDefault="00EB322C" w:rsidP="00424A5C">
            <w:pPr>
              <w:ind w:right="26"/>
              <w:jc w:val="both"/>
            </w:pPr>
          </w:p>
          <w:p w14:paraId="07098F3B" w14:textId="41B19501" w:rsidR="00E5071E" w:rsidRPr="008F2600" w:rsidRDefault="00E5071E" w:rsidP="008F2600">
            <w:pPr>
              <w:pStyle w:val="xmsonormal"/>
              <w:shd w:val="clear" w:color="auto" w:fill="FFFFFF"/>
              <w:spacing w:before="0" w:beforeAutospacing="0" w:after="0" w:afterAutospacing="0"/>
              <w:ind w:firstLine="28"/>
              <w:jc w:val="both"/>
              <w:rPr>
                <w:iCs/>
                <w:color w:val="000000"/>
              </w:rPr>
            </w:pPr>
            <w:r w:rsidRPr="00E5071E">
              <w:t xml:space="preserve">       </w:t>
            </w:r>
            <w:r w:rsidR="008F2600" w:rsidRPr="00B87199">
              <w:rPr>
                <w:iCs/>
                <w:color w:val="000000"/>
              </w:rPr>
              <w:t>Šobrīd onkoloģisko slimību ārstēšana ir noteikta kā valsts prioritāte – tiek iegādāts jauns aprīkojums, palielinājies sniegto pakalpojumu skaits un pacientu skaits. Neveicot iekšējo inženiertīklu atjaunošana paaugstinās risks iekārtu bojājumiem, pakalpojumu sniegšanas pārtraukumiem, kā arī var samazināties sniegto pakalpojumu kvalitāte.</w:t>
            </w:r>
            <w:r w:rsidR="008F2600">
              <w:rPr>
                <w:iCs/>
                <w:color w:val="000000"/>
              </w:rPr>
              <w:t xml:space="preserve"> </w:t>
            </w:r>
            <w:r w:rsidR="008F2600">
              <w:rPr>
                <w:bCs/>
                <w:color w:val="000000"/>
              </w:rPr>
              <w:t>P</w:t>
            </w:r>
            <w:r w:rsidRPr="00E5071E">
              <w:rPr>
                <w:bCs/>
                <w:color w:val="000000"/>
              </w:rPr>
              <w:t xml:space="preserve">rognozētās ūdensvada un kanalizācijas sistēmas un siltummezgla atjaunošanas izmaksas ir </w:t>
            </w:r>
            <w:r w:rsidR="00355F77">
              <w:rPr>
                <w:bCs/>
                <w:color w:val="000000"/>
              </w:rPr>
              <w:t>600 0</w:t>
            </w:r>
            <w:r w:rsidR="00AB3B98">
              <w:rPr>
                <w:bCs/>
                <w:color w:val="000000"/>
              </w:rPr>
              <w:t>97</w:t>
            </w:r>
            <w:r w:rsidRPr="00E5071E">
              <w:rPr>
                <w:bCs/>
                <w:color w:val="000000"/>
              </w:rPr>
              <w:t xml:space="preserve"> </w:t>
            </w:r>
            <w:proofErr w:type="spellStart"/>
            <w:r w:rsidRPr="00E5071E">
              <w:rPr>
                <w:bCs/>
                <w:i/>
                <w:color w:val="000000"/>
              </w:rPr>
              <w:t>euro</w:t>
            </w:r>
            <w:proofErr w:type="spellEnd"/>
            <w:r w:rsidRPr="00E5071E">
              <w:rPr>
                <w:bCs/>
                <w:i/>
                <w:color w:val="000000"/>
              </w:rPr>
              <w:t xml:space="preserve"> </w:t>
            </w:r>
            <w:r w:rsidRPr="009F6BA5">
              <w:rPr>
                <w:bCs/>
                <w:color w:val="000000"/>
              </w:rPr>
              <w:t>(ieskaitot PVN</w:t>
            </w:r>
            <w:r w:rsidRPr="00F83ADA">
              <w:rPr>
                <w:bCs/>
                <w:color w:val="000000"/>
              </w:rPr>
              <w:t>)</w:t>
            </w:r>
            <w:r w:rsidRPr="00F83ADA">
              <w:rPr>
                <w:color w:val="000000"/>
              </w:rPr>
              <w:t>.</w:t>
            </w:r>
            <w:r w:rsidRPr="00E5071E">
              <w:rPr>
                <w:bCs/>
                <w:i/>
                <w:color w:val="000000"/>
              </w:rPr>
              <w:t xml:space="preserve"> </w:t>
            </w:r>
          </w:p>
          <w:p w14:paraId="14C88328" w14:textId="77777777" w:rsidR="008F2600" w:rsidRDefault="008F2600" w:rsidP="0099689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14:paraId="6B5C5C43" w14:textId="1A834E05" w:rsidR="003872F2" w:rsidRDefault="003872F2" w:rsidP="003872F2">
            <w:pPr>
              <w:tabs>
                <w:tab w:val="left" w:pos="631"/>
              </w:tabs>
              <w:ind w:firstLine="311"/>
              <w:jc w:val="both"/>
            </w:pPr>
            <w:r w:rsidRPr="003523F6">
              <w:t xml:space="preserve">Rīkojuma projekts paredz </w:t>
            </w:r>
            <w:r>
              <w:t xml:space="preserve">Finanšu ministrijai no valsts budžeta programmas 02.00.00 </w:t>
            </w:r>
            <w:r w:rsidR="00825702">
              <w:t>“</w:t>
            </w:r>
            <w:r>
              <w:t>Līdzekļi neparedzētiem gadījumiem</w:t>
            </w:r>
            <w:r w:rsidR="00825702">
              <w:t>”</w:t>
            </w:r>
            <w:r>
              <w:t xml:space="preserve"> piešķirt Veselības ministrijai</w:t>
            </w:r>
            <w:r w:rsidR="0066140A">
              <w:t xml:space="preserve"> ne vairāk kā</w:t>
            </w:r>
            <w:r>
              <w:t xml:space="preserve"> </w:t>
            </w:r>
            <w:r w:rsidR="002B03C0">
              <w:t>6</w:t>
            </w:r>
            <w:r w:rsidR="00355F77">
              <w:t>00 0</w:t>
            </w:r>
            <w:r w:rsidR="00654C92">
              <w:t>97</w:t>
            </w:r>
            <w:r>
              <w:t xml:space="preserve"> </w:t>
            </w:r>
            <w:proofErr w:type="spellStart"/>
            <w:r w:rsidRPr="007E3BCE">
              <w:rPr>
                <w:i/>
              </w:rPr>
              <w:t>euro</w:t>
            </w:r>
            <w:proofErr w:type="spellEnd"/>
            <w:r>
              <w:t>, lai</w:t>
            </w:r>
            <w:r w:rsidR="007E21B1">
              <w:t xml:space="preserve"> </w:t>
            </w:r>
            <w:r>
              <w:t xml:space="preserve"> </w:t>
            </w:r>
            <w:r w:rsidR="007B1712">
              <w:t xml:space="preserve">nodrošinātu </w:t>
            </w:r>
            <w:r>
              <w:t xml:space="preserve">SIA “Rīgas Austrumu klīniskā universitātes slimnīca” </w:t>
            </w:r>
            <w:r w:rsidR="007B1712">
              <w:t xml:space="preserve">stacionāra </w:t>
            </w:r>
            <w:r>
              <w:t>L</w:t>
            </w:r>
            <w:r w:rsidR="008F2600">
              <w:t>OC</w:t>
            </w:r>
            <w:r>
              <w:t xml:space="preserve"> ūdensapgādes sistēmas atjaunošanu.</w:t>
            </w:r>
          </w:p>
          <w:p w14:paraId="5C7FE89E" w14:textId="6F64232C" w:rsidR="00FB254A" w:rsidRPr="00FB254A" w:rsidRDefault="00710C61" w:rsidP="00710C61">
            <w:pPr>
              <w:pStyle w:val="tv213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</w:t>
            </w:r>
            <w:r w:rsidR="00FB254A" w:rsidRPr="00FB254A">
              <w:rPr>
                <w:color w:val="000000"/>
                <w:shd w:val="clear" w:color="auto" w:fill="FFFFFF"/>
              </w:rPr>
              <w:t>Veselības ministrija normatīvajos aktos noteiktajā kārtībā sagatavo</w:t>
            </w:r>
            <w:r>
              <w:rPr>
                <w:color w:val="000000"/>
                <w:shd w:val="clear" w:color="auto" w:fill="FFFFFF"/>
              </w:rPr>
              <w:t>s</w:t>
            </w:r>
            <w:r w:rsidR="00FB254A" w:rsidRPr="00FB254A">
              <w:rPr>
                <w:color w:val="000000"/>
                <w:shd w:val="clear" w:color="auto" w:fill="FFFFFF"/>
              </w:rPr>
              <w:t xml:space="preserve"> un iesnieg</w:t>
            </w:r>
            <w:r>
              <w:rPr>
                <w:color w:val="000000"/>
                <w:shd w:val="clear" w:color="auto" w:fill="FFFFFF"/>
              </w:rPr>
              <w:t>s</w:t>
            </w:r>
            <w:r w:rsidR="00FB254A" w:rsidRPr="00FB254A">
              <w:rPr>
                <w:color w:val="000000"/>
                <w:shd w:val="clear" w:color="auto" w:fill="FFFFFF"/>
              </w:rPr>
              <w:t xml:space="preserve"> Finanšu ministrijā pieprasījumu par šā rīkojuma 1.punktā minēto līdzekļu piešķiršanu no līdzekļiem neparedzētiem gadījumiem atbilstoši faktiski nepieciešamajam apmēram.</w:t>
            </w:r>
          </w:p>
          <w:p w14:paraId="514C6229" w14:textId="77777777" w:rsidR="0079260F" w:rsidRPr="003523F6" w:rsidRDefault="0079260F" w:rsidP="00710C61">
            <w:pPr>
              <w:tabs>
                <w:tab w:val="left" w:pos="631"/>
              </w:tabs>
              <w:jc w:val="both"/>
              <w:rPr>
                <w:b/>
              </w:rPr>
            </w:pPr>
          </w:p>
        </w:tc>
      </w:tr>
      <w:tr w:rsidR="00130487" w14:paraId="1C345C4A" w14:textId="77777777" w:rsidTr="001447EF">
        <w:trPr>
          <w:gridAfter w:val="1"/>
          <w:wAfter w:w="141" w:type="dxa"/>
        </w:trPr>
        <w:tc>
          <w:tcPr>
            <w:tcW w:w="568" w:type="dxa"/>
          </w:tcPr>
          <w:p w14:paraId="1C499CA0" w14:textId="77777777" w:rsidR="00130487" w:rsidRDefault="00130487" w:rsidP="00130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9" w:type="dxa"/>
          </w:tcPr>
          <w:p w14:paraId="4F0A5734" w14:textId="77777777" w:rsidR="00130487" w:rsidRPr="00EC6E12" w:rsidRDefault="00130487" w:rsidP="00130487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6946" w:type="dxa"/>
          </w:tcPr>
          <w:p w14:paraId="5AC03EC1" w14:textId="77777777" w:rsidR="00130487" w:rsidRDefault="0079260F" w:rsidP="006335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260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Veselības ministrija,</w:t>
            </w:r>
            <w:r w:rsidR="003872F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02D5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Nacionālais veselības dienests, </w:t>
            </w:r>
            <w:r w:rsidR="001444C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SIA</w:t>
            </w:r>
            <w:r w:rsidR="003872F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“Rīgas Austrumu klīniskā universitātes slimnīca”.</w:t>
            </w:r>
          </w:p>
        </w:tc>
      </w:tr>
      <w:tr w:rsidR="00130487" w14:paraId="2F0CE37E" w14:textId="77777777" w:rsidTr="00AE7E7D">
        <w:tc>
          <w:tcPr>
            <w:tcW w:w="568" w:type="dxa"/>
          </w:tcPr>
          <w:p w14:paraId="1FC5451F" w14:textId="77777777" w:rsidR="00130487" w:rsidRDefault="00130487" w:rsidP="0013048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9" w:type="dxa"/>
          </w:tcPr>
          <w:p w14:paraId="6DF97F9D" w14:textId="77777777" w:rsidR="00130487" w:rsidRPr="00EC6E12" w:rsidRDefault="00130487" w:rsidP="00130487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087" w:type="dxa"/>
            <w:gridSpan w:val="2"/>
          </w:tcPr>
          <w:p w14:paraId="17A1A392" w14:textId="77777777" w:rsidR="00130487" w:rsidRDefault="006335C0" w:rsidP="006335C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C802F3E" w14:textId="77777777" w:rsidR="00EC6E12" w:rsidRPr="00EC6E12" w:rsidRDefault="00EC6E12" w:rsidP="00EC6E1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EC6E12" w14:paraId="4D9C9610" w14:textId="77777777" w:rsidTr="00AE7E7D">
        <w:tc>
          <w:tcPr>
            <w:tcW w:w="9214" w:type="dxa"/>
          </w:tcPr>
          <w:p w14:paraId="7CA12886" w14:textId="77777777" w:rsidR="00EC6E12" w:rsidRPr="00842AD1" w:rsidRDefault="00842AD1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42AD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55578" w14:paraId="2934F045" w14:textId="77777777" w:rsidTr="00AE7E7D">
        <w:tc>
          <w:tcPr>
            <w:tcW w:w="9214" w:type="dxa"/>
          </w:tcPr>
          <w:p w14:paraId="0B35C78C" w14:textId="77777777" w:rsidR="00155578" w:rsidRPr="00842AD1" w:rsidRDefault="00155578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</w:t>
            </w:r>
          </w:p>
        </w:tc>
      </w:tr>
    </w:tbl>
    <w:p w14:paraId="6EF2598F" w14:textId="77777777" w:rsidR="00842AD1" w:rsidRPr="00EC6E12" w:rsidRDefault="00E5323B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C6E12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268"/>
        <w:gridCol w:w="1000"/>
        <w:gridCol w:w="1134"/>
        <w:gridCol w:w="992"/>
        <w:gridCol w:w="992"/>
        <w:gridCol w:w="1134"/>
      </w:tblGrid>
      <w:tr w:rsidR="00842AD1" w14:paraId="01D161C0" w14:textId="77777777" w:rsidTr="00F34AD5">
        <w:tc>
          <w:tcPr>
            <w:tcW w:w="9214" w:type="dxa"/>
            <w:gridSpan w:val="8"/>
          </w:tcPr>
          <w:p w14:paraId="6262C2A0" w14:textId="77777777" w:rsidR="00842AD1" w:rsidRPr="00842AD1" w:rsidRDefault="00842AD1" w:rsidP="00842AD1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842AD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842AD1" w14:paraId="0E43E811" w14:textId="77777777" w:rsidTr="00F34AD5">
        <w:tc>
          <w:tcPr>
            <w:tcW w:w="1702" w:type="dxa"/>
            <w:vMerge w:val="restart"/>
          </w:tcPr>
          <w:p w14:paraId="589FAC42" w14:textId="77777777" w:rsidR="00842AD1" w:rsidRDefault="00842AD1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260" w:type="dxa"/>
            <w:gridSpan w:val="2"/>
            <w:vMerge w:val="restart"/>
          </w:tcPr>
          <w:p w14:paraId="00A051F3" w14:textId="77777777" w:rsidR="00842AD1" w:rsidRDefault="00037CA6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201</w:t>
            </w:r>
            <w:r w:rsidR="003872F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5252" w:type="dxa"/>
            <w:gridSpan w:val="5"/>
          </w:tcPr>
          <w:p w14:paraId="217485F6" w14:textId="77777777" w:rsidR="00842AD1" w:rsidRDefault="00842AD1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EC6E1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842AD1" w14:paraId="3C90D932" w14:textId="77777777" w:rsidTr="00F34AD5">
        <w:tc>
          <w:tcPr>
            <w:tcW w:w="1702" w:type="dxa"/>
            <w:vMerge/>
          </w:tcPr>
          <w:p w14:paraId="5E2A8DE8" w14:textId="77777777" w:rsidR="00842AD1" w:rsidRDefault="00842AD1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260" w:type="dxa"/>
            <w:gridSpan w:val="2"/>
            <w:vMerge/>
          </w:tcPr>
          <w:p w14:paraId="2192E88B" w14:textId="77777777" w:rsidR="00842AD1" w:rsidRDefault="00842AD1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134" w:type="dxa"/>
            <w:gridSpan w:val="2"/>
          </w:tcPr>
          <w:p w14:paraId="1BEFE3D5" w14:textId="77777777" w:rsidR="00842AD1" w:rsidRDefault="00037CA6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3872F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1984" w:type="dxa"/>
            <w:gridSpan w:val="2"/>
          </w:tcPr>
          <w:p w14:paraId="5D0412DB" w14:textId="77777777" w:rsidR="00842AD1" w:rsidRDefault="00037CA6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3872F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1134" w:type="dxa"/>
          </w:tcPr>
          <w:p w14:paraId="00544968" w14:textId="77777777" w:rsidR="00842AD1" w:rsidRDefault="00037CA6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3872F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</w:tr>
      <w:tr w:rsidR="006E71F7" w14:paraId="06911561" w14:textId="77777777" w:rsidTr="00F34AD5">
        <w:tc>
          <w:tcPr>
            <w:tcW w:w="1702" w:type="dxa"/>
            <w:vMerge/>
          </w:tcPr>
          <w:p w14:paraId="1BE938C5" w14:textId="77777777" w:rsidR="00842AD1" w:rsidRDefault="00842AD1" w:rsidP="00EC6E1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14:paraId="5D33AB1E" w14:textId="77777777" w:rsidR="00842AD1" w:rsidRDefault="00842AD1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268" w:type="dxa"/>
          </w:tcPr>
          <w:p w14:paraId="223877AA" w14:textId="77777777" w:rsidR="00842AD1" w:rsidRDefault="00842AD1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1000" w:type="dxa"/>
          </w:tcPr>
          <w:p w14:paraId="6B537F76" w14:textId="77777777" w:rsidR="00842AD1" w:rsidRDefault="00842AD1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134" w:type="dxa"/>
          </w:tcPr>
          <w:p w14:paraId="7D4DAF60" w14:textId="77777777" w:rsidR="006E71F7" w:rsidRDefault="00842AD1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izmaiņas, salīdzi</w:t>
            </w:r>
            <w:r w:rsidR="006E71F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</w:p>
          <w:p w14:paraId="284DEA17" w14:textId="77777777" w:rsidR="00842AD1" w:rsidRDefault="00842AD1" w:rsidP="00037CA6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not</w:t>
            </w:r>
            <w:proofErr w:type="spellEnd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ar vidēja termiņa budžeta ietvaru </w:t>
            </w:r>
            <w:r w:rsidR="00037CA6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2019.</w:t>
            </w: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992" w:type="dxa"/>
          </w:tcPr>
          <w:p w14:paraId="501A43B4" w14:textId="77777777" w:rsidR="00842AD1" w:rsidRDefault="00842AD1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992" w:type="dxa"/>
          </w:tcPr>
          <w:p w14:paraId="1AA437F2" w14:textId="77777777" w:rsidR="00037CA6" w:rsidRDefault="00037CA6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842AD1"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zmai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</w:p>
          <w:p w14:paraId="2902F371" w14:textId="77777777" w:rsidR="006E71F7" w:rsidRDefault="00842AD1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ņas</w:t>
            </w:r>
            <w:proofErr w:type="spellEnd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, salīdzi</w:t>
            </w:r>
            <w:r w:rsidR="006E71F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</w:p>
          <w:p w14:paraId="7141F630" w14:textId="77777777" w:rsidR="00842AD1" w:rsidRDefault="00842AD1" w:rsidP="00037CA6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not</w:t>
            </w:r>
            <w:proofErr w:type="spellEnd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ar vidēja termiņa budžeta ietvaru </w:t>
            </w:r>
            <w:r w:rsidR="00037CA6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2020.</w:t>
            </w: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1134" w:type="dxa"/>
          </w:tcPr>
          <w:p w14:paraId="0A8E7BDD" w14:textId="77777777" w:rsidR="006E71F7" w:rsidRDefault="00842AD1" w:rsidP="00842AD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izmaiņas, salīdzi</w:t>
            </w:r>
            <w:r w:rsidR="006E71F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-</w:t>
            </w:r>
          </w:p>
          <w:p w14:paraId="17327A78" w14:textId="77777777" w:rsidR="00842AD1" w:rsidRDefault="00842AD1" w:rsidP="00037CA6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proofErr w:type="spellStart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not</w:t>
            </w:r>
            <w:proofErr w:type="spellEnd"/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ar vidēja termiņa budžeta ietvaru </w:t>
            </w:r>
            <w:r w:rsidR="00037CA6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2021.</w:t>
            </w: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6E71F7" w14:paraId="1B891994" w14:textId="77777777" w:rsidTr="00F34AD5">
        <w:tc>
          <w:tcPr>
            <w:tcW w:w="1702" w:type="dxa"/>
            <w:vAlign w:val="center"/>
          </w:tcPr>
          <w:p w14:paraId="06EDDE2B" w14:textId="77777777"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92" w:type="dxa"/>
            <w:vAlign w:val="center"/>
          </w:tcPr>
          <w:p w14:paraId="6E70C660" w14:textId="77777777"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68" w:type="dxa"/>
            <w:vAlign w:val="center"/>
          </w:tcPr>
          <w:p w14:paraId="777737E6" w14:textId="77777777"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00" w:type="dxa"/>
            <w:vAlign w:val="center"/>
          </w:tcPr>
          <w:p w14:paraId="33A86978" w14:textId="77777777"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34" w:type="dxa"/>
            <w:vAlign w:val="center"/>
          </w:tcPr>
          <w:p w14:paraId="5EE2DE42" w14:textId="77777777"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92" w:type="dxa"/>
            <w:vAlign w:val="center"/>
          </w:tcPr>
          <w:p w14:paraId="4075769F" w14:textId="77777777"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992" w:type="dxa"/>
            <w:vAlign w:val="center"/>
          </w:tcPr>
          <w:p w14:paraId="75549A22" w14:textId="77777777"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134" w:type="dxa"/>
            <w:vAlign w:val="center"/>
          </w:tcPr>
          <w:p w14:paraId="49AA0B87" w14:textId="77777777" w:rsidR="00842AD1" w:rsidRPr="00EC6E12" w:rsidRDefault="00842AD1" w:rsidP="00842AD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CC0982" w14:paraId="3A66AE50" w14:textId="77777777" w:rsidTr="00F34AD5">
        <w:tc>
          <w:tcPr>
            <w:tcW w:w="1702" w:type="dxa"/>
            <w:vAlign w:val="center"/>
          </w:tcPr>
          <w:p w14:paraId="75A70CF1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992" w:type="dxa"/>
            <w:vAlign w:val="center"/>
          </w:tcPr>
          <w:p w14:paraId="24A87303" w14:textId="7E3EC005" w:rsidR="00CC0982" w:rsidRPr="00EC6E12" w:rsidRDefault="00D22CB4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14:paraId="6D50FE7F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14:paraId="5740481E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581B9C03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363CF542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5B99BA78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33937119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79AFC586" w14:textId="77777777" w:rsidTr="00F34AD5">
        <w:tc>
          <w:tcPr>
            <w:tcW w:w="1702" w:type="dxa"/>
            <w:vAlign w:val="center"/>
          </w:tcPr>
          <w:p w14:paraId="103A11ED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992" w:type="dxa"/>
            <w:vAlign w:val="center"/>
          </w:tcPr>
          <w:p w14:paraId="1ECE62ED" w14:textId="2D5A4883" w:rsidR="00CC0982" w:rsidRPr="00EC6E12" w:rsidRDefault="00D22CB4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14:paraId="6EB5EFEB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14:paraId="54C1F1B2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2F622616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635BED76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58B1AF0B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33951768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1E3C9D14" w14:textId="77777777" w:rsidTr="00F34AD5">
        <w:tc>
          <w:tcPr>
            <w:tcW w:w="1702" w:type="dxa"/>
            <w:vAlign w:val="center"/>
          </w:tcPr>
          <w:p w14:paraId="6739903A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992" w:type="dxa"/>
            <w:vAlign w:val="center"/>
          </w:tcPr>
          <w:p w14:paraId="265EE64D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14:paraId="21B5DAA9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14:paraId="58925232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006828FA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36F8A602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7C05747D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7852DEDC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15524172" w14:textId="77777777" w:rsidTr="00F34AD5">
        <w:tc>
          <w:tcPr>
            <w:tcW w:w="1702" w:type="dxa"/>
            <w:vAlign w:val="center"/>
          </w:tcPr>
          <w:p w14:paraId="1662C52F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992" w:type="dxa"/>
            <w:vAlign w:val="center"/>
          </w:tcPr>
          <w:p w14:paraId="66336966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14:paraId="5D5F5947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14:paraId="2DF0CFDC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0A630750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141C3A1E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19EE5144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66B0524D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3B7D0307" w14:textId="77777777" w:rsidTr="00F34AD5">
        <w:tc>
          <w:tcPr>
            <w:tcW w:w="1702" w:type="dxa"/>
            <w:vAlign w:val="center"/>
          </w:tcPr>
          <w:p w14:paraId="0FA5745B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992" w:type="dxa"/>
            <w:vAlign w:val="center"/>
          </w:tcPr>
          <w:p w14:paraId="596D748A" w14:textId="07722A4C" w:rsidR="00CC0982" w:rsidRPr="00EC6E12" w:rsidRDefault="00921789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14:paraId="571CB5C9" w14:textId="08D7ED5E" w:rsidR="00CC0982" w:rsidRPr="00EC6E12" w:rsidRDefault="00BE73AA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355F7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00 0</w:t>
            </w:r>
            <w:r w:rsidR="00B86ED9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000" w:type="dxa"/>
            <w:vAlign w:val="center"/>
          </w:tcPr>
          <w:p w14:paraId="0376D031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001D980F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0A5F2A08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7FDC1952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39C451A5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6C2F7AE0" w14:textId="77777777" w:rsidTr="00F34AD5">
        <w:tc>
          <w:tcPr>
            <w:tcW w:w="1702" w:type="dxa"/>
            <w:vAlign w:val="center"/>
          </w:tcPr>
          <w:p w14:paraId="45EA0673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992" w:type="dxa"/>
            <w:vAlign w:val="center"/>
          </w:tcPr>
          <w:p w14:paraId="3E063AA0" w14:textId="7F831FC7" w:rsidR="00CC0982" w:rsidRPr="00EC6E12" w:rsidRDefault="00921789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14:paraId="1003E598" w14:textId="4C52B9C7" w:rsidR="00CC0982" w:rsidRPr="00EC6E12" w:rsidRDefault="00BE73AA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355F77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00 0</w:t>
            </w:r>
            <w:r w:rsidR="00B86ED9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000" w:type="dxa"/>
            <w:vAlign w:val="center"/>
          </w:tcPr>
          <w:p w14:paraId="008BA70E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0894655C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40012069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06454503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2A752C41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24C4A296" w14:textId="77777777" w:rsidTr="00F34AD5">
        <w:tc>
          <w:tcPr>
            <w:tcW w:w="1702" w:type="dxa"/>
            <w:vAlign w:val="center"/>
          </w:tcPr>
          <w:p w14:paraId="7489C53A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992" w:type="dxa"/>
            <w:vAlign w:val="center"/>
          </w:tcPr>
          <w:p w14:paraId="64604AF6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14:paraId="5D28BA2C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14:paraId="7E7B1F05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5461F861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4D827AED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21B2C033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61841FCB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230E3EE3" w14:textId="77777777" w:rsidTr="00F34AD5">
        <w:tc>
          <w:tcPr>
            <w:tcW w:w="1702" w:type="dxa"/>
            <w:vAlign w:val="center"/>
          </w:tcPr>
          <w:p w14:paraId="269E274A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992" w:type="dxa"/>
            <w:vAlign w:val="center"/>
          </w:tcPr>
          <w:p w14:paraId="1C5610B6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14:paraId="2CCBCCE4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14:paraId="21801834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4A2D4068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450CB47E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13751008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0CF4B69C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3EFFEA35" w14:textId="77777777" w:rsidTr="00F34AD5">
        <w:tc>
          <w:tcPr>
            <w:tcW w:w="1702" w:type="dxa"/>
            <w:vAlign w:val="center"/>
          </w:tcPr>
          <w:p w14:paraId="748F577D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992" w:type="dxa"/>
            <w:vAlign w:val="center"/>
          </w:tcPr>
          <w:p w14:paraId="3A1C4C20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14:paraId="6AA128E3" w14:textId="371A3EFF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1496F">
              <w:rPr>
                <w:rFonts w:ascii="Times New Roman" w:hAnsi="Times New Roman" w:cs="Times New Roman"/>
                <w:sz w:val="24"/>
              </w:rPr>
              <w:t>–</w:t>
            </w:r>
            <w:r w:rsidR="00BE73AA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6D2F3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00 0</w:t>
            </w:r>
            <w:r w:rsidR="00B86ED9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000" w:type="dxa"/>
            <w:vAlign w:val="center"/>
          </w:tcPr>
          <w:p w14:paraId="43AA6E52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7C57222B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35C6B86B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239DB0D2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73953ADB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0141A109" w14:textId="77777777" w:rsidTr="00F34AD5">
        <w:tc>
          <w:tcPr>
            <w:tcW w:w="1702" w:type="dxa"/>
            <w:vAlign w:val="center"/>
          </w:tcPr>
          <w:p w14:paraId="7AC8B676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992" w:type="dxa"/>
            <w:vAlign w:val="center"/>
          </w:tcPr>
          <w:p w14:paraId="010CCA73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14:paraId="62BF61BC" w14:textId="5253FB31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1496F">
              <w:rPr>
                <w:rFonts w:ascii="Times New Roman" w:hAnsi="Times New Roman" w:cs="Times New Roman"/>
                <w:sz w:val="24"/>
              </w:rPr>
              <w:t>–</w:t>
            </w:r>
            <w:r w:rsidR="006D2F3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600 0</w:t>
            </w:r>
            <w:r w:rsidR="00B86ED9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000" w:type="dxa"/>
            <w:vAlign w:val="center"/>
          </w:tcPr>
          <w:p w14:paraId="63155FD5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460A6152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174452B2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33252A37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33D1589F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6B3D5FE8" w14:textId="77777777" w:rsidTr="00F34AD5">
        <w:tc>
          <w:tcPr>
            <w:tcW w:w="1702" w:type="dxa"/>
            <w:vAlign w:val="center"/>
          </w:tcPr>
          <w:p w14:paraId="4DCB7E81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992" w:type="dxa"/>
            <w:vAlign w:val="center"/>
          </w:tcPr>
          <w:p w14:paraId="12C10976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14:paraId="1294B6B5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14:paraId="6E31F220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0D22B48F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07757A0A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40D78BED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281FE914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7FE8165F" w14:textId="77777777" w:rsidTr="00F34AD5">
        <w:tc>
          <w:tcPr>
            <w:tcW w:w="1702" w:type="dxa"/>
            <w:vAlign w:val="center"/>
          </w:tcPr>
          <w:p w14:paraId="2C95379A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992" w:type="dxa"/>
            <w:vAlign w:val="center"/>
          </w:tcPr>
          <w:p w14:paraId="7382CD35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68" w:type="dxa"/>
            <w:vAlign w:val="center"/>
          </w:tcPr>
          <w:p w14:paraId="7C076848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00" w:type="dxa"/>
            <w:vAlign w:val="center"/>
          </w:tcPr>
          <w:p w14:paraId="43388014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699644B9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44D755A8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13FDEFD1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0FE5D9FA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79D638CC" w14:textId="77777777" w:rsidTr="00F34AD5">
        <w:tc>
          <w:tcPr>
            <w:tcW w:w="1702" w:type="dxa"/>
            <w:vAlign w:val="center"/>
          </w:tcPr>
          <w:p w14:paraId="05AF3074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 Finanšu līdzekļi papildu izdevumu finansēšanai (kompensējošu izdevumu samazinājumu norāda ar "+" zīmi)</w:t>
            </w:r>
          </w:p>
        </w:tc>
        <w:tc>
          <w:tcPr>
            <w:tcW w:w="992" w:type="dxa"/>
            <w:vAlign w:val="center"/>
          </w:tcPr>
          <w:p w14:paraId="2CE28205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8" w:type="dxa"/>
            <w:vAlign w:val="center"/>
          </w:tcPr>
          <w:p w14:paraId="08A2D648" w14:textId="75A1B484" w:rsidR="00CC0982" w:rsidRPr="00EC6E12" w:rsidRDefault="00493891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  <w:r w:rsidR="006D2F3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00 0</w:t>
            </w:r>
            <w:r w:rsidR="00B86ED9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1000" w:type="dxa"/>
            <w:vAlign w:val="center"/>
          </w:tcPr>
          <w:p w14:paraId="6A03412D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19E83DF5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7D9D94FA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216924C5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59B46D69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483C9ED1" w14:textId="77777777" w:rsidTr="00F34AD5">
        <w:tc>
          <w:tcPr>
            <w:tcW w:w="1702" w:type="dxa"/>
            <w:vAlign w:val="center"/>
          </w:tcPr>
          <w:p w14:paraId="2A4DDA47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992" w:type="dxa"/>
            <w:vMerge w:val="restart"/>
            <w:vAlign w:val="center"/>
          </w:tcPr>
          <w:p w14:paraId="07BBAC7D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8" w:type="dxa"/>
            <w:vAlign w:val="center"/>
          </w:tcPr>
          <w:p w14:paraId="45D4F0F4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00" w:type="dxa"/>
            <w:vMerge w:val="restart"/>
            <w:vAlign w:val="center"/>
          </w:tcPr>
          <w:p w14:paraId="152CADAA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6E0F113F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53158A75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Align w:val="center"/>
          </w:tcPr>
          <w:p w14:paraId="7C6D8BFB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11A02874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5953E26E" w14:textId="77777777" w:rsidTr="00F34AD5">
        <w:tc>
          <w:tcPr>
            <w:tcW w:w="1702" w:type="dxa"/>
            <w:vAlign w:val="center"/>
          </w:tcPr>
          <w:p w14:paraId="58A58600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992" w:type="dxa"/>
            <w:vMerge/>
            <w:vAlign w:val="center"/>
          </w:tcPr>
          <w:p w14:paraId="6112922D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8" w:type="dxa"/>
            <w:vAlign w:val="center"/>
          </w:tcPr>
          <w:p w14:paraId="207EC2EF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00" w:type="dxa"/>
            <w:vMerge/>
            <w:vAlign w:val="center"/>
          </w:tcPr>
          <w:p w14:paraId="3A090498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70216C9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14:paraId="7630CF25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4987AC23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74E3918E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743CC31C" w14:textId="77777777" w:rsidTr="00F34AD5">
        <w:tc>
          <w:tcPr>
            <w:tcW w:w="1702" w:type="dxa"/>
            <w:vAlign w:val="center"/>
          </w:tcPr>
          <w:p w14:paraId="02227AE5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992" w:type="dxa"/>
            <w:vMerge/>
            <w:vAlign w:val="center"/>
          </w:tcPr>
          <w:p w14:paraId="7FD14A00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8" w:type="dxa"/>
            <w:vAlign w:val="center"/>
          </w:tcPr>
          <w:p w14:paraId="1B10E5A7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00" w:type="dxa"/>
            <w:vMerge/>
            <w:vAlign w:val="center"/>
          </w:tcPr>
          <w:p w14:paraId="7247079D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9FC0AF9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14:paraId="453DAC87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6A10881D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1742AEE8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3295FC7C" w14:textId="77777777" w:rsidTr="00F34AD5">
        <w:tc>
          <w:tcPr>
            <w:tcW w:w="1702" w:type="dxa"/>
            <w:vAlign w:val="center"/>
          </w:tcPr>
          <w:p w14:paraId="5A15F84A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992" w:type="dxa"/>
            <w:vMerge/>
            <w:vAlign w:val="center"/>
          </w:tcPr>
          <w:p w14:paraId="17E3171C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68" w:type="dxa"/>
            <w:vAlign w:val="center"/>
          </w:tcPr>
          <w:p w14:paraId="7DFA5A0B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00" w:type="dxa"/>
            <w:vMerge/>
            <w:vAlign w:val="center"/>
          </w:tcPr>
          <w:p w14:paraId="085D6624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2241639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92" w:type="dxa"/>
            <w:vMerge/>
            <w:vAlign w:val="center"/>
          </w:tcPr>
          <w:p w14:paraId="3D754374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Align w:val="center"/>
          </w:tcPr>
          <w:p w14:paraId="56A97C34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3F0EB72D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CC0982" w14:paraId="3BC81A94" w14:textId="77777777" w:rsidTr="00F34AD5">
        <w:tc>
          <w:tcPr>
            <w:tcW w:w="1702" w:type="dxa"/>
            <w:vAlign w:val="center"/>
          </w:tcPr>
          <w:p w14:paraId="3F03F14C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512" w:type="dxa"/>
            <w:gridSpan w:val="7"/>
            <w:vMerge w:val="restart"/>
            <w:shd w:val="clear" w:color="auto" w:fill="auto"/>
          </w:tcPr>
          <w:p w14:paraId="625D4889" w14:textId="359AEE46" w:rsidR="00F34AD5" w:rsidRPr="002515DF" w:rsidRDefault="00A52304" w:rsidP="003D54A7">
            <w:pPr>
              <w:rPr>
                <w:rFonts w:cs="Arial"/>
                <w:i/>
                <w:szCs w:val="28"/>
                <w:u w:val="single"/>
              </w:rPr>
            </w:pPr>
            <w:r>
              <w:rPr>
                <w:color w:val="FF0000"/>
              </w:rPr>
              <w:t xml:space="preserve">                                                                                            </w:t>
            </w:r>
          </w:p>
          <w:p w14:paraId="75CD8C9A" w14:textId="3985E372" w:rsidR="00E75BD5" w:rsidRDefault="003D54A7" w:rsidP="007330E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</w:t>
            </w:r>
            <w:r w:rsidR="007330EC">
              <w:rPr>
                <w:rFonts w:cs="Arial"/>
                <w:bCs/>
              </w:rPr>
              <w:t xml:space="preserve">2019.gadā </w:t>
            </w:r>
            <w:r w:rsidR="007330EC">
              <w:rPr>
                <w:kern w:val="1"/>
                <w:lang w:eastAsia="ar-SA"/>
              </w:rPr>
              <w:t xml:space="preserve">SIA “Rīgas Austrumu klīniskā universitātes slimnīca” stacionāra “Latvijas Onkoloģijas centrs” inženierkomunikāciju </w:t>
            </w:r>
            <w:r w:rsidR="007330EC">
              <w:rPr>
                <w:rFonts w:cs="Arial"/>
                <w:bCs/>
              </w:rPr>
              <w:t xml:space="preserve">pārbūves darbu avārijas stāvokļa novēršanai (veicami prioritāri) nepieciešamais finansējums ir </w:t>
            </w:r>
            <w:r w:rsidR="007330EC" w:rsidRPr="007330EC">
              <w:rPr>
                <w:rFonts w:cs="Arial"/>
                <w:b/>
                <w:bCs/>
              </w:rPr>
              <w:t>600 0</w:t>
            </w:r>
            <w:r w:rsidR="00B86ED9">
              <w:rPr>
                <w:rFonts w:cs="Arial"/>
                <w:b/>
                <w:bCs/>
              </w:rPr>
              <w:t>97</w:t>
            </w:r>
            <w:r w:rsidR="007330EC" w:rsidRPr="007330EC">
              <w:rPr>
                <w:rFonts w:cs="Arial"/>
                <w:b/>
                <w:bCs/>
              </w:rPr>
              <w:t xml:space="preserve"> </w:t>
            </w:r>
            <w:proofErr w:type="spellStart"/>
            <w:r w:rsidR="007330EC" w:rsidRPr="007330EC">
              <w:rPr>
                <w:rFonts w:cs="Arial"/>
                <w:b/>
                <w:bCs/>
                <w:i/>
              </w:rPr>
              <w:t>euro</w:t>
            </w:r>
            <w:proofErr w:type="spellEnd"/>
            <w:r w:rsidR="007330EC">
              <w:rPr>
                <w:rFonts w:cs="Arial"/>
                <w:bCs/>
              </w:rPr>
              <w:t xml:space="preserve"> (ieskaitot PVN).</w:t>
            </w:r>
            <w:r w:rsidR="00E75BD5">
              <w:rPr>
                <w:rFonts w:cs="Arial"/>
                <w:bCs/>
              </w:rPr>
              <w:t xml:space="preserve"> SIA “Rīgas Austrumu klīniskā universitātes slimnīca” stacionāra “Latvijas Onkoloģijas centrs” ūdensapgādes sistēmas atjaunošanas darbi tiks veikti 2019.gad</w:t>
            </w:r>
            <w:r w:rsidR="004C043C">
              <w:rPr>
                <w:rFonts w:cs="Arial"/>
                <w:bCs/>
              </w:rPr>
              <w:t>a ietvaros.</w:t>
            </w:r>
          </w:p>
          <w:p w14:paraId="09215FB9" w14:textId="6061E916" w:rsidR="00B86ED9" w:rsidRDefault="00B86ED9" w:rsidP="007330EC">
            <w:pPr>
              <w:jc w:val="both"/>
              <w:rPr>
                <w:rFonts w:cs="Arial"/>
                <w:bCs/>
              </w:rPr>
            </w:pPr>
          </w:p>
          <w:tbl>
            <w:tblPr>
              <w:tblW w:w="7402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2"/>
              <w:gridCol w:w="1417"/>
              <w:gridCol w:w="993"/>
              <w:gridCol w:w="992"/>
              <w:gridCol w:w="1276"/>
              <w:gridCol w:w="992"/>
              <w:gridCol w:w="850"/>
            </w:tblGrid>
            <w:tr w:rsidR="00B86ED9" w:rsidRPr="00B86ED9" w14:paraId="09C2C0E7" w14:textId="77777777" w:rsidTr="00B86ED9">
              <w:trPr>
                <w:trHeight w:val="405"/>
              </w:trPr>
              <w:tc>
                <w:tcPr>
                  <w:tcW w:w="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2B0A3C1F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AF56A3">
                    <w:rPr>
                      <w:sz w:val="16"/>
                      <w:szCs w:val="16"/>
                    </w:rPr>
                    <w:t>Nr.p.k</w:t>
                  </w:r>
                  <w:proofErr w:type="spellEnd"/>
                  <w:r w:rsidRPr="00AF56A3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extDirection w:val="btLr"/>
                  <w:vAlign w:val="center"/>
                  <w:hideMark/>
                </w:tcPr>
                <w:p w14:paraId="42B1299C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Kods, tāmes Nr.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1960FEE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Būvdarbu veids vai konstruktīvā elementa nosaukums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EDD12A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Tāmes izmaksas (</w:t>
                  </w:r>
                  <w:proofErr w:type="spellStart"/>
                  <w:r w:rsidRPr="00AF56A3">
                    <w:rPr>
                      <w:i/>
                      <w:iCs/>
                      <w:sz w:val="16"/>
                      <w:szCs w:val="16"/>
                    </w:rPr>
                    <w:t>euro</w:t>
                  </w:r>
                  <w:proofErr w:type="spellEnd"/>
                  <w:r w:rsidRPr="00AF56A3">
                    <w:rPr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DF87A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Tai skaitā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5B206FC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Darbietilpība (c/h)</w:t>
                  </w:r>
                </w:p>
              </w:tc>
            </w:tr>
            <w:tr w:rsidR="00B86ED9" w:rsidRPr="00B86ED9" w14:paraId="15F7BC01" w14:textId="77777777" w:rsidTr="00AF56A3">
              <w:trPr>
                <w:trHeight w:val="894"/>
              </w:trPr>
              <w:tc>
                <w:tcPr>
                  <w:tcW w:w="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F0FC0" w14:textId="77777777" w:rsidR="00B86ED9" w:rsidRPr="00B86ED9" w:rsidRDefault="00B86ED9" w:rsidP="00B86E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BBE436" w14:textId="77777777" w:rsidR="00B86ED9" w:rsidRPr="00B86ED9" w:rsidRDefault="00B86ED9" w:rsidP="00B86E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EAC94" w14:textId="77777777" w:rsidR="00B86ED9" w:rsidRPr="00B86ED9" w:rsidRDefault="00B86ED9" w:rsidP="00B86E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9F961D" w14:textId="77777777" w:rsidR="00B86ED9" w:rsidRPr="00B86ED9" w:rsidRDefault="00B86ED9" w:rsidP="00B86ED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EA330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Darba alga (</w:t>
                  </w:r>
                  <w:proofErr w:type="spellStart"/>
                  <w:r w:rsidRPr="00AF56A3">
                    <w:rPr>
                      <w:i/>
                      <w:iCs/>
                      <w:sz w:val="16"/>
                      <w:szCs w:val="16"/>
                    </w:rPr>
                    <w:t>euro</w:t>
                  </w:r>
                  <w:proofErr w:type="spellEnd"/>
                  <w:r w:rsidRPr="00AF56A3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73B4E" w14:textId="49D74A9C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AF56A3">
                    <w:rPr>
                      <w:sz w:val="16"/>
                      <w:szCs w:val="16"/>
                    </w:rPr>
                    <w:t>Būv</w:t>
                  </w:r>
                  <w:proofErr w:type="spellEnd"/>
                  <w:r w:rsidRPr="00AF56A3">
                    <w:rPr>
                      <w:sz w:val="16"/>
                      <w:szCs w:val="16"/>
                    </w:rPr>
                    <w:t>-izstrādājumi  (</w:t>
                  </w:r>
                  <w:proofErr w:type="spellStart"/>
                  <w:r w:rsidRPr="00AF56A3">
                    <w:rPr>
                      <w:i/>
                      <w:iCs/>
                      <w:sz w:val="16"/>
                      <w:szCs w:val="16"/>
                    </w:rPr>
                    <w:t>euro</w:t>
                  </w:r>
                  <w:proofErr w:type="spellEnd"/>
                  <w:r w:rsidRPr="00AF56A3">
                    <w:rPr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513F3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AF56A3">
                    <w:rPr>
                      <w:sz w:val="16"/>
                      <w:szCs w:val="16"/>
                    </w:rPr>
                    <w:t>Mehānis</w:t>
                  </w:r>
                  <w:proofErr w:type="spellEnd"/>
                  <w:r w:rsidRPr="00AF56A3">
                    <w:rPr>
                      <w:sz w:val="16"/>
                      <w:szCs w:val="16"/>
                    </w:rPr>
                    <w:t>-</w:t>
                  </w:r>
                </w:p>
                <w:p w14:paraId="3A0B1B7E" w14:textId="5F8251B2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mi (</w:t>
                  </w:r>
                  <w:proofErr w:type="spellStart"/>
                  <w:r w:rsidRPr="00AF56A3">
                    <w:rPr>
                      <w:i/>
                      <w:iCs/>
                      <w:sz w:val="16"/>
                      <w:szCs w:val="16"/>
                    </w:rPr>
                    <w:t>euro</w:t>
                  </w:r>
                  <w:proofErr w:type="spellEnd"/>
                  <w:r w:rsidRPr="00AF56A3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2A89DD" w14:textId="77777777" w:rsidR="00B86ED9" w:rsidRPr="00B86ED9" w:rsidRDefault="00B86ED9" w:rsidP="00B86ED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6ED9" w:rsidRPr="00B86ED9" w14:paraId="7EDFB22B" w14:textId="77777777" w:rsidTr="00B86ED9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F4283C" w14:textId="77777777" w:rsidR="00B86ED9" w:rsidRPr="00B86ED9" w:rsidRDefault="00B86ED9" w:rsidP="00B86ED9">
                  <w:pPr>
                    <w:jc w:val="center"/>
                    <w:rPr>
                      <w:sz w:val="20"/>
                      <w:szCs w:val="20"/>
                    </w:rPr>
                  </w:pPr>
                  <w:r w:rsidRPr="00B86ED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B876A4" w14:textId="77777777" w:rsidR="00B86ED9" w:rsidRPr="00B86ED9" w:rsidRDefault="00B86ED9" w:rsidP="00B86ED9">
                  <w:pPr>
                    <w:jc w:val="center"/>
                    <w:rPr>
                      <w:sz w:val="20"/>
                      <w:szCs w:val="20"/>
                    </w:rPr>
                  </w:pPr>
                  <w:r w:rsidRPr="00B86ED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AC3A2E" w14:textId="77777777" w:rsidR="00B86ED9" w:rsidRPr="00B86ED9" w:rsidRDefault="00B86ED9" w:rsidP="00B86ED9">
                  <w:pPr>
                    <w:rPr>
                      <w:sz w:val="20"/>
                      <w:szCs w:val="20"/>
                    </w:rPr>
                  </w:pPr>
                  <w:r w:rsidRPr="00B86ED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40F74B" w14:textId="77777777" w:rsidR="00B86ED9" w:rsidRPr="00B86ED9" w:rsidRDefault="00B86ED9" w:rsidP="00B86ED9">
                  <w:pPr>
                    <w:rPr>
                      <w:sz w:val="20"/>
                      <w:szCs w:val="20"/>
                    </w:rPr>
                  </w:pPr>
                  <w:r w:rsidRPr="00B86ED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5BA009" w14:textId="77777777" w:rsidR="00B86ED9" w:rsidRPr="00B86ED9" w:rsidRDefault="00B86ED9" w:rsidP="00B86ED9">
                  <w:pPr>
                    <w:jc w:val="center"/>
                    <w:rPr>
                      <w:sz w:val="20"/>
                      <w:szCs w:val="20"/>
                    </w:rPr>
                  </w:pPr>
                  <w:r w:rsidRPr="00B86ED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173E0E" w14:textId="77777777" w:rsidR="00B86ED9" w:rsidRPr="00B86ED9" w:rsidRDefault="00B86ED9" w:rsidP="00B86ED9">
                  <w:pPr>
                    <w:rPr>
                      <w:sz w:val="20"/>
                      <w:szCs w:val="20"/>
                    </w:rPr>
                  </w:pPr>
                  <w:r w:rsidRPr="00B86ED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46F2F" w14:textId="77777777" w:rsidR="00B86ED9" w:rsidRPr="00B86ED9" w:rsidRDefault="00B86ED9" w:rsidP="00B86ED9">
                  <w:pPr>
                    <w:rPr>
                      <w:sz w:val="20"/>
                      <w:szCs w:val="20"/>
                    </w:rPr>
                  </w:pPr>
                  <w:r w:rsidRPr="00B86ED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1A3E94" w14:textId="77777777" w:rsidR="00B86ED9" w:rsidRPr="00B86ED9" w:rsidRDefault="00B86ED9" w:rsidP="00B86ED9">
                  <w:pPr>
                    <w:rPr>
                      <w:sz w:val="20"/>
                      <w:szCs w:val="20"/>
                    </w:rPr>
                  </w:pPr>
                  <w:r w:rsidRPr="00B86ED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B86ED9" w:rsidRPr="00B86ED9" w14:paraId="68ADDC14" w14:textId="77777777" w:rsidTr="00B86ED9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C305F1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C7E529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 xml:space="preserve"> 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AF4457" w14:textId="685FD7E1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Siltummezgls Nr.1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3DD8D67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30 844.25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86936B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2 750.58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D23209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27 955.98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D645A8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137.69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3B1553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261.96</w:t>
                  </w:r>
                </w:p>
              </w:tc>
            </w:tr>
            <w:tr w:rsidR="00B86ED9" w:rsidRPr="00B86ED9" w14:paraId="52AEB34F" w14:textId="77777777" w:rsidTr="00B86ED9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E0DDAE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A5440F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 xml:space="preserve"> 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30EA5C" w14:textId="4482388F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Siltummezgls Nr.2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79BAF74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15 393.48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A6BB6C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3 604.07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1069B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11 608.62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17697D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180.79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369995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343.24</w:t>
                  </w:r>
                </w:p>
              </w:tc>
            </w:tr>
            <w:tr w:rsidR="00B86ED9" w:rsidRPr="00B86ED9" w14:paraId="23FC65DE" w14:textId="77777777" w:rsidTr="00B86ED9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21BE6F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936EE9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 xml:space="preserve"> 1-4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12982C" w14:textId="4525FE61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Siltummezgls Nr.3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6473F2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8 267.57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C11250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2 363.55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E85A29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5 785.38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D79B3C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118.64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6AF315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225.10</w:t>
                  </w:r>
                </w:p>
              </w:tc>
            </w:tr>
            <w:tr w:rsidR="00B86ED9" w:rsidRPr="00B86ED9" w14:paraId="6390FF88" w14:textId="77777777" w:rsidTr="00B86ED9">
              <w:trPr>
                <w:trHeight w:val="99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DCB08B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6D957E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 xml:space="preserve"> 1-7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40CEA2D" w14:textId="5689C612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Ūdensapgāde un saimnieciskā kanalizācija korpusam K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808D4D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78 214.94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B98B5A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32 663.37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23E75F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43 814.49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6FDBAA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1 737.08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4ACC6B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3 110.80</w:t>
                  </w:r>
                </w:p>
              </w:tc>
            </w:tr>
            <w:tr w:rsidR="00B86ED9" w:rsidRPr="00B86ED9" w14:paraId="6DEA8CEB" w14:textId="77777777" w:rsidTr="00B86ED9">
              <w:trPr>
                <w:trHeight w:val="99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A7FC5E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897491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 xml:space="preserve"> 1-8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49D763" w14:textId="6DFE8CC4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Ūdensapgāde un saimnieciskā kanalizācija korpusam L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AD8BC58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33 980.61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BE4B77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7 196.91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6209B7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26 320.27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1BAA7C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463.43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6864AA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685.43</w:t>
                  </w:r>
                </w:p>
              </w:tc>
            </w:tr>
            <w:tr w:rsidR="00B86ED9" w:rsidRPr="00B86ED9" w14:paraId="1B72DF4A" w14:textId="77777777" w:rsidTr="00B86ED9">
              <w:trPr>
                <w:trHeight w:val="99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D184B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09D814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 xml:space="preserve"> 1-9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B34126" w14:textId="7D7D4872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Ūdensapgāde un saimnieciskā kanalizācija korpusam Z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D70608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144 348.41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0F0F5D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37 311.71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CD2DF0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105 046.08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684826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1 990.62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A4AC4C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3 553.55</w:t>
                  </w:r>
                </w:p>
              </w:tc>
            </w:tr>
            <w:tr w:rsidR="00B86ED9" w:rsidRPr="00B86ED9" w14:paraId="1C52D61E" w14:textId="77777777" w:rsidTr="00B86ED9">
              <w:trPr>
                <w:trHeight w:val="990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ECE124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85F1F4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 xml:space="preserve"> 1-10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9FE93E" w14:textId="279C2042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Ūdensapgāde un saimnieciskā kanalizācija korpusam 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C3D3ED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102 240.46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A6143A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25 281.23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62A28D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75 591.40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02DEE1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1 367.83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2D278A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2 407.76</w:t>
                  </w:r>
                </w:p>
              </w:tc>
            </w:tr>
            <w:tr w:rsidR="00B86ED9" w:rsidRPr="00B86ED9" w14:paraId="2AE42B3A" w14:textId="77777777" w:rsidTr="00B86ED9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ECEF7A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ABE61A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A73190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252B0A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F114A5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1DB02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2B7FC5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D16A35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86ED9" w:rsidRPr="00B86ED9" w14:paraId="57513282" w14:textId="77777777" w:rsidTr="00B86ED9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5B1DD9" w14:textId="77777777" w:rsidR="00B86ED9" w:rsidRPr="00AF56A3" w:rsidRDefault="00B86ED9" w:rsidP="00B86ED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94D623" w14:textId="77777777" w:rsidR="00B86ED9" w:rsidRPr="00AF56A3" w:rsidRDefault="00B86ED9" w:rsidP="00B86ED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E7E16B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Kopā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FA482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413 289.72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16D283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111 171.42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96C9C7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296 122.22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C79722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5 996.08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FDC3E6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10 587.84</w:t>
                  </w:r>
                </w:p>
              </w:tc>
            </w:tr>
            <w:tr w:rsidR="00B86ED9" w:rsidRPr="00B86ED9" w14:paraId="6EBADA2C" w14:textId="77777777" w:rsidTr="00B86ED9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0B8AE7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DCAC6B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CF38F2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F56A3">
                    <w:rPr>
                      <w:b/>
                      <w:bCs/>
                      <w:sz w:val="16"/>
                      <w:szCs w:val="16"/>
                    </w:rPr>
                    <w:t>Virsizdevumi</w:t>
                  </w:r>
                  <w:proofErr w:type="spellEnd"/>
                  <w:r w:rsidRPr="00AF56A3">
                    <w:rPr>
                      <w:b/>
                      <w:bCs/>
                      <w:sz w:val="16"/>
                      <w:szCs w:val="16"/>
                    </w:rPr>
                    <w:t xml:space="preserve"> 10%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C87EF8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41 328.97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BBCEE2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FC5EF7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D3D950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4492A6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6ED9" w:rsidRPr="00B86ED9" w14:paraId="6A3CE31F" w14:textId="77777777" w:rsidTr="00B86ED9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50AB2B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EC35AB9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7C5DB4" w14:textId="77777777" w:rsidR="00B86ED9" w:rsidRPr="00AF56A3" w:rsidRDefault="00B86ED9" w:rsidP="00B86ED9">
                  <w:pPr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  <w:r w:rsidRPr="00AF56A3">
                    <w:rPr>
                      <w:i/>
                      <w:iCs/>
                      <w:sz w:val="16"/>
                      <w:szCs w:val="16"/>
                    </w:rPr>
                    <w:t>t.sk. darba aizsardzībai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23647C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413.29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D2B552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83078B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8C549F9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B38D35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6ED9" w:rsidRPr="00B86ED9" w14:paraId="2BDE8D1B" w14:textId="77777777" w:rsidTr="00B86ED9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E2174B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8A47BD3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2F36D9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Neparedzētie izdevumi 5%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5823EF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20 664.49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676063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E9AAA1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43B549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8E8058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6ED9" w:rsidRPr="00B86ED9" w14:paraId="4386ABAB" w14:textId="77777777" w:rsidTr="00B86ED9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3D8162F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3D7C697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EA6D90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Peļņa 5%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7A1DEE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  <w:r w:rsidRPr="00AF56A3">
                    <w:rPr>
                      <w:sz w:val="16"/>
                      <w:szCs w:val="16"/>
                    </w:rPr>
                    <w:t>20 664.49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DB0D87" w14:textId="77777777" w:rsidR="00B86ED9" w:rsidRPr="00AF56A3" w:rsidRDefault="00B86ED9" w:rsidP="00B86ED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8A2B441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EA1501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3496B6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6ED9" w:rsidRPr="00B86ED9" w14:paraId="35C5C3C6" w14:textId="77777777" w:rsidTr="00B86ED9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749A29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4AE4F9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3EE246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PAVISAM KOPĀ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7B6BA6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495 947.67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CDD9F71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3A673F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97DABE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AF726F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6ED9" w:rsidRPr="00B86ED9" w14:paraId="412ECC30" w14:textId="77777777" w:rsidTr="00B86ED9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F44649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396A08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5BD80" w14:textId="77777777" w:rsidR="00B86ED9" w:rsidRPr="00AF56A3" w:rsidRDefault="00B86ED9" w:rsidP="00B86ED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PVN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63B670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104 149.01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5A9F7C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A525C0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A5F817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D2B4CD1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86ED9" w:rsidRPr="00B86ED9" w14:paraId="1BF2AFA2" w14:textId="77777777" w:rsidTr="00B86ED9">
              <w:trPr>
                <w:trHeight w:val="25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B5C143F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6818150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ABE64" w14:textId="77777777" w:rsidR="00B86ED9" w:rsidRPr="00AF56A3" w:rsidRDefault="00B86ED9" w:rsidP="00B86ED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PAVISAM KOPĀ AR PVN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76E47B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  <w:r w:rsidRPr="00AF56A3">
                    <w:rPr>
                      <w:b/>
                      <w:bCs/>
                      <w:sz w:val="16"/>
                      <w:szCs w:val="16"/>
                    </w:rPr>
                    <w:t>600 096.68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2840F0" w14:textId="77777777" w:rsidR="00B86ED9" w:rsidRPr="00AF56A3" w:rsidRDefault="00B86ED9" w:rsidP="00B86ED9">
                  <w:pPr>
                    <w:jc w:val="right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501393" w14:textId="77777777" w:rsidR="00B86ED9" w:rsidRPr="00AF56A3" w:rsidRDefault="00B86ED9" w:rsidP="00B86ED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0BC6D2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D726A8" w14:textId="77777777" w:rsidR="00B86ED9" w:rsidRPr="00AF56A3" w:rsidRDefault="00B86ED9" w:rsidP="00B86ED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8D65E3F" w14:textId="77777777" w:rsidR="00B86ED9" w:rsidRDefault="00B86ED9" w:rsidP="007330EC">
            <w:pPr>
              <w:jc w:val="both"/>
              <w:rPr>
                <w:rFonts w:cs="Arial"/>
                <w:bCs/>
              </w:rPr>
            </w:pPr>
          </w:p>
          <w:p w14:paraId="5E0FDE56" w14:textId="6FA64166" w:rsidR="00610C37" w:rsidRDefault="003D54A7" w:rsidP="00AA3C55">
            <w:pPr>
              <w:ind w:firstLine="179"/>
              <w:jc w:val="both"/>
              <w:rPr>
                <w:kern w:val="1"/>
                <w:lang w:eastAsia="ar-SA"/>
              </w:rPr>
            </w:pPr>
            <w:r w:rsidRPr="0056229B">
              <w:t>Rīkojuma projekts paredz Finanšu ministrijai no valsts budžeta programmas 02.00.00 „Līdzekļi neparedzētiem gadījumiem” piešķirt Veselības ministrijai</w:t>
            </w:r>
            <w:r w:rsidR="0066140A">
              <w:t xml:space="preserve"> ne vairāk kā</w:t>
            </w:r>
            <w:r w:rsidRPr="0056229B">
              <w:t xml:space="preserve"> </w:t>
            </w:r>
            <w:r>
              <w:rPr>
                <w:b/>
                <w:iCs/>
              </w:rPr>
              <w:t>600 0</w:t>
            </w:r>
            <w:r w:rsidR="00835DE9">
              <w:rPr>
                <w:b/>
                <w:iCs/>
              </w:rPr>
              <w:t>97</w:t>
            </w:r>
            <w:r w:rsidRPr="0056229B">
              <w:t> </w:t>
            </w:r>
            <w:proofErr w:type="spellStart"/>
            <w:r w:rsidRPr="0056229B">
              <w:rPr>
                <w:b/>
                <w:i/>
              </w:rPr>
              <w:t>euro</w:t>
            </w:r>
            <w:proofErr w:type="spellEnd"/>
            <w:r>
              <w:rPr>
                <w:b/>
                <w:i/>
              </w:rPr>
              <w:t xml:space="preserve"> </w:t>
            </w:r>
            <w:r w:rsidRPr="00893C18">
              <w:t>(3000 kods Subsīdijas un dotācijas)</w:t>
            </w:r>
            <w:r>
              <w:t xml:space="preserve">,  lai </w:t>
            </w:r>
            <w:r w:rsidR="00610C37">
              <w:t xml:space="preserve">nodrošinātu </w:t>
            </w:r>
            <w:r>
              <w:rPr>
                <w:kern w:val="1"/>
                <w:lang w:eastAsia="ar-SA"/>
              </w:rPr>
              <w:t xml:space="preserve">SIA “Rīgas Austrumu klīniskā universitātes slimnīca” stacionāra “Latvijas Onkoloģijas centrs” </w:t>
            </w:r>
            <w:r w:rsidR="00610C37">
              <w:rPr>
                <w:kern w:val="1"/>
                <w:lang w:eastAsia="ar-SA"/>
              </w:rPr>
              <w:t>ūdensapgādes sistēmas atjaunošanu.</w:t>
            </w:r>
            <w:r>
              <w:rPr>
                <w:kern w:val="1"/>
                <w:lang w:eastAsia="ar-SA"/>
              </w:rPr>
              <w:t xml:space="preserve"> </w:t>
            </w:r>
          </w:p>
          <w:p w14:paraId="2FB487BD" w14:textId="2664B689" w:rsidR="002F0AB1" w:rsidRPr="00710C61" w:rsidRDefault="00710C61" w:rsidP="00997DE4">
            <w:pPr>
              <w:pStyle w:val="tv213"/>
              <w:tabs>
                <w:tab w:val="left" w:pos="709"/>
              </w:tabs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</w:t>
            </w:r>
            <w:r w:rsidRPr="00710C61">
              <w:rPr>
                <w:color w:val="000000"/>
                <w:shd w:val="clear" w:color="auto" w:fill="FFFFFF"/>
              </w:rPr>
              <w:t>Veselības ministrija normatīvajos aktos noteiktajā kārtībā sagatavo</w:t>
            </w:r>
            <w:r>
              <w:rPr>
                <w:color w:val="000000"/>
                <w:shd w:val="clear" w:color="auto" w:fill="FFFFFF"/>
              </w:rPr>
              <w:t>s</w:t>
            </w:r>
            <w:r w:rsidRPr="00710C61">
              <w:rPr>
                <w:color w:val="000000"/>
                <w:shd w:val="clear" w:color="auto" w:fill="FFFFFF"/>
              </w:rPr>
              <w:t xml:space="preserve"> un iesnieg</w:t>
            </w:r>
            <w:r>
              <w:rPr>
                <w:color w:val="000000"/>
                <w:shd w:val="clear" w:color="auto" w:fill="FFFFFF"/>
              </w:rPr>
              <w:t>s</w:t>
            </w:r>
            <w:r w:rsidRPr="00710C61">
              <w:rPr>
                <w:color w:val="000000"/>
                <w:shd w:val="clear" w:color="auto" w:fill="FFFFFF"/>
              </w:rPr>
              <w:t xml:space="preserve"> Finanšu ministrijā pieprasījumu par šā rīkojuma 1.punktā minēto līdzekļu piešķiršanu no līdzekļiem neparedzētiem gadījumiem atbilstoši faktiski nepieciešamajam apmēram.</w:t>
            </w:r>
          </w:p>
        </w:tc>
      </w:tr>
      <w:tr w:rsidR="00CC0982" w14:paraId="31E162D5" w14:textId="77777777" w:rsidTr="00F34AD5">
        <w:tc>
          <w:tcPr>
            <w:tcW w:w="1702" w:type="dxa"/>
            <w:vAlign w:val="center"/>
          </w:tcPr>
          <w:p w14:paraId="06B06D18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7512" w:type="dxa"/>
            <w:gridSpan w:val="7"/>
            <w:vMerge/>
            <w:shd w:val="clear" w:color="auto" w:fill="auto"/>
            <w:vAlign w:val="center"/>
          </w:tcPr>
          <w:p w14:paraId="3955F694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CC0982" w14:paraId="6FAEB81F" w14:textId="77777777" w:rsidTr="00F34AD5">
        <w:tc>
          <w:tcPr>
            <w:tcW w:w="1702" w:type="dxa"/>
            <w:vAlign w:val="center"/>
          </w:tcPr>
          <w:p w14:paraId="2E9961C4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512" w:type="dxa"/>
            <w:gridSpan w:val="7"/>
            <w:vMerge/>
            <w:shd w:val="clear" w:color="auto" w:fill="auto"/>
            <w:vAlign w:val="center"/>
          </w:tcPr>
          <w:p w14:paraId="4D48749E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CC0982" w14:paraId="30F0DE69" w14:textId="77777777" w:rsidTr="00F34AD5">
        <w:tc>
          <w:tcPr>
            <w:tcW w:w="1702" w:type="dxa"/>
            <w:vAlign w:val="center"/>
          </w:tcPr>
          <w:p w14:paraId="1CDA7E97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7512" w:type="dxa"/>
            <w:gridSpan w:val="7"/>
            <w:vAlign w:val="center"/>
          </w:tcPr>
          <w:p w14:paraId="05372E1E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9467E">
              <w:rPr>
                <w:rFonts w:ascii="Times New Roman" w:hAnsi="Times New Roman" w:cs="Times New Roman"/>
                <w:sz w:val="24"/>
              </w:rPr>
              <w:t>Projekts šo jomu neskar.</w:t>
            </w:r>
          </w:p>
        </w:tc>
      </w:tr>
      <w:tr w:rsidR="00CC0982" w14:paraId="50E71A82" w14:textId="77777777" w:rsidTr="00F34AD5">
        <w:tc>
          <w:tcPr>
            <w:tcW w:w="1702" w:type="dxa"/>
            <w:vAlign w:val="center"/>
          </w:tcPr>
          <w:p w14:paraId="23912DC0" w14:textId="77777777" w:rsidR="00CC0982" w:rsidRPr="00EC6E12" w:rsidRDefault="00CC0982" w:rsidP="00CC0982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7512" w:type="dxa"/>
            <w:gridSpan w:val="7"/>
            <w:vAlign w:val="center"/>
          </w:tcPr>
          <w:p w14:paraId="1394DCCB" w14:textId="77777777" w:rsidR="00CC0982" w:rsidRPr="00EC6E12" w:rsidRDefault="00CC0982" w:rsidP="00CC0982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55578">
              <w:rPr>
                <w:rFonts w:ascii="Times New Roman" w:hAnsi="Times New Roman" w:cs="Times New Roman"/>
                <w:sz w:val="24"/>
              </w:rPr>
              <w:t>Izdevumi tiks veikti Veselības ministrijas budžeta programmas 99.00.00 “Līdzekļu neparedzētiem gadījumiem izlietojums” ietvaros.</w:t>
            </w:r>
          </w:p>
        </w:tc>
      </w:tr>
    </w:tbl>
    <w:p w14:paraId="4CF0C0FF" w14:textId="77777777" w:rsidR="00E5323B" w:rsidRDefault="00E5323B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7F6F87" w14:paraId="783FE513" w14:textId="77777777" w:rsidTr="00AE7E7D">
        <w:tc>
          <w:tcPr>
            <w:tcW w:w="9214" w:type="dxa"/>
          </w:tcPr>
          <w:p w14:paraId="4B28D353" w14:textId="77777777" w:rsidR="007F6F87" w:rsidRP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F6F8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F6F87" w14:paraId="3ABA85C3" w14:textId="77777777" w:rsidTr="00AE7E7D">
        <w:tc>
          <w:tcPr>
            <w:tcW w:w="9214" w:type="dxa"/>
          </w:tcPr>
          <w:p w14:paraId="46440682" w14:textId="77777777" w:rsid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20AA7032" w14:textId="77777777" w:rsidR="007F6F87" w:rsidRDefault="007F6F87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7F6F87" w14:paraId="7BF55A3A" w14:textId="77777777" w:rsidTr="00AE7E7D">
        <w:tc>
          <w:tcPr>
            <w:tcW w:w="9214" w:type="dxa"/>
          </w:tcPr>
          <w:p w14:paraId="459EE649" w14:textId="77777777" w:rsidR="007F6F87" w:rsidRP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F6F8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F6F87" w14:paraId="49373073" w14:textId="77777777" w:rsidTr="00AE7E7D">
        <w:tc>
          <w:tcPr>
            <w:tcW w:w="9214" w:type="dxa"/>
          </w:tcPr>
          <w:p w14:paraId="0E936FDD" w14:textId="77777777" w:rsid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54A8A56" w14:textId="77777777" w:rsidR="007F6F87" w:rsidRDefault="007F6F87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7F6F87" w14:paraId="4C332B0A" w14:textId="77777777" w:rsidTr="00AE7E7D">
        <w:tc>
          <w:tcPr>
            <w:tcW w:w="9214" w:type="dxa"/>
          </w:tcPr>
          <w:p w14:paraId="77A9E7EB" w14:textId="77777777" w:rsidR="007F6F87" w:rsidRP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F6F87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F6F87" w14:paraId="4242F6F0" w14:textId="77777777" w:rsidTr="00AE7E7D">
        <w:tc>
          <w:tcPr>
            <w:tcW w:w="9214" w:type="dxa"/>
          </w:tcPr>
          <w:p w14:paraId="62070475" w14:textId="77777777" w:rsidR="007F6F87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  <w:r w:rsidR="007272A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E082763" w14:textId="77777777" w:rsidR="007F6F87" w:rsidRPr="00EC6E12" w:rsidRDefault="00E5323B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C6E12">
        <w:rPr>
          <w:rFonts w:ascii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568"/>
        <w:gridCol w:w="3260"/>
        <w:gridCol w:w="5386"/>
      </w:tblGrid>
      <w:tr w:rsidR="007F6F87" w14:paraId="3E247386" w14:textId="77777777" w:rsidTr="00AE7E7D">
        <w:tc>
          <w:tcPr>
            <w:tcW w:w="9214" w:type="dxa"/>
            <w:gridSpan w:val="3"/>
          </w:tcPr>
          <w:p w14:paraId="39DBBE68" w14:textId="77777777" w:rsidR="007F6F87" w:rsidRPr="00CB0786" w:rsidRDefault="007F6F87" w:rsidP="003903B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B078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49601C" w14:paraId="3933C02D" w14:textId="77777777" w:rsidTr="00AE7E7D">
        <w:tc>
          <w:tcPr>
            <w:tcW w:w="568" w:type="dxa"/>
          </w:tcPr>
          <w:p w14:paraId="1770AA0F" w14:textId="77777777" w:rsidR="0049601C" w:rsidRDefault="0049601C" w:rsidP="004960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60" w:type="dxa"/>
          </w:tcPr>
          <w:p w14:paraId="5838B4C6" w14:textId="77777777" w:rsidR="0049601C" w:rsidRPr="00EC6E12" w:rsidRDefault="0049601C" w:rsidP="0049601C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386" w:type="dxa"/>
          </w:tcPr>
          <w:p w14:paraId="127BFA08" w14:textId="77777777" w:rsidR="0049601C" w:rsidRPr="00D65792" w:rsidRDefault="0056229B" w:rsidP="0049601C">
            <w:pPr>
              <w:jc w:val="both"/>
            </w:pPr>
            <w:r w:rsidRPr="0079260F">
              <w:t>Veselības ministrija,</w:t>
            </w:r>
            <w:r>
              <w:t xml:space="preserve"> </w:t>
            </w:r>
            <w:r w:rsidR="00502D57">
              <w:t xml:space="preserve">Nacionālais veselības dienests, </w:t>
            </w:r>
            <w:r w:rsidR="002E07D8">
              <w:t>SIA</w:t>
            </w:r>
            <w:r>
              <w:t xml:space="preserve"> “Rīgas Austrumu klīniskā universitātes slimnīca”.</w:t>
            </w:r>
          </w:p>
        </w:tc>
      </w:tr>
      <w:tr w:rsidR="0049601C" w14:paraId="4154C315" w14:textId="77777777" w:rsidTr="00AE7E7D">
        <w:tc>
          <w:tcPr>
            <w:tcW w:w="568" w:type="dxa"/>
          </w:tcPr>
          <w:p w14:paraId="11604BD4" w14:textId="77777777" w:rsidR="0049601C" w:rsidRDefault="0049601C" w:rsidP="004960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60" w:type="dxa"/>
          </w:tcPr>
          <w:p w14:paraId="3649B073" w14:textId="77777777" w:rsidR="0049601C" w:rsidRPr="00EC6E12" w:rsidRDefault="0049601C" w:rsidP="0049601C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</w:t>
            </w: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institūciju likvidācija vai reorganizācija, to ietekme uz institūcijas cilvēkresursiem</w:t>
            </w:r>
          </w:p>
        </w:tc>
        <w:tc>
          <w:tcPr>
            <w:tcW w:w="5386" w:type="dxa"/>
          </w:tcPr>
          <w:p w14:paraId="4402FA9A" w14:textId="77777777" w:rsidR="0049601C" w:rsidRPr="00D65792" w:rsidRDefault="0049601C" w:rsidP="0049601C">
            <w:r w:rsidRPr="00D65792">
              <w:lastRenderedPageBreak/>
              <w:t>Projekts šo jomu neskar.</w:t>
            </w:r>
          </w:p>
        </w:tc>
      </w:tr>
      <w:tr w:rsidR="0049601C" w14:paraId="68F6A4E6" w14:textId="77777777" w:rsidTr="00AE7E7D">
        <w:tc>
          <w:tcPr>
            <w:tcW w:w="568" w:type="dxa"/>
          </w:tcPr>
          <w:p w14:paraId="6BCCCE00" w14:textId="77777777" w:rsidR="0049601C" w:rsidRDefault="0049601C" w:rsidP="004960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60" w:type="dxa"/>
          </w:tcPr>
          <w:p w14:paraId="2B07B9E2" w14:textId="77777777" w:rsidR="0049601C" w:rsidRPr="00EC6E12" w:rsidRDefault="0049601C" w:rsidP="0049601C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6E12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86" w:type="dxa"/>
          </w:tcPr>
          <w:p w14:paraId="6272CB85" w14:textId="77777777" w:rsidR="0049601C" w:rsidRDefault="0049601C" w:rsidP="004960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9316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92107DC" w14:textId="77777777" w:rsidR="008B37B7" w:rsidRDefault="00E5323B" w:rsidP="00EC6E12">
      <w:pPr>
        <w:pStyle w:val="NoSpacing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EC6E12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</w:p>
    <w:p w14:paraId="2BB22137" w14:textId="6F52545B" w:rsidR="005348A9" w:rsidRPr="007F46C5" w:rsidRDefault="005348A9" w:rsidP="000B6A5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46C5">
        <w:rPr>
          <w:color w:val="000000"/>
          <w:sz w:val="28"/>
          <w:szCs w:val="28"/>
        </w:rPr>
        <w:t>Veselības ministr</w:t>
      </w:r>
      <w:r w:rsidR="000B6A50">
        <w:rPr>
          <w:color w:val="000000"/>
          <w:sz w:val="28"/>
          <w:szCs w:val="28"/>
        </w:rPr>
        <w:t xml:space="preserve">e                                                   </w:t>
      </w:r>
      <w:r w:rsidRPr="007F46C5">
        <w:rPr>
          <w:color w:val="000000"/>
          <w:sz w:val="28"/>
          <w:szCs w:val="28"/>
        </w:rPr>
        <w:t>       </w:t>
      </w:r>
      <w:r>
        <w:rPr>
          <w:rFonts w:eastAsia="Calibri"/>
          <w:noProof/>
          <w:sz w:val="20"/>
          <w:szCs w:val="20"/>
          <w:lang w:eastAsia="en-US"/>
        </w:rPr>
        <w:t xml:space="preserve">                        </w:t>
      </w:r>
      <w:r w:rsidR="00585E5D">
        <w:rPr>
          <w:rFonts w:eastAsia="Calibri"/>
          <w:noProof/>
          <w:sz w:val="20"/>
          <w:szCs w:val="20"/>
          <w:lang w:eastAsia="en-US"/>
        </w:rPr>
        <w:t xml:space="preserve">     </w:t>
      </w:r>
      <w:r>
        <w:rPr>
          <w:rFonts w:eastAsia="Calibri"/>
          <w:noProof/>
          <w:sz w:val="20"/>
          <w:szCs w:val="20"/>
          <w:lang w:eastAsia="en-US"/>
        </w:rPr>
        <w:t xml:space="preserve"> </w:t>
      </w:r>
      <w:r w:rsidR="000B6A50">
        <w:rPr>
          <w:color w:val="000000"/>
          <w:sz w:val="28"/>
          <w:szCs w:val="28"/>
        </w:rPr>
        <w:t>I</w:t>
      </w:r>
      <w:r w:rsidR="00585E5D">
        <w:rPr>
          <w:color w:val="000000"/>
          <w:sz w:val="28"/>
          <w:szCs w:val="28"/>
        </w:rPr>
        <w:t>.</w:t>
      </w:r>
      <w:r w:rsidR="000B6A50">
        <w:rPr>
          <w:color w:val="000000"/>
          <w:sz w:val="28"/>
          <w:szCs w:val="28"/>
        </w:rPr>
        <w:t xml:space="preserve"> Viņķele</w:t>
      </w:r>
    </w:p>
    <w:p w14:paraId="609E36E4" w14:textId="77777777" w:rsidR="00DF461F" w:rsidRDefault="00DF461F" w:rsidP="00DF461F">
      <w:pPr>
        <w:ind w:right="-765"/>
        <w:rPr>
          <w:rFonts w:eastAsia="Calibri"/>
          <w:color w:val="000000" w:themeColor="text1"/>
          <w:sz w:val="28"/>
          <w:szCs w:val="28"/>
        </w:rPr>
      </w:pPr>
    </w:p>
    <w:p w14:paraId="30ACB87A" w14:textId="2757FCCF" w:rsidR="00155578" w:rsidRPr="00181467" w:rsidRDefault="005348A9" w:rsidP="00DF461F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DF461F">
        <w:rPr>
          <w:rFonts w:eastAsia="Calibri"/>
          <w:color w:val="000000" w:themeColor="text1"/>
          <w:sz w:val="28"/>
          <w:szCs w:val="28"/>
        </w:rPr>
        <w:t>Vīza: Valsts sekretār</w:t>
      </w:r>
      <w:r w:rsidR="000B6A50">
        <w:rPr>
          <w:rFonts w:eastAsia="Calibri"/>
          <w:color w:val="000000" w:themeColor="text1"/>
          <w:sz w:val="28"/>
          <w:szCs w:val="28"/>
        </w:rPr>
        <w:t xml:space="preserve">e </w:t>
      </w:r>
      <w:r w:rsidR="00DF461F">
        <w:rPr>
          <w:rFonts w:eastAsia="Calibri"/>
          <w:color w:val="000000" w:themeColor="text1"/>
          <w:sz w:val="28"/>
          <w:szCs w:val="28"/>
        </w:rPr>
        <w:tab/>
      </w:r>
      <w:r w:rsidR="00DF461F">
        <w:rPr>
          <w:rFonts w:eastAsia="Calibri"/>
          <w:color w:val="000000" w:themeColor="text1"/>
          <w:sz w:val="28"/>
          <w:szCs w:val="28"/>
        </w:rPr>
        <w:tab/>
      </w:r>
      <w:r w:rsidR="00DF461F">
        <w:rPr>
          <w:rFonts w:eastAsia="Calibri"/>
          <w:color w:val="000000" w:themeColor="text1"/>
          <w:sz w:val="28"/>
          <w:szCs w:val="28"/>
        </w:rPr>
        <w:tab/>
      </w:r>
      <w:r w:rsidR="000B6A50">
        <w:rPr>
          <w:rFonts w:eastAsia="Calibri"/>
          <w:color w:val="000000" w:themeColor="text1"/>
          <w:sz w:val="28"/>
          <w:szCs w:val="28"/>
        </w:rPr>
        <w:t xml:space="preserve">                  </w:t>
      </w:r>
      <w:r w:rsidR="00585E5D">
        <w:rPr>
          <w:rFonts w:eastAsia="Calibri"/>
          <w:color w:val="000000" w:themeColor="text1"/>
          <w:sz w:val="28"/>
          <w:szCs w:val="28"/>
        </w:rPr>
        <w:t xml:space="preserve">     </w:t>
      </w:r>
      <w:r w:rsidR="000B6A50">
        <w:rPr>
          <w:rFonts w:eastAsia="Calibri"/>
          <w:color w:val="000000" w:themeColor="text1"/>
          <w:sz w:val="28"/>
          <w:szCs w:val="28"/>
        </w:rPr>
        <w:t xml:space="preserve"> D</w:t>
      </w:r>
      <w:r w:rsidR="00585E5D">
        <w:rPr>
          <w:rFonts w:eastAsia="Calibri"/>
          <w:color w:val="000000" w:themeColor="text1"/>
          <w:sz w:val="28"/>
          <w:szCs w:val="28"/>
        </w:rPr>
        <w:t>.</w:t>
      </w:r>
      <w:r w:rsidR="000B6A50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="000B6A50">
        <w:rPr>
          <w:rFonts w:eastAsia="Calibri"/>
          <w:color w:val="000000" w:themeColor="text1"/>
          <w:sz w:val="28"/>
          <w:szCs w:val="28"/>
        </w:rPr>
        <w:t>Mūrmane</w:t>
      </w:r>
      <w:proofErr w:type="spellEnd"/>
      <w:r w:rsidR="000B6A50">
        <w:rPr>
          <w:rFonts w:eastAsia="Calibri"/>
          <w:color w:val="000000" w:themeColor="text1"/>
          <w:sz w:val="28"/>
          <w:szCs w:val="28"/>
        </w:rPr>
        <w:t xml:space="preserve"> - </w:t>
      </w:r>
      <w:proofErr w:type="spellStart"/>
      <w:r w:rsidR="000B6A50">
        <w:rPr>
          <w:rFonts w:eastAsia="Calibri"/>
          <w:color w:val="000000" w:themeColor="text1"/>
          <w:sz w:val="28"/>
          <w:szCs w:val="28"/>
        </w:rPr>
        <w:t>Umbraško</w:t>
      </w:r>
      <w:proofErr w:type="spellEnd"/>
    </w:p>
    <w:p w14:paraId="6D2DDD29" w14:textId="77777777" w:rsidR="00155578" w:rsidRDefault="00155578" w:rsidP="0015557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38A5A9E" w14:textId="3DDDDAE5" w:rsidR="00B6729B" w:rsidRDefault="00B6729B" w:rsidP="00155578">
      <w:pPr>
        <w:pStyle w:val="NormalWeb"/>
        <w:spacing w:before="0" w:beforeAutospacing="0" w:after="0" w:afterAutospacing="0"/>
      </w:pPr>
    </w:p>
    <w:p w14:paraId="0323516C" w14:textId="7CF7419F" w:rsidR="00D465B3" w:rsidRDefault="00D465B3" w:rsidP="00155578">
      <w:pPr>
        <w:pStyle w:val="NormalWeb"/>
        <w:spacing w:before="0" w:beforeAutospacing="0" w:after="0" w:afterAutospacing="0"/>
      </w:pPr>
    </w:p>
    <w:p w14:paraId="349D631B" w14:textId="14EFD469" w:rsidR="00D465B3" w:rsidRDefault="00D465B3" w:rsidP="00155578">
      <w:pPr>
        <w:pStyle w:val="NormalWeb"/>
        <w:spacing w:before="0" w:beforeAutospacing="0" w:after="0" w:afterAutospacing="0"/>
      </w:pPr>
    </w:p>
    <w:p w14:paraId="226512C2" w14:textId="7FFD176F" w:rsidR="00C45C2B" w:rsidRPr="008E38C4" w:rsidRDefault="00C45C2B" w:rsidP="00C45C2B">
      <w:pPr>
        <w:pStyle w:val="pamattekststabul"/>
        <w:tabs>
          <w:tab w:val="left" w:pos="3119"/>
          <w:tab w:val="left" w:pos="5812"/>
        </w:tabs>
        <w:spacing w:before="0" w:beforeAutospacing="0" w:after="0" w:afterAutospacing="0"/>
        <w:jc w:val="both"/>
        <w:rPr>
          <w:lang w:val="lv-LV"/>
        </w:rPr>
      </w:pPr>
      <w:r>
        <w:rPr>
          <w:lang w:val="lv-LV"/>
        </w:rPr>
        <w:t>I</w:t>
      </w:r>
      <w:r w:rsidR="00E14E1B">
        <w:rPr>
          <w:lang w:val="lv-LV"/>
        </w:rPr>
        <w:t>.</w:t>
      </w:r>
      <w:bookmarkStart w:id="0" w:name="_GoBack"/>
      <w:bookmarkEnd w:id="0"/>
      <w:r>
        <w:rPr>
          <w:lang w:val="lv-LV"/>
        </w:rPr>
        <w:t xml:space="preserve"> </w:t>
      </w:r>
      <w:r w:rsidRPr="008E38C4">
        <w:rPr>
          <w:lang w:val="lv-LV"/>
        </w:rPr>
        <w:t>Lazdiņa  67876169</w:t>
      </w:r>
    </w:p>
    <w:p w14:paraId="1A8D70A0" w14:textId="77777777" w:rsidR="00C45C2B" w:rsidRPr="007E4EFC" w:rsidRDefault="00C45C2B" w:rsidP="00C45C2B">
      <w:pPr>
        <w:pStyle w:val="pamattekststabul"/>
        <w:tabs>
          <w:tab w:val="left" w:pos="3119"/>
          <w:tab w:val="left" w:pos="5812"/>
        </w:tabs>
        <w:spacing w:before="0" w:beforeAutospacing="0" w:after="2880" w:afterAutospacing="0"/>
        <w:jc w:val="both"/>
      </w:pPr>
      <w:r w:rsidRPr="008E38C4">
        <w:t>Ivita.Lazdiņa@vm.gov.lv</w:t>
      </w:r>
    </w:p>
    <w:p w14:paraId="4FB46C34" w14:textId="77777777" w:rsidR="00D465B3" w:rsidRDefault="00D465B3" w:rsidP="00155578">
      <w:pPr>
        <w:pStyle w:val="NormalWeb"/>
        <w:spacing w:before="0" w:beforeAutospacing="0" w:after="0" w:afterAutospacing="0"/>
      </w:pPr>
    </w:p>
    <w:sectPr w:rsidR="00D465B3" w:rsidSect="00AE7E7D">
      <w:headerReference w:type="default" r:id="rId7"/>
      <w:footerReference w:type="default" r:id="rId8"/>
      <w:footerReference w:type="first" r:id="rId9"/>
      <w:pgSz w:w="11906" w:h="16838"/>
      <w:pgMar w:top="1843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DB81C" w14:textId="77777777" w:rsidR="001525D7" w:rsidRDefault="001525D7" w:rsidP="00894C55">
      <w:r>
        <w:separator/>
      </w:r>
    </w:p>
  </w:endnote>
  <w:endnote w:type="continuationSeparator" w:id="0">
    <w:p w14:paraId="6C68B87C" w14:textId="77777777" w:rsidR="001525D7" w:rsidRDefault="001525D7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DE5F" w14:textId="0DD66D30" w:rsidR="00893C18" w:rsidRPr="00155578" w:rsidRDefault="00893C18" w:rsidP="00893C18">
    <w:pPr>
      <w:pStyle w:val="Footer"/>
    </w:pPr>
  </w:p>
  <w:p w14:paraId="03499B72" w14:textId="419E82F6" w:rsidR="005D173E" w:rsidRPr="00155578" w:rsidRDefault="005D173E" w:rsidP="005D173E">
    <w:pPr>
      <w:pStyle w:val="Footer"/>
    </w:pPr>
    <w:r w:rsidRPr="00155578">
      <w:rPr>
        <w:rFonts w:ascii="Times New Roman" w:hAnsi="Times New Roman" w:cs="Times New Roman"/>
        <w:sz w:val="20"/>
        <w:szCs w:val="20"/>
      </w:rPr>
      <w:t>VManot_</w:t>
    </w:r>
    <w:r w:rsidR="00E72E3D">
      <w:rPr>
        <w:rFonts w:ascii="Times New Roman" w:hAnsi="Times New Roman" w:cs="Times New Roman"/>
        <w:sz w:val="20"/>
        <w:szCs w:val="20"/>
      </w:rPr>
      <w:t>1</w:t>
    </w:r>
    <w:r w:rsidR="00A973AC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06</w:t>
    </w:r>
    <w:r w:rsidRPr="00155578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9</w:t>
    </w:r>
  </w:p>
  <w:p w14:paraId="515CF0E0" w14:textId="77777777" w:rsidR="003903BF" w:rsidRPr="00894C55" w:rsidRDefault="003903BF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D6E4" w14:textId="6E007F55" w:rsidR="003903BF" w:rsidRPr="00155578" w:rsidRDefault="00155578" w:rsidP="00155578">
    <w:pPr>
      <w:pStyle w:val="Footer"/>
    </w:pPr>
    <w:bookmarkStart w:id="1" w:name="_Hlk8717898"/>
    <w:bookmarkStart w:id="2" w:name="_Hlk8717899"/>
    <w:bookmarkStart w:id="3" w:name="_Hlk10536941"/>
    <w:bookmarkStart w:id="4" w:name="_Hlk10536942"/>
    <w:r w:rsidRPr="00155578">
      <w:rPr>
        <w:rFonts w:ascii="Times New Roman" w:hAnsi="Times New Roman" w:cs="Times New Roman"/>
        <w:sz w:val="20"/>
        <w:szCs w:val="20"/>
      </w:rPr>
      <w:t>VManot_</w:t>
    </w:r>
    <w:r w:rsidR="00E72E3D">
      <w:rPr>
        <w:rFonts w:ascii="Times New Roman" w:hAnsi="Times New Roman" w:cs="Times New Roman"/>
        <w:sz w:val="20"/>
        <w:szCs w:val="20"/>
      </w:rPr>
      <w:t>1</w:t>
    </w:r>
    <w:r w:rsidR="00A973AC">
      <w:rPr>
        <w:rFonts w:ascii="Times New Roman" w:hAnsi="Times New Roman" w:cs="Times New Roman"/>
        <w:sz w:val="20"/>
        <w:szCs w:val="20"/>
      </w:rPr>
      <w:t>7</w:t>
    </w:r>
    <w:r w:rsidR="00893C18">
      <w:rPr>
        <w:rFonts w:ascii="Times New Roman" w:hAnsi="Times New Roman" w:cs="Times New Roman"/>
        <w:sz w:val="20"/>
        <w:szCs w:val="20"/>
      </w:rPr>
      <w:t>0</w:t>
    </w:r>
    <w:r w:rsidR="007652F7">
      <w:rPr>
        <w:rFonts w:ascii="Times New Roman" w:hAnsi="Times New Roman" w:cs="Times New Roman"/>
        <w:sz w:val="20"/>
        <w:szCs w:val="20"/>
      </w:rPr>
      <w:t>6</w:t>
    </w:r>
    <w:r w:rsidRPr="00155578">
      <w:rPr>
        <w:rFonts w:ascii="Times New Roman" w:hAnsi="Times New Roman" w:cs="Times New Roman"/>
        <w:sz w:val="20"/>
        <w:szCs w:val="20"/>
      </w:rPr>
      <w:t>1</w:t>
    </w:r>
    <w:r w:rsidR="00893C18">
      <w:rPr>
        <w:rFonts w:ascii="Times New Roman" w:hAnsi="Times New Roman" w:cs="Times New Roman"/>
        <w:sz w:val="20"/>
        <w:szCs w:val="20"/>
      </w:rPr>
      <w:t>9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BD13F" w14:textId="77777777" w:rsidR="001525D7" w:rsidRDefault="001525D7" w:rsidP="00894C55">
      <w:r>
        <w:separator/>
      </w:r>
    </w:p>
  </w:footnote>
  <w:footnote w:type="continuationSeparator" w:id="0">
    <w:p w14:paraId="12B5087F" w14:textId="77777777" w:rsidR="001525D7" w:rsidRDefault="001525D7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268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59739C61" w14:textId="77777777" w:rsidR="003903BF" w:rsidRPr="00C25B49" w:rsidRDefault="003903BF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B221B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251"/>
    <w:multiLevelType w:val="hybridMultilevel"/>
    <w:tmpl w:val="0130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E0AAF"/>
    <w:multiLevelType w:val="multilevel"/>
    <w:tmpl w:val="E03ABE8E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6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eastAsia="Calibri" w:hint="default"/>
      </w:rPr>
    </w:lvl>
  </w:abstractNum>
  <w:abstractNum w:abstractNumId="2" w15:restartNumberingAfterBreak="0">
    <w:nsid w:val="4BB40FB4"/>
    <w:multiLevelType w:val="hybridMultilevel"/>
    <w:tmpl w:val="5A9097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71EB4"/>
    <w:multiLevelType w:val="hybridMultilevel"/>
    <w:tmpl w:val="47804B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C178D"/>
    <w:multiLevelType w:val="hybridMultilevel"/>
    <w:tmpl w:val="6BCE60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160FC"/>
    <w:multiLevelType w:val="hybridMultilevel"/>
    <w:tmpl w:val="DF6A7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F66A3"/>
    <w:multiLevelType w:val="hybridMultilevel"/>
    <w:tmpl w:val="54A259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A2BF1"/>
    <w:multiLevelType w:val="hybridMultilevel"/>
    <w:tmpl w:val="0076EA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805C1"/>
    <w:multiLevelType w:val="multilevel"/>
    <w:tmpl w:val="8C96B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729D"/>
    <w:rsid w:val="00027250"/>
    <w:rsid w:val="00037CA6"/>
    <w:rsid w:val="0004022B"/>
    <w:rsid w:val="0004636A"/>
    <w:rsid w:val="00051EE3"/>
    <w:rsid w:val="0006374D"/>
    <w:rsid w:val="000714CF"/>
    <w:rsid w:val="0008249D"/>
    <w:rsid w:val="00093FD3"/>
    <w:rsid w:val="000A0E51"/>
    <w:rsid w:val="000B6A50"/>
    <w:rsid w:val="000F363E"/>
    <w:rsid w:val="00130487"/>
    <w:rsid w:val="00140644"/>
    <w:rsid w:val="00140A5B"/>
    <w:rsid w:val="001444CA"/>
    <w:rsid w:val="001447EF"/>
    <w:rsid w:val="00152501"/>
    <w:rsid w:val="001525D7"/>
    <w:rsid w:val="00154A6D"/>
    <w:rsid w:val="00155578"/>
    <w:rsid w:val="00157D37"/>
    <w:rsid w:val="001618B7"/>
    <w:rsid w:val="00171AFD"/>
    <w:rsid w:val="00180F15"/>
    <w:rsid w:val="00187B96"/>
    <w:rsid w:val="001B6C59"/>
    <w:rsid w:val="001C28C1"/>
    <w:rsid w:val="001C768D"/>
    <w:rsid w:val="001D66EB"/>
    <w:rsid w:val="001E7774"/>
    <w:rsid w:val="001E7EAF"/>
    <w:rsid w:val="0020674D"/>
    <w:rsid w:val="00243426"/>
    <w:rsid w:val="00244D98"/>
    <w:rsid w:val="002515DF"/>
    <w:rsid w:val="002549F5"/>
    <w:rsid w:val="0027542F"/>
    <w:rsid w:val="00282312"/>
    <w:rsid w:val="002A3A1E"/>
    <w:rsid w:val="002B03C0"/>
    <w:rsid w:val="002D1E95"/>
    <w:rsid w:val="002E07D8"/>
    <w:rsid w:val="002E1C05"/>
    <w:rsid w:val="002F0AB1"/>
    <w:rsid w:val="0031401C"/>
    <w:rsid w:val="00320CB4"/>
    <w:rsid w:val="003243B6"/>
    <w:rsid w:val="00334A81"/>
    <w:rsid w:val="00341D70"/>
    <w:rsid w:val="00355F77"/>
    <w:rsid w:val="00361916"/>
    <w:rsid w:val="003872F2"/>
    <w:rsid w:val="003903BF"/>
    <w:rsid w:val="00396F8F"/>
    <w:rsid w:val="003B0BF9"/>
    <w:rsid w:val="003D54A7"/>
    <w:rsid w:val="003E0791"/>
    <w:rsid w:val="003F28AC"/>
    <w:rsid w:val="00424A5C"/>
    <w:rsid w:val="0043126B"/>
    <w:rsid w:val="00432D46"/>
    <w:rsid w:val="004411A4"/>
    <w:rsid w:val="004454FE"/>
    <w:rsid w:val="00456E40"/>
    <w:rsid w:val="00471F27"/>
    <w:rsid w:val="0047309D"/>
    <w:rsid w:val="004801FD"/>
    <w:rsid w:val="0048185F"/>
    <w:rsid w:val="00493891"/>
    <w:rsid w:val="0049601C"/>
    <w:rsid w:val="004B5A63"/>
    <w:rsid w:val="004C043C"/>
    <w:rsid w:val="004C1D1F"/>
    <w:rsid w:val="004C7CC0"/>
    <w:rsid w:val="004E1BA2"/>
    <w:rsid w:val="004E29AE"/>
    <w:rsid w:val="00500842"/>
    <w:rsid w:val="0050178F"/>
    <w:rsid w:val="00502D57"/>
    <w:rsid w:val="005348A9"/>
    <w:rsid w:val="0056229B"/>
    <w:rsid w:val="005660EE"/>
    <w:rsid w:val="0056696D"/>
    <w:rsid w:val="005847E1"/>
    <w:rsid w:val="005856D9"/>
    <w:rsid w:val="00585E5D"/>
    <w:rsid w:val="00594A23"/>
    <w:rsid w:val="005C6A8E"/>
    <w:rsid w:val="005D173E"/>
    <w:rsid w:val="005F7BA4"/>
    <w:rsid w:val="00604F38"/>
    <w:rsid w:val="00610C37"/>
    <w:rsid w:val="00623F8D"/>
    <w:rsid w:val="006335C0"/>
    <w:rsid w:val="0063496B"/>
    <w:rsid w:val="0064127B"/>
    <w:rsid w:val="00645EF1"/>
    <w:rsid w:val="00646244"/>
    <w:rsid w:val="0064653C"/>
    <w:rsid w:val="00647B3D"/>
    <w:rsid w:val="00654C92"/>
    <w:rsid w:val="00655F2C"/>
    <w:rsid w:val="0066140A"/>
    <w:rsid w:val="006655BF"/>
    <w:rsid w:val="00681C7D"/>
    <w:rsid w:val="00681F74"/>
    <w:rsid w:val="006936E5"/>
    <w:rsid w:val="006A31D0"/>
    <w:rsid w:val="006B221B"/>
    <w:rsid w:val="006D292C"/>
    <w:rsid w:val="006D2F32"/>
    <w:rsid w:val="006E1081"/>
    <w:rsid w:val="006E71F7"/>
    <w:rsid w:val="006F5A70"/>
    <w:rsid w:val="00710AE8"/>
    <w:rsid w:val="00710C61"/>
    <w:rsid w:val="00714AB3"/>
    <w:rsid w:val="00720585"/>
    <w:rsid w:val="0072168C"/>
    <w:rsid w:val="007272A8"/>
    <w:rsid w:val="007330EC"/>
    <w:rsid w:val="00736C5D"/>
    <w:rsid w:val="00737252"/>
    <w:rsid w:val="007503A8"/>
    <w:rsid w:val="007606BC"/>
    <w:rsid w:val="007606BD"/>
    <w:rsid w:val="007652F7"/>
    <w:rsid w:val="00773AF6"/>
    <w:rsid w:val="00773EC6"/>
    <w:rsid w:val="00781317"/>
    <w:rsid w:val="0079260F"/>
    <w:rsid w:val="00795F71"/>
    <w:rsid w:val="007A54FC"/>
    <w:rsid w:val="007B1712"/>
    <w:rsid w:val="007D6D57"/>
    <w:rsid w:val="007E21B1"/>
    <w:rsid w:val="007E3BCE"/>
    <w:rsid w:val="007E5F7A"/>
    <w:rsid w:val="007E73AB"/>
    <w:rsid w:val="007F2EF9"/>
    <w:rsid w:val="007F5A51"/>
    <w:rsid w:val="007F5DCC"/>
    <w:rsid w:val="007F60D1"/>
    <w:rsid w:val="007F6F87"/>
    <w:rsid w:val="00816C11"/>
    <w:rsid w:val="00825702"/>
    <w:rsid w:val="00835DE9"/>
    <w:rsid w:val="00842AD1"/>
    <w:rsid w:val="00893C18"/>
    <w:rsid w:val="00894C55"/>
    <w:rsid w:val="008B37B7"/>
    <w:rsid w:val="008C1794"/>
    <w:rsid w:val="008E4FC3"/>
    <w:rsid w:val="008F2600"/>
    <w:rsid w:val="00911BEB"/>
    <w:rsid w:val="00916857"/>
    <w:rsid w:val="00921789"/>
    <w:rsid w:val="00922E9E"/>
    <w:rsid w:val="00923570"/>
    <w:rsid w:val="009362B4"/>
    <w:rsid w:val="009547D2"/>
    <w:rsid w:val="00971971"/>
    <w:rsid w:val="00996890"/>
    <w:rsid w:val="00997DE4"/>
    <w:rsid w:val="009A2654"/>
    <w:rsid w:val="009B61EE"/>
    <w:rsid w:val="009C6CD1"/>
    <w:rsid w:val="009F25E7"/>
    <w:rsid w:val="009F6BA5"/>
    <w:rsid w:val="00A00F88"/>
    <w:rsid w:val="00A10FC3"/>
    <w:rsid w:val="00A4592E"/>
    <w:rsid w:val="00A52304"/>
    <w:rsid w:val="00A55FFE"/>
    <w:rsid w:val="00A6073E"/>
    <w:rsid w:val="00A772AD"/>
    <w:rsid w:val="00A935DA"/>
    <w:rsid w:val="00A973AC"/>
    <w:rsid w:val="00AA0994"/>
    <w:rsid w:val="00AA3C55"/>
    <w:rsid w:val="00AA4209"/>
    <w:rsid w:val="00AB3B98"/>
    <w:rsid w:val="00AC72B8"/>
    <w:rsid w:val="00AE5567"/>
    <w:rsid w:val="00AE7E7D"/>
    <w:rsid w:val="00AF1239"/>
    <w:rsid w:val="00AF56A3"/>
    <w:rsid w:val="00B14F56"/>
    <w:rsid w:val="00B16480"/>
    <w:rsid w:val="00B2165C"/>
    <w:rsid w:val="00B21E2E"/>
    <w:rsid w:val="00B24C87"/>
    <w:rsid w:val="00B36406"/>
    <w:rsid w:val="00B47A30"/>
    <w:rsid w:val="00B6729B"/>
    <w:rsid w:val="00B67377"/>
    <w:rsid w:val="00B7190B"/>
    <w:rsid w:val="00B7558C"/>
    <w:rsid w:val="00B86ED9"/>
    <w:rsid w:val="00B87199"/>
    <w:rsid w:val="00BA20AA"/>
    <w:rsid w:val="00BA7DA4"/>
    <w:rsid w:val="00BC1002"/>
    <w:rsid w:val="00BD4425"/>
    <w:rsid w:val="00BD7F5E"/>
    <w:rsid w:val="00BE73AA"/>
    <w:rsid w:val="00C10270"/>
    <w:rsid w:val="00C25B49"/>
    <w:rsid w:val="00C30F18"/>
    <w:rsid w:val="00C348FC"/>
    <w:rsid w:val="00C42475"/>
    <w:rsid w:val="00C45C2B"/>
    <w:rsid w:val="00C57547"/>
    <w:rsid w:val="00C76B23"/>
    <w:rsid w:val="00C83131"/>
    <w:rsid w:val="00C8678C"/>
    <w:rsid w:val="00CB0786"/>
    <w:rsid w:val="00CC0982"/>
    <w:rsid w:val="00CC0D2D"/>
    <w:rsid w:val="00CC0E67"/>
    <w:rsid w:val="00CE5657"/>
    <w:rsid w:val="00D104DA"/>
    <w:rsid w:val="00D133F8"/>
    <w:rsid w:val="00D14A3E"/>
    <w:rsid w:val="00D22281"/>
    <w:rsid w:val="00D22CB4"/>
    <w:rsid w:val="00D24501"/>
    <w:rsid w:val="00D269A2"/>
    <w:rsid w:val="00D465B3"/>
    <w:rsid w:val="00D74EB0"/>
    <w:rsid w:val="00DA54D3"/>
    <w:rsid w:val="00DA6113"/>
    <w:rsid w:val="00DC2DAF"/>
    <w:rsid w:val="00DD0024"/>
    <w:rsid w:val="00DD588D"/>
    <w:rsid w:val="00DE07F2"/>
    <w:rsid w:val="00DF0BA5"/>
    <w:rsid w:val="00DF461F"/>
    <w:rsid w:val="00DF68F8"/>
    <w:rsid w:val="00DF776E"/>
    <w:rsid w:val="00E01657"/>
    <w:rsid w:val="00E14E1B"/>
    <w:rsid w:val="00E32710"/>
    <w:rsid w:val="00E3716B"/>
    <w:rsid w:val="00E413A7"/>
    <w:rsid w:val="00E5071E"/>
    <w:rsid w:val="00E5323B"/>
    <w:rsid w:val="00E5764B"/>
    <w:rsid w:val="00E72E3D"/>
    <w:rsid w:val="00E75BD5"/>
    <w:rsid w:val="00E85C03"/>
    <w:rsid w:val="00E8749E"/>
    <w:rsid w:val="00E90C01"/>
    <w:rsid w:val="00E91834"/>
    <w:rsid w:val="00EA0908"/>
    <w:rsid w:val="00EA486E"/>
    <w:rsid w:val="00EB0335"/>
    <w:rsid w:val="00EB322C"/>
    <w:rsid w:val="00EB3AFC"/>
    <w:rsid w:val="00EC6E12"/>
    <w:rsid w:val="00EC766A"/>
    <w:rsid w:val="00ED081B"/>
    <w:rsid w:val="00EE2F62"/>
    <w:rsid w:val="00EE66A3"/>
    <w:rsid w:val="00EF453D"/>
    <w:rsid w:val="00F018D2"/>
    <w:rsid w:val="00F01E73"/>
    <w:rsid w:val="00F0563D"/>
    <w:rsid w:val="00F34AD5"/>
    <w:rsid w:val="00F4273F"/>
    <w:rsid w:val="00F52BB2"/>
    <w:rsid w:val="00F57B0C"/>
    <w:rsid w:val="00F63810"/>
    <w:rsid w:val="00F77F67"/>
    <w:rsid w:val="00F82318"/>
    <w:rsid w:val="00F83ADA"/>
    <w:rsid w:val="00FB0834"/>
    <w:rsid w:val="00FB254A"/>
    <w:rsid w:val="00FB5F1E"/>
    <w:rsid w:val="00FC3FDB"/>
    <w:rsid w:val="00FC4F6C"/>
    <w:rsid w:val="00FD4C93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65DC39C"/>
  <w15:docId w15:val="{20470861-7AD9-4D33-8BC5-1B4E9CF0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6E12"/>
    <w:pPr>
      <w:spacing w:after="0" w:line="240" w:lineRule="auto"/>
    </w:pPr>
  </w:style>
  <w:style w:type="table" w:styleId="TableGrid">
    <w:name w:val="Table Grid"/>
    <w:basedOn w:val="TableNormal"/>
    <w:uiPriority w:val="39"/>
    <w:rsid w:val="00EC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0487"/>
    <w:rPr>
      <w:b/>
      <w:bCs/>
    </w:rPr>
  </w:style>
  <w:style w:type="paragraph" w:styleId="ListParagraph">
    <w:name w:val="List Paragraph"/>
    <w:basedOn w:val="Normal"/>
    <w:uiPriority w:val="34"/>
    <w:qFormat/>
    <w:rsid w:val="0008249D"/>
    <w:pPr>
      <w:ind w:left="720"/>
      <w:contextualSpacing/>
    </w:pPr>
  </w:style>
  <w:style w:type="paragraph" w:customStyle="1" w:styleId="naisf">
    <w:name w:val="naisf"/>
    <w:basedOn w:val="Normal"/>
    <w:rsid w:val="00155578"/>
    <w:pPr>
      <w:spacing w:before="75" w:after="75"/>
      <w:ind w:firstLine="375"/>
      <w:jc w:val="both"/>
    </w:pPr>
  </w:style>
  <w:style w:type="character" w:customStyle="1" w:styleId="NoSpacingChar">
    <w:name w:val="No Spacing Char"/>
    <w:link w:val="NoSpacing"/>
    <w:uiPriority w:val="1"/>
    <w:rsid w:val="00155578"/>
  </w:style>
  <w:style w:type="paragraph" w:styleId="NormalWeb">
    <w:name w:val="Normal (Web)"/>
    <w:basedOn w:val="Normal"/>
    <w:link w:val="NormalWebChar"/>
    <w:rsid w:val="00155578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15557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B8719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622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5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92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92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2F0AB1"/>
    <w:pPr>
      <w:spacing w:before="100" w:beforeAutospacing="1" w:after="100" w:afterAutospacing="1"/>
    </w:pPr>
  </w:style>
  <w:style w:type="paragraph" w:customStyle="1" w:styleId="pamattekststabul">
    <w:name w:val="pamattekststabul"/>
    <w:basedOn w:val="Normal"/>
    <w:rsid w:val="00C45C2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6449</Words>
  <Characters>3677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finanšu līdzekļu piešķiršanu no valsts budžeta programmas „Līdzekļi neparedzētiem gadījumiem”” sākotnējās ietekmes novērtējuma ziņojums (anotācija)</vt:lpstr>
      <vt:lpstr>Par finanšu līdzekļu piešķiršanu no valsts budžeta programmas "Līdzekļi neparedzētiem gadījumiem"</vt:lpstr>
    </vt:vector>
  </TitlesOfParts>
  <Manager/>
  <Company>Veselības ministrija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 (anotācija)</dc:title>
  <dc:subject>Anotācija</dc:subject>
  <dc:creator>Inga Vinničenko</dc:creator>
  <dc:description>67876029, Inga.Vinnicenko@vm.gov.lv, Nozares budžeta plānošanas departamenta
Vecākā referente</dc:description>
  <cp:lastModifiedBy>Ivita Lazdiņa</cp:lastModifiedBy>
  <cp:revision>108</cp:revision>
  <cp:lastPrinted>2019-05-14T10:30:00Z</cp:lastPrinted>
  <dcterms:created xsi:type="dcterms:W3CDTF">2019-06-03T05:27:00Z</dcterms:created>
  <dcterms:modified xsi:type="dcterms:W3CDTF">2019-06-17T10:35:00Z</dcterms:modified>
</cp:coreProperties>
</file>