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2D2A7" w14:textId="2847F3A9" w:rsidR="006D63ED" w:rsidRDefault="006D63ED" w:rsidP="006D63ED">
      <w:pPr>
        <w:ind w:right="-1"/>
        <w:jc w:val="center"/>
        <w:rPr>
          <w:sz w:val="28"/>
          <w:szCs w:val="28"/>
        </w:rPr>
      </w:pPr>
      <w:r w:rsidRPr="006D63ED">
        <w:rPr>
          <w:sz w:val="28"/>
          <w:szCs w:val="28"/>
        </w:rPr>
        <w:t>LATVIJAS REPUBLIKAS MINISTRU KABINETS</w:t>
      </w:r>
    </w:p>
    <w:p w14:paraId="6B5B531D" w14:textId="77777777" w:rsidR="006D63ED" w:rsidRPr="006D63ED" w:rsidRDefault="006D63ED" w:rsidP="006D63ED">
      <w:pPr>
        <w:ind w:right="-1"/>
        <w:jc w:val="center"/>
        <w:rPr>
          <w:sz w:val="28"/>
          <w:szCs w:val="28"/>
        </w:rPr>
      </w:pPr>
    </w:p>
    <w:p w14:paraId="0E48280A" w14:textId="77777777" w:rsidR="006D63ED" w:rsidRPr="006D63ED" w:rsidRDefault="006D63ED" w:rsidP="006D63ED">
      <w:pPr>
        <w:ind w:right="-1"/>
        <w:jc w:val="center"/>
        <w:rPr>
          <w:sz w:val="28"/>
          <w:szCs w:val="28"/>
        </w:rPr>
      </w:pPr>
      <w:r w:rsidRPr="006D63ED">
        <w:rPr>
          <w:sz w:val="28"/>
          <w:szCs w:val="28"/>
        </w:rPr>
        <w:t xml:space="preserve">2019.gada ___. _________ </w:t>
      </w:r>
      <w:r w:rsidRPr="006D63ED">
        <w:rPr>
          <w:sz w:val="28"/>
          <w:szCs w:val="28"/>
        </w:rPr>
        <w:tab/>
      </w:r>
      <w:r w:rsidRPr="006D63ED">
        <w:rPr>
          <w:sz w:val="28"/>
          <w:szCs w:val="28"/>
        </w:rPr>
        <w:tab/>
      </w:r>
      <w:r w:rsidRPr="006D63ED">
        <w:rPr>
          <w:sz w:val="28"/>
          <w:szCs w:val="28"/>
        </w:rPr>
        <w:tab/>
      </w:r>
      <w:r w:rsidRPr="006D63ED">
        <w:rPr>
          <w:sz w:val="28"/>
          <w:szCs w:val="28"/>
        </w:rPr>
        <w:tab/>
      </w:r>
      <w:r w:rsidRPr="006D63ED">
        <w:rPr>
          <w:sz w:val="28"/>
          <w:szCs w:val="28"/>
        </w:rPr>
        <w:tab/>
        <w:t xml:space="preserve"> Noteikumi Nr.___</w:t>
      </w:r>
    </w:p>
    <w:p w14:paraId="0134B32C" w14:textId="77777777" w:rsidR="006D63ED" w:rsidRPr="006D63ED" w:rsidRDefault="006D63ED" w:rsidP="006D63ED">
      <w:pPr>
        <w:ind w:right="-1"/>
        <w:jc w:val="center"/>
        <w:rPr>
          <w:sz w:val="28"/>
          <w:szCs w:val="28"/>
        </w:rPr>
      </w:pPr>
      <w:r w:rsidRPr="006D63ED">
        <w:rPr>
          <w:sz w:val="28"/>
          <w:szCs w:val="28"/>
        </w:rPr>
        <w:t>Rīgā</w:t>
      </w:r>
      <w:r w:rsidRPr="006D63ED">
        <w:rPr>
          <w:sz w:val="28"/>
          <w:szCs w:val="28"/>
        </w:rPr>
        <w:tab/>
      </w:r>
      <w:r w:rsidRPr="006D63ED">
        <w:rPr>
          <w:sz w:val="28"/>
          <w:szCs w:val="28"/>
        </w:rPr>
        <w:tab/>
      </w:r>
      <w:r w:rsidRPr="006D63ED">
        <w:rPr>
          <w:sz w:val="28"/>
          <w:szCs w:val="28"/>
        </w:rPr>
        <w:tab/>
      </w:r>
      <w:r w:rsidRPr="006D63ED">
        <w:rPr>
          <w:sz w:val="28"/>
          <w:szCs w:val="28"/>
        </w:rPr>
        <w:tab/>
      </w:r>
      <w:r w:rsidRPr="006D63ED">
        <w:rPr>
          <w:sz w:val="28"/>
          <w:szCs w:val="28"/>
        </w:rPr>
        <w:tab/>
      </w:r>
      <w:r w:rsidRPr="006D63ED">
        <w:rPr>
          <w:sz w:val="28"/>
          <w:szCs w:val="28"/>
        </w:rPr>
        <w:tab/>
      </w:r>
      <w:r w:rsidRPr="006D63ED">
        <w:rPr>
          <w:sz w:val="28"/>
          <w:szCs w:val="28"/>
        </w:rPr>
        <w:tab/>
      </w:r>
      <w:r w:rsidRPr="006D63ED">
        <w:rPr>
          <w:sz w:val="28"/>
          <w:szCs w:val="28"/>
        </w:rPr>
        <w:tab/>
      </w:r>
      <w:r w:rsidRPr="006D63ED">
        <w:rPr>
          <w:sz w:val="28"/>
          <w:szCs w:val="28"/>
        </w:rPr>
        <w:tab/>
        <w:t xml:space="preserve"> (prot. Nr.__ __ § )</w:t>
      </w:r>
    </w:p>
    <w:p w14:paraId="01330DB4" w14:textId="29906CA2" w:rsidR="00C00A8E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24A44850" w14:textId="77777777" w:rsidR="006D63ED" w:rsidRPr="00242C98" w:rsidRDefault="006D63ED" w:rsidP="00143392">
      <w:pPr>
        <w:ind w:right="-1"/>
        <w:jc w:val="center"/>
        <w:rPr>
          <w:b/>
          <w:sz w:val="28"/>
          <w:szCs w:val="28"/>
        </w:rPr>
      </w:pPr>
    </w:p>
    <w:p w14:paraId="1C2D58E7" w14:textId="201BFDFD" w:rsidR="009C5A63" w:rsidRDefault="00CC381E" w:rsidP="00073C5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Grozījumi</w:t>
      </w:r>
      <w:r w:rsidR="00073C51">
        <w:rPr>
          <w:b/>
          <w:bCs/>
          <w:sz w:val="28"/>
        </w:rPr>
        <w:t xml:space="preserve"> Ministru kabineta 2013.gada 3.septembra noteikumos Nr.744 “Nacionālā veselības dienesta maksas pakalpojumu cenrādis””</w:t>
      </w:r>
    </w:p>
    <w:p w14:paraId="5844E174" w14:textId="77777777" w:rsidR="00073C51" w:rsidRPr="00986B6F" w:rsidRDefault="00073C51" w:rsidP="00073C51">
      <w:pPr>
        <w:jc w:val="center"/>
        <w:rPr>
          <w:sz w:val="28"/>
          <w:szCs w:val="28"/>
        </w:rPr>
      </w:pPr>
    </w:p>
    <w:p w14:paraId="69A39A83" w14:textId="77777777" w:rsidR="006D63ED" w:rsidRDefault="006D63ED" w:rsidP="009E5245">
      <w:pPr>
        <w:pStyle w:val="likizd"/>
        <w:spacing w:before="0" w:beforeAutospacing="0" w:after="0" w:afterAutospacing="0"/>
        <w:jc w:val="right"/>
        <w:rPr>
          <w:sz w:val="28"/>
          <w:szCs w:val="28"/>
        </w:rPr>
      </w:pPr>
    </w:p>
    <w:p w14:paraId="6A077C7F" w14:textId="6185EB60" w:rsidR="009E5245" w:rsidRPr="00986B6F" w:rsidRDefault="00151EB9" w:rsidP="009E5245">
      <w:pPr>
        <w:pStyle w:val="likizd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Izdots</w:t>
      </w:r>
      <w:r w:rsidR="009E5245" w:rsidRPr="00986B6F">
        <w:rPr>
          <w:sz w:val="28"/>
          <w:szCs w:val="28"/>
        </w:rPr>
        <w:t xml:space="preserve"> saskaņā ar </w:t>
      </w:r>
    </w:p>
    <w:p w14:paraId="6D7CA2FE" w14:textId="6BCEA918" w:rsidR="006D63ED" w:rsidRDefault="009E5245" w:rsidP="00EB59AF">
      <w:pPr>
        <w:pStyle w:val="likizd"/>
        <w:spacing w:before="0" w:beforeAutospacing="0" w:after="0" w:afterAutospacing="0"/>
        <w:jc w:val="right"/>
        <w:rPr>
          <w:sz w:val="28"/>
          <w:szCs w:val="28"/>
        </w:rPr>
      </w:pPr>
      <w:r w:rsidRPr="00986B6F">
        <w:rPr>
          <w:sz w:val="28"/>
          <w:szCs w:val="28"/>
        </w:rPr>
        <w:t>Likuma pa</w:t>
      </w:r>
      <w:r w:rsidR="00986B6F" w:rsidRPr="00986B6F">
        <w:rPr>
          <w:sz w:val="28"/>
          <w:szCs w:val="28"/>
        </w:rPr>
        <w:t xml:space="preserve">r budžetu un finanšu vadību </w:t>
      </w:r>
      <w:r w:rsidR="00986B6F" w:rsidRPr="00986B6F">
        <w:rPr>
          <w:sz w:val="28"/>
          <w:szCs w:val="28"/>
        </w:rPr>
        <w:br/>
        <w:t>5.</w:t>
      </w:r>
      <w:r w:rsidRPr="00986B6F">
        <w:rPr>
          <w:sz w:val="28"/>
          <w:szCs w:val="28"/>
        </w:rPr>
        <w:t>panta devīto daļu</w:t>
      </w:r>
    </w:p>
    <w:p w14:paraId="2C331CE4" w14:textId="52E80F31" w:rsidR="007861C3" w:rsidRDefault="007861C3" w:rsidP="007861C3">
      <w:pPr>
        <w:pStyle w:val="NormalWeb"/>
        <w:ind w:firstLine="709"/>
        <w:jc w:val="both"/>
        <w:rPr>
          <w:sz w:val="28"/>
          <w:szCs w:val="28"/>
        </w:rPr>
      </w:pPr>
      <w:r w:rsidRPr="00986B6F">
        <w:rPr>
          <w:sz w:val="28"/>
          <w:szCs w:val="28"/>
        </w:rPr>
        <w:t>Izdarīt</w:t>
      </w:r>
      <w:r>
        <w:rPr>
          <w:sz w:val="28"/>
          <w:szCs w:val="28"/>
        </w:rPr>
        <w:t xml:space="preserve"> Ministru kabineta 2013.gada 3.</w:t>
      </w:r>
      <w:r w:rsidRPr="00986B6F">
        <w:rPr>
          <w:sz w:val="28"/>
          <w:szCs w:val="28"/>
        </w:rPr>
        <w:t>septembra noteikum</w:t>
      </w:r>
      <w:r>
        <w:rPr>
          <w:sz w:val="28"/>
          <w:szCs w:val="28"/>
        </w:rPr>
        <w:t>os Nr.</w:t>
      </w:r>
      <w:r w:rsidRPr="00986B6F">
        <w:rPr>
          <w:sz w:val="28"/>
          <w:szCs w:val="28"/>
        </w:rPr>
        <w:t xml:space="preserve">744 "Nacionālā veselības dienesta maksas pakalpojumu cenrādis" (Latvijas </w:t>
      </w:r>
      <w:r>
        <w:rPr>
          <w:sz w:val="28"/>
          <w:szCs w:val="28"/>
        </w:rPr>
        <w:t>Vēstnesis, 2013, 174. nr.; 2018, 54.nr.) šādus</w:t>
      </w:r>
      <w:r w:rsidRPr="00986B6F">
        <w:rPr>
          <w:sz w:val="28"/>
          <w:szCs w:val="28"/>
        </w:rPr>
        <w:t xml:space="preserve"> grozījum</w:t>
      </w:r>
      <w:r>
        <w:rPr>
          <w:sz w:val="28"/>
          <w:szCs w:val="28"/>
        </w:rPr>
        <w:t>us:</w:t>
      </w:r>
    </w:p>
    <w:p w14:paraId="3FE81CA9" w14:textId="0D1098DE" w:rsidR="007861C3" w:rsidRPr="0046545E" w:rsidRDefault="007861C3" w:rsidP="007861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545E">
        <w:rPr>
          <w:sz w:val="28"/>
          <w:szCs w:val="28"/>
        </w:rPr>
        <w:t>aizstāt visā pielikumā vārdu "ekspertīze" ar vārdu "novērtējums";</w:t>
      </w:r>
    </w:p>
    <w:p w14:paraId="46A06453" w14:textId="35E8836A" w:rsidR="007861C3" w:rsidRDefault="007861C3" w:rsidP="007861C3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izteikt pielikuma 4.punkta ievaddaļu šādā redakcijā:</w:t>
      </w:r>
    </w:p>
    <w:p w14:paraId="12359155" w14:textId="0F4084B8" w:rsidR="007861C3" w:rsidRPr="006A6136" w:rsidRDefault="007861C3" w:rsidP="007861C3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“4. Zāļu vai medicīnisko ierīču </w:t>
      </w:r>
      <w:r w:rsidR="008C4A93">
        <w:rPr>
          <w:sz w:val="28"/>
          <w:szCs w:val="28"/>
        </w:rPr>
        <w:t>novērtējums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”;</w:t>
      </w:r>
    </w:p>
    <w:p w14:paraId="2C1520CE" w14:textId="6E06998D" w:rsidR="007861C3" w:rsidRPr="006F422F" w:rsidRDefault="007861C3" w:rsidP="007861C3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izteikt </w:t>
      </w:r>
      <w:r w:rsidRPr="006F422F">
        <w:rPr>
          <w:sz w:val="28"/>
          <w:szCs w:val="28"/>
        </w:rPr>
        <w:t>pielikum</w:t>
      </w:r>
      <w:r>
        <w:rPr>
          <w:sz w:val="28"/>
          <w:szCs w:val="28"/>
        </w:rPr>
        <w:t>a</w:t>
      </w:r>
      <w:r w:rsidRPr="006F422F">
        <w:rPr>
          <w:sz w:val="28"/>
          <w:szCs w:val="28"/>
        </w:rPr>
        <w:t xml:space="preserve"> </w:t>
      </w:r>
      <w:r>
        <w:rPr>
          <w:sz w:val="28"/>
          <w:szCs w:val="28"/>
        </w:rPr>
        <w:t>4.1</w:t>
      </w:r>
      <w:r w:rsidRPr="006F422F">
        <w:rPr>
          <w:sz w:val="28"/>
          <w:szCs w:val="28"/>
        </w:rPr>
        <w:t>.</w:t>
      </w:r>
      <w:r w:rsidRPr="006F422F">
        <w:rPr>
          <w:sz w:val="28"/>
          <w:szCs w:val="28"/>
          <w:vertAlign w:val="superscript"/>
        </w:rPr>
        <w:t xml:space="preserve"> </w:t>
      </w:r>
      <w:r w:rsidR="008C4A93">
        <w:rPr>
          <w:sz w:val="28"/>
          <w:szCs w:val="28"/>
        </w:rPr>
        <w:t>apakšpunktu</w:t>
      </w:r>
      <w:r w:rsidRPr="006F422F">
        <w:rPr>
          <w:sz w:val="28"/>
          <w:szCs w:val="28"/>
        </w:rPr>
        <w:t xml:space="preserve"> šādā redakcijā:</w:t>
      </w:r>
    </w:p>
    <w:p w14:paraId="419837C8" w14:textId="77777777" w:rsidR="007861C3" w:rsidRDefault="007861C3" w:rsidP="007861C3">
      <w:pPr>
        <w:ind w:firstLine="709"/>
        <w:jc w:val="both"/>
        <w:outlineLvl w:val="2"/>
        <w:rPr>
          <w:sz w:val="28"/>
          <w:szCs w:val="28"/>
        </w:rPr>
      </w:pPr>
    </w:p>
    <w:tbl>
      <w:tblPr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3289"/>
        <w:gridCol w:w="1701"/>
        <w:gridCol w:w="992"/>
        <w:gridCol w:w="992"/>
        <w:gridCol w:w="1247"/>
      </w:tblGrid>
      <w:tr w:rsidR="007861C3" w14:paraId="126B4D5C" w14:textId="77777777" w:rsidTr="007861C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CF4C" w14:textId="77777777" w:rsidR="007861C3" w:rsidRPr="000D6497" w:rsidRDefault="007861C3" w:rsidP="0032680B">
            <w:pPr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4.1.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4FB5" w14:textId="61A35299" w:rsidR="007861C3" w:rsidRPr="006F422F" w:rsidRDefault="006F2695" w:rsidP="0032680B">
            <w:pPr>
              <w:ind w:left="33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</w:t>
            </w:r>
            <w:r w:rsidR="007861C3" w:rsidRPr="006F422F">
              <w:rPr>
                <w:sz w:val="28"/>
                <w:szCs w:val="28"/>
              </w:rPr>
              <w:t xml:space="preserve">ovērtējums par zāļu ar jaunu zāļu vispārīgo nosaukumu vai jaunu zāļu vispārīgo nosaukumu kombināciju, vai jaunu medicīnisko ierīču iekļaušanu kompensējamo zāļu sarakstā vai </w:t>
            </w:r>
            <w:proofErr w:type="spellStart"/>
            <w:r w:rsidR="007861C3" w:rsidRPr="006F422F">
              <w:rPr>
                <w:sz w:val="28"/>
                <w:szCs w:val="28"/>
              </w:rPr>
              <w:t>parenterāli</w:t>
            </w:r>
            <w:proofErr w:type="spellEnd"/>
            <w:r w:rsidR="007861C3" w:rsidRPr="006F422F">
              <w:rPr>
                <w:sz w:val="28"/>
                <w:szCs w:val="28"/>
              </w:rPr>
              <w:t xml:space="preserve"> ievadāmo zāļu sarakstā, kā arī </w:t>
            </w:r>
            <w:r w:rsidR="000B02D5">
              <w:rPr>
                <w:sz w:val="28"/>
                <w:szCs w:val="28"/>
              </w:rPr>
              <w:t>novērtējums</w:t>
            </w:r>
            <w:r w:rsidR="007861C3" w:rsidRPr="006F422F">
              <w:rPr>
                <w:sz w:val="28"/>
                <w:szCs w:val="28"/>
              </w:rPr>
              <w:t>, lai lemtu par jauna veselības aprūpes pakalpojuma iekļaušanu no valsts budžeta līdzekļiem apmaksājamo veselības aprūpes pakalpojumu klāstā, ja šī veselības aprūpes pakalpojuma pamatā ir zāļu lietošana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95F7" w14:textId="77777777" w:rsidR="007861C3" w:rsidRDefault="007861C3" w:rsidP="0032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novērtējums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FBF3" w14:textId="51A4B41D" w:rsidR="007861C3" w:rsidRPr="006F422F" w:rsidRDefault="007861C3" w:rsidP="003268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422F">
              <w:rPr>
                <w:sz w:val="28"/>
                <w:szCs w:val="28"/>
              </w:rPr>
              <w:t>368</w:t>
            </w:r>
            <w:r w:rsidR="00A108B1">
              <w:rPr>
                <w:sz w:val="28"/>
                <w:szCs w:val="28"/>
              </w:rPr>
              <w:t>,</w:t>
            </w:r>
            <w:r w:rsidRPr="006F422F"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5D3E" w14:textId="77777777" w:rsidR="007861C3" w:rsidRPr="006F422F" w:rsidRDefault="007861C3" w:rsidP="003268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422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BD56" w14:textId="369E9207" w:rsidR="007861C3" w:rsidRPr="006F422F" w:rsidRDefault="007861C3" w:rsidP="003268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422F">
              <w:rPr>
                <w:sz w:val="28"/>
                <w:szCs w:val="28"/>
              </w:rPr>
              <w:t>368</w:t>
            </w:r>
            <w:r w:rsidR="00A108B1">
              <w:rPr>
                <w:sz w:val="28"/>
                <w:szCs w:val="28"/>
              </w:rPr>
              <w:t>,</w:t>
            </w:r>
            <w:r w:rsidRPr="006F422F">
              <w:rPr>
                <w:sz w:val="28"/>
                <w:szCs w:val="28"/>
              </w:rPr>
              <w:t>69</w:t>
            </w:r>
            <w:r w:rsidRPr="006F422F">
              <w:rPr>
                <w:color w:val="000000"/>
                <w:sz w:val="28"/>
                <w:szCs w:val="28"/>
              </w:rPr>
              <w:t>”.</w:t>
            </w:r>
          </w:p>
        </w:tc>
      </w:tr>
    </w:tbl>
    <w:p w14:paraId="6F091862" w14:textId="77777777" w:rsidR="007861C3" w:rsidRDefault="007861C3" w:rsidP="007861C3">
      <w:pPr>
        <w:ind w:firstLine="360"/>
        <w:contextualSpacing/>
        <w:jc w:val="both"/>
        <w:rPr>
          <w:sz w:val="28"/>
          <w:szCs w:val="28"/>
        </w:rPr>
      </w:pPr>
    </w:p>
    <w:p w14:paraId="39836FFB" w14:textId="6CB251A0" w:rsidR="007861C3" w:rsidRDefault="007861C3" w:rsidP="007861C3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aizstāt pielikuma 4.9.</w:t>
      </w:r>
      <w:r w:rsidR="008C4A93">
        <w:rPr>
          <w:sz w:val="28"/>
          <w:szCs w:val="28"/>
        </w:rPr>
        <w:t xml:space="preserve"> apakšpunktā</w:t>
      </w:r>
      <w:r>
        <w:rPr>
          <w:sz w:val="28"/>
          <w:szCs w:val="28"/>
        </w:rPr>
        <w:t xml:space="preserve"> vārdus “(par katru nosaukuma veidu vai iepakojumu)” ar vārdiem “(par katru nosaukuma veidu vai iepakojumu)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”;</w:t>
      </w:r>
    </w:p>
    <w:p w14:paraId="026BB473" w14:textId="607E7E54" w:rsidR="007861C3" w:rsidRDefault="007861C3" w:rsidP="007861C3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izteikt</w:t>
      </w:r>
      <w:r w:rsidRPr="006F422F">
        <w:rPr>
          <w:sz w:val="28"/>
          <w:szCs w:val="28"/>
        </w:rPr>
        <w:t xml:space="preserve"> pielikuma  5.punkt</w:t>
      </w:r>
      <w:r>
        <w:rPr>
          <w:sz w:val="28"/>
          <w:szCs w:val="28"/>
        </w:rPr>
        <w:t xml:space="preserve">u </w:t>
      </w:r>
      <w:r w:rsidRPr="006F422F">
        <w:rPr>
          <w:sz w:val="28"/>
          <w:szCs w:val="28"/>
        </w:rPr>
        <w:t>šādā redakcijā</w:t>
      </w:r>
      <w:r>
        <w:rPr>
          <w:sz w:val="28"/>
          <w:szCs w:val="28"/>
        </w:rPr>
        <w:t>:</w:t>
      </w:r>
    </w:p>
    <w:p w14:paraId="78F63F18" w14:textId="77777777" w:rsidR="007861C3" w:rsidRDefault="007861C3" w:rsidP="007861C3">
      <w:pPr>
        <w:ind w:left="720"/>
        <w:contextualSpacing/>
        <w:jc w:val="both"/>
        <w:rPr>
          <w:sz w:val="28"/>
          <w:szCs w:val="28"/>
        </w:rPr>
      </w:pPr>
    </w:p>
    <w:tbl>
      <w:tblPr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3005"/>
        <w:gridCol w:w="1701"/>
        <w:gridCol w:w="1105"/>
        <w:gridCol w:w="851"/>
        <w:gridCol w:w="1559"/>
      </w:tblGrid>
      <w:tr w:rsidR="007861C3" w14:paraId="467F98B3" w14:textId="77777777" w:rsidTr="0032680B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7914" w14:textId="77777777" w:rsidR="007861C3" w:rsidRPr="000D6497" w:rsidRDefault="007861C3" w:rsidP="0032680B">
            <w:pPr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BA53" w14:textId="7C54FA0B" w:rsidR="007861C3" w:rsidRPr="006A6136" w:rsidRDefault="001F2FC3" w:rsidP="0032680B">
            <w:pPr>
              <w:ind w:left="33"/>
              <w:contextualSpacing/>
              <w:rPr>
                <w:rFonts w:eastAsiaTheme="minorHAnsi"/>
                <w:color w:val="000000"/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</w:rPr>
              <w:t>N</w:t>
            </w:r>
            <w:r w:rsidR="007861C3" w:rsidRPr="00E54AC4">
              <w:rPr>
                <w:sz w:val="28"/>
                <w:szCs w:val="28"/>
              </w:rPr>
              <w:t>ovērtējums par kompensācijas nosacījumu pārskatīšanu vienam zāļu vispārīgajam nosaukumam vienai diagnozei  vai medicīniskai ierīcei</w:t>
            </w:r>
            <w:r w:rsidR="007861C3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D59F" w14:textId="77777777" w:rsidR="007861C3" w:rsidRDefault="007861C3" w:rsidP="0032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novērtējums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1BF0" w14:textId="63098097" w:rsidR="007861C3" w:rsidRPr="006F422F" w:rsidRDefault="007861C3" w:rsidP="003268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422F">
              <w:rPr>
                <w:sz w:val="28"/>
                <w:szCs w:val="28"/>
              </w:rPr>
              <w:t>368</w:t>
            </w:r>
            <w:r w:rsidR="003D47F2">
              <w:rPr>
                <w:sz w:val="28"/>
                <w:szCs w:val="28"/>
              </w:rPr>
              <w:t>,</w:t>
            </w:r>
            <w:r w:rsidRPr="006F422F">
              <w:rPr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A499" w14:textId="77777777" w:rsidR="007861C3" w:rsidRPr="006F422F" w:rsidRDefault="007861C3" w:rsidP="003268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422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5653" w14:textId="7E96FFC9" w:rsidR="007861C3" w:rsidRPr="006F422F" w:rsidRDefault="007861C3" w:rsidP="003268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422F">
              <w:rPr>
                <w:sz w:val="28"/>
                <w:szCs w:val="28"/>
              </w:rPr>
              <w:t>368</w:t>
            </w:r>
            <w:r w:rsidR="003D47F2">
              <w:rPr>
                <w:sz w:val="28"/>
                <w:szCs w:val="28"/>
              </w:rPr>
              <w:t>,</w:t>
            </w:r>
            <w:r w:rsidRPr="006F422F">
              <w:rPr>
                <w:sz w:val="28"/>
                <w:szCs w:val="28"/>
              </w:rPr>
              <w:t>69</w:t>
            </w:r>
            <w:r w:rsidRPr="006F422F">
              <w:rPr>
                <w:color w:val="000000"/>
                <w:sz w:val="28"/>
                <w:szCs w:val="28"/>
              </w:rPr>
              <w:t>”.</w:t>
            </w:r>
          </w:p>
        </w:tc>
      </w:tr>
    </w:tbl>
    <w:p w14:paraId="2811F01B" w14:textId="77777777" w:rsidR="007861C3" w:rsidRPr="006F422F" w:rsidRDefault="007861C3" w:rsidP="007861C3">
      <w:pPr>
        <w:ind w:left="720"/>
        <w:contextualSpacing/>
        <w:jc w:val="both"/>
        <w:rPr>
          <w:sz w:val="28"/>
          <w:szCs w:val="28"/>
        </w:rPr>
      </w:pPr>
    </w:p>
    <w:p w14:paraId="533516EC" w14:textId="651512C9" w:rsidR="007861C3" w:rsidRPr="0046545E" w:rsidRDefault="007861C3" w:rsidP="007861C3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Pr="0046545E">
        <w:rPr>
          <w:sz w:val="28"/>
          <w:szCs w:val="28"/>
        </w:rPr>
        <w:t>aizstāt pielikuma 6.punktā zīmi “*” ar skaitļiem “</w:t>
      </w:r>
      <w:r w:rsidRPr="0046545E">
        <w:rPr>
          <w:sz w:val="28"/>
          <w:szCs w:val="28"/>
          <w:vertAlign w:val="superscript"/>
        </w:rPr>
        <w:t>1, 2</w:t>
      </w:r>
      <w:r w:rsidRPr="0046545E">
        <w:rPr>
          <w:sz w:val="28"/>
          <w:szCs w:val="28"/>
        </w:rPr>
        <w:t>”;</w:t>
      </w:r>
    </w:p>
    <w:p w14:paraId="36BD30C7" w14:textId="370FA555" w:rsidR="007861C3" w:rsidRPr="0046545E" w:rsidRDefault="007861C3" w:rsidP="007861C3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r w:rsidRPr="0046545E">
        <w:rPr>
          <w:sz w:val="28"/>
          <w:szCs w:val="28"/>
        </w:rPr>
        <w:t>aizstāt pielikuma 7.punktā zīmi “*” ar skaitli “</w:t>
      </w:r>
      <w:r w:rsidRPr="0046545E">
        <w:rPr>
          <w:sz w:val="28"/>
          <w:szCs w:val="28"/>
          <w:vertAlign w:val="superscript"/>
        </w:rPr>
        <w:t>1</w:t>
      </w:r>
      <w:r w:rsidRPr="0046545E">
        <w:rPr>
          <w:sz w:val="28"/>
          <w:szCs w:val="28"/>
        </w:rPr>
        <w:t>”;</w:t>
      </w:r>
    </w:p>
    <w:p w14:paraId="1305225B" w14:textId="21F6F959" w:rsidR="007861C3" w:rsidRPr="0046545E" w:rsidRDefault="007861C3" w:rsidP="007861C3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</w:t>
      </w:r>
      <w:r w:rsidRPr="0046545E">
        <w:rPr>
          <w:sz w:val="28"/>
          <w:szCs w:val="28"/>
        </w:rPr>
        <w:t>izteikt pielikuma sadaļu “Piezīme” šādā redakcijā:</w:t>
      </w:r>
    </w:p>
    <w:p w14:paraId="4703AB4A" w14:textId="77777777" w:rsidR="007861C3" w:rsidRDefault="007861C3" w:rsidP="007861C3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“Piezīmes:</w:t>
      </w:r>
    </w:p>
    <w:p w14:paraId="72CF127E" w14:textId="77777777" w:rsidR="007861C3" w:rsidRDefault="007861C3" w:rsidP="007861C3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Pievienotās vērtības nodokli nepiemēro saskaņā ar Pievienotās vērtības nodokļa likuma 3.panta astoto daļu.</w:t>
      </w:r>
    </w:p>
    <w:p w14:paraId="4CB30082" w14:textId="39D91E47" w:rsidR="00777358" w:rsidRDefault="007861C3" w:rsidP="007861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Piemēro, veicot novērtējumu par Ministru kabineta 2006.gada 31.oktobra noteikumu Nr.899 “Ambulatorajai ārstēšanai paredzēto zāļu un medicīnisko ierīču iegādes izdevumu kompensācijas kārtība” 2.pielikumā iekļautajām medicīniskām ierīcēm.”.</w:t>
      </w:r>
    </w:p>
    <w:p w14:paraId="2A000DAE" w14:textId="1AC884CE" w:rsidR="008F5404" w:rsidRPr="00FB5F25" w:rsidRDefault="008F5404" w:rsidP="00FB5F25">
      <w:pPr>
        <w:tabs>
          <w:tab w:val="left" w:pos="6379"/>
        </w:tabs>
        <w:jc w:val="both"/>
        <w:rPr>
          <w:sz w:val="28"/>
          <w:szCs w:val="28"/>
        </w:rPr>
      </w:pPr>
      <w:bookmarkStart w:id="0" w:name="_GoBack"/>
      <w:bookmarkEnd w:id="0"/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665D5BF0" w14:textId="77777777" w:rsidR="00151EB9" w:rsidRPr="00151EB9" w:rsidRDefault="00151EB9" w:rsidP="00151EB9">
      <w:pPr>
        <w:tabs>
          <w:tab w:val="left" w:pos="6379"/>
        </w:tabs>
        <w:jc w:val="both"/>
        <w:rPr>
          <w:rFonts w:eastAsia="Calibri"/>
          <w:sz w:val="28"/>
          <w:szCs w:val="28"/>
          <w:lang w:eastAsia="en-US"/>
        </w:rPr>
      </w:pPr>
    </w:p>
    <w:p w14:paraId="57B6C027" w14:textId="77777777" w:rsidR="006D63ED" w:rsidRPr="006D63ED" w:rsidRDefault="006D63ED" w:rsidP="006D63ED">
      <w:pPr>
        <w:tabs>
          <w:tab w:val="left" w:pos="6379"/>
        </w:tabs>
        <w:jc w:val="both"/>
        <w:rPr>
          <w:rFonts w:eastAsia="Calibri"/>
          <w:sz w:val="28"/>
          <w:szCs w:val="28"/>
          <w:lang w:eastAsia="en-US"/>
        </w:rPr>
      </w:pPr>
    </w:p>
    <w:p w14:paraId="18F68AF6" w14:textId="4DFBD4C1" w:rsidR="006D63ED" w:rsidRPr="006D63ED" w:rsidRDefault="006D63ED" w:rsidP="006D63ED">
      <w:pPr>
        <w:spacing w:after="240"/>
        <w:jc w:val="both"/>
        <w:rPr>
          <w:sz w:val="28"/>
          <w:szCs w:val="28"/>
        </w:rPr>
      </w:pPr>
      <w:r w:rsidRPr="006D63ED">
        <w:rPr>
          <w:sz w:val="28"/>
          <w:szCs w:val="28"/>
        </w:rPr>
        <w:t>Ministru prezidents</w:t>
      </w:r>
      <w:r w:rsidRPr="006D63ED">
        <w:rPr>
          <w:sz w:val="28"/>
          <w:szCs w:val="28"/>
        </w:rPr>
        <w:tab/>
      </w:r>
      <w:r w:rsidRPr="006D63ED">
        <w:rPr>
          <w:sz w:val="28"/>
          <w:szCs w:val="28"/>
        </w:rPr>
        <w:tab/>
      </w:r>
      <w:r w:rsidRPr="006D63ED">
        <w:rPr>
          <w:sz w:val="28"/>
          <w:szCs w:val="28"/>
        </w:rPr>
        <w:tab/>
      </w:r>
      <w:r w:rsidRPr="006D63ED">
        <w:rPr>
          <w:sz w:val="28"/>
          <w:szCs w:val="28"/>
        </w:rPr>
        <w:tab/>
      </w:r>
      <w:r w:rsidRPr="006D63ED">
        <w:rPr>
          <w:sz w:val="28"/>
          <w:szCs w:val="28"/>
        </w:rPr>
        <w:tab/>
        <w:t xml:space="preserve">       </w:t>
      </w:r>
      <w:r w:rsidR="006F422F">
        <w:rPr>
          <w:sz w:val="28"/>
          <w:szCs w:val="28"/>
        </w:rPr>
        <w:t xml:space="preserve">              </w:t>
      </w:r>
      <w:r w:rsidRPr="006D63ED">
        <w:rPr>
          <w:sz w:val="28"/>
          <w:szCs w:val="28"/>
        </w:rPr>
        <w:t xml:space="preserve">  A</w:t>
      </w:r>
      <w:r w:rsidR="007F7C34">
        <w:rPr>
          <w:sz w:val="28"/>
          <w:szCs w:val="28"/>
        </w:rPr>
        <w:t>.</w:t>
      </w:r>
      <w:r w:rsidRPr="006D63ED">
        <w:rPr>
          <w:sz w:val="28"/>
          <w:szCs w:val="28"/>
        </w:rPr>
        <w:t xml:space="preserve"> K</w:t>
      </w:r>
      <w:r w:rsidR="007F7C34">
        <w:rPr>
          <w:sz w:val="28"/>
          <w:szCs w:val="28"/>
        </w:rPr>
        <w:t>.</w:t>
      </w:r>
      <w:r w:rsidRPr="006D63ED">
        <w:rPr>
          <w:sz w:val="28"/>
          <w:szCs w:val="28"/>
        </w:rPr>
        <w:t xml:space="preserve"> Kariņš</w:t>
      </w:r>
    </w:p>
    <w:p w14:paraId="453DBD55" w14:textId="77777777" w:rsidR="006D63ED" w:rsidRPr="006D63ED" w:rsidRDefault="006D63ED" w:rsidP="006D63ED">
      <w:pPr>
        <w:jc w:val="both"/>
        <w:rPr>
          <w:sz w:val="28"/>
          <w:szCs w:val="28"/>
        </w:rPr>
      </w:pPr>
    </w:p>
    <w:p w14:paraId="6C954808" w14:textId="68AE39F9" w:rsidR="006D63ED" w:rsidRPr="006D63ED" w:rsidRDefault="006D63ED" w:rsidP="006D63ED">
      <w:pPr>
        <w:autoSpaceDN w:val="0"/>
        <w:spacing w:after="240" w:line="276" w:lineRule="auto"/>
        <w:jc w:val="both"/>
        <w:textAlignment w:val="baseline"/>
        <w:rPr>
          <w:rFonts w:eastAsiaTheme="minorHAnsi"/>
          <w:sz w:val="28"/>
          <w:lang w:eastAsia="en-US"/>
        </w:rPr>
      </w:pPr>
      <w:r w:rsidRPr="006D63ED">
        <w:rPr>
          <w:rFonts w:eastAsiaTheme="minorHAnsi"/>
          <w:sz w:val="28"/>
          <w:lang w:eastAsia="en-US"/>
        </w:rPr>
        <w:t>Veselības ministre</w:t>
      </w:r>
      <w:r w:rsidRPr="006D63ED">
        <w:rPr>
          <w:rFonts w:eastAsiaTheme="minorHAnsi"/>
          <w:sz w:val="28"/>
          <w:lang w:eastAsia="en-US"/>
        </w:rPr>
        <w:tab/>
      </w:r>
      <w:r w:rsidRPr="006D63ED">
        <w:rPr>
          <w:rFonts w:eastAsiaTheme="minorHAnsi"/>
          <w:sz w:val="28"/>
          <w:lang w:eastAsia="en-US"/>
        </w:rPr>
        <w:tab/>
      </w:r>
      <w:r w:rsidRPr="006D63ED">
        <w:rPr>
          <w:rFonts w:eastAsiaTheme="minorHAnsi"/>
          <w:sz w:val="28"/>
          <w:lang w:eastAsia="en-US"/>
        </w:rPr>
        <w:tab/>
      </w:r>
      <w:r w:rsidRPr="006D63ED">
        <w:rPr>
          <w:rFonts w:eastAsiaTheme="minorHAnsi"/>
          <w:sz w:val="28"/>
          <w:lang w:eastAsia="en-US"/>
        </w:rPr>
        <w:tab/>
      </w:r>
      <w:r w:rsidRPr="006D63ED">
        <w:rPr>
          <w:rFonts w:eastAsiaTheme="minorHAnsi"/>
          <w:sz w:val="28"/>
          <w:lang w:eastAsia="en-US"/>
        </w:rPr>
        <w:tab/>
      </w:r>
      <w:r w:rsidRPr="006D63ED">
        <w:rPr>
          <w:rFonts w:eastAsiaTheme="minorHAnsi"/>
          <w:sz w:val="28"/>
          <w:lang w:eastAsia="en-US"/>
        </w:rPr>
        <w:tab/>
      </w:r>
      <w:r w:rsidRPr="006D63ED">
        <w:rPr>
          <w:rFonts w:eastAsiaTheme="minorHAnsi"/>
          <w:sz w:val="28"/>
          <w:lang w:eastAsia="en-US"/>
        </w:rPr>
        <w:tab/>
        <w:t xml:space="preserve">                 I</w:t>
      </w:r>
      <w:r w:rsidR="007F7C34">
        <w:rPr>
          <w:rFonts w:eastAsiaTheme="minorHAnsi"/>
          <w:sz w:val="28"/>
          <w:lang w:eastAsia="en-US"/>
        </w:rPr>
        <w:t>.</w:t>
      </w:r>
      <w:r w:rsidRPr="006D63ED">
        <w:rPr>
          <w:rFonts w:eastAsiaTheme="minorHAnsi"/>
          <w:sz w:val="28"/>
          <w:lang w:eastAsia="en-US"/>
        </w:rPr>
        <w:t xml:space="preserve"> Viņķele</w:t>
      </w:r>
    </w:p>
    <w:p w14:paraId="35F95929" w14:textId="77777777" w:rsidR="006D63ED" w:rsidRPr="006D63ED" w:rsidRDefault="006D63ED" w:rsidP="006D63ED">
      <w:pPr>
        <w:autoSpaceDN w:val="0"/>
        <w:spacing w:after="200" w:line="276" w:lineRule="auto"/>
        <w:jc w:val="both"/>
        <w:textAlignment w:val="baseline"/>
        <w:rPr>
          <w:rFonts w:eastAsiaTheme="minorHAnsi"/>
          <w:sz w:val="28"/>
          <w:lang w:eastAsia="en-US"/>
        </w:rPr>
      </w:pPr>
    </w:p>
    <w:p w14:paraId="39DE5648" w14:textId="47FCC64E" w:rsidR="006D63ED" w:rsidRPr="006D63ED" w:rsidRDefault="006D63ED" w:rsidP="006D63ED">
      <w:pPr>
        <w:autoSpaceDN w:val="0"/>
        <w:spacing w:after="360" w:line="276" w:lineRule="auto"/>
        <w:jc w:val="both"/>
        <w:textAlignment w:val="baseline"/>
        <w:rPr>
          <w:rFonts w:eastAsiaTheme="minorHAnsi"/>
          <w:sz w:val="28"/>
          <w:lang w:eastAsia="en-US"/>
        </w:rPr>
      </w:pPr>
      <w:r w:rsidRPr="006D63ED">
        <w:rPr>
          <w:rFonts w:eastAsiaTheme="minorHAnsi"/>
          <w:sz w:val="28"/>
          <w:lang w:eastAsia="en-US"/>
        </w:rPr>
        <w:t>Iesniedzējs: Veselības ministre</w:t>
      </w:r>
      <w:r w:rsidRPr="006D63ED">
        <w:rPr>
          <w:rFonts w:eastAsiaTheme="minorHAnsi"/>
          <w:sz w:val="28"/>
          <w:lang w:eastAsia="en-US"/>
        </w:rPr>
        <w:tab/>
      </w:r>
      <w:r w:rsidRPr="006D63ED">
        <w:rPr>
          <w:rFonts w:eastAsiaTheme="minorHAnsi"/>
          <w:sz w:val="28"/>
          <w:lang w:eastAsia="en-US"/>
        </w:rPr>
        <w:tab/>
      </w:r>
      <w:r w:rsidRPr="006D63ED">
        <w:rPr>
          <w:rFonts w:eastAsiaTheme="minorHAnsi"/>
          <w:sz w:val="28"/>
          <w:lang w:eastAsia="en-US"/>
        </w:rPr>
        <w:tab/>
      </w:r>
      <w:r w:rsidRPr="006D63ED">
        <w:rPr>
          <w:rFonts w:eastAsiaTheme="minorHAnsi"/>
          <w:sz w:val="28"/>
          <w:lang w:eastAsia="en-US"/>
        </w:rPr>
        <w:tab/>
      </w:r>
      <w:r w:rsidRPr="006D63ED">
        <w:rPr>
          <w:rFonts w:eastAsiaTheme="minorHAnsi"/>
          <w:sz w:val="28"/>
          <w:lang w:eastAsia="en-US"/>
        </w:rPr>
        <w:tab/>
      </w:r>
      <w:r w:rsidRPr="006D63ED">
        <w:rPr>
          <w:rFonts w:eastAsiaTheme="minorHAnsi"/>
          <w:sz w:val="28"/>
          <w:lang w:eastAsia="en-US"/>
        </w:rPr>
        <w:tab/>
        <w:t xml:space="preserve">       I</w:t>
      </w:r>
      <w:r w:rsidR="007F7C34">
        <w:rPr>
          <w:rFonts w:eastAsiaTheme="minorHAnsi"/>
          <w:sz w:val="28"/>
          <w:lang w:eastAsia="en-US"/>
        </w:rPr>
        <w:t>.</w:t>
      </w:r>
      <w:r w:rsidRPr="006D63ED">
        <w:rPr>
          <w:rFonts w:eastAsiaTheme="minorHAnsi"/>
          <w:sz w:val="28"/>
          <w:lang w:eastAsia="en-US"/>
        </w:rPr>
        <w:t xml:space="preserve"> Viņķele</w:t>
      </w:r>
    </w:p>
    <w:p w14:paraId="4AB59909" w14:textId="7DEAD20B" w:rsidR="00151EB9" w:rsidRPr="00E01C94" w:rsidRDefault="006D63ED" w:rsidP="00E01C94">
      <w:pPr>
        <w:autoSpaceDN w:val="0"/>
        <w:spacing w:after="200" w:line="276" w:lineRule="auto"/>
        <w:jc w:val="both"/>
        <w:textAlignment w:val="baseline"/>
        <w:rPr>
          <w:rFonts w:eastAsiaTheme="minorHAnsi"/>
          <w:sz w:val="28"/>
          <w:lang w:eastAsia="en-US"/>
        </w:rPr>
      </w:pPr>
      <w:r w:rsidRPr="006D63ED">
        <w:rPr>
          <w:rFonts w:eastAsiaTheme="minorHAnsi"/>
          <w:sz w:val="28"/>
          <w:lang w:eastAsia="en-US"/>
        </w:rPr>
        <w:t>Vīza: Valsts sekretār</w:t>
      </w:r>
      <w:r w:rsidR="001911B1">
        <w:rPr>
          <w:rFonts w:eastAsiaTheme="minorHAnsi"/>
          <w:sz w:val="28"/>
          <w:lang w:eastAsia="en-US"/>
        </w:rPr>
        <w:t>e</w:t>
      </w:r>
      <w:r w:rsidRPr="006D63ED">
        <w:rPr>
          <w:rFonts w:eastAsiaTheme="minorHAnsi"/>
          <w:sz w:val="28"/>
          <w:lang w:eastAsia="en-US"/>
        </w:rPr>
        <w:tab/>
      </w:r>
      <w:r w:rsidRPr="006D63ED">
        <w:rPr>
          <w:rFonts w:eastAsiaTheme="minorHAnsi"/>
          <w:sz w:val="28"/>
          <w:lang w:eastAsia="en-US"/>
        </w:rPr>
        <w:tab/>
      </w:r>
      <w:r w:rsidRPr="006D63ED">
        <w:rPr>
          <w:rFonts w:eastAsiaTheme="minorHAnsi"/>
          <w:sz w:val="28"/>
          <w:lang w:eastAsia="en-US"/>
        </w:rPr>
        <w:tab/>
      </w:r>
      <w:r w:rsidRPr="006D63ED">
        <w:rPr>
          <w:rFonts w:eastAsiaTheme="minorHAnsi"/>
          <w:sz w:val="28"/>
          <w:lang w:eastAsia="en-US"/>
        </w:rPr>
        <w:tab/>
      </w:r>
      <w:r w:rsidRPr="006D63ED">
        <w:rPr>
          <w:rFonts w:eastAsiaTheme="minorHAnsi"/>
          <w:sz w:val="28"/>
          <w:lang w:eastAsia="en-US"/>
        </w:rPr>
        <w:tab/>
      </w:r>
      <w:r w:rsidR="006F422F">
        <w:rPr>
          <w:rFonts w:eastAsiaTheme="minorHAnsi"/>
          <w:sz w:val="28"/>
          <w:lang w:eastAsia="en-US"/>
        </w:rPr>
        <w:t xml:space="preserve">  </w:t>
      </w:r>
      <w:r w:rsidRPr="006D63ED">
        <w:rPr>
          <w:rFonts w:eastAsiaTheme="minorHAnsi"/>
          <w:sz w:val="28"/>
          <w:lang w:eastAsia="en-US"/>
        </w:rPr>
        <w:t xml:space="preserve">   D</w:t>
      </w:r>
      <w:r w:rsidR="007F7C34">
        <w:rPr>
          <w:rFonts w:eastAsiaTheme="minorHAnsi"/>
          <w:sz w:val="28"/>
          <w:lang w:eastAsia="en-US"/>
        </w:rPr>
        <w:t>.</w:t>
      </w:r>
      <w:r w:rsidRPr="006D63ED">
        <w:rPr>
          <w:rFonts w:eastAsiaTheme="minorHAnsi"/>
          <w:sz w:val="28"/>
          <w:lang w:eastAsia="en-US"/>
        </w:rPr>
        <w:t xml:space="preserve"> </w:t>
      </w:r>
      <w:proofErr w:type="spellStart"/>
      <w:r w:rsidRPr="006D63ED">
        <w:rPr>
          <w:rFonts w:eastAsiaTheme="minorHAnsi"/>
          <w:sz w:val="28"/>
          <w:lang w:eastAsia="en-US"/>
        </w:rPr>
        <w:t>Mūrmane-Umbraško</w:t>
      </w:r>
      <w:proofErr w:type="spellEnd"/>
    </w:p>
    <w:p w14:paraId="33BCC63D" w14:textId="77777777" w:rsidR="00151EB9" w:rsidRPr="00151EB9" w:rsidRDefault="00151EB9" w:rsidP="00151EB9">
      <w:pPr>
        <w:rPr>
          <w:lang w:eastAsia="en-US"/>
        </w:rPr>
      </w:pPr>
    </w:p>
    <w:p w14:paraId="73213E43" w14:textId="77777777" w:rsidR="00151EB9" w:rsidRPr="00151EB9" w:rsidRDefault="00151EB9" w:rsidP="00151EB9">
      <w:pPr>
        <w:rPr>
          <w:rFonts w:eastAsia="Calibri"/>
          <w:lang w:eastAsia="en-US"/>
        </w:rPr>
      </w:pPr>
    </w:p>
    <w:p w14:paraId="15E2A0B5" w14:textId="2963E9BB" w:rsidR="00151EB9" w:rsidRDefault="00151EB9" w:rsidP="00151EB9"/>
    <w:p w14:paraId="19C51700" w14:textId="391014C5" w:rsidR="006E083B" w:rsidRPr="00151EB9" w:rsidRDefault="00151EB9" w:rsidP="00151EB9">
      <w:pPr>
        <w:tabs>
          <w:tab w:val="left" w:pos="1200"/>
        </w:tabs>
      </w:pPr>
      <w:r>
        <w:tab/>
      </w:r>
    </w:p>
    <w:sectPr w:rsidR="006E083B" w:rsidRPr="00151EB9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898F8" w14:textId="77777777" w:rsidR="00931AFF" w:rsidRDefault="00931AFF">
      <w:r>
        <w:separator/>
      </w:r>
    </w:p>
  </w:endnote>
  <w:endnote w:type="continuationSeparator" w:id="0">
    <w:p w14:paraId="08E81D2E" w14:textId="77777777" w:rsidR="00931AFF" w:rsidRDefault="0093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A67A" w14:textId="6121D589" w:rsidR="0083286F" w:rsidRPr="0083286F" w:rsidRDefault="0083286F" w:rsidP="0083286F">
    <w:pPr>
      <w:tabs>
        <w:tab w:val="center" w:pos="4153"/>
        <w:tab w:val="right" w:pos="8306"/>
      </w:tabs>
      <w:jc w:val="both"/>
      <w:rPr>
        <w:rFonts w:eastAsia="Calibri"/>
        <w:lang w:eastAsia="en-US"/>
      </w:rPr>
    </w:pPr>
    <w:r w:rsidRPr="00151EB9">
      <w:rPr>
        <w:rFonts w:eastAsia="Calibri"/>
        <w:sz w:val="20"/>
        <w:szCs w:val="20"/>
        <w:lang w:eastAsia="en-US"/>
      </w:rPr>
      <w:t>VMnot_</w:t>
    </w:r>
    <w:r w:rsidR="005B2162">
      <w:rPr>
        <w:rFonts w:eastAsia="Calibri"/>
        <w:sz w:val="20"/>
        <w:szCs w:val="20"/>
        <w:lang w:eastAsia="en-US"/>
      </w:rPr>
      <w:t>0107</w:t>
    </w:r>
    <w:r>
      <w:rPr>
        <w:rFonts w:eastAsia="Calibri"/>
        <w:sz w:val="20"/>
        <w:szCs w:val="20"/>
        <w:lang w:eastAsia="en-US"/>
      </w:rPr>
      <w:t>19</w:t>
    </w:r>
    <w:r w:rsidRPr="00151EB9">
      <w:rPr>
        <w:rFonts w:eastAsia="Calibri"/>
        <w:sz w:val="20"/>
        <w:szCs w:val="20"/>
        <w:lang w:eastAsia="en-US"/>
      </w:rPr>
      <w:t>_</w:t>
    </w:r>
    <w:r>
      <w:rPr>
        <w:rFonts w:eastAsia="Calibri"/>
        <w:sz w:val="20"/>
        <w:szCs w:val="20"/>
        <w:lang w:eastAsia="en-US"/>
      </w:rPr>
      <w:t>NVDmaks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362C" w14:textId="118875AB" w:rsidR="00151EB9" w:rsidRPr="00151EB9" w:rsidRDefault="00151EB9" w:rsidP="00151EB9">
    <w:pPr>
      <w:tabs>
        <w:tab w:val="center" w:pos="4153"/>
        <w:tab w:val="right" w:pos="8306"/>
      </w:tabs>
      <w:jc w:val="both"/>
      <w:rPr>
        <w:rFonts w:eastAsia="Calibri"/>
        <w:lang w:eastAsia="en-US"/>
      </w:rPr>
    </w:pPr>
    <w:r w:rsidRPr="00151EB9">
      <w:rPr>
        <w:rFonts w:eastAsia="Calibri"/>
        <w:sz w:val="20"/>
        <w:szCs w:val="20"/>
        <w:lang w:eastAsia="en-US"/>
      </w:rPr>
      <w:t>VMnot_</w:t>
    </w:r>
    <w:r w:rsidR="005B2162">
      <w:rPr>
        <w:rFonts w:eastAsia="Calibri"/>
        <w:sz w:val="20"/>
        <w:szCs w:val="20"/>
        <w:lang w:eastAsia="en-US"/>
      </w:rPr>
      <w:t>0107</w:t>
    </w:r>
    <w:r>
      <w:rPr>
        <w:rFonts w:eastAsia="Calibri"/>
        <w:sz w:val="20"/>
        <w:szCs w:val="20"/>
        <w:lang w:eastAsia="en-US"/>
      </w:rPr>
      <w:t>19</w:t>
    </w:r>
    <w:r w:rsidRPr="00151EB9">
      <w:rPr>
        <w:rFonts w:eastAsia="Calibri"/>
        <w:sz w:val="20"/>
        <w:szCs w:val="20"/>
        <w:lang w:eastAsia="en-US"/>
      </w:rPr>
      <w:t>_</w:t>
    </w:r>
    <w:r w:rsidR="00044A72">
      <w:rPr>
        <w:rFonts w:eastAsia="Calibri"/>
        <w:sz w:val="20"/>
        <w:szCs w:val="20"/>
        <w:lang w:eastAsia="en-US"/>
      </w:rPr>
      <w:t>NVDmaks</w:t>
    </w:r>
  </w:p>
  <w:p w14:paraId="7D6DC354" w14:textId="64DDC0F4" w:rsidR="006457F2" w:rsidRPr="00151EB9" w:rsidRDefault="006457F2" w:rsidP="00151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E79BB" w14:textId="77777777" w:rsidR="00931AFF" w:rsidRDefault="00931AFF">
      <w:r>
        <w:separator/>
      </w:r>
    </w:p>
  </w:footnote>
  <w:footnote w:type="continuationSeparator" w:id="0">
    <w:p w14:paraId="361C9BA8" w14:textId="77777777" w:rsidR="00931AFF" w:rsidRDefault="0093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68EAEB68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1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9738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4A7A93"/>
    <w:multiLevelType w:val="hybridMultilevel"/>
    <w:tmpl w:val="DF1A851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B6E67"/>
    <w:multiLevelType w:val="multilevel"/>
    <w:tmpl w:val="2C8C8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44A72"/>
    <w:rsid w:val="00064A65"/>
    <w:rsid w:val="00065417"/>
    <w:rsid w:val="00073C51"/>
    <w:rsid w:val="00097A3F"/>
    <w:rsid w:val="000A5426"/>
    <w:rsid w:val="000A7D69"/>
    <w:rsid w:val="000B02D5"/>
    <w:rsid w:val="000B5288"/>
    <w:rsid w:val="000B5AE1"/>
    <w:rsid w:val="000D0BD6"/>
    <w:rsid w:val="000D4AE0"/>
    <w:rsid w:val="000F2D8F"/>
    <w:rsid w:val="00122A47"/>
    <w:rsid w:val="001254CA"/>
    <w:rsid w:val="00137AC9"/>
    <w:rsid w:val="00143392"/>
    <w:rsid w:val="00143694"/>
    <w:rsid w:val="00151EB9"/>
    <w:rsid w:val="00162B07"/>
    <w:rsid w:val="00166916"/>
    <w:rsid w:val="00166FCA"/>
    <w:rsid w:val="0017478B"/>
    <w:rsid w:val="00181AD6"/>
    <w:rsid w:val="001911B1"/>
    <w:rsid w:val="001920E1"/>
    <w:rsid w:val="00196238"/>
    <w:rsid w:val="001C2481"/>
    <w:rsid w:val="001C54BD"/>
    <w:rsid w:val="001D31F3"/>
    <w:rsid w:val="001D4377"/>
    <w:rsid w:val="001D7F58"/>
    <w:rsid w:val="001E7CF0"/>
    <w:rsid w:val="001F2FC3"/>
    <w:rsid w:val="002040C5"/>
    <w:rsid w:val="00216C6D"/>
    <w:rsid w:val="002324E9"/>
    <w:rsid w:val="00240843"/>
    <w:rsid w:val="00242C98"/>
    <w:rsid w:val="00252CA2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D47F2"/>
    <w:rsid w:val="003E1992"/>
    <w:rsid w:val="003F2AFD"/>
    <w:rsid w:val="00404CAA"/>
    <w:rsid w:val="00420148"/>
    <w:rsid w:val="00420246"/>
    <w:rsid w:val="004203E7"/>
    <w:rsid w:val="00433DAD"/>
    <w:rsid w:val="004466A0"/>
    <w:rsid w:val="00452998"/>
    <w:rsid w:val="00482603"/>
    <w:rsid w:val="00493B26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B2162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608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D63ED"/>
    <w:rsid w:val="006D764A"/>
    <w:rsid w:val="006E083B"/>
    <w:rsid w:val="006E5D5F"/>
    <w:rsid w:val="006E5FE2"/>
    <w:rsid w:val="006E6314"/>
    <w:rsid w:val="006F2695"/>
    <w:rsid w:val="006F422F"/>
    <w:rsid w:val="00721036"/>
    <w:rsid w:val="00730E31"/>
    <w:rsid w:val="00746861"/>
    <w:rsid w:val="00746F4F"/>
    <w:rsid w:val="00750EE3"/>
    <w:rsid w:val="00762E50"/>
    <w:rsid w:val="00774A4B"/>
    <w:rsid w:val="00775F74"/>
    <w:rsid w:val="00777358"/>
    <w:rsid w:val="007861C3"/>
    <w:rsid w:val="00787DA8"/>
    <w:rsid w:val="007947CC"/>
    <w:rsid w:val="00796BFD"/>
    <w:rsid w:val="007B5DBD"/>
    <w:rsid w:val="007C4838"/>
    <w:rsid w:val="007C63F0"/>
    <w:rsid w:val="007E6756"/>
    <w:rsid w:val="007F7C34"/>
    <w:rsid w:val="007F7F31"/>
    <w:rsid w:val="0080189A"/>
    <w:rsid w:val="00812AFA"/>
    <w:rsid w:val="0083286F"/>
    <w:rsid w:val="00837BBE"/>
    <w:rsid w:val="008467C5"/>
    <w:rsid w:val="0086399E"/>
    <w:rsid w:val="008644A0"/>
    <w:rsid w:val="00864D00"/>
    <w:rsid w:val="008678E7"/>
    <w:rsid w:val="00871391"/>
    <w:rsid w:val="008769BC"/>
    <w:rsid w:val="00890949"/>
    <w:rsid w:val="008A7539"/>
    <w:rsid w:val="008B5A9F"/>
    <w:rsid w:val="008C0C2F"/>
    <w:rsid w:val="008C4A93"/>
    <w:rsid w:val="008C7A3B"/>
    <w:rsid w:val="008D5CC2"/>
    <w:rsid w:val="008E7807"/>
    <w:rsid w:val="008F0423"/>
    <w:rsid w:val="008F5404"/>
    <w:rsid w:val="00900023"/>
    <w:rsid w:val="00907025"/>
    <w:rsid w:val="009079D9"/>
    <w:rsid w:val="00910156"/>
    <w:rsid w:val="009172AE"/>
    <w:rsid w:val="00931AFF"/>
    <w:rsid w:val="00932D89"/>
    <w:rsid w:val="009468C6"/>
    <w:rsid w:val="00947B4D"/>
    <w:rsid w:val="0097781C"/>
    <w:rsid w:val="00980D1E"/>
    <w:rsid w:val="0098390C"/>
    <w:rsid w:val="00986B6F"/>
    <w:rsid w:val="009A7A12"/>
    <w:rsid w:val="009C5A63"/>
    <w:rsid w:val="009D1238"/>
    <w:rsid w:val="009E2F0C"/>
    <w:rsid w:val="009E5245"/>
    <w:rsid w:val="009F1E4B"/>
    <w:rsid w:val="009F3EFB"/>
    <w:rsid w:val="00A02F96"/>
    <w:rsid w:val="00A0415C"/>
    <w:rsid w:val="00A108B1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16B7"/>
    <w:rsid w:val="00C27AF9"/>
    <w:rsid w:val="00C31E7D"/>
    <w:rsid w:val="00C406ED"/>
    <w:rsid w:val="00C44DE9"/>
    <w:rsid w:val="00C53AD0"/>
    <w:rsid w:val="00C55FDE"/>
    <w:rsid w:val="00C903DE"/>
    <w:rsid w:val="00C93126"/>
    <w:rsid w:val="00CA30A6"/>
    <w:rsid w:val="00CA7A60"/>
    <w:rsid w:val="00CB6776"/>
    <w:rsid w:val="00CC381E"/>
    <w:rsid w:val="00CE04CC"/>
    <w:rsid w:val="00CE0B90"/>
    <w:rsid w:val="00CF14BD"/>
    <w:rsid w:val="00D1431D"/>
    <w:rsid w:val="00D14B43"/>
    <w:rsid w:val="00D34E8D"/>
    <w:rsid w:val="00D46149"/>
    <w:rsid w:val="00D51967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E01C94"/>
    <w:rsid w:val="00E25C04"/>
    <w:rsid w:val="00E36A1B"/>
    <w:rsid w:val="00E43197"/>
    <w:rsid w:val="00E54AC4"/>
    <w:rsid w:val="00E555E7"/>
    <w:rsid w:val="00E6461F"/>
    <w:rsid w:val="00E826B4"/>
    <w:rsid w:val="00E8494E"/>
    <w:rsid w:val="00E94494"/>
    <w:rsid w:val="00EA363C"/>
    <w:rsid w:val="00EA43C2"/>
    <w:rsid w:val="00EA441A"/>
    <w:rsid w:val="00EA7694"/>
    <w:rsid w:val="00EB0545"/>
    <w:rsid w:val="00EB16AA"/>
    <w:rsid w:val="00EB59AF"/>
    <w:rsid w:val="00EC6A15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B5F25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likizd">
    <w:name w:val="lik_izd"/>
    <w:basedOn w:val="Normal"/>
    <w:rsid w:val="009E524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E52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6D71-6FCF-4027-9B13-CB8375C4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3.septembra noteikumos Nr.744 "Nacionālā veselības dienesta maksas pakalpojumu cenrādis"</vt:lpstr>
    </vt:vector>
  </TitlesOfParts>
  <Company>Veselības ministrija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3.septembra noteikumos Nr.744 "Nacionālā veselības dienesta maksas pakalpojumu cenrādis"</dc:title>
  <dc:subject>Noteikumu projekts</dc:subject>
  <dc:creator>Lāsma Zandberga</dc:creator>
  <dc:description>67876041, lasma.zandberga@vm.gov.lv</dc:description>
  <cp:lastModifiedBy>Anita Jurševica</cp:lastModifiedBy>
  <cp:revision>3</cp:revision>
  <cp:lastPrinted>2016-04-15T08:44:00Z</cp:lastPrinted>
  <dcterms:created xsi:type="dcterms:W3CDTF">2019-07-01T13:20:00Z</dcterms:created>
  <dcterms:modified xsi:type="dcterms:W3CDTF">2019-07-02T06:14:00Z</dcterms:modified>
</cp:coreProperties>
</file>