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D82A" w14:textId="77777777" w:rsidR="00B13462" w:rsidRDefault="00B13462" w:rsidP="007F3ABD">
      <w:pPr>
        <w:tabs>
          <w:tab w:val="left" w:pos="6663"/>
        </w:tabs>
        <w:rPr>
          <w:sz w:val="28"/>
          <w:szCs w:val="28"/>
        </w:rPr>
      </w:pPr>
    </w:p>
    <w:p w14:paraId="0F17194C" w14:textId="77777777" w:rsidR="00B13462" w:rsidRDefault="00B13462" w:rsidP="007F3ABD">
      <w:pPr>
        <w:tabs>
          <w:tab w:val="left" w:pos="6663"/>
        </w:tabs>
        <w:rPr>
          <w:sz w:val="28"/>
          <w:szCs w:val="28"/>
        </w:rPr>
      </w:pPr>
    </w:p>
    <w:p w14:paraId="707CD1CD" w14:textId="71C2CCF4" w:rsidR="00B13462" w:rsidRPr="007779EA" w:rsidRDefault="00B13462" w:rsidP="007F3ABD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F137F2">
        <w:rPr>
          <w:sz w:val="28"/>
          <w:szCs w:val="28"/>
        </w:rPr>
        <w:t>16. jūlijā</w:t>
      </w:r>
      <w:r w:rsidRPr="007779EA">
        <w:rPr>
          <w:sz w:val="28"/>
          <w:szCs w:val="28"/>
        </w:rPr>
        <w:tab/>
        <w:t>Noteikumi Nr.</w:t>
      </w:r>
      <w:r w:rsidR="00F137F2">
        <w:rPr>
          <w:sz w:val="28"/>
          <w:szCs w:val="28"/>
        </w:rPr>
        <w:t> 350</w:t>
      </w:r>
    </w:p>
    <w:p w14:paraId="7F899736" w14:textId="1DD6166A" w:rsidR="00B13462" w:rsidRPr="007779EA" w:rsidRDefault="00B13462" w:rsidP="007F3ABD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137F2">
        <w:rPr>
          <w:sz w:val="28"/>
          <w:szCs w:val="28"/>
        </w:rPr>
        <w:t> 33 </w:t>
      </w:r>
      <w:bookmarkStart w:id="0" w:name="_GoBack"/>
      <w:bookmarkEnd w:id="0"/>
      <w:r w:rsidR="00F137F2">
        <w:rPr>
          <w:sz w:val="28"/>
          <w:szCs w:val="28"/>
        </w:rPr>
        <w:t>42</w:t>
      </w:r>
      <w:r w:rsidRPr="007779EA">
        <w:rPr>
          <w:sz w:val="28"/>
          <w:szCs w:val="28"/>
        </w:rPr>
        <w:t>. §)</w:t>
      </w:r>
    </w:p>
    <w:p w14:paraId="24A44850" w14:textId="77777777" w:rsidR="006D63ED" w:rsidRPr="00242C98" w:rsidRDefault="006D63ED" w:rsidP="007F3ABD">
      <w:pPr>
        <w:jc w:val="center"/>
        <w:rPr>
          <w:b/>
          <w:sz w:val="28"/>
          <w:szCs w:val="28"/>
        </w:rPr>
      </w:pPr>
    </w:p>
    <w:p w14:paraId="5844E174" w14:textId="4DD05A28" w:rsidR="00073C51" w:rsidRPr="00986B6F" w:rsidRDefault="00C812AD" w:rsidP="007F3ABD">
      <w:pPr>
        <w:jc w:val="center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r w:rsidRPr="00B42970">
        <w:rPr>
          <w:b/>
          <w:bCs/>
          <w:sz w:val="28"/>
          <w:szCs w:val="28"/>
        </w:rPr>
        <w:t>Grozījumi Ministru kabineta 2013.</w:t>
      </w:r>
      <w:r>
        <w:rPr>
          <w:b/>
          <w:bCs/>
          <w:sz w:val="28"/>
          <w:szCs w:val="28"/>
        </w:rPr>
        <w:t> </w:t>
      </w:r>
      <w:r w:rsidRPr="00B42970">
        <w:rPr>
          <w:b/>
          <w:bCs/>
          <w:sz w:val="28"/>
          <w:szCs w:val="28"/>
        </w:rPr>
        <w:t>gada 17.</w:t>
      </w:r>
      <w:r>
        <w:rPr>
          <w:b/>
          <w:bCs/>
          <w:sz w:val="28"/>
          <w:szCs w:val="28"/>
        </w:rPr>
        <w:t> </w:t>
      </w:r>
      <w:r w:rsidRPr="00B42970">
        <w:rPr>
          <w:b/>
          <w:bCs/>
          <w:sz w:val="28"/>
          <w:szCs w:val="28"/>
        </w:rPr>
        <w:t>septembra noteikumos Nr.</w:t>
      </w:r>
      <w:r>
        <w:rPr>
          <w:b/>
          <w:bCs/>
          <w:sz w:val="28"/>
          <w:szCs w:val="28"/>
        </w:rPr>
        <w:t> </w:t>
      </w:r>
      <w:r w:rsidRPr="00B42970">
        <w:rPr>
          <w:b/>
          <w:bCs/>
          <w:sz w:val="28"/>
          <w:szCs w:val="28"/>
        </w:rPr>
        <w:t xml:space="preserve">873 </w:t>
      </w:r>
      <w:r w:rsidR="00B13462">
        <w:rPr>
          <w:b/>
          <w:bCs/>
          <w:sz w:val="28"/>
          <w:szCs w:val="28"/>
        </w:rPr>
        <w:t>"</w:t>
      </w:r>
      <w:r w:rsidRPr="00B42970">
        <w:rPr>
          <w:b/>
          <w:bCs/>
          <w:sz w:val="28"/>
          <w:szCs w:val="28"/>
        </w:rPr>
        <w:t>Zāļu valsts aģentūras maksas pakalpojumu cenrādis</w:t>
      </w:r>
      <w:r w:rsidR="00B13462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69A39A83" w14:textId="77777777" w:rsidR="006D63ED" w:rsidRDefault="006D63ED" w:rsidP="007F3ABD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</w:p>
    <w:p w14:paraId="3753EADB" w14:textId="77777777" w:rsidR="00083DBB" w:rsidRDefault="002E128F" w:rsidP="007F3ABD">
      <w:pPr>
        <w:jc w:val="right"/>
        <w:rPr>
          <w:sz w:val="28"/>
          <w:szCs w:val="28"/>
        </w:rPr>
      </w:pPr>
      <w:r w:rsidRPr="00B42970">
        <w:rPr>
          <w:sz w:val="28"/>
          <w:szCs w:val="28"/>
        </w:rPr>
        <w:t>Izdoti saskaņā ar</w:t>
      </w:r>
    </w:p>
    <w:p w14:paraId="55B0742C" w14:textId="3DF9055F" w:rsidR="002E128F" w:rsidRPr="00B42970" w:rsidRDefault="002E128F" w:rsidP="007F3ABD">
      <w:pPr>
        <w:jc w:val="right"/>
        <w:rPr>
          <w:iCs/>
          <w:sz w:val="28"/>
          <w:szCs w:val="28"/>
        </w:rPr>
      </w:pPr>
      <w:r w:rsidRPr="00B42970">
        <w:rPr>
          <w:iCs/>
          <w:sz w:val="28"/>
          <w:szCs w:val="28"/>
        </w:rPr>
        <w:t>Publisko aģentūru likuma</w:t>
      </w:r>
    </w:p>
    <w:p w14:paraId="6D65991E" w14:textId="77777777" w:rsidR="002E128F" w:rsidRDefault="002E128F" w:rsidP="007F3ABD">
      <w:pPr>
        <w:jc w:val="right"/>
        <w:rPr>
          <w:iCs/>
          <w:sz w:val="28"/>
          <w:szCs w:val="28"/>
        </w:rPr>
      </w:pPr>
      <w:r w:rsidRPr="00B42970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> </w:t>
      </w:r>
      <w:r w:rsidRPr="00B42970">
        <w:rPr>
          <w:iCs/>
          <w:sz w:val="28"/>
          <w:szCs w:val="28"/>
        </w:rPr>
        <w:t>panta pirmo daļu</w:t>
      </w:r>
    </w:p>
    <w:p w14:paraId="6DB00BA2" w14:textId="77777777" w:rsidR="002E128F" w:rsidRPr="00B42970" w:rsidRDefault="002E128F" w:rsidP="007F3ABD">
      <w:pPr>
        <w:jc w:val="right"/>
        <w:rPr>
          <w:sz w:val="28"/>
          <w:szCs w:val="28"/>
        </w:rPr>
      </w:pPr>
    </w:p>
    <w:p w14:paraId="15BB29E2" w14:textId="68E4BA68" w:rsidR="002E128F" w:rsidRPr="004E3F15" w:rsidRDefault="002E128F" w:rsidP="007F3ABD">
      <w:pPr>
        <w:ind w:firstLine="709"/>
        <w:jc w:val="both"/>
        <w:outlineLvl w:val="2"/>
        <w:rPr>
          <w:sz w:val="28"/>
          <w:szCs w:val="28"/>
        </w:rPr>
      </w:pPr>
      <w:r w:rsidRPr="004E3F15">
        <w:rPr>
          <w:sz w:val="28"/>
          <w:szCs w:val="28"/>
        </w:rPr>
        <w:t xml:space="preserve">Izdarīt Ministru kabineta 2013. gada 17. septembra noteikumos Nr. 873 </w:t>
      </w:r>
      <w:r w:rsidR="00B13462">
        <w:rPr>
          <w:sz w:val="28"/>
          <w:szCs w:val="28"/>
        </w:rPr>
        <w:t>"</w:t>
      </w:r>
      <w:r w:rsidRPr="004E3F15">
        <w:rPr>
          <w:bCs/>
          <w:sz w:val="28"/>
          <w:szCs w:val="28"/>
        </w:rPr>
        <w:t>Zāļu valsts aģentūras maksas pakalpojumu cenrādis</w:t>
      </w:r>
      <w:r w:rsidR="00B13462">
        <w:rPr>
          <w:bCs/>
          <w:sz w:val="28"/>
          <w:szCs w:val="28"/>
        </w:rPr>
        <w:t>"</w:t>
      </w:r>
      <w:r w:rsidRPr="004E3F15">
        <w:rPr>
          <w:bCs/>
          <w:sz w:val="28"/>
          <w:szCs w:val="28"/>
        </w:rPr>
        <w:t xml:space="preserve"> </w:t>
      </w:r>
      <w:proofErr w:type="gramStart"/>
      <w:r w:rsidRPr="004E3F15">
        <w:rPr>
          <w:sz w:val="28"/>
          <w:szCs w:val="28"/>
        </w:rPr>
        <w:t>(</w:t>
      </w:r>
      <w:proofErr w:type="gramEnd"/>
      <w:r w:rsidRPr="004E3F15">
        <w:rPr>
          <w:sz w:val="28"/>
          <w:szCs w:val="28"/>
        </w:rPr>
        <w:t>Latvijas Vēstnesis, 2013, 184. nr.; 2014, 174. nr.; 2015, 253. nr.; 2017, 237. nr.; 2018, 112. nr.) šādus grozījumus:</w:t>
      </w:r>
    </w:p>
    <w:p w14:paraId="0D7D362E" w14:textId="77777777" w:rsidR="004E3F15" w:rsidRDefault="004E3F15" w:rsidP="007F3ABD">
      <w:pPr>
        <w:ind w:firstLine="709"/>
        <w:jc w:val="both"/>
        <w:rPr>
          <w:sz w:val="28"/>
          <w:szCs w:val="28"/>
        </w:rPr>
      </w:pPr>
    </w:p>
    <w:p w14:paraId="48428976" w14:textId="4876AB97" w:rsidR="002E128F" w:rsidRDefault="004E3F15" w:rsidP="007F3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128F" w:rsidRPr="004E3F15">
        <w:rPr>
          <w:sz w:val="28"/>
          <w:szCs w:val="28"/>
        </w:rPr>
        <w:t>Aizstāt 5.</w:t>
      </w:r>
      <w:r w:rsidR="00083DBB">
        <w:rPr>
          <w:sz w:val="28"/>
          <w:szCs w:val="28"/>
        </w:rPr>
        <w:t> </w:t>
      </w:r>
      <w:r w:rsidR="002E128F" w:rsidRPr="004E3F15">
        <w:rPr>
          <w:sz w:val="28"/>
          <w:szCs w:val="28"/>
        </w:rPr>
        <w:t>punktā skaitļus un vārdu</w:t>
      </w:r>
      <w:r w:rsidR="006F76EA" w:rsidRPr="004E3F15">
        <w:rPr>
          <w:sz w:val="28"/>
          <w:szCs w:val="28"/>
        </w:rPr>
        <w:t>s</w:t>
      </w:r>
      <w:r w:rsidR="002E128F" w:rsidRPr="004E3F15">
        <w:rPr>
          <w:sz w:val="28"/>
          <w:szCs w:val="28"/>
        </w:rPr>
        <w:t xml:space="preserve"> </w:t>
      </w:r>
      <w:r w:rsidR="00B13462">
        <w:rPr>
          <w:sz w:val="28"/>
          <w:szCs w:val="28"/>
        </w:rPr>
        <w:t>"</w:t>
      </w:r>
      <w:r w:rsidR="00A70EBB" w:rsidRPr="004E3F15">
        <w:rPr>
          <w:sz w:val="28"/>
          <w:szCs w:val="28"/>
        </w:rPr>
        <w:t xml:space="preserve">1., 2., 3., 4., 5., 6., 7., 8., 9., 10., </w:t>
      </w:r>
      <w:r w:rsidR="002E128F" w:rsidRPr="004E3F15">
        <w:rPr>
          <w:sz w:val="28"/>
          <w:szCs w:val="28"/>
        </w:rPr>
        <w:t>11. un 13.</w:t>
      </w:r>
      <w:r w:rsidR="00083DBB">
        <w:rPr>
          <w:sz w:val="28"/>
          <w:szCs w:val="28"/>
        </w:rPr>
        <w:t> </w:t>
      </w:r>
      <w:r w:rsidR="002E128F" w:rsidRPr="004E3F15">
        <w:rPr>
          <w:sz w:val="28"/>
          <w:szCs w:val="28"/>
        </w:rPr>
        <w:t>punktā</w:t>
      </w:r>
      <w:r w:rsidR="00B13462">
        <w:rPr>
          <w:sz w:val="28"/>
          <w:szCs w:val="28"/>
        </w:rPr>
        <w:t>"</w:t>
      </w:r>
      <w:r w:rsidR="002E128F" w:rsidRPr="004E3F15">
        <w:rPr>
          <w:sz w:val="28"/>
          <w:szCs w:val="28"/>
        </w:rPr>
        <w:t xml:space="preserve"> ar skaitļiem un vārd</w:t>
      </w:r>
      <w:r w:rsidR="00FE54EA">
        <w:rPr>
          <w:sz w:val="28"/>
          <w:szCs w:val="28"/>
        </w:rPr>
        <w:t>iem</w:t>
      </w:r>
      <w:r w:rsidR="002E128F" w:rsidRPr="004E3F15">
        <w:rPr>
          <w:sz w:val="28"/>
          <w:szCs w:val="28"/>
        </w:rPr>
        <w:t xml:space="preserve"> </w:t>
      </w:r>
      <w:r w:rsidR="00B13462">
        <w:rPr>
          <w:sz w:val="28"/>
          <w:szCs w:val="28"/>
        </w:rPr>
        <w:t>"</w:t>
      </w:r>
      <w:r w:rsidR="00A70EBB" w:rsidRPr="004E3F15">
        <w:rPr>
          <w:sz w:val="28"/>
          <w:szCs w:val="28"/>
        </w:rPr>
        <w:t xml:space="preserve">1., 2., 3., 4., 5., 6., 7., 8., 9., 10., </w:t>
      </w:r>
      <w:r w:rsidR="002E128F" w:rsidRPr="004E3F15">
        <w:rPr>
          <w:sz w:val="28"/>
          <w:szCs w:val="28"/>
        </w:rPr>
        <w:t>11., 13.</w:t>
      </w:r>
      <w:r w:rsidR="00083DBB">
        <w:rPr>
          <w:sz w:val="28"/>
          <w:szCs w:val="28"/>
        </w:rPr>
        <w:t xml:space="preserve"> </w:t>
      </w:r>
      <w:r w:rsidR="002E128F" w:rsidRPr="004E3F15">
        <w:rPr>
          <w:sz w:val="28"/>
          <w:szCs w:val="28"/>
        </w:rPr>
        <w:t>un 86. punktā</w:t>
      </w:r>
      <w:r w:rsidR="00B13462">
        <w:rPr>
          <w:sz w:val="28"/>
          <w:szCs w:val="28"/>
        </w:rPr>
        <w:t>"</w:t>
      </w:r>
      <w:r w:rsidR="002E128F" w:rsidRPr="004E3F15">
        <w:rPr>
          <w:sz w:val="28"/>
          <w:szCs w:val="28"/>
        </w:rPr>
        <w:t>.</w:t>
      </w:r>
    </w:p>
    <w:p w14:paraId="0D99C40D" w14:textId="77777777" w:rsidR="004E3F15" w:rsidRPr="004E3F15" w:rsidRDefault="004E3F15" w:rsidP="007F3ABD">
      <w:pPr>
        <w:ind w:firstLine="709"/>
        <w:jc w:val="both"/>
        <w:rPr>
          <w:sz w:val="28"/>
          <w:szCs w:val="28"/>
        </w:rPr>
      </w:pPr>
    </w:p>
    <w:p w14:paraId="3BA03CD9" w14:textId="30F21675" w:rsidR="002E128F" w:rsidRPr="004E3F15" w:rsidRDefault="00B13462" w:rsidP="00FE54EA">
      <w:pPr>
        <w:pStyle w:val="ListParagraph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2. </w:t>
      </w:r>
      <w:r w:rsidRPr="004E3F15">
        <w:rPr>
          <w:sz w:val="28"/>
          <w:szCs w:val="28"/>
        </w:rPr>
        <w:t xml:space="preserve">Papildināt </w:t>
      </w:r>
      <w:r w:rsidR="002E128F" w:rsidRPr="004E3F15">
        <w:rPr>
          <w:sz w:val="28"/>
          <w:szCs w:val="28"/>
        </w:rPr>
        <w:t>pielikumu ar 86.</w:t>
      </w:r>
      <w:r w:rsidR="002E128F" w:rsidRPr="004E3F15">
        <w:rPr>
          <w:sz w:val="28"/>
          <w:szCs w:val="28"/>
          <w:vertAlign w:val="superscript"/>
        </w:rPr>
        <w:t xml:space="preserve"> </w:t>
      </w:r>
      <w:r w:rsidR="002E128F" w:rsidRPr="004E3F15">
        <w:rPr>
          <w:sz w:val="28"/>
          <w:szCs w:val="28"/>
        </w:rPr>
        <w:t>punktu šādā redakcijā:</w:t>
      </w:r>
    </w:p>
    <w:p w14:paraId="0D4B2787" w14:textId="77777777" w:rsidR="002E128F" w:rsidRDefault="002E128F" w:rsidP="007F3ABD">
      <w:pPr>
        <w:ind w:firstLine="709"/>
        <w:jc w:val="both"/>
        <w:outlineLvl w:val="2"/>
        <w:rPr>
          <w:sz w:val="28"/>
          <w:szCs w:val="28"/>
        </w:rPr>
      </w:pP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1531"/>
        <w:gridCol w:w="1275"/>
        <w:gridCol w:w="851"/>
        <w:gridCol w:w="1559"/>
      </w:tblGrid>
      <w:tr w:rsidR="002E128F" w14:paraId="3828BAEA" w14:textId="77777777" w:rsidTr="00FE54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F97" w14:textId="254EE87D" w:rsidR="002E128F" w:rsidRPr="000D6497" w:rsidRDefault="00B13462" w:rsidP="007F3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2E128F">
              <w:rPr>
                <w:sz w:val="28"/>
                <w:szCs w:val="28"/>
              </w:rPr>
              <w:t>86.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A83" w14:textId="6717394D" w:rsidR="002E128F" w:rsidRPr="00B80244" w:rsidRDefault="002E128F" w:rsidP="007F3ABD">
            <w:pPr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Atzinuma sniegšana</w:t>
            </w:r>
            <w:r w:rsidRPr="004D3E47">
              <w:rPr>
                <w:sz w:val="28"/>
                <w:szCs w:val="28"/>
              </w:rPr>
              <w:t xml:space="preserve"> par zāļu </w:t>
            </w:r>
            <w:r w:rsidR="004F5DDE">
              <w:rPr>
                <w:sz w:val="28"/>
                <w:szCs w:val="28"/>
              </w:rPr>
              <w:t>ārstniecisko un ekonomisko</w:t>
            </w:r>
            <w:r w:rsidRPr="004D3E47">
              <w:rPr>
                <w:sz w:val="28"/>
                <w:szCs w:val="28"/>
              </w:rPr>
              <w:t xml:space="preserve"> izmaksu efektivitāti</w:t>
            </w:r>
            <w:r>
              <w:rPr>
                <w:sz w:val="28"/>
                <w:szCs w:val="28"/>
              </w:rPr>
              <w:t xml:space="preserve"> vai </w:t>
            </w:r>
            <w:r w:rsidRPr="004D3E47">
              <w:rPr>
                <w:sz w:val="28"/>
                <w:szCs w:val="28"/>
              </w:rPr>
              <w:t>par medicīnisko ierīču izmaksu efektivitāti</w:t>
            </w:r>
            <w:r w:rsidRPr="00B8024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873" w14:textId="77777777" w:rsidR="002E128F" w:rsidRDefault="002E128F" w:rsidP="00F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atzinums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39F" w14:textId="0E86DE9F" w:rsidR="002E128F" w:rsidRPr="004620DA" w:rsidRDefault="002E128F" w:rsidP="00FE54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20DA">
              <w:rPr>
                <w:color w:val="000000"/>
                <w:sz w:val="28"/>
                <w:szCs w:val="28"/>
              </w:rPr>
              <w:t>8</w:t>
            </w:r>
            <w:r w:rsidR="004620DA" w:rsidRPr="004620DA">
              <w:rPr>
                <w:color w:val="000000"/>
                <w:sz w:val="28"/>
                <w:szCs w:val="28"/>
              </w:rPr>
              <w:t>40</w:t>
            </w:r>
            <w:r w:rsidRPr="004620DA">
              <w:rPr>
                <w:color w:val="000000"/>
                <w:sz w:val="28"/>
                <w:szCs w:val="28"/>
              </w:rPr>
              <w:t>,</w:t>
            </w:r>
            <w:r w:rsidR="004620DA" w:rsidRPr="004620D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C2C" w14:textId="77777777" w:rsidR="002E128F" w:rsidRPr="004620DA" w:rsidRDefault="002E128F" w:rsidP="00FE54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20D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3A3" w14:textId="483BD3A3" w:rsidR="002E128F" w:rsidRPr="004620DA" w:rsidRDefault="002E128F" w:rsidP="00FE54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20DA">
              <w:rPr>
                <w:color w:val="000000"/>
                <w:sz w:val="28"/>
                <w:szCs w:val="28"/>
              </w:rPr>
              <w:t>8</w:t>
            </w:r>
            <w:r w:rsidR="004620DA" w:rsidRPr="004620DA">
              <w:rPr>
                <w:color w:val="000000"/>
                <w:sz w:val="28"/>
                <w:szCs w:val="28"/>
              </w:rPr>
              <w:t>40</w:t>
            </w:r>
            <w:r w:rsidRPr="004620DA">
              <w:rPr>
                <w:color w:val="000000"/>
                <w:sz w:val="28"/>
                <w:szCs w:val="28"/>
              </w:rPr>
              <w:t>,</w:t>
            </w:r>
            <w:r w:rsidR="004620DA" w:rsidRPr="004620DA">
              <w:rPr>
                <w:color w:val="000000"/>
                <w:sz w:val="28"/>
                <w:szCs w:val="28"/>
              </w:rPr>
              <w:t>75</w:t>
            </w:r>
            <w:r w:rsidR="00B13462">
              <w:rPr>
                <w:color w:val="000000"/>
                <w:sz w:val="28"/>
                <w:szCs w:val="28"/>
              </w:rPr>
              <w:t>"</w:t>
            </w:r>
            <w:r w:rsidRPr="004620DA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54D3D26" w14:textId="77777777" w:rsidR="002E128F" w:rsidRPr="00CE5D7A" w:rsidRDefault="002E128F" w:rsidP="007F3ABD">
      <w:pPr>
        <w:pStyle w:val="BodyText"/>
        <w:tabs>
          <w:tab w:val="left" w:pos="993"/>
        </w:tabs>
        <w:spacing w:after="0"/>
        <w:jc w:val="both"/>
        <w:rPr>
          <w:sz w:val="28"/>
          <w:szCs w:val="28"/>
        </w:rPr>
      </w:pPr>
    </w:p>
    <w:p w14:paraId="57B6C027" w14:textId="32B624F1" w:rsidR="006D63ED" w:rsidRDefault="006D63ED" w:rsidP="007F3ABD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10B41236" w14:textId="77777777" w:rsidR="00B13462" w:rsidRPr="006D63ED" w:rsidRDefault="00B13462" w:rsidP="007F3ABD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0BBE66CA" w14:textId="766D903C" w:rsidR="00164AD3" w:rsidRPr="008D42CB" w:rsidRDefault="00164AD3" w:rsidP="00BA2C5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C6135A">
        <w:rPr>
          <w:sz w:val="28"/>
          <w:szCs w:val="28"/>
        </w:rPr>
        <w:t>Ministru prezident</w:t>
      </w:r>
      <w:r w:rsidR="00BA2C55">
        <w:rPr>
          <w:sz w:val="28"/>
          <w:szCs w:val="28"/>
        </w:rPr>
        <w:t>s</w:t>
      </w:r>
      <w:r w:rsidR="00BA2C55">
        <w:rPr>
          <w:sz w:val="28"/>
          <w:szCs w:val="28"/>
        </w:rPr>
        <w:tab/>
        <w:t>A. K. Kariņš</w:t>
      </w:r>
      <w:r>
        <w:rPr>
          <w:sz w:val="28"/>
          <w:szCs w:val="28"/>
        </w:rPr>
        <w:t xml:space="preserve"> </w:t>
      </w:r>
    </w:p>
    <w:p w14:paraId="34C969A2" w14:textId="77777777" w:rsidR="00B13462" w:rsidRDefault="00B13462" w:rsidP="007F3A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E64D69" w14:textId="77777777" w:rsidR="00B13462" w:rsidRDefault="00B13462" w:rsidP="007F3A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347BA6" w14:textId="77777777" w:rsidR="00B13462" w:rsidRDefault="00B13462" w:rsidP="007F3A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788C96" w14:textId="77777777" w:rsidR="00B13462" w:rsidRPr="00333282" w:rsidRDefault="00B13462" w:rsidP="00164AD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B13462" w:rsidRPr="00333282" w:rsidSect="00B13462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98F8" w14:textId="77777777" w:rsidR="00931AFF" w:rsidRDefault="00931AFF">
      <w:r>
        <w:separator/>
      </w:r>
    </w:p>
  </w:endnote>
  <w:endnote w:type="continuationSeparator" w:id="0">
    <w:p w14:paraId="08E81D2E" w14:textId="77777777" w:rsidR="00931AFF" w:rsidRDefault="0093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F644" w14:textId="655654B7" w:rsidR="00B13462" w:rsidRPr="00B13462" w:rsidRDefault="00B13462">
    <w:pPr>
      <w:pStyle w:val="Footer"/>
      <w:rPr>
        <w:sz w:val="16"/>
        <w:szCs w:val="16"/>
      </w:rPr>
    </w:pPr>
    <w:r w:rsidRPr="00B13462">
      <w:rPr>
        <w:sz w:val="16"/>
        <w:szCs w:val="16"/>
      </w:rPr>
      <w:t>N1284_9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79BB" w14:textId="77777777" w:rsidR="00931AFF" w:rsidRDefault="00931AFF">
      <w:r>
        <w:separator/>
      </w:r>
    </w:p>
  </w:footnote>
  <w:footnote w:type="continuationSeparator" w:id="0">
    <w:p w14:paraId="361C9BA8" w14:textId="77777777" w:rsidR="00931AFF" w:rsidRDefault="0093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8EAEB68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4EC4" w14:textId="77777777" w:rsidR="00B13462" w:rsidRPr="003629D6" w:rsidRDefault="00B13462">
    <w:pPr>
      <w:pStyle w:val="Header"/>
    </w:pPr>
  </w:p>
  <w:p w14:paraId="36B5EDE2" w14:textId="053419F4" w:rsidR="00B13462" w:rsidRDefault="00B13462">
    <w:pPr>
      <w:pStyle w:val="Header"/>
    </w:pPr>
    <w:r>
      <w:rPr>
        <w:noProof/>
      </w:rPr>
      <w:drawing>
        <wp:inline distT="0" distB="0" distL="0" distR="0" wp14:anchorId="715016A3" wp14:editId="288158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208"/>
    <w:multiLevelType w:val="hybridMultilevel"/>
    <w:tmpl w:val="48728944"/>
    <w:lvl w:ilvl="0" w:tplc="32901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7385"/>
    <w:multiLevelType w:val="hybridMultilevel"/>
    <w:tmpl w:val="EFA2A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6E67"/>
    <w:multiLevelType w:val="multilevel"/>
    <w:tmpl w:val="2C8C8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4A72"/>
    <w:rsid w:val="00064A65"/>
    <w:rsid w:val="00065417"/>
    <w:rsid w:val="00073C51"/>
    <w:rsid w:val="00083DBB"/>
    <w:rsid w:val="00097A3F"/>
    <w:rsid w:val="000A5426"/>
    <w:rsid w:val="000A7D69"/>
    <w:rsid w:val="000B5288"/>
    <w:rsid w:val="000B5AE1"/>
    <w:rsid w:val="000D0BD6"/>
    <w:rsid w:val="000D4AE0"/>
    <w:rsid w:val="000F2D8F"/>
    <w:rsid w:val="00122A47"/>
    <w:rsid w:val="001254CA"/>
    <w:rsid w:val="00137AC9"/>
    <w:rsid w:val="00143392"/>
    <w:rsid w:val="00143694"/>
    <w:rsid w:val="00151EB9"/>
    <w:rsid w:val="00162B07"/>
    <w:rsid w:val="00164AD3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1F2F53"/>
    <w:rsid w:val="002040C5"/>
    <w:rsid w:val="00216C6D"/>
    <w:rsid w:val="00222E79"/>
    <w:rsid w:val="002239A9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E128F"/>
    <w:rsid w:val="002F09CE"/>
    <w:rsid w:val="002F71E6"/>
    <w:rsid w:val="003322EF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246"/>
    <w:rsid w:val="004203E7"/>
    <w:rsid w:val="00433DAD"/>
    <w:rsid w:val="004466A0"/>
    <w:rsid w:val="00452998"/>
    <w:rsid w:val="004620DA"/>
    <w:rsid w:val="00482603"/>
    <w:rsid w:val="00493B26"/>
    <w:rsid w:val="004944D5"/>
    <w:rsid w:val="00497C20"/>
    <w:rsid w:val="004B0B67"/>
    <w:rsid w:val="004B6E00"/>
    <w:rsid w:val="004C0159"/>
    <w:rsid w:val="004C60C4"/>
    <w:rsid w:val="004D4846"/>
    <w:rsid w:val="004E3E9C"/>
    <w:rsid w:val="004E3F15"/>
    <w:rsid w:val="004E5A1D"/>
    <w:rsid w:val="004E74DA"/>
    <w:rsid w:val="004F5DDE"/>
    <w:rsid w:val="005003A0"/>
    <w:rsid w:val="00523B02"/>
    <w:rsid w:val="005256C0"/>
    <w:rsid w:val="00537199"/>
    <w:rsid w:val="0055244A"/>
    <w:rsid w:val="00564494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63ED"/>
    <w:rsid w:val="006D764A"/>
    <w:rsid w:val="006E083B"/>
    <w:rsid w:val="006E5D5F"/>
    <w:rsid w:val="006E5FE2"/>
    <w:rsid w:val="006E6314"/>
    <w:rsid w:val="006F76EA"/>
    <w:rsid w:val="00721036"/>
    <w:rsid w:val="00721D90"/>
    <w:rsid w:val="00730E31"/>
    <w:rsid w:val="00746861"/>
    <w:rsid w:val="00746F4F"/>
    <w:rsid w:val="00750EE3"/>
    <w:rsid w:val="00762E50"/>
    <w:rsid w:val="00774A4B"/>
    <w:rsid w:val="00775F74"/>
    <w:rsid w:val="00777358"/>
    <w:rsid w:val="007852EC"/>
    <w:rsid w:val="00787DA8"/>
    <w:rsid w:val="007947CC"/>
    <w:rsid w:val="00796BFD"/>
    <w:rsid w:val="007B5DBD"/>
    <w:rsid w:val="007C4838"/>
    <w:rsid w:val="007C63F0"/>
    <w:rsid w:val="007E6756"/>
    <w:rsid w:val="007F3ABD"/>
    <w:rsid w:val="007F7F31"/>
    <w:rsid w:val="0080189A"/>
    <w:rsid w:val="00812AFA"/>
    <w:rsid w:val="00837BBE"/>
    <w:rsid w:val="008467C5"/>
    <w:rsid w:val="00860834"/>
    <w:rsid w:val="0086399E"/>
    <w:rsid w:val="008644A0"/>
    <w:rsid w:val="00864D00"/>
    <w:rsid w:val="008678E7"/>
    <w:rsid w:val="00871391"/>
    <w:rsid w:val="008769BC"/>
    <w:rsid w:val="00890949"/>
    <w:rsid w:val="008A7539"/>
    <w:rsid w:val="008B5A9F"/>
    <w:rsid w:val="008B700A"/>
    <w:rsid w:val="008C0C2F"/>
    <w:rsid w:val="008C7A3B"/>
    <w:rsid w:val="008D5CC2"/>
    <w:rsid w:val="008E7807"/>
    <w:rsid w:val="008F0423"/>
    <w:rsid w:val="008F5404"/>
    <w:rsid w:val="00900023"/>
    <w:rsid w:val="00907025"/>
    <w:rsid w:val="009079D9"/>
    <w:rsid w:val="00910156"/>
    <w:rsid w:val="009172AE"/>
    <w:rsid w:val="00931AFF"/>
    <w:rsid w:val="00932D89"/>
    <w:rsid w:val="009468C6"/>
    <w:rsid w:val="00947B4D"/>
    <w:rsid w:val="0097781C"/>
    <w:rsid w:val="00980D1E"/>
    <w:rsid w:val="0098390C"/>
    <w:rsid w:val="00986B6F"/>
    <w:rsid w:val="009A7A12"/>
    <w:rsid w:val="009B754F"/>
    <w:rsid w:val="009C5A63"/>
    <w:rsid w:val="009C6F5C"/>
    <w:rsid w:val="009D1238"/>
    <w:rsid w:val="009E2F0C"/>
    <w:rsid w:val="009E5245"/>
    <w:rsid w:val="009F1E4B"/>
    <w:rsid w:val="009F3EFB"/>
    <w:rsid w:val="00A02F96"/>
    <w:rsid w:val="00A0415C"/>
    <w:rsid w:val="00A16CE2"/>
    <w:rsid w:val="00A40B3B"/>
    <w:rsid w:val="00A442F3"/>
    <w:rsid w:val="00A6794B"/>
    <w:rsid w:val="00A70EB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3462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2C55"/>
    <w:rsid w:val="00BA506B"/>
    <w:rsid w:val="00BB487A"/>
    <w:rsid w:val="00BC4543"/>
    <w:rsid w:val="00BD688C"/>
    <w:rsid w:val="00BF4764"/>
    <w:rsid w:val="00C00364"/>
    <w:rsid w:val="00C00A8E"/>
    <w:rsid w:val="00C27AF9"/>
    <w:rsid w:val="00C31E7D"/>
    <w:rsid w:val="00C4021B"/>
    <w:rsid w:val="00C406ED"/>
    <w:rsid w:val="00C44DE9"/>
    <w:rsid w:val="00C53AD0"/>
    <w:rsid w:val="00C55FDE"/>
    <w:rsid w:val="00C812AD"/>
    <w:rsid w:val="00C903DE"/>
    <w:rsid w:val="00C91262"/>
    <w:rsid w:val="00C93126"/>
    <w:rsid w:val="00CA30A6"/>
    <w:rsid w:val="00CA7A60"/>
    <w:rsid w:val="00CB6776"/>
    <w:rsid w:val="00CC381E"/>
    <w:rsid w:val="00CE04CC"/>
    <w:rsid w:val="00CE0B90"/>
    <w:rsid w:val="00CF14BD"/>
    <w:rsid w:val="00D1431D"/>
    <w:rsid w:val="00D14B43"/>
    <w:rsid w:val="00D34E8D"/>
    <w:rsid w:val="00D46149"/>
    <w:rsid w:val="00D51967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01C94"/>
    <w:rsid w:val="00E25C04"/>
    <w:rsid w:val="00E36A1B"/>
    <w:rsid w:val="00E43197"/>
    <w:rsid w:val="00E555E7"/>
    <w:rsid w:val="00E6461F"/>
    <w:rsid w:val="00E826B4"/>
    <w:rsid w:val="00E8494E"/>
    <w:rsid w:val="00E94494"/>
    <w:rsid w:val="00EA363C"/>
    <w:rsid w:val="00EA43C2"/>
    <w:rsid w:val="00EA441A"/>
    <w:rsid w:val="00EA7694"/>
    <w:rsid w:val="00EB0545"/>
    <w:rsid w:val="00EB16AA"/>
    <w:rsid w:val="00EB59AF"/>
    <w:rsid w:val="00EC6A15"/>
    <w:rsid w:val="00EC7F10"/>
    <w:rsid w:val="00EF258D"/>
    <w:rsid w:val="00F04334"/>
    <w:rsid w:val="00F0572A"/>
    <w:rsid w:val="00F07A8C"/>
    <w:rsid w:val="00F12337"/>
    <w:rsid w:val="00F137F2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E54E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link w:val="naisfChar"/>
    <w:rsid w:val="006457F2"/>
    <w:pPr>
      <w:spacing w:before="75" w:after="75"/>
      <w:ind w:firstLine="375"/>
      <w:jc w:val="both"/>
    </w:pPr>
  </w:style>
  <w:style w:type="paragraph" w:customStyle="1" w:styleId="likizd">
    <w:name w:val="lik_izd"/>
    <w:basedOn w:val="Normal"/>
    <w:rsid w:val="009E524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524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2E1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128F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B134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164A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CAD5-CD4C-4C26-B1A3-D67F4E0A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3.septembra noteikumos Nr.744 "Nacionālā veselības dienesta maksas pakalpojumu cenrādis"</vt:lpstr>
    </vt:vector>
  </TitlesOfParts>
  <Company>Veselības ministrija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3.septembra noteikumos Nr.744 "Nacionālā veselības dienesta maksas pakalpojumu cenrādis"</dc:title>
  <dc:subject>Noteikumu projekts</dc:subject>
  <dc:creator>Lāsma Zandberga</dc:creator>
  <dc:description>67876041, lasma.zandberga@vm.gov.lv</dc:description>
  <cp:lastModifiedBy>Leontine Babkina</cp:lastModifiedBy>
  <cp:revision>14</cp:revision>
  <cp:lastPrinted>2019-07-08T12:56:00Z</cp:lastPrinted>
  <dcterms:created xsi:type="dcterms:W3CDTF">2019-07-01T12:56:00Z</dcterms:created>
  <dcterms:modified xsi:type="dcterms:W3CDTF">2019-07-18T09:11:00Z</dcterms:modified>
</cp:coreProperties>
</file>