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667A" w14:textId="77777777" w:rsidR="00467BCF" w:rsidRPr="009E3671" w:rsidRDefault="00467BCF" w:rsidP="00C43C43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14:paraId="610F109C" w14:textId="77777777" w:rsidR="00353134" w:rsidRPr="009E3671" w:rsidRDefault="00353134" w:rsidP="00C43C4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3C90587" w14:textId="2CA89883" w:rsidR="00C43C43" w:rsidRPr="009E3671" w:rsidRDefault="00C43C43" w:rsidP="00C43C4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 xml:space="preserve">2019. gada </w:t>
      </w:r>
      <w:r w:rsidR="0083076C">
        <w:rPr>
          <w:rFonts w:ascii="Times New Roman" w:hAnsi="Times New Roman"/>
          <w:sz w:val="28"/>
          <w:szCs w:val="28"/>
        </w:rPr>
        <w:t>13. augustā</w:t>
      </w:r>
      <w:r w:rsidRPr="009E3671">
        <w:rPr>
          <w:rFonts w:ascii="Times New Roman" w:hAnsi="Times New Roman"/>
          <w:sz w:val="28"/>
          <w:szCs w:val="28"/>
        </w:rPr>
        <w:tab/>
        <w:t>Noteikumi Nr.</w:t>
      </w:r>
      <w:r w:rsidR="0083076C">
        <w:rPr>
          <w:rFonts w:ascii="Times New Roman" w:hAnsi="Times New Roman"/>
          <w:sz w:val="28"/>
          <w:szCs w:val="28"/>
        </w:rPr>
        <w:t> 358</w:t>
      </w:r>
    </w:p>
    <w:p w14:paraId="11E5E0B7" w14:textId="60ADD15E" w:rsidR="00C43C43" w:rsidRPr="009E3671" w:rsidRDefault="00C43C43" w:rsidP="00C43C4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Rīgā</w:t>
      </w:r>
      <w:r w:rsidRPr="009E3671">
        <w:rPr>
          <w:rFonts w:ascii="Times New Roman" w:hAnsi="Times New Roman"/>
          <w:sz w:val="28"/>
          <w:szCs w:val="28"/>
        </w:rPr>
        <w:tab/>
        <w:t>(prot. Nr. </w:t>
      </w:r>
      <w:r w:rsidR="0083076C">
        <w:rPr>
          <w:rFonts w:ascii="Times New Roman" w:hAnsi="Times New Roman"/>
          <w:sz w:val="28"/>
          <w:szCs w:val="28"/>
        </w:rPr>
        <w:t>34</w:t>
      </w:r>
      <w:r w:rsidRPr="009E3671">
        <w:rPr>
          <w:rFonts w:ascii="Times New Roman" w:hAnsi="Times New Roman"/>
          <w:sz w:val="28"/>
          <w:szCs w:val="28"/>
        </w:rPr>
        <w:t> </w:t>
      </w:r>
      <w:r w:rsidR="0083076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9E3671">
        <w:rPr>
          <w:rFonts w:ascii="Times New Roman" w:hAnsi="Times New Roman"/>
          <w:sz w:val="28"/>
          <w:szCs w:val="28"/>
        </w:rPr>
        <w:t>. §)</w:t>
      </w:r>
    </w:p>
    <w:p w14:paraId="436DE56E" w14:textId="77777777" w:rsidR="00353134" w:rsidRPr="009E3671" w:rsidRDefault="00353134" w:rsidP="00C43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211D3F" w14:textId="1956DE78" w:rsidR="00353134" w:rsidRPr="009E3671" w:rsidRDefault="00353134" w:rsidP="00C43C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OLE_LINK5"/>
      <w:bookmarkStart w:id="2" w:name="OLE_LINK6"/>
      <w:bookmarkStart w:id="3" w:name="OLE_LINK4"/>
      <w:bookmarkStart w:id="4" w:name="OLE_LINK8"/>
      <w:r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2011.</w:t>
      </w:r>
      <w:r w:rsidR="0035141F"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>gada 12.</w:t>
      </w:r>
      <w:r w:rsidR="0035141F"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>aprīļa noteikumos Nr.</w:t>
      </w:r>
      <w:r w:rsidR="003C3837"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286 </w:t>
      </w:r>
      <w:r w:rsidR="00C43C43"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>Kārtība, kādā komersanti nodrošina un sniedz drošības rezervju pakalpojumu valsts naftas produktu drošības rezervju izveidei noteiktā apjomā</w:t>
      </w:r>
      <w:r w:rsidR="00C43C43"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bookmarkEnd w:id="1"/>
      <w:bookmarkEnd w:id="2"/>
      <w:bookmarkEnd w:id="3"/>
      <w:bookmarkEnd w:id="4"/>
    </w:p>
    <w:p w14:paraId="516BC617" w14:textId="77777777" w:rsidR="00353134" w:rsidRPr="009E3671" w:rsidRDefault="00353134" w:rsidP="00C43C4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84D3D1" w14:textId="77777777" w:rsidR="00353134" w:rsidRPr="009E3671" w:rsidRDefault="00353134" w:rsidP="00C43C4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0CBEA955" w14:textId="77777777" w:rsidR="00353134" w:rsidRPr="009E3671" w:rsidRDefault="00353134" w:rsidP="00C43C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Enerģētikas likuma </w:t>
      </w:r>
    </w:p>
    <w:p w14:paraId="0972E265" w14:textId="5E4ACDE7" w:rsidR="00353134" w:rsidRPr="009E3671" w:rsidRDefault="00353134" w:rsidP="00C43C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72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anta pirmo daļu</w:t>
      </w:r>
    </w:p>
    <w:p w14:paraId="1763FF3B" w14:textId="77777777" w:rsidR="00353134" w:rsidRPr="009E3671" w:rsidRDefault="00353134" w:rsidP="00C43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FA01A9" w14:textId="5DB5108F" w:rsidR="00353134" w:rsidRPr="009E3671" w:rsidRDefault="00353134" w:rsidP="00C4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2011.</w:t>
      </w:r>
      <w:r w:rsidR="001C51BD" w:rsidRPr="009E367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gada 12.</w:t>
      </w:r>
      <w:r w:rsidR="001C51BD" w:rsidRPr="009E367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aprīļa noteikumos Nr.</w:t>
      </w:r>
      <w:r w:rsidR="001C51BD" w:rsidRPr="009E367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286 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Kārtība, kādā komersanti nodrošina un sniedz drošības rezervju pakalpojumu valsts naftas produktu drošības rezervju izveidei noteiktā apjomā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Latvijas Vēstnesis, 2011, 63.</w:t>
      </w:r>
      <w:r w:rsidR="003F10D7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nr.; 2012, 39.</w:t>
      </w:r>
      <w:r w:rsidR="008570EB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nr.; 2013, 40.</w:t>
      </w:r>
      <w:r w:rsidR="00BF5D57" w:rsidRPr="009E367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 251.</w:t>
      </w:r>
      <w:r w:rsidR="00B215B5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nr</w:t>
      </w:r>
      <w:r w:rsidR="00DD12F6" w:rsidRPr="009E367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; 2015, 132.</w:t>
      </w:r>
      <w:r w:rsidR="004C1A45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nr</w:t>
      </w:r>
      <w:r w:rsidR="004C1A45" w:rsidRPr="009E367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317AC" w:rsidRPr="009E3671">
        <w:rPr>
          <w:rFonts w:ascii="Times New Roman" w:eastAsia="Times New Roman" w:hAnsi="Times New Roman"/>
          <w:sz w:val="28"/>
          <w:szCs w:val="28"/>
          <w:lang w:eastAsia="lv-LV"/>
        </w:rPr>
        <w:t>; 2018, 89</w:t>
      </w:r>
      <w:r w:rsidR="004C1A45" w:rsidRPr="009E3671">
        <w:rPr>
          <w:rFonts w:ascii="Times New Roman" w:eastAsia="Times New Roman" w:hAnsi="Times New Roman"/>
          <w:sz w:val="28"/>
          <w:szCs w:val="28"/>
          <w:lang w:eastAsia="lv-LV"/>
        </w:rPr>
        <w:t>. nr.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9E3671">
        <w:rPr>
          <w:rFonts w:ascii="Times New Roman" w:hAnsi="Times New Roman"/>
          <w:sz w:val="28"/>
          <w:szCs w:val="28"/>
        </w:rPr>
        <w:t xml:space="preserve"> 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šādus grozījumus:</w:t>
      </w:r>
    </w:p>
    <w:p w14:paraId="6D1E7D58" w14:textId="77777777" w:rsidR="00353134" w:rsidRPr="009E3671" w:rsidRDefault="00353134" w:rsidP="00C43C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BB87B6" w14:textId="3CCF15CE" w:rsidR="0006305C" w:rsidRPr="009E3671" w:rsidRDefault="00D12C91" w:rsidP="00C43C4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</w:rPr>
        <w:t xml:space="preserve">1. </w:t>
      </w:r>
      <w:r w:rsidR="00087C2E" w:rsidRPr="009E3671">
        <w:rPr>
          <w:rFonts w:ascii="Times New Roman" w:eastAsia="Times New Roman" w:hAnsi="Times New Roman"/>
          <w:sz w:val="28"/>
          <w:szCs w:val="28"/>
        </w:rPr>
        <w:t xml:space="preserve">Svītrot </w:t>
      </w:r>
      <w:r w:rsidR="00087C2E" w:rsidRPr="009E3671">
        <w:rPr>
          <w:rFonts w:ascii="Times New Roman" w:hAnsi="Times New Roman"/>
          <w:sz w:val="28"/>
          <w:szCs w:val="28"/>
        </w:rPr>
        <w:t>2.2</w:t>
      </w:r>
      <w:r w:rsidR="00C43C43" w:rsidRPr="009E3671">
        <w:rPr>
          <w:rFonts w:ascii="Times New Roman" w:eastAsia="Times New Roman" w:hAnsi="Times New Roman"/>
          <w:sz w:val="28"/>
          <w:szCs w:val="28"/>
        </w:rPr>
        <w:t>. a</w:t>
      </w:r>
      <w:r w:rsidR="00087C2E" w:rsidRPr="009E3671">
        <w:rPr>
          <w:rFonts w:ascii="Times New Roman" w:eastAsia="Times New Roman" w:hAnsi="Times New Roman"/>
          <w:sz w:val="28"/>
          <w:szCs w:val="28"/>
        </w:rPr>
        <w:t xml:space="preserve">pakšpunktā </w:t>
      </w:r>
      <w:r w:rsidR="0034721D" w:rsidRPr="009E3671">
        <w:rPr>
          <w:rFonts w:ascii="Times New Roman" w:eastAsia="Times New Roman" w:hAnsi="Times New Roman"/>
          <w:sz w:val="28"/>
          <w:szCs w:val="28"/>
        </w:rPr>
        <w:t xml:space="preserve">vārdus </w:t>
      </w:r>
      <w:r w:rsidR="009D595C" w:rsidRPr="009E3671">
        <w:rPr>
          <w:rFonts w:ascii="Times New Roman" w:eastAsia="Times New Roman" w:hAnsi="Times New Roman"/>
          <w:sz w:val="28"/>
          <w:szCs w:val="28"/>
        </w:rPr>
        <w:t xml:space="preserve">un skaitļus 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B7309" w:rsidRPr="009E3671">
        <w:rPr>
          <w:rFonts w:ascii="Times New Roman" w:eastAsia="Times New Roman" w:hAnsi="Times New Roman"/>
          <w:sz w:val="28"/>
          <w:szCs w:val="28"/>
          <w:lang w:eastAsia="lv-LV"/>
        </w:rPr>
        <w:t>kuri ietilpst I, II vai III</w:t>
      </w:r>
      <w:r w:rsidR="001C51BD" w:rsidRPr="009E367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B7309" w:rsidRPr="009E3671">
        <w:rPr>
          <w:rFonts w:ascii="Times New Roman" w:eastAsia="Times New Roman" w:hAnsi="Times New Roman"/>
          <w:sz w:val="28"/>
          <w:szCs w:val="28"/>
          <w:lang w:eastAsia="lv-LV"/>
        </w:rPr>
        <w:t>kategorijas naftas produktos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B7309" w:rsidRPr="009E367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8695835" w14:textId="77777777" w:rsidR="00F0635E" w:rsidRPr="009E3671" w:rsidRDefault="00F0635E" w:rsidP="00C43C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23CF0" w14:textId="5EE677B5" w:rsidR="003B7309" w:rsidRPr="009E3671" w:rsidRDefault="00702710" w:rsidP="00C43C4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3B7309" w:rsidRPr="009E3671">
        <w:rPr>
          <w:rFonts w:ascii="Times New Roman" w:hAnsi="Times New Roman"/>
          <w:sz w:val="28"/>
          <w:szCs w:val="28"/>
        </w:rPr>
        <w:t>Svītrot 2.3</w:t>
      </w:r>
      <w:r w:rsidR="00C43C43" w:rsidRPr="009E3671">
        <w:rPr>
          <w:rFonts w:ascii="Times New Roman" w:hAnsi="Times New Roman"/>
          <w:sz w:val="28"/>
          <w:szCs w:val="28"/>
        </w:rPr>
        <w:t>. a</w:t>
      </w:r>
      <w:r w:rsidR="003B7309" w:rsidRPr="009E3671">
        <w:rPr>
          <w:rFonts w:ascii="Times New Roman" w:hAnsi="Times New Roman"/>
          <w:sz w:val="28"/>
          <w:szCs w:val="28"/>
        </w:rPr>
        <w:t xml:space="preserve">pakšpunktā </w:t>
      </w:r>
      <w:r w:rsidR="002B5D04" w:rsidRPr="009E3671">
        <w:rPr>
          <w:rFonts w:ascii="Times New Roman" w:hAnsi="Times New Roman"/>
          <w:sz w:val="28"/>
          <w:szCs w:val="28"/>
        </w:rPr>
        <w:t xml:space="preserve">skaitli </w:t>
      </w:r>
      <w:r w:rsidR="003B7309" w:rsidRPr="009E3671">
        <w:rPr>
          <w:rFonts w:ascii="Times New Roman" w:hAnsi="Times New Roman"/>
          <w:sz w:val="28"/>
          <w:szCs w:val="28"/>
        </w:rPr>
        <w:t xml:space="preserve">un vārdu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3B7309" w:rsidRPr="009E3671">
        <w:rPr>
          <w:rFonts w:ascii="Times New Roman" w:hAnsi="Times New Roman"/>
          <w:sz w:val="28"/>
          <w:szCs w:val="28"/>
        </w:rPr>
        <w:t>I kategorija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3B7309" w:rsidRPr="009E3671">
        <w:rPr>
          <w:rFonts w:ascii="Times New Roman" w:hAnsi="Times New Roman"/>
          <w:sz w:val="28"/>
          <w:szCs w:val="28"/>
        </w:rPr>
        <w:t>.</w:t>
      </w:r>
    </w:p>
    <w:p w14:paraId="6C2752F6" w14:textId="77777777" w:rsidR="00F0635E" w:rsidRPr="009E3671" w:rsidRDefault="00F0635E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F8ABA3" w14:textId="5DA38365" w:rsidR="003B7309" w:rsidRPr="009E3671" w:rsidRDefault="002B5D04" w:rsidP="00C43C4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 xml:space="preserve">3. </w:t>
      </w:r>
      <w:r w:rsidR="003B7309" w:rsidRPr="009E3671">
        <w:rPr>
          <w:rFonts w:ascii="Times New Roman" w:hAnsi="Times New Roman"/>
          <w:sz w:val="28"/>
          <w:szCs w:val="28"/>
        </w:rPr>
        <w:t>Svītrot 2.4</w:t>
      </w:r>
      <w:r w:rsidR="00C43C43" w:rsidRPr="009E3671">
        <w:rPr>
          <w:rFonts w:ascii="Times New Roman" w:hAnsi="Times New Roman"/>
          <w:sz w:val="28"/>
          <w:szCs w:val="28"/>
        </w:rPr>
        <w:t>. a</w:t>
      </w:r>
      <w:r w:rsidR="003B7309" w:rsidRPr="009E3671">
        <w:rPr>
          <w:rFonts w:ascii="Times New Roman" w:hAnsi="Times New Roman"/>
          <w:sz w:val="28"/>
          <w:szCs w:val="28"/>
        </w:rPr>
        <w:t xml:space="preserve">pakšpunktā </w:t>
      </w:r>
      <w:r w:rsidR="00125321" w:rsidRPr="009E3671">
        <w:rPr>
          <w:rFonts w:ascii="Times New Roman" w:hAnsi="Times New Roman"/>
          <w:sz w:val="28"/>
          <w:szCs w:val="28"/>
        </w:rPr>
        <w:t xml:space="preserve">skaitli </w:t>
      </w:r>
      <w:r w:rsidR="003B7309" w:rsidRPr="009E3671">
        <w:rPr>
          <w:rFonts w:ascii="Times New Roman" w:hAnsi="Times New Roman"/>
          <w:sz w:val="28"/>
          <w:szCs w:val="28"/>
        </w:rPr>
        <w:t xml:space="preserve">un vārdu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3B7309" w:rsidRPr="009E3671">
        <w:rPr>
          <w:rFonts w:ascii="Times New Roman" w:hAnsi="Times New Roman"/>
          <w:sz w:val="28"/>
          <w:szCs w:val="28"/>
        </w:rPr>
        <w:t>II kategorija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3B7309" w:rsidRPr="009E3671">
        <w:rPr>
          <w:rFonts w:ascii="Times New Roman" w:hAnsi="Times New Roman"/>
          <w:sz w:val="28"/>
          <w:szCs w:val="28"/>
        </w:rPr>
        <w:t>.</w:t>
      </w:r>
    </w:p>
    <w:p w14:paraId="0242C205" w14:textId="77777777" w:rsidR="00DB3A49" w:rsidRPr="009E3671" w:rsidRDefault="00DB3A49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DD6DFE" w14:textId="187E7B0B" w:rsidR="00982BD1" w:rsidRPr="009E3671" w:rsidRDefault="00495A1E" w:rsidP="00C43C4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 xml:space="preserve">4. </w:t>
      </w:r>
      <w:r w:rsidR="00982BD1" w:rsidRPr="009E3671">
        <w:rPr>
          <w:rFonts w:ascii="Times New Roman" w:hAnsi="Times New Roman"/>
          <w:sz w:val="28"/>
          <w:szCs w:val="28"/>
        </w:rPr>
        <w:t>Svītrot 2.5</w:t>
      </w:r>
      <w:r w:rsidR="00C43C43" w:rsidRPr="009E3671">
        <w:rPr>
          <w:rFonts w:ascii="Times New Roman" w:hAnsi="Times New Roman"/>
          <w:sz w:val="28"/>
          <w:szCs w:val="28"/>
        </w:rPr>
        <w:t>. a</w:t>
      </w:r>
      <w:r w:rsidR="00982BD1" w:rsidRPr="009E3671">
        <w:rPr>
          <w:rFonts w:ascii="Times New Roman" w:hAnsi="Times New Roman"/>
          <w:sz w:val="28"/>
          <w:szCs w:val="28"/>
        </w:rPr>
        <w:t xml:space="preserve">pakšpunktā </w:t>
      </w:r>
      <w:r w:rsidRPr="009E3671">
        <w:rPr>
          <w:rFonts w:ascii="Times New Roman" w:hAnsi="Times New Roman"/>
          <w:sz w:val="28"/>
          <w:szCs w:val="28"/>
        </w:rPr>
        <w:t xml:space="preserve">skaitli </w:t>
      </w:r>
      <w:r w:rsidR="00982BD1" w:rsidRPr="009E3671">
        <w:rPr>
          <w:rFonts w:ascii="Times New Roman" w:hAnsi="Times New Roman"/>
          <w:sz w:val="28"/>
          <w:szCs w:val="28"/>
        </w:rPr>
        <w:t xml:space="preserve">un vārdu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982BD1" w:rsidRPr="009E3671">
        <w:rPr>
          <w:rFonts w:ascii="Times New Roman" w:hAnsi="Times New Roman"/>
          <w:sz w:val="28"/>
          <w:szCs w:val="28"/>
        </w:rPr>
        <w:t>III kategorija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982BD1" w:rsidRPr="009E3671">
        <w:rPr>
          <w:rFonts w:ascii="Times New Roman" w:hAnsi="Times New Roman"/>
          <w:sz w:val="28"/>
          <w:szCs w:val="28"/>
        </w:rPr>
        <w:t>.</w:t>
      </w:r>
    </w:p>
    <w:p w14:paraId="654C75DD" w14:textId="77777777" w:rsidR="00431899" w:rsidRPr="009E3671" w:rsidRDefault="00431899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D1AB0C" w14:textId="72D98DEB" w:rsidR="00982BD1" w:rsidRPr="009E3671" w:rsidRDefault="00C7031D" w:rsidP="00C43C4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 xml:space="preserve">5. </w:t>
      </w:r>
      <w:r w:rsidR="00982BD1" w:rsidRPr="009E3671">
        <w:rPr>
          <w:rFonts w:ascii="Times New Roman" w:hAnsi="Times New Roman"/>
          <w:sz w:val="28"/>
          <w:szCs w:val="28"/>
        </w:rPr>
        <w:t>Svītrot 2.6</w:t>
      </w:r>
      <w:r w:rsidR="00C43C43" w:rsidRPr="009E3671">
        <w:rPr>
          <w:rFonts w:ascii="Times New Roman" w:hAnsi="Times New Roman"/>
          <w:sz w:val="28"/>
          <w:szCs w:val="28"/>
        </w:rPr>
        <w:t>. a</w:t>
      </w:r>
      <w:r w:rsidR="00982BD1" w:rsidRPr="009E3671">
        <w:rPr>
          <w:rFonts w:ascii="Times New Roman" w:hAnsi="Times New Roman"/>
          <w:sz w:val="28"/>
          <w:szCs w:val="28"/>
        </w:rPr>
        <w:t xml:space="preserve">pakšpunktā </w:t>
      </w:r>
      <w:r w:rsidRPr="009E3671">
        <w:rPr>
          <w:rFonts w:ascii="Times New Roman" w:hAnsi="Times New Roman"/>
          <w:sz w:val="28"/>
          <w:szCs w:val="28"/>
        </w:rPr>
        <w:t xml:space="preserve">skaitli </w:t>
      </w:r>
      <w:r w:rsidR="00982BD1" w:rsidRPr="009E3671">
        <w:rPr>
          <w:rFonts w:ascii="Times New Roman" w:hAnsi="Times New Roman"/>
          <w:sz w:val="28"/>
          <w:szCs w:val="28"/>
        </w:rPr>
        <w:t xml:space="preserve">un vārdu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982BD1" w:rsidRPr="009E3671">
        <w:rPr>
          <w:rFonts w:ascii="Times New Roman" w:hAnsi="Times New Roman"/>
          <w:sz w:val="28"/>
          <w:szCs w:val="28"/>
        </w:rPr>
        <w:t>I kategorija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982BD1" w:rsidRPr="009E3671">
        <w:rPr>
          <w:rFonts w:ascii="Times New Roman" w:hAnsi="Times New Roman"/>
          <w:sz w:val="28"/>
          <w:szCs w:val="28"/>
        </w:rPr>
        <w:t>.</w:t>
      </w:r>
    </w:p>
    <w:p w14:paraId="14D5289A" w14:textId="77777777" w:rsidR="00431899" w:rsidRPr="009E3671" w:rsidRDefault="00431899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9BDC47" w14:textId="389A9AFD" w:rsidR="003B7309" w:rsidRPr="009E3671" w:rsidRDefault="00C7031D" w:rsidP="00C43C4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6.</w:t>
      </w:r>
      <w:r w:rsidR="001C51BD" w:rsidRPr="009E3671">
        <w:rPr>
          <w:rFonts w:ascii="Times New Roman" w:hAnsi="Times New Roman"/>
          <w:sz w:val="28"/>
          <w:szCs w:val="28"/>
        </w:rPr>
        <w:t> </w:t>
      </w:r>
      <w:r w:rsidR="00982BD1" w:rsidRPr="009E3671">
        <w:rPr>
          <w:rFonts w:ascii="Times New Roman" w:hAnsi="Times New Roman"/>
          <w:sz w:val="28"/>
          <w:szCs w:val="28"/>
        </w:rPr>
        <w:t>Aizstāt 2.</w:t>
      </w:r>
      <w:r w:rsidR="00982BD1" w:rsidRPr="009E3671">
        <w:rPr>
          <w:rFonts w:ascii="Times New Roman" w:hAnsi="Times New Roman"/>
          <w:sz w:val="28"/>
          <w:szCs w:val="28"/>
          <w:vertAlign w:val="superscript"/>
        </w:rPr>
        <w:t>3</w:t>
      </w:r>
      <w:r w:rsidR="001C51BD" w:rsidRPr="009E3671">
        <w:rPr>
          <w:rFonts w:ascii="Times New Roman" w:hAnsi="Times New Roman"/>
          <w:sz w:val="28"/>
          <w:szCs w:val="28"/>
          <w:vertAlign w:val="superscript"/>
        </w:rPr>
        <w:t> </w:t>
      </w:r>
      <w:r w:rsidR="00982BD1" w:rsidRPr="009E3671">
        <w:rPr>
          <w:rFonts w:ascii="Times New Roman" w:hAnsi="Times New Roman"/>
          <w:sz w:val="28"/>
          <w:szCs w:val="28"/>
        </w:rPr>
        <w:t>2</w:t>
      </w:r>
      <w:r w:rsidR="00C43C43" w:rsidRPr="009E3671">
        <w:rPr>
          <w:rFonts w:ascii="Times New Roman" w:hAnsi="Times New Roman"/>
          <w:sz w:val="28"/>
          <w:szCs w:val="28"/>
        </w:rPr>
        <w:t>. a</w:t>
      </w:r>
      <w:r w:rsidR="00E054A1" w:rsidRPr="009E3671">
        <w:rPr>
          <w:rFonts w:ascii="Times New Roman" w:hAnsi="Times New Roman"/>
          <w:sz w:val="28"/>
          <w:szCs w:val="28"/>
        </w:rPr>
        <w:t xml:space="preserve">pakšpunktā </w:t>
      </w:r>
      <w:r w:rsidR="00982BD1" w:rsidRPr="009E3671">
        <w:rPr>
          <w:rFonts w:ascii="Times New Roman" w:hAnsi="Times New Roman"/>
          <w:sz w:val="28"/>
          <w:szCs w:val="28"/>
        </w:rPr>
        <w:t xml:space="preserve">vārdus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982BD1" w:rsidRPr="009E3671">
        <w:rPr>
          <w:rFonts w:ascii="Times New Roman" w:hAnsi="Times New Roman"/>
          <w:sz w:val="28"/>
          <w:szCs w:val="28"/>
        </w:rPr>
        <w:t>minētajām naftas produktu kategorijām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982BD1" w:rsidRPr="009E3671">
        <w:rPr>
          <w:rFonts w:ascii="Times New Roman" w:hAnsi="Times New Roman"/>
          <w:sz w:val="28"/>
          <w:szCs w:val="28"/>
        </w:rPr>
        <w:t xml:space="preserve"> ar vārdiem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982BD1" w:rsidRPr="009E3671">
        <w:rPr>
          <w:rFonts w:ascii="Times New Roman" w:hAnsi="Times New Roman"/>
          <w:sz w:val="28"/>
          <w:szCs w:val="28"/>
        </w:rPr>
        <w:t>minētajiem naftas produktiem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982BD1" w:rsidRPr="009E3671">
        <w:rPr>
          <w:rFonts w:ascii="Times New Roman" w:hAnsi="Times New Roman"/>
          <w:sz w:val="28"/>
          <w:szCs w:val="28"/>
        </w:rPr>
        <w:t>.</w:t>
      </w:r>
    </w:p>
    <w:p w14:paraId="5826186E" w14:textId="77777777" w:rsidR="00431899" w:rsidRPr="009E3671" w:rsidRDefault="00431899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5E5F5F" w14:textId="06223AD5" w:rsidR="00982BD1" w:rsidRPr="009E3671" w:rsidRDefault="00416497" w:rsidP="00C43C4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 xml:space="preserve">7. </w:t>
      </w:r>
      <w:r w:rsidR="00982BD1" w:rsidRPr="009E3671">
        <w:rPr>
          <w:rFonts w:ascii="Times New Roman" w:hAnsi="Times New Roman"/>
          <w:sz w:val="28"/>
          <w:szCs w:val="28"/>
        </w:rPr>
        <w:t>Svītrot 2.</w:t>
      </w:r>
      <w:r w:rsidR="00982BD1" w:rsidRPr="009E3671">
        <w:rPr>
          <w:rFonts w:ascii="Times New Roman" w:hAnsi="Times New Roman"/>
          <w:sz w:val="28"/>
          <w:szCs w:val="28"/>
          <w:vertAlign w:val="superscript"/>
        </w:rPr>
        <w:t>5</w:t>
      </w:r>
      <w:r w:rsidR="00591047" w:rsidRPr="009E367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82BD1" w:rsidRPr="009E3671">
        <w:rPr>
          <w:rFonts w:ascii="Times New Roman" w:hAnsi="Times New Roman"/>
          <w:sz w:val="28"/>
          <w:szCs w:val="28"/>
        </w:rPr>
        <w:t xml:space="preserve">punktā vārdu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982BD1" w:rsidRPr="009E3671">
        <w:rPr>
          <w:rFonts w:ascii="Times New Roman" w:hAnsi="Times New Roman"/>
          <w:sz w:val="28"/>
          <w:szCs w:val="28"/>
        </w:rPr>
        <w:t>atklātā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982BD1" w:rsidRPr="009E3671">
        <w:rPr>
          <w:rFonts w:ascii="Times New Roman" w:hAnsi="Times New Roman"/>
          <w:sz w:val="28"/>
          <w:szCs w:val="28"/>
        </w:rPr>
        <w:t>.</w:t>
      </w:r>
    </w:p>
    <w:p w14:paraId="115F319E" w14:textId="77777777" w:rsidR="00431899" w:rsidRPr="009E3671" w:rsidRDefault="00431899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A5F134" w14:textId="44392ED4" w:rsidR="003F6B84" w:rsidRPr="009E3671" w:rsidRDefault="003F6B84" w:rsidP="00C43C4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8. Aizstāt 2.</w:t>
      </w:r>
      <w:r w:rsidRPr="009E3671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Pr="009E3671">
        <w:rPr>
          <w:rFonts w:ascii="Times New Roman" w:hAnsi="Times New Roman"/>
          <w:sz w:val="28"/>
          <w:szCs w:val="28"/>
        </w:rPr>
        <w:t xml:space="preserve">punktā vārdus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Pr="009E3671">
        <w:rPr>
          <w:rFonts w:ascii="Times New Roman" w:hAnsi="Times New Roman"/>
          <w:sz w:val="28"/>
          <w:szCs w:val="28"/>
        </w:rPr>
        <w:t>minētajām naftas produktu kategorijām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Pr="009E3671">
        <w:rPr>
          <w:rFonts w:ascii="Times New Roman" w:hAnsi="Times New Roman"/>
          <w:sz w:val="28"/>
          <w:szCs w:val="28"/>
        </w:rPr>
        <w:t xml:space="preserve"> ar vārdiem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Pr="009E3671">
        <w:rPr>
          <w:rFonts w:ascii="Times New Roman" w:hAnsi="Times New Roman"/>
          <w:sz w:val="28"/>
          <w:szCs w:val="28"/>
        </w:rPr>
        <w:t>minētajiem naftas produktiem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Pr="009E3671">
        <w:rPr>
          <w:rFonts w:ascii="Times New Roman" w:hAnsi="Times New Roman"/>
          <w:sz w:val="28"/>
          <w:szCs w:val="28"/>
        </w:rPr>
        <w:t>.</w:t>
      </w:r>
    </w:p>
    <w:p w14:paraId="4796DB86" w14:textId="77777777" w:rsidR="00C42405" w:rsidRPr="009E3671" w:rsidRDefault="00C42405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7D6F3E" w14:textId="413959B2" w:rsidR="00D34776" w:rsidRPr="009E3671" w:rsidRDefault="00873346" w:rsidP="00C43C4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D34776" w:rsidRPr="009E3671">
        <w:rPr>
          <w:rFonts w:ascii="Times New Roman" w:hAnsi="Times New Roman"/>
          <w:sz w:val="28"/>
          <w:szCs w:val="28"/>
        </w:rPr>
        <w:t>Svītrot 3.</w:t>
      </w:r>
      <w:r w:rsidR="00B43595" w:rsidRPr="009E3671">
        <w:rPr>
          <w:rFonts w:ascii="Times New Roman" w:hAnsi="Times New Roman"/>
          <w:sz w:val="28"/>
          <w:szCs w:val="28"/>
        </w:rPr>
        <w:t xml:space="preserve"> </w:t>
      </w:r>
      <w:r w:rsidR="00D34776" w:rsidRPr="009E3671">
        <w:rPr>
          <w:rFonts w:ascii="Times New Roman" w:hAnsi="Times New Roman"/>
          <w:sz w:val="28"/>
          <w:szCs w:val="28"/>
        </w:rPr>
        <w:t>un 4</w:t>
      </w:r>
      <w:r w:rsidR="00C43C43" w:rsidRPr="009E3671">
        <w:rPr>
          <w:rFonts w:ascii="Times New Roman" w:hAnsi="Times New Roman"/>
          <w:sz w:val="28"/>
          <w:szCs w:val="28"/>
        </w:rPr>
        <w:t>. p</w:t>
      </w:r>
      <w:r w:rsidR="00D34776" w:rsidRPr="009E3671">
        <w:rPr>
          <w:rFonts w:ascii="Times New Roman" w:hAnsi="Times New Roman"/>
          <w:sz w:val="28"/>
          <w:szCs w:val="28"/>
        </w:rPr>
        <w:t xml:space="preserve">unktā </w:t>
      </w:r>
      <w:r w:rsidRPr="009E3671">
        <w:rPr>
          <w:rFonts w:ascii="Times New Roman" w:hAnsi="Times New Roman"/>
          <w:sz w:val="28"/>
          <w:szCs w:val="28"/>
        </w:rPr>
        <w:t>skaitļus</w:t>
      </w:r>
      <w:r w:rsidR="00D34776" w:rsidRPr="009E3671">
        <w:rPr>
          <w:rFonts w:ascii="Times New Roman" w:hAnsi="Times New Roman"/>
          <w:sz w:val="28"/>
          <w:szCs w:val="28"/>
        </w:rPr>
        <w:t xml:space="preserve"> un vārdus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D34776" w:rsidRPr="009E3671">
        <w:rPr>
          <w:rFonts w:ascii="Times New Roman" w:hAnsi="Times New Roman"/>
          <w:sz w:val="28"/>
          <w:szCs w:val="28"/>
        </w:rPr>
        <w:t>I un II kategorijas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D34776" w:rsidRPr="009E3671">
        <w:rPr>
          <w:rFonts w:ascii="Times New Roman" w:hAnsi="Times New Roman"/>
          <w:sz w:val="28"/>
          <w:szCs w:val="28"/>
        </w:rPr>
        <w:t>.</w:t>
      </w:r>
    </w:p>
    <w:p w14:paraId="564F492C" w14:textId="77777777" w:rsidR="00C42405" w:rsidRPr="009E3671" w:rsidRDefault="00C42405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216C0D" w14:textId="747FC6FF" w:rsidR="00D34776" w:rsidRPr="009E3671" w:rsidRDefault="003D15D7" w:rsidP="00C43C4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 xml:space="preserve">10. </w:t>
      </w:r>
      <w:r w:rsidR="00D34776" w:rsidRPr="009E3671">
        <w:rPr>
          <w:rFonts w:ascii="Times New Roman" w:hAnsi="Times New Roman"/>
          <w:sz w:val="28"/>
          <w:szCs w:val="28"/>
        </w:rPr>
        <w:t>Aizstāt 5.3</w:t>
      </w:r>
      <w:r w:rsidR="00C43C43" w:rsidRPr="009E3671">
        <w:rPr>
          <w:rFonts w:ascii="Times New Roman" w:hAnsi="Times New Roman"/>
          <w:sz w:val="28"/>
          <w:szCs w:val="28"/>
        </w:rPr>
        <w:t>. a</w:t>
      </w:r>
      <w:r w:rsidR="00D34776" w:rsidRPr="009E3671">
        <w:rPr>
          <w:rFonts w:ascii="Times New Roman" w:hAnsi="Times New Roman"/>
          <w:sz w:val="28"/>
          <w:szCs w:val="28"/>
        </w:rPr>
        <w:t xml:space="preserve">pakšpunktā skaitli un vārdu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D34776" w:rsidRPr="009E3671">
        <w:rPr>
          <w:rFonts w:ascii="Times New Roman" w:hAnsi="Times New Roman"/>
          <w:sz w:val="28"/>
          <w:szCs w:val="28"/>
        </w:rPr>
        <w:t>31</w:t>
      </w:r>
      <w:r w:rsidR="00C43C43" w:rsidRPr="009E3671">
        <w:rPr>
          <w:rFonts w:ascii="Times New Roman" w:hAnsi="Times New Roman"/>
          <w:sz w:val="28"/>
          <w:szCs w:val="28"/>
        </w:rPr>
        <w:t>. m</w:t>
      </w:r>
      <w:r w:rsidR="00D34776" w:rsidRPr="009E3671">
        <w:rPr>
          <w:rFonts w:ascii="Times New Roman" w:hAnsi="Times New Roman"/>
          <w:sz w:val="28"/>
          <w:szCs w:val="28"/>
        </w:rPr>
        <w:t>artam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D34776" w:rsidRPr="009E3671">
        <w:rPr>
          <w:rFonts w:ascii="Times New Roman" w:hAnsi="Times New Roman"/>
          <w:sz w:val="28"/>
          <w:szCs w:val="28"/>
        </w:rPr>
        <w:t xml:space="preserve"> ar skaitli un vārdu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D34776" w:rsidRPr="009E3671">
        <w:rPr>
          <w:rFonts w:ascii="Times New Roman" w:hAnsi="Times New Roman"/>
          <w:sz w:val="28"/>
          <w:szCs w:val="28"/>
        </w:rPr>
        <w:t>30</w:t>
      </w:r>
      <w:r w:rsidR="00C43C43" w:rsidRPr="009E3671">
        <w:rPr>
          <w:rFonts w:ascii="Times New Roman" w:hAnsi="Times New Roman"/>
          <w:sz w:val="28"/>
          <w:szCs w:val="28"/>
        </w:rPr>
        <w:t>. j</w:t>
      </w:r>
      <w:r w:rsidR="00D34776" w:rsidRPr="009E3671">
        <w:rPr>
          <w:rFonts w:ascii="Times New Roman" w:hAnsi="Times New Roman"/>
          <w:sz w:val="28"/>
          <w:szCs w:val="28"/>
        </w:rPr>
        <w:t>ūnijam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D34776" w:rsidRPr="009E3671">
        <w:rPr>
          <w:rFonts w:ascii="Times New Roman" w:hAnsi="Times New Roman"/>
          <w:sz w:val="28"/>
          <w:szCs w:val="28"/>
        </w:rPr>
        <w:t>.</w:t>
      </w:r>
    </w:p>
    <w:p w14:paraId="1B63B48B" w14:textId="77777777" w:rsidR="00C42405" w:rsidRPr="009E3671" w:rsidRDefault="00C42405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3AEFFC" w14:textId="2FF03D00" w:rsidR="006906D9" w:rsidRPr="009E3671" w:rsidRDefault="00251173" w:rsidP="00C43C4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11.</w:t>
      </w:r>
      <w:r w:rsidR="001C51BD" w:rsidRPr="009E3671">
        <w:rPr>
          <w:rFonts w:ascii="Times New Roman" w:hAnsi="Times New Roman"/>
          <w:sz w:val="28"/>
          <w:szCs w:val="28"/>
        </w:rPr>
        <w:t> </w:t>
      </w:r>
      <w:r w:rsidR="006906D9" w:rsidRPr="009E3671">
        <w:rPr>
          <w:rFonts w:ascii="Times New Roman" w:hAnsi="Times New Roman"/>
          <w:sz w:val="28"/>
          <w:szCs w:val="28"/>
        </w:rPr>
        <w:t>Papildināt 22.</w:t>
      </w:r>
      <w:r w:rsidR="006906D9" w:rsidRPr="009E3671">
        <w:rPr>
          <w:rFonts w:ascii="Times New Roman" w:hAnsi="Times New Roman"/>
          <w:sz w:val="28"/>
          <w:szCs w:val="28"/>
          <w:vertAlign w:val="superscript"/>
        </w:rPr>
        <w:t>1</w:t>
      </w:r>
      <w:r w:rsidRPr="009E367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906D9" w:rsidRPr="009E3671">
        <w:rPr>
          <w:rFonts w:ascii="Times New Roman" w:hAnsi="Times New Roman"/>
          <w:sz w:val="28"/>
          <w:szCs w:val="28"/>
        </w:rPr>
        <w:t xml:space="preserve">punktu </w:t>
      </w:r>
      <w:r w:rsidR="00BA0694" w:rsidRPr="009E3671">
        <w:rPr>
          <w:rFonts w:ascii="Times New Roman" w:hAnsi="Times New Roman"/>
          <w:sz w:val="28"/>
          <w:szCs w:val="28"/>
        </w:rPr>
        <w:t xml:space="preserve">aiz vārdiem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BE0B7F" w:rsidRPr="009E3671">
        <w:rPr>
          <w:rFonts w:ascii="Times New Roman" w:hAnsi="Times New Roman"/>
          <w:sz w:val="28"/>
          <w:szCs w:val="28"/>
        </w:rPr>
        <w:t>atbilstoši naftas produktu kategorijām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BA0694" w:rsidRPr="009E3671">
        <w:rPr>
          <w:rFonts w:ascii="Times New Roman" w:hAnsi="Times New Roman"/>
          <w:sz w:val="28"/>
          <w:szCs w:val="28"/>
        </w:rPr>
        <w:t xml:space="preserve"> </w:t>
      </w:r>
      <w:r w:rsidR="006906D9" w:rsidRPr="009E3671">
        <w:rPr>
          <w:rFonts w:ascii="Times New Roman" w:hAnsi="Times New Roman"/>
          <w:sz w:val="28"/>
          <w:szCs w:val="28"/>
        </w:rPr>
        <w:t xml:space="preserve">ar </w:t>
      </w:r>
      <w:r w:rsidR="001A1444" w:rsidRPr="009E3671">
        <w:rPr>
          <w:rFonts w:ascii="Times New Roman" w:hAnsi="Times New Roman"/>
          <w:sz w:val="28"/>
          <w:szCs w:val="28"/>
        </w:rPr>
        <w:t xml:space="preserve">vārdiem </w:t>
      </w:r>
      <w:r w:rsidR="003C221B">
        <w:rPr>
          <w:rFonts w:ascii="Times New Roman" w:hAnsi="Times New Roman"/>
          <w:sz w:val="28"/>
          <w:szCs w:val="28"/>
        </w:rPr>
        <w:t xml:space="preserve">un skaitļiem 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proofErr w:type="gramStart"/>
      <w:r w:rsidR="006906D9" w:rsidRPr="009E3671">
        <w:rPr>
          <w:rFonts w:ascii="Times New Roman" w:hAnsi="Times New Roman"/>
          <w:sz w:val="28"/>
          <w:szCs w:val="28"/>
        </w:rPr>
        <w:t>kuras noteiktas Regulas Nr.</w:t>
      </w:r>
      <w:r w:rsidR="001C51BD" w:rsidRPr="009E3671">
        <w:rPr>
          <w:rFonts w:ascii="Times New Roman" w:hAnsi="Times New Roman"/>
          <w:sz w:val="28"/>
          <w:szCs w:val="28"/>
        </w:rPr>
        <w:t> </w:t>
      </w:r>
      <w:r w:rsidR="006906D9" w:rsidRPr="009E3671">
        <w:rPr>
          <w:rFonts w:ascii="Times New Roman" w:hAnsi="Times New Roman"/>
          <w:sz w:val="28"/>
          <w:szCs w:val="28"/>
        </w:rPr>
        <w:t>1099/2008 A pielikuma</w:t>
      </w:r>
      <w:proofErr w:type="gramEnd"/>
      <w:r w:rsidR="006906D9" w:rsidRPr="009E3671">
        <w:rPr>
          <w:rFonts w:ascii="Times New Roman" w:hAnsi="Times New Roman"/>
          <w:sz w:val="28"/>
          <w:szCs w:val="28"/>
        </w:rPr>
        <w:t xml:space="preserve"> 3.4</w:t>
      </w:r>
      <w:r w:rsidR="00C43C43" w:rsidRPr="009E3671">
        <w:rPr>
          <w:rFonts w:ascii="Times New Roman" w:hAnsi="Times New Roman"/>
          <w:sz w:val="28"/>
          <w:szCs w:val="28"/>
        </w:rPr>
        <w:t>. p</w:t>
      </w:r>
      <w:r w:rsidR="006906D9" w:rsidRPr="009E3671">
        <w:rPr>
          <w:rFonts w:ascii="Times New Roman" w:hAnsi="Times New Roman"/>
          <w:sz w:val="28"/>
          <w:szCs w:val="28"/>
        </w:rPr>
        <w:t>unktā</w:t>
      </w:r>
      <w:r w:rsidR="00C43C43" w:rsidRPr="009E3671">
        <w:rPr>
          <w:rFonts w:ascii="Times New Roman" w:hAnsi="Times New Roman"/>
          <w:sz w:val="28"/>
          <w:szCs w:val="28"/>
        </w:rPr>
        <w:t>"</w:t>
      </w:r>
      <w:r w:rsidR="0011627C" w:rsidRPr="009E3671">
        <w:rPr>
          <w:rFonts w:ascii="Times New Roman" w:hAnsi="Times New Roman"/>
          <w:sz w:val="28"/>
          <w:szCs w:val="28"/>
        </w:rPr>
        <w:t>.</w:t>
      </w:r>
    </w:p>
    <w:p w14:paraId="5E6D6963" w14:textId="77777777" w:rsidR="00C42405" w:rsidRPr="009E3671" w:rsidRDefault="00C42405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157868" w14:textId="359CFB6E" w:rsidR="00A44D24" w:rsidRPr="009E3671" w:rsidRDefault="00C42405" w:rsidP="00C43C4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hAnsi="Times New Roman"/>
          <w:sz w:val="28"/>
          <w:szCs w:val="28"/>
        </w:rPr>
        <w:t xml:space="preserve">12. </w:t>
      </w:r>
      <w:r w:rsidR="00A44D24" w:rsidRPr="009E3671">
        <w:rPr>
          <w:rFonts w:ascii="Times New Roman" w:eastAsia="Times New Roman" w:hAnsi="Times New Roman"/>
          <w:sz w:val="28"/>
          <w:szCs w:val="28"/>
          <w:lang w:eastAsia="lv-LV"/>
        </w:rPr>
        <w:t>Izteikt informatīvo atsauci uz Eiropas Savienības direktīv</w:t>
      </w:r>
      <w:r w:rsidR="001C51BD" w:rsidRPr="009E367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A44D24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 </w:t>
      </w:r>
    </w:p>
    <w:p w14:paraId="333F24EB" w14:textId="77777777" w:rsidR="006A648D" w:rsidRPr="009E3671" w:rsidRDefault="006A648D" w:rsidP="00C43C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B8E9F4" w14:textId="070E682D" w:rsidR="00A44D24" w:rsidRPr="009E3671" w:rsidRDefault="00C43C43" w:rsidP="00C43C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44D24" w:rsidRPr="009E3671">
        <w:rPr>
          <w:rFonts w:ascii="Times New Roman" w:eastAsia="Times New Roman" w:hAnsi="Times New Roman"/>
          <w:b/>
          <w:sz w:val="28"/>
          <w:szCs w:val="28"/>
          <w:lang w:eastAsia="lv-LV"/>
        </w:rPr>
        <w:t>Informatīva atsauce uz Eiropas Savienības direktīvām</w:t>
      </w:r>
    </w:p>
    <w:p w14:paraId="5529CF6D" w14:textId="77777777" w:rsidR="006A648D" w:rsidRPr="009E3671" w:rsidRDefault="006A648D" w:rsidP="00C43C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F3E3A6" w14:textId="7EC29111" w:rsidR="00A44D24" w:rsidRPr="009E3671" w:rsidRDefault="00A44D24" w:rsidP="00C43C4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Noteikumos iekļautas tiesību normas, kas izriet no:</w:t>
      </w:r>
    </w:p>
    <w:p w14:paraId="46711F03" w14:textId="3D96B9DC" w:rsidR="00A44D24" w:rsidRPr="009E3671" w:rsidRDefault="00872CB0" w:rsidP="00C4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1) </w:t>
      </w:r>
      <w:r w:rsidR="00A44D24" w:rsidRPr="009E3671">
        <w:rPr>
          <w:rFonts w:ascii="Times New Roman" w:eastAsia="Times New Roman" w:hAnsi="Times New Roman"/>
          <w:sz w:val="28"/>
          <w:szCs w:val="28"/>
          <w:lang w:eastAsia="lv-LV"/>
        </w:rPr>
        <w:t>Padomes 2009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. g</w:t>
      </w:r>
      <w:r w:rsidR="00A44D24" w:rsidRPr="009E3671">
        <w:rPr>
          <w:rFonts w:ascii="Times New Roman" w:eastAsia="Times New Roman" w:hAnsi="Times New Roman"/>
          <w:sz w:val="28"/>
          <w:szCs w:val="28"/>
          <w:lang w:eastAsia="lv-LV"/>
        </w:rPr>
        <w:t>ada 14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. s</w:t>
      </w:r>
      <w:r w:rsidR="00A44D24" w:rsidRPr="009E3671">
        <w:rPr>
          <w:rFonts w:ascii="Times New Roman" w:eastAsia="Times New Roman" w:hAnsi="Times New Roman"/>
          <w:sz w:val="28"/>
          <w:szCs w:val="28"/>
          <w:lang w:eastAsia="lv-LV"/>
        </w:rPr>
        <w:t>eptembra Direktīvas 2009/119/EK, ar ko dalībvalstīm uzliek pienākumu uzturēt jēlnaftas un/vai naftas produktu obligātas rezerves;</w:t>
      </w:r>
    </w:p>
    <w:p w14:paraId="7CBF8968" w14:textId="6F5428EF" w:rsidR="001A5534" w:rsidRPr="009E3671" w:rsidRDefault="00872CB0" w:rsidP="00C4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2) </w:t>
      </w:r>
      <w:r w:rsidR="00087C2E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Komisijas </w:t>
      </w:r>
      <w:r w:rsidR="008177C8" w:rsidRPr="009E3671">
        <w:rPr>
          <w:rFonts w:ascii="Times New Roman" w:eastAsia="Times New Roman" w:hAnsi="Times New Roman"/>
          <w:sz w:val="28"/>
          <w:szCs w:val="28"/>
          <w:lang w:eastAsia="lv-LV"/>
        </w:rPr>
        <w:t>2018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. g</w:t>
      </w:r>
      <w:r w:rsidR="008177C8" w:rsidRPr="009E3671">
        <w:rPr>
          <w:rFonts w:ascii="Times New Roman" w:eastAsia="Times New Roman" w:hAnsi="Times New Roman"/>
          <w:sz w:val="28"/>
          <w:szCs w:val="28"/>
          <w:lang w:eastAsia="lv-LV"/>
        </w:rPr>
        <w:t>ada 19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. o</w:t>
      </w:r>
      <w:r w:rsidR="008177C8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ktobra </w:t>
      </w:r>
      <w:r w:rsidR="00087C2E" w:rsidRPr="009E3671">
        <w:rPr>
          <w:rFonts w:ascii="Times New Roman" w:eastAsia="Times New Roman" w:hAnsi="Times New Roman"/>
          <w:sz w:val="28"/>
          <w:szCs w:val="28"/>
          <w:lang w:eastAsia="lv-LV"/>
        </w:rPr>
        <w:t>Īstenošanas direktīva</w:t>
      </w:r>
      <w:r w:rsidR="00BF5D57" w:rsidRPr="009E3671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087C2E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 (ES) 2018/1581, ar ko Padomes Direktīvu 2009/119/EK groza attiecībā uz krājumu uzturēšanas pienākumu aprēķināšanu.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37F2574F" w14:textId="77777777" w:rsidR="00934985" w:rsidRPr="009E3671" w:rsidRDefault="00934985" w:rsidP="00C43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792379" w14:textId="206517C9" w:rsidR="0000025E" w:rsidRPr="009E3671" w:rsidRDefault="00BE5644" w:rsidP="00C4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13. </w:t>
      </w:r>
      <w:r w:rsidR="0000025E" w:rsidRPr="009E3671">
        <w:rPr>
          <w:rFonts w:ascii="Times New Roman" w:eastAsia="Times New Roman" w:hAnsi="Times New Roman"/>
          <w:sz w:val="28"/>
          <w:szCs w:val="28"/>
          <w:lang w:eastAsia="lv-LV"/>
        </w:rPr>
        <w:t>Izteikt 1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5C6DD3" w:rsidRPr="009E3671">
        <w:rPr>
          <w:rFonts w:ascii="Times New Roman" w:eastAsia="Times New Roman" w:hAnsi="Times New Roman"/>
          <w:sz w:val="28"/>
          <w:szCs w:val="28"/>
          <w:lang w:eastAsia="lv-LV"/>
        </w:rPr>
        <w:t>un 2. </w:t>
      </w:r>
      <w:r w:rsidR="00C43C43" w:rsidRPr="009E3671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00025E" w:rsidRPr="009E3671">
        <w:rPr>
          <w:rFonts w:ascii="Times New Roman" w:eastAsia="Times New Roman" w:hAnsi="Times New Roman"/>
          <w:sz w:val="28"/>
          <w:szCs w:val="28"/>
          <w:lang w:eastAsia="lv-LV"/>
        </w:rPr>
        <w:t>ielikumu šādā redakcijā:</w:t>
      </w:r>
    </w:p>
    <w:p w14:paraId="0A424428" w14:textId="77777777" w:rsidR="00841377" w:rsidRPr="009E3671" w:rsidRDefault="00841377" w:rsidP="00C43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ED271C" w14:textId="7546A25F" w:rsidR="00327729" w:rsidRPr="009E3671" w:rsidRDefault="00C43C43" w:rsidP="00C43C43">
      <w:pPr>
        <w:shd w:val="clear" w:color="auto" w:fill="FFFFFF"/>
        <w:spacing w:after="0" w:line="240" w:lineRule="auto"/>
        <w:ind w:right="150"/>
        <w:contextualSpacing/>
        <w:jc w:val="right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"</w:t>
      </w:r>
      <w:r w:rsidR="0000025E" w:rsidRPr="009E3671">
        <w:rPr>
          <w:rFonts w:ascii="Times New Roman" w:hAnsi="Times New Roman"/>
          <w:sz w:val="28"/>
          <w:szCs w:val="28"/>
        </w:rPr>
        <w:t>1</w:t>
      </w:r>
      <w:r w:rsidRPr="009E3671">
        <w:rPr>
          <w:rFonts w:ascii="Times New Roman" w:hAnsi="Times New Roman"/>
          <w:sz w:val="28"/>
          <w:szCs w:val="28"/>
        </w:rPr>
        <w:t>. p</w:t>
      </w:r>
      <w:r w:rsidR="0000025E" w:rsidRPr="009E3671">
        <w:rPr>
          <w:rFonts w:ascii="Times New Roman" w:hAnsi="Times New Roman"/>
          <w:sz w:val="28"/>
          <w:szCs w:val="28"/>
        </w:rPr>
        <w:t>ielikums</w:t>
      </w:r>
    </w:p>
    <w:p w14:paraId="7CB2660A" w14:textId="77777777" w:rsidR="00327729" w:rsidRPr="009E3671" w:rsidRDefault="0000025E" w:rsidP="00C43C43">
      <w:pPr>
        <w:shd w:val="clear" w:color="auto" w:fill="FFFFFF"/>
        <w:spacing w:after="0" w:line="240" w:lineRule="auto"/>
        <w:ind w:right="150"/>
        <w:contextualSpacing/>
        <w:jc w:val="right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Ministru kabineta</w:t>
      </w:r>
    </w:p>
    <w:p w14:paraId="0B3C0558" w14:textId="77777777" w:rsidR="005C6DD3" w:rsidRPr="009E3671" w:rsidRDefault="0000025E" w:rsidP="00C43C43">
      <w:pPr>
        <w:shd w:val="clear" w:color="auto" w:fill="FFFFFF"/>
        <w:spacing w:after="0" w:line="240" w:lineRule="auto"/>
        <w:ind w:right="150"/>
        <w:contextualSpacing/>
        <w:jc w:val="right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2011</w:t>
      </w:r>
      <w:r w:rsidR="00C43C43" w:rsidRPr="009E3671">
        <w:rPr>
          <w:rFonts w:ascii="Times New Roman" w:hAnsi="Times New Roman"/>
          <w:sz w:val="28"/>
          <w:szCs w:val="28"/>
        </w:rPr>
        <w:t>. g</w:t>
      </w:r>
      <w:r w:rsidRPr="009E3671">
        <w:rPr>
          <w:rFonts w:ascii="Times New Roman" w:hAnsi="Times New Roman"/>
          <w:sz w:val="28"/>
          <w:szCs w:val="28"/>
        </w:rPr>
        <w:t>ada 12</w:t>
      </w:r>
      <w:r w:rsidR="00C43C43" w:rsidRPr="009E3671">
        <w:rPr>
          <w:rFonts w:ascii="Times New Roman" w:hAnsi="Times New Roman"/>
          <w:sz w:val="28"/>
          <w:szCs w:val="28"/>
        </w:rPr>
        <w:t>. a</w:t>
      </w:r>
      <w:r w:rsidRPr="009E3671">
        <w:rPr>
          <w:rFonts w:ascii="Times New Roman" w:hAnsi="Times New Roman"/>
          <w:sz w:val="28"/>
          <w:szCs w:val="28"/>
        </w:rPr>
        <w:t xml:space="preserve">prīļa </w:t>
      </w:r>
    </w:p>
    <w:p w14:paraId="0580991B" w14:textId="2E60EA7D" w:rsidR="0000025E" w:rsidRPr="009E3671" w:rsidRDefault="0000025E" w:rsidP="00C43C43">
      <w:pPr>
        <w:shd w:val="clear" w:color="auto" w:fill="FFFFFF"/>
        <w:spacing w:after="0" w:line="240" w:lineRule="auto"/>
        <w:ind w:right="150"/>
        <w:contextualSpacing/>
        <w:jc w:val="right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noteikumiem Nr.</w:t>
      </w:r>
      <w:r w:rsidR="003C221B">
        <w:rPr>
          <w:rFonts w:ascii="Times New Roman" w:hAnsi="Times New Roman"/>
          <w:sz w:val="28"/>
          <w:szCs w:val="28"/>
        </w:rPr>
        <w:t> </w:t>
      </w:r>
      <w:r w:rsidRPr="009E3671">
        <w:rPr>
          <w:rFonts w:ascii="Times New Roman" w:hAnsi="Times New Roman"/>
          <w:sz w:val="28"/>
          <w:szCs w:val="28"/>
        </w:rPr>
        <w:t>286</w:t>
      </w:r>
      <w:bookmarkStart w:id="5" w:name="piel-462979"/>
      <w:bookmarkEnd w:id="5"/>
    </w:p>
    <w:p w14:paraId="7386D6AF" w14:textId="77777777" w:rsidR="00327729" w:rsidRPr="009E3671" w:rsidRDefault="00327729" w:rsidP="00C43C43">
      <w:pPr>
        <w:shd w:val="clear" w:color="auto" w:fill="FFFFFF"/>
        <w:spacing w:after="0" w:line="240" w:lineRule="auto"/>
        <w:ind w:right="15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14:paraId="317E4E5E" w14:textId="1BD603C8" w:rsidR="0000025E" w:rsidRPr="009E3671" w:rsidRDefault="0000025E" w:rsidP="00C43C4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462980"/>
      <w:bookmarkStart w:id="7" w:name="n-462980"/>
      <w:bookmarkEnd w:id="6"/>
      <w:bookmarkEnd w:id="7"/>
      <w:r w:rsidRPr="009E3671">
        <w:rPr>
          <w:rFonts w:ascii="Times New Roman" w:hAnsi="Times New Roman"/>
          <w:b/>
          <w:bCs/>
          <w:sz w:val="28"/>
          <w:szCs w:val="28"/>
        </w:rPr>
        <w:t>Importēto naftas produktu daudzuma jēlnaftas ekvivalenta aprēķināšanas metode</w:t>
      </w:r>
    </w:p>
    <w:p w14:paraId="7C5BDCE7" w14:textId="77777777" w:rsidR="00327729" w:rsidRPr="009E3671" w:rsidRDefault="00327729" w:rsidP="00C43C4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DFAF1D4" w14:textId="3E954A8E" w:rsidR="0000025E" w:rsidRPr="009E3671" w:rsidRDefault="0000025E" w:rsidP="00C43C43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8" w:name="p5"/>
      <w:bookmarkStart w:id="9" w:name="p-462981"/>
      <w:bookmarkEnd w:id="8"/>
      <w:bookmarkEnd w:id="9"/>
      <w:r w:rsidRPr="009E3671">
        <w:rPr>
          <w:sz w:val="28"/>
          <w:szCs w:val="28"/>
        </w:rPr>
        <w:t>Noteikumu 5</w:t>
      </w:r>
      <w:r w:rsidR="00C43C43" w:rsidRPr="009E3671">
        <w:rPr>
          <w:sz w:val="28"/>
          <w:szCs w:val="28"/>
        </w:rPr>
        <w:t>. p</w:t>
      </w:r>
      <w:r w:rsidRPr="009E3671">
        <w:rPr>
          <w:sz w:val="28"/>
          <w:szCs w:val="28"/>
        </w:rPr>
        <w:t>unktā minēto importēto naftas produktu daudzuma jēlnaftas ekvivalentu par iepriekšējo kalendāra gadu aprēķina šādi:</w:t>
      </w:r>
      <w:r w:rsidR="004C1A20" w:rsidRPr="009E3671">
        <w:rPr>
          <w:sz w:val="28"/>
          <w:szCs w:val="28"/>
          <w:vertAlign w:val="superscript"/>
        </w:rPr>
        <w:t>1</w:t>
      </w:r>
    </w:p>
    <w:p w14:paraId="3933FD51" w14:textId="77777777" w:rsidR="004C1A20" w:rsidRPr="009E3671" w:rsidRDefault="004C1A20" w:rsidP="00C43C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AE6CA09" w14:textId="1DF77443" w:rsidR="0000025E" w:rsidRPr="009E3671" w:rsidRDefault="0000025E" w:rsidP="00C43C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3671">
        <w:rPr>
          <w:rFonts w:ascii="Times New Roman" w:eastAsia="Times New Roman" w:hAnsi="Times New Roman"/>
          <w:sz w:val="28"/>
          <w:szCs w:val="28"/>
        </w:rPr>
        <w:t>1)</w:t>
      </w:r>
      <w:r w:rsidR="00F613C0" w:rsidRPr="009E3671">
        <w:rPr>
          <w:rFonts w:ascii="Times New Roman" w:eastAsia="Times New Roman" w:hAnsi="Times New Roman"/>
          <w:sz w:val="28"/>
          <w:szCs w:val="28"/>
        </w:rPr>
        <w:t xml:space="preserve"> 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 xml:space="preserve">Summē </w:t>
      </w:r>
      <w:r w:rsidRPr="009E3671">
        <w:rPr>
          <w:rFonts w:ascii="Times New Roman" w:eastAsia="Times New Roman" w:hAnsi="Times New Roman"/>
          <w:sz w:val="28"/>
          <w:szCs w:val="28"/>
        </w:rPr>
        <w:t>Regulas (EK) Nr.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> </w:t>
      </w:r>
      <w:r w:rsidRPr="009E3671">
        <w:rPr>
          <w:rFonts w:ascii="Times New Roman" w:eastAsia="Times New Roman" w:hAnsi="Times New Roman"/>
          <w:sz w:val="28"/>
          <w:szCs w:val="28"/>
        </w:rPr>
        <w:t>1099/2008 A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> </w:t>
      </w:r>
      <w:r w:rsidRPr="009E3671">
        <w:rPr>
          <w:rFonts w:ascii="Times New Roman" w:eastAsia="Times New Roman" w:hAnsi="Times New Roman"/>
          <w:sz w:val="28"/>
          <w:szCs w:val="28"/>
        </w:rPr>
        <w:t>pielikuma 3.4</w:t>
      </w:r>
      <w:r w:rsidR="00C43C43" w:rsidRPr="009E3671">
        <w:rPr>
          <w:rFonts w:ascii="Times New Roman" w:eastAsia="Times New Roman" w:hAnsi="Times New Roman"/>
          <w:sz w:val="28"/>
          <w:szCs w:val="28"/>
        </w:rPr>
        <w:t>. p</w:t>
      </w:r>
      <w:r w:rsidRPr="009E3671">
        <w:rPr>
          <w:rFonts w:ascii="Times New Roman" w:eastAsia="Times New Roman" w:hAnsi="Times New Roman"/>
          <w:sz w:val="28"/>
          <w:szCs w:val="28"/>
        </w:rPr>
        <w:t>unktā definētās jēlnaftas, dabasgāzes kondensātu (NGL), naftas rafinēšanas rūpnīcu izejvielu un citu ogļūdeņražu tīrā importa daudzumus un iegūto summu koriģē, ņem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>ot</w:t>
      </w:r>
      <w:r w:rsidRPr="009E3671">
        <w:rPr>
          <w:rFonts w:ascii="Times New Roman" w:eastAsia="Times New Roman" w:hAnsi="Times New Roman"/>
          <w:sz w:val="28"/>
          <w:szCs w:val="28"/>
        </w:rPr>
        <w:t xml:space="preserve"> vērā krājumu izmaiņas. No iegūtā rezultāta atskaita 4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> </w:t>
      </w:r>
      <w:r w:rsidRPr="009E3671">
        <w:rPr>
          <w:rFonts w:ascii="Times New Roman" w:eastAsia="Times New Roman" w:hAnsi="Times New Roman"/>
          <w:sz w:val="28"/>
          <w:szCs w:val="28"/>
        </w:rPr>
        <w:t>% ligroīna ražīguma.</w:t>
      </w:r>
      <w:r w:rsidR="004C1A20" w:rsidRPr="009E3671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14:paraId="3428F4D9" w14:textId="77777777" w:rsidR="004C1A20" w:rsidRPr="009E3671" w:rsidRDefault="004C1A20" w:rsidP="00C43C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2E18FB7" w14:textId="1A89D123" w:rsidR="0000025E" w:rsidRPr="009E3671" w:rsidRDefault="0000025E" w:rsidP="00C43C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3671">
        <w:rPr>
          <w:rFonts w:ascii="Times New Roman" w:eastAsia="Times New Roman" w:hAnsi="Times New Roman"/>
          <w:sz w:val="28"/>
          <w:szCs w:val="28"/>
        </w:rPr>
        <w:t>2)</w:t>
      </w:r>
      <w:r w:rsidR="00F613C0" w:rsidRPr="009E3671">
        <w:rPr>
          <w:rFonts w:ascii="Times New Roman" w:eastAsia="Times New Roman" w:hAnsi="Times New Roman"/>
          <w:sz w:val="28"/>
          <w:szCs w:val="28"/>
        </w:rPr>
        <w:t xml:space="preserve"> 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 xml:space="preserve">Summē </w:t>
      </w:r>
      <w:r w:rsidRPr="009E3671">
        <w:rPr>
          <w:rFonts w:ascii="Times New Roman" w:eastAsia="Times New Roman" w:hAnsi="Times New Roman"/>
          <w:sz w:val="28"/>
          <w:szCs w:val="28"/>
        </w:rPr>
        <w:t>Regulas (EK) Nr.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> </w:t>
      </w:r>
      <w:r w:rsidRPr="009E3671">
        <w:rPr>
          <w:rFonts w:ascii="Times New Roman" w:eastAsia="Times New Roman" w:hAnsi="Times New Roman"/>
          <w:sz w:val="28"/>
          <w:szCs w:val="28"/>
        </w:rPr>
        <w:t>1099/2008 A pielikuma 3.4</w:t>
      </w:r>
      <w:r w:rsidR="00C43C43" w:rsidRPr="009E3671">
        <w:rPr>
          <w:rFonts w:ascii="Times New Roman" w:eastAsia="Times New Roman" w:hAnsi="Times New Roman"/>
          <w:sz w:val="28"/>
          <w:szCs w:val="28"/>
        </w:rPr>
        <w:t>. p</w:t>
      </w:r>
      <w:r w:rsidRPr="009E3671">
        <w:rPr>
          <w:rFonts w:ascii="Times New Roman" w:eastAsia="Times New Roman" w:hAnsi="Times New Roman"/>
          <w:sz w:val="28"/>
          <w:szCs w:val="28"/>
        </w:rPr>
        <w:t>unktā definēto visu citu naftas produktu tīrā importa daudzumus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 xml:space="preserve"> un</w:t>
      </w:r>
      <w:r w:rsidRPr="009E3671">
        <w:rPr>
          <w:rFonts w:ascii="Times New Roman" w:eastAsia="Times New Roman" w:hAnsi="Times New Roman"/>
          <w:sz w:val="28"/>
          <w:szCs w:val="28"/>
        </w:rPr>
        <w:t xml:space="preserve"> iegūto summu koriģē, ņem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>ot</w:t>
      </w:r>
      <w:r w:rsidRPr="009E3671">
        <w:rPr>
          <w:rFonts w:ascii="Times New Roman" w:eastAsia="Times New Roman" w:hAnsi="Times New Roman"/>
          <w:sz w:val="28"/>
          <w:szCs w:val="28"/>
        </w:rPr>
        <w:t xml:space="preserve"> vērā krājumu izmaiņas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>.</w:t>
      </w:r>
      <w:r w:rsidRPr="009E3671">
        <w:rPr>
          <w:rFonts w:ascii="Times New Roman" w:eastAsia="Times New Roman" w:hAnsi="Times New Roman"/>
          <w:sz w:val="28"/>
          <w:szCs w:val="28"/>
        </w:rPr>
        <w:t xml:space="preserve"> 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 xml:space="preserve">Iegūto rezultātu </w:t>
      </w:r>
      <w:r w:rsidRPr="009E3671">
        <w:rPr>
          <w:rFonts w:ascii="Times New Roman" w:eastAsia="Times New Roman" w:hAnsi="Times New Roman"/>
          <w:sz w:val="28"/>
          <w:szCs w:val="28"/>
        </w:rPr>
        <w:t>reizina ar koeficientu 1,065.</w:t>
      </w:r>
      <w:r w:rsidR="004C1A20" w:rsidRPr="009E3671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14:paraId="6EBF81BF" w14:textId="77777777" w:rsidR="004C1A20" w:rsidRPr="009E3671" w:rsidRDefault="004C1A20" w:rsidP="00C43C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2532E27" w14:textId="2245E719" w:rsidR="0000025E" w:rsidRPr="009E3671" w:rsidRDefault="0000025E" w:rsidP="00C43C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3671">
        <w:rPr>
          <w:rFonts w:ascii="Times New Roman" w:eastAsia="Times New Roman" w:hAnsi="Times New Roman"/>
          <w:sz w:val="28"/>
          <w:szCs w:val="28"/>
        </w:rPr>
        <w:lastRenderedPageBreak/>
        <w:t>No 1. un 2</w:t>
      </w:r>
      <w:r w:rsidR="00C43C43" w:rsidRPr="009E3671">
        <w:rPr>
          <w:rFonts w:ascii="Times New Roman" w:eastAsia="Times New Roman" w:hAnsi="Times New Roman"/>
          <w:sz w:val="28"/>
          <w:szCs w:val="28"/>
        </w:rPr>
        <w:t>. p</w:t>
      </w:r>
      <w:r w:rsidRPr="009E3671">
        <w:rPr>
          <w:rFonts w:ascii="Times New Roman" w:eastAsia="Times New Roman" w:hAnsi="Times New Roman"/>
          <w:sz w:val="28"/>
          <w:szCs w:val="28"/>
        </w:rPr>
        <w:t>unkta izrietošo rezultātu summa ir jēlnaftas ekvivalents.</w:t>
      </w:r>
    </w:p>
    <w:p w14:paraId="1C2A1527" w14:textId="77777777" w:rsidR="009C32E4" w:rsidRPr="009E3671" w:rsidRDefault="009C32E4" w:rsidP="00C43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6F7C2E4" w14:textId="1639495D" w:rsidR="00CF372C" w:rsidRPr="009E3671" w:rsidRDefault="0000025E" w:rsidP="00C43C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3671">
        <w:rPr>
          <w:rFonts w:ascii="Times New Roman" w:eastAsia="Times New Roman" w:hAnsi="Times New Roman"/>
          <w:sz w:val="28"/>
          <w:szCs w:val="28"/>
        </w:rPr>
        <w:t xml:space="preserve">3) 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 xml:space="preserve">Starptautiskos </w:t>
      </w:r>
      <w:r w:rsidRPr="009E3671">
        <w:rPr>
          <w:rFonts w:ascii="Times New Roman" w:eastAsia="Times New Roman" w:hAnsi="Times New Roman"/>
          <w:sz w:val="28"/>
          <w:szCs w:val="28"/>
        </w:rPr>
        <w:t>kuģu bunkurus aprēķinos neiekļauj.</w:t>
      </w:r>
    </w:p>
    <w:p w14:paraId="39B25E6B" w14:textId="77777777" w:rsidR="004C1A20" w:rsidRPr="009E3671" w:rsidRDefault="004C1A20" w:rsidP="00C43C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9F8BEAB" w14:textId="43E16A28" w:rsidR="0000025E" w:rsidRPr="009E3671" w:rsidRDefault="0000025E" w:rsidP="00C43C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3671">
        <w:rPr>
          <w:rFonts w:ascii="Times New Roman" w:eastAsia="Times New Roman" w:hAnsi="Times New Roman"/>
          <w:sz w:val="28"/>
          <w:szCs w:val="28"/>
        </w:rPr>
        <w:t xml:space="preserve">4) </w:t>
      </w:r>
      <w:r w:rsidR="004C1A20" w:rsidRPr="009E3671">
        <w:rPr>
          <w:rFonts w:ascii="Times New Roman" w:eastAsia="Times New Roman" w:hAnsi="Times New Roman"/>
          <w:sz w:val="28"/>
          <w:szCs w:val="28"/>
        </w:rPr>
        <w:t xml:space="preserve">Tīrā </w:t>
      </w:r>
      <w:r w:rsidRPr="009E3671">
        <w:rPr>
          <w:rFonts w:ascii="Times New Roman" w:eastAsia="Times New Roman" w:hAnsi="Times New Roman"/>
          <w:sz w:val="28"/>
          <w:szCs w:val="28"/>
        </w:rPr>
        <w:t>importa daudzums ir naftas produktu importa kopējais apjoms, no kura atņemts naftas produktu kopējais eksporta apjoms.</w:t>
      </w:r>
      <w:r w:rsidR="005C6DD3" w:rsidRPr="009E3671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14:paraId="553FD667" w14:textId="6C6D92DC" w:rsidR="000947CE" w:rsidRPr="009E3671" w:rsidRDefault="000947CE" w:rsidP="00C43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2A472D" w14:textId="77F10EE9" w:rsidR="0000025E" w:rsidRPr="009E3671" w:rsidRDefault="0000025E" w:rsidP="004C1A20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E3671">
        <w:t>Piezīmes.</w:t>
      </w:r>
    </w:p>
    <w:p w14:paraId="10F9419F" w14:textId="44BD3E67" w:rsidR="0000025E" w:rsidRPr="009E3671" w:rsidRDefault="0000025E" w:rsidP="004C1A20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E3671">
        <w:rPr>
          <w:vertAlign w:val="superscript"/>
        </w:rPr>
        <w:t>1</w:t>
      </w:r>
      <w:r w:rsidRPr="009E3671">
        <w:t xml:space="preserve"> Izņemot noteikumu 5.3</w:t>
      </w:r>
      <w:r w:rsidR="00C43C43" w:rsidRPr="009E3671">
        <w:t>. a</w:t>
      </w:r>
      <w:r w:rsidRPr="009E3671">
        <w:t>pakšpunktā minēto gadījumu.</w:t>
      </w:r>
    </w:p>
    <w:p w14:paraId="4557340C" w14:textId="2B0FDDA5" w:rsidR="0000025E" w:rsidRPr="009E3671" w:rsidRDefault="0000025E" w:rsidP="004C1A20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E3671">
        <w:rPr>
          <w:vertAlign w:val="superscript"/>
        </w:rPr>
        <w:t>2</w:t>
      </w:r>
      <w:r w:rsidRPr="009E3671">
        <w:t xml:space="preserve"> Centrālās statistikas pārvaldes dati.</w:t>
      </w:r>
    </w:p>
    <w:p w14:paraId="0555F653" w14:textId="30C7E186" w:rsidR="0000025E" w:rsidRPr="009E3671" w:rsidRDefault="0000025E" w:rsidP="004C1A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6EEAB7" w14:textId="1218CFFD" w:rsidR="00327729" w:rsidRPr="009E3671" w:rsidRDefault="0000025E" w:rsidP="00C43C43">
      <w:pPr>
        <w:shd w:val="clear" w:color="auto" w:fill="FFFFFF"/>
        <w:spacing w:after="0" w:line="240" w:lineRule="auto"/>
        <w:ind w:left="851" w:right="147"/>
        <w:contextualSpacing/>
        <w:jc w:val="right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2</w:t>
      </w:r>
      <w:r w:rsidR="00C43C43" w:rsidRPr="009E3671">
        <w:rPr>
          <w:rFonts w:ascii="Times New Roman" w:hAnsi="Times New Roman"/>
          <w:sz w:val="28"/>
          <w:szCs w:val="28"/>
        </w:rPr>
        <w:t>. p</w:t>
      </w:r>
      <w:r w:rsidRPr="009E3671">
        <w:rPr>
          <w:rFonts w:ascii="Times New Roman" w:hAnsi="Times New Roman"/>
          <w:sz w:val="28"/>
          <w:szCs w:val="28"/>
        </w:rPr>
        <w:t>ielikums</w:t>
      </w:r>
    </w:p>
    <w:p w14:paraId="6EE2245D" w14:textId="77777777" w:rsidR="00327729" w:rsidRPr="009E3671" w:rsidRDefault="0000025E" w:rsidP="00C43C43">
      <w:pPr>
        <w:shd w:val="clear" w:color="auto" w:fill="FFFFFF"/>
        <w:spacing w:after="0" w:line="240" w:lineRule="auto"/>
        <w:ind w:left="851" w:right="147"/>
        <w:contextualSpacing/>
        <w:jc w:val="right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Ministru kabineta</w:t>
      </w:r>
    </w:p>
    <w:p w14:paraId="763441FB" w14:textId="77777777" w:rsidR="005C6DD3" w:rsidRPr="009E3671" w:rsidRDefault="0000025E" w:rsidP="00C43C43">
      <w:pPr>
        <w:shd w:val="clear" w:color="auto" w:fill="FFFFFF"/>
        <w:spacing w:after="0" w:line="240" w:lineRule="auto"/>
        <w:ind w:left="851" w:right="147"/>
        <w:contextualSpacing/>
        <w:jc w:val="right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2011</w:t>
      </w:r>
      <w:r w:rsidR="00C43C43" w:rsidRPr="009E3671">
        <w:rPr>
          <w:rFonts w:ascii="Times New Roman" w:hAnsi="Times New Roman"/>
          <w:sz w:val="28"/>
          <w:szCs w:val="28"/>
        </w:rPr>
        <w:t>. g</w:t>
      </w:r>
      <w:r w:rsidRPr="009E3671">
        <w:rPr>
          <w:rFonts w:ascii="Times New Roman" w:hAnsi="Times New Roman"/>
          <w:sz w:val="28"/>
          <w:szCs w:val="28"/>
        </w:rPr>
        <w:t>ada 12</w:t>
      </w:r>
      <w:r w:rsidR="00C43C43" w:rsidRPr="009E3671">
        <w:rPr>
          <w:rFonts w:ascii="Times New Roman" w:hAnsi="Times New Roman"/>
          <w:sz w:val="28"/>
          <w:szCs w:val="28"/>
        </w:rPr>
        <w:t>. a</w:t>
      </w:r>
      <w:r w:rsidRPr="009E3671">
        <w:rPr>
          <w:rFonts w:ascii="Times New Roman" w:hAnsi="Times New Roman"/>
          <w:sz w:val="28"/>
          <w:szCs w:val="28"/>
        </w:rPr>
        <w:t xml:space="preserve">prīļa </w:t>
      </w:r>
    </w:p>
    <w:p w14:paraId="1D3F53D9" w14:textId="439D6FE6" w:rsidR="00B20ACC" w:rsidRPr="009E3671" w:rsidRDefault="0000025E" w:rsidP="00C43C43">
      <w:pPr>
        <w:shd w:val="clear" w:color="auto" w:fill="FFFFFF"/>
        <w:spacing w:after="0" w:line="240" w:lineRule="auto"/>
        <w:ind w:left="851" w:right="147"/>
        <w:contextualSpacing/>
        <w:jc w:val="right"/>
        <w:rPr>
          <w:rFonts w:ascii="Times New Roman" w:hAnsi="Times New Roman"/>
          <w:sz w:val="28"/>
          <w:szCs w:val="28"/>
        </w:rPr>
      </w:pPr>
      <w:r w:rsidRPr="009E3671">
        <w:rPr>
          <w:rFonts w:ascii="Times New Roman" w:hAnsi="Times New Roman"/>
          <w:sz w:val="28"/>
          <w:szCs w:val="28"/>
        </w:rPr>
        <w:t>noteikumiem Nr.</w:t>
      </w:r>
      <w:r w:rsidR="003C221B">
        <w:rPr>
          <w:rFonts w:ascii="Times New Roman" w:hAnsi="Times New Roman"/>
          <w:sz w:val="28"/>
          <w:szCs w:val="28"/>
        </w:rPr>
        <w:t> </w:t>
      </w:r>
      <w:r w:rsidRPr="009E3671">
        <w:rPr>
          <w:rFonts w:ascii="Times New Roman" w:hAnsi="Times New Roman"/>
          <w:sz w:val="28"/>
          <w:szCs w:val="28"/>
        </w:rPr>
        <w:t>286</w:t>
      </w:r>
    </w:p>
    <w:p w14:paraId="3BBE003A" w14:textId="77777777" w:rsidR="00327729" w:rsidRPr="009E3671" w:rsidRDefault="00327729" w:rsidP="00C43C43">
      <w:pPr>
        <w:shd w:val="clear" w:color="auto" w:fill="FFFFFF"/>
        <w:spacing w:after="0" w:line="240" w:lineRule="auto"/>
        <w:ind w:left="851" w:right="14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314F40F" w14:textId="77777777" w:rsidR="0000025E" w:rsidRPr="009E3671" w:rsidRDefault="0000025E" w:rsidP="00C43C43">
      <w:pPr>
        <w:shd w:val="clear" w:color="auto" w:fill="FFFFFF"/>
        <w:spacing w:after="0" w:line="240" w:lineRule="auto"/>
        <w:ind w:right="14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3671">
        <w:rPr>
          <w:rFonts w:ascii="Times New Roman" w:eastAsia="Times New Roman" w:hAnsi="Times New Roman"/>
          <w:b/>
          <w:sz w:val="28"/>
          <w:szCs w:val="28"/>
        </w:rPr>
        <w:t>Iekšzemes patēriņa jēlnaftas ekvivalenta aprēķināšanas metode</w:t>
      </w:r>
    </w:p>
    <w:p w14:paraId="019A37D0" w14:textId="77777777" w:rsidR="00DB4263" w:rsidRPr="009E3671" w:rsidRDefault="00DB4263" w:rsidP="00C43C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3D6584" w14:textId="724F6CB3" w:rsidR="0000025E" w:rsidRPr="009E3671" w:rsidRDefault="0000025E" w:rsidP="00C43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Noteikumu 5.</w:t>
      </w:r>
      <w:r w:rsidR="008B72F0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punktā minēto iekšzemes patēriņa jēlnaftas ekvivalentu par iepriekšējo kalendāra gadu aprēķina šādi:</w:t>
      </w:r>
      <w:r w:rsidR="004C1A20" w:rsidRPr="009E3671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</w:p>
    <w:p w14:paraId="545298F7" w14:textId="77777777" w:rsidR="008B0C1C" w:rsidRPr="009E3671" w:rsidRDefault="008B0C1C" w:rsidP="00C43C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5768E5" w14:textId="493E1594" w:rsidR="0000025E" w:rsidRPr="009E3671" w:rsidRDefault="00CF372C" w:rsidP="00C43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</w:rPr>
        <w:t>1) Iekšzemes patēriņš ir to faktisko bruto iekšzemes piegāžu kopsumma, kas definētas Regulas (EK) Nr.</w:t>
      </w:r>
      <w:r w:rsidR="00F050DA" w:rsidRPr="009E3671">
        <w:rPr>
          <w:rFonts w:ascii="Times New Roman" w:eastAsia="Times New Roman" w:hAnsi="Times New Roman"/>
          <w:sz w:val="28"/>
          <w:szCs w:val="28"/>
        </w:rPr>
        <w:t> </w:t>
      </w:r>
      <w:r w:rsidRPr="009E3671">
        <w:rPr>
          <w:rFonts w:ascii="Times New Roman" w:eastAsia="Times New Roman" w:hAnsi="Times New Roman"/>
          <w:sz w:val="28"/>
          <w:szCs w:val="28"/>
        </w:rPr>
        <w:t>1099/2008 C pielikuma 3.2.2.11</w:t>
      </w:r>
      <w:r w:rsidR="00C43C43" w:rsidRPr="009E3671">
        <w:rPr>
          <w:rFonts w:ascii="Times New Roman" w:eastAsia="Times New Roman" w:hAnsi="Times New Roman"/>
          <w:sz w:val="28"/>
          <w:szCs w:val="28"/>
        </w:rPr>
        <w:t>. p</w:t>
      </w:r>
      <w:r w:rsidRPr="009E3671">
        <w:rPr>
          <w:rFonts w:ascii="Times New Roman" w:eastAsia="Times New Roman" w:hAnsi="Times New Roman"/>
          <w:sz w:val="28"/>
          <w:szCs w:val="28"/>
        </w:rPr>
        <w:t>unktā, ko veido tikai šādi produkti: benzīns, aviācijas benzīns, benzīna tipa reaktīvā degviela (ligroīna tipa reaktīvā degviela vai JP4), petrolejas tipa reaktīvā degviela, cita veida petroleja, gāzeļļa/dīzeļdegviela (destilēta degvieleļļa), degvieleļļa (ar augstu un zemu sēra saturu), kā tie definēti Regulas (EK) Nr.</w:t>
      </w:r>
      <w:r w:rsidR="00F050DA" w:rsidRPr="009E3671">
        <w:rPr>
          <w:rFonts w:ascii="Times New Roman" w:eastAsia="Times New Roman" w:hAnsi="Times New Roman"/>
          <w:sz w:val="28"/>
          <w:szCs w:val="28"/>
        </w:rPr>
        <w:t> </w:t>
      </w:r>
      <w:r w:rsidRPr="009E3671">
        <w:rPr>
          <w:rFonts w:ascii="Times New Roman" w:eastAsia="Times New Roman" w:hAnsi="Times New Roman"/>
          <w:sz w:val="28"/>
          <w:szCs w:val="28"/>
        </w:rPr>
        <w:t>1099/2008 A</w:t>
      </w:r>
      <w:r w:rsidR="00F050DA" w:rsidRPr="009E3671">
        <w:rPr>
          <w:rFonts w:ascii="Times New Roman" w:eastAsia="Times New Roman" w:hAnsi="Times New Roman"/>
          <w:sz w:val="28"/>
          <w:szCs w:val="28"/>
        </w:rPr>
        <w:t> </w:t>
      </w:r>
      <w:r w:rsidRPr="009E3671">
        <w:rPr>
          <w:rFonts w:ascii="Times New Roman" w:eastAsia="Times New Roman" w:hAnsi="Times New Roman"/>
          <w:sz w:val="28"/>
          <w:szCs w:val="28"/>
        </w:rPr>
        <w:t>pielikuma 3.4</w:t>
      </w:r>
      <w:r w:rsidR="00C43C43" w:rsidRPr="009E3671">
        <w:rPr>
          <w:rFonts w:ascii="Times New Roman" w:eastAsia="Times New Roman" w:hAnsi="Times New Roman"/>
          <w:sz w:val="28"/>
          <w:szCs w:val="28"/>
        </w:rPr>
        <w:t>. p</w:t>
      </w:r>
      <w:r w:rsidRPr="009E3671">
        <w:rPr>
          <w:rFonts w:ascii="Times New Roman" w:eastAsia="Times New Roman" w:hAnsi="Times New Roman"/>
          <w:sz w:val="28"/>
          <w:szCs w:val="28"/>
        </w:rPr>
        <w:t>unktā</w:t>
      </w:r>
      <w:r w:rsidR="00F050DA" w:rsidRPr="009E367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CECEBF7" w14:textId="77777777" w:rsidR="005146A7" w:rsidRPr="009E3671" w:rsidRDefault="005146A7" w:rsidP="00C43C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A4616B" w14:textId="29DF8E3C" w:rsidR="0000025E" w:rsidRPr="009E3671" w:rsidRDefault="0000025E" w:rsidP="00C43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2) </w:t>
      </w:r>
      <w:r w:rsidR="00F050DA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Starptautiskos 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kuģu bunkurus aprēķinos neiekļauj</w:t>
      </w:r>
      <w:r w:rsidR="00F050DA" w:rsidRPr="009E367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BD66251" w14:textId="77777777" w:rsidR="005146A7" w:rsidRPr="009E3671" w:rsidRDefault="005146A7" w:rsidP="00C43C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B15CDB" w14:textId="069EC927" w:rsidR="0000025E" w:rsidRPr="009E3671" w:rsidRDefault="0000025E" w:rsidP="00C43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3)</w:t>
      </w:r>
      <w:r w:rsidR="003C221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050DA" w:rsidRPr="009E3671">
        <w:rPr>
          <w:rFonts w:ascii="Times New Roman" w:eastAsia="Times New Roman" w:hAnsi="Times New Roman"/>
          <w:sz w:val="28"/>
          <w:szCs w:val="28"/>
          <w:lang w:eastAsia="lv-LV"/>
        </w:rPr>
        <w:t xml:space="preserve">Iekšzemes 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patēriņa jēlnaftas ekvivalentu aprēķina, reizinot ar koeficientu</w:t>
      </w:r>
      <w:r w:rsidR="003C221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E3671">
        <w:rPr>
          <w:rFonts w:ascii="Times New Roman" w:eastAsia="Times New Roman" w:hAnsi="Times New Roman"/>
          <w:sz w:val="28"/>
          <w:szCs w:val="28"/>
          <w:lang w:eastAsia="lv-LV"/>
        </w:rPr>
        <w:t>1,2.</w:t>
      </w:r>
      <w:r w:rsidR="00F050DA" w:rsidRPr="009E3671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p w14:paraId="42DFC8AE" w14:textId="740F3401" w:rsidR="00D247BF" w:rsidRPr="009E3671" w:rsidRDefault="00D247BF" w:rsidP="00C43C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1DE235" w14:textId="77777777" w:rsidR="00F050DA" w:rsidRPr="009E3671" w:rsidRDefault="00F050DA" w:rsidP="00F050DA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E3671">
        <w:t>Piezīmes.</w:t>
      </w:r>
    </w:p>
    <w:p w14:paraId="1F7BBB36" w14:textId="77777777" w:rsidR="00F050DA" w:rsidRPr="009E3671" w:rsidRDefault="00F050DA" w:rsidP="00F050DA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E3671">
        <w:rPr>
          <w:vertAlign w:val="superscript"/>
        </w:rPr>
        <w:t>1</w:t>
      </w:r>
      <w:r w:rsidRPr="009E3671">
        <w:t xml:space="preserve"> Izņemot noteikumu 5.3. apakšpunktā minēto gadījumu.</w:t>
      </w:r>
    </w:p>
    <w:p w14:paraId="7F23AD9D" w14:textId="1F64EBD7" w:rsidR="0000025E" w:rsidRPr="009E3671" w:rsidRDefault="00F050DA" w:rsidP="00F050DA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E3671">
        <w:rPr>
          <w:vertAlign w:val="superscript"/>
        </w:rPr>
        <w:t>2</w:t>
      </w:r>
      <w:r w:rsidRPr="009E3671">
        <w:t xml:space="preserve"> Centrālās statistikas pārvaldes dati.</w:t>
      </w:r>
      <w:r w:rsidR="00C43C43" w:rsidRPr="009E3671">
        <w:t>"</w:t>
      </w:r>
      <w:r w:rsidR="00CF372C" w:rsidRPr="009E3671">
        <w:t xml:space="preserve"> </w:t>
      </w:r>
    </w:p>
    <w:p w14:paraId="5552AA8E" w14:textId="77777777" w:rsidR="0000025E" w:rsidRPr="009E3671" w:rsidRDefault="0000025E" w:rsidP="00C43C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166133" w14:textId="28418C8D" w:rsidR="003B1E23" w:rsidRPr="009E3671" w:rsidRDefault="003D760A" w:rsidP="00C43C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3671">
        <w:rPr>
          <w:rFonts w:ascii="Times New Roman" w:eastAsia="Times New Roman" w:hAnsi="Times New Roman"/>
          <w:sz w:val="28"/>
          <w:szCs w:val="28"/>
        </w:rPr>
        <w:t>1</w:t>
      </w:r>
      <w:r w:rsidR="005C6DD3" w:rsidRPr="009E3671">
        <w:rPr>
          <w:rFonts w:ascii="Times New Roman" w:eastAsia="Times New Roman" w:hAnsi="Times New Roman"/>
          <w:sz w:val="28"/>
          <w:szCs w:val="28"/>
        </w:rPr>
        <w:t>4</w:t>
      </w:r>
      <w:r w:rsidRPr="009E3671">
        <w:rPr>
          <w:rFonts w:ascii="Times New Roman" w:eastAsia="Times New Roman" w:hAnsi="Times New Roman"/>
          <w:sz w:val="28"/>
          <w:szCs w:val="28"/>
        </w:rPr>
        <w:t>.</w:t>
      </w:r>
      <w:r w:rsidR="009E3671">
        <w:rPr>
          <w:rFonts w:ascii="Times New Roman" w:eastAsia="Times New Roman" w:hAnsi="Times New Roman"/>
          <w:sz w:val="28"/>
          <w:szCs w:val="28"/>
        </w:rPr>
        <w:t> </w:t>
      </w:r>
      <w:r w:rsidR="009E3671" w:rsidRPr="009E3671">
        <w:rPr>
          <w:rFonts w:ascii="Times New Roman" w:eastAsia="Times New Roman" w:hAnsi="Times New Roman"/>
          <w:sz w:val="28"/>
          <w:szCs w:val="28"/>
        </w:rPr>
        <w:t xml:space="preserve">Izteikt </w:t>
      </w:r>
      <w:r w:rsidRPr="009E3671">
        <w:rPr>
          <w:rFonts w:ascii="Times New Roman" w:eastAsia="Times New Roman" w:hAnsi="Times New Roman"/>
          <w:sz w:val="28"/>
          <w:szCs w:val="28"/>
        </w:rPr>
        <w:t>3</w:t>
      </w:r>
      <w:r w:rsidR="00C43C43" w:rsidRPr="009E3671">
        <w:rPr>
          <w:rFonts w:ascii="Times New Roman" w:eastAsia="Times New Roman" w:hAnsi="Times New Roman"/>
          <w:sz w:val="28"/>
          <w:szCs w:val="28"/>
        </w:rPr>
        <w:t>.</w:t>
      </w:r>
      <w:r w:rsidR="009E3671">
        <w:rPr>
          <w:rFonts w:ascii="Times New Roman" w:eastAsia="Times New Roman" w:hAnsi="Times New Roman"/>
          <w:sz w:val="28"/>
          <w:szCs w:val="28"/>
        </w:rPr>
        <w:t> </w:t>
      </w:r>
      <w:r w:rsidR="00C43C43" w:rsidRPr="009E3671">
        <w:rPr>
          <w:rFonts w:ascii="Times New Roman" w:eastAsia="Times New Roman" w:hAnsi="Times New Roman"/>
          <w:sz w:val="28"/>
          <w:szCs w:val="28"/>
        </w:rPr>
        <w:t>p</w:t>
      </w:r>
      <w:r w:rsidRPr="009E3671">
        <w:rPr>
          <w:rFonts w:ascii="Times New Roman" w:eastAsia="Times New Roman" w:hAnsi="Times New Roman"/>
          <w:sz w:val="28"/>
          <w:szCs w:val="28"/>
        </w:rPr>
        <w:t>ielikum</w:t>
      </w:r>
      <w:r w:rsidR="005C6DD3" w:rsidRPr="009E3671">
        <w:rPr>
          <w:rFonts w:ascii="Times New Roman" w:eastAsia="Times New Roman" w:hAnsi="Times New Roman"/>
          <w:sz w:val="28"/>
          <w:szCs w:val="28"/>
        </w:rPr>
        <w:t>a</w:t>
      </w:r>
      <w:r w:rsidR="006A2156" w:rsidRPr="009E3671">
        <w:rPr>
          <w:rFonts w:ascii="Times New Roman" w:eastAsia="Times New Roman" w:hAnsi="Times New Roman"/>
          <w:sz w:val="28"/>
          <w:szCs w:val="28"/>
        </w:rPr>
        <w:t xml:space="preserve"> tabul</w:t>
      </w:r>
      <w:r w:rsidR="00F050DA" w:rsidRPr="009E3671">
        <w:rPr>
          <w:rFonts w:ascii="Times New Roman" w:eastAsia="Times New Roman" w:hAnsi="Times New Roman"/>
          <w:sz w:val="28"/>
          <w:szCs w:val="28"/>
        </w:rPr>
        <w:t>u šādā redakcijā</w:t>
      </w:r>
      <w:r w:rsidR="003B1E23" w:rsidRPr="009E3671">
        <w:rPr>
          <w:rFonts w:ascii="Times New Roman" w:eastAsia="Times New Roman" w:hAnsi="Times New Roman"/>
          <w:sz w:val="28"/>
          <w:szCs w:val="28"/>
        </w:rPr>
        <w:t>:</w:t>
      </w:r>
    </w:p>
    <w:p w14:paraId="7BEA34E5" w14:textId="75B9B93D" w:rsidR="009E3671" w:rsidRDefault="009E36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71045CF5" w14:textId="77777777" w:rsidR="00654FD9" w:rsidRPr="009E3671" w:rsidRDefault="00654FD9" w:rsidP="00C43C4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736"/>
        <w:gridCol w:w="1056"/>
        <w:gridCol w:w="1836"/>
        <w:gridCol w:w="1414"/>
        <w:gridCol w:w="1424"/>
        <w:gridCol w:w="1496"/>
        <w:gridCol w:w="1286"/>
        <w:gridCol w:w="9"/>
      </w:tblGrid>
      <w:tr w:rsidR="009E3671" w:rsidRPr="009E3671" w14:paraId="6F1E0536" w14:textId="77777777" w:rsidTr="009E3671">
        <w:tc>
          <w:tcPr>
            <w:tcW w:w="736" w:type="dxa"/>
            <w:vMerge w:val="restart"/>
            <w:vAlign w:val="center"/>
          </w:tcPr>
          <w:p w14:paraId="5FD09994" w14:textId="0ADE67F0" w:rsidR="00F050DA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6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="00F050DA" w:rsidRPr="00F050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 p.</w:t>
            </w:r>
            <w:r w:rsidRPr="009E36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F050DA" w:rsidRPr="00F050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8521" w:type="dxa"/>
            <w:gridSpan w:val="7"/>
            <w:vAlign w:val="center"/>
          </w:tcPr>
          <w:p w14:paraId="675626DE" w14:textId="028CB268" w:rsidR="00F050DA" w:rsidRPr="009E3671" w:rsidRDefault="00F050DA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0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Naftas produktu apjoms, par kuru sniegts drošības rezervju pakalpojums (t)</w:t>
            </w:r>
          </w:p>
        </w:tc>
      </w:tr>
      <w:tr w:rsidR="009E3671" w:rsidRPr="009E3671" w14:paraId="084ABD11" w14:textId="77777777" w:rsidTr="009E3671">
        <w:trPr>
          <w:gridAfter w:val="1"/>
          <w:wAfter w:w="10" w:type="dxa"/>
        </w:trPr>
        <w:tc>
          <w:tcPr>
            <w:tcW w:w="736" w:type="dxa"/>
            <w:vMerge/>
            <w:vAlign w:val="center"/>
          </w:tcPr>
          <w:p w14:paraId="6DBADE67" w14:textId="77777777" w:rsidR="00F050DA" w:rsidRPr="009E3671" w:rsidRDefault="00F050DA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13ABDD2" w14:textId="6357950D" w:rsidR="00F050DA" w:rsidRPr="009E3671" w:rsidRDefault="00F050DA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0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jēlnafta*</w:t>
            </w:r>
          </w:p>
        </w:tc>
        <w:tc>
          <w:tcPr>
            <w:tcW w:w="1836" w:type="dxa"/>
            <w:vAlign w:val="center"/>
          </w:tcPr>
          <w:p w14:paraId="3590FA3B" w14:textId="0A637501" w:rsidR="00F050DA" w:rsidRPr="009E3671" w:rsidRDefault="00F050DA" w:rsidP="009E3671">
            <w:pPr>
              <w:ind w:left="-60" w:right="-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0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starpprodukti (komponentes)**</w:t>
            </w:r>
          </w:p>
        </w:tc>
        <w:tc>
          <w:tcPr>
            <w:tcW w:w="1449" w:type="dxa"/>
            <w:vAlign w:val="center"/>
          </w:tcPr>
          <w:p w14:paraId="15DC7437" w14:textId="5614FFEF" w:rsidR="00F050DA" w:rsidRPr="009E3671" w:rsidRDefault="00F050DA" w:rsidP="009E3671">
            <w:pPr>
              <w:ind w:left="-185" w:right="-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0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benzīns, aviācijas degviela un sašķidrinātā naftas gāze</w:t>
            </w:r>
          </w:p>
        </w:tc>
        <w:tc>
          <w:tcPr>
            <w:tcW w:w="1482" w:type="dxa"/>
            <w:vAlign w:val="center"/>
          </w:tcPr>
          <w:p w14:paraId="45632019" w14:textId="17927474" w:rsidR="00F050DA" w:rsidRPr="009E3671" w:rsidRDefault="009E3671" w:rsidP="009E3671">
            <w:pPr>
              <w:ind w:left="-111" w:right="-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0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petrolejas veida reaktīvā degviela</w:t>
            </w:r>
          </w:p>
        </w:tc>
        <w:tc>
          <w:tcPr>
            <w:tcW w:w="1496" w:type="dxa"/>
            <w:vAlign w:val="center"/>
          </w:tcPr>
          <w:p w14:paraId="06D328D1" w14:textId="299B15B2" w:rsidR="00F050DA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0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petroleja un dīzeļdegviela</w:t>
            </w:r>
          </w:p>
        </w:tc>
        <w:tc>
          <w:tcPr>
            <w:tcW w:w="1288" w:type="dxa"/>
            <w:vAlign w:val="center"/>
          </w:tcPr>
          <w:p w14:paraId="3FB7C699" w14:textId="7E9BF23E" w:rsidR="00F050DA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0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degvieleļļa</w:t>
            </w:r>
          </w:p>
        </w:tc>
      </w:tr>
      <w:tr w:rsidR="009E3671" w:rsidRPr="009E3671" w14:paraId="001593D2" w14:textId="77777777" w:rsidTr="009E3671">
        <w:trPr>
          <w:gridAfter w:val="1"/>
          <w:wAfter w:w="10" w:type="dxa"/>
        </w:trPr>
        <w:tc>
          <w:tcPr>
            <w:tcW w:w="736" w:type="dxa"/>
            <w:vAlign w:val="center"/>
          </w:tcPr>
          <w:p w14:paraId="5238FEE6" w14:textId="77777777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F97A4A7" w14:textId="77777777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36" w:type="dxa"/>
            <w:vAlign w:val="center"/>
          </w:tcPr>
          <w:p w14:paraId="27949879" w14:textId="77777777" w:rsidR="009E3671" w:rsidRPr="009E3671" w:rsidRDefault="009E3671" w:rsidP="009E3671">
            <w:pPr>
              <w:ind w:left="-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dxa"/>
            <w:vAlign w:val="center"/>
          </w:tcPr>
          <w:p w14:paraId="0AAA32E7" w14:textId="77777777" w:rsidR="009E3671" w:rsidRPr="009E3671" w:rsidRDefault="009E3671" w:rsidP="009E3671">
            <w:pPr>
              <w:ind w:left="-185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82" w:type="dxa"/>
            <w:vAlign w:val="center"/>
          </w:tcPr>
          <w:p w14:paraId="3E6F6C55" w14:textId="77777777" w:rsidR="009E3671" w:rsidRPr="009E3671" w:rsidRDefault="009E3671" w:rsidP="009E3671">
            <w:pPr>
              <w:ind w:left="-111" w:right="-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Align w:val="center"/>
          </w:tcPr>
          <w:p w14:paraId="539BDD5B" w14:textId="77777777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88" w:type="dxa"/>
            <w:vAlign w:val="center"/>
          </w:tcPr>
          <w:p w14:paraId="1D87DC27" w14:textId="77777777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E3671" w:rsidRPr="009E3671" w14:paraId="03EF22FF" w14:textId="77777777" w:rsidTr="009E3671">
        <w:trPr>
          <w:gridAfter w:val="1"/>
          <w:wAfter w:w="10" w:type="dxa"/>
        </w:trPr>
        <w:tc>
          <w:tcPr>
            <w:tcW w:w="736" w:type="dxa"/>
            <w:vAlign w:val="center"/>
          </w:tcPr>
          <w:p w14:paraId="6D005026" w14:textId="77777777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00FA71C" w14:textId="77777777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36" w:type="dxa"/>
            <w:vAlign w:val="center"/>
          </w:tcPr>
          <w:p w14:paraId="338AA6D4" w14:textId="77777777" w:rsidR="009E3671" w:rsidRPr="009E3671" w:rsidRDefault="009E3671" w:rsidP="009E3671">
            <w:pPr>
              <w:ind w:left="-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dxa"/>
            <w:vAlign w:val="center"/>
          </w:tcPr>
          <w:p w14:paraId="692EDBB2" w14:textId="77777777" w:rsidR="009E3671" w:rsidRPr="009E3671" w:rsidRDefault="009E3671" w:rsidP="009E3671">
            <w:pPr>
              <w:ind w:left="-185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82" w:type="dxa"/>
            <w:vAlign w:val="center"/>
          </w:tcPr>
          <w:p w14:paraId="45AF1CD9" w14:textId="77777777" w:rsidR="009E3671" w:rsidRPr="009E3671" w:rsidRDefault="009E3671" w:rsidP="009E3671">
            <w:pPr>
              <w:ind w:left="-111" w:right="-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Align w:val="center"/>
          </w:tcPr>
          <w:p w14:paraId="69F27ADC" w14:textId="77777777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88" w:type="dxa"/>
            <w:vAlign w:val="center"/>
          </w:tcPr>
          <w:p w14:paraId="16603572" w14:textId="77777777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E3671" w:rsidRPr="009E3671" w14:paraId="5AF1D8BC" w14:textId="77777777" w:rsidTr="009E3671">
        <w:trPr>
          <w:gridAfter w:val="1"/>
          <w:wAfter w:w="10" w:type="dxa"/>
        </w:trPr>
        <w:tc>
          <w:tcPr>
            <w:tcW w:w="736" w:type="dxa"/>
            <w:vAlign w:val="center"/>
          </w:tcPr>
          <w:p w14:paraId="058D1317" w14:textId="254CAF30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0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60" w:type="dxa"/>
            <w:vAlign w:val="center"/>
          </w:tcPr>
          <w:p w14:paraId="10221C45" w14:textId="77777777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36" w:type="dxa"/>
            <w:vAlign w:val="center"/>
          </w:tcPr>
          <w:p w14:paraId="07A33E6A" w14:textId="77777777" w:rsidR="009E3671" w:rsidRPr="009E3671" w:rsidRDefault="009E3671" w:rsidP="009E3671">
            <w:pPr>
              <w:ind w:left="-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dxa"/>
            <w:vAlign w:val="center"/>
          </w:tcPr>
          <w:p w14:paraId="1C9E1697" w14:textId="77777777" w:rsidR="009E3671" w:rsidRPr="009E3671" w:rsidRDefault="009E3671" w:rsidP="009E3671">
            <w:pPr>
              <w:ind w:left="-185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82" w:type="dxa"/>
            <w:vAlign w:val="center"/>
          </w:tcPr>
          <w:p w14:paraId="77D56D87" w14:textId="77777777" w:rsidR="009E3671" w:rsidRPr="009E3671" w:rsidRDefault="009E3671" w:rsidP="009E3671">
            <w:pPr>
              <w:ind w:left="-111" w:right="-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Align w:val="center"/>
          </w:tcPr>
          <w:p w14:paraId="51D7C99B" w14:textId="77777777" w:rsidR="009E3671" w:rsidRPr="009E3671" w:rsidRDefault="009E3671" w:rsidP="009E36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88" w:type="dxa"/>
            <w:vAlign w:val="center"/>
          </w:tcPr>
          <w:p w14:paraId="5E5E18FF" w14:textId="42A04144" w:rsidR="009E3671" w:rsidRPr="009E3671" w:rsidRDefault="009E3671" w:rsidP="009E367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36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11460D93" w14:textId="47837A66" w:rsidR="009E3671" w:rsidRPr="009E3671" w:rsidRDefault="009E3671"/>
    <w:p w14:paraId="7CD097F1" w14:textId="77777777" w:rsidR="00C43C43" w:rsidRPr="009E3671" w:rsidRDefault="00C43C43" w:rsidP="00C43C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961E50B" w14:textId="77777777" w:rsidR="00C43C43" w:rsidRPr="009E3671" w:rsidRDefault="00C43C43" w:rsidP="00C4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CD7CC" w14:textId="77777777" w:rsidR="00C43C43" w:rsidRPr="009E3671" w:rsidRDefault="00C43C43" w:rsidP="00C43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0F9029" w14:textId="080EF764" w:rsidR="00C43C43" w:rsidRPr="009E3671" w:rsidRDefault="00C43C43" w:rsidP="00C43C4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E3671">
        <w:rPr>
          <w:sz w:val="28"/>
          <w:szCs w:val="28"/>
        </w:rPr>
        <w:t>Ministru prezidents</w:t>
      </w:r>
      <w:r w:rsidRPr="009E3671">
        <w:rPr>
          <w:sz w:val="28"/>
          <w:szCs w:val="28"/>
        </w:rPr>
        <w:tab/>
        <w:t>A. K. Kariņš</w:t>
      </w:r>
    </w:p>
    <w:p w14:paraId="1F1A7A32" w14:textId="77777777" w:rsidR="00C43C43" w:rsidRPr="009E3671" w:rsidRDefault="00C43C43" w:rsidP="00C43C4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5CE8909" w14:textId="77777777" w:rsidR="00C43C43" w:rsidRPr="009E3671" w:rsidRDefault="00C43C43" w:rsidP="00C43C4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F6BF2F0" w14:textId="77777777" w:rsidR="00C43C43" w:rsidRPr="009E3671" w:rsidRDefault="00C43C43" w:rsidP="00C43C4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B53C4C5" w14:textId="6F80AD9D" w:rsidR="00C43C43" w:rsidRPr="009E3671" w:rsidRDefault="00C43C43" w:rsidP="00C43C4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E3671">
        <w:rPr>
          <w:sz w:val="28"/>
          <w:szCs w:val="28"/>
        </w:rPr>
        <w:t>Ekonomikas ministrs</w:t>
      </w:r>
      <w:r w:rsidRPr="009E3671">
        <w:rPr>
          <w:sz w:val="28"/>
          <w:szCs w:val="28"/>
        </w:rPr>
        <w:tab/>
        <w:t>R. </w:t>
      </w:r>
      <w:proofErr w:type="spellStart"/>
      <w:r w:rsidRPr="009E3671">
        <w:rPr>
          <w:sz w:val="28"/>
          <w:szCs w:val="28"/>
        </w:rPr>
        <w:t>Nemiro</w:t>
      </w:r>
      <w:proofErr w:type="spellEnd"/>
    </w:p>
    <w:sectPr w:rsidR="00C43C43" w:rsidRPr="009E3671" w:rsidSect="00C43C4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E14B" w14:textId="77777777" w:rsidR="000C726A" w:rsidRDefault="000C726A" w:rsidP="003317AC">
      <w:pPr>
        <w:spacing w:after="0" w:line="240" w:lineRule="auto"/>
      </w:pPr>
      <w:r>
        <w:separator/>
      </w:r>
    </w:p>
  </w:endnote>
  <w:endnote w:type="continuationSeparator" w:id="0">
    <w:p w14:paraId="39AFD818" w14:textId="77777777" w:rsidR="000C726A" w:rsidRDefault="000C726A" w:rsidP="0033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63DA" w14:textId="77777777" w:rsidR="00C43C43" w:rsidRPr="00C43C43" w:rsidRDefault="00C43C43" w:rsidP="00C43C43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N1196_9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07D8" w14:textId="6BD15EC4" w:rsidR="00C43C43" w:rsidRPr="00C43C43" w:rsidRDefault="00C43C43" w:rsidP="00C43C43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N1196_9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54AB" w14:textId="77777777" w:rsidR="000C726A" w:rsidRDefault="000C726A" w:rsidP="003317AC">
      <w:pPr>
        <w:spacing w:after="0" w:line="240" w:lineRule="auto"/>
      </w:pPr>
      <w:r>
        <w:separator/>
      </w:r>
    </w:p>
  </w:footnote>
  <w:footnote w:type="continuationSeparator" w:id="0">
    <w:p w14:paraId="35151557" w14:textId="77777777" w:rsidR="000C726A" w:rsidRDefault="000C726A" w:rsidP="0033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C542" w14:textId="01A6729F" w:rsidR="002A2C59" w:rsidRPr="00BF7DF1" w:rsidRDefault="00593B4B" w:rsidP="00C43C43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F7DF1">
      <w:rPr>
        <w:rFonts w:ascii="Times New Roman" w:hAnsi="Times New Roman"/>
        <w:sz w:val="24"/>
        <w:szCs w:val="24"/>
      </w:rPr>
      <w:fldChar w:fldCharType="begin"/>
    </w:r>
    <w:r w:rsidRPr="00BF7DF1">
      <w:rPr>
        <w:rFonts w:ascii="Times New Roman" w:hAnsi="Times New Roman"/>
        <w:sz w:val="24"/>
        <w:szCs w:val="24"/>
      </w:rPr>
      <w:instrText xml:space="preserve"> PAGE   \* MERGEFORMAT </w:instrText>
    </w:r>
    <w:r w:rsidRPr="00BF7DF1">
      <w:rPr>
        <w:rFonts w:ascii="Times New Roman" w:hAnsi="Times New Roman"/>
        <w:sz w:val="24"/>
        <w:szCs w:val="24"/>
      </w:rPr>
      <w:fldChar w:fldCharType="separate"/>
    </w:r>
    <w:r w:rsidR="007564EE">
      <w:rPr>
        <w:rFonts w:ascii="Times New Roman" w:hAnsi="Times New Roman"/>
        <w:noProof/>
        <w:sz w:val="24"/>
        <w:szCs w:val="24"/>
      </w:rPr>
      <w:t>4</w:t>
    </w:r>
    <w:r w:rsidRPr="00BF7DF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7BAE" w14:textId="4006D564" w:rsidR="00C43C43" w:rsidRDefault="00C43C43" w:rsidP="00C43C43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32B01796" w14:textId="19D6203C" w:rsidR="00C43C43" w:rsidRPr="00A142D0" w:rsidRDefault="00C43C43" w:rsidP="00501350">
    <w:pPr>
      <w:pStyle w:val="Header"/>
    </w:pPr>
    <w:r>
      <w:rPr>
        <w:noProof/>
      </w:rPr>
      <w:drawing>
        <wp:inline distT="0" distB="0" distL="0" distR="0" wp14:anchorId="7417088E" wp14:editId="56B5DC6D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CD3"/>
    <w:multiLevelType w:val="hybridMultilevel"/>
    <w:tmpl w:val="074C2A74"/>
    <w:lvl w:ilvl="0" w:tplc="427E64EC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BD4C8D"/>
    <w:multiLevelType w:val="hybridMultilevel"/>
    <w:tmpl w:val="958220EE"/>
    <w:lvl w:ilvl="0" w:tplc="A2E478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F102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34"/>
    <w:rsid w:val="0000025E"/>
    <w:rsid w:val="0002222B"/>
    <w:rsid w:val="000227E7"/>
    <w:rsid w:val="000329CB"/>
    <w:rsid w:val="00032DA1"/>
    <w:rsid w:val="00033D83"/>
    <w:rsid w:val="0006305C"/>
    <w:rsid w:val="00087C2E"/>
    <w:rsid w:val="00093883"/>
    <w:rsid w:val="000947CE"/>
    <w:rsid w:val="000B0BE7"/>
    <w:rsid w:val="000C726A"/>
    <w:rsid w:val="001051C9"/>
    <w:rsid w:val="00110E03"/>
    <w:rsid w:val="00112CC9"/>
    <w:rsid w:val="0011627C"/>
    <w:rsid w:val="00116FA7"/>
    <w:rsid w:val="00123837"/>
    <w:rsid w:val="00125321"/>
    <w:rsid w:val="00132223"/>
    <w:rsid w:val="00156F7B"/>
    <w:rsid w:val="0018547C"/>
    <w:rsid w:val="00187492"/>
    <w:rsid w:val="001A1444"/>
    <w:rsid w:val="001A5534"/>
    <w:rsid w:val="001A6398"/>
    <w:rsid w:val="001A76FC"/>
    <w:rsid w:val="001B14D5"/>
    <w:rsid w:val="001C51BD"/>
    <w:rsid w:val="001D26A4"/>
    <w:rsid w:val="001E2547"/>
    <w:rsid w:val="001F7D20"/>
    <w:rsid w:val="00206ABE"/>
    <w:rsid w:val="002075E7"/>
    <w:rsid w:val="00224087"/>
    <w:rsid w:val="00251173"/>
    <w:rsid w:val="002767B6"/>
    <w:rsid w:val="002B5D04"/>
    <w:rsid w:val="002B79AB"/>
    <w:rsid w:val="002C2E85"/>
    <w:rsid w:val="002C707C"/>
    <w:rsid w:val="002D1FB6"/>
    <w:rsid w:val="002D73D9"/>
    <w:rsid w:val="00301194"/>
    <w:rsid w:val="003237B5"/>
    <w:rsid w:val="00327729"/>
    <w:rsid w:val="003317AC"/>
    <w:rsid w:val="003369B0"/>
    <w:rsid w:val="003405D3"/>
    <w:rsid w:val="0034721D"/>
    <w:rsid w:val="00350153"/>
    <w:rsid w:val="003512FE"/>
    <w:rsid w:val="0035141F"/>
    <w:rsid w:val="00353134"/>
    <w:rsid w:val="00376B9E"/>
    <w:rsid w:val="00385F64"/>
    <w:rsid w:val="00395F72"/>
    <w:rsid w:val="003966C3"/>
    <w:rsid w:val="003971D2"/>
    <w:rsid w:val="003A6036"/>
    <w:rsid w:val="003B1202"/>
    <w:rsid w:val="003B1E23"/>
    <w:rsid w:val="003B4E04"/>
    <w:rsid w:val="003B55D2"/>
    <w:rsid w:val="003B7309"/>
    <w:rsid w:val="003C221B"/>
    <w:rsid w:val="003C3837"/>
    <w:rsid w:val="003D15D7"/>
    <w:rsid w:val="003D56CC"/>
    <w:rsid w:val="003D760A"/>
    <w:rsid w:val="003F10D7"/>
    <w:rsid w:val="003F6B84"/>
    <w:rsid w:val="00416497"/>
    <w:rsid w:val="00431899"/>
    <w:rsid w:val="004343F6"/>
    <w:rsid w:val="004577E4"/>
    <w:rsid w:val="00467BCF"/>
    <w:rsid w:val="00495A1E"/>
    <w:rsid w:val="004C1A20"/>
    <w:rsid w:val="004C1A45"/>
    <w:rsid w:val="004C6815"/>
    <w:rsid w:val="004D7D08"/>
    <w:rsid w:val="004F1533"/>
    <w:rsid w:val="00511778"/>
    <w:rsid w:val="005146A7"/>
    <w:rsid w:val="00514803"/>
    <w:rsid w:val="00516909"/>
    <w:rsid w:val="00525F44"/>
    <w:rsid w:val="00550DA9"/>
    <w:rsid w:val="0055193D"/>
    <w:rsid w:val="005521FA"/>
    <w:rsid w:val="00575B6C"/>
    <w:rsid w:val="005845FF"/>
    <w:rsid w:val="00591047"/>
    <w:rsid w:val="00593B4B"/>
    <w:rsid w:val="005A1A29"/>
    <w:rsid w:val="005B5CD8"/>
    <w:rsid w:val="005C6DD3"/>
    <w:rsid w:val="00603C21"/>
    <w:rsid w:val="006132D1"/>
    <w:rsid w:val="00640162"/>
    <w:rsid w:val="00650C96"/>
    <w:rsid w:val="00654FD9"/>
    <w:rsid w:val="00670EF6"/>
    <w:rsid w:val="006820B4"/>
    <w:rsid w:val="006875F2"/>
    <w:rsid w:val="006906D9"/>
    <w:rsid w:val="006A17AE"/>
    <w:rsid w:val="006A2156"/>
    <w:rsid w:val="006A648D"/>
    <w:rsid w:val="006F25F3"/>
    <w:rsid w:val="00702710"/>
    <w:rsid w:val="007564EE"/>
    <w:rsid w:val="00765F62"/>
    <w:rsid w:val="0077236C"/>
    <w:rsid w:val="00782E4E"/>
    <w:rsid w:val="00785FCF"/>
    <w:rsid w:val="007C2EEC"/>
    <w:rsid w:val="0080095E"/>
    <w:rsid w:val="00811476"/>
    <w:rsid w:val="008177C8"/>
    <w:rsid w:val="00824852"/>
    <w:rsid w:val="0083076C"/>
    <w:rsid w:val="00831758"/>
    <w:rsid w:val="008404D0"/>
    <w:rsid w:val="00841377"/>
    <w:rsid w:val="00852283"/>
    <w:rsid w:val="008570EB"/>
    <w:rsid w:val="00872CB0"/>
    <w:rsid w:val="00873346"/>
    <w:rsid w:val="008B0C1C"/>
    <w:rsid w:val="008B72F0"/>
    <w:rsid w:val="008B7CC1"/>
    <w:rsid w:val="008E129E"/>
    <w:rsid w:val="008E25F9"/>
    <w:rsid w:val="00916B13"/>
    <w:rsid w:val="00934985"/>
    <w:rsid w:val="00944B65"/>
    <w:rsid w:val="00982BD1"/>
    <w:rsid w:val="00985986"/>
    <w:rsid w:val="009859C4"/>
    <w:rsid w:val="00991FBD"/>
    <w:rsid w:val="00993328"/>
    <w:rsid w:val="009B1217"/>
    <w:rsid w:val="009B62F7"/>
    <w:rsid w:val="009C32E4"/>
    <w:rsid w:val="009D595C"/>
    <w:rsid w:val="009E2FD7"/>
    <w:rsid w:val="009E3671"/>
    <w:rsid w:val="00A045B1"/>
    <w:rsid w:val="00A402D7"/>
    <w:rsid w:val="00A44D24"/>
    <w:rsid w:val="00A75424"/>
    <w:rsid w:val="00A941A2"/>
    <w:rsid w:val="00AC31F4"/>
    <w:rsid w:val="00AC620C"/>
    <w:rsid w:val="00AE0927"/>
    <w:rsid w:val="00B10495"/>
    <w:rsid w:val="00B16C05"/>
    <w:rsid w:val="00B20ACC"/>
    <w:rsid w:val="00B215B5"/>
    <w:rsid w:val="00B33AE5"/>
    <w:rsid w:val="00B3776E"/>
    <w:rsid w:val="00B43595"/>
    <w:rsid w:val="00B57F17"/>
    <w:rsid w:val="00B7072C"/>
    <w:rsid w:val="00B84925"/>
    <w:rsid w:val="00BA0694"/>
    <w:rsid w:val="00BA32B5"/>
    <w:rsid w:val="00BC0243"/>
    <w:rsid w:val="00BD2632"/>
    <w:rsid w:val="00BE0B7F"/>
    <w:rsid w:val="00BE5644"/>
    <w:rsid w:val="00BF5D57"/>
    <w:rsid w:val="00BF6916"/>
    <w:rsid w:val="00C00457"/>
    <w:rsid w:val="00C22A60"/>
    <w:rsid w:val="00C35B34"/>
    <w:rsid w:val="00C42405"/>
    <w:rsid w:val="00C43C43"/>
    <w:rsid w:val="00C4654C"/>
    <w:rsid w:val="00C517B0"/>
    <w:rsid w:val="00C7031D"/>
    <w:rsid w:val="00C704F2"/>
    <w:rsid w:val="00C70F19"/>
    <w:rsid w:val="00C74637"/>
    <w:rsid w:val="00C77FE5"/>
    <w:rsid w:val="00C969CA"/>
    <w:rsid w:val="00CC58F6"/>
    <w:rsid w:val="00CE2C24"/>
    <w:rsid w:val="00CE4DCF"/>
    <w:rsid w:val="00CF372C"/>
    <w:rsid w:val="00D12C91"/>
    <w:rsid w:val="00D247BF"/>
    <w:rsid w:val="00D34776"/>
    <w:rsid w:val="00D50CF7"/>
    <w:rsid w:val="00D6079D"/>
    <w:rsid w:val="00D64732"/>
    <w:rsid w:val="00D91376"/>
    <w:rsid w:val="00DA3912"/>
    <w:rsid w:val="00DB3803"/>
    <w:rsid w:val="00DB3A49"/>
    <w:rsid w:val="00DB3C54"/>
    <w:rsid w:val="00DB4263"/>
    <w:rsid w:val="00DC2057"/>
    <w:rsid w:val="00DD12F6"/>
    <w:rsid w:val="00E00216"/>
    <w:rsid w:val="00E054A1"/>
    <w:rsid w:val="00E213A9"/>
    <w:rsid w:val="00E25340"/>
    <w:rsid w:val="00E47AAA"/>
    <w:rsid w:val="00E50710"/>
    <w:rsid w:val="00E9696A"/>
    <w:rsid w:val="00EB6C5B"/>
    <w:rsid w:val="00EF47F2"/>
    <w:rsid w:val="00F050DA"/>
    <w:rsid w:val="00F0635E"/>
    <w:rsid w:val="00F30299"/>
    <w:rsid w:val="00F613C0"/>
    <w:rsid w:val="00F64E37"/>
    <w:rsid w:val="00F701BE"/>
    <w:rsid w:val="00F81504"/>
    <w:rsid w:val="00FA5187"/>
    <w:rsid w:val="00FA6E59"/>
    <w:rsid w:val="00FC12A0"/>
    <w:rsid w:val="00FF2D8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2FB4F8"/>
  <w15:chartTrackingRefBased/>
  <w15:docId w15:val="{3CF20A87-F532-4954-BCBE-7F8C763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34"/>
    <w:rPr>
      <w:rFonts w:ascii="Calibri" w:eastAsia="Calibri" w:hAnsi="Calibri" w:cs="Times New Roman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C05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1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134"/>
    <w:pPr>
      <w:tabs>
        <w:tab w:val="center" w:pos="4153"/>
        <w:tab w:val="right" w:pos="8306"/>
      </w:tabs>
      <w:spacing w:after="200" w:line="276" w:lineRule="auto"/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5313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353134"/>
    <w:pPr>
      <w:tabs>
        <w:tab w:val="center" w:pos="4153"/>
        <w:tab w:val="right" w:pos="8306"/>
      </w:tabs>
      <w:spacing w:after="200" w:line="276" w:lineRule="auto"/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53134"/>
    <w:rPr>
      <w:rFonts w:ascii="Calibri" w:eastAsia="Calibri" w:hAnsi="Calibri" w:cs="Times New Roman"/>
      <w:lang w:val="x-none"/>
    </w:rPr>
  </w:style>
  <w:style w:type="paragraph" w:styleId="NormalWeb">
    <w:name w:val="Normal (Web)"/>
    <w:basedOn w:val="Normal"/>
    <w:uiPriority w:val="99"/>
    <w:rsid w:val="0035313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44D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16C05"/>
    <w:rPr>
      <w:rFonts w:asciiTheme="majorHAnsi" w:eastAsiaTheme="majorEastAsia" w:hAnsiTheme="majorHAnsi" w:cstheme="majorBidi"/>
      <w:i/>
      <w:iCs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4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F6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F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F6"/>
    <w:rPr>
      <w:rFonts w:ascii="Segoe UI" w:eastAsia="Calibri" w:hAnsi="Segoe UI" w:cs="Segoe UI"/>
      <w:sz w:val="18"/>
      <w:szCs w:val="18"/>
      <w:lang w:val="lv-LV"/>
    </w:rPr>
  </w:style>
  <w:style w:type="paragraph" w:customStyle="1" w:styleId="labojumupamats">
    <w:name w:val="labojumu_pamats"/>
    <w:basedOn w:val="Normal"/>
    <w:rsid w:val="0000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0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054A1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Subtitle">
    <w:name w:val="Subtitle"/>
    <w:basedOn w:val="Normal"/>
    <w:next w:val="Normal"/>
    <w:link w:val="SubtitleChar"/>
    <w:qFormat/>
    <w:rsid w:val="00467BC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67BC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C43C4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05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0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44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18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3043</Words>
  <Characters>1735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12. aprīļa noteikumos Nr. 286 "Kārtība, kādā komersanti nodrošina un sniedz drošības rezervju pakalpojumu valsts naftas produktu drošības rezervju izveidei noteiktā apjomā"</vt:lpstr>
      <vt:lpstr>Grozījumi Ministru kabineta 2011. gada 12. aprīļa noteikumos Nr. 286 "Kārtība, kādā komersanti nodrošina un sniedz drošības rezervju pakalpojumu valsts naftas produktu drošības rezervju izveidei noteiktā apjomā"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12. aprīļa noteikumos Nr. 286 "Kārtība, kādā komersanti nodrošina un sniedz drošības rezervju pakalpojumu valsts naftas produktu drošības rezervju izveidei noteiktā apjomā"</dc:title>
  <dc:subject/>
  <dc:creator>Zanda Sproģe</dc:creator>
  <cp:keywords/>
  <dc:description>67013024 Zanda.Sproge@em.gov.lv</dc:description>
  <cp:lastModifiedBy>Leontine Babkina</cp:lastModifiedBy>
  <cp:revision>10</cp:revision>
  <cp:lastPrinted>2019-07-04T10:03:00Z</cp:lastPrinted>
  <dcterms:created xsi:type="dcterms:W3CDTF">2019-06-04T11:56:00Z</dcterms:created>
  <dcterms:modified xsi:type="dcterms:W3CDTF">2019-08-15T07:11:00Z</dcterms:modified>
</cp:coreProperties>
</file>