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1D071" w14:textId="77777777" w:rsidR="00875F63" w:rsidRPr="00712B66" w:rsidRDefault="00875F63" w:rsidP="00875F63">
      <w:pPr>
        <w:pStyle w:val="naisnod"/>
        <w:spacing w:before="0" w:after="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14:paraId="727636A5" w14:textId="77777777" w:rsidR="00875F63" w:rsidRPr="00D36A37" w:rsidRDefault="00875F63" w:rsidP="00875F63">
      <w:pPr>
        <w:pStyle w:val="naisf"/>
        <w:spacing w:before="0" w:after="0"/>
        <w:ind w:firstLine="720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136"/>
      </w:tblGrid>
      <w:tr w:rsidR="00875F63" w:rsidRPr="00641881" w14:paraId="7EC9A3EE" w14:textId="77777777" w:rsidTr="00D96DE3">
        <w:tc>
          <w:tcPr>
            <w:tcW w:w="5000" w:type="pct"/>
            <w:tcBorders>
              <w:bottom w:val="single" w:sz="6" w:space="0" w:color="000000"/>
            </w:tcBorders>
          </w:tcPr>
          <w:p w14:paraId="3C1B4F9A" w14:textId="774E1878" w:rsidR="00875F63" w:rsidRPr="00641881" w:rsidRDefault="00875F63" w:rsidP="00D96DE3">
            <w:pPr>
              <w:jc w:val="center"/>
              <w:rPr>
                <w:b/>
                <w:sz w:val="28"/>
                <w:szCs w:val="28"/>
              </w:rPr>
            </w:pPr>
            <w:r w:rsidRPr="006D2B0D">
              <w:rPr>
                <w:b/>
                <w:sz w:val="28"/>
                <w:szCs w:val="28"/>
              </w:rPr>
              <w:t>Ministru kabineta noteikumu projekts „</w:t>
            </w:r>
            <w:r>
              <w:rPr>
                <w:b/>
                <w:sz w:val="28"/>
                <w:szCs w:val="28"/>
              </w:rPr>
              <w:t>Grozījums Ministru kabineta 2010.gada 12.oktobra noteikumos Nr.976 „Noteikumi par brīvprātīgu pievienošanos valsts sociālajai apdrošināšanai”</w:t>
            </w:r>
          </w:p>
        </w:tc>
      </w:tr>
    </w:tbl>
    <w:p w14:paraId="18A2CB43" w14:textId="77777777" w:rsidR="00875F63" w:rsidRPr="00712B66" w:rsidRDefault="00875F63" w:rsidP="00875F63">
      <w:pPr>
        <w:pStyle w:val="naisc"/>
        <w:spacing w:before="0" w:after="0"/>
      </w:pPr>
      <w:r w:rsidRPr="00712B66">
        <w:t>(dokumenta veids un nosaukums)</w:t>
      </w:r>
    </w:p>
    <w:p w14:paraId="385C8F19" w14:textId="77777777" w:rsidR="00875F63" w:rsidRDefault="00875F63" w:rsidP="00875F63">
      <w:pPr>
        <w:pStyle w:val="naisf"/>
        <w:spacing w:before="0" w:after="0"/>
        <w:ind w:firstLine="720"/>
      </w:pPr>
    </w:p>
    <w:p w14:paraId="51EA900B" w14:textId="77777777" w:rsidR="00875F63" w:rsidRPr="00712B66" w:rsidRDefault="00875F63" w:rsidP="00875F63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Jautājumi, par kuriem saskaņošanā vienošan</w:t>
      </w:r>
      <w:r>
        <w:rPr>
          <w:b/>
        </w:rPr>
        <w:t>ā</w:t>
      </w:r>
      <w:r w:rsidRPr="00712B66">
        <w:rPr>
          <w:b/>
        </w:rPr>
        <w:t>s ir panākta</w:t>
      </w:r>
    </w:p>
    <w:p w14:paraId="2EA4C74B" w14:textId="77777777" w:rsidR="00875F63" w:rsidRPr="00712B66" w:rsidRDefault="00875F63" w:rsidP="00875F63">
      <w:pPr>
        <w:pStyle w:val="naisf"/>
        <w:spacing w:before="0" w:after="0"/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467"/>
        <w:gridCol w:w="2510"/>
        <w:gridCol w:w="3173"/>
        <w:gridCol w:w="3212"/>
        <w:gridCol w:w="3185"/>
      </w:tblGrid>
      <w:tr w:rsidR="00875F63" w:rsidRPr="00712B66" w14:paraId="142A9EF9" w14:textId="77777777" w:rsidTr="00AF0D6C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E6529" w14:textId="77777777" w:rsidR="00875F63" w:rsidRPr="00712B66" w:rsidRDefault="00875F63" w:rsidP="00D96DE3">
            <w:pPr>
              <w:pStyle w:val="naisc"/>
              <w:spacing w:before="0" w:after="0"/>
            </w:pPr>
            <w:r w:rsidRPr="00712B66">
              <w:t>Nr. p.k.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B925D" w14:textId="77777777" w:rsidR="00875F63" w:rsidRPr="00712B66" w:rsidRDefault="00875F63" w:rsidP="00D96DE3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1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AC3AA" w14:textId="77777777" w:rsidR="00875F63" w:rsidRPr="00712B66" w:rsidRDefault="00875F63" w:rsidP="00D96DE3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1455A" w14:textId="77777777" w:rsidR="00875F63" w:rsidRPr="00712B66" w:rsidRDefault="00875F63" w:rsidP="00D96DE3">
            <w:pPr>
              <w:pStyle w:val="naisc"/>
              <w:spacing w:before="0" w:after="0"/>
              <w:ind w:firstLine="21"/>
            </w:pPr>
            <w:r w:rsidRPr="00712B66">
              <w:t>Atbildīgās ministrijas norāde par to, ka iebildums ir ņemts vērā</w:t>
            </w:r>
            <w:r>
              <w:t>,</w:t>
            </w:r>
            <w:r w:rsidRPr="00712B66">
              <w:t xml:space="preserve"> vai informācija par saskaņošanā panākto alternatīvo risinājumu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E3315" w14:textId="77777777" w:rsidR="00875F63" w:rsidRPr="00712B66" w:rsidRDefault="00875F63" w:rsidP="00D96DE3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875F63" w:rsidRPr="003B71E0" w14:paraId="75E1A25B" w14:textId="77777777" w:rsidTr="00AF0D6C"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7120" w14:textId="77777777" w:rsidR="00875F63" w:rsidRPr="003B71E0" w:rsidRDefault="00875F63" w:rsidP="00D96DE3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DBB15" w14:textId="77777777" w:rsidR="00875F63" w:rsidRPr="003B71E0" w:rsidRDefault="00875F63" w:rsidP="00D96DE3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EE207" w14:textId="77777777" w:rsidR="00875F63" w:rsidRPr="003B71E0" w:rsidRDefault="00875F63" w:rsidP="00D96DE3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18BB" w14:textId="77777777" w:rsidR="00875F63" w:rsidRPr="003B71E0" w:rsidRDefault="00875F63" w:rsidP="00D96DE3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B73F" w14:textId="77777777" w:rsidR="00875F63" w:rsidRPr="003B71E0" w:rsidRDefault="00875F63" w:rsidP="00D96DE3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875F63" w:rsidRPr="001E4006" w14:paraId="21AF4858" w14:textId="77777777" w:rsidTr="00D96DE3">
        <w:tc>
          <w:tcPr>
            <w:tcW w:w="5000" w:type="pct"/>
            <w:gridSpan w:val="6"/>
            <w:tcBorders>
              <w:left w:val="single" w:sz="6" w:space="0" w:color="000000"/>
              <w:bottom w:val="single" w:sz="4" w:space="0" w:color="auto"/>
            </w:tcBorders>
          </w:tcPr>
          <w:p w14:paraId="6C1E7F48" w14:textId="77777777" w:rsidR="00875F63" w:rsidRDefault="00875F63" w:rsidP="00D96DE3">
            <w:pPr>
              <w:spacing w:before="80" w:after="80"/>
              <w:jc w:val="center"/>
              <w:rPr>
                <w:b/>
              </w:rPr>
            </w:pPr>
          </w:p>
          <w:p w14:paraId="6905E1AB" w14:textId="0D097EF9" w:rsidR="00875F63" w:rsidRPr="001E4006" w:rsidRDefault="00875F63" w:rsidP="00D96DE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Tieslietu</w:t>
            </w:r>
            <w:r w:rsidRPr="001E4006">
              <w:rPr>
                <w:b/>
              </w:rPr>
              <w:t xml:space="preserve"> ministrija</w:t>
            </w:r>
          </w:p>
        </w:tc>
      </w:tr>
      <w:tr w:rsidR="00875F63" w:rsidRPr="002F0BF1" w14:paraId="534D8E79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72F09" w14:textId="77777777" w:rsidR="00875F63" w:rsidRDefault="00875F63" w:rsidP="00D96DE3">
            <w:pPr>
              <w:pStyle w:val="naisc"/>
              <w:spacing w:before="60" w:after="0"/>
            </w:pPr>
            <w:r>
              <w:t>1.</w:t>
            </w: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5448A7" w14:textId="0A4F6351" w:rsidR="00875F63" w:rsidRPr="00F0547C" w:rsidRDefault="00875F63" w:rsidP="00D96DE3">
            <w:pPr>
              <w:pStyle w:val="naisc"/>
              <w:spacing w:before="0" w:after="0"/>
              <w:jc w:val="both"/>
            </w:pPr>
            <w:r>
              <w:t>1</w:t>
            </w:r>
            <w:r w:rsidRPr="00F0547C">
              <w:t xml:space="preserve">. Skat. </w:t>
            </w:r>
            <w:r w:rsidR="005C14EF">
              <w:t>noteikumu projektu</w:t>
            </w:r>
            <w:r w:rsidR="0096181F">
              <w:t>.</w:t>
            </w:r>
          </w:p>
          <w:p w14:paraId="33742D73" w14:textId="77777777" w:rsidR="00875F63" w:rsidRPr="00F0547C" w:rsidRDefault="00875F63" w:rsidP="00D96DE3">
            <w:pPr>
              <w:pStyle w:val="naisc"/>
              <w:spacing w:before="60" w:after="0"/>
              <w:jc w:val="both"/>
            </w:pP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C45A77" w14:textId="77777777" w:rsidR="00FE402E" w:rsidRPr="004C1C22" w:rsidRDefault="00FE402E" w:rsidP="004C1C22">
            <w:pPr>
              <w:tabs>
                <w:tab w:val="left" w:pos="709"/>
                <w:tab w:val="left" w:pos="1134"/>
              </w:tabs>
              <w:jc w:val="both"/>
              <w:rPr>
                <w:rFonts w:eastAsia="Calibri"/>
              </w:rPr>
            </w:pPr>
            <w:r w:rsidRPr="004C1C22">
              <w:t xml:space="preserve">Ministru kabineta 2010. gada 12. oktobra noteikumi Nr. 976 "Noteikumi par brīvprātīgu pievienošanos valsts sociālajai apdrošināšanai" šobrīd ir izdoti saskaņā ar </w:t>
            </w:r>
            <w:r w:rsidRPr="004C1C22">
              <w:rPr>
                <w:iCs/>
              </w:rPr>
              <w:t>likuma "</w:t>
            </w:r>
            <w:hyperlink r:id="rId7" w:tgtFrame="_blank" w:history="1">
              <w:r w:rsidRPr="004C1C22">
                <w:rPr>
                  <w:iCs/>
                </w:rPr>
                <w:t>Par valsts sociālo apdrošināšanu</w:t>
              </w:r>
            </w:hyperlink>
            <w:r w:rsidRPr="004C1C22">
              <w:rPr>
                <w:iCs/>
              </w:rPr>
              <w:t xml:space="preserve">" </w:t>
            </w:r>
            <w:hyperlink r:id="rId8" w:anchor="p5" w:tgtFrame="_blank" w:history="1">
              <w:r w:rsidRPr="004C1C22">
                <w:rPr>
                  <w:iCs/>
                </w:rPr>
                <w:t>5.</w:t>
              </w:r>
            </w:hyperlink>
            <w:r w:rsidRPr="004C1C22">
              <w:rPr>
                <w:iCs/>
              </w:rPr>
              <w:t> panta trešo, 3.¹ un 3.</w:t>
            </w:r>
            <w:r w:rsidRPr="004C1C22">
              <w:rPr>
                <w:iCs/>
                <w:vertAlign w:val="superscript"/>
              </w:rPr>
              <w:t>3</w:t>
            </w:r>
            <w:r w:rsidRPr="004C1C22">
              <w:rPr>
                <w:iCs/>
              </w:rPr>
              <w:t xml:space="preserve"> daļu, </w:t>
            </w:r>
            <w:hyperlink r:id="rId9" w:anchor="p13" w:tgtFrame="_blank" w:history="1">
              <w:r w:rsidRPr="004C1C22">
                <w:rPr>
                  <w:iCs/>
                  <w:u w:val="single"/>
                </w:rPr>
                <w:t>13.</w:t>
              </w:r>
            </w:hyperlink>
            <w:r w:rsidRPr="004C1C22">
              <w:rPr>
                <w:iCs/>
                <w:u w:val="single"/>
              </w:rPr>
              <w:t xml:space="preserve"> panta trešo daļu un </w:t>
            </w:r>
            <w:hyperlink r:id="rId10" w:anchor="p14" w:tgtFrame="_blank" w:history="1">
              <w:r w:rsidRPr="004C1C22">
                <w:rPr>
                  <w:iCs/>
                  <w:u w:val="single"/>
                </w:rPr>
                <w:t>14.</w:t>
              </w:r>
            </w:hyperlink>
            <w:r w:rsidRPr="004C1C22">
              <w:rPr>
                <w:iCs/>
                <w:u w:val="single"/>
              </w:rPr>
              <w:t> panta sesto daļu</w:t>
            </w:r>
            <w:r w:rsidRPr="004C1C22">
              <w:rPr>
                <w:iCs/>
              </w:rPr>
              <w:t xml:space="preserve"> un </w:t>
            </w:r>
            <w:hyperlink r:id="rId11" w:tgtFrame="_blank" w:history="1">
              <w:r w:rsidRPr="004C1C22">
                <w:rPr>
                  <w:iCs/>
                </w:rPr>
                <w:t>Mikrouzņēmumu nodokļa likuma</w:t>
              </w:r>
            </w:hyperlink>
            <w:r w:rsidRPr="004C1C22">
              <w:rPr>
                <w:iCs/>
              </w:rPr>
              <w:t xml:space="preserve"> </w:t>
            </w:r>
            <w:hyperlink r:id="rId12" w:anchor="p9" w:tgtFrame="_blank" w:history="1">
              <w:r w:rsidRPr="004C1C22">
                <w:rPr>
                  <w:iCs/>
                </w:rPr>
                <w:t>9.</w:t>
              </w:r>
            </w:hyperlink>
            <w:r w:rsidRPr="004C1C22">
              <w:rPr>
                <w:iCs/>
              </w:rPr>
              <w:t> panta piekto daļu. Savukārt noteikumu projektā paredzētie grozījumi noteic, ka noteikumi tiks izdoti saskaņā ar likuma "Par valsts sociālo apdrošināšanu" 5. panta trešo, 3.</w:t>
            </w:r>
            <w:r w:rsidRPr="004C1C22">
              <w:rPr>
                <w:iCs/>
                <w:vertAlign w:val="superscript"/>
              </w:rPr>
              <w:t>1</w:t>
            </w:r>
            <w:r w:rsidRPr="004C1C22">
              <w:rPr>
                <w:iCs/>
              </w:rPr>
              <w:t>, 3.</w:t>
            </w:r>
            <w:r w:rsidRPr="004C1C22">
              <w:rPr>
                <w:iCs/>
                <w:vertAlign w:val="superscript"/>
              </w:rPr>
              <w:t>3</w:t>
            </w:r>
            <w:r w:rsidRPr="004C1C22">
              <w:rPr>
                <w:iCs/>
              </w:rPr>
              <w:t xml:space="preserve"> un 3.</w:t>
            </w:r>
            <w:r w:rsidRPr="004C1C22">
              <w:rPr>
                <w:iCs/>
                <w:vertAlign w:val="superscript"/>
              </w:rPr>
              <w:t>4</w:t>
            </w:r>
            <w:r w:rsidRPr="004C1C22">
              <w:rPr>
                <w:iCs/>
              </w:rPr>
              <w:t xml:space="preserve"> daļu un Mikrouzņēmumu nodokļa likuma 9. panta piekto daļu.</w:t>
            </w:r>
          </w:p>
          <w:p w14:paraId="13CF7634" w14:textId="77777777" w:rsidR="00FE402E" w:rsidRPr="002603BC" w:rsidRDefault="00FE402E" w:rsidP="00FE402E">
            <w:pPr>
              <w:widowControl w:val="0"/>
              <w:tabs>
                <w:tab w:val="left" w:pos="9356"/>
              </w:tabs>
              <w:suppressAutoHyphens/>
              <w:ind w:right="12" w:firstLine="709"/>
              <w:jc w:val="both"/>
              <w:rPr>
                <w:bCs/>
                <w:color w:val="000000" w:themeColor="text1"/>
                <w:lang w:eastAsia="zh-CN"/>
              </w:rPr>
            </w:pPr>
            <w:r w:rsidRPr="00F37359">
              <w:rPr>
                <w:rFonts w:eastAsia="Calibri"/>
              </w:rPr>
              <w:t xml:space="preserve">Lūdzam precizēt noteikumu projekta anotācijas I sadaļas 2. punktu atbilstoši </w:t>
            </w:r>
            <w:r w:rsidRPr="00F37359">
              <w:rPr>
                <w:color w:val="000000" w:themeColor="text1"/>
                <w:lang w:eastAsia="zh-CN"/>
              </w:rPr>
              <w:t>Ministru kabineta 2009. gada 15. decembra instrukcijas Nr. 19 "</w:t>
            </w:r>
            <w:r w:rsidRPr="00F37359">
              <w:rPr>
                <w:bCs/>
                <w:color w:val="000000" w:themeColor="text1"/>
                <w:lang w:eastAsia="zh-CN"/>
              </w:rPr>
              <w:t xml:space="preserve">Tiesību akta projekta sākotnējās ietekmes izvērtēšanas kārtība" </w:t>
            </w:r>
            <w:r>
              <w:rPr>
                <w:bCs/>
                <w:color w:val="000000" w:themeColor="text1"/>
                <w:lang w:eastAsia="zh-CN"/>
              </w:rPr>
              <w:t xml:space="preserve">(turpmāk – Instrukcija Nr. 19) </w:t>
            </w:r>
            <w:r w:rsidRPr="00F37359">
              <w:rPr>
                <w:bCs/>
                <w:color w:val="000000" w:themeColor="text1"/>
                <w:lang w:eastAsia="zh-CN"/>
              </w:rPr>
              <w:t xml:space="preserve">14. punktam, jo </w:t>
            </w:r>
            <w:r w:rsidRPr="002603BC">
              <w:rPr>
                <w:bCs/>
                <w:color w:val="000000" w:themeColor="text1"/>
                <w:lang w:eastAsia="zh-CN"/>
              </w:rPr>
              <w:t xml:space="preserve">tajā nav sniegts </w:t>
            </w:r>
            <w:r w:rsidRPr="002603BC">
              <w:rPr>
                <w:bCs/>
                <w:color w:val="000000" w:themeColor="text1"/>
                <w:lang w:eastAsia="zh-CN"/>
              </w:rPr>
              <w:lastRenderedPageBreak/>
              <w:t>pamatojums, kāpēc tiek svītrot</w:t>
            </w:r>
            <w:r>
              <w:rPr>
                <w:bCs/>
                <w:color w:val="000000" w:themeColor="text1"/>
                <w:lang w:eastAsia="zh-CN"/>
              </w:rPr>
              <w:t>a</w:t>
            </w:r>
            <w:r w:rsidRPr="002603BC">
              <w:rPr>
                <w:bCs/>
                <w:color w:val="000000" w:themeColor="text1"/>
                <w:lang w:eastAsia="zh-CN"/>
              </w:rPr>
              <w:t xml:space="preserve"> </w:t>
            </w:r>
            <w:r w:rsidRPr="002603BC">
              <w:rPr>
                <w:iCs/>
              </w:rPr>
              <w:t>likuma "</w:t>
            </w:r>
            <w:hyperlink r:id="rId13" w:tgtFrame="_blank" w:history="1">
              <w:r w:rsidRPr="002603BC">
                <w:rPr>
                  <w:iCs/>
                </w:rPr>
                <w:t>Par valsts sociālo apdrošināšanu</w:t>
              </w:r>
            </w:hyperlink>
            <w:r w:rsidRPr="002603BC">
              <w:rPr>
                <w:iCs/>
              </w:rPr>
              <w:t>"</w:t>
            </w:r>
            <w:hyperlink r:id="rId14" w:anchor="p13" w:tgtFrame="_blank" w:history="1">
              <w:r w:rsidRPr="002603BC">
                <w:rPr>
                  <w:iCs/>
                </w:rPr>
                <w:t>13.</w:t>
              </w:r>
            </w:hyperlink>
            <w:r w:rsidRPr="002603BC">
              <w:rPr>
                <w:iCs/>
              </w:rPr>
              <w:t xml:space="preserve"> panta trešā daļa un </w:t>
            </w:r>
            <w:hyperlink r:id="rId15" w:anchor="p14" w:tgtFrame="_blank" w:history="1">
              <w:r w:rsidRPr="002603BC">
                <w:rPr>
                  <w:iCs/>
                </w:rPr>
                <w:t>14.</w:t>
              </w:r>
            </w:hyperlink>
            <w:r w:rsidRPr="002603BC">
              <w:rPr>
                <w:iCs/>
              </w:rPr>
              <w:t> panta sestā daļa.</w:t>
            </w:r>
          </w:p>
          <w:p w14:paraId="23C7B222" w14:textId="18F65CD2" w:rsidR="00875F63" w:rsidRPr="00966C83" w:rsidRDefault="00FE402E" w:rsidP="00FE402E">
            <w:pPr>
              <w:ind w:firstLine="720"/>
              <w:jc w:val="both"/>
            </w:pPr>
            <w:r>
              <w:rPr>
                <w:bCs/>
                <w:color w:val="000000" w:themeColor="text1"/>
                <w:lang w:eastAsia="zh-CN"/>
              </w:rPr>
              <w:t xml:space="preserve">Vienlaikus, ja no noteikumu izdošanas tiesiskā pamata tiek svītrota </w:t>
            </w:r>
            <w:r w:rsidRPr="00F37359">
              <w:rPr>
                <w:iCs/>
              </w:rPr>
              <w:t>likuma "</w:t>
            </w:r>
            <w:hyperlink r:id="rId16" w:tgtFrame="_blank" w:history="1">
              <w:r w:rsidRPr="00F37359">
                <w:rPr>
                  <w:iCs/>
                </w:rPr>
                <w:t>Par valsts sociālo apdrošināšanu</w:t>
              </w:r>
            </w:hyperlink>
            <w:r w:rsidRPr="00F37359">
              <w:rPr>
                <w:iCs/>
              </w:rPr>
              <w:t xml:space="preserve">" </w:t>
            </w:r>
            <w:hyperlink r:id="rId17" w:anchor="p13" w:tgtFrame="_blank" w:history="1">
              <w:r w:rsidRPr="00F37359">
                <w:rPr>
                  <w:iCs/>
                </w:rPr>
                <w:t>13.</w:t>
              </w:r>
            </w:hyperlink>
            <w:r w:rsidRPr="00F37359">
              <w:rPr>
                <w:iCs/>
              </w:rPr>
              <w:t> panta treš</w:t>
            </w:r>
            <w:r>
              <w:rPr>
                <w:iCs/>
              </w:rPr>
              <w:t>ā</w:t>
            </w:r>
            <w:r w:rsidRPr="00F37359">
              <w:rPr>
                <w:iCs/>
              </w:rPr>
              <w:t xml:space="preserve"> daļa un </w:t>
            </w:r>
            <w:hyperlink r:id="rId18" w:anchor="p14" w:tgtFrame="_blank" w:history="1">
              <w:r w:rsidRPr="00F37359">
                <w:rPr>
                  <w:iCs/>
                </w:rPr>
                <w:t>14.</w:t>
              </w:r>
            </w:hyperlink>
            <w:r w:rsidRPr="00F37359">
              <w:rPr>
                <w:iCs/>
              </w:rPr>
              <w:t xml:space="preserve"> panta </w:t>
            </w:r>
            <w:r>
              <w:rPr>
                <w:iCs/>
              </w:rPr>
              <w:t>sestā</w:t>
            </w:r>
            <w:r w:rsidRPr="00F37359">
              <w:rPr>
                <w:iCs/>
              </w:rPr>
              <w:t xml:space="preserve"> daļa, attiecīgi precizējumi ir veicami arī </w:t>
            </w:r>
            <w:r w:rsidRPr="009239B5">
              <w:t>Ministru kabineta 2010. gada 12. oktobra noteikum</w:t>
            </w:r>
            <w:r>
              <w:t>u</w:t>
            </w:r>
            <w:r w:rsidRPr="009239B5">
              <w:t xml:space="preserve"> Nr. 976 "Noteikumi par brīvprātīgu pievienošanos valsts sociālajai apdrošināšanai</w:t>
            </w:r>
            <w:r w:rsidRPr="00FC3353">
              <w:t>"</w:t>
            </w:r>
            <w:r>
              <w:t xml:space="preserve"> (turpmāk – MK noteikumi Nr. 976) 1. punktā atbilstoši </w:t>
            </w:r>
            <w:r w:rsidRPr="00665D8F">
              <w:t>Ministru kabineta 2009.</w:t>
            </w:r>
            <w:r>
              <w:t> </w:t>
            </w:r>
            <w:r w:rsidRPr="00665D8F">
              <w:t>gada 3.</w:t>
            </w:r>
            <w:r>
              <w:t> </w:t>
            </w:r>
            <w:r w:rsidRPr="00665D8F">
              <w:t>februāra noteikumu Nr.</w:t>
            </w:r>
            <w:r>
              <w:t> </w:t>
            </w:r>
            <w:r w:rsidRPr="00665D8F">
              <w:t xml:space="preserve">108 </w:t>
            </w:r>
            <w:r>
              <w:t>"</w:t>
            </w:r>
            <w:r w:rsidRPr="00665D8F">
              <w:t>Normatīvo aktu projektu sagatavošanas noteikumi</w:t>
            </w:r>
            <w:r>
              <w:t>" 100. punktam. Attiecīgi ir pārskatāms viss MK noteikumu Nr. 976 saturs.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0980B1" w14:textId="4A534547" w:rsidR="00875F63" w:rsidRPr="002F0BF1" w:rsidRDefault="00875F63" w:rsidP="00D96DE3">
            <w:pPr>
              <w:pStyle w:val="naisc"/>
              <w:spacing w:before="0" w:after="0"/>
              <w:jc w:val="both"/>
            </w:pPr>
            <w:r w:rsidRPr="002F0BF1">
              <w:lastRenderedPageBreak/>
              <w:t>Iebildums ņemts vērā.</w:t>
            </w:r>
            <w:r w:rsidR="004D76D2">
              <w:t xml:space="preserve"> Precizēts Noteikumu projekta izdošanas </w:t>
            </w:r>
            <w:r w:rsidR="004C1C22">
              <w:t xml:space="preserve">tiesiskais </w:t>
            </w:r>
            <w:r w:rsidR="004D76D2">
              <w:t xml:space="preserve">pamats, kurā netiek svītrota likuma “Par valsts sociālo apdrošināšanu” 13.panta trešā daļa un 14.panta sestā daļa.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AE4EF" w14:textId="4226A60E" w:rsidR="00875F63" w:rsidRPr="002F0BF1" w:rsidRDefault="004C1C22" w:rsidP="00D96DE3">
            <w:pPr>
              <w:jc w:val="both"/>
            </w:pPr>
            <w:r>
              <w:t>Skatīt noteikumu projektu.</w:t>
            </w:r>
          </w:p>
        </w:tc>
      </w:tr>
      <w:tr w:rsidR="004C1C22" w:rsidRPr="002F0BF1" w14:paraId="2F0F5308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1D010" w14:textId="77777777" w:rsidR="004C1C22" w:rsidRDefault="004C1C22" w:rsidP="00D96DE3">
            <w:pPr>
              <w:pStyle w:val="naisc"/>
              <w:spacing w:before="60" w:after="0"/>
            </w:pP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47B3DA" w14:textId="48E87061" w:rsidR="004D3F87" w:rsidRDefault="004C1C22" w:rsidP="00D96DE3">
            <w:pPr>
              <w:pStyle w:val="naisc"/>
              <w:spacing w:before="0" w:after="0"/>
              <w:jc w:val="both"/>
            </w:pPr>
            <w:r>
              <w:t xml:space="preserve">2. </w:t>
            </w:r>
            <w:r w:rsidR="0096181F">
              <w:t xml:space="preserve">Skat. noteikumu projektu. </w:t>
            </w:r>
          </w:p>
          <w:p w14:paraId="0BCD8A5E" w14:textId="77777777" w:rsidR="004D3F87" w:rsidRPr="004D3F87" w:rsidRDefault="004D3F87" w:rsidP="004D3F87"/>
          <w:p w14:paraId="6A63037B" w14:textId="77777777" w:rsidR="004D3F87" w:rsidRPr="004D3F87" w:rsidRDefault="004D3F87" w:rsidP="004D3F87"/>
          <w:p w14:paraId="7A0B135D" w14:textId="77777777" w:rsidR="004D3F87" w:rsidRPr="004D3F87" w:rsidRDefault="004D3F87" w:rsidP="004D3F87"/>
          <w:p w14:paraId="1E9C0BC4" w14:textId="77777777" w:rsidR="004D3F87" w:rsidRPr="004D3F87" w:rsidRDefault="004D3F87" w:rsidP="004D3F87"/>
          <w:p w14:paraId="2AF2A40C" w14:textId="77777777" w:rsidR="004D3F87" w:rsidRPr="004D3F87" w:rsidRDefault="004D3F87" w:rsidP="004D3F87"/>
          <w:p w14:paraId="50B909B2" w14:textId="77777777" w:rsidR="004D3F87" w:rsidRPr="004D3F87" w:rsidRDefault="004D3F87" w:rsidP="004D3F87"/>
          <w:p w14:paraId="09361215" w14:textId="77777777" w:rsidR="004D3F87" w:rsidRPr="004D3F87" w:rsidRDefault="004D3F87" w:rsidP="004D3F87"/>
          <w:p w14:paraId="611F9973" w14:textId="77777777" w:rsidR="004D3F87" w:rsidRPr="004D3F87" w:rsidRDefault="004D3F87" w:rsidP="004D3F87"/>
          <w:p w14:paraId="2C0D9D61" w14:textId="77777777" w:rsidR="004D3F87" w:rsidRPr="004D3F87" w:rsidRDefault="004D3F87" w:rsidP="004D3F87"/>
          <w:p w14:paraId="478278A6" w14:textId="77777777" w:rsidR="004D3F87" w:rsidRPr="004D3F87" w:rsidRDefault="004D3F87" w:rsidP="004D3F87"/>
          <w:p w14:paraId="13201375" w14:textId="77777777" w:rsidR="004D3F87" w:rsidRPr="004D3F87" w:rsidRDefault="004D3F87" w:rsidP="004D3F87"/>
          <w:p w14:paraId="54F71CE2" w14:textId="77777777" w:rsidR="004D3F87" w:rsidRPr="004D3F87" w:rsidRDefault="004D3F87" w:rsidP="004D3F87"/>
          <w:p w14:paraId="76B08771" w14:textId="77777777" w:rsidR="004D3F87" w:rsidRPr="004D3F87" w:rsidRDefault="004D3F87" w:rsidP="004D3F87"/>
          <w:p w14:paraId="206287A5" w14:textId="77777777" w:rsidR="004D3F87" w:rsidRPr="004D3F87" w:rsidRDefault="004D3F87" w:rsidP="004D3F87"/>
          <w:p w14:paraId="182C219E" w14:textId="7EFA7737" w:rsidR="004D3F87" w:rsidRDefault="004D3F87" w:rsidP="004D3F87"/>
          <w:p w14:paraId="69BC749C" w14:textId="77777777" w:rsidR="004C1C22" w:rsidRPr="004D3F87" w:rsidRDefault="004C1C22" w:rsidP="004D3F87">
            <w:pPr>
              <w:jc w:val="right"/>
            </w:pP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404408" w14:textId="77777777" w:rsidR="004C1C22" w:rsidRPr="004C1C22" w:rsidRDefault="004C1C22" w:rsidP="004C1C22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</w:pPr>
            <w:r w:rsidRPr="004C1C22">
              <w:t xml:space="preserve">Atbilstoši informatīvajam ziņojumam "Priekšlikumi ārējo normatīvo aktu grozījumu skaita samazināšanai" nepieciešams mazināt tiesiskā regulējuma pārmērīgu jaunradi skaitā un apjomā. Ministru kabineta 2014. gada 26. augusta sēdes </w:t>
            </w:r>
            <w:proofErr w:type="spellStart"/>
            <w:r w:rsidRPr="004C1C22">
              <w:t>protokollēmuma</w:t>
            </w:r>
            <w:proofErr w:type="spellEnd"/>
            <w:r w:rsidRPr="004C1C22">
              <w:t xml:space="preserve"> Nr. 45 45.§ 12.7. apakšpunktā noteikts, ka atbildīgā ministrija normatīvā akta projektu izstrādā, pēc iespējas izvairoties no vienu jomu regulējošā tiesiskā regulējuma sadrumstalotības; nepieciešamības gadījumā spēkā esošo normatīvo aktu papildina ar pilnvarojumam atbilstošu regulējumu. </w:t>
            </w:r>
          </w:p>
          <w:p w14:paraId="317ED008" w14:textId="77777777" w:rsidR="004C1C22" w:rsidRPr="008005AC" w:rsidRDefault="004C1C22" w:rsidP="004C1C2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800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tiesiskais regulējums ir sadrumstalots pa vairākiem normatīvajiem aktiem, tiesisko attiecību dalībniekiem ir grūti orientēties tiesiskajā regulējumā, kas noved pie vairākām negatīvām sekām: pirmkārt, savu tiesību un pienākumu nepietiekoša izpratne; otrkārt, palielinās normatīvo aktu pārkāpuma risks; treškārt, pieaug </w:t>
            </w:r>
            <w:r w:rsidRPr="008005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negatīva attieksme pret likumdevēju un valsts pārvaldes institūcijām kopumā.</w:t>
            </w:r>
            <w:r w:rsidRPr="008005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</w:p>
          <w:p w14:paraId="15CB9B53" w14:textId="68FF96C0" w:rsidR="004C1C22" w:rsidRPr="004C1C22" w:rsidRDefault="004C1C22" w:rsidP="004C1C22">
            <w:pPr>
              <w:tabs>
                <w:tab w:val="left" w:pos="709"/>
                <w:tab w:val="left" w:pos="1134"/>
              </w:tabs>
              <w:jc w:val="both"/>
            </w:pPr>
            <w:r w:rsidRPr="008005AC">
              <w:rPr>
                <w:bCs/>
                <w:iCs/>
                <w:lang w:eastAsia="zh-CN"/>
              </w:rPr>
              <w:t xml:space="preserve">Ņemot vērā minēto, lūdzam izvērtēt iespēju apvienot noteikumu projektā paredzēto regulējumu ar </w:t>
            </w:r>
            <w:r w:rsidRPr="008005AC">
              <w:rPr>
                <w:bCs/>
              </w:rPr>
              <w:t xml:space="preserve">Ministru kabineta </w:t>
            </w:r>
            <w:r w:rsidRPr="008005AC">
              <w:t>2013.</w:t>
            </w:r>
            <w:r>
              <w:t> </w:t>
            </w:r>
            <w:r w:rsidRPr="008005AC">
              <w:t>gada 17.</w:t>
            </w:r>
            <w:r>
              <w:t> </w:t>
            </w:r>
            <w:r w:rsidRPr="008005AC">
              <w:t>decembr</w:t>
            </w:r>
            <w:r>
              <w:t>a</w:t>
            </w:r>
            <w:r w:rsidRPr="008005AC">
              <w:t xml:space="preserve"> </w:t>
            </w:r>
            <w:r w:rsidRPr="008005AC">
              <w:rPr>
                <w:bCs/>
              </w:rPr>
              <w:t>noteikum</w:t>
            </w:r>
            <w:r>
              <w:rPr>
                <w:bCs/>
              </w:rPr>
              <w:t>os</w:t>
            </w:r>
            <w:r w:rsidRPr="008005AC">
              <w:rPr>
                <w:bCs/>
              </w:rPr>
              <w:t xml:space="preserve"> Nr.</w:t>
            </w:r>
            <w:r>
              <w:rPr>
                <w:bCs/>
              </w:rPr>
              <w:t> </w:t>
            </w:r>
            <w:r w:rsidRPr="008005AC">
              <w:rPr>
                <w:bCs/>
              </w:rPr>
              <w:t>1478</w:t>
            </w:r>
            <w:r w:rsidRPr="008005AC">
              <w:t xml:space="preserve"> "</w:t>
            </w:r>
            <w:r w:rsidRPr="008005AC">
              <w:rPr>
                <w:bCs/>
              </w:rPr>
              <w:t>Noteikumi par valsts sociālās apdrošināšanas obligāto un brīvprātīgo iemaksu objekta minimālo un maksimālo apmēru"</w:t>
            </w:r>
            <w:r>
              <w:rPr>
                <w:bCs/>
              </w:rPr>
              <w:t xml:space="preserve"> paredzēto regulējumu, jo tie arī ir izdoti saskaņā ar </w:t>
            </w:r>
            <w:hyperlink r:id="rId19" w:tgtFrame="_blank" w:history="1">
              <w:r w:rsidRPr="008005AC">
                <w:rPr>
                  <w:iCs/>
                </w:rPr>
                <w:t>Mikrouzņēmumu nodokļa likuma</w:t>
              </w:r>
            </w:hyperlink>
            <w:r w:rsidRPr="008005AC">
              <w:rPr>
                <w:iCs/>
              </w:rPr>
              <w:t xml:space="preserve"> </w:t>
            </w:r>
            <w:hyperlink r:id="rId20" w:anchor="p9" w:tgtFrame="_blank" w:history="1">
              <w:r w:rsidRPr="008005AC">
                <w:rPr>
                  <w:iCs/>
                </w:rPr>
                <w:t>9.</w:t>
              </w:r>
            </w:hyperlink>
            <w:r w:rsidRPr="008005AC">
              <w:rPr>
                <w:iCs/>
              </w:rPr>
              <w:t> panta piekt</w:t>
            </w:r>
            <w:r>
              <w:rPr>
                <w:iCs/>
              </w:rPr>
              <w:t>o</w:t>
            </w:r>
            <w:r w:rsidRPr="008005AC">
              <w:rPr>
                <w:iCs/>
              </w:rPr>
              <w:t xml:space="preserve"> daļ</w:t>
            </w:r>
            <w:r>
              <w:rPr>
                <w:iCs/>
              </w:rPr>
              <w:t xml:space="preserve">u. </w:t>
            </w:r>
            <w:r>
              <w:rPr>
                <w:bCs/>
                <w:iCs/>
                <w:lang w:eastAsia="zh-CN"/>
              </w:rPr>
              <w:t>T</w:t>
            </w:r>
            <w:r w:rsidRPr="008005AC">
              <w:rPr>
                <w:bCs/>
                <w:iCs/>
                <w:lang w:eastAsia="zh-CN"/>
              </w:rPr>
              <w:t xml:space="preserve">ādējādi </w:t>
            </w:r>
            <w:r>
              <w:rPr>
                <w:bCs/>
                <w:iCs/>
                <w:lang w:eastAsia="zh-CN"/>
              </w:rPr>
              <w:t xml:space="preserve">tiktu </w:t>
            </w:r>
            <w:r w:rsidRPr="008005AC">
              <w:rPr>
                <w:bCs/>
                <w:iCs/>
                <w:lang w:eastAsia="zh-CN"/>
              </w:rPr>
              <w:t>nodrošin</w:t>
            </w:r>
            <w:r>
              <w:rPr>
                <w:bCs/>
                <w:iCs/>
                <w:lang w:eastAsia="zh-CN"/>
              </w:rPr>
              <w:t>āts</w:t>
            </w:r>
            <w:r w:rsidRPr="008005AC">
              <w:rPr>
                <w:bCs/>
                <w:iCs/>
                <w:lang w:eastAsia="zh-CN"/>
              </w:rPr>
              <w:t>, ka regulējums par savstarpēji saistītiem jautājumiem ir vienuviet.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32CB43" w14:textId="350E8F03" w:rsidR="004C1C22" w:rsidRDefault="003A6DBD" w:rsidP="00D96DE3">
            <w:pPr>
              <w:pStyle w:val="naisc"/>
              <w:spacing w:before="0" w:after="0"/>
              <w:jc w:val="both"/>
            </w:pPr>
            <w:r>
              <w:lastRenderedPageBreak/>
              <w:t>Telefoniski panākta vienošanās, ka iespējas samazināt normatīvo aktu skaitu ar vienu un to pašu tiesisko pamatu, lai izvairītos no vienu jomu regulējošā tiesiskā regulējuma sadrumstalotības, šobrīd ir izsmeltas</w:t>
            </w:r>
            <w:r w:rsidR="000E6E0C">
              <w:t xml:space="preserve">. </w:t>
            </w:r>
            <w:r w:rsidR="00603FC8">
              <w:t>V</w:t>
            </w:r>
            <w:r w:rsidR="000E6E0C">
              <w:t xml:space="preserve">eicot grozījumus virknē tiesību aktu sociālās apdrošināšanas </w:t>
            </w:r>
            <w:r w:rsidR="001733DE">
              <w:t xml:space="preserve">obligāto un brīvprātīgo </w:t>
            </w:r>
            <w:r w:rsidR="000E6E0C">
              <w:t xml:space="preserve">iemaksu jomā 2014.gada nogalē, tika veikta tiesību aktu analīze atbilstoši </w:t>
            </w:r>
            <w:r w:rsidR="000E6E0C" w:rsidRPr="004C1C22">
              <w:t xml:space="preserve">Ministru kabineta 2014. gada 26. augusta sēdes </w:t>
            </w:r>
            <w:proofErr w:type="spellStart"/>
            <w:r w:rsidR="000E6E0C" w:rsidRPr="004C1C22">
              <w:t>protokollēmum</w:t>
            </w:r>
            <w:r w:rsidR="001B77E9">
              <w:t>ā</w:t>
            </w:r>
            <w:proofErr w:type="spellEnd"/>
            <w:r w:rsidR="000E6E0C" w:rsidRPr="004C1C22">
              <w:t xml:space="preserve"> Nr. 45 45.§ 12.7. apakšpunktā noteikt</w:t>
            </w:r>
            <w:r w:rsidR="000E6E0C">
              <w:t xml:space="preserve">ajam. </w:t>
            </w:r>
          </w:p>
          <w:p w14:paraId="3F126CA2" w14:textId="1230ED02" w:rsidR="003A6DBD" w:rsidRDefault="000E6E0C" w:rsidP="00D96DE3">
            <w:pPr>
              <w:pStyle w:val="naisc"/>
              <w:spacing w:before="0" w:after="0"/>
              <w:jc w:val="both"/>
            </w:pPr>
            <w:r>
              <w:lastRenderedPageBreak/>
              <w:t>Šobrīd</w:t>
            </w:r>
            <w:r w:rsidR="003A6DBD">
              <w:t xml:space="preserve"> noteikumu projekts</w:t>
            </w:r>
            <w:r>
              <w:t xml:space="preserve"> </w:t>
            </w:r>
            <w:r w:rsidR="003A6DBD">
              <w:t xml:space="preserve"> </w:t>
            </w:r>
            <w:r w:rsidR="001B77E9">
              <w:t xml:space="preserve">vērtējams kā tehniski grozījumi, lai nodrošinātu Diasporas likumā noteikto, proti, dot iespēju brīvprātīgi pievienoties valsts sociālajai apdrošināšanai personām, kuras uzskatāmas par diasporas locekļiem. </w:t>
            </w:r>
            <w:r w:rsidR="00B56F70">
              <w:t xml:space="preserve">Vienlaikus, veicot plašākus grozījumus, tiks </w:t>
            </w:r>
            <w:r w:rsidR="001733DE">
              <w:t>vērtētas</w:t>
            </w:r>
            <w:r w:rsidR="00B56F70">
              <w:t xml:space="preserve"> iespējas novērst tiesiskā regulējuma nepamatotu sadrumstalotību.</w:t>
            </w:r>
            <w:r w:rsidR="001733DE">
              <w:t xml:space="preserve">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E6682" w14:textId="12B7B347" w:rsidR="004C1C22" w:rsidRDefault="00015AFD" w:rsidP="00D96DE3">
            <w:pPr>
              <w:jc w:val="both"/>
            </w:pPr>
            <w:r>
              <w:lastRenderedPageBreak/>
              <w:t>Skatīt noteikumu projektu.</w:t>
            </w:r>
          </w:p>
        </w:tc>
      </w:tr>
      <w:tr w:rsidR="00834C4E" w:rsidRPr="002F0BF1" w14:paraId="2FF8F7E2" w14:textId="77777777" w:rsidTr="00AF0D6C">
        <w:tc>
          <w:tcPr>
            <w:tcW w:w="19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B1EA6" w14:textId="77777777" w:rsidR="00834C4E" w:rsidRDefault="00834C4E" w:rsidP="00D96DE3">
            <w:pPr>
              <w:pStyle w:val="naisc"/>
              <w:spacing w:before="60" w:after="0"/>
            </w:pPr>
          </w:p>
        </w:tc>
        <w:tc>
          <w:tcPr>
            <w:tcW w:w="816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039D4C" w14:textId="1515D5C3" w:rsidR="00834C4E" w:rsidRDefault="00834C4E" w:rsidP="00D96DE3">
            <w:pPr>
              <w:pStyle w:val="naisc"/>
              <w:spacing w:before="0" w:after="0"/>
              <w:jc w:val="both"/>
            </w:pPr>
            <w:r>
              <w:t>3. Skatīt anotāciju.</w:t>
            </w:r>
          </w:p>
        </w:tc>
        <w:tc>
          <w:tcPr>
            <w:tcW w:w="1879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C1799E" w14:textId="77777777" w:rsidR="00603FC8" w:rsidRPr="00603FC8" w:rsidRDefault="00603FC8" w:rsidP="00603FC8">
            <w:pPr>
              <w:widowControl w:val="0"/>
              <w:tabs>
                <w:tab w:val="left" w:pos="1134"/>
              </w:tabs>
              <w:suppressAutoHyphens/>
              <w:ind w:right="12"/>
              <w:jc w:val="both"/>
            </w:pPr>
            <w:r w:rsidRPr="00603FC8">
              <w:t xml:space="preserve">Noteikumu projekta anotācijas I sadaļas 2. punktā ir sniegta informācija, ka noteikumu projektā paredzētais </w:t>
            </w:r>
            <w:r w:rsidRPr="00603FC8">
              <w:rPr>
                <w:iCs/>
                <w:noProof/>
                <w:color w:val="000000"/>
              </w:rPr>
              <w:t xml:space="preserve">ļaus diasporas locekļiem, kuri vēlas atgriezties Latvijā, pievienoties pensiju apdrošināšanai, ciktāl tas nav pretrunā ar tiesībām un pienākumiem, ko nosaka Eiropas Parlamenta un Padomes 2004. gada 29. aprīļa </w:t>
            </w:r>
            <w:hyperlink r:id="rId21" w:history="1">
              <w:r w:rsidRPr="00603FC8">
                <w:rPr>
                  <w:iCs/>
                  <w:noProof/>
                  <w:color w:val="000000"/>
                </w:rPr>
                <w:t>Regula (EK) Nr. 883/2004 par sociālās nodrošināšanas sistēmu koordinēšanu</w:t>
              </w:r>
            </w:hyperlink>
            <w:r w:rsidRPr="00603FC8">
              <w:rPr>
                <w:iCs/>
                <w:noProof/>
                <w:color w:val="000000"/>
              </w:rPr>
              <w:t xml:space="preserve"> un divpusējie starptautiskie līgumi sociālās drošības jomā.</w:t>
            </w:r>
          </w:p>
          <w:p w14:paraId="59B64207" w14:textId="0A6357AD" w:rsidR="00834C4E" w:rsidRPr="004C1C22" w:rsidRDefault="00603FC8" w:rsidP="00603FC8">
            <w:pPr>
              <w:tabs>
                <w:tab w:val="left" w:pos="0"/>
                <w:tab w:val="left" w:pos="709"/>
                <w:tab w:val="left" w:pos="993"/>
              </w:tabs>
              <w:suppressAutoHyphens/>
              <w:jc w:val="both"/>
              <w:outlineLvl w:val="3"/>
            </w:pPr>
            <w:r>
              <w:rPr>
                <w:iCs/>
                <w:noProof/>
                <w:color w:val="000000"/>
              </w:rPr>
              <w:t xml:space="preserve">Ņemot vērā minēto, lūdzam atbilstoši Instrukcijas Nr. 19 VI nodaļai aizpildīt anotācijas </w:t>
            </w:r>
            <w:r>
              <w:rPr>
                <w:iCs/>
                <w:noProof/>
                <w:color w:val="000000"/>
              </w:rPr>
              <w:br/>
              <w:t>V sadaļu, atspoguļojot informāciju par noteikumu projekta atbilstību starptautiskajām saistībām.</w:t>
            </w:r>
          </w:p>
        </w:tc>
        <w:tc>
          <w:tcPr>
            <w:tcW w:w="1062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D5705B" w14:textId="77777777" w:rsidR="00834C4E" w:rsidRDefault="00BF3B8A" w:rsidP="00D96DE3">
            <w:pPr>
              <w:pStyle w:val="naisc"/>
              <w:spacing w:before="0" w:after="0"/>
              <w:jc w:val="both"/>
            </w:pPr>
            <w:r>
              <w:t>Iebildums daļēji ņemts vērā.</w:t>
            </w:r>
          </w:p>
          <w:p w14:paraId="400FE314" w14:textId="0F82BF65" w:rsidR="00BF3B8A" w:rsidRDefault="00BF3B8A" w:rsidP="00D96DE3">
            <w:pPr>
              <w:pStyle w:val="naisc"/>
              <w:spacing w:before="0" w:after="0"/>
              <w:jc w:val="both"/>
            </w:pPr>
            <w:r>
              <w:t>Precizēta a</w:t>
            </w:r>
            <w:r w:rsidR="00B85F98">
              <w:t>notācija.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75C9E" w14:textId="3EB6A07E" w:rsidR="00834C4E" w:rsidRPr="00D82218" w:rsidRDefault="00D82218" w:rsidP="00D82218">
            <w:pPr>
              <w:jc w:val="both"/>
              <w:rPr>
                <w:color w:val="000000"/>
              </w:rPr>
            </w:pPr>
            <w:r w:rsidRPr="00ED4B1A">
              <w:rPr>
                <w:iCs/>
                <w:noProof/>
                <w:color w:val="000000"/>
              </w:rPr>
              <w:t xml:space="preserve">Līdz ar to  nosakāms, kā diasporas locekļi </w:t>
            </w:r>
            <w:r>
              <w:rPr>
                <w:iCs/>
                <w:noProof/>
                <w:color w:val="000000"/>
              </w:rPr>
              <w:t xml:space="preserve">brīvprātīgi </w:t>
            </w:r>
            <w:r w:rsidRPr="00ED4B1A">
              <w:rPr>
                <w:iCs/>
                <w:noProof/>
                <w:color w:val="000000"/>
              </w:rPr>
              <w:t>pievienoja</w:t>
            </w:r>
            <w:r>
              <w:rPr>
                <w:iCs/>
                <w:noProof/>
                <w:color w:val="000000"/>
              </w:rPr>
              <w:t>s valsts pensiju apdrošināšanai.</w:t>
            </w:r>
            <w:r>
              <w:rPr>
                <w:rFonts w:eastAsiaTheme="minorHAnsi"/>
                <w:color w:val="000000"/>
              </w:rPr>
              <w:t xml:space="preserve"> Rezultātā tiek paplašināts sociālās apdrošināšanas sistēmas tvērums un diasporas locekļi, kuriem nerodas pienākums iesaistīties sociālās drošības sistēmā vai tiesības saņemt pensiju atbilstoši Eiropas Parlamenta un Padomes 2004.gada 29.aprīļa </w:t>
            </w:r>
            <w:hyperlink r:id="rId22" w:history="1">
              <w:r>
                <w:rPr>
                  <w:rFonts w:eastAsiaTheme="minorHAnsi"/>
                  <w:color w:val="000000"/>
                </w:rPr>
                <w:t>Regulas (EK) Nr. 883/2004 par sociālās nodrošināšanas sistēmu koordinēšanu</w:t>
              </w:r>
            </w:hyperlink>
            <w:r>
              <w:rPr>
                <w:rFonts w:eastAsiaTheme="minorHAnsi"/>
                <w:color w:val="000000"/>
              </w:rPr>
              <w:t xml:space="preserve"> (turpmāk — regula) noteikumiem vai atbilstoši Latvijas Republikas noslēgtajiem divpusējiem starptautiskajiem līgumiem </w:t>
            </w:r>
            <w:r>
              <w:rPr>
                <w:rFonts w:eastAsiaTheme="minorHAnsi"/>
                <w:color w:val="000000"/>
              </w:rPr>
              <w:lastRenderedPageBreak/>
              <w:t>sociālās drošības jomā,  var pievienoties valsts pensiju apdrošināšanai brīvprātīgi.</w:t>
            </w:r>
          </w:p>
        </w:tc>
      </w:tr>
      <w:tr w:rsidR="00875F63" w:rsidRPr="002F0BF1" w14:paraId="25C41444" w14:textId="77777777" w:rsidTr="00AF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53" w:type="pct"/>
        </w:trPr>
        <w:tc>
          <w:tcPr>
            <w:tcW w:w="1836" w:type="pct"/>
            <w:gridSpan w:val="3"/>
          </w:tcPr>
          <w:p w14:paraId="14C938B5" w14:textId="77777777" w:rsidR="00875F63" w:rsidRPr="002F0BF1" w:rsidRDefault="00875F63" w:rsidP="00D96DE3">
            <w:pPr>
              <w:pStyle w:val="naiskr"/>
              <w:spacing w:before="0" w:after="0"/>
              <w:rPr>
                <w:sz w:val="26"/>
                <w:szCs w:val="26"/>
              </w:rPr>
            </w:pPr>
          </w:p>
          <w:p w14:paraId="06913054" w14:textId="09218C47" w:rsidR="00875F63" w:rsidRDefault="00875F63" w:rsidP="00D96DE3">
            <w:pPr>
              <w:pStyle w:val="naiskr"/>
              <w:spacing w:before="0" w:after="0"/>
              <w:rPr>
                <w:sz w:val="26"/>
                <w:szCs w:val="26"/>
              </w:rPr>
            </w:pPr>
          </w:p>
          <w:p w14:paraId="670F32E4" w14:textId="77777777" w:rsidR="004D3F87" w:rsidRPr="002F0BF1" w:rsidRDefault="004D3F87" w:rsidP="00D96DE3">
            <w:pPr>
              <w:pStyle w:val="naiskr"/>
              <w:spacing w:before="0" w:after="0"/>
              <w:rPr>
                <w:sz w:val="26"/>
                <w:szCs w:val="26"/>
              </w:rPr>
            </w:pPr>
          </w:p>
          <w:p w14:paraId="0AF7BF51" w14:textId="77777777" w:rsidR="00875F63" w:rsidRPr="002F0BF1" w:rsidRDefault="00875F63" w:rsidP="00D96DE3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2F0BF1">
              <w:rPr>
                <w:sz w:val="26"/>
                <w:szCs w:val="26"/>
              </w:rPr>
              <w:t>Atbildīgā amatpersona</w:t>
            </w:r>
          </w:p>
        </w:tc>
        <w:tc>
          <w:tcPr>
            <w:tcW w:w="2111" w:type="pct"/>
            <w:gridSpan w:val="2"/>
          </w:tcPr>
          <w:p w14:paraId="5D732DC3" w14:textId="77777777" w:rsidR="00875F63" w:rsidRPr="002F0BF1" w:rsidRDefault="00875F63" w:rsidP="00D96DE3">
            <w:pPr>
              <w:pStyle w:val="naiskr"/>
              <w:spacing w:before="0" w:after="0"/>
              <w:ind w:firstLine="720"/>
              <w:rPr>
                <w:sz w:val="26"/>
                <w:szCs w:val="26"/>
              </w:rPr>
            </w:pPr>
            <w:r w:rsidRPr="002F0BF1">
              <w:rPr>
                <w:sz w:val="26"/>
                <w:szCs w:val="26"/>
              </w:rPr>
              <w:t>  </w:t>
            </w:r>
          </w:p>
          <w:p w14:paraId="26AF798B" w14:textId="77777777" w:rsidR="00875F63" w:rsidRPr="002F0BF1" w:rsidRDefault="00875F63" w:rsidP="00D96DE3">
            <w:pPr>
              <w:pStyle w:val="naiskr"/>
              <w:spacing w:before="0" w:after="0"/>
              <w:ind w:firstLine="720"/>
              <w:jc w:val="right"/>
              <w:rPr>
                <w:sz w:val="26"/>
                <w:szCs w:val="26"/>
              </w:rPr>
            </w:pPr>
          </w:p>
          <w:p w14:paraId="34D68BF5" w14:textId="5C2B9EB1" w:rsidR="00875F63" w:rsidRPr="002F0BF1" w:rsidRDefault="00AD62B0" w:rsidP="00D96DE3">
            <w:pPr>
              <w:pStyle w:val="naiskr"/>
              <w:spacing w:before="0" w:after="0"/>
              <w:ind w:firstLine="7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</w:t>
            </w:r>
            <w:r w:rsidR="00875F63" w:rsidRPr="002F0BF1">
              <w:rPr>
                <w:sz w:val="26"/>
                <w:szCs w:val="26"/>
              </w:rPr>
              <w:t>.R</w:t>
            </w:r>
            <w:r>
              <w:rPr>
                <w:sz w:val="26"/>
                <w:szCs w:val="26"/>
              </w:rPr>
              <w:t>amane</w:t>
            </w:r>
            <w:proofErr w:type="spellEnd"/>
          </w:p>
        </w:tc>
      </w:tr>
      <w:tr w:rsidR="00875F63" w:rsidRPr="00712B66" w14:paraId="3100C6C9" w14:textId="77777777" w:rsidTr="00AF0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53" w:type="pct"/>
        </w:trPr>
        <w:tc>
          <w:tcPr>
            <w:tcW w:w="1836" w:type="pct"/>
            <w:gridSpan w:val="3"/>
          </w:tcPr>
          <w:p w14:paraId="6E4A3B82" w14:textId="77777777" w:rsidR="00875F63" w:rsidRPr="00712B66" w:rsidRDefault="00875F63" w:rsidP="00D96DE3">
            <w:pPr>
              <w:pStyle w:val="naiskr"/>
              <w:spacing w:before="0" w:after="0"/>
              <w:ind w:firstLine="720"/>
            </w:pPr>
          </w:p>
        </w:tc>
        <w:tc>
          <w:tcPr>
            <w:tcW w:w="2111" w:type="pct"/>
            <w:gridSpan w:val="2"/>
            <w:tcBorders>
              <w:top w:val="single" w:sz="6" w:space="0" w:color="000000"/>
            </w:tcBorders>
          </w:tcPr>
          <w:p w14:paraId="30D9DD05" w14:textId="77777777" w:rsidR="00875F63" w:rsidRPr="00712B66" w:rsidRDefault="00875F63" w:rsidP="00D96DE3">
            <w:pPr>
              <w:pStyle w:val="naisc"/>
              <w:spacing w:before="0" w:after="0"/>
              <w:ind w:firstLine="720"/>
            </w:pPr>
            <w:r w:rsidRPr="00712B66">
              <w:t>(</w:t>
            </w:r>
            <w:r>
              <w:t>paraksts</w:t>
            </w:r>
            <w:r w:rsidRPr="00712B66">
              <w:t>)</w:t>
            </w:r>
          </w:p>
        </w:tc>
      </w:tr>
    </w:tbl>
    <w:p w14:paraId="05D6C8D1" w14:textId="77777777" w:rsidR="00875F63" w:rsidRDefault="00875F63" w:rsidP="00875F63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</w:p>
    <w:p w14:paraId="61D85D73" w14:textId="67363BE1" w:rsidR="00875F63" w:rsidRDefault="00AD62B0" w:rsidP="00875F63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0</w:t>
      </w:r>
      <w:r w:rsidR="00BC1754">
        <w:rPr>
          <w:sz w:val="22"/>
          <w:szCs w:val="22"/>
        </w:rPr>
        <w:t>3</w:t>
      </w:r>
      <w:r w:rsidR="00875F63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="00875F63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BC1754">
        <w:rPr>
          <w:sz w:val="22"/>
          <w:szCs w:val="22"/>
        </w:rPr>
        <w:t>.</w:t>
      </w:r>
      <w:r w:rsidR="00875F63">
        <w:rPr>
          <w:sz w:val="22"/>
          <w:szCs w:val="22"/>
        </w:rPr>
        <w:t xml:space="preserve"> </w:t>
      </w:r>
      <w:r w:rsidR="00BC1754">
        <w:rPr>
          <w:sz w:val="22"/>
          <w:szCs w:val="22"/>
        </w:rPr>
        <w:t>1</w:t>
      </w:r>
      <w:r>
        <w:rPr>
          <w:sz w:val="22"/>
          <w:szCs w:val="22"/>
        </w:rPr>
        <w:t>0:</w:t>
      </w:r>
      <w:r w:rsidR="00BC1754">
        <w:rPr>
          <w:sz w:val="22"/>
          <w:szCs w:val="22"/>
        </w:rPr>
        <w:t>41</w:t>
      </w:r>
    </w:p>
    <w:p w14:paraId="570C96A0" w14:textId="790518BF" w:rsidR="00AD62B0" w:rsidRPr="00FE37F4" w:rsidRDefault="00AD62B0" w:rsidP="00875F63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BC1754">
        <w:rPr>
          <w:sz w:val="22"/>
          <w:szCs w:val="22"/>
        </w:rPr>
        <w:t>92</w:t>
      </w:r>
      <w:bookmarkStart w:id="0" w:name="_GoBack"/>
      <w:bookmarkEnd w:id="0"/>
    </w:p>
    <w:p w14:paraId="4485FC96" w14:textId="42128313" w:rsidR="00875F63" w:rsidRPr="00FE37F4" w:rsidRDefault="00AD62B0" w:rsidP="00875F63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L</w:t>
      </w:r>
      <w:r w:rsidR="00875F63">
        <w:rPr>
          <w:color w:val="000000"/>
          <w:sz w:val="22"/>
          <w:szCs w:val="22"/>
        </w:rPr>
        <w:t>.Ra</w:t>
      </w:r>
      <w:r>
        <w:rPr>
          <w:color w:val="000000"/>
          <w:sz w:val="22"/>
          <w:szCs w:val="22"/>
        </w:rPr>
        <w:t>mane</w:t>
      </w:r>
      <w:proofErr w:type="spellEnd"/>
    </w:p>
    <w:p w14:paraId="6337F157" w14:textId="77777777" w:rsidR="00875F63" w:rsidRPr="00FE37F4" w:rsidRDefault="00875F63" w:rsidP="00875F6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37F4">
        <w:rPr>
          <w:color w:val="000000"/>
          <w:sz w:val="22"/>
          <w:szCs w:val="22"/>
        </w:rPr>
        <w:t>Labklājības ministrijas</w:t>
      </w:r>
    </w:p>
    <w:p w14:paraId="74327131" w14:textId="77777777" w:rsidR="00875F63" w:rsidRPr="00FE37F4" w:rsidRDefault="00875F63" w:rsidP="00875F6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37F4">
        <w:rPr>
          <w:color w:val="000000"/>
          <w:sz w:val="22"/>
          <w:szCs w:val="22"/>
        </w:rPr>
        <w:t>Sociālās apdrošināšanas departamenta</w:t>
      </w:r>
    </w:p>
    <w:p w14:paraId="4E2D55CB" w14:textId="67CE3873" w:rsidR="00875F63" w:rsidRPr="00FE37F4" w:rsidRDefault="00875F63" w:rsidP="00875F6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vecākā </w:t>
      </w:r>
      <w:r w:rsidR="00AD62B0">
        <w:rPr>
          <w:color w:val="000000"/>
          <w:sz w:val="22"/>
          <w:szCs w:val="22"/>
        </w:rPr>
        <w:t>eksperte</w:t>
      </w:r>
    </w:p>
    <w:p w14:paraId="3C41234A" w14:textId="4BA1A38C" w:rsidR="00875F63" w:rsidRPr="00FE37F4" w:rsidRDefault="00875F63" w:rsidP="00875F6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FE37F4">
        <w:rPr>
          <w:color w:val="000000"/>
          <w:sz w:val="22"/>
          <w:szCs w:val="22"/>
        </w:rPr>
        <w:t>Tālr. 67021</w:t>
      </w:r>
      <w:r w:rsidR="00AD62B0">
        <w:rPr>
          <w:color w:val="000000"/>
          <w:sz w:val="22"/>
          <w:szCs w:val="22"/>
        </w:rPr>
        <w:t>687</w:t>
      </w:r>
      <w:r w:rsidRPr="00FE37F4">
        <w:rPr>
          <w:sz w:val="22"/>
          <w:szCs w:val="22"/>
        </w:rPr>
        <w:t>, fakss 67021560</w:t>
      </w:r>
    </w:p>
    <w:p w14:paraId="29F39FDB" w14:textId="4D1ABC97" w:rsidR="00875F63" w:rsidRDefault="00AD62B0" w:rsidP="00875F63">
      <w:r>
        <w:t>Liene.Ramane@lm.gov.lv</w:t>
      </w:r>
    </w:p>
    <w:p w14:paraId="15C1C6C6" w14:textId="77777777" w:rsidR="00690ACF" w:rsidRPr="005A4DA7" w:rsidRDefault="00690ACF" w:rsidP="00875F63"/>
    <w:p w14:paraId="477A3AFF" w14:textId="77777777" w:rsidR="001E21D4" w:rsidRDefault="001E21D4"/>
    <w:sectPr w:rsidR="001E21D4" w:rsidSect="006D2B0D">
      <w:headerReference w:type="even" r:id="rId23"/>
      <w:headerReference w:type="default" r:id="rId24"/>
      <w:footerReference w:type="default" r:id="rId25"/>
      <w:footerReference w:type="first" r:id="rId26"/>
      <w:pgSz w:w="16838" w:h="11906" w:orient="landscape" w:code="9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AABC0" w14:textId="77777777" w:rsidR="00875F63" w:rsidRDefault="00875F63" w:rsidP="00875F63">
      <w:r>
        <w:separator/>
      </w:r>
    </w:p>
  </w:endnote>
  <w:endnote w:type="continuationSeparator" w:id="0">
    <w:p w14:paraId="7B87BA0D" w14:textId="77777777" w:rsidR="00875F63" w:rsidRDefault="00875F63" w:rsidP="0087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DA43" w14:textId="1AD793CB" w:rsidR="00972E61" w:rsidRPr="00BC1754" w:rsidRDefault="00BC1754" w:rsidP="00BC1754">
    <w:pPr>
      <w:pStyle w:val="BodyText"/>
      <w:jc w:val="both"/>
      <w:rPr>
        <w:sz w:val="22"/>
        <w:szCs w:val="22"/>
      </w:rPr>
    </w:pPr>
    <w:r w:rsidRPr="00972E61">
      <w:rPr>
        <w:sz w:val="20"/>
        <w:szCs w:val="20"/>
      </w:rPr>
      <w:fldChar w:fldCharType="begin"/>
    </w:r>
    <w:r w:rsidRPr="00972E61">
      <w:rPr>
        <w:sz w:val="20"/>
        <w:szCs w:val="20"/>
      </w:rPr>
      <w:instrText xml:space="preserve"> FILENAME </w:instrText>
    </w:r>
    <w:r w:rsidRPr="00972E61">
      <w:rPr>
        <w:sz w:val="20"/>
        <w:szCs w:val="20"/>
      </w:rPr>
      <w:fldChar w:fldCharType="separate"/>
    </w:r>
    <w:r>
      <w:rPr>
        <w:noProof/>
        <w:sz w:val="20"/>
        <w:szCs w:val="20"/>
      </w:rPr>
      <w:t>LMizz_0307201</w:t>
    </w:r>
    <w:r w:rsidRPr="00972E61">
      <w:rPr>
        <w:sz w:val="20"/>
        <w:szCs w:val="20"/>
      </w:rPr>
      <w:fldChar w:fldCharType="end"/>
    </w:r>
    <w:r>
      <w:rPr>
        <w:sz w:val="20"/>
        <w:szCs w:val="20"/>
      </w:rPr>
      <w:t>9_GrozMK976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D88A" w14:textId="45944CE7" w:rsidR="00972E61" w:rsidRPr="00875384" w:rsidRDefault="00875384" w:rsidP="00875384">
    <w:pPr>
      <w:pStyle w:val="BodyText"/>
      <w:jc w:val="both"/>
      <w:rPr>
        <w:sz w:val="22"/>
        <w:szCs w:val="22"/>
      </w:rPr>
    </w:pPr>
    <w:r w:rsidRPr="00972E61">
      <w:rPr>
        <w:sz w:val="20"/>
        <w:szCs w:val="20"/>
      </w:rPr>
      <w:fldChar w:fldCharType="begin"/>
    </w:r>
    <w:r w:rsidRPr="00972E61">
      <w:rPr>
        <w:sz w:val="20"/>
        <w:szCs w:val="20"/>
      </w:rPr>
      <w:instrText xml:space="preserve"> FILENAME </w:instrText>
    </w:r>
    <w:r w:rsidRPr="00972E61">
      <w:rPr>
        <w:sz w:val="20"/>
        <w:szCs w:val="20"/>
      </w:rPr>
      <w:fldChar w:fldCharType="separate"/>
    </w:r>
    <w:r>
      <w:rPr>
        <w:noProof/>
        <w:sz w:val="20"/>
        <w:szCs w:val="20"/>
      </w:rPr>
      <w:t>LMizz_0</w:t>
    </w:r>
    <w:r w:rsidR="00BC1754">
      <w:rPr>
        <w:noProof/>
        <w:sz w:val="20"/>
        <w:szCs w:val="20"/>
      </w:rPr>
      <w:t>3</w:t>
    </w:r>
    <w:r>
      <w:rPr>
        <w:noProof/>
        <w:sz w:val="20"/>
        <w:szCs w:val="20"/>
      </w:rPr>
      <w:t>07201</w:t>
    </w:r>
    <w:r w:rsidRPr="00972E61">
      <w:rPr>
        <w:sz w:val="20"/>
        <w:szCs w:val="20"/>
      </w:rPr>
      <w:fldChar w:fldCharType="end"/>
    </w:r>
    <w:r>
      <w:rPr>
        <w:sz w:val="20"/>
        <w:szCs w:val="20"/>
      </w:rPr>
      <w:t>9</w:t>
    </w:r>
    <w:r w:rsidR="00BC1754">
      <w:rPr>
        <w:sz w:val="20"/>
        <w:szCs w:val="20"/>
      </w:rPr>
      <w:t>_GrozMK976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57635" w14:textId="77777777" w:rsidR="00875F63" w:rsidRDefault="00875F63" w:rsidP="00875F63">
      <w:r>
        <w:separator/>
      </w:r>
    </w:p>
  </w:footnote>
  <w:footnote w:type="continuationSeparator" w:id="0">
    <w:p w14:paraId="3D2830B3" w14:textId="77777777" w:rsidR="00875F63" w:rsidRDefault="00875F63" w:rsidP="0087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24EE" w14:textId="77777777" w:rsidR="00972E61" w:rsidRDefault="001733DE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636CFD" w14:textId="77777777" w:rsidR="00972E61" w:rsidRDefault="00BC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FE588" w14:textId="77777777" w:rsidR="00972E61" w:rsidRDefault="001733DE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4547FB" w14:textId="77777777" w:rsidR="00972E61" w:rsidRDefault="00BC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F72"/>
    <w:multiLevelType w:val="hybridMultilevel"/>
    <w:tmpl w:val="FD24F936"/>
    <w:lvl w:ilvl="0" w:tplc="312A9B8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3" w:hanging="360"/>
      </w:pPr>
    </w:lvl>
    <w:lvl w:ilvl="2" w:tplc="0426001B" w:tentative="1">
      <w:start w:val="1"/>
      <w:numFmt w:val="lowerRoman"/>
      <w:lvlText w:val="%3."/>
      <w:lvlJc w:val="right"/>
      <w:pPr>
        <w:ind w:left="1873" w:hanging="180"/>
      </w:pPr>
    </w:lvl>
    <w:lvl w:ilvl="3" w:tplc="0426000F" w:tentative="1">
      <w:start w:val="1"/>
      <w:numFmt w:val="decimal"/>
      <w:lvlText w:val="%4."/>
      <w:lvlJc w:val="left"/>
      <w:pPr>
        <w:ind w:left="2593" w:hanging="360"/>
      </w:pPr>
    </w:lvl>
    <w:lvl w:ilvl="4" w:tplc="04260019" w:tentative="1">
      <w:start w:val="1"/>
      <w:numFmt w:val="lowerLetter"/>
      <w:lvlText w:val="%5."/>
      <w:lvlJc w:val="left"/>
      <w:pPr>
        <w:ind w:left="3313" w:hanging="360"/>
      </w:pPr>
    </w:lvl>
    <w:lvl w:ilvl="5" w:tplc="0426001B" w:tentative="1">
      <w:start w:val="1"/>
      <w:numFmt w:val="lowerRoman"/>
      <w:lvlText w:val="%6."/>
      <w:lvlJc w:val="right"/>
      <w:pPr>
        <w:ind w:left="4033" w:hanging="180"/>
      </w:pPr>
    </w:lvl>
    <w:lvl w:ilvl="6" w:tplc="0426000F" w:tentative="1">
      <w:start w:val="1"/>
      <w:numFmt w:val="decimal"/>
      <w:lvlText w:val="%7."/>
      <w:lvlJc w:val="left"/>
      <w:pPr>
        <w:ind w:left="4753" w:hanging="360"/>
      </w:pPr>
    </w:lvl>
    <w:lvl w:ilvl="7" w:tplc="04260019" w:tentative="1">
      <w:start w:val="1"/>
      <w:numFmt w:val="lowerLetter"/>
      <w:lvlText w:val="%8."/>
      <w:lvlJc w:val="left"/>
      <w:pPr>
        <w:ind w:left="5473" w:hanging="360"/>
      </w:pPr>
    </w:lvl>
    <w:lvl w:ilvl="8" w:tplc="0426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 w15:restartNumberingAfterBreak="0">
    <w:nsid w:val="3DEF3161"/>
    <w:multiLevelType w:val="hybridMultilevel"/>
    <w:tmpl w:val="BF747A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09"/>
    <w:rsid w:val="00015AFD"/>
    <w:rsid w:val="0005328A"/>
    <w:rsid w:val="000E6E0C"/>
    <w:rsid w:val="001733DE"/>
    <w:rsid w:val="001B77E9"/>
    <w:rsid w:val="001E21D4"/>
    <w:rsid w:val="00353109"/>
    <w:rsid w:val="003A6DBD"/>
    <w:rsid w:val="004B6929"/>
    <w:rsid w:val="004C1C22"/>
    <w:rsid w:val="004D3F87"/>
    <w:rsid w:val="004D76D2"/>
    <w:rsid w:val="004E65DE"/>
    <w:rsid w:val="005C14EF"/>
    <w:rsid w:val="00603FC8"/>
    <w:rsid w:val="00690ACF"/>
    <w:rsid w:val="00820B67"/>
    <w:rsid w:val="00834C4E"/>
    <w:rsid w:val="00875384"/>
    <w:rsid w:val="00875F63"/>
    <w:rsid w:val="00906878"/>
    <w:rsid w:val="0096181F"/>
    <w:rsid w:val="00AD62B0"/>
    <w:rsid w:val="00AF0D6C"/>
    <w:rsid w:val="00B3686E"/>
    <w:rsid w:val="00B56F70"/>
    <w:rsid w:val="00B85F98"/>
    <w:rsid w:val="00B97BF2"/>
    <w:rsid w:val="00BC1754"/>
    <w:rsid w:val="00BF3B8A"/>
    <w:rsid w:val="00CC4806"/>
    <w:rsid w:val="00D82218"/>
    <w:rsid w:val="00E13580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87EDDC"/>
  <w15:chartTrackingRefBased/>
  <w15:docId w15:val="{3DF91D0B-F7A3-4FBC-ACED-C9005756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875F63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875F63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75F63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875F63"/>
    <w:pPr>
      <w:spacing w:before="75" w:after="75"/>
    </w:pPr>
  </w:style>
  <w:style w:type="paragraph" w:customStyle="1" w:styleId="naisc">
    <w:name w:val="naisc"/>
    <w:basedOn w:val="Normal"/>
    <w:rsid w:val="00875F63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875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F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875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5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F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875F63"/>
    <w:pPr>
      <w:spacing w:after="120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875F63"/>
    <w:rPr>
      <w:rFonts w:ascii="Times New Roman" w:eastAsia="Times New Roman" w:hAnsi="Times New Roman" w:cs="Times New Roman"/>
      <w:sz w:val="28"/>
      <w:szCs w:val="28"/>
    </w:rPr>
  </w:style>
  <w:style w:type="paragraph" w:customStyle="1" w:styleId="RakstzCharCharRakstzCharCharRakstz">
    <w:name w:val="Rakstz. Char Char Rakstz. Char Char Rakstz."/>
    <w:basedOn w:val="Normal"/>
    <w:rsid w:val="00875F6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875F6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75F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875F63"/>
    <w:rPr>
      <w:rFonts w:cs="Times New Roman"/>
      <w:vertAlign w:val="superscript"/>
    </w:rPr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FE40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rsid w:val="00FE402E"/>
  </w:style>
  <w:style w:type="character" w:styleId="UnresolvedMention">
    <w:name w:val="Unresolved Mention"/>
    <w:basedOn w:val="DefaultParagraphFont"/>
    <w:uiPriority w:val="99"/>
    <w:semiHidden/>
    <w:unhideWhenUsed/>
    <w:rsid w:val="0069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6-par-valsts-socialo-apdrosinasanu" TargetMode="External"/><Relationship Id="rId13" Type="http://schemas.openxmlformats.org/officeDocument/2006/relationships/hyperlink" Target="https://likumi.lv/ta/id/45466-par-valsts-socialo-apdrosinasanu" TargetMode="External"/><Relationship Id="rId18" Type="http://schemas.openxmlformats.org/officeDocument/2006/relationships/hyperlink" Target="https://likumi.lv/ta/id/45466-par-valsts-socialo-apdrosinasanu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eur-lex.europa.eu/legal-content/LV/AUTO/?uri=celex:32004R0883R(01)" TargetMode="External"/><Relationship Id="rId7" Type="http://schemas.openxmlformats.org/officeDocument/2006/relationships/hyperlink" Target="https://likumi.lv/ta/id/45466-par-valsts-socialo-apdrosinasanu" TargetMode="External"/><Relationship Id="rId12" Type="http://schemas.openxmlformats.org/officeDocument/2006/relationships/hyperlink" Target="https://likumi.lv/ta/id/215302-mikrouznemumu-nodokla-likums" TargetMode="External"/><Relationship Id="rId17" Type="http://schemas.openxmlformats.org/officeDocument/2006/relationships/hyperlink" Target="https://likumi.lv/ta/id/45466-par-valsts-socialo-apdrosinasan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ikumi.lv/ta/id/45466-par-valsts-socialo-apdrosinasanu" TargetMode="External"/><Relationship Id="rId20" Type="http://schemas.openxmlformats.org/officeDocument/2006/relationships/hyperlink" Target="https://likumi.lv/ta/id/215302-mikrouznemumu-nodokla-liku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15302-mikrouznemumu-nodokla-likum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likumi.lv/ta/id/45466-par-valsts-socialo-apdrosinasan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ikumi.lv/ta/id/45466-par-valsts-socialo-apdrosinasanu" TargetMode="External"/><Relationship Id="rId19" Type="http://schemas.openxmlformats.org/officeDocument/2006/relationships/hyperlink" Target="https://likumi.lv/ta/id/215302-mikrouznemumu-nodokla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45466-par-valsts-socialo-apdrosinasanu" TargetMode="External"/><Relationship Id="rId14" Type="http://schemas.openxmlformats.org/officeDocument/2006/relationships/hyperlink" Target="https://likumi.lv/ta/id/45466-par-valsts-socialo-apdrosinasanu" TargetMode="External"/><Relationship Id="rId22" Type="http://schemas.openxmlformats.org/officeDocument/2006/relationships/hyperlink" Target="https://eur-lex.europa.eu/legal-content/LV/AUTO/?uri=celex:32004R0883R(01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5038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Ramane</dc:creator>
  <cp:keywords/>
  <dc:description/>
  <cp:lastModifiedBy>Liene Ramane</cp:lastModifiedBy>
  <cp:revision>3</cp:revision>
  <dcterms:created xsi:type="dcterms:W3CDTF">2019-07-03T07:41:00Z</dcterms:created>
  <dcterms:modified xsi:type="dcterms:W3CDTF">2019-07-03T07:42:00Z</dcterms:modified>
</cp:coreProperties>
</file>