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8493" w14:textId="5C4AA64E" w:rsidR="00D25D59" w:rsidRPr="00D27255" w:rsidRDefault="005D72F1" w:rsidP="00D25D59">
      <w:pPr>
        <w:jc w:val="right"/>
        <w:rPr>
          <w:bCs/>
          <w:iCs/>
          <w:sz w:val="28"/>
        </w:rPr>
      </w:pPr>
      <w:r w:rsidRPr="005D72F1">
        <w:rPr>
          <w:sz w:val="28"/>
        </w:rPr>
        <w:t>(</w:t>
      </w:r>
      <w:r w:rsidR="00D25D59" w:rsidRPr="00D27255">
        <w:rPr>
          <w:bCs/>
          <w:iCs/>
          <w:sz w:val="28"/>
        </w:rPr>
        <w:t>Ministru kabineta</w:t>
      </w:r>
    </w:p>
    <w:p w14:paraId="7E52D2C4" w14:textId="4C4E46E0" w:rsidR="00D25D59" w:rsidRPr="00D27255" w:rsidRDefault="00D25D59" w:rsidP="00D25D59">
      <w:pPr>
        <w:jc w:val="right"/>
        <w:rPr>
          <w:bCs/>
          <w:iCs/>
          <w:sz w:val="28"/>
        </w:rPr>
      </w:pPr>
      <w:r w:rsidRPr="00D27255">
        <w:rPr>
          <w:bCs/>
          <w:iCs/>
          <w:sz w:val="28"/>
        </w:rPr>
        <w:t xml:space="preserve">2019. gada </w:t>
      </w:r>
      <w:r w:rsidR="002A1AE5">
        <w:rPr>
          <w:bCs/>
          <w:iCs/>
          <w:sz w:val="28"/>
        </w:rPr>
        <w:t>22.</w:t>
      </w:r>
      <w:r w:rsidR="005D72F1">
        <w:rPr>
          <w:bCs/>
          <w:iCs/>
          <w:sz w:val="28"/>
        </w:rPr>
        <w:t> </w:t>
      </w:r>
      <w:r w:rsidR="002A1AE5">
        <w:rPr>
          <w:bCs/>
          <w:iCs/>
          <w:sz w:val="28"/>
        </w:rPr>
        <w:t>augusta</w:t>
      </w:r>
    </w:p>
    <w:p w14:paraId="4A6CA176" w14:textId="356FA587" w:rsidR="00D25D59" w:rsidRPr="00D27255" w:rsidRDefault="00D25D59" w:rsidP="00D25D59">
      <w:pPr>
        <w:jc w:val="right"/>
        <w:rPr>
          <w:i/>
          <w:sz w:val="28"/>
        </w:rPr>
      </w:pPr>
      <w:r w:rsidRPr="00D27255">
        <w:rPr>
          <w:sz w:val="28"/>
        </w:rPr>
        <w:t>rīkojums Nr.</w:t>
      </w:r>
      <w:r w:rsidR="005D72F1">
        <w:rPr>
          <w:sz w:val="28"/>
        </w:rPr>
        <w:t> </w:t>
      </w:r>
      <w:r w:rsidR="002A1AE5">
        <w:rPr>
          <w:sz w:val="28"/>
        </w:rPr>
        <w:t>407</w:t>
      </w:r>
      <w:bookmarkStart w:id="0" w:name="_GoBack"/>
      <w:bookmarkEnd w:id="0"/>
      <w:r w:rsidR="005D72F1">
        <w:rPr>
          <w:sz w:val="28"/>
        </w:rPr>
        <w:t>)</w:t>
      </w:r>
    </w:p>
    <w:p w14:paraId="447B1A3D" w14:textId="77777777" w:rsidR="00D25D59" w:rsidRPr="00D27255" w:rsidRDefault="00D25D59" w:rsidP="00D25D59">
      <w:pPr>
        <w:jc w:val="right"/>
        <w:rPr>
          <w:sz w:val="28"/>
          <w:szCs w:val="28"/>
        </w:rPr>
      </w:pPr>
    </w:p>
    <w:p w14:paraId="41AA5EFE" w14:textId="77777777" w:rsidR="00D25D59" w:rsidRPr="00D27255" w:rsidRDefault="00D25D59" w:rsidP="00D25D59">
      <w:pPr>
        <w:jc w:val="center"/>
        <w:rPr>
          <w:b/>
          <w:sz w:val="28"/>
          <w:szCs w:val="28"/>
        </w:rPr>
      </w:pPr>
    </w:p>
    <w:p w14:paraId="400AFF07" w14:textId="77777777" w:rsidR="00D25D59" w:rsidRPr="00D27255" w:rsidRDefault="00D25D59" w:rsidP="00D25D59">
      <w:pPr>
        <w:jc w:val="center"/>
        <w:rPr>
          <w:b/>
          <w:sz w:val="28"/>
          <w:szCs w:val="28"/>
        </w:rPr>
      </w:pPr>
    </w:p>
    <w:p w14:paraId="00E697B3" w14:textId="77777777" w:rsidR="00D25D59" w:rsidRPr="00D27255" w:rsidRDefault="00D25D59" w:rsidP="00D25D59">
      <w:pPr>
        <w:jc w:val="center"/>
        <w:rPr>
          <w:b/>
          <w:sz w:val="28"/>
          <w:szCs w:val="28"/>
        </w:rPr>
      </w:pPr>
    </w:p>
    <w:p w14:paraId="29564D93" w14:textId="77777777" w:rsidR="00D25D59" w:rsidRPr="00D27255" w:rsidRDefault="00D25D59" w:rsidP="00D25D59">
      <w:pPr>
        <w:jc w:val="center"/>
        <w:rPr>
          <w:b/>
          <w:sz w:val="28"/>
          <w:szCs w:val="28"/>
        </w:rPr>
      </w:pPr>
    </w:p>
    <w:p w14:paraId="6EEAC5EF" w14:textId="77777777" w:rsidR="00D25D59" w:rsidRPr="00D27255" w:rsidRDefault="00D25D59" w:rsidP="00D25D59">
      <w:pPr>
        <w:jc w:val="center"/>
        <w:rPr>
          <w:b/>
          <w:sz w:val="28"/>
          <w:szCs w:val="28"/>
        </w:rPr>
      </w:pPr>
    </w:p>
    <w:p w14:paraId="3FB85CBF" w14:textId="77777777" w:rsidR="00D25D59" w:rsidRPr="00D27255" w:rsidRDefault="00D25D59" w:rsidP="00D25D59">
      <w:pPr>
        <w:jc w:val="center"/>
        <w:rPr>
          <w:b/>
          <w:sz w:val="28"/>
          <w:szCs w:val="28"/>
        </w:rPr>
      </w:pPr>
    </w:p>
    <w:p w14:paraId="1ECAD172" w14:textId="77777777" w:rsidR="00D25D59" w:rsidRPr="00D27255" w:rsidRDefault="00D25D59" w:rsidP="00D25D59">
      <w:pPr>
        <w:jc w:val="center"/>
        <w:rPr>
          <w:b/>
          <w:sz w:val="28"/>
          <w:szCs w:val="28"/>
        </w:rPr>
      </w:pPr>
    </w:p>
    <w:p w14:paraId="65D1D5E2" w14:textId="77777777" w:rsidR="00D25D59" w:rsidRPr="00D27255" w:rsidRDefault="00D25D59" w:rsidP="00D25D59">
      <w:pPr>
        <w:jc w:val="center"/>
        <w:rPr>
          <w:b/>
          <w:sz w:val="28"/>
          <w:szCs w:val="28"/>
        </w:rPr>
      </w:pPr>
    </w:p>
    <w:p w14:paraId="3E072647" w14:textId="77777777" w:rsidR="00D25D59" w:rsidRPr="00D27255" w:rsidRDefault="00D25D59" w:rsidP="00D25D59">
      <w:pPr>
        <w:jc w:val="center"/>
        <w:rPr>
          <w:b/>
          <w:sz w:val="28"/>
          <w:szCs w:val="28"/>
        </w:rPr>
      </w:pPr>
    </w:p>
    <w:p w14:paraId="33545034" w14:textId="2B30EDC6" w:rsidR="00D25D59" w:rsidRPr="00D27255" w:rsidRDefault="00D25D59" w:rsidP="00D25D59">
      <w:pPr>
        <w:jc w:val="center"/>
        <w:rPr>
          <w:b/>
          <w:sz w:val="32"/>
          <w:szCs w:val="32"/>
        </w:rPr>
      </w:pPr>
      <w:r w:rsidRPr="00D27255">
        <w:rPr>
          <w:b/>
          <w:sz w:val="32"/>
          <w:szCs w:val="32"/>
        </w:rPr>
        <w:t>Konceptuāl</w:t>
      </w:r>
      <w:r w:rsidR="00FC6FEC">
        <w:rPr>
          <w:b/>
          <w:sz w:val="32"/>
          <w:szCs w:val="32"/>
        </w:rPr>
        <w:t>ai</w:t>
      </w:r>
      <w:r w:rsidRPr="00D27255">
        <w:rPr>
          <w:b/>
          <w:sz w:val="32"/>
          <w:szCs w:val="32"/>
        </w:rPr>
        <w:t xml:space="preserve">s ziņojums </w:t>
      </w:r>
    </w:p>
    <w:p w14:paraId="4495AFA2" w14:textId="105C3568" w:rsidR="00D25D59" w:rsidRPr="00D27255" w:rsidRDefault="00D25D59" w:rsidP="00D25D59">
      <w:pPr>
        <w:jc w:val="center"/>
        <w:rPr>
          <w:b/>
          <w:sz w:val="32"/>
          <w:szCs w:val="32"/>
        </w:rPr>
      </w:pPr>
      <w:r w:rsidRPr="00D27255">
        <w:rPr>
          <w:b/>
          <w:sz w:val="32"/>
          <w:szCs w:val="32"/>
        </w:rPr>
        <w:t xml:space="preserve">"Par </w:t>
      </w:r>
      <w:r w:rsidR="002921D8" w:rsidRPr="00D27255">
        <w:rPr>
          <w:b/>
          <w:iCs/>
          <w:sz w:val="32"/>
          <w:szCs w:val="32"/>
        </w:rPr>
        <w:t xml:space="preserve">ekonomisko lietu </w:t>
      </w:r>
      <w:r w:rsidR="009C3BF1" w:rsidRPr="00D27255">
        <w:rPr>
          <w:b/>
          <w:iCs/>
          <w:sz w:val="32"/>
          <w:szCs w:val="32"/>
        </w:rPr>
        <w:t>tiesas</w:t>
      </w:r>
      <w:r w:rsidRPr="00D27255">
        <w:rPr>
          <w:b/>
          <w:iCs/>
          <w:sz w:val="32"/>
          <w:szCs w:val="32"/>
        </w:rPr>
        <w:t xml:space="preserve"> izveidi</w:t>
      </w:r>
      <w:r w:rsidRPr="00D27255">
        <w:rPr>
          <w:b/>
          <w:sz w:val="32"/>
          <w:szCs w:val="32"/>
        </w:rPr>
        <w:t>"</w:t>
      </w:r>
      <w:r w:rsidRPr="00D27255">
        <w:rPr>
          <w:b/>
          <w:sz w:val="28"/>
        </w:rPr>
        <w:t xml:space="preserve"> </w:t>
      </w:r>
    </w:p>
    <w:p w14:paraId="3D7FC466" w14:textId="77777777" w:rsidR="00D25D59" w:rsidRPr="00D27255" w:rsidRDefault="00D25D59" w:rsidP="00D25D59">
      <w:pPr>
        <w:jc w:val="center"/>
        <w:rPr>
          <w:b/>
        </w:rPr>
      </w:pPr>
    </w:p>
    <w:p w14:paraId="699E6221" w14:textId="77777777" w:rsidR="00D25D59" w:rsidRPr="00D27255" w:rsidRDefault="00D25D59" w:rsidP="00D25D59">
      <w:pPr>
        <w:jc w:val="center"/>
        <w:rPr>
          <w:b/>
        </w:rPr>
      </w:pPr>
    </w:p>
    <w:p w14:paraId="7C278D76" w14:textId="77777777" w:rsidR="00D25D59" w:rsidRPr="00D27255" w:rsidRDefault="00D25D59" w:rsidP="00D25D59">
      <w:pPr>
        <w:jc w:val="center"/>
        <w:rPr>
          <w:b/>
        </w:rPr>
      </w:pPr>
    </w:p>
    <w:p w14:paraId="146AE347" w14:textId="77777777" w:rsidR="00D25D59" w:rsidRPr="00D27255" w:rsidRDefault="00D25D59" w:rsidP="00D25D59">
      <w:pPr>
        <w:jc w:val="center"/>
        <w:rPr>
          <w:b/>
        </w:rPr>
      </w:pPr>
    </w:p>
    <w:p w14:paraId="639DD490" w14:textId="77777777" w:rsidR="00D25D59" w:rsidRPr="00D27255" w:rsidRDefault="00D25D59" w:rsidP="00D25D59">
      <w:pPr>
        <w:jc w:val="center"/>
        <w:rPr>
          <w:b/>
        </w:rPr>
      </w:pPr>
    </w:p>
    <w:p w14:paraId="38F073E0" w14:textId="77777777" w:rsidR="00D25D59" w:rsidRPr="00D27255" w:rsidRDefault="00D25D59" w:rsidP="00D25D59">
      <w:pPr>
        <w:jc w:val="center"/>
        <w:rPr>
          <w:b/>
        </w:rPr>
      </w:pPr>
    </w:p>
    <w:p w14:paraId="7B9A30DD" w14:textId="77777777" w:rsidR="00D25D59" w:rsidRPr="00D27255" w:rsidRDefault="00D25D59" w:rsidP="00D25D59">
      <w:pPr>
        <w:jc w:val="center"/>
        <w:rPr>
          <w:b/>
        </w:rPr>
      </w:pPr>
    </w:p>
    <w:p w14:paraId="65517BFA" w14:textId="77777777" w:rsidR="00D25D59" w:rsidRPr="00D27255" w:rsidRDefault="00D25D59" w:rsidP="00D25D59">
      <w:pPr>
        <w:jc w:val="center"/>
        <w:rPr>
          <w:b/>
        </w:rPr>
      </w:pPr>
    </w:p>
    <w:p w14:paraId="020E2308" w14:textId="77777777" w:rsidR="00D25D59" w:rsidRPr="00D27255" w:rsidRDefault="00D25D59" w:rsidP="00D25D59">
      <w:pPr>
        <w:jc w:val="center"/>
        <w:rPr>
          <w:b/>
        </w:rPr>
      </w:pPr>
    </w:p>
    <w:p w14:paraId="73628B06" w14:textId="77777777" w:rsidR="00D25D59" w:rsidRPr="00D27255" w:rsidRDefault="00D25D59" w:rsidP="00D25D59">
      <w:pPr>
        <w:jc w:val="center"/>
        <w:rPr>
          <w:b/>
        </w:rPr>
      </w:pPr>
    </w:p>
    <w:p w14:paraId="267C49F6" w14:textId="77777777" w:rsidR="00D25D59" w:rsidRPr="00D27255" w:rsidRDefault="00D25D59" w:rsidP="00D25D59">
      <w:pPr>
        <w:jc w:val="center"/>
        <w:rPr>
          <w:b/>
        </w:rPr>
      </w:pPr>
    </w:p>
    <w:p w14:paraId="092E389D" w14:textId="77777777" w:rsidR="00D25D59" w:rsidRPr="00D27255" w:rsidRDefault="00D25D59" w:rsidP="00D25D59">
      <w:pPr>
        <w:jc w:val="center"/>
        <w:rPr>
          <w:b/>
        </w:rPr>
      </w:pPr>
    </w:p>
    <w:p w14:paraId="4D3E9522" w14:textId="77777777" w:rsidR="00D25D59" w:rsidRPr="00D27255" w:rsidRDefault="00D25D59" w:rsidP="00D25D59">
      <w:pPr>
        <w:jc w:val="center"/>
        <w:rPr>
          <w:b/>
        </w:rPr>
      </w:pPr>
    </w:p>
    <w:p w14:paraId="74EC18BB" w14:textId="77777777" w:rsidR="00D25D59" w:rsidRPr="00D27255" w:rsidRDefault="00D25D59" w:rsidP="00D25D59">
      <w:pPr>
        <w:jc w:val="center"/>
        <w:rPr>
          <w:b/>
        </w:rPr>
      </w:pPr>
    </w:p>
    <w:p w14:paraId="207DC6E8" w14:textId="77777777" w:rsidR="00D25D59" w:rsidRPr="00D27255" w:rsidRDefault="00D25D59" w:rsidP="00D25D59">
      <w:pPr>
        <w:jc w:val="center"/>
        <w:rPr>
          <w:b/>
        </w:rPr>
      </w:pPr>
    </w:p>
    <w:p w14:paraId="14446742" w14:textId="77777777" w:rsidR="00D25D59" w:rsidRPr="00D27255" w:rsidRDefault="00D25D59" w:rsidP="00D25D59">
      <w:pPr>
        <w:jc w:val="center"/>
        <w:rPr>
          <w:b/>
        </w:rPr>
      </w:pPr>
    </w:p>
    <w:p w14:paraId="1F3A1290" w14:textId="77777777" w:rsidR="00D25D59" w:rsidRPr="00D27255" w:rsidRDefault="00D25D59" w:rsidP="00D25D59">
      <w:pPr>
        <w:jc w:val="center"/>
        <w:rPr>
          <w:b/>
        </w:rPr>
      </w:pPr>
    </w:p>
    <w:p w14:paraId="11E6F203" w14:textId="77777777" w:rsidR="00D25D59" w:rsidRPr="00D27255" w:rsidRDefault="00D25D59" w:rsidP="00D25D59">
      <w:pPr>
        <w:jc w:val="center"/>
        <w:rPr>
          <w:b/>
        </w:rPr>
      </w:pPr>
    </w:p>
    <w:p w14:paraId="6F41DBBC" w14:textId="77777777" w:rsidR="00D25D59" w:rsidRPr="00D27255" w:rsidRDefault="00D25D59" w:rsidP="005D72F1">
      <w:pPr>
        <w:rPr>
          <w:b/>
        </w:rPr>
      </w:pPr>
    </w:p>
    <w:p w14:paraId="4C979B6E" w14:textId="77777777" w:rsidR="00D25D59" w:rsidRPr="00D27255" w:rsidRDefault="00D25D59" w:rsidP="00D25D59">
      <w:pPr>
        <w:jc w:val="center"/>
        <w:rPr>
          <w:b/>
        </w:rPr>
      </w:pPr>
    </w:p>
    <w:p w14:paraId="6F32A698" w14:textId="77777777" w:rsidR="00D25D59" w:rsidRPr="00D27255" w:rsidRDefault="00D25D59" w:rsidP="00D25D59">
      <w:pPr>
        <w:jc w:val="center"/>
        <w:rPr>
          <w:b/>
        </w:rPr>
      </w:pPr>
    </w:p>
    <w:p w14:paraId="052E1B0B" w14:textId="77777777" w:rsidR="00D25D59" w:rsidRPr="00D27255" w:rsidRDefault="00D25D59" w:rsidP="00D25D59">
      <w:pPr>
        <w:jc w:val="center"/>
        <w:rPr>
          <w:b/>
        </w:rPr>
      </w:pPr>
    </w:p>
    <w:p w14:paraId="54D0385B" w14:textId="77777777" w:rsidR="00D25D59" w:rsidRPr="00D27255" w:rsidRDefault="00D25D59" w:rsidP="00D25D59">
      <w:pPr>
        <w:jc w:val="center"/>
        <w:rPr>
          <w:b/>
        </w:rPr>
      </w:pPr>
    </w:p>
    <w:p w14:paraId="7CBC59B2" w14:textId="77777777" w:rsidR="00D25D59" w:rsidRPr="00D27255" w:rsidRDefault="00D25D59" w:rsidP="00D25D59">
      <w:pPr>
        <w:jc w:val="center"/>
        <w:rPr>
          <w:b/>
        </w:rPr>
      </w:pPr>
    </w:p>
    <w:p w14:paraId="60C9F8F3" w14:textId="77777777" w:rsidR="00D25D59" w:rsidRPr="00D27255" w:rsidRDefault="00D25D59" w:rsidP="00D25D59">
      <w:pPr>
        <w:jc w:val="center"/>
        <w:rPr>
          <w:b/>
        </w:rPr>
      </w:pPr>
    </w:p>
    <w:p w14:paraId="6FB7B130" w14:textId="77777777" w:rsidR="00D25D59" w:rsidRPr="00D27255" w:rsidRDefault="00D25D59" w:rsidP="00D25D59">
      <w:pPr>
        <w:jc w:val="center"/>
        <w:rPr>
          <w:b/>
        </w:rPr>
      </w:pPr>
    </w:p>
    <w:p w14:paraId="75156CCE" w14:textId="7B33324A" w:rsidR="00D25D59" w:rsidRDefault="00D25D59" w:rsidP="00D25D59">
      <w:pPr>
        <w:spacing w:after="200" w:line="276" w:lineRule="auto"/>
        <w:jc w:val="center"/>
        <w:rPr>
          <w:sz w:val="28"/>
          <w:szCs w:val="28"/>
        </w:rPr>
      </w:pPr>
      <w:r w:rsidRPr="00D27255">
        <w:rPr>
          <w:sz w:val="28"/>
          <w:szCs w:val="28"/>
        </w:rPr>
        <w:t>2019</w:t>
      </w:r>
    </w:p>
    <w:p w14:paraId="761D2FB3" w14:textId="67A18AC9" w:rsidR="005D72F1" w:rsidRDefault="005D72F1">
      <w:pPr>
        <w:spacing w:after="200" w:line="276" w:lineRule="auto"/>
        <w:rPr>
          <w:sz w:val="28"/>
          <w:szCs w:val="28"/>
        </w:rPr>
      </w:pPr>
      <w:r>
        <w:rPr>
          <w:sz w:val="28"/>
          <w:szCs w:val="28"/>
        </w:rPr>
        <w:br w:type="page"/>
      </w:r>
    </w:p>
    <w:sdt>
      <w:sdtPr>
        <w:id w:val="513116689"/>
        <w:docPartObj>
          <w:docPartGallery w:val="Table of Contents"/>
          <w:docPartUnique/>
        </w:docPartObj>
      </w:sdtPr>
      <w:sdtEndPr>
        <w:rPr>
          <w:bCs/>
          <w:sz w:val="36"/>
        </w:rPr>
      </w:sdtEndPr>
      <w:sdtContent>
        <w:p w14:paraId="51FC0A1B" w14:textId="77777777" w:rsidR="00D25D59" w:rsidRPr="00D27255" w:rsidRDefault="00D25D59" w:rsidP="00D25D59">
          <w:pPr>
            <w:keepNext/>
            <w:keepLines/>
            <w:spacing w:before="240" w:line="259" w:lineRule="auto"/>
            <w:jc w:val="center"/>
            <w:rPr>
              <w:rFonts w:eastAsiaTheme="majorEastAsia"/>
              <w:b/>
              <w:sz w:val="32"/>
              <w:szCs w:val="32"/>
            </w:rPr>
          </w:pPr>
          <w:r w:rsidRPr="00D27255">
            <w:rPr>
              <w:rFonts w:eastAsiaTheme="majorEastAsia"/>
              <w:b/>
              <w:sz w:val="32"/>
              <w:szCs w:val="32"/>
            </w:rPr>
            <w:t>Saturs</w:t>
          </w:r>
        </w:p>
        <w:p w14:paraId="4D1C7D9B" w14:textId="77777777" w:rsidR="00D25D59" w:rsidRPr="00D27255" w:rsidRDefault="00D25D59" w:rsidP="00D25D59">
          <w:pPr>
            <w:rPr>
              <w:sz w:val="28"/>
              <w:szCs w:val="28"/>
            </w:rPr>
          </w:pPr>
        </w:p>
        <w:p w14:paraId="61D1C0FA" w14:textId="2DB618D8" w:rsidR="00E56BF1" w:rsidRPr="00303CC1" w:rsidRDefault="00D25D59">
          <w:pPr>
            <w:pStyle w:val="TOC1"/>
            <w:rPr>
              <w:rFonts w:asciiTheme="minorHAnsi" w:eastAsiaTheme="minorEastAsia" w:hAnsiTheme="minorHAnsi" w:cstheme="minorBidi"/>
              <w:noProof/>
              <w:sz w:val="28"/>
              <w:szCs w:val="28"/>
            </w:rPr>
          </w:pPr>
          <w:r w:rsidRPr="00D27255">
            <w:rPr>
              <w:sz w:val="28"/>
              <w:szCs w:val="28"/>
            </w:rPr>
            <w:fldChar w:fldCharType="begin"/>
          </w:r>
          <w:r w:rsidRPr="00D27255">
            <w:rPr>
              <w:sz w:val="28"/>
              <w:szCs w:val="28"/>
            </w:rPr>
            <w:instrText xml:space="preserve"> TOC \o "1-3" \h \z \u </w:instrText>
          </w:r>
          <w:r w:rsidRPr="00D27255">
            <w:rPr>
              <w:sz w:val="28"/>
              <w:szCs w:val="28"/>
            </w:rPr>
            <w:fldChar w:fldCharType="separate"/>
          </w:r>
          <w:hyperlink w:anchor="_Toc10638788" w:history="1">
            <w:r w:rsidR="00E56BF1" w:rsidRPr="00303CC1">
              <w:rPr>
                <w:rStyle w:val="Hyperlink"/>
                <w:rFonts w:eastAsiaTheme="majorEastAsia"/>
                <w:b/>
                <w:noProof/>
                <w:sz w:val="28"/>
                <w:szCs w:val="28"/>
              </w:rPr>
              <w:t>1. Konceptuālā ziņojuma kopsavilkums</w:t>
            </w:r>
            <w:r w:rsidR="00E56BF1" w:rsidRPr="00303CC1">
              <w:rPr>
                <w:noProof/>
                <w:webHidden/>
                <w:sz w:val="28"/>
                <w:szCs w:val="28"/>
              </w:rPr>
              <w:tab/>
            </w:r>
            <w:r w:rsidR="00E56BF1" w:rsidRPr="00303CC1">
              <w:rPr>
                <w:noProof/>
                <w:webHidden/>
                <w:sz w:val="28"/>
                <w:szCs w:val="28"/>
              </w:rPr>
              <w:fldChar w:fldCharType="begin"/>
            </w:r>
            <w:r w:rsidR="00E56BF1" w:rsidRPr="00303CC1">
              <w:rPr>
                <w:noProof/>
                <w:webHidden/>
                <w:sz w:val="28"/>
                <w:szCs w:val="28"/>
              </w:rPr>
              <w:instrText xml:space="preserve"> PAGEREF _Toc10638788 \h </w:instrText>
            </w:r>
            <w:r w:rsidR="00E56BF1" w:rsidRPr="00303CC1">
              <w:rPr>
                <w:noProof/>
                <w:webHidden/>
                <w:sz w:val="28"/>
                <w:szCs w:val="28"/>
              </w:rPr>
            </w:r>
            <w:r w:rsidR="00E56BF1" w:rsidRPr="00303CC1">
              <w:rPr>
                <w:noProof/>
                <w:webHidden/>
                <w:sz w:val="28"/>
                <w:szCs w:val="28"/>
              </w:rPr>
              <w:fldChar w:fldCharType="separate"/>
            </w:r>
            <w:r w:rsidR="005D72F1">
              <w:rPr>
                <w:noProof/>
                <w:webHidden/>
                <w:sz w:val="28"/>
                <w:szCs w:val="28"/>
              </w:rPr>
              <w:t>2</w:t>
            </w:r>
            <w:r w:rsidR="00E56BF1" w:rsidRPr="00303CC1">
              <w:rPr>
                <w:noProof/>
                <w:webHidden/>
                <w:sz w:val="28"/>
                <w:szCs w:val="28"/>
              </w:rPr>
              <w:fldChar w:fldCharType="end"/>
            </w:r>
          </w:hyperlink>
        </w:p>
        <w:p w14:paraId="46E51621" w14:textId="02E353CD" w:rsidR="00E56BF1" w:rsidRPr="00303CC1" w:rsidRDefault="002A1AE5">
          <w:pPr>
            <w:pStyle w:val="TOC1"/>
            <w:rPr>
              <w:rFonts w:asciiTheme="minorHAnsi" w:eastAsiaTheme="minorEastAsia" w:hAnsiTheme="minorHAnsi" w:cstheme="minorBidi"/>
              <w:noProof/>
              <w:sz w:val="28"/>
              <w:szCs w:val="28"/>
            </w:rPr>
          </w:pPr>
          <w:hyperlink w:anchor="_Toc10638789" w:history="1">
            <w:r w:rsidR="00E56BF1" w:rsidRPr="00303CC1">
              <w:rPr>
                <w:rStyle w:val="Hyperlink"/>
                <w:b/>
                <w:noProof/>
                <w:sz w:val="28"/>
                <w:szCs w:val="28"/>
              </w:rPr>
              <w:t>2. Pašreizējās situācijas apraksts</w:t>
            </w:r>
            <w:r w:rsidR="00E56BF1" w:rsidRPr="00303CC1">
              <w:rPr>
                <w:noProof/>
                <w:webHidden/>
                <w:sz w:val="28"/>
                <w:szCs w:val="28"/>
              </w:rPr>
              <w:tab/>
            </w:r>
            <w:r w:rsidR="00E56BF1" w:rsidRPr="00303CC1">
              <w:rPr>
                <w:noProof/>
                <w:webHidden/>
                <w:sz w:val="28"/>
                <w:szCs w:val="28"/>
              </w:rPr>
              <w:fldChar w:fldCharType="begin"/>
            </w:r>
            <w:r w:rsidR="00E56BF1" w:rsidRPr="00303CC1">
              <w:rPr>
                <w:noProof/>
                <w:webHidden/>
                <w:sz w:val="28"/>
                <w:szCs w:val="28"/>
              </w:rPr>
              <w:instrText xml:space="preserve"> PAGEREF _Toc10638789 \h </w:instrText>
            </w:r>
            <w:r w:rsidR="00E56BF1" w:rsidRPr="00303CC1">
              <w:rPr>
                <w:noProof/>
                <w:webHidden/>
                <w:sz w:val="28"/>
                <w:szCs w:val="28"/>
              </w:rPr>
            </w:r>
            <w:r w:rsidR="00E56BF1" w:rsidRPr="00303CC1">
              <w:rPr>
                <w:noProof/>
                <w:webHidden/>
                <w:sz w:val="28"/>
                <w:szCs w:val="28"/>
              </w:rPr>
              <w:fldChar w:fldCharType="separate"/>
            </w:r>
            <w:r w:rsidR="005D72F1">
              <w:rPr>
                <w:noProof/>
                <w:webHidden/>
                <w:sz w:val="28"/>
                <w:szCs w:val="28"/>
              </w:rPr>
              <w:t>4</w:t>
            </w:r>
            <w:r w:rsidR="00E56BF1" w:rsidRPr="00303CC1">
              <w:rPr>
                <w:noProof/>
                <w:webHidden/>
                <w:sz w:val="28"/>
                <w:szCs w:val="28"/>
              </w:rPr>
              <w:fldChar w:fldCharType="end"/>
            </w:r>
          </w:hyperlink>
        </w:p>
        <w:p w14:paraId="5D8ECBA0" w14:textId="46B88426" w:rsidR="00E56BF1" w:rsidRPr="00303CC1" w:rsidRDefault="002A1AE5">
          <w:pPr>
            <w:pStyle w:val="TOC1"/>
            <w:rPr>
              <w:rFonts w:asciiTheme="minorHAnsi" w:eastAsiaTheme="minorEastAsia" w:hAnsiTheme="minorHAnsi" w:cstheme="minorBidi"/>
              <w:noProof/>
              <w:sz w:val="28"/>
              <w:szCs w:val="28"/>
            </w:rPr>
          </w:pPr>
          <w:hyperlink w:anchor="_Toc10638790" w:history="1">
            <w:r w:rsidR="00E56BF1" w:rsidRPr="00303CC1">
              <w:rPr>
                <w:rStyle w:val="Hyperlink"/>
                <w:b/>
                <w:noProof/>
                <w:sz w:val="28"/>
                <w:szCs w:val="28"/>
              </w:rPr>
              <w:t>3. Risinājums un tā ietekme uz problēmu risināšanu</w:t>
            </w:r>
            <w:r w:rsidR="00E56BF1" w:rsidRPr="00303CC1">
              <w:rPr>
                <w:noProof/>
                <w:webHidden/>
                <w:sz w:val="28"/>
                <w:szCs w:val="28"/>
              </w:rPr>
              <w:tab/>
            </w:r>
            <w:r w:rsidR="00E56BF1" w:rsidRPr="00303CC1">
              <w:rPr>
                <w:noProof/>
                <w:webHidden/>
                <w:sz w:val="28"/>
                <w:szCs w:val="28"/>
              </w:rPr>
              <w:fldChar w:fldCharType="begin"/>
            </w:r>
            <w:r w:rsidR="00E56BF1" w:rsidRPr="00303CC1">
              <w:rPr>
                <w:noProof/>
                <w:webHidden/>
                <w:sz w:val="28"/>
                <w:szCs w:val="28"/>
              </w:rPr>
              <w:instrText xml:space="preserve"> PAGEREF _Toc10638790 \h </w:instrText>
            </w:r>
            <w:r w:rsidR="00E56BF1" w:rsidRPr="00303CC1">
              <w:rPr>
                <w:noProof/>
                <w:webHidden/>
                <w:sz w:val="28"/>
                <w:szCs w:val="28"/>
              </w:rPr>
            </w:r>
            <w:r w:rsidR="00E56BF1" w:rsidRPr="00303CC1">
              <w:rPr>
                <w:noProof/>
                <w:webHidden/>
                <w:sz w:val="28"/>
                <w:szCs w:val="28"/>
              </w:rPr>
              <w:fldChar w:fldCharType="separate"/>
            </w:r>
            <w:r w:rsidR="005D72F1">
              <w:rPr>
                <w:noProof/>
                <w:webHidden/>
                <w:sz w:val="28"/>
                <w:szCs w:val="28"/>
              </w:rPr>
              <w:t>6</w:t>
            </w:r>
            <w:r w:rsidR="00E56BF1" w:rsidRPr="00303CC1">
              <w:rPr>
                <w:noProof/>
                <w:webHidden/>
                <w:sz w:val="28"/>
                <w:szCs w:val="28"/>
              </w:rPr>
              <w:fldChar w:fldCharType="end"/>
            </w:r>
          </w:hyperlink>
        </w:p>
        <w:p w14:paraId="45B875B4" w14:textId="2BEAE0EC" w:rsidR="00E56BF1" w:rsidRPr="00D27255" w:rsidRDefault="002A1AE5">
          <w:pPr>
            <w:pStyle w:val="TOC1"/>
            <w:rPr>
              <w:rFonts w:asciiTheme="minorHAnsi" w:eastAsiaTheme="minorEastAsia" w:hAnsiTheme="minorHAnsi" w:cstheme="minorBidi"/>
              <w:noProof/>
              <w:sz w:val="28"/>
              <w:szCs w:val="28"/>
            </w:rPr>
          </w:pPr>
          <w:hyperlink w:anchor="_Toc10638792" w:history="1">
            <w:r w:rsidR="00E56BF1" w:rsidRPr="00303CC1">
              <w:rPr>
                <w:rStyle w:val="Hyperlink"/>
                <w:b/>
                <w:noProof/>
                <w:sz w:val="28"/>
                <w:szCs w:val="28"/>
                <w:lang w:eastAsia="en-US"/>
              </w:rPr>
              <w:t>4. Ietekme uz valsts budžetu</w:t>
            </w:r>
            <w:r w:rsidR="00E56BF1" w:rsidRPr="00303CC1">
              <w:rPr>
                <w:noProof/>
                <w:webHidden/>
                <w:sz w:val="28"/>
                <w:szCs w:val="28"/>
              </w:rPr>
              <w:tab/>
            </w:r>
            <w:r w:rsidR="00E56BF1" w:rsidRPr="00303CC1">
              <w:rPr>
                <w:noProof/>
                <w:webHidden/>
                <w:sz w:val="28"/>
                <w:szCs w:val="28"/>
              </w:rPr>
              <w:fldChar w:fldCharType="begin"/>
            </w:r>
            <w:r w:rsidR="00E56BF1" w:rsidRPr="00303CC1">
              <w:rPr>
                <w:noProof/>
                <w:webHidden/>
                <w:sz w:val="28"/>
                <w:szCs w:val="28"/>
              </w:rPr>
              <w:instrText xml:space="preserve"> PAGEREF _Toc10638792 \h </w:instrText>
            </w:r>
            <w:r w:rsidR="00E56BF1" w:rsidRPr="00303CC1">
              <w:rPr>
                <w:noProof/>
                <w:webHidden/>
                <w:sz w:val="28"/>
                <w:szCs w:val="28"/>
              </w:rPr>
            </w:r>
            <w:r w:rsidR="00E56BF1" w:rsidRPr="00303CC1">
              <w:rPr>
                <w:noProof/>
                <w:webHidden/>
                <w:sz w:val="28"/>
                <w:szCs w:val="28"/>
              </w:rPr>
              <w:fldChar w:fldCharType="separate"/>
            </w:r>
            <w:r w:rsidR="005D72F1">
              <w:rPr>
                <w:noProof/>
                <w:webHidden/>
                <w:sz w:val="28"/>
                <w:szCs w:val="28"/>
              </w:rPr>
              <w:t>23</w:t>
            </w:r>
            <w:r w:rsidR="00E56BF1" w:rsidRPr="00303CC1">
              <w:rPr>
                <w:noProof/>
                <w:webHidden/>
                <w:sz w:val="28"/>
                <w:szCs w:val="28"/>
              </w:rPr>
              <w:fldChar w:fldCharType="end"/>
            </w:r>
          </w:hyperlink>
        </w:p>
        <w:p w14:paraId="3021BD15" w14:textId="117D45E7" w:rsidR="00D25D59" w:rsidRPr="00D27255" w:rsidRDefault="00D25D59" w:rsidP="00D25D59">
          <w:pPr>
            <w:rPr>
              <w:sz w:val="36"/>
            </w:rPr>
          </w:pPr>
          <w:r w:rsidRPr="00D27255">
            <w:rPr>
              <w:bCs/>
              <w:sz w:val="28"/>
              <w:szCs w:val="28"/>
            </w:rPr>
            <w:fldChar w:fldCharType="end"/>
          </w:r>
        </w:p>
      </w:sdtContent>
    </w:sdt>
    <w:p w14:paraId="492602A5" w14:textId="3B895A17" w:rsidR="00D25D59" w:rsidRPr="00D27255" w:rsidRDefault="00D25D59" w:rsidP="002709DA">
      <w:pPr>
        <w:keepNext/>
        <w:keepLines/>
        <w:spacing w:before="240"/>
        <w:jc w:val="center"/>
        <w:outlineLvl w:val="0"/>
        <w:rPr>
          <w:rFonts w:eastAsiaTheme="majorEastAsia"/>
          <w:b/>
          <w:sz w:val="32"/>
          <w:szCs w:val="32"/>
        </w:rPr>
      </w:pPr>
      <w:bookmarkStart w:id="1" w:name="_Toc10638788"/>
      <w:r w:rsidRPr="00D27255">
        <w:rPr>
          <w:rFonts w:eastAsiaTheme="majorEastAsia"/>
          <w:b/>
          <w:sz w:val="32"/>
          <w:szCs w:val="32"/>
        </w:rPr>
        <w:t>1.</w:t>
      </w:r>
      <w:r w:rsidR="0019216B" w:rsidRPr="00D27255">
        <w:rPr>
          <w:rFonts w:eastAsiaTheme="majorEastAsia"/>
          <w:b/>
          <w:sz w:val="32"/>
          <w:szCs w:val="32"/>
        </w:rPr>
        <w:t> </w:t>
      </w:r>
      <w:r w:rsidRPr="00D27255">
        <w:rPr>
          <w:rFonts w:eastAsiaTheme="majorEastAsia"/>
          <w:b/>
          <w:sz w:val="32"/>
          <w:szCs w:val="32"/>
        </w:rPr>
        <w:t>Konceptuālā ziņojuma kopsavilkums</w:t>
      </w:r>
      <w:bookmarkEnd w:id="1"/>
    </w:p>
    <w:p w14:paraId="52405F50" w14:textId="77777777" w:rsidR="00D25D59" w:rsidRPr="00D27255" w:rsidRDefault="00D25D59" w:rsidP="00D25D59">
      <w:pPr>
        <w:jc w:val="both"/>
      </w:pPr>
    </w:p>
    <w:p w14:paraId="0A956512" w14:textId="43B0E159" w:rsidR="00D25D59" w:rsidRPr="00D27255" w:rsidRDefault="00D25D59" w:rsidP="00D25D59">
      <w:pPr>
        <w:ind w:firstLine="720"/>
        <w:jc w:val="both"/>
        <w:rPr>
          <w:sz w:val="28"/>
          <w:szCs w:val="28"/>
        </w:rPr>
      </w:pPr>
      <w:r w:rsidRPr="00D27255">
        <w:rPr>
          <w:sz w:val="28"/>
          <w:szCs w:val="28"/>
        </w:rPr>
        <w:t>Tieslietu politikas un tiesu sistēmas efektivitātei ir nozīmīga loma valsts tautsaimniecības attīstībā. Efektīva un kvalitatīva tiesu sistēma ir būtisk</w:t>
      </w:r>
      <w:r w:rsidR="6BF4DA74" w:rsidRPr="00D27255">
        <w:rPr>
          <w:sz w:val="28"/>
          <w:szCs w:val="28"/>
        </w:rPr>
        <w:t>s</w:t>
      </w:r>
      <w:r w:rsidRPr="00D27255">
        <w:rPr>
          <w:sz w:val="28"/>
          <w:szCs w:val="28"/>
        </w:rPr>
        <w:t xml:space="preserve"> aspekt</w:t>
      </w:r>
      <w:r w:rsidR="6BF4DA74" w:rsidRPr="00D27255">
        <w:rPr>
          <w:sz w:val="28"/>
          <w:szCs w:val="28"/>
        </w:rPr>
        <w:t>s</w:t>
      </w:r>
      <w:r w:rsidRPr="00D27255">
        <w:rPr>
          <w:sz w:val="28"/>
          <w:szCs w:val="28"/>
        </w:rPr>
        <w:t>, kas ietekmē komercdarbības vidi un līdz ar to arī Latvijas iedzīvotāju labklājības līmeni. Uzņēmējdarbības ietvaros nenoliedzami būtiska nozīme ir tam, cik ātri var panākt savu tiesību aizsardzību tiesā, tomēr vienlīdz svarīgi ir nodrošināt augstu nolēmumu kvalitāti un taisnīguma atjaunošanu.</w:t>
      </w:r>
      <w:r w:rsidR="00E30CAF" w:rsidRPr="00D27255">
        <w:rPr>
          <w:sz w:val="28"/>
          <w:szCs w:val="28"/>
        </w:rPr>
        <w:t xml:space="preserve"> </w:t>
      </w:r>
      <w:r w:rsidR="00E30CAF" w:rsidRPr="00D27255">
        <w:rPr>
          <w:bCs/>
          <w:sz w:val="28"/>
          <w:szCs w:val="28"/>
        </w:rPr>
        <w:t>N</w:t>
      </w:r>
      <w:r w:rsidR="00E30CAF" w:rsidRPr="00D27255">
        <w:rPr>
          <w:sz w:val="28"/>
          <w:szCs w:val="28"/>
        </w:rPr>
        <w:t>eatlaidīgs darbs un ieguldījumi tieslietu sistēmas attīstībai ir arī Latvijas starptautiskās reputācijas jautājums.</w:t>
      </w:r>
    </w:p>
    <w:p w14:paraId="20531153" w14:textId="3B4540A5" w:rsidR="00D25D59" w:rsidRPr="00D27255" w:rsidRDefault="00D25D59" w:rsidP="00D25D59">
      <w:pPr>
        <w:ind w:firstLine="720"/>
        <w:jc w:val="both"/>
        <w:rPr>
          <w:sz w:val="28"/>
          <w:szCs w:val="28"/>
        </w:rPr>
      </w:pPr>
      <w:r w:rsidRPr="00D27255">
        <w:rPr>
          <w:sz w:val="28"/>
          <w:szCs w:val="28"/>
        </w:rPr>
        <w:t>2018.</w:t>
      </w:r>
      <w:r w:rsidR="008126C3" w:rsidRPr="00D27255">
        <w:rPr>
          <w:sz w:val="28"/>
          <w:szCs w:val="28"/>
        </w:rPr>
        <w:t> </w:t>
      </w:r>
      <w:r w:rsidRPr="00D27255">
        <w:rPr>
          <w:sz w:val="28"/>
          <w:szCs w:val="28"/>
        </w:rPr>
        <w:t xml:space="preserve">gadā tika pieņemts </w:t>
      </w:r>
      <w:proofErr w:type="spellStart"/>
      <w:r w:rsidRPr="00D27255">
        <w:rPr>
          <w:i/>
          <w:sz w:val="28"/>
          <w:szCs w:val="28"/>
        </w:rPr>
        <w:t>Moneyval</w:t>
      </w:r>
      <w:proofErr w:type="spellEnd"/>
      <w:r w:rsidRPr="00D27255">
        <w:rPr>
          <w:sz w:val="28"/>
          <w:szCs w:val="28"/>
          <w:vertAlign w:val="superscript"/>
        </w:rPr>
        <w:footnoteReference w:id="2"/>
      </w:r>
      <w:r w:rsidRPr="00D27255">
        <w:rPr>
          <w:sz w:val="28"/>
          <w:szCs w:val="28"/>
        </w:rPr>
        <w:t xml:space="preserve"> 5.</w:t>
      </w:r>
      <w:r w:rsidR="0019216B" w:rsidRPr="00D27255">
        <w:rPr>
          <w:sz w:val="28"/>
          <w:szCs w:val="28"/>
        </w:rPr>
        <w:t> </w:t>
      </w:r>
      <w:r w:rsidRPr="00D27255">
        <w:rPr>
          <w:sz w:val="28"/>
          <w:szCs w:val="28"/>
        </w:rPr>
        <w:t xml:space="preserve">kārtas novērtējuma ziņojums par Latvijas noziedzīgi iegūtu līdzekļu legalizācijas un terorisma finansēšanas novēršanas un apkarošanas sistēmu. </w:t>
      </w:r>
      <w:r w:rsidR="11ED70F9" w:rsidRPr="00D27255">
        <w:rPr>
          <w:sz w:val="28"/>
          <w:szCs w:val="28"/>
        </w:rPr>
        <w:t>T</w:t>
      </w:r>
      <w:r w:rsidRPr="00D27255">
        <w:rPr>
          <w:sz w:val="28"/>
          <w:szCs w:val="28"/>
        </w:rPr>
        <w:t>as ir skaidri iezīmējis kopējās problēmas tieslietu jomā, kuru risināšanai ir nepieciešama nekavējoša rīcība. Vienlaikus ir jāpatur prātā, ka Latvijas tieslietu sistēmu ir vērtējušas arī citas starptautiskās organizācijas (</w:t>
      </w:r>
      <w:r w:rsidR="00B04E5D" w:rsidRPr="00D27255">
        <w:rPr>
          <w:sz w:val="28"/>
          <w:szCs w:val="28"/>
        </w:rPr>
        <w:t xml:space="preserve">Ekonomiskās sadarbības un attīstības organizācija (turpmāk – </w:t>
      </w:r>
      <w:r w:rsidRPr="00D27255">
        <w:rPr>
          <w:sz w:val="28"/>
          <w:szCs w:val="28"/>
        </w:rPr>
        <w:t>OECD</w:t>
      </w:r>
      <w:r w:rsidR="00B04E5D" w:rsidRPr="00D27255">
        <w:rPr>
          <w:sz w:val="28"/>
          <w:szCs w:val="28"/>
        </w:rPr>
        <w:t xml:space="preserve">, </w:t>
      </w:r>
      <w:r w:rsidRPr="00D27255">
        <w:rPr>
          <w:sz w:val="28"/>
          <w:szCs w:val="28"/>
        </w:rPr>
        <w:t xml:space="preserve"> </w:t>
      </w:r>
      <w:r w:rsidR="00B04E5D" w:rsidRPr="00D27255">
        <w:rPr>
          <w:sz w:val="28"/>
          <w:szCs w:val="28"/>
        </w:rPr>
        <w:t xml:space="preserve">Eiropas Padomes Tieslietu sistēmu efektivitātes komisija (turpmāk – </w:t>
      </w:r>
      <w:r w:rsidRPr="00D27255">
        <w:rPr>
          <w:sz w:val="28"/>
          <w:szCs w:val="28"/>
        </w:rPr>
        <w:t>CEPEJ</w:t>
      </w:r>
      <w:r w:rsidR="00B04E5D" w:rsidRPr="00D27255">
        <w:rPr>
          <w:sz w:val="28"/>
          <w:szCs w:val="28"/>
        </w:rPr>
        <w:t>)</w:t>
      </w:r>
      <w:r w:rsidRPr="00D27255">
        <w:rPr>
          <w:sz w:val="28"/>
          <w:szCs w:val="28"/>
        </w:rPr>
        <w:t>,</w:t>
      </w:r>
      <w:r w:rsidR="004C1201" w:rsidRPr="00D27255">
        <w:rPr>
          <w:sz w:val="28"/>
          <w:szCs w:val="28"/>
        </w:rPr>
        <w:t xml:space="preserve"> </w:t>
      </w:r>
      <w:r w:rsidR="00B04E5D" w:rsidRPr="00D27255">
        <w:rPr>
          <w:sz w:val="28"/>
          <w:szCs w:val="28"/>
        </w:rPr>
        <w:t xml:space="preserve">Starptautiskais valūtas fonds (turpmāk – </w:t>
      </w:r>
      <w:r w:rsidR="004C1201" w:rsidRPr="00D27255">
        <w:rPr>
          <w:sz w:val="28"/>
          <w:szCs w:val="28"/>
        </w:rPr>
        <w:t>SVF</w:t>
      </w:r>
      <w:r w:rsidR="00B04E5D" w:rsidRPr="00D27255">
        <w:rPr>
          <w:sz w:val="28"/>
          <w:szCs w:val="28"/>
        </w:rPr>
        <w:t>)</w:t>
      </w:r>
      <w:r w:rsidRPr="00D27255">
        <w:rPr>
          <w:sz w:val="28"/>
          <w:szCs w:val="28"/>
        </w:rPr>
        <w:t xml:space="preserve"> u.c.), kā arī Valsts kontrole</w:t>
      </w:r>
      <w:r w:rsidR="009C3BF1" w:rsidRPr="00D27255">
        <w:rPr>
          <w:rStyle w:val="FootnoteReference"/>
          <w:sz w:val="28"/>
          <w:szCs w:val="28"/>
        </w:rPr>
        <w:footnoteReference w:id="3"/>
      </w:r>
      <w:r w:rsidRPr="00D27255">
        <w:rPr>
          <w:sz w:val="28"/>
          <w:szCs w:val="28"/>
        </w:rPr>
        <w:t xml:space="preserve">. Arī viņu vērtējumos iekļautās atziņas ir būtiski ņemt vērā, definējot turpmākos uzdevumus. </w:t>
      </w:r>
    </w:p>
    <w:p w14:paraId="2DCC4FF5" w14:textId="4E5EFA41" w:rsidR="00D25D59" w:rsidRPr="00D27255" w:rsidRDefault="00D25D59" w:rsidP="00D25D59">
      <w:pPr>
        <w:ind w:firstLine="720"/>
        <w:jc w:val="both"/>
        <w:rPr>
          <w:sz w:val="28"/>
          <w:szCs w:val="28"/>
        </w:rPr>
      </w:pPr>
      <w:r w:rsidRPr="00D27255">
        <w:rPr>
          <w:sz w:val="28"/>
          <w:szCs w:val="28"/>
        </w:rPr>
        <w:t xml:space="preserve">Atbilstoši </w:t>
      </w:r>
      <w:r w:rsidR="00A00598" w:rsidRPr="00D27255">
        <w:rPr>
          <w:sz w:val="28"/>
          <w:szCs w:val="28"/>
        </w:rPr>
        <w:t>Valdības rīcības plānā D</w:t>
      </w:r>
      <w:r w:rsidRPr="00D27255">
        <w:rPr>
          <w:sz w:val="28"/>
          <w:szCs w:val="28"/>
        </w:rPr>
        <w:t>eklarācij</w:t>
      </w:r>
      <w:r w:rsidR="00A00598" w:rsidRPr="00D27255">
        <w:rPr>
          <w:sz w:val="28"/>
          <w:szCs w:val="28"/>
        </w:rPr>
        <w:t>as</w:t>
      </w:r>
      <w:r w:rsidRPr="00D27255">
        <w:rPr>
          <w:sz w:val="28"/>
          <w:szCs w:val="28"/>
        </w:rPr>
        <w:t xml:space="preserve"> par Artura Krišjāņa Kariņa vadītā Ministru kabineta iecerēto darbību </w:t>
      </w:r>
      <w:r w:rsidR="00A00598" w:rsidRPr="00D27255">
        <w:rPr>
          <w:sz w:val="28"/>
          <w:szCs w:val="28"/>
        </w:rPr>
        <w:t xml:space="preserve">īstenošanai </w:t>
      </w:r>
      <w:r w:rsidRPr="00D27255">
        <w:rPr>
          <w:sz w:val="28"/>
          <w:szCs w:val="28"/>
        </w:rPr>
        <w:t xml:space="preserve">(turpmāk – Deklarācija) </w:t>
      </w:r>
      <w:r w:rsidRPr="00D27255">
        <w:rPr>
          <w:sz w:val="28"/>
          <w:szCs w:val="28"/>
        </w:rPr>
        <w:lastRenderedPageBreak/>
        <w:t>paredzētajai valdības darba prioritātei – tiesiskuma stiprināšana un Deklarācijas sadaļ</w:t>
      </w:r>
      <w:r w:rsidR="14D225A1" w:rsidRPr="00D27255">
        <w:rPr>
          <w:sz w:val="28"/>
          <w:szCs w:val="28"/>
        </w:rPr>
        <w:t>as</w:t>
      </w:r>
      <w:r w:rsidRPr="00D27255">
        <w:rPr>
          <w:sz w:val="28"/>
          <w:szCs w:val="28"/>
        </w:rPr>
        <w:t xml:space="preserve"> "Bezkompromisu tiesiskums un likuma vara" 182.</w:t>
      </w:r>
      <w:r w:rsidR="008126C3" w:rsidRPr="00D27255">
        <w:rPr>
          <w:sz w:val="28"/>
          <w:szCs w:val="28"/>
        </w:rPr>
        <w:t> </w:t>
      </w:r>
      <w:r w:rsidRPr="00D27255">
        <w:rPr>
          <w:sz w:val="28"/>
          <w:szCs w:val="28"/>
        </w:rPr>
        <w:t>punktam noteikts, ka pārskat</w:t>
      </w:r>
      <w:r w:rsidR="14D225A1" w:rsidRPr="00D27255">
        <w:rPr>
          <w:sz w:val="28"/>
          <w:szCs w:val="28"/>
        </w:rPr>
        <w:t>āma</w:t>
      </w:r>
      <w:r w:rsidRPr="00D27255">
        <w:rPr>
          <w:sz w:val="28"/>
          <w:szCs w:val="28"/>
        </w:rPr>
        <w:t xml:space="preserve"> īstenotās tiesu reformas efektivitāte, izvērtējot jaunas specializētas tiesas izveidošanu </w:t>
      </w:r>
      <w:proofErr w:type="spellStart"/>
      <w:r w:rsidRPr="00D27255">
        <w:rPr>
          <w:sz w:val="28"/>
          <w:szCs w:val="28"/>
        </w:rPr>
        <w:t>komercstrīdu</w:t>
      </w:r>
      <w:proofErr w:type="spellEnd"/>
      <w:r w:rsidRPr="00D27255">
        <w:rPr>
          <w:sz w:val="28"/>
          <w:szCs w:val="28"/>
        </w:rPr>
        <w:t>, korupcijas, ekonomisko un finanšu noziegumu jomā.</w:t>
      </w:r>
    </w:p>
    <w:p w14:paraId="52E7870C" w14:textId="2A6A6133" w:rsidR="00D25D59" w:rsidRPr="00D27255" w:rsidRDefault="00D25D59">
      <w:pPr>
        <w:ind w:firstLine="720"/>
        <w:jc w:val="both"/>
        <w:rPr>
          <w:sz w:val="28"/>
          <w:szCs w:val="28"/>
        </w:rPr>
      </w:pPr>
      <w:r w:rsidRPr="00D27255">
        <w:rPr>
          <w:sz w:val="28"/>
          <w:szCs w:val="28"/>
        </w:rPr>
        <w:t xml:space="preserve">Lai vispusīgi un pilnvērtīgi izvērtētu priekšlikumu specializētās tiesas izveidei, Tieslietu ministrija </w:t>
      </w:r>
      <w:r w:rsidR="000A244F" w:rsidRPr="00D27255">
        <w:rPr>
          <w:sz w:val="28"/>
          <w:szCs w:val="28"/>
        </w:rPr>
        <w:t xml:space="preserve">sākotnēji </w:t>
      </w:r>
      <w:r w:rsidRPr="00D27255">
        <w:rPr>
          <w:sz w:val="28"/>
          <w:szCs w:val="28"/>
        </w:rPr>
        <w:t>izstrādāja vairākus risinājumus</w:t>
      </w:r>
      <w:r w:rsidR="2227B17E" w:rsidRPr="00D27255">
        <w:rPr>
          <w:sz w:val="28"/>
          <w:szCs w:val="28"/>
        </w:rPr>
        <w:t>,</w:t>
      </w:r>
      <w:r w:rsidRPr="00D27255">
        <w:rPr>
          <w:sz w:val="28"/>
          <w:szCs w:val="28"/>
        </w:rPr>
        <w:t xml:space="preserve"> </w:t>
      </w:r>
      <w:r w:rsidR="2227B17E" w:rsidRPr="00D27255">
        <w:rPr>
          <w:sz w:val="28"/>
          <w:szCs w:val="28"/>
        </w:rPr>
        <w:t>ko apsprieda</w:t>
      </w:r>
      <w:r w:rsidRPr="00D27255">
        <w:rPr>
          <w:sz w:val="28"/>
          <w:szCs w:val="28"/>
        </w:rPr>
        <w:t xml:space="preserve"> ar rajonu (pilsēt</w:t>
      </w:r>
      <w:r w:rsidR="2227B17E" w:rsidRPr="00D27255">
        <w:rPr>
          <w:sz w:val="28"/>
          <w:szCs w:val="28"/>
        </w:rPr>
        <w:t>u</w:t>
      </w:r>
      <w:r w:rsidRPr="00D27255">
        <w:rPr>
          <w:sz w:val="28"/>
          <w:szCs w:val="28"/>
        </w:rPr>
        <w:t>) tiesu un apgabaltiesu priekšsēdētājiem, Latvijas tiesnešu biedrību</w:t>
      </w:r>
      <w:r w:rsidR="7CA5CB95" w:rsidRPr="00D27255">
        <w:rPr>
          <w:sz w:val="28"/>
          <w:szCs w:val="28"/>
        </w:rPr>
        <w:t>.</w:t>
      </w:r>
      <w:r w:rsidRPr="00D27255">
        <w:rPr>
          <w:sz w:val="28"/>
          <w:szCs w:val="28"/>
        </w:rPr>
        <w:t xml:space="preserve"> </w:t>
      </w:r>
    </w:p>
    <w:p w14:paraId="7E19165A" w14:textId="77777777" w:rsidR="00601E05" w:rsidRPr="00D27255" w:rsidRDefault="009C3BF1">
      <w:pPr>
        <w:ind w:firstLine="720"/>
        <w:jc w:val="both"/>
        <w:rPr>
          <w:sz w:val="28"/>
          <w:szCs w:val="28"/>
        </w:rPr>
      </w:pPr>
      <w:r w:rsidRPr="00D27255">
        <w:rPr>
          <w:sz w:val="28"/>
          <w:szCs w:val="28"/>
        </w:rPr>
        <w:t>Tiesu pārstāvji diskusijās aicināja nodrošināt šo lietu specializāciju esošo rajona (pilsētu) tiesu ietvaros vai arī koncentrēt lietas vienā no esošajām rajona (pilsētas) tiesām. Tādējādi radot iespēju novēr</w:t>
      </w:r>
      <w:r w:rsidR="00601E05" w:rsidRPr="00D27255">
        <w:rPr>
          <w:sz w:val="28"/>
          <w:szCs w:val="28"/>
        </w:rPr>
        <w:t>ot un novērtēt</w:t>
      </w:r>
      <w:r w:rsidRPr="00D27255">
        <w:rPr>
          <w:sz w:val="28"/>
          <w:szCs w:val="28"/>
        </w:rPr>
        <w:t xml:space="preserve"> noslodzi, ko veidot</w:t>
      </w:r>
      <w:r w:rsidR="00601E05" w:rsidRPr="00D27255">
        <w:rPr>
          <w:sz w:val="28"/>
          <w:szCs w:val="28"/>
        </w:rPr>
        <w:t>u</w:t>
      </w:r>
      <w:r w:rsidRPr="00D27255">
        <w:rPr>
          <w:sz w:val="28"/>
          <w:szCs w:val="28"/>
        </w:rPr>
        <w:t xml:space="preserve"> specializētās lietas, un tikai tad</w:t>
      </w:r>
      <w:r w:rsidR="00601E05" w:rsidRPr="00D27255">
        <w:rPr>
          <w:sz w:val="28"/>
          <w:szCs w:val="28"/>
        </w:rPr>
        <w:t xml:space="preserve"> nepieciešamības gadījumā</w:t>
      </w:r>
      <w:r w:rsidRPr="00D27255">
        <w:rPr>
          <w:sz w:val="28"/>
          <w:szCs w:val="28"/>
        </w:rPr>
        <w:t xml:space="preserve"> lemt par nepieciešamību veidot atsevišķu specializētu tiesu.</w:t>
      </w:r>
    </w:p>
    <w:p w14:paraId="59DF3A29" w14:textId="3B7BAF45" w:rsidR="00601E05" w:rsidRPr="00D27255" w:rsidRDefault="009C3BF1">
      <w:pPr>
        <w:ind w:firstLine="720"/>
        <w:jc w:val="both"/>
        <w:rPr>
          <w:sz w:val="28"/>
          <w:szCs w:val="28"/>
        </w:rPr>
      </w:pPr>
      <w:r w:rsidRPr="00D27255">
        <w:rPr>
          <w:sz w:val="28"/>
          <w:szCs w:val="28"/>
        </w:rPr>
        <w:t>Līdzīgu viedokli ir paudusi arī Latvijas Tirdzniecīb</w:t>
      </w:r>
      <w:r w:rsidR="00601E05" w:rsidRPr="00D27255">
        <w:rPr>
          <w:sz w:val="28"/>
          <w:szCs w:val="28"/>
        </w:rPr>
        <w:t>as un rūpniecības kamera (</w:t>
      </w:r>
      <w:r w:rsidR="00A00598" w:rsidRPr="00D27255">
        <w:rPr>
          <w:sz w:val="28"/>
          <w:szCs w:val="28"/>
        </w:rPr>
        <w:t xml:space="preserve">turpmāk – </w:t>
      </w:r>
      <w:r w:rsidR="00601E05" w:rsidRPr="00D27255">
        <w:rPr>
          <w:sz w:val="28"/>
          <w:szCs w:val="28"/>
        </w:rPr>
        <w:t>LTRK). LTRK ieskatā visupirms ir atbalstāma tiesnešu specializācija, vienlaikus vērtējot, vai iecerētā rezultāta sasniegšanai ilgtermiņā būtu nepieciešams ieviest arī tiesu specializāciju. Specializēto tiesnešu darba organizācijai LTRK ieskatā būtu apsverama nodaļu veidošana tiesu namos</w:t>
      </w:r>
      <w:r w:rsidR="00601E05" w:rsidRPr="00D27255">
        <w:rPr>
          <w:rStyle w:val="FootnoteReference"/>
          <w:sz w:val="28"/>
          <w:szCs w:val="28"/>
        </w:rPr>
        <w:footnoteReference w:id="4"/>
      </w:r>
      <w:r w:rsidR="00601E05" w:rsidRPr="00D27255">
        <w:rPr>
          <w:sz w:val="28"/>
          <w:szCs w:val="28"/>
        </w:rPr>
        <w:t>.</w:t>
      </w:r>
    </w:p>
    <w:p w14:paraId="6C907372" w14:textId="050CFBF0" w:rsidR="009C3BF1" w:rsidRPr="00D27255" w:rsidRDefault="00601E05">
      <w:pPr>
        <w:ind w:firstLine="720"/>
        <w:jc w:val="both"/>
        <w:rPr>
          <w:sz w:val="28"/>
          <w:szCs w:val="28"/>
        </w:rPr>
      </w:pPr>
      <w:r w:rsidRPr="00D27255">
        <w:rPr>
          <w:sz w:val="28"/>
          <w:szCs w:val="28"/>
        </w:rPr>
        <w:t>Savukārt Ārvalstu investoru padomes (</w:t>
      </w:r>
      <w:r w:rsidR="00A00598" w:rsidRPr="00D27255">
        <w:rPr>
          <w:sz w:val="28"/>
          <w:szCs w:val="28"/>
        </w:rPr>
        <w:t xml:space="preserve">turpmāk – </w:t>
      </w:r>
      <w:r w:rsidRPr="00D27255">
        <w:rPr>
          <w:sz w:val="28"/>
          <w:szCs w:val="28"/>
        </w:rPr>
        <w:t>FICIL) ieskatā</w:t>
      </w:r>
      <w:r w:rsidRPr="00D27255">
        <w:rPr>
          <w:rStyle w:val="FootnoteReference"/>
          <w:sz w:val="28"/>
          <w:szCs w:val="28"/>
        </w:rPr>
        <w:footnoteReference w:id="5"/>
      </w:r>
      <w:r w:rsidRPr="00D27255">
        <w:rPr>
          <w:sz w:val="28"/>
          <w:szCs w:val="28"/>
        </w:rPr>
        <w:t xml:space="preserve"> jautājums var tikt risināts gan ar specializētu tiesu, gan speciālu kameru vai citādu struktūru izveidi pie esošajām tiesām. Specializācijai jānodrošina tas, ka konkrētām tiesām ir ierobežota un ekskluzīva jurisdikcija lemt konkrētus jautājumus.</w:t>
      </w:r>
    </w:p>
    <w:p w14:paraId="48A5F269" w14:textId="492B2211" w:rsidR="001C1BAA" w:rsidRPr="00D27255" w:rsidRDefault="00293520">
      <w:pPr>
        <w:ind w:firstLine="720"/>
        <w:jc w:val="both"/>
        <w:rPr>
          <w:sz w:val="28"/>
          <w:szCs w:val="28"/>
        </w:rPr>
      </w:pPr>
      <w:r w:rsidRPr="00D27255">
        <w:rPr>
          <w:sz w:val="28"/>
          <w:szCs w:val="28"/>
        </w:rPr>
        <w:t xml:space="preserve">Analizējot iespējamos risinājuma variantus un savstarpēji vērtējot to ieguvumus un trūkumus, </w:t>
      </w:r>
      <w:r w:rsidR="00601E05" w:rsidRPr="00D27255">
        <w:rPr>
          <w:sz w:val="28"/>
          <w:szCs w:val="28"/>
        </w:rPr>
        <w:t>Tieslietu ministrija</w:t>
      </w:r>
      <w:r w:rsidRPr="00D27255">
        <w:rPr>
          <w:sz w:val="28"/>
          <w:szCs w:val="28"/>
        </w:rPr>
        <w:t xml:space="preserve"> </w:t>
      </w:r>
      <w:r w:rsidR="00D8364E" w:rsidRPr="00D27255">
        <w:rPr>
          <w:sz w:val="28"/>
          <w:szCs w:val="28"/>
        </w:rPr>
        <w:t>uzskata</w:t>
      </w:r>
      <w:r w:rsidR="00601E05" w:rsidRPr="00D27255">
        <w:rPr>
          <w:sz w:val="28"/>
          <w:szCs w:val="28"/>
        </w:rPr>
        <w:t>, ka ir virzāms</w:t>
      </w:r>
      <w:r w:rsidR="284D7C59" w:rsidRPr="00D27255">
        <w:rPr>
          <w:sz w:val="28"/>
          <w:szCs w:val="28"/>
        </w:rPr>
        <w:t xml:space="preserve"> risinājum</w:t>
      </w:r>
      <w:r w:rsidR="37CF7AE1" w:rsidRPr="00D27255">
        <w:rPr>
          <w:sz w:val="28"/>
          <w:szCs w:val="28"/>
        </w:rPr>
        <w:t>s,</w:t>
      </w:r>
      <w:r w:rsidR="284D7C59" w:rsidRPr="00D27255">
        <w:rPr>
          <w:sz w:val="28"/>
          <w:szCs w:val="28"/>
        </w:rPr>
        <w:t xml:space="preserve"> </w:t>
      </w:r>
      <w:r w:rsidR="37CF7AE1" w:rsidRPr="00D27255">
        <w:rPr>
          <w:sz w:val="28"/>
          <w:szCs w:val="28"/>
        </w:rPr>
        <w:t>kas paredz</w:t>
      </w:r>
      <w:r w:rsidRPr="00D27255">
        <w:rPr>
          <w:sz w:val="28"/>
          <w:szCs w:val="28"/>
        </w:rPr>
        <w:t xml:space="preserve"> veidot jaunu specializētu </w:t>
      </w:r>
      <w:r w:rsidR="001C1BAA" w:rsidRPr="00D27255">
        <w:rPr>
          <w:sz w:val="28"/>
          <w:szCs w:val="28"/>
        </w:rPr>
        <w:t xml:space="preserve">pirmās instances rajona (pilsētas) </w:t>
      </w:r>
      <w:r w:rsidRPr="00D27255">
        <w:rPr>
          <w:sz w:val="28"/>
          <w:szCs w:val="28"/>
        </w:rPr>
        <w:t>tiesu</w:t>
      </w:r>
      <w:r w:rsidR="001C1BAA" w:rsidRPr="00D27255">
        <w:rPr>
          <w:sz w:val="28"/>
          <w:szCs w:val="28"/>
        </w:rPr>
        <w:t xml:space="preserve"> Rīgā, vienlaikus specializējot šo lietu izskatīšanu arī apelācijas ietvaros, paredzot specializētas kolēģijas izveidi pie Rīgas apgabaltiesas.</w:t>
      </w:r>
      <w:r w:rsidR="00D8364E" w:rsidRPr="00D27255">
        <w:rPr>
          <w:sz w:val="28"/>
          <w:szCs w:val="28"/>
        </w:rPr>
        <w:t xml:space="preserve"> Līdz ar minēto, tiktu nodrošināta nekavējoša mērķa sasniegšana, vienlaikus nodrošinot sistēmas efektivitāti ilgtermiņā.</w:t>
      </w:r>
    </w:p>
    <w:p w14:paraId="2B5A5FD8" w14:textId="03A41428" w:rsidR="782A11F4" w:rsidRPr="00D27255" w:rsidRDefault="727DE0F4">
      <w:pPr>
        <w:ind w:firstLine="720"/>
        <w:jc w:val="both"/>
        <w:rPr>
          <w:sz w:val="28"/>
          <w:szCs w:val="28"/>
        </w:rPr>
      </w:pPr>
      <w:r w:rsidRPr="00D27255">
        <w:rPr>
          <w:sz w:val="28"/>
          <w:szCs w:val="28"/>
        </w:rPr>
        <w:t>Valsts ir at</w:t>
      </w:r>
      <w:r w:rsidR="64E64EF3" w:rsidRPr="00D27255">
        <w:rPr>
          <w:sz w:val="28"/>
          <w:szCs w:val="28"/>
        </w:rPr>
        <w:t>bildīga par efektīv</w:t>
      </w:r>
      <w:r w:rsidR="5965959F" w:rsidRPr="00D27255">
        <w:rPr>
          <w:sz w:val="28"/>
          <w:szCs w:val="28"/>
        </w:rPr>
        <w:t>a tiesas pr</w:t>
      </w:r>
      <w:r w:rsidR="043072B9" w:rsidRPr="00D27255">
        <w:rPr>
          <w:sz w:val="28"/>
          <w:szCs w:val="28"/>
        </w:rPr>
        <w:t>ocesa nodrošināšanu. K</w:t>
      </w:r>
      <w:r w:rsidR="23B04DE8" w:rsidRPr="00D27255">
        <w:rPr>
          <w:sz w:val="28"/>
          <w:szCs w:val="28"/>
        </w:rPr>
        <w:t>o</w:t>
      </w:r>
      <w:r w:rsidR="043072B9" w:rsidRPr="00D27255">
        <w:rPr>
          <w:sz w:val="28"/>
          <w:szCs w:val="28"/>
        </w:rPr>
        <w:t xml:space="preserve">nkrētajā </w:t>
      </w:r>
      <w:r w:rsidR="2778CB65" w:rsidRPr="00D27255">
        <w:rPr>
          <w:sz w:val="28"/>
          <w:szCs w:val="28"/>
        </w:rPr>
        <w:t xml:space="preserve">gadījumā </w:t>
      </w:r>
      <w:r w:rsidR="00750A06" w:rsidRPr="00D27255">
        <w:rPr>
          <w:sz w:val="28"/>
          <w:szCs w:val="28"/>
        </w:rPr>
        <w:t xml:space="preserve">secināts, ka </w:t>
      </w:r>
      <w:r w:rsidR="2778CB65" w:rsidRPr="00D27255">
        <w:rPr>
          <w:sz w:val="28"/>
          <w:szCs w:val="28"/>
        </w:rPr>
        <w:t>not</w:t>
      </w:r>
      <w:r w:rsidR="4673A1BA" w:rsidRPr="00D27255">
        <w:rPr>
          <w:sz w:val="28"/>
          <w:szCs w:val="28"/>
        </w:rPr>
        <w:t>ei</w:t>
      </w:r>
      <w:r w:rsidR="5222EEE1" w:rsidRPr="00D27255">
        <w:rPr>
          <w:sz w:val="28"/>
          <w:szCs w:val="28"/>
        </w:rPr>
        <w:t>ktu lietu kategoriju efektīvāku</w:t>
      </w:r>
      <w:r w:rsidR="043072B9" w:rsidRPr="00D27255">
        <w:rPr>
          <w:sz w:val="28"/>
          <w:szCs w:val="28"/>
        </w:rPr>
        <w:t xml:space="preserve"> </w:t>
      </w:r>
      <w:r w:rsidR="55539E55" w:rsidRPr="00D27255">
        <w:rPr>
          <w:sz w:val="28"/>
          <w:szCs w:val="28"/>
        </w:rPr>
        <w:t>iz</w:t>
      </w:r>
      <w:r w:rsidR="49C4D182" w:rsidRPr="00D27255">
        <w:rPr>
          <w:sz w:val="28"/>
          <w:szCs w:val="28"/>
        </w:rPr>
        <w:t>skatīša</w:t>
      </w:r>
      <w:r w:rsidR="55539E55" w:rsidRPr="00D27255">
        <w:rPr>
          <w:sz w:val="28"/>
          <w:szCs w:val="28"/>
        </w:rPr>
        <w:t>na</w:t>
      </w:r>
      <w:r w:rsidR="49C4D182" w:rsidRPr="00D27255">
        <w:rPr>
          <w:sz w:val="28"/>
          <w:szCs w:val="28"/>
        </w:rPr>
        <w:t>s</w:t>
      </w:r>
      <w:r w:rsidR="55539E55" w:rsidRPr="00D27255">
        <w:rPr>
          <w:sz w:val="28"/>
          <w:szCs w:val="28"/>
        </w:rPr>
        <w:t xml:space="preserve"> procesu </w:t>
      </w:r>
      <w:r w:rsidR="285EF07C" w:rsidRPr="00D27255">
        <w:rPr>
          <w:sz w:val="28"/>
          <w:szCs w:val="28"/>
        </w:rPr>
        <w:t>iespējams nodrošināt</w:t>
      </w:r>
      <w:r w:rsidR="68E4187F" w:rsidRPr="00D27255">
        <w:rPr>
          <w:sz w:val="28"/>
          <w:szCs w:val="28"/>
        </w:rPr>
        <w:t>,</w:t>
      </w:r>
      <w:r w:rsidR="285EF07C" w:rsidRPr="00D27255">
        <w:rPr>
          <w:sz w:val="28"/>
          <w:szCs w:val="28"/>
        </w:rPr>
        <w:t xml:space="preserve"> </w:t>
      </w:r>
      <w:r w:rsidR="3AF8638C" w:rsidRPr="00D27255">
        <w:rPr>
          <w:sz w:val="28"/>
          <w:szCs w:val="28"/>
        </w:rPr>
        <w:t>koncentrējot lietas</w:t>
      </w:r>
      <w:r w:rsidR="43ADC9F5" w:rsidRPr="00D27255">
        <w:rPr>
          <w:sz w:val="28"/>
          <w:szCs w:val="28"/>
        </w:rPr>
        <w:t>, zināšanas</w:t>
      </w:r>
      <w:r w:rsidR="3AF8638C" w:rsidRPr="00D27255">
        <w:rPr>
          <w:sz w:val="28"/>
          <w:szCs w:val="28"/>
        </w:rPr>
        <w:t xml:space="preserve"> </w:t>
      </w:r>
      <w:r w:rsidR="03450154" w:rsidRPr="00D27255">
        <w:rPr>
          <w:sz w:val="28"/>
          <w:szCs w:val="28"/>
        </w:rPr>
        <w:t>un resursus vienuviet</w:t>
      </w:r>
      <w:r w:rsidR="1B74B6B0" w:rsidRPr="00D27255">
        <w:rPr>
          <w:sz w:val="28"/>
          <w:szCs w:val="28"/>
        </w:rPr>
        <w:t>.</w:t>
      </w:r>
      <w:r w:rsidR="03450154" w:rsidRPr="00D27255">
        <w:rPr>
          <w:sz w:val="28"/>
          <w:szCs w:val="28"/>
        </w:rPr>
        <w:t xml:space="preserve"> </w:t>
      </w:r>
      <w:r w:rsidR="3AF8638C" w:rsidRPr="00D27255">
        <w:rPr>
          <w:sz w:val="28"/>
          <w:szCs w:val="28"/>
        </w:rPr>
        <w:t xml:space="preserve"> </w:t>
      </w:r>
      <w:r w:rsidR="000A244F" w:rsidRPr="00D27255">
        <w:rPr>
          <w:sz w:val="28"/>
          <w:szCs w:val="28"/>
        </w:rPr>
        <w:t xml:space="preserve">Galvenais mērķis specializētās tiesas izveidei ir </w:t>
      </w:r>
      <w:r w:rsidR="00750A06" w:rsidRPr="00D27255">
        <w:rPr>
          <w:sz w:val="28"/>
          <w:szCs w:val="28"/>
        </w:rPr>
        <w:t xml:space="preserve">procesa efektivitāte un </w:t>
      </w:r>
      <w:r w:rsidR="000A244F" w:rsidRPr="00D27255">
        <w:rPr>
          <w:sz w:val="28"/>
          <w:szCs w:val="28"/>
        </w:rPr>
        <w:t xml:space="preserve">nolēmumu kvalitātes </w:t>
      </w:r>
      <w:r w:rsidR="0A08CD3A" w:rsidRPr="00D27255">
        <w:rPr>
          <w:sz w:val="28"/>
          <w:szCs w:val="28"/>
        </w:rPr>
        <w:t>nodrošināšan</w:t>
      </w:r>
      <w:r w:rsidR="3C39B7F3" w:rsidRPr="00D27255">
        <w:rPr>
          <w:sz w:val="28"/>
          <w:szCs w:val="28"/>
        </w:rPr>
        <w:t>a</w:t>
      </w:r>
      <w:r w:rsidR="000A244F" w:rsidRPr="00D27255">
        <w:rPr>
          <w:sz w:val="28"/>
          <w:szCs w:val="28"/>
        </w:rPr>
        <w:t xml:space="preserve">. </w:t>
      </w:r>
    </w:p>
    <w:p w14:paraId="233D8B4A" w14:textId="276F8A21" w:rsidR="00E023C3" w:rsidRPr="00D27255" w:rsidRDefault="52B76E1F" w:rsidP="00E023C3">
      <w:pPr>
        <w:ind w:firstLine="720"/>
        <w:jc w:val="both"/>
        <w:rPr>
          <w:sz w:val="28"/>
          <w:szCs w:val="28"/>
        </w:rPr>
      </w:pPr>
      <w:r w:rsidRPr="00D27255">
        <w:rPr>
          <w:sz w:val="28"/>
          <w:szCs w:val="28"/>
        </w:rPr>
        <w:t>Vienlaik</w:t>
      </w:r>
      <w:r w:rsidR="3ECA12EF" w:rsidRPr="00D27255">
        <w:rPr>
          <w:sz w:val="28"/>
          <w:szCs w:val="28"/>
        </w:rPr>
        <w:t>us atzīmējams, k</w:t>
      </w:r>
      <w:r w:rsidR="2D7DDEFB" w:rsidRPr="00D27255">
        <w:rPr>
          <w:sz w:val="28"/>
          <w:szCs w:val="28"/>
        </w:rPr>
        <w:t xml:space="preserve">a </w:t>
      </w:r>
      <w:r w:rsidR="37BBDF46" w:rsidRPr="00D27255">
        <w:rPr>
          <w:sz w:val="28"/>
          <w:szCs w:val="28"/>
        </w:rPr>
        <w:t>būtiska loma tiesas proce</w:t>
      </w:r>
      <w:r w:rsidR="389373B6" w:rsidRPr="00D27255">
        <w:rPr>
          <w:sz w:val="28"/>
          <w:szCs w:val="28"/>
        </w:rPr>
        <w:t>sa efektivitātes, nolēmumu k</w:t>
      </w:r>
      <w:r w:rsidR="7721ABFC" w:rsidRPr="00D27255">
        <w:rPr>
          <w:sz w:val="28"/>
          <w:szCs w:val="28"/>
        </w:rPr>
        <w:t>valitātes un sodu politikas mē</w:t>
      </w:r>
      <w:r w:rsidR="2DEA4290" w:rsidRPr="00D27255">
        <w:rPr>
          <w:sz w:val="28"/>
          <w:szCs w:val="28"/>
        </w:rPr>
        <w:t>rķ</w:t>
      </w:r>
      <w:r w:rsidR="7721ABFC" w:rsidRPr="00D27255">
        <w:rPr>
          <w:sz w:val="28"/>
          <w:szCs w:val="28"/>
        </w:rPr>
        <w:t>u sasnie</w:t>
      </w:r>
      <w:r w:rsidR="7A3B0955" w:rsidRPr="00D27255">
        <w:rPr>
          <w:sz w:val="28"/>
          <w:szCs w:val="28"/>
        </w:rPr>
        <w:t xml:space="preserve">gšanai ir </w:t>
      </w:r>
      <w:r w:rsidR="00750A06" w:rsidRPr="00D27255">
        <w:rPr>
          <w:sz w:val="28"/>
          <w:szCs w:val="28"/>
        </w:rPr>
        <w:t xml:space="preserve">arī </w:t>
      </w:r>
      <w:r w:rsidR="7A3B0955" w:rsidRPr="00D27255">
        <w:rPr>
          <w:sz w:val="28"/>
          <w:szCs w:val="28"/>
        </w:rPr>
        <w:t>pirm</w:t>
      </w:r>
      <w:r w:rsidR="78FA3F01" w:rsidRPr="00D27255">
        <w:rPr>
          <w:sz w:val="28"/>
          <w:szCs w:val="28"/>
        </w:rPr>
        <w:t>s</w:t>
      </w:r>
      <w:r w:rsidR="7A3B0955" w:rsidRPr="00D27255">
        <w:rPr>
          <w:sz w:val="28"/>
          <w:szCs w:val="28"/>
        </w:rPr>
        <w:t>tiesas izmeklēš</w:t>
      </w:r>
      <w:r w:rsidR="1361F444" w:rsidRPr="00D27255">
        <w:rPr>
          <w:sz w:val="28"/>
          <w:szCs w:val="28"/>
        </w:rPr>
        <w:t>anas procesa kvalitātei</w:t>
      </w:r>
      <w:r w:rsidR="78FA3F01" w:rsidRPr="00D27255">
        <w:rPr>
          <w:sz w:val="28"/>
          <w:szCs w:val="28"/>
        </w:rPr>
        <w:t xml:space="preserve">. </w:t>
      </w:r>
      <w:r w:rsidR="27F6409F" w:rsidRPr="00D27255">
        <w:rPr>
          <w:sz w:val="28"/>
          <w:szCs w:val="28"/>
        </w:rPr>
        <w:t>Special</w:t>
      </w:r>
      <w:r w:rsidR="2A2618BA" w:rsidRPr="00D27255">
        <w:rPr>
          <w:sz w:val="28"/>
          <w:szCs w:val="28"/>
        </w:rPr>
        <w:t>i</w:t>
      </w:r>
      <w:r w:rsidR="27F6409F" w:rsidRPr="00D27255">
        <w:rPr>
          <w:sz w:val="28"/>
          <w:szCs w:val="28"/>
        </w:rPr>
        <w:t>zētas tiesas izveide</w:t>
      </w:r>
      <w:r w:rsidR="575B202C" w:rsidRPr="00D27255">
        <w:rPr>
          <w:sz w:val="28"/>
          <w:szCs w:val="28"/>
        </w:rPr>
        <w:t xml:space="preserve"> varētu atvie</w:t>
      </w:r>
      <w:r w:rsidR="1ACDB79F" w:rsidRPr="00D27255">
        <w:rPr>
          <w:sz w:val="28"/>
          <w:szCs w:val="28"/>
        </w:rPr>
        <w:t xml:space="preserve">glot </w:t>
      </w:r>
      <w:r w:rsidR="2AF71029" w:rsidRPr="00D27255">
        <w:rPr>
          <w:sz w:val="28"/>
          <w:szCs w:val="28"/>
        </w:rPr>
        <w:t>vienotu stand</w:t>
      </w:r>
      <w:r w:rsidR="5AB0E8BD" w:rsidRPr="00D27255">
        <w:rPr>
          <w:sz w:val="28"/>
          <w:szCs w:val="28"/>
        </w:rPr>
        <w:t>ar</w:t>
      </w:r>
      <w:r w:rsidR="2AF71029" w:rsidRPr="00D27255">
        <w:rPr>
          <w:sz w:val="28"/>
          <w:szCs w:val="28"/>
        </w:rPr>
        <w:t>tu ieviešanu visās procesā iesaist</w:t>
      </w:r>
      <w:r w:rsidR="5AB0E8BD" w:rsidRPr="00D27255">
        <w:rPr>
          <w:sz w:val="28"/>
          <w:szCs w:val="28"/>
        </w:rPr>
        <w:t xml:space="preserve">ītajās institūcijās, tomēr </w:t>
      </w:r>
      <w:r w:rsidR="635C2137" w:rsidRPr="00D27255">
        <w:rPr>
          <w:sz w:val="28"/>
          <w:szCs w:val="28"/>
        </w:rPr>
        <w:t xml:space="preserve">to īstenošana </w:t>
      </w:r>
      <w:r w:rsidR="00750A06" w:rsidRPr="00D27255">
        <w:rPr>
          <w:sz w:val="28"/>
          <w:szCs w:val="28"/>
        </w:rPr>
        <w:t xml:space="preserve">lielā mērā ir </w:t>
      </w:r>
      <w:r w:rsidR="635C2137" w:rsidRPr="00D27255">
        <w:rPr>
          <w:sz w:val="28"/>
          <w:szCs w:val="28"/>
        </w:rPr>
        <w:t>atka</w:t>
      </w:r>
      <w:r w:rsidR="15DA1973" w:rsidRPr="00D27255">
        <w:rPr>
          <w:sz w:val="28"/>
          <w:szCs w:val="28"/>
        </w:rPr>
        <w:t>rīga no pirm</w:t>
      </w:r>
      <w:r w:rsidR="62BB970A" w:rsidRPr="00D27255">
        <w:rPr>
          <w:sz w:val="28"/>
          <w:szCs w:val="28"/>
        </w:rPr>
        <w:t>s</w:t>
      </w:r>
      <w:r w:rsidR="15DA1973" w:rsidRPr="00D27255">
        <w:rPr>
          <w:sz w:val="28"/>
          <w:szCs w:val="28"/>
        </w:rPr>
        <w:t>tie</w:t>
      </w:r>
      <w:r w:rsidR="6C35CD5B" w:rsidRPr="00D27255">
        <w:rPr>
          <w:sz w:val="28"/>
          <w:szCs w:val="28"/>
        </w:rPr>
        <w:t>sas procesā ies</w:t>
      </w:r>
      <w:r w:rsidR="78DF751E" w:rsidRPr="00D27255">
        <w:rPr>
          <w:sz w:val="28"/>
          <w:szCs w:val="28"/>
        </w:rPr>
        <w:t>aistīto subjektu kvalifikācijas</w:t>
      </w:r>
      <w:r w:rsidR="399D086C" w:rsidRPr="00D27255">
        <w:rPr>
          <w:sz w:val="28"/>
          <w:szCs w:val="28"/>
        </w:rPr>
        <w:t xml:space="preserve"> un profesionalitātes.</w:t>
      </w:r>
    </w:p>
    <w:p w14:paraId="5244EC1B" w14:textId="06E7DA68" w:rsidR="00D25D59" w:rsidRPr="00D27255" w:rsidRDefault="00D25D59" w:rsidP="00373DBC">
      <w:pPr>
        <w:pStyle w:val="Heading1"/>
        <w:jc w:val="center"/>
        <w:rPr>
          <w:rFonts w:ascii="Times New Roman" w:hAnsi="Times New Roman" w:cs="Times New Roman"/>
          <w:b/>
          <w:color w:val="auto"/>
        </w:rPr>
      </w:pPr>
      <w:bookmarkStart w:id="2" w:name="_Toc10638789"/>
      <w:r w:rsidRPr="00D27255">
        <w:rPr>
          <w:rFonts w:ascii="Times New Roman" w:hAnsi="Times New Roman" w:cs="Times New Roman"/>
          <w:b/>
          <w:color w:val="auto"/>
        </w:rPr>
        <w:lastRenderedPageBreak/>
        <w:t>2. Pašreizējās situācijas apraksts</w:t>
      </w:r>
      <w:bookmarkEnd w:id="2"/>
    </w:p>
    <w:p w14:paraId="3922AEB0" w14:textId="77777777" w:rsidR="00D25D59" w:rsidRPr="00D27255" w:rsidRDefault="00D25D59" w:rsidP="00D25D59">
      <w:pPr>
        <w:jc w:val="both"/>
      </w:pPr>
    </w:p>
    <w:p w14:paraId="30B36568" w14:textId="475B7173" w:rsidR="0031029D" w:rsidRPr="00D27255" w:rsidRDefault="000E4087" w:rsidP="00D25D59">
      <w:pPr>
        <w:ind w:firstLine="720"/>
        <w:jc w:val="both"/>
        <w:rPr>
          <w:bCs/>
          <w:sz w:val="28"/>
          <w:szCs w:val="28"/>
        </w:rPr>
      </w:pPr>
      <w:r w:rsidRPr="00D27255">
        <w:rPr>
          <w:bCs/>
          <w:sz w:val="28"/>
          <w:szCs w:val="28"/>
        </w:rPr>
        <w:t xml:space="preserve">Tiesiska, efektīva, kvalitatīva un sabiedrības vajadzībām atbilstoša tiesu iekārtas darbība sekmē no taisnīgas tiesas jēdziena izrietošu tiesu varas pamatvērtību īstenošanu. </w:t>
      </w:r>
      <w:r w:rsidR="00E30CAF" w:rsidRPr="00D27255">
        <w:rPr>
          <w:bCs/>
          <w:sz w:val="28"/>
          <w:szCs w:val="28"/>
        </w:rPr>
        <w:t xml:space="preserve">Šīs pamatvērtības ir: taisnīga tiesa (kas ietver tiesas neatkarību un arī profesionalitāti) un atbilstošs process (kas ietver objektīvu lietas izskatīšanu saprātīgos termiņos). </w:t>
      </w:r>
    </w:p>
    <w:p w14:paraId="0DC44C14" w14:textId="2CB37644" w:rsidR="00E30CAF" w:rsidRPr="00D27255" w:rsidRDefault="001915EE" w:rsidP="008D4470">
      <w:pPr>
        <w:ind w:firstLine="720"/>
        <w:jc w:val="both"/>
        <w:rPr>
          <w:sz w:val="28"/>
          <w:szCs w:val="28"/>
        </w:rPr>
      </w:pPr>
      <w:r w:rsidRPr="00D27255">
        <w:rPr>
          <w:sz w:val="28"/>
          <w:szCs w:val="28"/>
        </w:rPr>
        <w:t xml:space="preserve">Eiropas Komisija </w:t>
      </w:r>
      <w:r w:rsidR="00D25D59" w:rsidRPr="00D27255">
        <w:rPr>
          <w:sz w:val="28"/>
          <w:szCs w:val="28"/>
        </w:rPr>
        <w:t>2013.</w:t>
      </w:r>
      <w:r w:rsidR="008126C3" w:rsidRPr="00D27255">
        <w:rPr>
          <w:sz w:val="28"/>
          <w:szCs w:val="28"/>
        </w:rPr>
        <w:t> </w:t>
      </w:r>
      <w:r w:rsidR="00D25D59" w:rsidRPr="00D27255">
        <w:rPr>
          <w:sz w:val="28"/>
          <w:szCs w:val="28"/>
        </w:rPr>
        <w:t>gada paziņojumā Eiropas Parlamentam, Padomei, Eiropas Centrālajai bankai, Eiropas ekonomisko un sociālo lietu komitejai un Reģionu komitejai par Eiropas Savienības Tieslietu tablo (</w:t>
      </w:r>
      <w:proofErr w:type="spellStart"/>
      <w:r w:rsidR="00D25D59" w:rsidRPr="00D27255">
        <w:rPr>
          <w:i/>
          <w:sz w:val="28"/>
          <w:szCs w:val="28"/>
        </w:rPr>
        <w:t>Justice</w:t>
      </w:r>
      <w:proofErr w:type="spellEnd"/>
      <w:r w:rsidR="00D25D59" w:rsidRPr="00D27255">
        <w:rPr>
          <w:i/>
          <w:sz w:val="28"/>
          <w:szCs w:val="28"/>
        </w:rPr>
        <w:t xml:space="preserve"> </w:t>
      </w:r>
      <w:proofErr w:type="spellStart"/>
      <w:r w:rsidR="00D25D59" w:rsidRPr="00D27255">
        <w:rPr>
          <w:i/>
          <w:sz w:val="28"/>
          <w:szCs w:val="28"/>
        </w:rPr>
        <w:t>Scoreboard</w:t>
      </w:r>
      <w:proofErr w:type="spellEnd"/>
      <w:r w:rsidR="00D25D59" w:rsidRPr="00D27255">
        <w:rPr>
          <w:sz w:val="28"/>
          <w:szCs w:val="28"/>
        </w:rPr>
        <w:t xml:space="preserve">) ir vērsusi uzmanību, ka Latvijas tieslietu sistēmas izaicinājumi ir ilgie tiesvedības termiņi un tiesu varas organizācijas jautājumi.  </w:t>
      </w:r>
    </w:p>
    <w:p w14:paraId="16DB62B5" w14:textId="7BCCE2B2" w:rsidR="008D4470" w:rsidRPr="00D27255" w:rsidRDefault="00E30CAF" w:rsidP="001915EE">
      <w:pPr>
        <w:ind w:firstLine="720"/>
        <w:jc w:val="both"/>
        <w:rPr>
          <w:sz w:val="28"/>
          <w:szCs w:val="28"/>
        </w:rPr>
      </w:pPr>
      <w:r w:rsidRPr="00D27255">
        <w:rPr>
          <w:sz w:val="28"/>
          <w:szCs w:val="28"/>
        </w:rPr>
        <w:t>Kopš 2013.</w:t>
      </w:r>
      <w:r w:rsidR="008126C3" w:rsidRPr="00D27255">
        <w:rPr>
          <w:sz w:val="28"/>
          <w:szCs w:val="28"/>
        </w:rPr>
        <w:t> </w:t>
      </w:r>
      <w:r w:rsidRPr="00D27255">
        <w:rPr>
          <w:sz w:val="28"/>
          <w:szCs w:val="28"/>
        </w:rPr>
        <w:t>gada ir īstenota virkne pasākumu, ar nolūku uzlabot tiesu darba efektivitāti. Minēto pasākumu rezultātā pēdējos trijos gados ir stabilizējušies lietu izskatīšanas termiņi</w:t>
      </w:r>
      <w:r w:rsidR="001915EE" w:rsidRPr="00D27255">
        <w:rPr>
          <w:sz w:val="28"/>
          <w:szCs w:val="28"/>
        </w:rPr>
        <w:t xml:space="preserve"> (sk</w:t>
      </w:r>
      <w:r w:rsidR="001A0565" w:rsidRPr="00D27255">
        <w:rPr>
          <w:sz w:val="28"/>
          <w:szCs w:val="28"/>
        </w:rPr>
        <w:t>atīt</w:t>
      </w:r>
      <w:r w:rsidR="001915EE" w:rsidRPr="00D27255">
        <w:rPr>
          <w:sz w:val="28"/>
          <w:szCs w:val="28"/>
        </w:rPr>
        <w:t xml:space="preserve"> 1.</w:t>
      </w:r>
      <w:r w:rsidR="0019216B" w:rsidRPr="00D27255">
        <w:rPr>
          <w:sz w:val="28"/>
          <w:szCs w:val="28"/>
        </w:rPr>
        <w:t> </w:t>
      </w:r>
      <w:r w:rsidR="001915EE" w:rsidRPr="00D27255">
        <w:rPr>
          <w:sz w:val="28"/>
          <w:szCs w:val="28"/>
        </w:rPr>
        <w:t>tabulu. Lietu izskatīšanas termiņi</w:t>
      </w:r>
      <w:r w:rsidR="002F7BB0" w:rsidRPr="00D27255">
        <w:rPr>
          <w:sz w:val="28"/>
          <w:szCs w:val="28"/>
        </w:rPr>
        <w:t xml:space="preserve"> (mēnešos)</w:t>
      </w:r>
      <w:r w:rsidR="001915EE" w:rsidRPr="00D27255">
        <w:rPr>
          <w:sz w:val="28"/>
          <w:szCs w:val="28"/>
        </w:rPr>
        <w:t xml:space="preserve"> laikā no 2015.</w:t>
      </w:r>
      <w:r w:rsidR="008126C3" w:rsidRPr="00D27255">
        <w:rPr>
          <w:sz w:val="28"/>
          <w:szCs w:val="28"/>
        </w:rPr>
        <w:t> </w:t>
      </w:r>
      <w:r w:rsidR="001915EE" w:rsidRPr="00D27255">
        <w:rPr>
          <w:sz w:val="28"/>
          <w:szCs w:val="28"/>
        </w:rPr>
        <w:t>gada līdz 2018.</w:t>
      </w:r>
      <w:r w:rsidR="008126C3" w:rsidRPr="00D27255">
        <w:rPr>
          <w:sz w:val="28"/>
          <w:szCs w:val="28"/>
        </w:rPr>
        <w:t> </w:t>
      </w:r>
      <w:r w:rsidR="001915EE" w:rsidRPr="00D27255">
        <w:rPr>
          <w:sz w:val="28"/>
          <w:szCs w:val="28"/>
        </w:rPr>
        <w:t>gad</w:t>
      </w:r>
      <w:r w:rsidR="00B23920" w:rsidRPr="00D27255">
        <w:rPr>
          <w:sz w:val="28"/>
          <w:szCs w:val="28"/>
        </w:rPr>
        <w:t>am</w:t>
      </w:r>
      <w:r w:rsidR="001915EE" w:rsidRPr="00D27255">
        <w:rPr>
          <w:sz w:val="28"/>
          <w:szCs w:val="28"/>
        </w:rPr>
        <w:t>)</w:t>
      </w:r>
      <w:r w:rsidRPr="00D27255">
        <w:rPr>
          <w:sz w:val="28"/>
          <w:szCs w:val="28"/>
        </w:rPr>
        <w:t>.</w:t>
      </w:r>
      <w:r w:rsidR="008D4470" w:rsidRPr="00D27255">
        <w:rPr>
          <w:sz w:val="28"/>
          <w:szCs w:val="28"/>
        </w:rPr>
        <w:t xml:space="preserve"> </w:t>
      </w:r>
    </w:p>
    <w:tbl>
      <w:tblPr>
        <w:tblW w:w="9061" w:type="dxa"/>
        <w:tblLook w:val="04A0" w:firstRow="1" w:lastRow="0" w:firstColumn="1" w:lastColumn="0" w:noHBand="0" w:noVBand="1"/>
      </w:tblPr>
      <w:tblGrid>
        <w:gridCol w:w="1840"/>
        <w:gridCol w:w="1982"/>
        <w:gridCol w:w="1418"/>
        <w:gridCol w:w="1276"/>
        <w:gridCol w:w="1134"/>
        <w:gridCol w:w="1411"/>
      </w:tblGrid>
      <w:tr w:rsidR="00A460F3" w:rsidRPr="00D27255" w14:paraId="571073D1" w14:textId="77777777" w:rsidTr="003E27D0">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489E" w14:textId="77777777" w:rsidR="00A460F3" w:rsidRPr="00D27255" w:rsidRDefault="00A460F3" w:rsidP="00DD3140">
            <w:pPr>
              <w:rPr>
                <w:b/>
                <w:bCs/>
                <w:color w:val="000000"/>
                <w:sz w:val="28"/>
                <w:szCs w:val="28"/>
              </w:rPr>
            </w:pPr>
            <w:r w:rsidRPr="00D27255">
              <w:rPr>
                <w:b/>
                <w:bCs/>
                <w:color w:val="000000"/>
                <w:sz w:val="28"/>
                <w:szCs w:val="28"/>
              </w:rPr>
              <w:t>Lietu veids</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8AD5D" w14:textId="77777777" w:rsidR="00A460F3" w:rsidRPr="00D27255" w:rsidRDefault="00A460F3" w:rsidP="00DD3140">
            <w:pPr>
              <w:rPr>
                <w:b/>
                <w:bCs/>
                <w:color w:val="000000"/>
                <w:sz w:val="28"/>
                <w:szCs w:val="28"/>
              </w:rPr>
            </w:pPr>
            <w:r w:rsidRPr="00D27255">
              <w:rPr>
                <w:b/>
                <w:bCs/>
                <w:color w:val="000000"/>
                <w:sz w:val="28"/>
                <w:szCs w:val="28"/>
              </w:rPr>
              <w:t>Tiesas tips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9566" w14:textId="77777777" w:rsidR="00893E85" w:rsidRPr="00D27255" w:rsidRDefault="00A460F3" w:rsidP="00DD3140">
            <w:pPr>
              <w:rPr>
                <w:b/>
                <w:bCs/>
                <w:color w:val="000000"/>
                <w:sz w:val="28"/>
                <w:szCs w:val="28"/>
              </w:rPr>
            </w:pPr>
            <w:r w:rsidRPr="00D27255">
              <w:rPr>
                <w:b/>
                <w:bCs/>
                <w:color w:val="000000"/>
                <w:sz w:val="28"/>
                <w:szCs w:val="28"/>
              </w:rPr>
              <w:t>2015</w:t>
            </w:r>
            <w:r w:rsidR="00893E85" w:rsidRPr="00D27255">
              <w:rPr>
                <w:b/>
                <w:bCs/>
                <w:color w:val="000000"/>
                <w:sz w:val="28"/>
                <w:szCs w:val="28"/>
              </w:rPr>
              <w:t>.</w:t>
            </w:r>
          </w:p>
          <w:p w14:paraId="6A6FAC10" w14:textId="75A4A4A7" w:rsidR="00893E85" w:rsidRPr="00D27255" w:rsidRDefault="00893E85" w:rsidP="00DD3140">
            <w:pPr>
              <w:rPr>
                <w:b/>
                <w:bCs/>
                <w:color w:val="000000"/>
                <w:sz w:val="28"/>
                <w:szCs w:val="28"/>
              </w:rPr>
            </w:pPr>
            <w:r w:rsidRPr="00D27255">
              <w:rPr>
                <w:b/>
                <w:bCs/>
                <w:color w:val="000000"/>
                <w:sz w:val="28"/>
                <w:szCs w:val="28"/>
              </w:rPr>
              <w:t>gadā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C56AF" w14:textId="77777777" w:rsidR="00893E85" w:rsidRPr="00D27255" w:rsidRDefault="00A460F3" w:rsidP="00DD3140">
            <w:pPr>
              <w:rPr>
                <w:b/>
                <w:bCs/>
                <w:color w:val="000000"/>
                <w:sz w:val="28"/>
                <w:szCs w:val="28"/>
              </w:rPr>
            </w:pPr>
            <w:r w:rsidRPr="00D27255">
              <w:rPr>
                <w:b/>
                <w:bCs/>
                <w:color w:val="000000"/>
                <w:sz w:val="28"/>
                <w:szCs w:val="28"/>
              </w:rPr>
              <w:t>2016</w:t>
            </w:r>
            <w:r w:rsidR="00893E85" w:rsidRPr="00D27255">
              <w:rPr>
                <w:b/>
                <w:bCs/>
                <w:color w:val="000000"/>
                <w:sz w:val="28"/>
                <w:szCs w:val="28"/>
              </w:rPr>
              <w:t>.</w:t>
            </w:r>
          </w:p>
          <w:p w14:paraId="5928D580" w14:textId="63695846" w:rsidR="00A460F3" w:rsidRPr="00D27255" w:rsidRDefault="00893E85" w:rsidP="00DD3140">
            <w:pPr>
              <w:rPr>
                <w:b/>
                <w:bCs/>
                <w:color w:val="000000"/>
                <w:sz w:val="28"/>
                <w:szCs w:val="28"/>
              </w:rPr>
            </w:pPr>
            <w:r w:rsidRPr="00D27255">
              <w:rPr>
                <w:b/>
                <w:bCs/>
                <w:color w:val="000000"/>
                <w:sz w:val="28"/>
                <w:szCs w:val="28"/>
              </w:rPr>
              <w:t>gadā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AE3A" w14:textId="77777777" w:rsidR="00893E85" w:rsidRPr="00D27255" w:rsidRDefault="00A460F3" w:rsidP="00DD3140">
            <w:pPr>
              <w:rPr>
                <w:b/>
                <w:bCs/>
                <w:color w:val="000000"/>
                <w:sz w:val="28"/>
                <w:szCs w:val="28"/>
              </w:rPr>
            </w:pPr>
            <w:r w:rsidRPr="00D27255">
              <w:rPr>
                <w:b/>
                <w:bCs/>
                <w:color w:val="000000"/>
                <w:sz w:val="28"/>
                <w:szCs w:val="28"/>
              </w:rPr>
              <w:t>2017</w:t>
            </w:r>
            <w:r w:rsidR="00893E85" w:rsidRPr="00D27255">
              <w:rPr>
                <w:b/>
                <w:bCs/>
                <w:color w:val="000000"/>
                <w:sz w:val="28"/>
                <w:szCs w:val="28"/>
              </w:rPr>
              <w:t>.</w:t>
            </w:r>
          </w:p>
          <w:p w14:paraId="0E937ABA" w14:textId="66466EEF" w:rsidR="00A460F3" w:rsidRPr="00D27255" w:rsidRDefault="00893E85" w:rsidP="00DD3140">
            <w:pPr>
              <w:rPr>
                <w:b/>
                <w:bCs/>
                <w:color w:val="000000"/>
                <w:sz w:val="28"/>
                <w:szCs w:val="28"/>
              </w:rPr>
            </w:pPr>
            <w:r w:rsidRPr="00D27255">
              <w:rPr>
                <w:b/>
                <w:bCs/>
                <w:color w:val="000000"/>
                <w:sz w:val="28"/>
                <w:szCs w:val="28"/>
              </w:rPr>
              <w:t>gadā</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128F" w14:textId="77777777" w:rsidR="00893E85" w:rsidRPr="00D27255" w:rsidRDefault="00A460F3" w:rsidP="00DD3140">
            <w:pPr>
              <w:rPr>
                <w:b/>
                <w:bCs/>
                <w:color w:val="000000"/>
                <w:sz w:val="28"/>
                <w:szCs w:val="28"/>
              </w:rPr>
            </w:pPr>
            <w:r w:rsidRPr="00D27255">
              <w:rPr>
                <w:b/>
                <w:bCs/>
                <w:color w:val="000000"/>
                <w:sz w:val="28"/>
                <w:szCs w:val="28"/>
              </w:rPr>
              <w:t>2018</w:t>
            </w:r>
            <w:r w:rsidR="00893E85" w:rsidRPr="00D27255">
              <w:rPr>
                <w:b/>
                <w:bCs/>
                <w:color w:val="000000"/>
                <w:sz w:val="28"/>
                <w:szCs w:val="28"/>
              </w:rPr>
              <w:t>.</w:t>
            </w:r>
          </w:p>
          <w:p w14:paraId="4AD7E246" w14:textId="159AB406" w:rsidR="00A460F3" w:rsidRPr="00D27255" w:rsidRDefault="00893E85" w:rsidP="00DD3140">
            <w:pPr>
              <w:rPr>
                <w:b/>
                <w:bCs/>
                <w:color w:val="000000"/>
                <w:sz w:val="28"/>
                <w:szCs w:val="28"/>
              </w:rPr>
            </w:pPr>
            <w:r w:rsidRPr="00D27255">
              <w:rPr>
                <w:b/>
                <w:bCs/>
                <w:color w:val="000000"/>
                <w:sz w:val="28"/>
                <w:szCs w:val="28"/>
              </w:rPr>
              <w:t>gadā</w:t>
            </w:r>
          </w:p>
        </w:tc>
      </w:tr>
      <w:tr w:rsidR="00A460F3" w:rsidRPr="00D27255" w14:paraId="38D2BA74" w14:textId="77777777" w:rsidTr="003E27D0">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7F158" w14:textId="77777777" w:rsidR="00A460F3" w:rsidRPr="00D27255" w:rsidRDefault="00A460F3" w:rsidP="00DD3140">
            <w:pPr>
              <w:rPr>
                <w:color w:val="000000"/>
                <w:sz w:val="28"/>
                <w:szCs w:val="28"/>
              </w:rPr>
            </w:pPr>
            <w:r w:rsidRPr="00D27255">
              <w:rPr>
                <w:color w:val="000000"/>
                <w:sz w:val="28"/>
                <w:szCs w:val="28"/>
              </w:rPr>
              <w:t>Civillietas</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27D55" w14:textId="77777777" w:rsidR="00A460F3" w:rsidRPr="00D27255" w:rsidRDefault="00A460F3" w:rsidP="00DD3140">
            <w:pPr>
              <w:rPr>
                <w:color w:val="000000"/>
                <w:sz w:val="28"/>
                <w:szCs w:val="28"/>
              </w:rPr>
            </w:pPr>
            <w:r w:rsidRPr="00D27255">
              <w:rPr>
                <w:color w:val="000000"/>
                <w:sz w:val="28"/>
                <w:szCs w:val="28"/>
              </w:rPr>
              <w:t>Rajona/pilsētas tiesa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00D7" w14:textId="42AA729F" w:rsidR="00A460F3" w:rsidRPr="00D27255" w:rsidRDefault="00777A37" w:rsidP="00DD3140">
            <w:pPr>
              <w:jc w:val="right"/>
              <w:rPr>
                <w:color w:val="000000"/>
                <w:sz w:val="28"/>
                <w:szCs w:val="28"/>
              </w:rPr>
            </w:pPr>
            <w:r w:rsidRPr="00D27255">
              <w:rPr>
                <w:color w:val="000000"/>
                <w:sz w:val="28"/>
                <w:szCs w:val="28"/>
              </w:rPr>
              <w:t>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2593" w14:textId="0C73B8BA" w:rsidR="00A460F3" w:rsidRPr="00D27255" w:rsidRDefault="00777A37" w:rsidP="00DD3140">
            <w:pPr>
              <w:jc w:val="right"/>
              <w:rPr>
                <w:color w:val="000000"/>
                <w:sz w:val="28"/>
                <w:szCs w:val="28"/>
              </w:rPr>
            </w:pPr>
            <w:r w:rsidRPr="00D27255">
              <w:rPr>
                <w:color w:val="000000"/>
                <w:sz w:val="28"/>
                <w:szCs w:val="28"/>
              </w:rPr>
              <w:t>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60B4" w14:textId="617EC2F5" w:rsidR="00A460F3" w:rsidRPr="00D27255" w:rsidRDefault="00777A37" w:rsidP="00DD3140">
            <w:pPr>
              <w:jc w:val="right"/>
              <w:rPr>
                <w:color w:val="000000"/>
                <w:sz w:val="28"/>
                <w:szCs w:val="28"/>
              </w:rPr>
            </w:pPr>
            <w:r w:rsidRPr="00D27255">
              <w:rPr>
                <w:color w:val="000000"/>
                <w:sz w:val="28"/>
                <w:szCs w:val="28"/>
              </w:rPr>
              <w:t>8,9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AD3C" w14:textId="39A85026" w:rsidR="00A460F3" w:rsidRPr="00D27255" w:rsidRDefault="00547B81" w:rsidP="00DD3140">
            <w:pPr>
              <w:jc w:val="right"/>
              <w:rPr>
                <w:color w:val="000000"/>
                <w:sz w:val="28"/>
                <w:szCs w:val="28"/>
              </w:rPr>
            </w:pPr>
            <w:r w:rsidRPr="00D27255">
              <w:rPr>
                <w:color w:val="000000"/>
                <w:sz w:val="28"/>
                <w:szCs w:val="28"/>
              </w:rPr>
              <w:t>9,0</w:t>
            </w:r>
          </w:p>
        </w:tc>
      </w:tr>
      <w:tr w:rsidR="009F7A56" w:rsidRPr="00D27255" w14:paraId="1E136828" w14:textId="77777777" w:rsidTr="003E27D0">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FAE19" w14:textId="77777777" w:rsidR="009F7A56" w:rsidRPr="00D27255" w:rsidRDefault="009F7A56" w:rsidP="00DD3140">
            <w:pPr>
              <w:rPr>
                <w:color w:val="000000"/>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6B9CC" w14:textId="2C568030" w:rsidR="009F7A56" w:rsidRPr="00D27255" w:rsidRDefault="009F7A56" w:rsidP="00DD3140">
            <w:pPr>
              <w:rPr>
                <w:color w:val="000000"/>
                <w:sz w:val="28"/>
                <w:szCs w:val="28"/>
              </w:rPr>
            </w:pPr>
            <w:r w:rsidRPr="00D27255">
              <w:rPr>
                <w:color w:val="000000"/>
                <w:sz w:val="28"/>
                <w:szCs w:val="28"/>
              </w:rPr>
              <w:t>Ap</w:t>
            </w:r>
            <w:r w:rsidR="00327D1F" w:rsidRPr="00D27255">
              <w:rPr>
                <w:color w:val="000000"/>
                <w:sz w:val="28"/>
                <w:szCs w:val="28"/>
              </w:rPr>
              <w:t>gabaltiesas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80E1" w14:textId="73C37565" w:rsidR="009F7A56" w:rsidRPr="00D27255" w:rsidRDefault="00A879D2" w:rsidP="00DD3140">
            <w:pPr>
              <w:jc w:val="right"/>
              <w:rPr>
                <w:color w:val="000000"/>
                <w:sz w:val="28"/>
                <w:szCs w:val="28"/>
              </w:rPr>
            </w:pPr>
            <w:r w:rsidRPr="00D27255">
              <w:rPr>
                <w:color w:val="000000"/>
                <w:sz w:val="28"/>
                <w:szCs w:val="2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7134E" w14:textId="08EBD674" w:rsidR="009F7A56" w:rsidRPr="00D27255" w:rsidRDefault="00A879D2" w:rsidP="00DD3140">
            <w:pPr>
              <w:jc w:val="right"/>
              <w:rPr>
                <w:color w:val="000000"/>
                <w:sz w:val="28"/>
                <w:szCs w:val="28"/>
              </w:rPr>
            </w:pPr>
            <w:r w:rsidRPr="00D27255">
              <w:rPr>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C4977" w14:textId="211F3D33" w:rsidR="009F7A56" w:rsidRPr="00D27255" w:rsidRDefault="00046733" w:rsidP="00DD3140">
            <w:pPr>
              <w:jc w:val="right"/>
              <w:rPr>
                <w:color w:val="000000"/>
                <w:sz w:val="28"/>
                <w:szCs w:val="28"/>
              </w:rPr>
            </w:pPr>
            <w:r w:rsidRPr="00D27255">
              <w:rPr>
                <w:color w:val="000000"/>
                <w:sz w:val="28"/>
                <w:szCs w:val="28"/>
              </w:rPr>
              <w:t xml:space="preserve">4,0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2190" w14:textId="63955C7B" w:rsidR="009F7A56" w:rsidRPr="00D27255" w:rsidRDefault="00AB0A53" w:rsidP="00DD3140">
            <w:pPr>
              <w:jc w:val="right"/>
              <w:rPr>
                <w:color w:val="000000"/>
                <w:sz w:val="28"/>
                <w:szCs w:val="28"/>
              </w:rPr>
            </w:pPr>
            <w:r w:rsidRPr="00D27255">
              <w:rPr>
                <w:color w:val="000000"/>
                <w:sz w:val="28"/>
                <w:szCs w:val="28"/>
              </w:rPr>
              <w:t>3,9</w:t>
            </w:r>
          </w:p>
        </w:tc>
      </w:tr>
      <w:tr w:rsidR="00A460F3" w:rsidRPr="00D27255" w14:paraId="39CD487C" w14:textId="77777777" w:rsidTr="003E27D0">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BDF3" w14:textId="77777777" w:rsidR="00A460F3" w:rsidRPr="00D27255" w:rsidRDefault="00A460F3" w:rsidP="00DD3140">
            <w:pPr>
              <w:rPr>
                <w:color w:val="000000"/>
                <w:sz w:val="28"/>
                <w:szCs w:val="28"/>
              </w:rPr>
            </w:pPr>
            <w:r w:rsidRPr="00D27255">
              <w:rPr>
                <w:color w:val="000000"/>
                <w:sz w:val="28"/>
                <w:szCs w:val="28"/>
              </w:rPr>
              <w:t>Krimināllietas</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C387" w14:textId="77777777" w:rsidR="00A460F3" w:rsidRPr="00D27255" w:rsidRDefault="00A460F3" w:rsidP="00DD3140">
            <w:pPr>
              <w:rPr>
                <w:color w:val="000000"/>
                <w:sz w:val="28"/>
                <w:szCs w:val="28"/>
              </w:rPr>
            </w:pPr>
            <w:r w:rsidRPr="00D27255">
              <w:rPr>
                <w:color w:val="000000"/>
                <w:sz w:val="28"/>
                <w:szCs w:val="28"/>
              </w:rPr>
              <w:t>Rajona/pilsētas tiesa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01158" w14:textId="40836FAC" w:rsidR="00A460F3" w:rsidRPr="00D27255" w:rsidRDefault="00AB0A53" w:rsidP="00DD3140">
            <w:pPr>
              <w:jc w:val="right"/>
              <w:rPr>
                <w:color w:val="000000"/>
                <w:sz w:val="28"/>
                <w:szCs w:val="28"/>
              </w:rPr>
            </w:pPr>
            <w:r w:rsidRPr="00D27255">
              <w:rPr>
                <w:color w:val="000000"/>
                <w:sz w:val="28"/>
                <w:szCs w:val="28"/>
              </w:rPr>
              <w:t>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64E1C" w14:textId="36EAB89C" w:rsidR="00A460F3" w:rsidRPr="00D27255" w:rsidRDefault="00AB0A53" w:rsidP="00DD3140">
            <w:pPr>
              <w:jc w:val="right"/>
              <w:rPr>
                <w:color w:val="000000"/>
                <w:sz w:val="28"/>
                <w:szCs w:val="28"/>
              </w:rPr>
            </w:pPr>
            <w:r w:rsidRPr="00D27255">
              <w:rPr>
                <w:color w:val="000000"/>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F6CCD" w14:textId="05DA565B" w:rsidR="00A460F3" w:rsidRPr="00D27255" w:rsidRDefault="00A460F3" w:rsidP="00DD3140">
            <w:pPr>
              <w:jc w:val="right"/>
              <w:rPr>
                <w:color w:val="000000"/>
                <w:sz w:val="28"/>
                <w:szCs w:val="28"/>
              </w:rPr>
            </w:pPr>
            <w:r w:rsidRPr="00D27255">
              <w:rPr>
                <w:color w:val="000000"/>
                <w:sz w:val="28"/>
                <w:szCs w:val="28"/>
              </w:rPr>
              <w:t>5,</w:t>
            </w:r>
            <w:r w:rsidR="00AB0A53" w:rsidRPr="00D27255">
              <w:rPr>
                <w:color w:val="000000"/>
                <w:sz w:val="28"/>
                <w:szCs w:val="28"/>
              </w:rPr>
              <w:t>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DCC24" w14:textId="4F6528D2" w:rsidR="00A460F3" w:rsidRPr="00D27255" w:rsidRDefault="00A460F3" w:rsidP="00DD3140">
            <w:pPr>
              <w:jc w:val="right"/>
              <w:rPr>
                <w:color w:val="000000"/>
                <w:sz w:val="28"/>
                <w:szCs w:val="28"/>
              </w:rPr>
            </w:pPr>
            <w:r w:rsidRPr="00D27255">
              <w:rPr>
                <w:color w:val="000000"/>
                <w:sz w:val="28"/>
                <w:szCs w:val="28"/>
              </w:rPr>
              <w:t>5,</w:t>
            </w:r>
            <w:r w:rsidR="00AB0A53" w:rsidRPr="00D27255">
              <w:rPr>
                <w:color w:val="000000"/>
                <w:sz w:val="28"/>
                <w:szCs w:val="28"/>
              </w:rPr>
              <w:t>8</w:t>
            </w:r>
          </w:p>
        </w:tc>
      </w:tr>
      <w:tr w:rsidR="00AB0A53" w:rsidRPr="00D27255" w14:paraId="6A3453F2" w14:textId="77777777" w:rsidTr="003E27D0">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5AC4A" w14:textId="77777777" w:rsidR="00AB0A53" w:rsidRPr="00D27255" w:rsidRDefault="00AB0A53" w:rsidP="00DD3140">
            <w:pPr>
              <w:rPr>
                <w:color w:val="000000"/>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F4289" w14:textId="3BA7E3E0" w:rsidR="00AB0A53" w:rsidRPr="00D27255" w:rsidRDefault="00AB0A53" w:rsidP="00DD3140">
            <w:pPr>
              <w:rPr>
                <w:color w:val="000000"/>
                <w:sz w:val="28"/>
                <w:szCs w:val="28"/>
              </w:rPr>
            </w:pPr>
            <w:r w:rsidRPr="00D27255">
              <w:rPr>
                <w:color w:val="000000"/>
                <w:sz w:val="28"/>
                <w:szCs w:val="28"/>
              </w:rPr>
              <w:t>Apgabaltiesas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86FB1" w14:textId="14E63620" w:rsidR="00AB0A53" w:rsidRPr="00D27255" w:rsidRDefault="00B2434F" w:rsidP="00DD3140">
            <w:pPr>
              <w:jc w:val="right"/>
              <w:rPr>
                <w:color w:val="000000"/>
                <w:sz w:val="28"/>
                <w:szCs w:val="28"/>
              </w:rPr>
            </w:pPr>
            <w:r w:rsidRPr="00D27255">
              <w:rPr>
                <w:color w:val="000000"/>
                <w:sz w:val="28"/>
                <w:szCs w:val="2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19EAF" w14:textId="3E27FD8D" w:rsidR="00AB0A53" w:rsidRPr="00D27255" w:rsidRDefault="00B2434F" w:rsidP="00DD3140">
            <w:pPr>
              <w:jc w:val="right"/>
              <w:rPr>
                <w:color w:val="000000"/>
                <w:sz w:val="28"/>
                <w:szCs w:val="28"/>
              </w:rPr>
            </w:pPr>
            <w:r w:rsidRPr="00D27255">
              <w:rPr>
                <w:color w:val="000000"/>
                <w:sz w:val="28"/>
                <w:szCs w:val="28"/>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1810F" w14:textId="46C812B6" w:rsidR="00AB0A53" w:rsidRPr="00D27255" w:rsidRDefault="00B2434F" w:rsidP="00DD3140">
            <w:pPr>
              <w:jc w:val="right"/>
              <w:rPr>
                <w:color w:val="000000"/>
                <w:sz w:val="28"/>
                <w:szCs w:val="28"/>
              </w:rPr>
            </w:pPr>
            <w:r w:rsidRPr="00D27255">
              <w:rPr>
                <w:color w:val="000000"/>
                <w:sz w:val="28"/>
                <w:szCs w:val="28"/>
              </w:rPr>
              <w:t>3,7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DBFE" w14:textId="766B8C99" w:rsidR="00AB0A53" w:rsidRPr="00D27255" w:rsidRDefault="00B2434F" w:rsidP="00DD3140">
            <w:pPr>
              <w:jc w:val="right"/>
              <w:rPr>
                <w:color w:val="000000"/>
                <w:sz w:val="28"/>
                <w:szCs w:val="28"/>
              </w:rPr>
            </w:pPr>
            <w:r w:rsidRPr="00D27255">
              <w:rPr>
                <w:color w:val="000000"/>
                <w:sz w:val="28"/>
                <w:szCs w:val="28"/>
              </w:rPr>
              <w:t>3,7</w:t>
            </w:r>
          </w:p>
        </w:tc>
      </w:tr>
    </w:tbl>
    <w:p w14:paraId="4081D18A" w14:textId="5D85AD55" w:rsidR="006D3999" w:rsidRPr="00D27255" w:rsidRDefault="001915EE" w:rsidP="00557201">
      <w:pPr>
        <w:ind w:firstLine="720"/>
        <w:jc w:val="both"/>
      </w:pPr>
      <w:r w:rsidRPr="00D27255">
        <w:t>1</w:t>
      </w:r>
      <w:r w:rsidR="008126C3" w:rsidRPr="00D27255">
        <w:rPr>
          <w:sz w:val="28"/>
          <w:szCs w:val="28"/>
        </w:rPr>
        <w:t>. </w:t>
      </w:r>
      <w:r w:rsidRPr="00D27255">
        <w:t>tabula</w:t>
      </w:r>
      <w:r w:rsidR="004B7384" w:rsidRPr="00D27255">
        <w:t>.</w:t>
      </w:r>
      <w:r w:rsidRPr="00D27255">
        <w:t xml:space="preserve"> Lietu izskatīšanas termiņi </w:t>
      </w:r>
      <w:r w:rsidR="002F7BB0" w:rsidRPr="00D27255">
        <w:t xml:space="preserve">(mēnešos) </w:t>
      </w:r>
      <w:r w:rsidRPr="00D27255">
        <w:t>laikā no 2015.</w:t>
      </w:r>
      <w:r w:rsidR="00BE24C3" w:rsidRPr="00D27255">
        <w:t> </w:t>
      </w:r>
      <w:r w:rsidRPr="00D27255">
        <w:t>gada līdz 2018.gadam.</w:t>
      </w:r>
    </w:p>
    <w:p w14:paraId="6D14366B" w14:textId="0496D0A7" w:rsidR="001915EE" w:rsidRPr="00D27255" w:rsidRDefault="001915EE" w:rsidP="008D4470">
      <w:pPr>
        <w:ind w:firstLine="720"/>
        <w:jc w:val="both"/>
        <w:rPr>
          <w:sz w:val="28"/>
          <w:szCs w:val="28"/>
        </w:rPr>
      </w:pPr>
    </w:p>
    <w:p w14:paraId="44C1EA29" w14:textId="48E66C2D" w:rsidR="00985DF9" w:rsidRPr="00D27255" w:rsidRDefault="00560522" w:rsidP="00293520">
      <w:pPr>
        <w:ind w:firstLine="720"/>
        <w:jc w:val="both"/>
        <w:rPr>
          <w:sz w:val="28"/>
          <w:szCs w:val="28"/>
        </w:rPr>
      </w:pPr>
      <w:r w:rsidRPr="00D27255">
        <w:rPr>
          <w:sz w:val="28"/>
          <w:szCs w:val="28"/>
        </w:rPr>
        <w:t>Tāpat t</w:t>
      </w:r>
      <w:r w:rsidR="00985DF9" w:rsidRPr="00D27255">
        <w:rPr>
          <w:sz w:val="28"/>
          <w:szCs w:val="28"/>
        </w:rPr>
        <w:t>iesu teritoriālās reformas</w:t>
      </w:r>
      <w:r w:rsidRPr="00D27255">
        <w:rPr>
          <w:sz w:val="28"/>
          <w:szCs w:val="28"/>
        </w:rPr>
        <w:t>, kas noslēgta 2018.</w:t>
      </w:r>
      <w:r w:rsidR="008126C3" w:rsidRPr="00D27255">
        <w:rPr>
          <w:sz w:val="28"/>
          <w:szCs w:val="28"/>
        </w:rPr>
        <w:t> </w:t>
      </w:r>
      <w:r w:rsidRPr="00D27255">
        <w:rPr>
          <w:sz w:val="28"/>
          <w:szCs w:val="28"/>
        </w:rPr>
        <w:t>gada 1</w:t>
      </w:r>
      <w:r w:rsidR="008126C3" w:rsidRPr="00D27255">
        <w:rPr>
          <w:sz w:val="28"/>
          <w:szCs w:val="28"/>
        </w:rPr>
        <w:t>. </w:t>
      </w:r>
      <w:r w:rsidRPr="00D27255">
        <w:rPr>
          <w:sz w:val="28"/>
          <w:szCs w:val="28"/>
        </w:rPr>
        <w:t>martā,</w:t>
      </w:r>
      <w:r w:rsidR="00985DF9" w:rsidRPr="00D27255">
        <w:rPr>
          <w:sz w:val="28"/>
          <w:szCs w:val="28"/>
        </w:rPr>
        <w:t xml:space="preserve"> ietvaros īsteno</w:t>
      </w:r>
      <w:r w:rsidR="006512CE" w:rsidRPr="00D27255">
        <w:rPr>
          <w:sz w:val="28"/>
          <w:szCs w:val="28"/>
        </w:rPr>
        <w:t>to pasākumu rezultātā vis</w:t>
      </w:r>
      <w:r w:rsidR="00EB4F55" w:rsidRPr="00D27255">
        <w:rPr>
          <w:sz w:val="28"/>
          <w:szCs w:val="28"/>
        </w:rPr>
        <w:t>os tiesu apgabalos</w:t>
      </w:r>
      <w:r w:rsidR="00364177" w:rsidRPr="00D27255">
        <w:rPr>
          <w:sz w:val="28"/>
          <w:szCs w:val="28"/>
        </w:rPr>
        <w:t xml:space="preserve"> s</w:t>
      </w:r>
      <w:r w:rsidR="00985DF9" w:rsidRPr="00D27255">
        <w:rPr>
          <w:sz w:val="28"/>
          <w:szCs w:val="28"/>
        </w:rPr>
        <w:t>amazinā</w:t>
      </w:r>
      <w:r w:rsidRPr="00D27255">
        <w:rPr>
          <w:sz w:val="28"/>
          <w:szCs w:val="28"/>
        </w:rPr>
        <w:t>jies</w:t>
      </w:r>
      <w:r w:rsidR="00985DF9" w:rsidRPr="00D27255">
        <w:rPr>
          <w:sz w:val="28"/>
          <w:szCs w:val="28"/>
        </w:rPr>
        <w:t xml:space="preserve"> neizskatīto </w:t>
      </w:r>
      <w:r w:rsidR="00A36B44" w:rsidRPr="00D27255">
        <w:rPr>
          <w:sz w:val="28"/>
          <w:szCs w:val="28"/>
        </w:rPr>
        <w:t>krimināl</w:t>
      </w:r>
      <w:r w:rsidR="00985DF9" w:rsidRPr="00D27255">
        <w:rPr>
          <w:sz w:val="28"/>
          <w:szCs w:val="28"/>
        </w:rPr>
        <w:t>lietu</w:t>
      </w:r>
      <w:r w:rsidR="00A36B44" w:rsidRPr="00D27255">
        <w:rPr>
          <w:sz w:val="28"/>
          <w:szCs w:val="28"/>
        </w:rPr>
        <w:t xml:space="preserve"> un civillietu</w:t>
      </w:r>
      <w:r w:rsidR="00985DF9" w:rsidRPr="00D27255">
        <w:rPr>
          <w:sz w:val="28"/>
          <w:szCs w:val="28"/>
        </w:rPr>
        <w:t xml:space="preserve"> skaits (uzkrājums uz perioda beigām)</w:t>
      </w:r>
      <w:r w:rsidR="001915EE" w:rsidRPr="00D27255">
        <w:rPr>
          <w:sz w:val="28"/>
          <w:szCs w:val="28"/>
        </w:rPr>
        <w:t xml:space="preserve"> (skatīt 1</w:t>
      </w:r>
      <w:r w:rsidR="008126C3" w:rsidRPr="00D27255">
        <w:rPr>
          <w:sz w:val="28"/>
          <w:szCs w:val="28"/>
        </w:rPr>
        <w:t>. </w:t>
      </w:r>
      <w:r w:rsidR="001915EE" w:rsidRPr="00D27255">
        <w:rPr>
          <w:sz w:val="28"/>
          <w:szCs w:val="28"/>
        </w:rPr>
        <w:t>diagrammu. Neizskatīto krimināllietu dinamika 2015</w:t>
      </w:r>
      <w:r w:rsidR="008126C3" w:rsidRPr="00D27255">
        <w:rPr>
          <w:sz w:val="28"/>
          <w:szCs w:val="28"/>
        </w:rPr>
        <w:t> </w:t>
      </w:r>
      <w:r w:rsidR="001915EE" w:rsidRPr="00D27255">
        <w:rPr>
          <w:sz w:val="28"/>
          <w:szCs w:val="28"/>
        </w:rPr>
        <w:t>– 2018 (uz pārskata perioda beigām), 2</w:t>
      </w:r>
      <w:r w:rsidR="008126C3" w:rsidRPr="00D27255">
        <w:rPr>
          <w:sz w:val="28"/>
          <w:szCs w:val="28"/>
        </w:rPr>
        <w:t>. </w:t>
      </w:r>
      <w:r w:rsidR="001915EE" w:rsidRPr="00D27255">
        <w:rPr>
          <w:sz w:val="28"/>
          <w:szCs w:val="28"/>
        </w:rPr>
        <w:t>diagrammu. Neizskatīto civillietu dinamika 2015</w:t>
      </w:r>
      <w:r w:rsidR="008126C3" w:rsidRPr="00D27255">
        <w:rPr>
          <w:sz w:val="28"/>
          <w:szCs w:val="28"/>
        </w:rPr>
        <w:t> </w:t>
      </w:r>
      <w:r w:rsidR="001915EE" w:rsidRPr="00D27255">
        <w:rPr>
          <w:sz w:val="28"/>
          <w:szCs w:val="28"/>
        </w:rPr>
        <w:t>– 2018 (uz pārskata perioda beigām)</w:t>
      </w:r>
      <w:r w:rsidR="00364177" w:rsidRPr="00D27255">
        <w:rPr>
          <w:sz w:val="28"/>
          <w:szCs w:val="28"/>
        </w:rPr>
        <w:t xml:space="preserve">. </w:t>
      </w:r>
    </w:p>
    <w:p w14:paraId="5757F751" w14:textId="4B874BBF" w:rsidR="001915EE" w:rsidRPr="00D27255" w:rsidRDefault="001E47E1" w:rsidP="00446409">
      <w:pPr>
        <w:jc w:val="both"/>
        <w:rPr>
          <w:noProof/>
          <w:sz w:val="28"/>
          <w:szCs w:val="28"/>
        </w:rPr>
      </w:pPr>
      <w:r>
        <w:rPr>
          <w:noProof/>
          <w:sz w:val="28"/>
          <w:szCs w:val="28"/>
          <w:lang w:val="en-US" w:eastAsia="en-US"/>
        </w:rPr>
        <w:lastRenderedPageBreak/>
        <w:drawing>
          <wp:inline distT="0" distB="0" distL="0" distR="0" wp14:anchorId="3839375A" wp14:editId="02CB13A7">
            <wp:extent cx="5238750" cy="336483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307" cy="3367114"/>
                    </a:xfrm>
                    <a:prstGeom prst="rect">
                      <a:avLst/>
                    </a:prstGeom>
                    <a:noFill/>
                  </pic:spPr>
                </pic:pic>
              </a:graphicData>
            </a:graphic>
          </wp:inline>
        </w:drawing>
      </w:r>
    </w:p>
    <w:p w14:paraId="66FC7BFA" w14:textId="6940F262" w:rsidR="00A36B44" w:rsidRPr="00D27255" w:rsidRDefault="00A36B44" w:rsidP="00B04E5D">
      <w:pPr>
        <w:ind w:firstLine="720"/>
        <w:jc w:val="both"/>
      </w:pPr>
      <w:r w:rsidRPr="00D27255">
        <w:t>1</w:t>
      </w:r>
      <w:r w:rsidR="008126C3" w:rsidRPr="00D27255">
        <w:rPr>
          <w:sz w:val="28"/>
          <w:szCs w:val="28"/>
        </w:rPr>
        <w:t>. </w:t>
      </w:r>
      <w:r w:rsidRPr="00D27255">
        <w:t>diagramma. Neizskatīto krimināllietu dinamika 2015</w:t>
      </w:r>
      <w:r w:rsidR="008126C3" w:rsidRPr="00D27255">
        <w:rPr>
          <w:sz w:val="28"/>
          <w:szCs w:val="28"/>
        </w:rPr>
        <w:t> </w:t>
      </w:r>
      <w:r w:rsidRPr="00D27255">
        <w:t>-2018 (uz pārskata perioda beigām</w:t>
      </w:r>
      <w:r w:rsidR="001915EE" w:rsidRPr="00D27255">
        <w:t>)</w:t>
      </w:r>
      <w:r w:rsidRPr="00D27255">
        <w:t>.</w:t>
      </w:r>
    </w:p>
    <w:p w14:paraId="19A30450" w14:textId="2716210D" w:rsidR="00DD06F9" w:rsidRPr="00D27255" w:rsidRDefault="00DD06F9" w:rsidP="005758CB">
      <w:pPr>
        <w:ind w:firstLine="720"/>
        <w:jc w:val="center"/>
      </w:pPr>
    </w:p>
    <w:p w14:paraId="3EA612F7" w14:textId="77777777" w:rsidR="00826A7A" w:rsidRPr="00D27255" w:rsidRDefault="00826A7A" w:rsidP="005758CB">
      <w:pPr>
        <w:ind w:firstLine="720"/>
        <w:jc w:val="center"/>
      </w:pPr>
    </w:p>
    <w:p w14:paraId="565D3F07" w14:textId="7FBF542C" w:rsidR="00A36B44" w:rsidRPr="00D27255" w:rsidRDefault="001E47E1" w:rsidP="00446409">
      <w:pPr>
        <w:jc w:val="both"/>
        <w:rPr>
          <w:sz w:val="28"/>
          <w:szCs w:val="28"/>
        </w:rPr>
      </w:pPr>
      <w:r>
        <w:rPr>
          <w:noProof/>
          <w:lang w:val="en-US" w:eastAsia="en-US"/>
        </w:rPr>
        <w:drawing>
          <wp:inline distT="0" distB="0" distL="0" distR="0" wp14:anchorId="46C45C73" wp14:editId="4CA9A776">
            <wp:extent cx="5553075" cy="3276600"/>
            <wp:effectExtent l="0" t="0" r="9525" b="0"/>
            <wp:docPr id="2" name="Diagramma 2">
              <a:extLst xmlns:a="http://schemas.openxmlformats.org/drawingml/2006/main">
                <a:ext uri="{FF2B5EF4-FFF2-40B4-BE49-F238E27FC236}">
                  <a16:creationId xmlns:a16="http://schemas.microsoft.com/office/drawing/2014/main" id="{8630F30A-0A88-4EC5-82E4-1634EF96B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19882B" w14:textId="7B9F8D4A" w:rsidR="00BE7100" w:rsidRPr="00D27255" w:rsidRDefault="00BE7100" w:rsidP="00B04E5D">
      <w:pPr>
        <w:ind w:firstLine="720"/>
        <w:jc w:val="both"/>
      </w:pPr>
      <w:r w:rsidRPr="00D27255">
        <w:t>2</w:t>
      </w:r>
      <w:r w:rsidR="008126C3" w:rsidRPr="00D27255">
        <w:rPr>
          <w:szCs w:val="28"/>
        </w:rPr>
        <w:t>.</w:t>
      </w:r>
      <w:r w:rsidR="008126C3" w:rsidRPr="00D27255">
        <w:rPr>
          <w:sz w:val="28"/>
          <w:szCs w:val="28"/>
        </w:rPr>
        <w:t> </w:t>
      </w:r>
      <w:r w:rsidRPr="00D27255">
        <w:t>diagramma. Neizskatīto civillietu dinamika 2015</w:t>
      </w:r>
      <w:r w:rsidR="008126C3" w:rsidRPr="00D27255">
        <w:rPr>
          <w:sz w:val="28"/>
          <w:szCs w:val="28"/>
        </w:rPr>
        <w:t> </w:t>
      </w:r>
      <w:r w:rsidRPr="00D27255">
        <w:t>-2018 (uz pārskata perioda beigām).</w:t>
      </w:r>
    </w:p>
    <w:p w14:paraId="692E8577" w14:textId="04326B78" w:rsidR="008D4470" w:rsidRPr="00D27255" w:rsidRDefault="008D4470" w:rsidP="008D4470">
      <w:pPr>
        <w:ind w:firstLine="720"/>
        <w:jc w:val="both"/>
        <w:rPr>
          <w:sz w:val="28"/>
          <w:szCs w:val="28"/>
        </w:rPr>
      </w:pPr>
    </w:p>
    <w:p w14:paraId="11BA6586" w14:textId="7E21B840" w:rsidR="00BE095D" w:rsidRPr="00D27255" w:rsidRDefault="00BE095D" w:rsidP="00BE095D">
      <w:pPr>
        <w:ind w:firstLine="720"/>
        <w:jc w:val="both"/>
        <w:rPr>
          <w:sz w:val="28"/>
          <w:szCs w:val="28"/>
        </w:rPr>
      </w:pPr>
      <w:r w:rsidRPr="00D27255">
        <w:rPr>
          <w:sz w:val="28"/>
          <w:szCs w:val="28"/>
        </w:rPr>
        <w:t>Tieši lietu atlikuma samazinājums liecina, ka prioritāri tiek garantēta</w:t>
      </w:r>
      <w:r w:rsidR="004B41C5" w:rsidRPr="00D27255">
        <w:rPr>
          <w:sz w:val="28"/>
          <w:szCs w:val="28"/>
        </w:rPr>
        <w:t>s</w:t>
      </w:r>
      <w:r w:rsidRPr="00D27255">
        <w:rPr>
          <w:sz w:val="28"/>
          <w:szCs w:val="28"/>
        </w:rPr>
        <w:t xml:space="preserve"> pēc iespējas visu personu vienlīdzīgas tiesības uz lietas izskatīšanu, nenostādot vienas personas labvēlīgākā situācijā pār citām. Vienlaikus jāņem vērā, ka uzkrāto lietu samazinājums korelē ar vidējiem lietu izskatīšanas ilgumiem. Proti, lietu </w:t>
      </w:r>
      <w:r w:rsidRPr="00D27255">
        <w:rPr>
          <w:sz w:val="28"/>
          <w:szCs w:val="28"/>
        </w:rPr>
        <w:lastRenderedPageBreak/>
        <w:t xml:space="preserve">uzkrājums veidojas ilgākā laika periodā un pieaugot šo lietu izskatīšanas īpatsvaram, tas atstāj ietekmi uz </w:t>
      </w:r>
      <w:r w:rsidR="00E30CAF" w:rsidRPr="00D27255">
        <w:rPr>
          <w:sz w:val="28"/>
          <w:szCs w:val="28"/>
        </w:rPr>
        <w:t xml:space="preserve">vidējo </w:t>
      </w:r>
      <w:r w:rsidRPr="00D27255">
        <w:rPr>
          <w:sz w:val="28"/>
          <w:szCs w:val="28"/>
        </w:rPr>
        <w:t>lietu izskatīšanas ilgum</w:t>
      </w:r>
      <w:r w:rsidR="00E30CAF" w:rsidRPr="00D27255">
        <w:rPr>
          <w:sz w:val="28"/>
          <w:szCs w:val="28"/>
        </w:rPr>
        <w:t>a rādītāju</w:t>
      </w:r>
      <w:r w:rsidR="622C9B2C" w:rsidRPr="00D27255">
        <w:rPr>
          <w:sz w:val="28"/>
          <w:szCs w:val="28"/>
        </w:rPr>
        <w:t>.</w:t>
      </w:r>
      <w:r w:rsidRPr="00D27255">
        <w:rPr>
          <w:sz w:val="28"/>
          <w:szCs w:val="28"/>
        </w:rPr>
        <w:t xml:space="preserve"> </w:t>
      </w:r>
    </w:p>
    <w:p w14:paraId="6AD12DBB" w14:textId="50CEBE06" w:rsidR="006B2DE9" w:rsidRPr="00D27255" w:rsidRDefault="00560522" w:rsidP="00BE095D">
      <w:pPr>
        <w:ind w:firstLine="720"/>
        <w:jc w:val="both"/>
        <w:rPr>
          <w:sz w:val="28"/>
          <w:szCs w:val="28"/>
        </w:rPr>
      </w:pPr>
      <w:r w:rsidRPr="00D27255">
        <w:rPr>
          <w:sz w:val="28"/>
          <w:szCs w:val="28"/>
        </w:rPr>
        <w:t>Ņemot vērā minēto, secināms, ka kopumā tiesu sistēma spēj nodrošināt lietu izskatīšanu saprātīgos termiņos.</w:t>
      </w:r>
      <w:r w:rsidR="006B2DE9" w:rsidRPr="00D27255">
        <w:rPr>
          <w:sz w:val="28"/>
          <w:szCs w:val="28"/>
        </w:rPr>
        <w:t xml:space="preserve"> Taču konstatējams, ka sarežģīto un specifisk</w:t>
      </w:r>
      <w:r w:rsidR="001915EE" w:rsidRPr="00D27255">
        <w:rPr>
          <w:sz w:val="28"/>
          <w:szCs w:val="28"/>
        </w:rPr>
        <w:t>o</w:t>
      </w:r>
      <w:r w:rsidR="006B2DE9" w:rsidRPr="00D27255">
        <w:rPr>
          <w:sz w:val="28"/>
          <w:szCs w:val="28"/>
        </w:rPr>
        <w:t xml:space="preserve"> lietu izskatīšana nereti ievelkas. </w:t>
      </w:r>
    </w:p>
    <w:p w14:paraId="567068E5" w14:textId="751AEE1C" w:rsidR="006B2DE9" w:rsidRPr="00D27255" w:rsidRDefault="006B2DE9" w:rsidP="006B2DE9">
      <w:pPr>
        <w:ind w:firstLine="720"/>
        <w:jc w:val="both"/>
        <w:rPr>
          <w:sz w:val="28"/>
          <w:szCs w:val="28"/>
        </w:rPr>
      </w:pPr>
      <w:r w:rsidRPr="00D27255">
        <w:rPr>
          <w:sz w:val="28"/>
          <w:szCs w:val="28"/>
        </w:rPr>
        <w:t xml:space="preserve">Piemēram, Eiropas Komisija ir analizējusi lietu par noziedzīgi iegūtu līdzekļu legalizēšanu izskatīšanas ilgumus un </w:t>
      </w:r>
      <w:r w:rsidR="00D8364E" w:rsidRPr="00D27255">
        <w:rPr>
          <w:sz w:val="28"/>
          <w:szCs w:val="28"/>
        </w:rPr>
        <w:t xml:space="preserve">savos ziņojumos </w:t>
      </w:r>
      <w:r w:rsidRPr="00D27255">
        <w:rPr>
          <w:sz w:val="28"/>
          <w:szCs w:val="28"/>
        </w:rPr>
        <w:t>par Latviju (</w:t>
      </w:r>
      <w:proofErr w:type="spellStart"/>
      <w:r w:rsidRPr="00D27255">
        <w:rPr>
          <w:i/>
          <w:sz w:val="28"/>
          <w:szCs w:val="28"/>
        </w:rPr>
        <w:t>Country</w:t>
      </w:r>
      <w:proofErr w:type="spellEnd"/>
      <w:r w:rsidRPr="00D27255">
        <w:rPr>
          <w:i/>
          <w:sz w:val="28"/>
          <w:szCs w:val="28"/>
        </w:rPr>
        <w:t xml:space="preserve"> </w:t>
      </w:r>
      <w:proofErr w:type="spellStart"/>
      <w:r w:rsidRPr="00D27255">
        <w:rPr>
          <w:i/>
          <w:sz w:val="28"/>
          <w:szCs w:val="28"/>
        </w:rPr>
        <w:t>Report</w:t>
      </w:r>
      <w:proofErr w:type="spellEnd"/>
      <w:r w:rsidRPr="00D27255">
        <w:rPr>
          <w:i/>
          <w:sz w:val="28"/>
          <w:szCs w:val="28"/>
        </w:rPr>
        <w:t xml:space="preserve"> </w:t>
      </w:r>
      <w:proofErr w:type="spellStart"/>
      <w:r w:rsidRPr="00D27255">
        <w:rPr>
          <w:i/>
          <w:sz w:val="28"/>
          <w:szCs w:val="28"/>
        </w:rPr>
        <w:t>Latvia</w:t>
      </w:r>
      <w:proofErr w:type="spellEnd"/>
      <w:r w:rsidRPr="00D27255">
        <w:rPr>
          <w:sz w:val="28"/>
          <w:szCs w:val="28"/>
        </w:rPr>
        <w:t xml:space="preserve"> </w:t>
      </w:r>
      <w:r w:rsidRPr="00D27255">
        <w:rPr>
          <w:i/>
          <w:sz w:val="28"/>
          <w:szCs w:val="28"/>
        </w:rPr>
        <w:t>2019</w:t>
      </w:r>
      <w:r w:rsidR="00D8364E" w:rsidRPr="00D27255">
        <w:rPr>
          <w:i/>
          <w:sz w:val="28"/>
          <w:szCs w:val="28"/>
        </w:rPr>
        <w:t xml:space="preserve">; </w:t>
      </w:r>
      <w:proofErr w:type="spellStart"/>
      <w:r w:rsidR="00D8364E" w:rsidRPr="00D27255">
        <w:rPr>
          <w:i/>
          <w:sz w:val="28"/>
          <w:szCs w:val="28"/>
        </w:rPr>
        <w:t>Justice</w:t>
      </w:r>
      <w:proofErr w:type="spellEnd"/>
      <w:r w:rsidR="00D8364E" w:rsidRPr="00D27255">
        <w:rPr>
          <w:i/>
          <w:sz w:val="28"/>
          <w:szCs w:val="28"/>
        </w:rPr>
        <w:t xml:space="preserve"> </w:t>
      </w:r>
      <w:proofErr w:type="spellStart"/>
      <w:r w:rsidR="00D8364E" w:rsidRPr="00D27255">
        <w:rPr>
          <w:i/>
          <w:sz w:val="28"/>
          <w:szCs w:val="28"/>
        </w:rPr>
        <w:t>Scoreboard</w:t>
      </w:r>
      <w:proofErr w:type="spellEnd"/>
      <w:r w:rsidR="00D8364E" w:rsidRPr="00D27255">
        <w:rPr>
          <w:i/>
          <w:sz w:val="28"/>
          <w:szCs w:val="28"/>
        </w:rPr>
        <w:t xml:space="preserve"> 2018; </w:t>
      </w:r>
      <w:proofErr w:type="spellStart"/>
      <w:r w:rsidR="00D8364E" w:rsidRPr="00D27255">
        <w:rPr>
          <w:i/>
          <w:sz w:val="28"/>
          <w:szCs w:val="28"/>
        </w:rPr>
        <w:t>Justice</w:t>
      </w:r>
      <w:proofErr w:type="spellEnd"/>
      <w:r w:rsidR="00D8364E" w:rsidRPr="00D27255">
        <w:rPr>
          <w:i/>
          <w:sz w:val="28"/>
          <w:szCs w:val="28"/>
        </w:rPr>
        <w:t xml:space="preserve"> </w:t>
      </w:r>
      <w:proofErr w:type="spellStart"/>
      <w:r w:rsidR="00D8364E" w:rsidRPr="00D27255">
        <w:rPr>
          <w:i/>
          <w:sz w:val="28"/>
          <w:szCs w:val="28"/>
        </w:rPr>
        <w:t>Scoreboard</w:t>
      </w:r>
      <w:proofErr w:type="spellEnd"/>
      <w:r w:rsidR="00D8364E" w:rsidRPr="00D27255">
        <w:rPr>
          <w:i/>
          <w:sz w:val="28"/>
          <w:szCs w:val="28"/>
        </w:rPr>
        <w:t xml:space="preserve"> 2019;</w:t>
      </w:r>
      <w:r w:rsidRPr="00D27255">
        <w:rPr>
          <w:sz w:val="28"/>
          <w:szCs w:val="28"/>
        </w:rPr>
        <w:t>) secinājusi, ka,</w:t>
      </w:r>
      <w:r w:rsidRPr="00D27255">
        <w:rPr>
          <w:rStyle w:val="tlid-translation"/>
          <w:color w:val="777777"/>
          <w:sz w:val="28"/>
          <w:szCs w:val="28"/>
        </w:rPr>
        <w:t xml:space="preserve"> </w:t>
      </w:r>
      <w:r w:rsidRPr="00D27255">
        <w:rPr>
          <w:rStyle w:val="tlid-translation"/>
          <w:sz w:val="28"/>
          <w:szCs w:val="28"/>
        </w:rPr>
        <w:t>neskatoties uz atsevišķiem uzlabojumiem, pirmās instances tiesas lietas par noziedzīgi iegūtu līdzekļu legalizēšanu joprojām izskata pārāk ilgi.</w:t>
      </w:r>
      <w:r w:rsidRPr="00D27255">
        <w:rPr>
          <w:rStyle w:val="FootnoteReference"/>
          <w:sz w:val="28"/>
          <w:szCs w:val="28"/>
        </w:rPr>
        <w:footnoteReference w:id="6"/>
      </w:r>
      <w:r w:rsidRPr="00D27255">
        <w:rPr>
          <w:sz w:val="28"/>
          <w:szCs w:val="28"/>
        </w:rPr>
        <w:t xml:space="preserve"> Latvija lietu </w:t>
      </w:r>
      <w:r w:rsidRPr="00D27255">
        <w:rPr>
          <w:rStyle w:val="tlid-translation"/>
          <w:sz w:val="28"/>
          <w:szCs w:val="28"/>
        </w:rPr>
        <w:t>par noziedzīgi iegūtu līdzekļu legalizēšanu</w:t>
      </w:r>
      <w:r w:rsidRPr="00D27255">
        <w:rPr>
          <w:sz w:val="28"/>
          <w:szCs w:val="28"/>
        </w:rPr>
        <w:t xml:space="preserve"> izskatīšanas ilguma ziņā ierindojas priekšpēdējā vietā</w:t>
      </w:r>
      <w:r w:rsidRPr="00D27255">
        <w:rPr>
          <w:sz w:val="28"/>
          <w:szCs w:val="28"/>
          <w:vertAlign w:val="superscript"/>
        </w:rPr>
        <w:footnoteReference w:id="7"/>
      </w:r>
      <w:r w:rsidRPr="00D27255">
        <w:rPr>
          <w:sz w:val="28"/>
          <w:szCs w:val="28"/>
        </w:rPr>
        <w:t xml:space="preserve"> starp 24 Eiropas Savienības valstīm, kas uzrādījušas datus par lietu izskatīšanas ilgumu. Vidējais ilgums šādu lietu izskatīšanai pirmās instances tiesā Latvijā pārsniedz </w:t>
      </w:r>
      <w:r w:rsidR="008126C3" w:rsidRPr="00D27255">
        <w:rPr>
          <w:sz w:val="28"/>
          <w:szCs w:val="28"/>
        </w:rPr>
        <w:t>divus</w:t>
      </w:r>
      <w:r w:rsidRPr="00D27255">
        <w:rPr>
          <w:sz w:val="28"/>
          <w:szCs w:val="28"/>
        </w:rPr>
        <w:t xml:space="preserve"> gadus. </w:t>
      </w:r>
    </w:p>
    <w:p w14:paraId="5A900C40" w14:textId="5810F2A4" w:rsidR="006B2DE9" w:rsidRPr="00D27255" w:rsidRDefault="00B04E5D" w:rsidP="00987904">
      <w:pPr>
        <w:ind w:firstLine="720"/>
        <w:jc w:val="both"/>
        <w:rPr>
          <w:sz w:val="28"/>
          <w:szCs w:val="28"/>
        </w:rPr>
      </w:pPr>
      <w:r w:rsidRPr="00D27255">
        <w:rPr>
          <w:sz w:val="28"/>
          <w:szCs w:val="28"/>
        </w:rPr>
        <w:t>SVF</w:t>
      </w:r>
      <w:r w:rsidR="0098654F" w:rsidRPr="00D27255">
        <w:rPr>
          <w:sz w:val="28"/>
          <w:szCs w:val="28"/>
        </w:rPr>
        <w:t xml:space="preserve"> norādījis, ka n</w:t>
      </w:r>
      <w:r w:rsidR="006B2DE9" w:rsidRPr="00D27255">
        <w:rPr>
          <w:sz w:val="28"/>
          <w:szCs w:val="28"/>
        </w:rPr>
        <w:t>audas atmazgāšana var atturēt ārvalstu investīcijas, kropļot starptautisko kapitāla plūsmu un negatīvi ietekmē valsts makroekonomiskos rādītājus, radot labklājības zaudējumus, izšķiežot resursus no produktīvākas saimnieciskās darbības</w:t>
      </w:r>
      <w:r w:rsidR="0098654F" w:rsidRPr="00D27255">
        <w:rPr>
          <w:rStyle w:val="FootnoteReference"/>
          <w:sz w:val="28"/>
          <w:szCs w:val="28"/>
        </w:rPr>
        <w:footnoteReference w:id="8"/>
      </w:r>
      <w:r w:rsidR="006B2DE9" w:rsidRPr="00D27255">
        <w:rPr>
          <w:sz w:val="28"/>
          <w:szCs w:val="28"/>
        </w:rPr>
        <w:t>. Tād</w:t>
      </w:r>
      <w:r w:rsidR="005468DD" w:rsidRPr="00D27255">
        <w:rPr>
          <w:sz w:val="28"/>
          <w:szCs w:val="28"/>
        </w:rPr>
        <w:t>ē</w:t>
      </w:r>
      <w:r w:rsidR="006B2DE9" w:rsidRPr="00D27255">
        <w:rPr>
          <w:sz w:val="28"/>
          <w:szCs w:val="28"/>
        </w:rPr>
        <w:t>jādi šo lietu izskatīšanas termiņiem, procesam un kvalitātei piešķirama pastiprināta uzmanība.</w:t>
      </w:r>
    </w:p>
    <w:p w14:paraId="3C458ABA" w14:textId="2AA9B470" w:rsidR="00560522" w:rsidRPr="00D27255" w:rsidRDefault="00561649" w:rsidP="00BE095D">
      <w:pPr>
        <w:ind w:firstLine="720"/>
        <w:jc w:val="both"/>
        <w:rPr>
          <w:sz w:val="28"/>
          <w:szCs w:val="28"/>
        </w:rPr>
      </w:pPr>
      <w:r w:rsidRPr="00D27255">
        <w:rPr>
          <w:sz w:val="28"/>
          <w:szCs w:val="28"/>
        </w:rPr>
        <w:t>Papildus s</w:t>
      </w:r>
      <w:r w:rsidR="006B2DE9" w:rsidRPr="00D27255">
        <w:rPr>
          <w:sz w:val="28"/>
          <w:szCs w:val="28"/>
        </w:rPr>
        <w:t>tarp lietām, kuru izskatīšanas procesam piešķirama valsts mēroga prioritāte</w:t>
      </w:r>
      <w:r w:rsidR="005468DD" w:rsidRPr="00D27255">
        <w:rPr>
          <w:sz w:val="28"/>
          <w:szCs w:val="28"/>
        </w:rPr>
        <w:t>,</w:t>
      </w:r>
      <w:r w:rsidR="006B2DE9" w:rsidRPr="00D27255">
        <w:rPr>
          <w:sz w:val="28"/>
          <w:szCs w:val="28"/>
        </w:rPr>
        <w:t xml:space="preserve"> būtu ierindojami arī specifiski </w:t>
      </w:r>
      <w:proofErr w:type="spellStart"/>
      <w:r w:rsidR="006B2DE9" w:rsidRPr="00D27255">
        <w:rPr>
          <w:sz w:val="28"/>
          <w:szCs w:val="28"/>
        </w:rPr>
        <w:t>komercstrīdi</w:t>
      </w:r>
      <w:proofErr w:type="spellEnd"/>
      <w:r w:rsidR="006B2DE9" w:rsidRPr="00D27255">
        <w:rPr>
          <w:sz w:val="28"/>
          <w:szCs w:val="28"/>
        </w:rPr>
        <w:t xml:space="preserve"> un korupcijas lietas. Šo lietu ieilgusi izskatīšana ne tikai liek apšaubīt tiesiskuma realizāciju valstī un grauj Latvijas kā tiesiskas valsts reputāciju, bet arī rada būtisku ietekmi uz tautsaimniecību un veido nesodāmības ilūziju, kas var tikt uztverta arī kā valsts bezspēcība cīņā ar smagiem finanšu un amata noziegumiem, kā arī civiltiesiskām krāpšanas shēmām. </w:t>
      </w:r>
    </w:p>
    <w:p w14:paraId="4B1F21B1" w14:textId="6CAA1804" w:rsidR="00E42C4A" w:rsidRPr="00D27255" w:rsidRDefault="00E42C4A" w:rsidP="00E42C4A">
      <w:pPr>
        <w:ind w:firstLine="720"/>
        <w:jc w:val="both"/>
        <w:rPr>
          <w:sz w:val="28"/>
          <w:szCs w:val="28"/>
        </w:rPr>
      </w:pPr>
      <w:r w:rsidRPr="00D27255">
        <w:rPr>
          <w:sz w:val="28"/>
          <w:szCs w:val="28"/>
        </w:rPr>
        <w:t xml:space="preserve">Ievērojot minēto, neatliekami rodams risinājums kā efektivizēt </w:t>
      </w:r>
      <w:r w:rsidR="00561649" w:rsidRPr="00D27255">
        <w:rPr>
          <w:sz w:val="28"/>
          <w:szCs w:val="28"/>
        </w:rPr>
        <w:t xml:space="preserve">minēto lietu </w:t>
      </w:r>
      <w:r w:rsidRPr="00D27255">
        <w:rPr>
          <w:sz w:val="28"/>
          <w:szCs w:val="28"/>
        </w:rPr>
        <w:t>izskatīšanas procesu</w:t>
      </w:r>
      <w:r w:rsidR="00561649" w:rsidRPr="00D27255">
        <w:rPr>
          <w:sz w:val="28"/>
          <w:szCs w:val="28"/>
        </w:rPr>
        <w:t>, tajā skaitā celtu nolēmumu kvalitāti.</w:t>
      </w:r>
    </w:p>
    <w:p w14:paraId="0C95BF75" w14:textId="77777777" w:rsidR="005E6DF8" w:rsidRPr="00127AB8" w:rsidRDefault="005E6DF8" w:rsidP="00334CC4">
      <w:pPr>
        <w:ind w:firstLine="720"/>
        <w:jc w:val="both"/>
        <w:rPr>
          <w:szCs w:val="28"/>
        </w:rPr>
      </w:pPr>
    </w:p>
    <w:p w14:paraId="6319C0B2" w14:textId="1655DCDC" w:rsidR="00D25D59" w:rsidRPr="00D27255" w:rsidRDefault="00D25D59" w:rsidP="00561649">
      <w:pPr>
        <w:pStyle w:val="Heading1"/>
        <w:spacing w:before="0"/>
        <w:jc w:val="center"/>
        <w:rPr>
          <w:rFonts w:ascii="Times New Roman" w:hAnsi="Times New Roman" w:cs="Times New Roman"/>
          <w:b/>
          <w:color w:val="auto"/>
        </w:rPr>
      </w:pPr>
      <w:bookmarkStart w:id="3" w:name="_Toc10638790"/>
      <w:r w:rsidRPr="00D27255">
        <w:rPr>
          <w:rFonts w:ascii="Times New Roman" w:hAnsi="Times New Roman" w:cs="Times New Roman"/>
          <w:b/>
          <w:color w:val="auto"/>
        </w:rPr>
        <w:t xml:space="preserve">3. </w:t>
      </w:r>
      <w:r w:rsidR="0022638D" w:rsidRPr="00D27255">
        <w:rPr>
          <w:rFonts w:ascii="Times New Roman" w:hAnsi="Times New Roman" w:cs="Times New Roman"/>
          <w:b/>
          <w:color w:val="auto"/>
        </w:rPr>
        <w:t xml:space="preserve">Risinājums </w:t>
      </w:r>
      <w:r w:rsidR="00B04E5D" w:rsidRPr="00D27255">
        <w:rPr>
          <w:rFonts w:ascii="Times New Roman" w:hAnsi="Times New Roman" w:cs="Times New Roman"/>
          <w:b/>
          <w:color w:val="auto"/>
        </w:rPr>
        <w:t>un tā ietekme uz problēmu risināšanu</w:t>
      </w:r>
      <w:bookmarkEnd w:id="3"/>
    </w:p>
    <w:p w14:paraId="6E026200" w14:textId="77777777" w:rsidR="00D25D59" w:rsidRPr="00127AB8" w:rsidRDefault="00D25D59" w:rsidP="00D25D59">
      <w:pPr>
        <w:rPr>
          <w:sz w:val="22"/>
        </w:rPr>
      </w:pPr>
    </w:p>
    <w:p w14:paraId="77B6C754" w14:textId="039B7246" w:rsidR="001C1BAA" w:rsidRPr="00D27255" w:rsidRDefault="001C1BAA" w:rsidP="001C1BAA">
      <w:pPr>
        <w:ind w:firstLine="720"/>
        <w:jc w:val="both"/>
        <w:rPr>
          <w:sz w:val="28"/>
          <w:szCs w:val="28"/>
        </w:rPr>
      </w:pPr>
      <w:r w:rsidRPr="00D27255">
        <w:rPr>
          <w:sz w:val="28"/>
          <w:szCs w:val="28"/>
        </w:rPr>
        <w:t xml:space="preserve">Lietu izskatīšanas ilgums jeb laiks no uzņēmēju un ekonomikas attīstības viedokļa nav vienīgais tiesu sistēmas efektivitātes rādītājs. Otrs jebkuras sistēmas darbības efektivitātes rādītājs ir kvalitāte. </w:t>
      </w:r>
      <w:r w:rsidR="00423300" w:rsidRPr="00D27255">
        <w:rPr>
          <w:sz w:val="28"/>
          <w:szCs w:val="28"/>
        </w:rPr>
        <w:t>T</w:t>
      </w:r>
      <w:r w:rsidRPr="00D27255">
        <w:rPr>
          <w:sz w:val="28"/>
          <w:szCs w:val="28"/>
        </w:rPr>
        <w:t>iesu sistēmā tā ir galīgā spēkā stājušos tiesas sprieduma kā ekonomiska strīda atrisinājuma kvalitāte un atbilstība reālajiem ekonomiskajiem apstākļiem.</w:t>
      </w:r>
    </w:p>
    <w:p w14:paraId="4ED404BD" w14:textId="25477283" w:rsidR="00F95A35" w:rsidRPr="00D27255" w:rsidRDefault="00F95A35" w:rsidP="00F95A35">
      <w:pPr>
        <w:ind w:firstLine="720"/>
        <w:jc w:val="both"/>
        <w:rPr>
          <w:sz w:val="28"/>
          <w:szCs w:val="28"/>
        </w:rPr>
      </w:pPr>
      <w:r w:rsidRPr="00D27255">
        <w:rPr>
          <w:sz w:val="28"/>
          <w:szCs w:val="28"/>
        </w:rPr>
        <w:t>Jo sarežģītāk</w:t>
      </w:r>
      <w:r w:rsidR="0030242F" w:rsidRPr="00D27255">
        <w:rPr>
          <w:sz w:val="28"/>
          <w:szCs w:val="28"/>
        </w:rPr>
        <w:t>a</w:t>
      </w:r>
      <w:r w:rsidR="00D8364E" w:rsidRPr="00D27255">
        <w:rPr>
          <w:sz w:val="28"/>
          <w:szCs w:val="28"/>
        </w:rPr>
        <w:t>s</w:t>
      </w:r>
      <w:r w:rsidRPr="00D27255">
        <w:rPr>
          <w:sz w:val="28"/>
          <w:szCs w:val="28"/>
        </w:rPr>
        <w:t xml:space="preserve"> kļūst </w:t>
      </w:r>
      <w:r w:rsidR="00D8364E" w:rsidRPr="00D27255">
        <w:rPr>
          <w:sz w:val="28"/>
          <w:szCs w:val="28"/>
        </w:rPr>
        <w:t>tiesiskās attiecības</w:t>
      </w:r>
      <w:r w:rsidRPr="00D27255">
        <w:rPr>
          <w:sz w:val="28"/>
          <w:szCs w:val="28"/>
        </w:rPr>
        <w:t xml:space="preserve"> sabiedrīb</w:t>
      </w:r>
      <w:r w:rsidR="00D8364E" w:rsidRPr="00D27255">
        <w:rPr>
          <w:sz w:val="28"/>
          <w:szCs w:val="28"/>
        </w:rPr>
        <w:t>ā</w:t>
      </w:r>
      <w:r w:rsidRPr="00D27255">
        <w:rPr>
          <w:sz w:val="28"/>
          <w:szCs w:val="28"/>
        </w:rPr>
        <w:t xml:space="preserve">, jo lielāka ir vajadzība valstīm nodrošināt savus pilsoņus ar sarežģītiem tiesu pakalpojumiem, lai risinātu dažādas sociālas attiecības un no tām izrietošos strīdus. Ņemot vērā juridisko strīdu sarežģītību, ir nepieciešama specializētā tiesu sistēma, lai pilsoņus </w:t>
      </w:r>
      <w:r w:rsidRPr="00D27255">
        <w:rPr>
          <w:sz w:val="28"/>
          <w:szCs w:val="28"/>
        </w:rPr>
        <w:lastRenderedPageBreak/>
        <w:t>nodrošinātu ar kvalitatīvu tiesu. Eiropas valstu tiesu sistēmās ir vērojamas divas galvenās tendences: no vienas puses, izveidot specializētas tiesas, kas ir kompetentas izšķirt juridiskus strīdus konkrētā tiesību jomā, kurām ir jurisdikcija p</w:t>
      </w:r>
      <w:r w:rsidR="00B04E5D" w:rsidRPr="00D27255">
        <w:rPr>
          <w:sz w:val="28"/>
          <w:szCs w:val="28"/>
        </w:rPr>
        <w:t>ā</w:t>
      </w:r>
      <w:r w:rsidRPr="00D27255">
        <w:rPr>
          <w:sz w:val="28"/>
          <w:szCs w:val="28"/>
        </w:rPr>
        <w:t>r kādu reģionu vai visu valsti (tiesu specializācija); no otras puses, iespēja vispārējo tiesu tiesnešiem specializēties strīdos par juridisko nozari.</w:t>
      </w:r>
      <w:r w:rsidRPr="00D27255">
        <w:rPr>
          <w:sz w:val="28"/>
          <w:szCs w:val="28"/>
          <w:vertAlign w:val="superscript"/>
        </w:rPr>
        <w:footnoteReference w:id="9"/>
      </w:r>
      <w:r w:rsidRPr="00D27255">
        <w:rPr>
          <w:sz w:val="28"/>
          <w:szCs w:val="28"/>
        </w:rPr>
        <w:t xml:space="preserve"> </w:t>
      </w:r>
    </w:p>
    <w:p w14:paraId="5D7ACB54" w14:textId="619A7180" w:rsidR="00F95A35" w:rsidRPr="00D27255" w:rsidRDefault="00F95A35" w:rsidP="00561649">
      <w:pPr>
        <w:ind w:firstLine="720"/>
        <w:jc w:val="both"/>
        <w:rPr>
          <w:sz w:val="28"/>
          <w:szCs w:val="28"/>
        </w:rPr>
      </w:pPr>
      <w:r w:rsidRPr="00D27255">
        <w:rPr>
          <w:sz w:val="28"/>
          <w:szCs w:val="28"/>
        </w:rPr>
        <w:t>Tiesnešu specializācija ir e</w:t>
      </w:r>
      <w:r w:rsidR="00561649" w:rsidRPr="00D27255">
        <w:rPr>
          <w:sz w:val="28"/>
          <w:szCs w:val="28"/>
        </w:rPr>
        <w:t>fektīvs rīks tiesas procesa efektivitātes, it īpaši nolēmumu kvalitātes, celšana</w:t>
      </w:r>
      <w:r w:rsidRPr="00D27255">
        <w:rPr>
          <w:sz w:val="28"/>
          <w:szCs w:val="28"/>
        </w:rPr>
        <w:t>i</w:t>
      </w:r>
      <w:r w:rsidR="00561649" w:rsidRPr="00D27255">
        <w:rPr>
          <w:sz w:val="28"/>
          <w:szCs w:val="28"/>
        </w:rPr>
        <w:t>. Līdz tiesu teritori</w:t>
      </w:r>
      <w:r w:rsidR="00ED55B2" w:rsidRPr="00D27255">
        <w:rPr>
          <w:sz w:val="28"/>
          <w:szCs w:val="28"/>
        </w:rPr>
        <w:t>ālās</w:t>
      </w:r>
      <w:r w:rsidR="00561649" w:rsidRPr="00D27255">
        <w:rPr>
          <w:sz w:val="28"/>
          <w:szCs w:val="28"/>
        </w:rPr>
        <w:t xml:space="preserve"> reformas ieviešanai</w:t>
      </w:r>
      <w:r w:rsidR="00303CC1">
        <w:rPr>
          <w:sz w:val="28"/>
          <w:szCs w:val="28"/>
        </w:rPr>
        <w:t>,</w:t>
      </w:r>
      <w:r w:rsidR="00561649" w:rsidRPr="00D27255">
        <w:rPr>
          <w:sz w:val="28"/>
          <w:szCs w:val="28"/>
        </w:rPr>
        <w:t xml:space="preserve"> specializācija tika izmantota ierobežoti. </w:t>
      </w:r>
      <w:r w:rsidRPr="00D27255">
        <w:rPr>
          <w:sz w:val="28"/>
          <w:szCs w:val="28"/>
        </w:rPr>
        <w:t xml:space="preserve">Tiesneši specializējās </w:t>
      </w:r>
      <w:r w:rsidR="00561649" w:rsidRPr="00D27255">
        <w:rPr>
          <w:sz w:val="28"/>
          <w:szCs w:val="28"/>
        </w:rPr>
        <w:t xml:space="preserve">pārsvarā tikai attiecībā uz tiesību nozarēm. Līdz ar tiesu teritoriālās reformas ieviešanu ir būtiski palielinājusies iespēja ieviest tiesnešu specializāciju. </w:t>
      </w:r>
    </w:p>
    <w:p w14:paraId="6E6242F9" w14:textId="1429757A" w:rsidR="001C4F04" w:rsidRPr="00D27255" w:rsidRDefault="001C4F04" w:rsidP="001C4F04">
      <w:pPr>
        <w:ind w:firstLine="720"/>
        <w:jc w:val="both"/>
        <w:rPr>
          <w:sz w:val="28"/>
          <w:szCs w:val="28"/>
        </w:rPr>
      </w:pPr>
      <w:r w:rsidRPr="00D27255">
        <w:rPr>
          <w:sz w:val="28"/>
          <w:szCs w:val="28"/>
        </w:rPr>
        <w:t xml:space="preserve">Tiesnešu specializācija ne tikai konkrētās tiesību nozarēs, bet arī tiesību institūtos vai lietu kategorijās rada iespēju nodrošināt šo tiesnešu vajadzībām atbilstošas kvalificētas mācības, tādējādi nodrošinot tiesnešiem šo lietu izskatīšanai nepieciešamās profesionālās prasmes.  </w:t>
      </w:r>
    </w:p>
    <w:p w14:paraId="1FE5ED31" w14:textId="7E0F5657" w:rsidR="0030242F" w:rsidRPr="00D27255" w:rsidRDefault="0030242F" w:rsidP="0030242F">
      <w:pPr>
        <w:ind w:firstLine="720"/>
        <w:jc w:val="both"/>
        <w:rPr>
          <w:sz w:val="28"/>
          <w:szCs w:val="28"/>
        </w:rPr>
      </w:pPr>
      <w:r w:rsidRPr="00D27255">
        <w:rPr>
          <w:sz w:val="28"/>
          <w:szCs w:val="28"/>
        </w:rPr>
        <w:t>Arī</w:t>
      </w:r>
      <w:r w:rsidRPr="00D27255">
        <w:t xml:space="preserve"> </w:t>
      </w:r>
      <w:r w:rsidRPr="00D27255">
        <w:rPr>
          <w:sz w:val="28"/>
          <w:szCs w:val="28"/>
        </w:rPr>
        <w:t xml:space="preserve">FICIL aicina nodrošināt turpmāku tiesu un tiesnešu specializāciju, paredzot konkrētām tiesām ierobežotu un ekskluzīvu </w:t>
      </w:r>
      <w:r w:rsidR="001C1BAA" w:rsidRPr="00D27255">
        <w:rPr>
          <w:sz w:val="28"/>
          <w:szCs w:val="28"/>
        </w:rPr>
        <w:t>kompetenci</w:t>
      </w:r>
      <w:r w:rsidRPr="00D27255">
        <w:rPr>
          <w:sz w:val="28"/>
          <w:szCs w:val="28"/>
        </w:rPr>
        <w:t xml:space="preserve"> lemt konkrētus jautājumus. Piemēram, lietas par kapitālsabiedrību (dalībnieku/akcionāru sapulču) lēmumu atzīšanu par spēkā neesošiem skata Jelgavas tiesa un tas ir būtiski mazinājis vēl pirms dažiem gadiem tik aktuālos reiderisma jeb uzņēmumu nelikumīgas pārņemšanas gadījumus. FICIL atzīmē, ka gadījumos, kur tiesas skata konkrētu kategoriju strīdus vērojami būtiski uzlabojumi lietas izskatīšanas ātrumā (tiesnesis, skatot līdzīgas lietas, pavada mazāk laika to izlemšanai), kā arī mazinās kļūdu skaits un tiek veidota judikatūra.</w:t>
      </w:r>
      <w:r w:rsidRPr="00D27255">
        <w:rPr>
          <w:rStyle w:val="FootnoteReference"/>
          <w:sz w:val="28"/>
          <w:szCs w:val="28"/>
        </w:rPr>
        <w:footnoteReference w:id="10"/>
      </w:r>
      <w:r w:rsidRPr="00D27255">
        <w:rPr>
          <w:sz w:val="28"/>
          <w:szCs w:val="28"/>
        </w:rPr>
        <w:t xml:space="preserve">  </w:t>
      </w:r>
    </w:p>
    <w:p w14:paraId="010BE19D" w14:textId="4C9BED40" w:rsidR="00561649" w:rsidRPr="00D27255" w:rsidRDefault="00561649" w:rsidP="00561649">
      <w:pPr>
        <w:ind w:firstLine="720"/>
        <w:jc w:val="both"/>
        <w:rPr>
          <w:sz w:val="28"/>
          <w:szCs w:val="28"/>
        </w:rPr>
      </w:pPr>
      <w:r w:rsidRPr="00D27255">
        <w:rPr>
          <w:sz w:val="28"/>
          <w:szCs w:val="28"/>
        </w:rPr>
        <w:t xml:space="preserve">Ievērojot minēto, </w:t>
      </w:r>
      <w:r w:rsidRPr="00D27255">
        <w:rPr>
          <w:b/>
          <w:sz w:val="28"/>
          <w:szCs w:val="28"/>
        </w:rPr>
        <w:t>sarežģītu lietu izskatīšanas kvalitātes paaugstināšanas nolūkos tiesnešu specializācija pati par sevi ne vienmēr ir atzīstama par pietiekamu risinājumu mērķa sasniegšan</w:t>
      </w:r>
      <w:r w:rsidR="00D8364E" w:rsidRPr="00D27255">
        <w:rPr>
          <w:b/>
          <w:sz w:val="28"/>
          <w:szCs w:val="28"/>
        </w:rPr>
        <w:t>ā</w:t>
      </w:r>
      <w:r w:rsidRPr="00D27255">
        <w:rPr>
          <w:b/>
          <w:sz w:val="28"/>
          <w:szCs w:val="28"/>
        </w:rPr>
        <w:t xml:space="preserve"> un papildus izvērtējama iespēja koncentrēt šo lietu izskatīšanu vienā tiesā</w:t>
      </w:r>
      <w:r w:rsidRPr="00D27255">
        <w:rPr>
          <w:rStyle w:val="FootnoteReference"/>
          <w:sz w:val="28"/>
          <w:szCs w:val="28"/>
        </w:rPr>
        <w:footnoteReference w:id="11"/>
      </w:r>
      <w:r w:rsidRPr="00D27255">
        <w:rPr>
          <w:sz w:val="28"/>
          <w:szCs w:val="28"/>
        </w:rPr>
        <w:t xml:space="preserve">. </w:t>
      </w:r>
    </w:p>
    <w:p w14:paraId="3FDB036D" w14:textId="2D7038C0" w:rsidR="00561649" w:rsidRPr="00D27255" w:rsidRDefault="00561649" w:rsidP="00561649">
      <w:pPr>
        <w:ind w:firstLine="720"/>
        <w:jc w:val="both"/>
        <w:rPr>
          <w:sz w:val="28"/>
          <w:szCs w:val="28"/>
        </w:rPr>
      </w:pPr>
      <w:r w:rsidRPr="00D27255">
        <w:rPr>
          <w:sz w:val="28"/>
          <w:szCs w:val="28"/>
        </w:rPr>
        <w:t>Kvalitatīva finanšu lietu iztiesāšana ir ievērojami apgrūtināta, ja tiesnešiem, kas t</w:t>
      </w:r>
      <w:r w:rsidR="00ED55B2" w:rsidRPr="00D27255">
        <w:rPr>
          <w:sz w:val="28"/>
          <w:szCs w:val="28"/>
        </w:rPr>
        <w:t>ā</w:t>
      </w:r>
      <w:r w:rsidRPr="00D27255">
        <w:rPr>
          <w:sz w:val="28"/>
          <w:szCs w:val="28"/>
        </w:rPr>
        <w:t xml:space="preserve">s iztiesā, nav specifisku zināšanu </w:t>
      </w:r>
      <w:r w:rsidR="00F95A35" w:rsidRPr="00D27255">
        <w:rPr>
          <w:sz w:val="28"/>
          <w:szCs w:val="28"/>
        </w:rPr>
        <w:t>attiecīgajos finanšu jautājumos</w:t>
      </w:r>
      <w:r w:rsidRPr="00D27255">
        <w:rPr>
          <w:sz w:val="28"/>
          <w:szCs w:val="28"/>
        </w:rPr>
        <w:t>.</w:t>
      </w:r>
      <w:r w:rsidRPr="00D27255">
        <w:t xml:space="preserve"> </w:t>
      </w:r>
      <w:r w:rsidRPr="00D27255">
        <w:rPr>
          <w:sz w:val="28"/>
          <w:szCs w:val="28"/>
        </w:rPr>
        <w:t>Nereti noziedzīga nodarījuma izdarītāji ir spējuši piesaistīt šo jomu profesionāļus, lai slēptu nozieguma pēdas. Noziegumu slēpšanai tiek izmantotas arī citu valstu jurisdikcijas un sarežģītas daudzpakāpju shēmas.</w:t>
      </w:r>
    </w:p>
    <w:p w14:paraId="0C20FB7B" w14:textId="77777777" w:rsidR="00E51353" w:rsidRPr="00D27255" w:rsidRDefault="00E51353" w:rsidP="00561649">
      <w:pPr>
        <w:ind w:firstLine="720"/>
        <w:jc w:val="both"/>
        <w:rPr>
          <w:sz w:val="28"/>
          <w:szCs w:val="28"/>
        </w:rPr>
      </w:pPr>
    </w:p>
    <w:p w14:paraId="5826CDF4" w14:textId="7D0132C8" w:rsidR="003E27D0" w:rsidRPr="00D27255" w:rsidRDefault="00E51353" w:rsidP="00E51353">
      <w:pPr>
        <w:ind w:firstLine="720"/>
        <w:jc w:val="both"/>
        <w:rPr>
          <w:b/>
          <w:sz w:val="28"/>
          <w:szCs w:val="28"/>
        </w:rPr>
      </w:pPr>
      <w:r w:rsidRPr="00D27255">
        <w:rPr>
          <w:b/>
          <w:sz w:val="28"/>
          <w:szCs w:val="28"/>
        </w:rPr>
        <w:t>3.1</w:t>
      </w:r>
      <w:r w:rsidR="00303CC1">
        <w:rPr>
          <w:b/>
          <w:sz w:val="28"/>
          <w:szCs w:val="28"/>
        </w:rPr>
        <w:t>.</w:t>
      </w:r>
      <w:r w:rsidRPr="00D27255">
        <w:rPr>
          <w:b/>
          <w:sz w:val="28"/>
          <w:szCs w:val="28"/>
        </w:rPr>
        <w:t xml:space="preserve"> Ārvalstu </w:t>
      </w:r>
      <w:r w:rsidR="002355B2" w:rsidRPr="00D27255">
        <w:rPr>
          <w:b/>
          <w:sz w:val="28"/>
          <w:szCs w:val="28"/>
        </w:rPr>
        <w:t>prakse</w:t>
      </w:r>
    </w:p>
    <w:p w14:paraId="55D05C36" w14:textId="34130154" w:rsidR="002355B2" w:rsidRPr="00D27255" w:rsidRDefault="002355B2" w:rsidP="00E51353">
      <w:pPr>
        <w:ind w:firstLine="720"/>
        <w:jc w:val="both"/>
        <w:rPr>
          <w:sz w:val="28"/>
          <w:szCs w:val="28"/>
        </w:rPr>
      </w:pPr>
      <w:r w:rsidRPr="00D27255">
        <w:rPr>
          <w:sz w:val="28"/>
          <w:szCs w:val="28"/>
        </w:rPr>
        <w:t>Pasaules Banka secinājusi, ka 101 no 190 pētītajām ekonomikām darbojas specializēt</w:t>
      </w:r>
      <w:r w:rsidR="00ED55B2" w:rsidRPr="00D27255">
        <w:rPr>
          <w:sz w:val="28"/>
          <w:szCs w:val="28"/>
        </w:rPr>
        <w:t>a</w:t>
      </w:r>
      <w:r w:rsidRPr="00D27255">
        <w:rPr>
          <w:sz w:val="28"/>
          <w:szCs w:val="28"/>
        </w:rPr>
        <w:t xml:space="preserve">s </w:t>
      </w:r>
      <w:proofErr w:type="spellStart"/>
      <w:r w:rsidRPr="00D27255">
        <w:rPr>
          <w:sz w:val="28"/>
          <w:szCs w:val="28"/>
        </w:rPr>
        <w:t>komerctiesas</w:t>
      </w:r>
      <w:proofErr w:type="spellEnd"/>
      <w:r w:rsidRPr="00D27255">
        <w:rPr>
          <w:sz w:val="28"/>
          <w:szCs w:val="28"/>
        </w:rPr>
        <w:t xml:space="preserve">, kuras dažādu </w:t>
      </w:r>
      <w:proofErr w:type="spellStart"/>
      <w:r w:rsidRPr="00D27255">
        <w:rPr>
          <w:sz w:val="28"/>
          <w:szCs w:val="28"/>
        </w:rPr>
        <w:t>komercstrīdu</w:t>
      </w:r>
      <w:proofErr w:type="spellEnd"/>
      <w:r w:rsidRPr="00D27255">
        <w:rPr>
          <w:sz w:val="28"/>
          <w:szCs w:val="28"/>
        </w:rPr>
        <w:t xml:space="preserve"> izskatīšanas termiņu vidēji saīsina par 92 dienām salīdzinājumā ar parastajām tiesām</w:t>
      </w:r>
      <w:r w:rsidRPr="00D27255">
        <w:rPr>
          <w:rStyle w:val="FootnoteReference"/>
          <w:sz w:val="28"/>
          <w:szCs w:val="28"/>
        </w:rPr>
        <w:footnoteReference w:id="12"/>
      </w:r>
      <w:r w:rsidRPr="00D27255">
        <w:rPr>
          <w:sz w:val="28"/>
          <w:szCs w:val="28"/>
        </w:rPr>
        <w:t xml:space="preserve">. </w:t>
      </w:r>
    </w:p>
    <w:p w14:paraId="356E671F" w14:textId="712E5D1E" w:rsidR="002355B2" w:rsidRPr="00D27255" w:rsidRDefault="002355B2" w:rsidP="002355B2">
      <w:pPr>
        <w:ind w:firstLine="720"/>
        <w:jc w:val="both"/>
        <w:rPr>
          <w:sz w:val="28"/>
          <w:szCs w:val="28"/>
        </w:rPr>
      </w:pPr>
      <w:r w:rsidRPr="00D27255">
        <w:rPr>
          <w:sz w:val="28"/>
          <w:szCs w:val="28"/>
        </w:rPr>
        <w:lastRenderedPageBreak/>
        <w:t xml:space="preserve">Papildus norādāms, ka Eiropas Parlamenta pasūtītā pētījumā secināts, ka Eiropas Savienībai būtu jācenšas izveidot </w:t>
      </w:r>
      <w:r w:rsidR="0091422A" w:rsidRPr="00D27255">
        <w:rPr>
          <w:sz w:val="28"/>
          <w:szCs w:val="28"/>
        </w:rPr>
        <w:t>"</w:t>
      </w:r>
      <w:r w:rsidRPr="00D27255">
        <w:rPr>
          <w:sz w:val="28"/>
          <w:szCs w:val="28"/>
        </w:rPr>
        <w:t xml:space="preserve">Eiropas </w:t>
      </w:r>
      <w:proofErr w:type="spellStart"/>
      <w:r w:rsidRPr="00D27255">
        <w:rPr>
          <w:sz w:val="28"/>
          <w:szCs w:val="28"/>
        </w:rPr>
        <w:t>Komerctiesu</w:t>
      </w:r>
      <w:proofErr w:type="spellEnd"/>
      <w:r w:rsidR="0091422A" w:rsidRPr="00D27255">
        <w:rPr>
          <w:sz w:val="28"/>
          <w:szCs w:val="28"/>
        </w:rPr>
        <w:t>"</w:t>
      </w:r>
      <w:r w:rsidRPr="00D27255">
        <w:rPr>
          <w:sz w:val="28"/>
          <w:szCs w:val="28"/>
        </w:rPr>
        <w:t xml:space="preserve"> Eiropas Savienības līmenī, lai nodrošinātu komerciālās puses ar alternatīvu gan dalībvalstu tiesām, gan starptautiskajām komercšķīrējtiesām. Šis ieteikums atspoguļo globālo konkurenci, kas pēdējo gadu laikā radusies starptautisko strīdu atrisināšanai. Vairākas valstis visā pasaulē ir uzsākušas iniciatīvas, lai izvirzītu sevi kā jaunu centru starptautisku </w:t>
      </w:r>
      <w:proofErr w:type="spellStart"/>
      <w:r w:rsidRPr="00D27255">
        <w:rPr>
          <w:sz w:val="28"/>
          <w:szCs w:val="28"/>
        </w:rPr>
        <w:t>komercstrīdu</w:t>
      </w:r>
      <w:proofErr w:type="spellEnd"/>
      <w:r w:rsidRPr="00D27255">
        <w:rPr>
          <w:sz w:val="28"/>
          <w:szCs w:val="28"/>
        </w:rPr>
        <w:t xml:space="preserve"> atrisināšanai, izveidojot specializētas angļu valodā runājošas tiesas ar īpašiem, elastīgākiem procesuāliem noteikumiem.</w:t>
      </w:r>
      <w:r w:rsidRPr="00D27255">
        <w:rPr>
          <w:rStyle w:val="FootnoteReference"/>
          <w:sz w:val="28"/>
          <w:szCs w:val="28"/>
        </w:rPr>
        <w:footnoteReference w:id="13"/>
      </w:r>
      <w:r w:rsidRPr="00D27255">
        <w:rPr>
          <w:sz w:val="28"/>
          <w:szCs w:val="28"/>
        </w:rPr>
        <w:t xml:space="preserve"> Piemēram, Nīderlandes </w:t>
      </w:r>
      <w:proofErr w:type="spellStart"/>
      <w:r w:rsidRPr="00D27255">
        <w:rPr>
          <w:sz w:val="28"/>
          <w:szCs w:val="28"/>
        </w:rPr>
        <w:t>Komerctiesa</w:t>
      </w:r>
      <w:proofErr w:type="spellEnd"/>
      <w:r w:rsidRPr="00D27255">
        <w:rPr>
          <w:sz w:val="28"/>
          <w:szCs w:val="28"/>
        </w:rPr>
        <w:t xml:space="preserve"> (specializējas sarežģītu (starptautisku) komerclietu izskatīšanā), izveidota šī gada janvārī</w:t>
      </w:r>
      <w:r w:rsidRPr="00D27255">
        <w:rPr>
          <w:rStyle w:val="FootnoteReference"/>
          <w:sz w:val="28"/>
          <w:szCs w:val="28"/>
        </w:rPr>
        <w:footnoteReference w:id="14"/>
      </w:r>
      <w:r w:rsidRPr="00D27255">
        <w:rPr>
          <w:sz w:val="28"/>
          <w:szCs w:val="28"/>
        </w:rPr>
        <w:t xml:space="preserve">. Starptautiskās tirdzniecības straujā izaugsme ir izraisījusi atbilstošu starpvalstu </w:t>
      </w:r>
      <w:proofErr w:type="spellStart"/>
      <w:r w:rsidRPr="00D27255">
        <w:rPr>
          <w:sz w:val="28"/>
          <w:szCs w:val="28"/>
        </w:rPr>
        <w:t>komercstrīdu</w:t>
      </w:r>
      <w:proofErr w:type="spellEnd"/>
      <w:r w:rsidRPr="00D27255">
        <w:rPr>
          <w:sz w:val="28"/>
          <w:szCs w:val="28"/>
        </w:rPr>
        <w:t xml:space="preserve"> skaita pieaugumu, taču primāri attīstot </w:t>
      </w:r>
      <w:proofErr w:type="spellStart"/>
      <w:r w:rsidRPr="00D27255">
        <w:rPr>
          <w:sz w:val="28"/>
          <w:szCs w:val="28"/>
        </w:rPr>
        <w:t>komercstrīdu</w:t>
      </w:r>
      <w:proofErr w:type="spellEnd"/>
      <w:r w:rsidRPr="00D27255">
        <w:rPr>
          <w:sz w:val="28"/>
          <w:szCs w:val="28"/>
        </w:rPr>
        <w:t xml:space="preserve"> atsevišķu izskatīšanu ir jākoncentrējas uz strīdu izskatīšanu iekšējā jurisdikcijā. </w:t>
      </w:r>
    </w:p>
    <w:p w14:paraId="5F0FB271" w14:textId="1824C619" w:rsidR="00E51353" w:rsidRPr="00D27255" w:rsidRDefault="00E51353" w:rsidP="00E51353">
      <w:pPr>
        <w:ind w:firstLine="720"/>
        <w:jc w:val="both"/>
        <w:rPr>
          <w:sz w:val="28"/>
          <w:szCs w:val="28"/>
        </w:rPr>
      </w:pPr>
      <w:r w:rsidRPr="00D27255">
        <w:rPr>
          <w:sz w:val="28"/>
          <w:szCs w:val="28"/>
        </w:rPr>
        <w:t>Vairumā Eiropas Savienības dalībvalstu ir viena vai vairākas specializētas tiesas, kurām ir ekskluzīva jurisdikcija konkrētos jautājumos</w:t>
      </w:r>
      <w:r w:rsidRPr="00D27255">
        <w:rPr>
          <w:sz w:val="28"/>
          <w:szCs w:val="28"/>
          <w:vertAlign w:val="superscript"/>
        </w:rPr>
        <w:footnoteReference w:id="15"/>
      </w:r>
      <w:r w:rsidRPr="00D27255">
        <w:rPr>
          <w:sz w:val="28"/>
          <w:szCs w:val="28"/>
        </w:rPr>
        <w:t>:</w:t>
      </w:r>
    </w:p>
    <w:p w14:paraId="6A0B53E0" w14:textId="38FBE6DF" w:rsidR="00E51353" w:rsidRPr="00D27255" w:rsidRDefault="00E51353" w:rsidP="00E51353">
      <w:pPr>
        <w:ind w:firstLine="720"/>
        <w:jc w:val="both"/>
        <w:rPr>
          <w:sz w:val="28"/>
          <w:szCs w:val="28"/>
        </w:rPr>
      </w:pPr>
      <w:r w:rsidRPr="00D27255">
        <w:rPr>
          <w:sz w:val="28"/>
          <w:szCs w:val="28"/>
        </w:rPr>
        <w:t xml:space="preserve">Lai arī </w:t>
      </w:r>
      <w:r w:rsidRPr="00D27255">
        <w:rPr>
          <w:b/>
          <w:sz w:val="28"/>
          <w:szCs w:val="28"/>
        </w:rPr>
        <w:t xml:space="preserve">Austrijā </w:t>
      </w:r>
      <w:r w:rsidRPr="00D27255">
        <w:rPr>
          <w:sz w:val="28"/>
          <w:szCs w:val="28"/>
        </w:rPr>
        <w:t>pamatā darbojas princips, ka visas tiesas skata dažāda veida lietas, lielākajās Austrijas pilsētās (Vīnē un Grācā) ir arī specializētas tiesas. Vīnē pastāv piecas specializētas tiesas, kas skata civillietas, krimināllietas, nodarbinātības un sociālās labklājības lietas, un divas no tām skata komerctiesību jautājumus. Ar komerctiesību jautājumiem galvenokārt saprot tādas civillietas, kurās viena no pusēm ir komersants (ar atsevišķiem izņēmumiem). Kopā ar profesionāliem tiesnešiem pirmajā un otrajā instancē piedalās arī piesēdētājs, kurš pārstāv komersantus.</w:t>
      </w:r>
    </w:p>
    <w:p w14:paraId="4F9DA64B" w14:textId="0192BF03" w:rsidR="00E51353" w:rsidRPr="00D27255" w:rsidRDefault="00E51353" w:rsidP="00E51353">
      <w:pPr>
        <w:ind w:firstLine="720"/>
        <w:jc w:val="both"/>
        <w:rPr>
          <w:sz w:val="28"/>
          <w:szCs w:val="28"/>
        </w:rPr>
      </w:pPr>
      <w:r w:rsidRPr="00D27255">
        <w:rPr>
          <w:b/>
          <w:sz w:val="28"/>
          <w:szCs w:val="28"/>
        </w:rPr>
        <w:t xml:space="preserve">Beļģijā </w:t>
      </w:r>
      <w:r w:rsidRPr="00D27255">
        <w:rPr>
          <w:sz w:val="28"/>
          <w:szCs w:val="28"/>
        </w:rPr>
        <w:t xml:space="preserve">pastāv </w:t>
      </w:r>
      <w:proofErr w:type="spellStart"/>
      <w:r w:rsidRPr="00D27255">
        <w:rPr>
          <w:sz w:val="28"/>
          <w:szCs w:val="28"/>
        </w:rPr>
        <w:t>Komerctiesa</w:t>
      </w:r>
      <w:proofErr w:type="spellEnd"/>
      <w:r w:rsidRPr="00D27255">
        <w:rPr>
          <w:sz w:val="28"/>
          <w:szCs w:val="28"/>
        </w:rPr>
        <w:t xml:space="preserve">, kas pirmajā instancē izskata strīdus starp komersantiem saistībā ar darbībām, kuras atbilstoši tiesību aktiem uzskatāmas par komercdarbību un kas neietilpst </w:t>
      </w:r>
      <w:r w:rsidR="00423300" w:rsidRPr="00D27255">
        <w:rPr>
          <w:sz w:val="28"/>
          <w:szCs w:val="28"/>
        </w:rPr>
        <w:t>citu tiesu</w:t>
      </w:r>
      <w:r w:rsidRPr="00D27255">
        <w:rPr>
          <w:sz w:val="28"/>
          <w:szCs w:val="28"/>
        </w:rPr>
        <w:t xml:space="preserve"> kompetencē. Persona, kas nav komersants un kas uzsāk tiesvedību pret komersantu, var izvēlēties iesniegt lietu </w:t>
      </w:r>
      <w:proofErr w:type="spellStart"/>
      <w:r w:rsidRPr="00D27255">
        <w:rPr>
          <w:sz w:val="28"/>
          <w:szCs w:val="28"/>
        </w:rPr>
        <w:t>komerctiesā</w:t>
      </w:r>
      <w:proofErr w:type="spellEnd"/>
      <w:r w:rsidRPr="00D27255">
        <w:rPr>
          <w:sz w:val="28"/>
          <w:szCs w:val="28"/>
        </w:rPr>
        <w:t xml:space="preserve">, savukārt komersants nevar uzsākt tiesvedību </w:t>
      </w:r>
      <w:proofErr w:type="spellStart"/>
      <w:r w:rsidRPr="00D27255">
        <w:rPr>
          <w:sz w:val="28"/>
          <w:szCs w:val="28"/>
        </w:rPr>
        <w:t>komerctiesā</w:t>
      </w:r>
      <w:proofErr w:type="spellEnd"/>
      <w:r w:rsidRPr="00D27255">
        <w:rPr>
          <w:sz w:val="28"/>
          <w:szCs w:val="28"/>
        </w:rPr>
        <w:t xml:space="preserve"> pret personu, kas nav komersants. </w:t>
      </w:r>
      <w:proofErr w:type="spellStart"/>
      <w:r w:rsidRPr="00D27255">
        <w:rPr>
          <w:sz w:val="28"/>
          <w:szCs w:val="28"/>
        </w:rPr>
        <w:t>Komerctiesa</w:t>
      </w:r>
      <w:proofErr w:type="spellEnd"/>
      <w:r w:rsidRPr="00D27255">
        <w:rPr>
          <w:sz w:val="28"/>
          <w:szCs w:val="28"/>
        </w:rPr>
        <w:t xml:space="preserve"> izskata arī strīdus, kas attiecas uz vekseļiem un parādzīmēm, ja prasības summa pārsniedz 2500</w:t>
      </w:r>
      <w:r w:rsidR="00A53166" w:rsidRPr="00D27255">
        <w:rPr>
          <w:sz w:val="28"/>
          <w:szCs w:val="28"/>
        </w:rPr>
        <w:t> </w:t>
      </w:r>
      <w:proofErr w:type="spellStart"/>
      <w:r w:rsidR="00A53166" w:rsidRPr="00D27255">
        <w:rPr>
          <w:i/>
          <w:sz w:val="28"/>
          <w:szCs w:val="28"/>
        </w:rPr>
        <w:t>euro</w:t>
      </w:r>
      <w:proofErr w:type="spellEnd"/>
      <w:r w:rsidRPr="00D27255">
        <w:rPr>
          <w:sz w:val="28"/>
          <w:szCs w:val="28"/>
        </w:rPr>
        <w:t>.</w:t>
      </w:r>
    </w:p>
    <w:p w14:paraId="6E0176FE" w14:textId="7D360E4F" w:rsidR="00E51353" w:rsidRPr="00D27255" w:rsidRDefault="00E51353" w:rsidP="00E51353">
      <w:pPr>
        <w:ind w:firstLine="720"/>
        <w:jc w:val="both"/>
        <w:rPr>
          <w:sz w:val="28"/>
          <w:szCs w:val="28"/>
        </w:rPr>
      </w:pPr>
      <w:proofErr w:type="spellStart"/>
      <w:r w:rsidRPr="00D27255">
        <w:rPr>
          <w:sz w:val="28"/>
          <w:szCs w:val="28"/>
        </w:rPr>
        <w:t>Komerctiesai</w:t>
      </w:r>
      <w:proofErr w:type="spellEnd"/>
      <w:r w:rsidRPr="00D27255">
        <w:rPr>
          <w:sz w:val="28"/>
          <w:szCs w:val="28"/>
        </w:rPr>
        <w:t xml:space="preserve"> ir arī vairākas īpašas un ekskluzīvas kompetences, kas cita starpā aptver strīdus saistībā ar tirdzniecības uzņēmumiem, kā arī prasības saistībā ar kuģniecību un iekšējiem kuģu pārvadājumiem. </w:t>
      </w:r>
      <w:proofErr w:type="spellStart"/>
      <w:r w:rsidRPr="00D27255">
        <w:rPr>
          <w:sz w:val="28"/>
          <w:szCs w:val="28"/>
        </w:rPr>
        <w:t>Komerctiesas</w:t>
      </w:r>
      <w:proofErr w:type="spellEnd"/>
      <w:r w:rsidRPr="00D27255">
        <w:rPr>
          <w:sz w:val="28"/>
          <w:szCs w:val="28"/>
        </w:rPr>
        <w:t xml:space="preserve"> ekskluzīvā jurisdikcija aptver arī prasības un strīdus, kas tieši izriet no bankrota procedūras un tiesas sanācijas procesa. </w:t>
      </w:r>
    </w:p>
    <w:p w14:paraId="09B50518" w14:textId="7D66379A" w:rsidR="00E51353" w:rsidRPr="00D27255" w:rsidRDefault="00E51353" w:rsidP="00E51353">
      <w:pPr>
        <w:ind w:firstLine="720"/>
        <w:jc w:val="both"/>
        <w:rPr>
          <w:sz w:val="28"/>
          <w:szCs w:val="28"/>
        </w:rPr>
      </w:pPr>
      <w:r w:rsidRPr="00D27255">
        <w:rPr>
          <w:b/>
          <w:sz w:val="28"/>
          <w:szCs w:val="28"/>
        </w:rPr>
        <w:t>Dānijā</w:t>
      </w:r>
      <w:r w:rsidRPr="00D27255">
        <w:rPr>
          <w:sz w:val="28"/>
          <w:szCs w:val="28"/>
        </w:rPr>
        <w:t xml:space="preserve"> ir vairākas specializētās tiesas, piemēram, Jūras tiesību tiesa un </w:t>
      </w:r>
      <w:proofErr w:type="spellStart"/>
      <w:r w:rsidRPr="00D27255">
        <w:rPr>
          <w:sz w:val="28"/>
          <w:szCs w:val="28"/>
        </w:rPr>
        <w:t>komerctiesa</w:t>
      </w:r>
      <w:proofErr w:type="spellEnd"/>
      <w:r w:rsidRPr="00D27255">
        <w:rPr>
          <w:sz w:val="28"/>
          <w:szCs w:val="28"/>
        </w:rPr>
        <w:t xml:space="preserve"> (</w:t>
      </w:r>
      <w:proofErr w:type="spellStart"/>
      <w:r w:rsidRPr="00D27255">
        <w:rPr>
          <w:i/>
          <w:sz w:val="28"/>
          <w:szCs w:val="28"/>
        </w:rPr>
        <w:t>Sø-og</w:t>
      </w:r>
      <w:proofErr w:type="spellEnd"/>
      <w:r w:rsidRPr="00D27255">
        <w:rPr>
          <w:i/>
          <w:sz w:val="28"/>
          <w:szCs w:val="28"/>
        </w:rPr>
        <w:t xml:space="preserve"> </w:t>
      </w:r>
      <w:proofErr w:type="spellStart"/>
      <w:r w:rsidRPr="00D27255">
        <w:rPr>
          <w:i/>
          <w:sz w:val="28"/>
          <w:szCs w:val="28"/>
        </w:rPr>
        <w:t>Handelsretten</w:t>
      </w:r>
      <w:proofErr w:type="spellEnd"/>
      <w:r w:rsidRPr="00D27255">
        <w:rPr>
          <w:sz w:val="28"/>
          <w:szCs w:val="28"/>
        </w:rPr>
        <w:t xml:space="preserve">), kas izskata ar jūras tiesībām un </w:t>
      </w:r>
      <w:r w:rsidRPr="00D27255">
        <w:rPr>
          <w:sz w:val="28"/>
          <w:szCs w:val="28"/>
        </w:rPr>
        <w:lastRenderedPageBreak/>
        <w:t>komerctiesībām saistītus strīdus jau kopš 1862</w:t>
      </w:r>
      <w:r w:rsidR="008126C3" w:rsidRPr="00D27255">
        <w:rPr>
          <w:sz w:val="28"/>
          <w:szCs w:val="28"/>
        </w:rPr>
        <w:t>. </w:t>
      </w:r>
      <w:r w:rsidRPr="00D27255">
        <w:rPr>
          <w:sz w:val="28"/>
          <w:szCs w:val="28"/>
        </w:rPr>
        <w:t>gada. Tiesas kompetence ir vairākkārt paplašināta, un pašlaik tiesa skata strīdus, kas izriet no Dānijas Preču zīmju likuma, Dizaina likuma, Mārketinga likuma, Konkurences likuma, starptautiskajiem tirdzniecības noteikumiem un citiem komerctiesību jautājumiem. Minētajai tiesai ir arī atsevišķa struktūrvienība, kas izskata bankrota, maksājumu apturēšanas jautājumus, obligātu parāda norēķinu lietas un parāda atmaksas grafika pārskatīšanas lietas. Tāpat Dānijā 2007.</w:t>
      </w:r>
      <w:r w:rsidR="00362034" w:rsidRPr="00D27255">
        <w:rPr>
          <w:sz w:val="28"/>
          <w:szCs w:val="28"/>
        </w:rPr>
        <w:t> </w:t>
      </w:r>
      <w:r w:rsidRPr="00D27255">
        <w:rPr>
          <w:sz w:val="28"/>
          <w:szCs w:val="28"/>
        </w:rPr>
        <w:t>gadā ir nodibināta atsevišķa Zemes reģistrācijas tiesa (</w:t>
      </w:r>
      <w:proofErr w:type="spellStart"/>
      <w:r w:rsidRPr="00D27255">
        <w:rPr>
          <w:i/>
          <w:sz w:val="28"/>
          <w:szCs w:val="28"/>
        </w:rPr>
        <w:t>Tinglysningsretten</w:t>
      </w:r>
      <w:proofErr w:type="spellEnd"/>
      <w:r w:rsidRPr="00D27255">
        <w:rPr>
          <w:sz w:val="28"/>
          <w:szCs w:val="28"/>
        </w:rPr>
        <w:t>), kura gan veic reģistra funkcijas (nekustamā īpašuma īpašnieku reģistrācija, hipotēku un citu nodrošinājumu reģistrācija, u.c.), gan skata no reģistrācijas izrietošus strīdus.</w:t>
      </w:r>
    </w:p>
    <w:p w14:paraId="0091255E" w14:textId="52F608F8" w:rsidR="00E51353" w:rsidRPr="00D27255" w:rsidRDefault="00E51353" w:rsidP="00E51353">
      <w:pPr>
        <w:ind w:firstLine="720"/>
        <w:jc w:val="both"/>
        <w:rPr>
          <w:sz w:val="28"/>
          <w:szCs w:val="28"/>
        </w:rPr>
      </w:pPr>
      <w:r w:rsidRPr="00D27255">
        <w:rPr>
          <w:b/>
          <w:sz w:val="28"/>
          <w:szCs w:val="28"/>
        </w:rPr>
        <w:t>Francijā</w:t>
      </w:r>
      <w:r w:rsidRPr="00D27255">
        <w:rPr>
          <w:sz w:val="28"/>
          <w:szCs w:val="28"/>
        </w:rPr>
        <w:t xml:space="preserve"> </w:t>
      </w:r>
      <w:proofErr w:type="spellStart"/>
      <w:r w:rsidRPr="00D27255">
        <w:rPr>
          <w:sz w:val="28"/>
          <w:szCs w:val="28"/>
        </w:rPr>
        <w:t>Komerctiesas</w:t>
      </w:r>
      <w:proofErr w:type="spellEnd"/>
      <w:r w:rsidRPr="00D27255">
        <w:rPr>
          <w:sz w:val="28"/>
          <w:szCs w:val="28"/>
        </w:rPr>
        <w:t xml:space="preserve"> tika izveidotas pirms vairāk nekā 400 gadiem, kad bija nepieciešams pieņemt taisnīgus un ātrus spriedumus tirdzniecības jautājumos</w:t>
      </w:r>
      <w:r w:rsidRPr="00D27255">
        <w:rPr>
          <w:rStyle w:val="FootnoteReference"/>
          <w:sz w:val="28"/>
          <w:szCs w:val="28"/>
        </w:rPr>
        <w:footnoteReference w:id="16"/>
      </w:r>
      <w:r w:rsidRPr="00D27255">
        <w:rPr>
          <w:sz w:val="28"/>
          <w:szCs w:val="28"/>
        </w:rPr>
        <w:t xml:space="preserve">. </w:t>
      </w:r>
      <w:proofErr w:type="spellStart"/>
      <w:r w:rsidRPr="00D27255">
        <w:rPr>
          <w:sz w:val="28"/>
          <w:szCs w:val="28"/>
        </w:rPr>
        <w:t>Komerctiesas</w:t>
      </w:r>
      <w:proofErr w:type="spellEnd"/>
      <w:r w:rsidRPr="00D27255">
        <w:rPr>
          <w:sz w:val="28"/>
          <w:szCs w:val="28"/>
        </w:rPr>
        <w:t xml:space="preserve"> vada neprofesionāli tiesneši, kas ievēlēti no komercsabiedrības locekļiem (pensionēti vai aktīvi vietējie konsultanti, nozares profesionāļi, finanšu, konsultāciju nozares u.tml.). 2017</w:t>
      </w:r>
      <w:r w:rsidR="008126C3" w:rsidRPr="00D27255">
        <w:rPr>
          <w:sz w:val="28"/>
          <w:szCs w:val="28"/>
        </w:rPr>
        <w:t>. </w:t>
      </w:r>
      <w:r w:rsidRPr="00D27255">
        <w:rPr>
          <w:sz w:val="28"/>
          <w:szCs w:val="28"/>
        </w:rPr>
        <w:t xml:space="preserve">gadā bija 134 </w:t>
      </w:r>
      <w:proofErr w:type="spellStart"/>
      <w:r w:rsidRPr="00D27255">
        <w:rPr>
          <w:sz w:val="28"/>
          <w:szCs w:val="28"/>
        </w:rPr>
        <w:t>Komerctiesas</w:t>
      </w:r>
      <w:proofErr w:type="spellEnd"/>
      <w:r w:rsidRPr="00D27255">
        <w:rPr>
          <w:sz w:val="28"/>
          <w:szCs w:val="28"/>
        </w:rPr>
        <w:t xml:space="preserve"> (kasācijas instancē</w:t>
      </w:r>
      <w:r w:rsidR="00362034" w:rsidRPr="00D27255">
        <w:rPr>
          <w:sz w:val="28"/>
          <w:szCs w:val="28"/>
        </w:rPr>
        <w:t> </w:t>
      </w:r>
      <w:r w:rsidR="00362034" w:rsidRPr="00D27255">
        <w:rPr>
          <w:sz w:val="28"/>
          <w:szCs w:val="28"/>
        </w:rPr>
        <w:softHyphen/>
        <w:t xml:space="preserve"> </w:t>
      </w:r>
      <w:r w:rsidRPr="00D27255">
        <w:rPr>
          <w:sz w:val="28"/>
          <w:szCs w:val="28"/>
        </w:rPr>
        <w:t>atsevišķa nodaļa/departaments komerclietām)</w:t>
      </w:r>
      <w:r w:rsidRPr="00D27255">
        <w:rPr>
          <w:rStyle w:val="FootnoteReference"/>
          <w:sz w:val="28"/>
          <w:szCs w:val="28"/>
        </w:rPr>
        <w:footnoteReference w:id="17"/>
      </w:r>
      <w:r w:rsidRPr="00D27255">
        <w:rPr>
          <w:sz w:val="28"/>
          <w:szCs w:val="28"/>
        </w:rPr>
        <w:t xml:space="preserve">, tās iztiesā strīdus, kas radušies komersantu starpā, starp kredītiestādēm vai starp komersantiem un kredītiestādēm, un strīdus saistībā ar komercsabiedrībām vai saistībā ar jebkuras personas komercdarbību. Tāpat tā izskata lietas saistībā </w:t>
      </w:r>
      <w:r w:rsidR="00ED55B2" w:rsidRPr="00D27255">
        <w:rPr>
          <w:sz w:val="28"/>
          <w:szCs w:val="28"/>
        </w:rPr>
        <w:t xml:space="preserve">ar </w:t>
      </w:r>
      <w:r w:rsidRPr="00D27255">
        <w:rPr>
          <w:sz w:val="28"/>
          <w:szCs w:val="28"/>
        </w:rPr>
        <w:t>grūtībās nonākuš</w:t>
      </w:r>
      <w:r w:rsidR="00ED55B2" w:rsidRPr="00D27255">
        <w:rPr>
          <w:sz w:val="28"/>
          <w:szCs w:val="28"/>
        </w:rPr>
        <w:t>aj</w:t>
      </w:r>
      <w:r w:rsidRPr="00D27255">
        <w:rPr>
          <w:sz w:val="28"/>
          <w:szCs w:val="28"/>
        </w:rPr>
        <w:t xml:space="preserve">iem uzņēmumiem. </w:t>
      </w:r>
    </w:p>
    <w:p w14:paraId="5B532ABD" w14:textId="14E995DB" w:rsidR="00E51353" w:rsidRPr="00D27255" w:rsidRDefault="00E51353" w:rsidP="00E51353">
      <w:pPr>
        <w:ind w:firstLine="720"/>
        <w:jc w:val="both"/>
        <w:rPr>
          <w:b/>
          <w:sz w:val="28"/>
          <w:szCs w:val="28"/>
        </w:rPr>
      </w:pPr>
      <w:r w:rsidRPr="00D27255">
        <w:rPr>
          <w:b/>
          <w:sz w:val="28"/>
          <w:szCs w:val="28"/>
        </w:rPr>
        <w:t xml:space="preserve">Horvātijā </w:t>
      </w:r>
      <w:proofErr w:type="spellStart"/>
      <w:r w:rsidRPr="00D27255">
        <w:rPr>
          <w:sz w:val="28"/>
          <w:szCs w:val="28"/>
        </w:rPr>
        <w:t>Komerctiesas</w:t>
      </w:r>
      <w:proofErr w:type="spellEnd"/>
      <w:r w:rsidRPr="00D27255">
        <w:rPr>
          <w:sz w:val="28"/>
          <w:szCs w:val="28"/>
        </w:rPr>
        <w:t xml:space="preserve"> ir hierarhiskas un tiek organizētas divās instancēs. Pirmajā instancē ir 7 </w:t>
      </w:r>
      <w:proofErr w:type="spellStart"/>
      <w:r w:rsidRPr="00D27255">
        <w:rPr>
          <w:sz w:val="28"/>
          <w:szCs w:val="28"/>
        </w:rPr>
        <w:t>komerctiesas</w:t>
      </w:r>
      <w:proofErr w:type="spellEnd"/>
      <w:r w:rsidRPr="00D27255">
        <w:rPr>
          <w:sz w:val="28"/>
          <w:szCs w:val="28"/>
        </w:rPr>
        <w:t xml:space="preserve">. </w:t>
      </w:r>
      <w:proofErr w:type="spellStart"/>
      <w:r w:rsidRPr="00D27255">
        <w:rPr>
          <w:sz w:val="28"/>
          <w:szCs w:val="28"/>
        </w:rPr>
        <w:t>Komerctiesas</w:t>
      </w:r>
      <w:proofErr w:type="spellEnd"/>
      <w:r w:rsidRPr="00D27255">
        <w:rPr>
          <w:sz w:val="28"/>
          <w:szCs w:val="28"/>
        </w:rPr>
        <w:t xml:space="preserve"> ir kompetentas strīdos starp juridiskām personām, bankrota procedūrās, strīdos par jūras un gaisa tiesībām, uzņēmumu statusā, negodīgā tirgū, </w:t>
      </w:r>
      <w:proofErr w:type="spellStart"/>
      <w:r w:rsidRPr="00D27255">
        <w:rPr>
          <w:sz w:val="28"/>
          <w:szCs w:val="28"/>
        </w:rPr>
        <w:t>monopollīgumos</w:t>
      </w:r>
      <w:proofErr w:type="spellEnd"/>
      <w:r w:rsidRPr="00D27255">
        <w:rPr>
          <w:sz w:val="28"/>
          <w:szCs w:val="28"/>
        </w:rPr>
        <w:t xml:space="preserve"> un citās darbībās, kas paredzētas tiesību aktos.</w:t>
      </w:r>
      <w:r w:rsidRPr="00D27255">
        <w:rPr>
          <w:rStyle w:val="FootnoteReference"/>
          <w:sz w:val="28"/>
          <w:szCs w:val="28"/>
        </w:rPr>
        <w:footnoteReference w:id="18"/>
      </w:r>
      <w:r w:rsidRPr="00D27255">
        <w:rPr>
          <w:sz w:val="28"/>
          <w:szCs w:val="28"/>
        </w:rPr>
        <w:t xml:space="preserve"> </w:t>
      </w:r>
      <w:proofErr w:type="spellStart"/>
      <w:r w:rsidRPr="00D27255">
        <w:rPr>
          <w:sz w:val="28"/>
          <w:szCs w:val="28"/>
        </w:rPr>
        <w:t>Komerctiesas</w:t>
      </w:r>
      <w:proofErr w:type="spellEnd"/>
      <w:r w:rsidRPr="00D27255">
        <w:rPr>
          <w:sz w:val="28"/>
          <w:szCs w:val="28"/>
        </w:rPr>
        <w:t xml:space="preserve"> veic procedūras saistībā ar ārvalstu tiesu nolēmumu atzīšanu un šķīrējtiesu nolēmumiem attiecībā uz </w:t>
      </w:r>
      <w:proofErr w:type="spellStart"/>
      <w:r w:rsidRPr="00D27255">
        <w:rPr>
          <w:sz w:val="28"/>
          <w:szCs w:val="28"/>
        </w:rPr>
        <w:t>komercstrīdiem</w:t>
      </w:r>
      <w:proofErr w:type="spellEnd"/>
      <w:r w:rsidRPr="00D27255">
        <w:rPr>
          <w:sz w:val="28"/>
          <w:szCs w:val="28"/>
        </w:rPr>
        <w:t>, izskata maksātnespējas procedūras un sniedz starptautisko tiesisko palīdzību, vācot pierādījumus komerclietās un citās prasībās.</w:t>
      </w:r>
      <w:r w:rsidRPr="00D27255">
        <w:rPr>
          <w:b/>
          <w:sz w:val="28"/>
          <w:szCs w:val="28"/>
        </w:rPr>
        <w:t xml:space="preserve"> </w:t>
      </w:r>
    </w:p>
    <w:p w14:paraId="209B7938" w14:textId="7FA89DD4" w:rsidR="00E51353" w:rsidRPr="00D27255" w:rsidRDefault="00E51353" w:rsidP="00E51353">
      <w:pPr>
        <w:ind w:firstLine="720"/>
        <w:jc w:val="both"/>
        <w:rPr>
          <w:sz w:val="28"/>
          <w:szCs w:val="28"/>
        </w:rPr>
      </w:pPr>
      <w:r w:rsidRPr="00D27255">
        <w:rPr>
          <w:b/>
          <w:sz w:val="28"/>
          <w:szCs w:val="28"/>
        </w:rPr>
        <w:t>Īrijā</w:t>
      </w:r>
      <w:r w:rsidRPr="00D27255">
        <w:rPr>
          <w:sz w:val="28"/>
          <w:szCs w:val="28"/>
        </w:rPr>
        <w:t xml:space="preserve"> ir atsevišķas tiesas maza apmēra prasību (prasības summa nepārsniedz 2000</w:t>
      </w:r>
      <w:r w:rsidR="00A53166" w:rsidRPr="00D27255">
        <w:rPr>
          <w:sz w:val="28"/>
          <w:szCs w:val="28"/>
        </w:rPr>
        <w:t> </w:t>
      </w:r>
      <w:proofErr w:type="spellStart"/>
      <w:r w:rsidRPr="00D27255">
        <w:rPr>
          <w:i/>
          <w:sz w:val="28"/>
          <w:szCs w:val="28"/>
        </w:rPr>
        <w:t>e</w:t>
      </w:r>
      <w:r w:rsidR="00A53166" w:rsidRPr="00D27255">
        <w:rPr>
          <w:i/>
          <w:sz w:val="28"/>
          <w:szCs w:val="28"/>
        </w:rPr>
        <w:t>u</w:t>
      </w:r>
      <w:r w:rsidRPr="00D27255">
        <w:rPr>
          <w:i/>
          <w:sz w:val="28"/>
          <w:szCs w:val="28"/>
        </w:rPr>
        <w:t>ro</w:t>
      </w:r>
      <w:proofErr w:type="spellEnd"/>
      <w:r w:rsidRPr="00D27255">
        <w:rPr>
          <w:sz w:val="28"/>
          <w:szCs w:val="28"/>
        </w:rPr>
        <w:t xml:space="preserve">) izskatīšanai, kā arī atsevišķa </w:t>
      </w:r>
      <w:proofErr w:type="spellStart"/>
      <w:r w:rsidRPr="00D27255">
        <w:rPr>
          <w:sz w:val="28"/>
          <w:szCs w:val="28"/>
        </w:rPr>
        <w:t>Komerctiesa</w:t>
      </w:r>
      <w:proofErr w:type="spellEnd"/>
      <w:r w:rsidRPr="00D27255">
        <w:rPr>
          <w:sz w:val="28"/>
          <w:szCs w:val="28"/>
        </w:rPr>
        <w:t xml:space="preserve"> (</w:t>
      </w:r>
      <w:proofErr w:type="spellStart"/>
      <w:r w:rsidRPr="00D27255">
        <w:rPr>
          <w:i/>
          <w:sz w:val="28"/>
          <w:szCs w:val="28"/>
        </w:rPr>
        <w:t>Commercial</w:t>
      </w:r>
      <w:proofErr w:type="spellEnd"/>
      <w:r w:rsidRPr="00D27255">
        <w:rPr>
          <w:i/>
          <w:sz w:val="28"/>
          <w:szCs w:val="28"/>
        </w:rPr>
        <w:t xml:space="preserve"> </w:t>
      </w:r>
      <w:proofErr w:type="spellStart"/>
      <w:r w:rsidRPr="00D27255">
        <w:rPr>
          <w:i/>
          <w:sz w:val="28"/>
          <w:szCs w:val="28"/>
        </w:rPr>
        <w:t>Court</w:t>
      </w:r>
      <w:proofErr w:type="spellEnd"/>
      <w:r w:rsidRPr="00D27255">
        <w:rPr>
          <w:sz w:val="28"/>
          <w:szCs w:val="28"/>
        </w:rPr>
        <w:t xml:space="preserve">). Pēc būtības konkrētā tiesa darbojas kā specializēta Augstākās tiesas struktūrvienība, kas spēj izskatīt lietas nekavējoties. Lietu nekavējoša izskatīšana tiek panākta ar speciālu procedūru palīdzību, kas paātrina to lietu virzību, kas nonāk šīs tiesas kompetencē. Minētā tiesa skata lietas, kuras saskaņā ar normatīvajiem aktiem ir klasificētas kā </w:t>
      </w:r>
      <w:r w:rsidR="00362034" w:rsidRPr="00D27255">
        <w:rPr>
          <w:sz w:val="28"/>
          <w:szCs w:val="28"/>
        </w:rPr>
        <w:t>"</w:t>
      </w:r>
      <w:r w:rsidRPr="00D27255">
        <w:rPr>
          <w:sz w:val="28"/>
          <w:szCs w:val="28"/>
        </w:rPr>
        <w:t>komerclietas</w:t>
      </w:r>
      <w:r w:rsidR="00362034" w:rsidRPr="00D27255">
        <w:rPr>
          <w:sz w:val="28"/>
          <w:szCs w:val="28"/>
        </w:rPr>
        <w:t>"</w:t>
      </w:r>
      <w:r w:rsidRPr="00D27255">
        <w:rPr>
          <w:sz w:val="28"/>
          <w:szCs w:val="28"/>
        </w:rPr>
        <w:t>, piemēram: strīdi, kas izriet no komerclikuma; strīdi, kas izriet no maksātnespējas likuma</w:t>
      </w:r>
      <w:r w:rsidR="0098654F" w:rsidRPr="00D27255">
        <w:rPr>
          <w:sz w:val="28"/>
          <w:szCs w:val="28"/>
        </w:rPr>
        <w:t xml:space="preserve"> u.c. </w:t>
      </w:r>
    </w:p>
    <w:p w14:paraId="07860F25" w14:textId="02BBBC17" w:rsidR="00E51353" w:rsidRPr="00D27255" w:rsidRDefault="00E51353" w:rsidP="00E51353">
      <w:pPr>
        <w:ind w:firstLine="720"/>
        <w:jc w:val="both"/>
        <w:rPr>
          <w:b/>
          <w:sz w:val="28"/>
          <w:szCs w:val="28"/>
        </w:rPr>
      </w:pPr>
      <w:r w:rsidRPr="00D27255">
        <w:rPr>
          <w:sz w:val="28"/>
          <w:szCs w:val="28"/>
        </w:rPr>
        <w:t xml:space="preserve">Lai prasība tiktu pieņemta skatīšanai šajā tiesā, prasības summai jābūt vismaz  vienam miljonam </w:t>
      </w:r>
      <w:proofErr w:type="spellStart"/>
      <w:r w:rsidRPr="00D27255">
        <w:rPr>
          <w:i/>
          <w:sz w:val="28"/>
          <w:szCs w:val="28"/>
        </w:rPr>
        <w:t>e</w:t>
      </w:r>
      <w:r w:rsidR="00A53166" w:rsidRPr="00D27255">
        <w:rPr>
          <w:i/>
          <w:sz w:val="28"/>
          <w:szCs w:val="28"/>
        </w:rPr>
        <w:t>u</w:t>
      </w:r>
      <w:r w:rsidRPr="00D27255">
        <w:rPr>
          <w:i/>
          <w:sz w:val="28"/>
          <w:szCs w:val="28"/>
        </w:rPr>
        <w:t>ro</w:t>
      </w:r>
      <w:proofErr w:type="spellEnd"/>
      <w:r w:rsidRPr="00D27255">
        <w:rPr>
          <w:sz w:val="28"/>
          <w:szCs w:val="28"/>
        </w:rPr>
        <w:t xml:space="preserve"> (ar atsevišķiem izņēmumiem).</w:t>
      </w:r>
      <w:r w:rsidRPr="00D27255">
        <w:rPr>
          <w:b/>
          <w:sz w:val="28"/>
          <w:szCs w:val="28"/>
        </w:rPr>
        <w:t xml:space="preserve"> </w:t>
      </w:r>
    </w:p>
    <w:p w14:paraId="3CFFC1F4" w14:textId="77777777" w:rsidR="00E51353" w:rsidRPr="00D27255" w:rsidRDefault="00E51353" w:rsidP="00E51353">
      <w:pPr>
        <w:ind w:firstLine="720"/>
        <w:jc w:val="both"/>
        <w:rPr>
          <w:sz w:val="28"/>
          <w:szCs w:val="28"/>
        </w:rPr>
      </w:pPr>
      <w:r w:rsidRPr="00D27255">
        <w:rPr>
          <w:b/>
          <w:sz w:val="28"/>
          <w:szCs w:val="28"/>
        </w:rPr>
        <w:lastRenderedPageBreak/>
        <w:t xml:space="preserve">Lielbritānijā, </w:t>
      </w:r>
      <w:r w:rsidRPr="00D27255">
        <w:rPr>
          <w:sz w:val="28"/>
          <w:szCs w:val="28"/>
        </w:rPr>
        <w:t xml:space="preserve">konkrēti, Anglijā un Velsā ir specializētas </w:t>
      </w:r>
      <w:proofErr w:type="spellStart"/>
      <w:r w:rsidRPr="00D27255">
        <w:rPr>
          <w:sz w:val="28"/>
          <w:szCs w:val="28"/>
        </w:rPr>
        <w:t>komerctiesas</w:t>
      </w:r>
      <w:proofErr w:type="spellEnd"/>
      <w:r w:rsidRPr="00D27255">
        <w:rPr>
          <w:sz w:val="28"/>
          <w:szCs w:val="28"/>
        </w:rPr>
        <w:t xml:space="preserve"> (</w:t>
      </w:r>
      <w:proofErr w:type="spellStart"/>
      <w:r w:rsidRPr="00D27255">
        <w:rPr>
          <w:i/>
          <w:sz w:val="28"/>
          <w:szCs w:val="28"/>
        </w:rPr>
        <w:t>The</w:t>
      </w:r>
      <w:proofErr w:type="spellEnd"/>
      <w:r w:rsidRPr="00D27255">
        <w:rPr>
          <w:i/>
          <w:sz w:val="28"/>
          <w:szCs w:val="28"/>
        </w:rPr>
        <w:t xml:space="preserve"> </w:t>
      </w:r>
      <w:proofErr w:type="spellStart"/>
      <w:r w:rsidRPr="00D27255">
        <w:rPr>
          <w:i/>
          <w:sz w:val="28"/>
          <w:szCs w:val="28"/>
        </w:rPr>
        <w:t>Commercial</w:t>
      </w:r>
      <w:proofErr w:type="spellEnd"/>
      <w:r w:rsidRPr="00D27255">
        <w:rPr>
          <w:i/>
          <w:sz w:val="28"/>
          <w:szCs w:val="28"/>
        </w:rPr>
        <w:t>/</w:t>
      </w:r>
      <w:proofErr w:type="spellStart"/>
      <w:r w:rsidRPr="00D27255">
        <w:rPr>
          <w:i/>
          <w:sz w:val="28"/>
          <w:szCs w:val="28"/>
        </w:rPr>
        <w:t>Mercantile</w:t>
      </w:r>
      <w:proofErr w:type="spellEnd"/>
      <w:r w:rsidRPr="00D27255">
        <w:rPr>
          <w:i/>
          <w:sz w:val="28"/>
          <w:szCs w:val="28"/>
        </w:rPr>
        <w:t xml:space="preserve"> </w:t>
      </w:r>
      <w:proofErr w:type="spellStart"/>
      <w:r w:rsidRPr="00D27255">
        <w:rPr>
          <w:i/>
          <w:sz w:val="28"/>
          <w:szCs w:val="28"/>
        </w:rPr>
        <w:t>Courts</w:t>
      </w:r>
      <w:proofErr w:type="spellEnd"/>
      <w:r w:rsidRPr="00D27255">
        <w:rPr>
          <w:sz w:val="28"/>
          <w:szCs w:val="28"/>
        </w:rPr>
        <w:t>), kuras skata komerctiesību jautājumus. Tāpat pastāv arī specializēta tehnoloģiju un būvniecības tiesa, kuras kompetencē ir attiecīgo jautājumu izlemšana.</w:t>
      </w:r>
    </w:p>
    <w:p w14:paraId="3AC07A5E" w14:textId="77777777" w:rsidR="00E51353" w:rsidRPr="00D27255" w:rsidRDefault="00E51353" w:rsidP="00E51353">
      <w:pPr>
        <w:ind w:firstLine="720"/>
        <w:jc w:val="both"/>
        <w:rPr>
          <w:sz w:val="28"/>
          <w:szCs w:val="28"/>
        </w:rPr>
      </w:pPr>
      <w:r w:rsidRPr="00D27255">
        <w:rPr>
          <w:b/>
          <w:sz w:val="28"/>
          <w:szCs w:val="28"/>
        </w:rPr>
        <w:t>Maltā</w:t>
      </w:r>
      <w:r w:rsidRPr="00D27255">
        <w:rPr>
          <w:sz w:val="28"/>
          <w:szCs w:val="28"/>
        </w:rPr>
        <w:t xml:space="preserve"> ir attīstīta specializēto tiesu sistēma. Piemēram, pirmajā instancē ir specializēta tiesa, kas uzrauga valstī strādājošos notārus un notāru arhīvus, kā arī lemj par ierakstu pareizību publiskos reģistros. Papildus izveidota speciāla apelācijas instances tiesa (tribunāls), kura skata konkurences tiesību un patērētāju tiesību strīdus.</w:t>
      </w:r>
    </w:p>
    <w:p w14:paraId="34A75895" w14:textId="01A4FC2E" w:rsidR="00E51353" w:rsidRPr="00D27255" w:rsidRDefault="00E51353" w:rsidP="00E51353">
      <w:pPr>
        <w:ind w:firstLine="720"/>
        <w:jc w:val="both"/>
        <w:rPr>
          <w:sz w:val="28"/>
          <w:szCs w:val="28"/>
        </w:rPr>
      </w:pPr>
      <w:r w:rsidRPr="00D27255">
        <w:rPr>
          <w:b/>
          <w:sz w:val="28"/>
          <w:szCs w:val="28"/>
        </w:rPr>
        <w:t xml:space="preserve">Portugālē </w:t>
      </w:r>
      <w:r w:rsidRPr="00D27255">
        <w:rPr>
          <w:sz w:val="28"/>
          <w:szCs w:val="28"/>
        </w:rPr>
        <w:t xml:space="preserve">ir izveidotas specializētas </w:t>
      </w:r>
      <w:proofErr w:type="spellStart"/>
      <w:r w:rsidRPr="00D27255">
        <w:rPr>
          <w:sz w:val="28"/>
          <w:szCs w:val="28"/>
        </w:rPr>
        <w:t>komerctiesas</w:t>
      </w:r>
      <w:proofErr w:type="spellEnd"/>
      <w:r w:rsidRPr="00D27255">
        <w:rPr>
          <w:sz w:val="28"/>
          <w:szCs w:val="28"/>
        </w:rPr>
        <w:t xml:space="preserve"> (</w:t>
      </w:r>
      <w:proofErr w:type="spellStart"/>
      <w:r w:rsidRPr="00D27255">
        <w:rPr>
          <w:i/>
          <w:sz w:val="28"/>
          <w:szCs w:val="28"/>
        </w:rPr>
        <w:t>Tribunais</w:t>
      </w:r>
      <w:proofErr w:type="spellEnd"/>
      <w:r w:rsidRPr="00D27255">
        <w:rPr>
          <w:i/>
          <w:sz w:val="28"/>
          <w:szCs w:val="28"/>
        </w:rPr>
        <w:t xml:space="preserve"> </w:t>
      </w:r>
      <w:proofErr w:type="spellStart"/>
      <w:r w:rsidRPr="00D27255">
        <w:rPr>
          <w:i/>
          <w:sz w:val="28"/>
          <w:szCs w:val="28"/>
        </w:rPr>
        <w:t>de</w:t>
      </w:r>
      <w:proofErr w:type="spellEnd"/>
      <w:r w:rsidRPr="00D27255">
        <w:rPr>
          <w:i/>
          <w:sz w:val="28"/>
          <w:szCs w:val="28"/>
        </w:rPr>
        <w:t xml:space="preserve"> </w:t>
      </w:r>
      <w:proofErr w:type="spellStart"/>
      <w:r w:rsidRPr="00D27255">
        <w:rPr>
          <w:i/>
          <w:sz w:val="28"/>
          <w:szCs w:val="28"/>
        </w:rPr>
        <w:t>Comércio</w:t>
      </w:r>
      <w:proofErr w:type="spellEnd"/>
      <w:r w:rsidRPr="00D27255">
        <w:rPr>
          <w:sz w:val="28"/>
          <w:szCs w:val="28"/>
        </w:rPr>
        <w:t>), kuru kompetencē ir šādi jautājumi: maksātnespēja, ja parādnieks ir uzņēmums, vai ar maksātnespēju saistītajā mantā ietilpst uzņēmums; lēmumi par statūtu un dibināšanas memoranda neesamību, spēkā neesamību un atcelšanu; lēmumi par uzņēmumu pieņemto lēmumu apturēšanu vai atcelšanu; prasības, kas attiecas uz rūpniecisko īpašumu, un jebkurš no gadījumiem, kas paredzēts Rūpnieciskā īpašuma kodeksā.</w:t>
      </w:r>
      <w:r w:rsidR="001C1BAA" w:rsidRPr="00D27255">
        <w:rPr>
          <w:sz w:val="28"/>
          <w:szCs w:val="28"/>
        </w:rPr>
        <w:t xml:space="preserve"> </w:t>
      </w:r>
      <w:r w:rsidRPr="00D27255">
        <w:rPr>
          <w:sz w:val="28"/>
          <w:szCs w:val="28"/>
        </w:rPr>
        <w:t xml:space="preserve">Jaunākā </w:t>
      </w:r>
      <w:proofErr w:type="spellStart"/>
      <w:r w:rsidRPr="00D27255">
        <w:rPr>
          <w:sz w:val="28"/>
          <w:szCs w:val="28"/>
        </w:rPr>
        <w:t>komerctiesa</w:t>
      </w:r>
      <w:proofErr w:type="spellEnd"/>
      <w:r w:rsidRPr="00D27255">
        <w:rPr>
          <w:sz w:val="28"/>
          <w:szCs w:val="28"/>
        </w:rPr>
        <w:t xml:space="preserve"> savu darbu uzsāks šī gada septembrī Portugāles pilsētā </w:t>
      </w:r>
      <w:proofErr w:type="spellStart"/>
      <w:r w:rsidRPr="00D27255">
        <w:rPr>
          <w:sz w:val="28"/>
          <w:szCs w:val="28"/>
        </w:rPr>
        <w:t>Lagoa</w:t>
      </w:r>
      <w:proofErr w:type="spellEnd"/>
      <w:r w:rsidRPr="00D27255">
        <w:rPr>
          <w:rStyle w:val="FootnoteReference"/>
          <w:sz w:val="28"/>
          <w:szCs w:val="28"/>
        </w:rPr>
        <w:footnoteReference w:id="19"/>
      </w:r>
      <w:r w:rsidRPr="00D27255">
        <w:rPr>
          <w:sz w:val="28"/>
          <w:szCs w:val="28"/>
        </w:rPr>
        <w:t>.</w:t>
      </w:r>
    </w:p>
    <w:p w14:paraId="12FE2585" w14:textId="77777777" w:rsidR="00E51353" w:rsidRPr="00D27255" w:rsidRDefault="00E51353" w:rsidP="00E51353">
      <w:pPr>
        <w:ind w:firstLine="720"/>
        <w:jc w:val="both"/>
        <w:rPr>
          <w:sz w:val="28"/>
          <w:szCs w:val="28"/>
        </w:rPr>
      </w:pPr>
      <w:r w:rsidRPr="00D27255">
        <w:rPr>
          <w:b/>
          <w:sz w:val="28"/>
          <w:szCs w:val="28"/>
        </w:rPr>
        <w:t>Rumānijā</w:t>
      </w:r>
      <w:r w:rsidRPr="00D27255">
        <w:rPr>
          <w:sz w:val="28"/>
          <w:szCs w:val="28"/>
        </w:rPr>
        <w:t xml:space="preserve"> pastāv trīs specializētie tribunāli (agrākie komerclietu tribunāli). Tie izskata lietas, kurās ir iesaistīti komersanti. Par komersantu uzskata ikvienu personu, kas veic komercdarbību. </w:t>
      </w:r>
    </w:p>
    <w:p w14:paraId="72D162E4" w14:textId="77777777" w:rsidR="00B30AF7" w:rsidRDefault="00E51353" w:rsidP="00E51353">
      <w:pPr>
        <w:ind w:firstLine="720"/>
        <w:jc w:val="both"/>
        <w:rPr>
          <w:sz w:val="28"/>
          <w:szCs w:val="28"/>
        </w:rPr>
      </w:pPr>
      <w:r w:rsidRPr="00D27255">
        <w:rPr>
          <w:b/>
          <w:sz w:val="28"/>
          <w:szCs w:val="28"/>
        </w:rPr>
        <w:t>Somijā</w:t>
      </w:r>
      <w:r w:rsidRPr="00D27255">
        <w:rPr>
          <w:sz w:val="28"/>
          <w:szCs w:val="28"/>
        </w:rPr>
        <w:t xml:space="preserve"> pastāv </w:t>
      </w:r>
      <w:r w:rsidR="00B30AF7">
        <w:rPr>
          <w:sz w:val="28"/>
          <w:szCs w:val="28"/>
        </w:rPr>
        <w:t xml:space="preserve">vairākas </w:t>
      </w:r>
      <w:r w:rsidRPr="00D27255">
        <w:rPr>
          <w:sz w:val="28"/>
          <w:szCs w:val="28"/>
        </w:rPr>
        <w:t xml:space="preserve">specializētas tiesas, piemēram, Darba tiesa, </w:t>
      </w:r>
      <w:r w:rsidR="00B30AF7">
        <w:rPr>
          <w:sz w:val="28"/>
          <w:szCs w:val="28"/>
        </w:rPr>
        <w:t>A</w:t>
      </w:r>
      <w:r w:rsidRPr="00D27255">
        <w:rPr>
          <w:sz w:val="28"/>
          <w:szCs w:val="28"/>
        </w:rPr>
        <w:t>pdrošināšanas tiesa un Tirdzniecības tiesa.</w:t>
      </w:r>
    </w:p>
    <w:p w14:paraId="4499F5B3" w14:textId="77777777" w:rsidR="00DF15A0" w:rsidRPr="00B26D7F" w:rsidRDefault="00B30AF7" w:rsidP="00E51353">
      <w:pPr>
        <w:ind w:firstLine="720"/>
        <w:jc w:val="both"/>
        <w:rPr>
          <w:sz w:val="28"/>
          <w:szCs w:val="28"/>
        </w:rPr>
      </w:pPr>
      <w:r w:rsidRPr="00B26D7F">
        <w:rPr>
          <w:sz w:val="28"/>
          <w:szCs w:val="28"/>
        </w:rPr>
        <w:t xml:space="preserve">Lai sīkāk iepazītos ar Tirdzniecības tiesas izveides procesu un darbības kārtību, tika organizēta videokonference ar </w:t>
      </w:r>
      <w:r w:rsidR="00DF15A0" w:rsidRPr="00B26D7F">
        <w:rPr>
          <w:sz w:val="28"/>
          <w:szCs w:val="28"/>
        </w:rPr>
        <w:t xml:space="preserve">šīs tiesas </w:t>
      </w:r>
      <w:r w:rsidRPr="00B26D7F">
        <w:rPr>
          <w:sz w:val="28"/>
          <w:szCs w:val="28"/>
        </w:rPr>
        <w:t>tiesnesi</w:t>
      </w:r>
      <w:r w:rsidR="00DF15A0" w:rsidRPr="00B26D7F">
        <w:rPr>
          <w:sz w:val="28"/>
          <w:szCs w:val="28"/>
        </w:rPr>
        <w:t>, tiesas 2.nodaļas vadītāju</w:t>
      </w:r>
      <w:r w:rsidRPr="00B26D7F">
        <w:rPr>
          <w:sz w:val="28"/>
          <w:szCs w:val="28"/>
        </w:rPr>
        <w:t xml:space="preserve"> </w:t>
      </w:r>
      <w:proofErr w:type="spellStart"/>
      <w:r w:rsidRPr="00B26D7F">
        <w:rPr>
          <w:sz w:val="28"/>
          <w:szCs w:val="28"/>
        </w:rPr>
        <w:t>Jussi</w:t>
      </w:r>
      <w:proofErr w:type="spellEnd"/>
      <w:r w:rsidRPr="00B26D7F">
        <w:rPr>
          <w:sz w:val="28"/>
          <w:szCs w:val="28"/>
        </w:rPr>
        <w:t xml:space="preserve"> </w:t>
      </w:r>
      <w:proofErr w:type="spellStart"/>
      <w:r w:rsidRPr="00B26D7F">
        <w:rPr>
          <w:sz w:val="28"/>
          <w:szCs w:val="28"/>
        </w:rPr>
        <w:t>Karttunen</w:t>
      </w:r>
      <w:proofErr w:type="spellEnd"/>
      <w:r w:rsidR="00DF15A0" w:rsidRPr="00B26D7F">
        <w:rPr>
          <w:sz w:val="28"/>
          <w:szCs w:val="28"/>
        </w:rPr>
        <w:t>.</w:t>
      </w:r>
    </w:p>
    <w:p w14:paraId="0D4F3683" w14:textId="6173B7AE" w:rsidR="00B30AF7" w:rsidRPr="00B26D7F" w:rsidRDefault="00B30AF7" w:rsidP="00E51353">
      <w:pPr>
        <w:ind w:firstLine="720"/>
        <w:jc w:val="both"/>
        <w:rPr>
          <w:sz w:val="28"/>
          <w:szCs w:val="28"/>
        </w:rPr>
      </w:pPr>
      <w:r w:rsidRPr="00B26D7F">
        <w:rPr>
          <w:sz w:val="28"/>
          <w:szCs w:val="28"/>
        </w:rPr>
        <w:t>Tirdzniecības tiesa tika izveidota pēc vairākus gadu ilgām diskusijām, kuru laikā galvenā izšķiršanās bija nevis par specializācijas nepieciešamību, bet gan par specializācijas ieviešanas modeli, proti – veidot specializāciju kādas no esošo tiesu ietvaros vai veidot jaunu speciālo tiesu. Tika pieņemts lēmums veidot pastāvīgu tiesu – Tirdzniecības tiesu. Šāds lēmums tika pieņemts, izvērtējot gan resursu, gan tiesnešu kompetenču attīstības jautājumus.</w:t>
      </w:r>
    </w:p>
    <w:p w14:paraId="17913F5C" w14:textId="679AFF76" w:rsidR="00B30AF7" w:rsidRPr="00B26D7F" w:rsidRDefault="00B30AF7" w:rsidP="00E51353">
      <w:pPr>
        <w:ind w:firstLine="720"/>
        <w:jc w:val="both"/>
        <w:rPr>
          <w:sz w:val="28"/>
          <w:szCs w:val="28"/>
        </w:rPr>
      </w:pPr>
      <w:r w:rsidRPr="00B26D7F">
        <w:rPr>
          <w:sz w:val="28"/>
          <w:szCs w:val="28"/>
        </w:rPr>
        <w:t>Pie tiesas ir izveidots īpašs tehnisko ekspertu saraksts, kas tiesai sniedz nepieciešamo ekspertīzi, nodrošinot lietu ātru izskatīšanu.</w:t>
      </w:r>
    </w:p>
    <w:p w14:paraId="3AF22D8B" w14:textId="3658F22B" w:rsidR="00E51353" w:rsidRPr="00B26D7F" w:rsidRDefault="00B30AF7" w:rsidP="00E51353">
      <w:pPr>
        <w:ind w:firstLine="720"/>
        <w:jc w:val="both"/>
        <w:rPr>
          <w:sz w:val="28"/>
          <w:szCs w:val="28"/>
        </w:rPr>
      </w:pPr>
      <w:r w:rsidRPr="00B26D7F">
        <w:rPr>
          <w:sz w:val="28"/>
          <w:szCs w:val="28"/>
        </w:rPr>
        <w:t xml:space="preserve"> </w:t>
      </w:r>
      <w:r w:rsidR="00E51353" w:rsidRPr="00B26D7F">
        <w:rPr>
          <w:sz w:val="28"/>
          <w:szCs w:val="28"/>
        </w:rPr>
        <w:t>Tirdzniecības tiesas kompetencē ir jautājumi, kas regulēti Patērētāju tiesību aizsardzības likumā, Patērētāju Ombuda likumā un Vērtspapīru tirgu likumā. Papildus šī tiesa skata arī jautājumus, kas saistīti ar mārketinga un līguma noteikumiem, kas ietilpst likumā par līgumiem starp kredītiestādēm un uzņēmējiem, kā arī Konkurences ierobežojuma likuma pārkāpumiem.</w:t>
      </w:r>
    </w:p>
    <w:p w14:paraId="27C3EA03" w14:textId="2F5A7E61" w:rsidR="00BF52D8" w:rsidRPr="00B26D7F" w:rsidRDefault="00BF52D8" w:rsidP="00BF52D8">
      <w:pPr>
        <w:ind w:firstLine="720"/>
        <w:jc w:val="both"/>
        <w:rPr>
          <w:sz w:val="28"/>
          <w:szCs w:val="28"/>
        </w:rPr>
      </w:pPr>
      <w:r w:rsidRPr="00B26D7F">
        <w:rPr>
          <w:sz w:val="28"/>
          <w:szCs w:val="28"/>
        </w:rPr>
        <w:t xml:space="preserve">Attiecībā par termiņiem – </w:t>
      </w:r>
      <w:r w:rsidR="00B30AF7" w:rsidRPr="00B26D7F">
        <w:rPr>
          <w:sz w:val="28"/>
          <w:szCs w:val="28"/>
        </w:rPr>
        <w:t xml:space="preserve">parasti </w:t>
      </w:r>
      <w:r w:rsidRPr="00B26D7F">
        <w:rPr>
          <w:sz w:val="28"/>
          <w:szCs w:val="28"/>
        </w:rPr>
        <w:t>trīs mēnešu termiņā tiek noteikti vienas lietas izskatīšanas visi datumi, kuros lieta tiek izskatīta un nepastāv iespēja datumu pagarināt. Specializētās tiesas rezultāts - 95% lietu tiek izskatītas vienā instancē un netiek pārsūdzētas.</w:t>
      </w:r>
      <w:r w:rsidR="00B30AF7" w:rsidRPr="00B26D7F">
        <w:rPr>
          <w:sz w:val="28"/>
          <w:szCs w:val="28"/>
        </w:rPr>
        <w:t xml:space="preserve"> Spriedumu var pārsūdzēt Augstākajā tiesā.</w:t>
      </w:r>
    </w:p>
    <w:p w14:paraId="3DAF25DB" w14:textId="06339E51" w:rsidR="00DF15A0" w:rsidRPr="00B26D7F" w:rsidRDefault="00DF15A0" w:rsidP="00BF52D8">
      <w:pPr>
        <w:ind w:firstLine="720"/>
        <w:jc w:val="both"/>
        <w:rPr>
          <w:sz w:val="28"/>
          <w:szCs w:val="28"/>
        </w:rPr>
      </w:pPr>
      <w:r w:rsidRPr="00B26D7F">
        <w:rPr>
          <w:sz w:val="28"/>
          <w:szCs w:val="28"/>
        </w:rPr>
        <w:lastRenderedPageBreak/>
        <w:t>Vērtējot tiesas darba rezultātus un ietekmi uz tiesu sistēmu Somijā, tika atzīts, ka tiesas izveide ir sevi attaisnojusi, un šobrīd nevienam nav šaubu, ka tas ir bijis pareizs lēmums.</w:t>
      </w:r>
    </w:p>
    <w:p w14:paraId="21F530F6" w14:textId="65080914" w:rsidR="00BF52D8" w:rsidRPr="00B26D7F" w:rsidRDefault="00BF52D8" w:rsidP="00BF52D8">
      <w:pPr>
        <w:ind w:firstLine="720"/>
        <w:jc w:val="both"/>
        <w:rPr>
          <w:sz w:val="28"/>
          <w:szCs w:val="28"/>
        </w:rPr>
      </w:pPr>
      <w:r w:rsidRPr="00B26D7F">
        <w:rPr>
          <w:sz w:val="28"/>
          <w:szCs w:val="28"/>
        </w:rPr>
        <w:t xml:space="preserve">Papildus atzīmējams, ka </w:t>
      </w:r>
      <w:r w:rsidR="00B30AF7" w:rsidRPr="00B26D7F">
        <w:rPr>
          <w:sz w:val="28"/>
          <w:szCs w:val="28"/>
        </w:rPr>
        <w:t>t</w:t>
      </w:r>
      <w:r w:rsidRPr="00B26D7F">
        <w:rPr>
          <w:sz w:val="28"/>
          <w:szCs w:val="28"/>
        </w:rPr>
        <w:t>ieslietu ministrs šī gada 18. jūlijā</w:t>
      </w:r>
      <w:r w:rsidR="004075A2" w:rsidRPr="00B26D7F">
        <w:rPr>
          <w:sz w:val="28"/>
          <w:szCs w:val="28"/>
        </w:rPr>
        <w:t xml:space="preserve"> plāno</w:t>
      </w:r>
      <w:r w:rsidRPr="00B26D7F">
        <w:rPr>
          <w:sz w:val="28"/>
          <w:szCs w:val="28"/>
        </w:rPr>
        <w:t xml:space="preserve"> apmeklē</w:t>
      </w:r>
      <w:r w:rsidR="004075A2" w:rsidRPr="00B26D7F">
        <w:rPr>
          <w:sz w:val="28"/>
          <w:szCs w:val="28"/>
        </w:rPr>
        <w:t>t</w:t>
      </w:r>
      <w:r w:rsidRPr="00B26D7F">
        <w:rPr>
          <w:sz w:val="28"/>
          <w:szCs w:val="28"/>
        </w:rPr>
        <w:t xml:space="preserve"> šo tiesu, lai</w:t>
      </w:r>
      <w:r w:rsidR="00DF15A0" w:rsidRPr="00B26D7F">
        <w:rPr>
          <w:sz w:val="28"/>
          <w:szCs w:val="28"/>
        </w:rPr>
        <w:t xml:space="preserve"> detalizētāk</w:t>
      </w:r>
      <w:r w:rsidRPr="00B26D7F">
        <w:rPr>
          <w:sz w:val="28"/>
          <w:szCs w:val="28"/>
        </w:rPr>
        <w:t xml:space="preserve"> iepazītos ar tiesas darba organizācijas praktiskajiem aspektiem.</w:t>
      </w:r>
    </w:p>
    <w:p w14:paraId="77C9F93F" w14:textId="77777777" w:rsidR="00E51353" w:rsidRPr="00D27255" w:rsidRDefault="00E51353" w:rsidP="00E51353">
      <w:pPr>
        <w:ind w:firstLine="720"/>
        <w:jc w:val="both"/>
        <w:rPr>
          <w:sz w:val="28"/>
          <w:szCs w:val="28"/>
        </w:rPr>
      </w:pPr>
      <w:r w:rsidRPr="00D27255">
        <w:rPr>
          <w:b/>
          <w:sz w:val="28"/>
          <w:szCs w:val="28"/>
        </w:rPr>
        <w:t>Spānijā</w:t>
      </w:r>
      <w:r w:rsidRPr="00D27255">
        <w:rPr>
          <w:sz w:val="28"/>
          <w:szCs w:val="28"/>
        </w:rPr>
        <w:t xml:space="preserve"> pastāv specializētas </w:t>
      </w:r>
      <w:proofErr w:type="spellStart"/>
      <w:r w:rsidRPr="00D27255">
        <w:rPr>
          <w:sz w:val="28"/>
          <w:szCs w:val="28"/>
        </w:rPr>
        <w:t>komerctiesas</w:t>
      </w:r>
      <w:proofErr w:type="spellEnd"/>
      <w:r w:rsidRPr="00D27255">
        <w:rPr>
          <w:sz w:val="28"/>
          <w:szCs w:val="28"/>
        </w:rPr>
        <w:t>, kuras darbojas no 2004.gada 1.septembra un ir daļa no civiltiesību sistēmas.</w:t>
      </w:r>
    </w:p>
    <w:p w14:paraId="1A6BD83B" w14:textId="620A81D0" w:rsidR="00E51353" w:rsidRPr="00D27255" w:rsidRDefault="00E51353" w:rsidP="00E51353">
      <w:pPr>
        <w:ind w:firstLine="720"/>
        <w:jc w:val="both"/>
        <w:rPr>
          <w:sz w:val="28"/>
          <w:szCs w:val="28"/>
        </w:rPr>
      </w:pPr>
      <w:r w:rsidRPr="00D27255">
        <w:rPr>
          <w:b/>
          <w:sz w:val="28"/>
          <w:szCs w:val="28"/>
        </w:rPr>
        <w:t xml:space="preserve">Ungārijā </w:t>
      </w:r>
      <w:r w:rsidRPr="00D27255">
        <w:rPr>
          <w:sz w:val="28"/>
          <w:szCs w:val="28"/>
        </w:rPr>
        <w:t>pastāv Reģionālās tiesas (pirmās vai otrās instances tiesa). Savukārt šo tiesu ietvaros ir noteikt</w:t>
      </w:r>
      <w:r w:rsidR="00F3095B" w:rsidRPr="00D27255">
        <w:rPr>
          <w:sz w:val="28"/>
          <w:szCs w:val="28"/>
        </w:rPr>
        <w:t>a</w:t>
      </w:r>
      <w:r w:rsidRPr="00D27255">
        <w:rPr>
          <w:sz w:val="28"/>
          <w:szCs w:val="28"/>
        </w:rPr>
        <w:t>s specializēt</w:t>
      </w:r>
      <w:r w:rsidR="00F3095B" w:rsidRPr="00D27255">
        <w:rPr>
          <w:sz w:val="28"/>
          <w:szCs w:val="28"/>
        </w:rPr>
        <w:t>a</w:t>
      </w:r>
      <w:r w:rsidRPr="00D27255">
        <w:rPr>
          <w:sz w:val="28"/>
          <w:szCs w:val="28"/>
        </w:rPr>
        <w:t xml:space="preserve">s krimināllietu, civillietu, ekonomisko lietu, kā arī administratīvo </w:t>
      </w:r>
      <w:r w:rsidR="00F3095B" w:rsidRPr="00D27255">
        <w:rPr>
          <w:sz w:val="28"/>
          <w:szCs w:val="28"/>
        </w:rPr>
        <w:t xml:space="preserve">lietu </w:t>
      </w:r>
      <w:r w:rsidRPr="00D27255">
        <w:rPr>
          <w:sz w:val="28"/>
          <w:szCs w:val="28"/>
        </w:rPr>
        <w:t xml:space="preserve">un darba lietu nodaļas. </w:t>
      </w:r>
    </w:p>
    <w:p w14:paraId="36530A1A" w14:textId="77777777" w:rsidR="00E51353" w:rsidRPr="00D27255" w:rsidRDefault="00E51353" w:rsidP="00E51353">
      <w:pPr>
        <w:ind w:firstLine="720"/>
        <w:jc w:val="both"/>
        <w:rPr>
          <w:sz w:val="28"/>
          <w:szCs w:val="28"/>
        </w:rPr>
      </w:pPr>
      <w:r w:rsidRPr="00D27255">
        <w:rPr>
          <w:b/>
          <w:sz w:val="28"/>
          <w:szCs w:val="28"/>
        </w:rPr>
        <w:t>Vācijā</w:t>
      </w:r>
      <w:r w:rsidRPr="00D27255">
        <w:rPr>
          <w:sz w:val="28"/>
          <w:szCs w:val="28"/>
        </w:rPr>
        <w:t xml:space="preserve"> cita starpā ir specializētas Finanšu tiesas, kuru nolēmumi var tikt pārsūdzēti Federālajā Finanšu tiesā (</w:t>
      </w:r>
      <w:proofErr w:type="spellStart"/>
      <w:r w:rsidRPr="00D27255">
        <w:rPr>
          <w:i/>
          <w:sz w:val="28"/>
          <w:szCs w:val="28"/>
        </w:rPr>
        <w:t>Bundesfinanzhof</w:t>
      </w:r>
      <w:proofErr w:type="spellEnd"/>
      <w:r w:rsidRPr="00D27255">
        <w:rPr>
          <w:sz w:val="28"/>
          <w:szCs w:val="28"/>
        </w:rPr>
        <w:t>). Šo tiesu kompetencē galvenokārt ir strīdi par valsts nodevu, nodokļu un muitas jautājumiem. Strīdus pirmajā instancē skata trīs tiesneši un divi tiesas piesēdētāji.</w:t>
      </w:r>
    </w:p>
    <w:p w14:paraId="2AB769E7" w14:textId="6A75FB90" w:rsidR="00E51353" w:rsidRPr="00D27255" w:rsidRDefault="00E51353" w:rsidP="00E51353">
      <w:pPr>
        <w:ind w:firstLine="720"/>
        <w:jc w:val="both"/>
        <w:rPr>
          <w:sz w:val="28"/>
          <w:szCs w:val="28"/>
        </w:rPr>
      </w:pPr>
      <w:r w:rsidRPr="00D27255">
        <w:rPr>
          <w:b/>
          <w:sz w:val="28"/>
          <w:szCs w:val="28"/>
        </w:rPr>
        <w:t>Zviedrijā</w:t>
      </w:r>
      <w:r w:rsidRPr="00D27255">
        <w:rPr>
          <w:sz w:val="28"/>
          <w:szCs w:val="28"/>
        </w:rPr>
        <w:t xml:space="preserve"> Tirgus tiesa cita starpā risina tādus strīdus, uz kuriem attiecas Konkurences likums un Tirdzniecības prakses likums</w:t>
      </w:r>
      <w:r w:rsidR="00111100" w:rsidRPr="00D27255">
        <w:rPr>
          <w:sz w:val="28"/>
          <w:szCs w:val="28"/>
        </w:rPr>
        <w:t>.</w:t>
      </w:r>
      <w:r w:rsidRPr="00D27255">
        <w:rPr>
          <w:sz w:val="28"/>
          <w:szCs w:val="28"/>
        </w:rPr>
        <w:t xml:space="preserve"> Tāpat Zviedrijā ir Patentu lietu apelācijas tiesa, kas izskata iesniegtās apelācijas pret Zviedrijas Patentu un reģistrācijas biroja nolēmumiem attiecībā uz patentiem, preču zīmēm, dizainparaugiem u.c. Sūdzības par Patentu lietu apelācijas tiesas nolēmumiem var iesniegt Augstākajā administratīvajā tiesā.</w:t>
      </w:r>
    </w:p>
    <w:p w14:paraId="49C071A9" w14:textId="65D2A738" w:rsidR="00E51353" w:rsidRPr="00D27255" w:rsidRDefault="00227B13" w:rsidP="00561649">
      <w:pPr>
        <w:ind w:firstLine="720"/>
        <w:jc w:val="both"/>
        <w:rPr>
          <w:sz w:val="28"/>
          <w:szCs w:val="28"/>
        </w:rPr>
      </w:pPr>
      <w:r w:rsidRPr="00D27255">
        <w:rPr>
          <w:sz w:val="28"/>
          <w:szCs w:val="28"/>
        </w:rPr>
        <w:t xml:space="preserve">Tāpat atzīmējams, ka  vairākās Eiropas valstīs ir izveidotas specializētas </w:t>
      </w:r>
      <w:r w:rsidR="00D8364E" w:rsidRPr="00D27255">
        <w:rPr>
          <w:sz w:val="28"/>
          <w:szCs w:val="28"/>
        </w:rPr>
        <w:t>tiesas</w:t>
      </w:r>
      <w:r w:rsidRPr="00D27255">
        <w:rPr>
          <w:sz w:val="28"/>
          <w:szCs w:val="28"/>
        </w:rPr>
        <w:t xml:space="preserve">, kas veltītas cīņai pret korupciju. </w:t>
      </w:r>
      <w:r w:rsidRPr="00D27255">
        <w:rPr>
          <w:b/>
          <w:sz w:val="28"/>
          <w:szCs w:val="28"/>
        </w:rPr>
        <w:t>Bulgārija</w:t>
      </w:r>
      <w:r w:rsidRPr="00D27255">
        <w:rPr>
          <w:sz w:val="28"/>
          <w:szCs w:val="28"/>
        </w:rPr>
        <w:t xml:space="preserve"> izveidoja specializētu tiesu, lai risinātu noziegumus, ko paveikušas organizētas noziedzīgas grupas, tostarp ar korupciju saistītus noziegumus, bet </w:t>
      </w:r>
      <w:r w:rsidRPr="00D27255">
        <w:rPr>
          <w:b/>
          <w:sz w:val="28"/>
          <w:szCs w:val="28"/>
        </w:rPr>
        <w:t>Horvātijā un Slovākijā</w:t>
      </w:r>
      <w:r w:rsidRPr="00D27255">
        <w:rPr>
          <w:sz w:val="28"/>
          <w:szCs w:val="28"/>
        </w:rPr>
        <w:t xml:space="preserve"> ir izveidotas īpašas pretkorupcijas tiesas. Horvātijā specializētā tiesa izskata tikai vidēja un augsta līmeņa korupcijas un organizētās noziedzības lietas, savukārt Slovākijā šīs specializētās tiesas, citastarp, izskata tādas lietas kā krāpšana un korupcija publiskajos iepirkumos, varas ļaunprātīga izmantošana, netieša korupcija, saimnieciskie noziegumi un noziegumi pret īpašumu u.c.</w:t>
      </w:r>
      <w:r w:rsidRPr="00D27255">
        <w:rPr>
          <w:rStyle w:val="FootnoteReference"/>
          <w:sz w:val="28"/>
          <w:szCs w:val="28"/>
        </w:rPr>
        <w:footnoteReference w:id="20"/>
      </w:r>
    </w:p>
    <w:p w14:paraId="4C46AC3C" w14:textId="701C1E32" w:rsidR="00E51353" w:rsidRPr="00D27255" w:rsidRDefault="002355B2" w:rsidP="00561649">
      <w:pPr>
        <w:ind w:firstLine="720"/>
        <w:jc w:val="both"/>
        <w:rPr>
          <w:b/>
          <w:sz w:val="28"/>
          <w:szCs w:val="28"/>
        </w:rPr>
      </w:pPr>
      <w:r w:rsidRPr="00D27255">
        <w:rPr>
          <w:sz w:val="28"/>
          <w:szCs w:val="28"/>
        </w:rPr>
        <w:t xml:space="preserve">Ievērojot minēto, secināms, ka </w:t>
      </w:r>
      <w:proofErr w:type="spellStart"/>
      <w:r w:rsidRPr="00D27255">
        <w:rPr>
          <w:b/>
          <w:sz w:val="28"/>
          <w:szCs w:val="28"/>
        </w:rPr>
        <w:t>komerctiesas</w:t>
      </w:r>
      <w:proofErr w:type="spellEnd"/>
      <w:r w:rsidRPr="00D27255">
        <w:rPr>
          <w:b/>
          <w:sz w:val="28"/>
          <w:szCs w:val="28"/>
        </w:rPr>
        <w:t xml:space="preserve"> ir plaši izplatītas, taču tām noteiktā kompetence pamatā atšķirīga katrā no valstīm</w:t>
      </w:r>
      <w:r w:rsidRPr="00D27255">
        <w:rPr>
          <w:sz w:val="28"/>
          <w:szCs w:val="28"/>
        </w:rPr>
        <w:t xml:space="preserve">. Tāpat </w:t>
      </w:r>
      <w:r w:rsidR="00B26061" w:rsidRPr="00D27255">
        <w:rPr>
          <w:sz w:val="28"/>
          <w:szCs w:val="28"/>
        </w:rPr>
        <w:t xml:space="preserve">atsevišķās valstīs ir izveidotas </w:t>
      </w:r>
      <w:r w:rsidR="00B26061" w:rsidRPr="00D27255">
        <w:rPr>
          <w:b/>
          <w:sz w:val="28"/>
          <w:szCs w:val="28"/>
        </w:rPr>
        <w:t>specializētas</w:t>
      </w:r>
      <w:r w:rsidRPr="00D27255">
        <w:rPr>
          <w:b/>
          <w:sz w:val="28"/>
          <w:szCs w:val="28"/>
        </w:rPr>
        <w:t xml:space="preserve"> tiesas, kuru kompetencē nodotas lietas, kas saistītas ar korupcijas noziegumiem</w:t>
      </w:r>
      <w:r w:rsidR="00111100" w:rsidRPr="00D27255">
        <w:rPr>
          <w:b/>
          <w:sz w:val="28"/>
          <w:szCs w:val="28"/>
        </w:rPr>
        <w:t xml:space="preserve"> un noziegumiem, ko paveikušas organizēt</w:t>
      </w:r>
      <w:r w:rsidR="00423300" w:rsidRPr="00D27255">
        <w:rPr>
          <w:b/>
          <w:sz w:val="28"/>
          <w:szCs w:val="28"/>
        </w:rPr>
        <w:t>a</w:t>
      </w:r>
      <w:r w:rsidR="00111100" w:rsidRPr="00D27255">
        <w:rPr>
          <w:b/>
          <w:sz w:val="28"/>
          <w:szCs w:val="28"/>
        </w:rPr>
        <w:t>s noziedzīgās grupas</w:t>
      </w:r>
      <w:r w:rsidRPr="00D27255">
        <w:rPr>
          <w:b/>
          <w:sz w:val="28"/>
          <w:szCs w:val="28"/>
        </w:rPr>
        <w:t>.</w:t>
      </w:r>
    </w:p>
    <w:p w14:paraId="2F5DB828" w14:textId="77777777" w:rsidR="008126C3" w:rsidRPr="00D27255" w:rsidRDefault="008126C3" w:rsidP="00561649">
      <w:pPr>
        <w:ind w:firstLine="720"/>
        <w:jc w:val="both"/>
        <w:rPr>
          <w:sz w:val="28"/>
          <w:szCs w:val="28"/>
        </w:rPr>
      </w:pPr>
    </w:p>
    <w:p w14:paraId="5F71980F" w14:textId="69E69A6D" w:rsidR="001C4F04" w:rsidRDefault="002355B2" w:rsidP="00561649">
      <w:pPr>
        <w:ind w:firstLine="720"/>
        <w:jc w:val="both"/>
        <w:rPr>
          <w:b/>
          <w:sz w:val="28"/>
          <w:szCs w:val="28"/>
        </w:rPr>
      </w:pPr>
      <w:r w:rsidRPr="00D27255">
        <w:rPr>
          <w:b/>
          <w:sz w:val="28"/>
          <w:szCs w:val="28"/>
        </w:rPr>
        <w:t>3.</w:t>
      </w:r>
      <w:r w:rsidR="00227B13" w:rsidRPr="00D27255">
        <w:rPr>
          <w:b/>
          <w:sz w:val="28"/>
          <w:szCs w:val="28"/>
        </w:rPr>
        <w:t>2</w:t>
      </w:r>
      <w:r w:rsidRPr="00D27255">
        <w:rPr>
          <w:b/>
          <w:sz w:val="28"/>
          <w:szCs w:val="28"/>
        </w:rPr>
        <w:t>. Specializētās tiesas Latvijā</w:t>
      </w:r>
      <w:r w:rsidR="004075A2">
        <w:rPr>
          <w:b/>
          <w:sz w:val="28"/>
          <w:szCs w:val="28"/>
        </w:rPr>
        <w:t xml:space="preserve"> izveide un</w:t>
      </w:r>
      <w:r w:rsidR="004C0F55" w:rsidRPr="00D27255">
        <w:rPr>
          <w:b/>
          <w:sz w:val="28"/>
          <w:szCs w:val="28"/>
        </w:rPr>
        <w:t xml:space="preserve"> iespējamās</w:t>
      </w:r>
      <w:r w:rsidRPr="00D27255">
        <w:rPr>
          <w:b/>
          <w:sz w:val="28"/>
          <w:szCs w:val="28"/>
        </w:rPr>
        <w:t xml:space="preserve"> k</w:t>
      </w:r>
      <w:r w:rsidR="001C4F04" w:rsidRPr="00D27255">
        <w:rPr>
          <w:b/>
          <w:sz w:val="28"/>
          <w:szCs w:val="28"/>
        </w:rPr>
        <w:t xml:space="preserve">ompetences tvērums </w:t>
      </w:r>
    </w:p>
    <w:p w14:paraId="3B00EDFB" w14:textId="187A02F6" w:rsidR="00556E2C" w:rsidRPr="00D27255" w:rsidRDefault="00111270" w:rsidP="00556E2C">
      <w:pPr>
        <w:ind w:firstLine="720"/>
        <w:jc w:val="both"/>
        <w:rPr>
          <w:sz w:val="28"/>
          <w:szCs w:val="28"/>
        </w:rPr>
      </w:pPr>
      <w:r>
        <w:rPr>
          <w:sz w:val="28"/>
          <w:szCs w:val="28"/>
        </w:rPr>
        <w:t>T</w:t>
      </w:r>
      <w:r w:rsidR="00556E2C" w:rsidRPr="00D27255">
        <w:rPr>
          <w:sz w:val="28"/>
          <w:szCs w:val="28"/>
        </w:rPr>
        <w:t xml:space="preserve">iesas specializācija (tiesas kompetences koncentrēšana) ir piemērots risinājums, ja lietu kopskaits gadā ir salīdzinoši mazs, bet to izskatīšana ir saistīta ar specifiskiem  tiesību jautājumiem. Pie varbūtības, ka šādu lietu tiesnesis varētu </w:t>
      </w:r>
      <w:r w:rsidR="00556E2C" w:rsidRPr="00D27255">
        <w:rPr>
          <w:sz w:val="28"/>
          <w:szCs w:val="28"/>
        </w:rPr>
        <w:lastRenderedPageBreak/>
        <w:t xml:space="preserve">saņemt, iespējams, reizi piecos gados, nebūtu efektīvi apmācīt visus Latvijas tiesnešus. Līdz ar to šādos gadījumos kā risinājums izskatāma tiesas kompetences koncentrēšana vienā tiesā. Tiesnesis, kas specializējies konkrēto lietu izskatīšanā, ir spējīgs strādāt ātrāk un precīzāk. Izkaisīta specifiska ekonomiska rakstura strīdu izskatīšanas piekritība nevar radīt kompleksu un līdz ar to efektīvu (bez pretrunām) ekonomisko strīdu risināšanas sistēmu. </w:t>
      </w:r>
    </w:p>
    <w:p w14:paraId="2DB69C89" w14:textId="77777777" w:rsidR="00556E2C" w:rsidRPr="00D27255" w:rsidRDefault="00556E2C" w:rsidP="00556E2C">
      <w:pPr>
        <w:ind w:firstLine="720"/>
        <w:jc w:val="both"/>
        <w:rPr>
          <w:sz w:val="28"/>
          <w:szCs w:val="28"/>
        </w:rPr>
      </w:pPr>
      <w:r w:rsidRPr="00D27255">
        <w:rPr>
          <w:sz w:val="28"/>
          <w:szCs w:val="28"/>
        </w:rPr>
        <w:t>Lietu koncentrēšanu vienā tiesā iespējams nodrošināt, nosakot ekskluzīvu noteiktu lietu piekritību kādai no esošajām vispārējās jurisdikcijas tiesām vai veidojot jaunu specializētu tiesu.</w:t>
      </w:r>
    </w:p>
    <w:p w14:paraId="51A01241" w14:textId="23B6FEFD" w:rsidR="00556E2C" w:rsidRPr="00D27255" w:rsidRDefault="00556E2C" w:rsidP="00556E2C">
      <w:pPr>
        <w:ind w:firstLine="720"/>
        <w:jc w:val="both"/>
        <w:rPr>
          <w:sz w:val="28"/>
          <w:szCs w:val="28"/>
        </w:rPr>
      </w:pPr>
      <w:r w:rsidRPr="00D27255">
        <w:rPr>
          <w:sz w:val="28"/>
          <w:szCs w:val="28"/>
        </w:rPr>
        <w:t xml:space="preserve">Līdz šim Latvijā lielākoties ir izmantots pirmais ceļš. </w:t>
      </w:r>
      <w:r>
        <w:rPr>
          <w:sz w:val="28"/>
          <w:szCs w:val="28"/>
        </w:rPr>
        <w:t>Piemēram:</w:t>
      </w:r>
    </w:p>
    <w:p w14:paraId="04E92354" w14:textId="77777777" w:rsidR="00556E2C" w:rsidRPr="00D27255" w:rsidRDefault="00556E2C" w:rsidP="00556E2C">
      <w:pPr>
        <w:pStyle w:val="ListParagraph"/>
        <w:numPr>
          <w:ilvl w:val="0"/>
          <w:numId w:val="39"/>
        </w:numPr>
        <w:jc w:val="both"/>
        <w:rPr>
          <w:rFonts w:ascii="Times New Roman" w:hAnsi="Times New Roman"/>
          <w:sz w:val="28"/>
          <w:szCs w:val="28"/>
        </w:rPr>
      </w:pPr>
      <w:r w:rsidRPr="00D27255">
        <w:rPr>
          <w:rFonts w:ascii="Times New Roman" w:hAnsi="Times New Roman"/>
          <w:sz w:val="28"/>
          <w:szCs w:val="28"/>
        </w:rPr>
        <w:t>lietās par kapitālsabiedrību dalībnieku (akcionāru) sapulces lēmumu atzīšanu par spēkā neesošiem (no 2013</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jūlija – Jelgavas tiesa (šobrīd Zemgales rajona tiesa));</w:t>
      </w:r>
    </w:p>
    <w:p w14:paraId="7EFD0D93" w14:textId="77777777" w:rsidR="00556E2C" w:rsidRPr="00D27255" w:rsidRDefault="00556E2C" w:rsidP="00556E2C">
      <w:pPr>
        <w:pStyle w:val="ListParagraph"/>
        <w:numPr>
          <w:ilvl w:val="0"/>
          <w:numId w:val="39"/>
        </w:numPr>
        <w:jc w:val="both"/>
        <w:rPr>
          <w:rFonts w:ascii="Times New Roman" w:hAnsi="Times New Roman"/>
          <w:sz w:val="28"/>
          <w:szCs w:val="28"/>
        </w:rPr>
      </w:pPr>
      <w:r w:rsidRPr="00D27255">
        <w:rPr>
          <w:rFonts w:ascii="Times New Roman" w:hAnsi="Times New Roman"/>
          <w:sz w:val="28"/>
          <w:szCs w:val="28"/>
        </w:rPr>
        <w:t>lietās par rūpnieciskā īpašuma tiesībām (patenti, dizainparaugi, pusvadītāju izstrādājumi, preču zīmes u.c.) (no 2015</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janvāra – Rīgas pilsētas Vidzemes priekšpilsētas tiesa);</w:t>
      </w:r>
    </w:p>
    <w:p w14:paraId="4CFECC38" w14:textId="77777777" w:rsidR="00556E2C" w:rsidRPr="00D27255" w:rsidRDefault="00556E2C" w:rsidP="00556E2C">
      <w:pPr>
        <w:pStyle w:val="ListParagraph"/>
        <w:numPr>
          <w:ilvl w:val="0"/>
          <w:numId w:val="39"/>
        </w:numPr>
        <w:jc w:val="both"/>
        <w:rPr>
          <w:rFonts w:ascii="Times New Roman" w:hAnsi="Times New Roman"/>
          <w:sz w:val="28"/>
          <w:szCs w:val="28"/>
        </w:rPr>
      </w:pPr>
      <w:r w:rsidRPr="00D27255">
        <w:rPr>
          <w:rFonts w:ascii="Times New Roman" w:hAnsi="Times New Roman"/>
          <w:sz w:val="28"/>
          <w:szCs w:val="28"/>
        </w:rPr>
        <w:t>lietās par atzinuma sniegšanu ārvalsts tiesai par bērna pārvietošanas pāri robežai uz ārvalsti vai aizturēšanas ārvalstī tiesiskumu un lietas par bērna prettiesisku pārvietošanu pāri robežai uz Latviju vai aizturēšanu Latvijā (no 2015</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marta – Rīgas pilsētas Ziemeļu rajona tiesa (ar 2018</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15</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janvāri tiesa pievienota Rīgas pilsētas Vidzemes priekšpilsētas tiesai));</w:t>
      </w:r>
    </w:p>
    <w:p w14:paraId="65ED5815" w14:textId="77777777" w:rsidR="00556E2C" w:rsidRPr="00D27255" w:rsidRDefault="00556E2C" w:rsidP="00556E2C">
      <w:pPr>
        <w:pStyle w:val="ListParagraph"/>
        <w:numPr>
          <w:ilvl w:val="0"/>
          <w:numId w:val="39"/>
        </w:numPr>
        <w:jc w:val="both"/>
        <w:rPr>
          <w:rFonts w:ascii="Times New Roman" w:hAnsi="Times New Roman"/>
          <w:sz w:val="28"/>
          <w:szCs w:val="28"/>
        </w:rPr>
      </w:pPr>
      <w:r w:rsidRPr="00D27255">
        <w:rPr>
          <w:rFonts w:ascii="Times New Roman" w:hAnsi="Times New Roman"/>
          <w:sz w:val="28"/>
          <w:szCs w:val="28"/>
        </w:rPr>
        <w:t>lietās, kuru materiālos ir iekļauts valsts noslēpuma objekts (no 2015</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janvāra – Rīgas pilsētas Vidzemes priekšpilsētas tiesa);</w:t>
      </w:r>
    </w:p>
    <w:p w14:paraId="5D59125E" w14:textId="77777777" w:rsidR="00556E2C" w:rsidRPr="00D27255" w:rsidRDefault="00556E2C" w:rsidP="00556E2C">
      <w:pPr>
        <w:pStyle w:val="ListParagraph"/>
        <w:numPr>
          <w:ilvl w:val="0"/>
          <w:numId w:val="39"/>
        </w:numPr>
        <w:jc w:val="both"/>
        <w:rPr>
          <w:rFonts w:ascii="Times New Roman" w:hAnsi="Times New Roman"/>
          <w:sz w:val="28"/>
          <w:szCs w:val="28"/>
        </w:rPr>
      </w:pPr>
      <w:r w:rsidRPr="00D27255">
        <w:rPr>
          <w:rFonts w:ascii="Times New Roman" w:hAnsi="Times New Roman"/>
          <w:sz w:val="28"/>
          <w:szCs w:val="28"/>
        </w:rPr>
        <w:t>lietās par zaudējumu atlīdzināšanu par konkurences tiesību pārkāpumiem (no 2017</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gada 1</w:t>
      </w:r>
      <w:r w:rsidRPr="00D27255">
        <w:rPr>
          <w:sz w:val="28"/>
          <w:szCs w:val="28"/>
        </w:rPr>
        <w:t>.</w:t>
      </w:r>
      <w:r w:rsidRPr="00D27255">
        <w:rPr>
          <w:rFonts w:ascii="Times New Roman" w:eastAsia="Times New Roman" w:hAnsi="Times New Roman"/>
          <w:sz w:val="28"/>
          <w:szCs w:val="28"/>
        </w:rPr>
        <w:t> </w:t>
      </w:r>
      <w:r w:rsidRPr="00D27255">
        <w:rPr>
          <w:rFonts w:ascii="Times New Roman" w:hAnsi="Times New Roman"/>
          <w:sz w:val="28"/>
          <w:szCs w:val="28"/>
        </w:rPr>
        <w:t>novembra – Rīgas pilsētas Latgales priekšpilsētas tiesa).</w:t>
      </w:r>
    </w:p>
    <w:p w14:paraId="6EA8F0D7" w14:textId="77777777" w:rsidR="00556E2C" w:rsidRPr="00D27255" w:rsidRDefault="00556E2C" w:rsidP="00556E2C">
      <w:pPr>
        <w:ind w:firstLine="720"/>
        <w:jc w:val="both"/>
        <w:rPr>
          <w:sz w:val="28"/>
          <w:szCs w:val="28"/>
        </w:rPr>
      </w:pPr>
      <w:r w:rsidRPr="00D27255">
        <w:rPr>
          <w:sz w:val="28"/>
          <w:szCs w:val="28"/>
        </w:rPr>
        <w:t xml:space="preserve">Lai gan šis risinājums ir salīdzinoši vienkāršāk ieviešams, tomēr tam ir arī atsevišķi negatīvi aspekti. Piemēram, tiek palielināta tiesas noslodze, kas jo īpaši būtiski ir gadījumā, ja specializācija tiek noteikta kādai no Rīgas tiesām. Specializēto lietu izskatīšanas efektivitāte ir saistīta ar attiecīgās tiesas darba efektivitāti, ko var ietekmēt, piemēram, nespecializēto lietu skaita pieaugums tiesām, kapacitātes trūkums (piemēram, sakarā ar tiesneša prombūtni uz laiku) u.c. </w:t>
      </w:r>
    </w:p>
    <w:p w14:paraId="3E4D3C1B" w14:textId="77777777" w:rsidR="00556E2C" w:rsidRPr="00D27255" w:rsidRDefault="00556E2C" w:rsidP="00561649">
      <w:pPr>
        <w:ind w:firstLine="720"/>
        <w:jc w:val="both"/>
        <w:rPr>
          <w:b/>
          <w:sz w:val="28"/>
          <w:szCs w:val="28"/>
        </w:rPr>
      </w:pPr>
    </w:p>
    <w:p w14:paraId="2C9A6E26" w14:textId="77777777" w:rsidR="004075A2" w:rsidRDefault="002355B2" w:rsidP="002355B2">
      <w:pPr>
        <w:ind w:firstLine="720"/>
        <w:jc w:val="both"/>
        <w:rPr>
          <w:sz w:val="28"/>
          <w:szCs w:val="28"/>
        </w:rPr>
      </w:pPr>
      <w:r w:rsidRPr="00D27255">
        <w:rPr>
          <w:sz w:val="28"/>
          <w:szCs w:val="28"/>
        </w:rPr>
        <w:t xml:space="preserve">Komerctiesības un saimniecisko darbību reglamentējošo normatīvo aktu mērķis ir ne tikai noteikt atsevišķu subjektu tiesības un pienākumus, bet reglamentēt tirgus ekonomikas darbību un veicināt ekonomikas attīstību kopumā. Tāpēc ir ļoti svarīgi, lai šādas tiesību normas tiktu piemērotas ne tikai atbilstoši likumdevēja mērķim, bet arī analizējot to piemērošanas reālās ekonomiskās sekas un to ietekmi uz ekonomiku. Šajā ziņā no tiesneša kā speciālista jurisprudencē tiek sagaidīts tieši ekonomiski pārdomāts un pamatots ekonomisko strīdu risinājums. Piemēram, Komerclikums paredz tiesības celt prasību pret sabiedrības </w:t>
      </w:r>
      <w:r w:rsidRPr="00D27255">
        <w:rPr>
          <w:sz w:val="28"/>
          <w:szCs w:val="28"/>
        </w:rPr>
        <w:lastRenderedPageBreak/>
        <w:t>valdes locekli, ja tas ar savu darbību vai bezdarbību nodarījis zaudējumus sabiedrībai. Lai sauktu valdes locekli pie atbildības civiltiesiskā kārtībā un panāktu sabiedrībai nodarīto zaudējumu atlīdzināšanu, tiesai jāizvērtē, vai valdes loceklis savus pienākumus pildījis kā "krietns un rūpīgs saimnieks" (Komerclikuma 169</w:t>
      </w:r>
      <w:r w:rsidR="008126C3" w:rsidRPr="00D27255">
        <w:rPr>
          <w:sz w:val="28"/>
          <w:szCs w:val="28"/>
        </w:rPr>
        <w:t>. </w:t>
      </w:r>
      <w:r w:rsidRPr="00D27255">
        <w:rPr>
          <w:sz w:val="28"/>
          <w:szCs w:val="28"/>
        </w:rPr>
        <w:t>panta pirmā daļa) un nav pieļāvis pat "vieglu neuzmanību" (Civillikuma 1646</w:t>
      </w:r>
      <w:r w:rsidR="008126C3" w:rsidRPr="00D27255">
        <w:rPr>
          <w:sz w:val="28"/>
          <w:szCs w:val="28"/>
        </w:rPr>
        <w:t>. </w:t>
      </w:r>
      <w:r w:rsidRPr="00D27255">
        <w:rPr>
          <w:sz w:val="28"/>
          <w:szCs w:val="28"/>
        </w:rPr>
        <w:t>pants). Ir skaidrs, ka šie jēdzieni ir jāpiepilda ar saturu katrā konkrētajā gadījumā. Problēma ir tāda, ka šis saturs ir ekonomiska rakstura vērtējums, jo tikai no komercdarbības prakses un ekonomisko zināšanu viedokļa var novērtēt, vai valdes locekļa darbība bija ekonomiski pamatota un izdevīga sabiedrībai kā tirgus ekonomikas subjektam</w:t>
      </w:r>
      <w:r w:rsidRPr="00D27255">
        <w:rPr>
          <w:sz w:val="28"/>
          <w:szCs w:val="28"/>
          <w:vertAlign w:val="superscript"/>
        </w:rPr>
        <w:footnoteReference w:id="21"/>
      </w:r>
      <w:r w:rsidRPr="00D27255">
        <w:rPr>
          <w:sz w:val="28"/>
          <w:szCs w:val="28"/>
        </w:rPr>
        <w:t>.</w:t>
      </w:r>
    </w:p>
    <w:p w14:paraId="373977C2" w14:textId="458C25FE" w:rsidR="0023679C" w:rsidRPr="00B26D7F" w:rsidRDefault="0023679C" w:rsidP="002355B2">
      <w:pPr>
        <w:ind w:firstLine="720"/>
        <w:jc w:val="both"/>
        <w:rPr>
          <w:sz w:val="28"/>
          <w:szCs w:val="28"/>
        </w:rPr>
      </w:pPr>
      <w:r w:rsidRPr="00B26D7F">
        <w:rPr>
          <w:sz w:val="28"/>
          <w:szCs w:val="28"/>
        </w:rPr>
        <w:t>Pēdējo</w:t>
      </w:r>
      <w:r w:rsidR="00904543" w:rsidRPr="00B26D7F">
        <w:rPr>
          <w:sz w:val="28"/>
          <w:szCs w:val="28"/>
        </w:rPr>
        <w:t xml:space="preserve"> vairāk nekā</w:t>
      </w:r>
      <w:r w:rsidRPr="00B26D7F">
        <w:rPr>
          <w:sz w:val="28"/>
          <w:szCs w:val="28"/>
        </w:rPr>
        <w:t xml:space="preserve"> piecu gadu laikā</w:t>
      </w:r>
      <w:r w:rsidR="00556E2C" w:rsidRPr="00B26D7F">
        <w:rPr>
          <w:sz w:val="28"/>
          <w:szCs w:val="28"/>
        </w:rPr>
        <w:t xml:space="preserve"> tieši</w:t>
      </w:r>
      <w:r w:rsidRPr="00B26D7F">
        <w:rPr>
          <w:sz w:val="28"/>
          <w:szCs w:val="28"/>
        </w:rPr>
        <w:t xml:space="preserve"> attiecībā uz </w:t>
      </w:r>
      <w:proofErr w:type="spellStart"/>
      <w:r w:rsidRPr="00B26D7F">
        <w:rPr>
          <w:sz w:val="28"/>
          <w:szCs w:val="28"/>
        </w:rPr>
        <w:t>komercstrīdu</w:t>
      </w:r>
      <w:proofErr w:type="spellEnd"/>
      <w:r w:rsidRPr="00B26D7F">
        <w:rPr>
          <w:sz w:val="28"/>
          <w:szCs w:val="28"/>
        </w:rPr>
        <w:t xml:space="preserve"> izskatīšanas efektivizēšanu ir tikuši ieviesti vairāki pasākumi. </w:t>
      </w:r>
      <w:r w:rsidR="00111270" w:rsidRPr="00B26D7F">
        <w:rPr>
          <w:sz w:val="28"/>
          <w:szCs w:val="28"/>
        </w:rPr>
        <w:t>Kā jau minēts iepriekš, n</w:t>
      </w:r>
      <w:r w:rsidR="00904543" w:rsidRPr="00B26D7F">
        <w:rPr>
          <w:sz w:val="28"/>
          <w:szCs w:val="28"/>
        </w:rPr>
        <w:t>o 2013.gada 1.jūlija i</w:t>
      </w:r>
      <w:r w:rsidRPr="00B26D7F">
        <w:rPr>
          <w:sz w:val="28"/>
          <w:szCs w:val="28"/>
        </w:rPr>
        <w:t xml:space="preserve">r specializēta t.s. reiderisma lietu izskatīšana, izveidojot saīsinātu lietu izskatīšanas procesu un paredzot kompetenci šo lietu izskatīšanā vienai konkrētai tiesai – Zemgales rajona tiesai. Tāpat vienā konkrētā tiesā – </w:t>
      </w:r>
      <w:r w:rsidR="00904543" w:rsidRPr="00B26D7F">
        <w:rPr>
          <w:sz w:val="28"/>
          <w:szCs w:val="28"/>
        </w:rPr>
        <w:t xml:space="preserve">Rīgas pilsētas </w:t>
      </w:r>
      <w:r w:rsidRPr="00B26D7F">
        <w:rPr>
          <w:sz w:val="28"/>
          <w:szCs w:val="28"/>
        </w:rPr>
        <w:t xml:space="preserve">Vidzemes priekšpilsētas tiesā – </w:t>
      </w:r>
      <w:r w:rsidR="00904543" w:rsidRPr="00B26D7F">
        <w:rPr>
          <w:sz w:val="28"/>
          <w:szCs w:val="28"/>
        </w:rPr>
        <w:t xml:space="preserve">no 2015.gada 1.janvāra ir </w:t>
      </w:r>
      <w:r w:rsidRPr="00B26D7F">
        <w:rPr>
          <w:sz w:val="28"/>
          <w:szCs w:val="28"/>
        </w:rPr>
        <w:t xml:space="preserve">tikuši specializēti strīdi par rūpnieciskā īpašuma tiesībām. Savukārt lietu par zaudējumu atlīdzināšanu par konkurences tiesību pārkāpumiem izskatīšana </w:t>
      </w:r>
      <w:r w:rsidR="00904543" w:rsidRPr="00B26D7F">
        <w:rPr>
          <w:sz w:val="28"/>
          <w:szCs w:val="28"/>
        </w:rPr>
        <w:t xml:space="preserve">kopš 2017.gada 1.novembra </w:t>
      </w:r>
      <w:r w:rsidRPr="00B26D7F">
        <w:rPr>
          <w:sz w:val="28"/>
          <w:szCs w:val="28"/>
        </w:rPr>
        <w:t xml:space="preserve">koncentrēta </w:t>
      </w:r>
      <w:r w:rsidR="00904543" w:rsidRPr="00B26D7F">
        <w:rPr>
          <w:sz w:val="28"/>
          <w:szCs w:val="28"/>
        </w:rPr>
        <w:t>Rīgas pilsētas</w:t>
      </w:r>
      <w:r w:rsidRPr="00B26D7F">
        <w:rPr>
          <w:sz w:val="28"/>
          <w:szCs w:val="28"/>
        </w:rPr>
        <w:t xml:space="preserve"> Latgales priekšpilsētas tiesā. </w:t>
      </w:r>
      <w:r w:rsidRPr="00B26D7F">
        <w:rPr>
          <w:b/>
          <w:sz w:val="28"/>
          <w:szCs w:val="28"/>
        </w:rPr>
        <w:t xml:space="preserve">Visu šo pasākumu mērķis bija nodrošināt ātru un kompetentu šo specifisko komerctiesību jautājumu izskatīšanu. Vienlaikus jākonstatē, ka izveidojusies diezgan sadrumstalota sistēma, jo atkarībā no strīda priekšmeta, mainās tiesa, kura specializēta attiecīgā </w:t>
      </w:r>
      <w:proofErr w:type="spellStart"/>
      <w:r w:rsidRPr="00B26D7F">
        <w:rPr>
          <w:b/>
          <w:sz w:val="28"/>
          <w:szCs w:val="28"/>
        </w:rPr>
        <w:t>komercstrīda</w:t>
      </w:r>
      <w:proofErr w:type="spellEnd"/>
      <w:r w:rsidRPr="00B26D7F">
        <w:rPr>
          <w:b/>
          <w:sz w:val="28"/>
          <w:szCs w:val="28"/>
        </w:rPr>
        <w:t xml:space="preserve"> izskatīšanā</w:t>
      </w:r>
      <w:r w:rsidRPr="00B26D7F">
        <w:rPr>
          <w:sz w:val="28"/>
          <w:szCs w:val="28"/>
        </w:rPr>
        <w:t>.</w:t>
      </w:r>
    </w:p>
    <w:p w14:paraId="23CA999D" w14:textId="1D1E0736" w:rsidR="00904543" w:rsidRPr="00B26D7F" w:rsidRDefault="00904543" w:rsidP="00904543">
      <w:pPr>
        <w:ind w:firstLine="720"/>
        <w:jc w:val="both"/>
        <w:rPr>
          <w:sz w:val="28"/>
          <w:szCs w:val="28"/>
        </w:rPr>
      </w:pPr>
      <w:r w:rsidRPr="00B26D7F">
        <w:rPr>
          <w:b/>
          <w:sz w:val="28"/>
          <w:szCs w:val="28"/>
        </w:rPr>
        <w:t xml:space="preserve">Izveidojot </w:t>
      </w:r>
      <w:r w:rsidR="00851745" w:rsidRPr="00B26D7F">
        <w:rPr>
          <w:b/>
          <w:sz w:val="28"/>
          <w:szCs w:val="28"/>
        </w:rPr>
        <w:t>speciālo</w:t>
      </w:r>
      <w:r w:rsidRPr="00B26D7F">
        <w:rPr>
          <w:b/>
          <w:sz w:val="28"/>
          <w:szCs w:val="28"/>
        </w:rPr>
        <w:t xml:space="preserve"> tiesu, kļūst iespējams ne tikai šo dažādo komerctiesību jautājumu izskatīšanu koncentrēt vienuviet, bet arī attīstīt un paplašināt, pirmkārt, šīs konkrētās kompetences</w:t>
      </w:r>
      <w:r w:rsidRPr="00B26D7F">
        <w:rPr>
          <w:sz w:val="28"/>
          <w:szCs w:val="28"/>
        </w:rPr>
        <w:t xml:space="preserve">. Piemēram, paredzot, ka Ekonomisko lietu tiesa izskata visus kapitālsabiedrības dalībnieku strīdus, nevis tikai lietas par dalībnieku (akcionāru) sapulces lēmumu atzīšanu par spēkā neesošiem (t.s. reiderisma lietas). Tāpat paredzot, ka Ekonomisko lietu tiesa izskata ne tikai rūpnieciskā īpašuma strīdus, bet </w:t>
      </w:r>
      <w:r w:rsidR="00176096" w:rsidRPr="00B26D7F">
        <w:rPr>
          <w:sz w:val="28"/>
          <w:szCs w:val="28"/>
        </w:rPr>
        <w:t>visus</w:t>
      </w:r>
      <w:r w:rsidRPr="00B26D7F">
        <w:rPr>
          <w:sz w:val="28"/>
          <w:szCs w:val="28"/>
        </w:rPr>
        <w:t xml:space="preserve"> strīdus, kas saistīti ar intelektuālo īpašumu.</w:t>
      </w:r>
    </w:p>
    <w:p w14:paraId="569457EC" w14:textId="0759656A" w:rsidR="006C1E72" w:rsidRPr="00B26D7F" w:rsidRDefault="00904543" w:rsidP="00E51353">
      <w:pPr>
        <w:ind w:firstLine="720"/>
        <w:jc w:val="both"/>
        <w:rPr>
          <w:sz w:val="28"/>
          <w:szCs w:val="28"/>
        </w:rPr>
      </w:pPr>
      <w:r w:rsidRPr="00B26D7F">
        <w:rPr>
          <w:sz w:val="28"/>
          <w:szCs w:val="28"/>
        </w:rPr>
        <w:t>Esošā modeļa ietvaros šo specializāciju tvēruma attīstīšana</w:t>
      </w:r>
      <w:r w:rsidR="00851745" w:rsidRPr="00B26D7F">
        <w:rPr>
          <w:sz w:val="28"/>
          <w:szCs w:val="28"/>
        </w:rPr>
        <w:t xml:space="preserve"> (paplašināšana)</w:t>
      </w:r>
      <w:r w:rsidRPr="00B26D7F">
        <w:rPr>
          <w:sz w:val="28"/>
          <w:szCs w:val="28"/>
        </w:rPr>
        <w:t xml:space="preserve"> ir </w:t>
      </w:r>
      <w:r w:rsidR="006C1E72" w:rsidRPr="00B26D7F">
        <w:rPr>
          <w:sz w:val="28"/>
          <w:szCs w:val="28"/>
        </w:rPr>
        <w:t xml:space="preserve">diezgan </w:t>
      </w:r>
      <w:r w:rsidRPr="00B26D7F">
        <w:rPr>
          <w:sz w:val="28"/>
          <w:szCs w:val="28"/>
        </w:rPr>
        <w:t>ierobežota, jo jārēķinās</w:t>
      </w:r>
      <w:r w:rsidR="00851745" w:rsidRPr="00B26D7F">
        <w:rPr>
          <w:sz w:val="28"/>
          <w:szCs w:val="28"/>
        </w:rPr>
        <w:t>, piemēram,</w:t>
      </w:r>
      <w:r w:rsidRPr="00B26D7F">
        <w:rPr>
          <w:sz w:val="28"/>
          <w:szCs w:val="28"/>
        </w:rPr>
        <w:t xml:space="preserve"> ar katras no tiesām (Zemgales rajona tiesas, Rīgas pilsētas Vidzemes priekšpilsētas tiesas, Rīgas pilsētas Latgales priekšpilsētas tiesas) kapacitāti, kas nepieciešama vispārējās jurisdikcijas lietu izskatīšanas nodrošināšanai.</w:t>
      </w:r>
    </w:p>
    <w:p w14:paraId="28AC683F" w14:textId="77777777" w:rsidR="00FC6FEC" w:rsidRPr="00B26D7F" w:rsidRDefault="006C1E72" w:rsidP="006C1E72">
      <w:pPr>
        <w:ind w:firstLine="720"/>
        <w:jc w:val="both"/>
        <w:rPr>
          <w:sz w:val="28"/>
          <w:szCs w:val="28"/>
        </w:rPr>
      </w:pPr>
      <w:r w:rsidRPr="00B26D7F">
        <w:rPr>
          <w:sz w:val="28"/>
          <w:szCs w:val="28"/>
        </w:rPr>
        <w:t xml:space="preserve">Papildus uzsverams, ka </w:t>
      </w:r>
      <w:r w:rsidRPr="00B26D7F">
        <w:rPr>
          <w:b/>
          <w:sz w:val="28"/>
          <w:szCs w:val="28"/>
        </w:rPr>
        <w:t xml:space="preserve">būtisks ieguvums jaunas tiesas izveidei ir tas, ka kļūst iespējams ne tikai attīstīt jau esošās </w:t>
      </w:r>
      <w:proofErr w:type="spellStart"/>
      <w:r w:rsidRPr="00B26D7F">
        <w:rPr>
          <w:b/>
          <w:sz w:val="28"/>
          <w:szCs w:val="28"/>
        </w:rPr>
        <w:t>komercstrīdu</w:t>
      </w:r>
      <w:proofErr w:type="spellEnd"/>
      <w:r w:rsidRPr="00B26D7F">
        <w:rPr>
          <w:b/>
          <w:sz w:val="28"/>
          <w:szCs w:val="28"/>
        </w:rPr>
        <w:t xml:space="preserve"> specializācijas, bet nodrošināt specializāciju arī tādu uzņēmējdarbības vides tiesiskumam būtisku strīdu izskatīšanas specializāciju, kuri līdz šim ir bijuši piekritīgi </w:t>
      </w:r>
      <w:r w:rsidRPr="00B26D7F">
        <w:rPr>
          <w:b/>
          <w:sz w:val="28"/>
          <w:szCs w:val="28"/>
        </w:rPr>
        <w:lastRenderedPageBreak/>
        <w:t xml:space="preserve">tiesām vispārējā kārtībā. </w:t>
      </w:r>
      <w:r w:rsidRPr="00B26D7F">
        <w:rPr>
          <w:sz w:val="28"/>
          <w:szCs w:val="28"/>
        </w:rPr>
        <w:t>Uzņēmēju un investoru pārstāvji kā šādas lietu kategorijas ir norādījuši</w:t>
      </w:r>
      <w:r w:rsidRPr="00B26D7F">
        <w:rPr>
          <w:rStyle w:val="FootnoteReference"/>
          <w:sz w:val="28"/>
          <w:szCs w:val="28"/>
        </w:rPr>
        <w:footnoteReference w:id="22"/>
      </w:r>
      <w:r w:rsidRPr="00B26D7F">
        <w:rPr>
          <w:sz w:val="28"/>
          <w:szCs w:val="28"/>
        </w:rPr>
        <w:t xml:space="preserve">, piemēram: lietas, kas saistītas ar Finanšu instrumentu tirgus likuma, Finanšu nodrošinājuma likuma piemērošanu, publiskos reģistros ierakstītiem saistību nodrošinājuma līdzekļiem (to pilnīgas vai daļējas spēkā esamības apstrīdēšanu), kā arī liela apmēra </w:t>
      </w:r>
      <w:proofErr w:type="spellStart"/>
      <w:r w:rsidRPr="00B26D7F">
        <w:rPr>
          <w:sz w:val="28"/>
          <w:szCs w:val="28"/>
        </w:rPr>
        <w:t>komercstrīdi</w:t>
      </w:r>
      <w:proofErr w:type="spellEnd"/>
      <w:r w:rsidRPr="00B26D7F">
        <w:rPr>
          <w:sz w:val="28"/>
          <w:szCs w:val="28"/>
        </w:rPr>
        <w:t xml:space="preserve"> un tiesiskās aizsardzības procesu lietas.</w:t>
      </w:r>
    </w:p>
    <w:p w14:paraId="5D658D1B" w14:textId="47F2770B" w:rsidR="006C1E72" w:rsidRPr="00B26D7F" w:rsidRDefault="006C1E72" w:rsidP="006C1E72">
      <w:pPr>
        <w:ind w:firstLine="720"/>
        <w:jc w:val="both"/>
        <w:rPr>
          <w:b/>
          <w:sz w:val="28"/>
          <w:szCs w:val="28"/>
        </w:rPr>
      </w:pPr>
      <w:r w:rsidRPr="00B26D7F">
        <w:rPr>
          <w:sz w:val="28"/>
          <w:szCs w:val="28"/>
        </w:rPr>
        <w:t>Ta</w:t>
      </w:r>
      <w:r w:rsidR="00821BB8" w:rsidRPr="00B26D7F">
        <w:rPr>
          <w:sz w:val="28"/>
          <w:szCs w:val="28"/>
        </w:rPr>
        <w:t>jā</w:t>
      </w:r>
      <w:r w:rsidRPr="00B26D7F">
        <w:rPr>
          <w:sz w:val="28"/>
          <w:szCs w:val="28"/>
        </w:rPr>
        <w:t xml:space="preserve"> pa</w:t>
      </w:r>
      <w:r w:rsidR="00821BB8" w:rsidRPr="00B26D7F">
        <w:rPr>
          <w:sz w:val="28"/>
          <w:szCs w:val="28"/>
        </w:rPr>
        <w:t>š</w:t>
      </w:r>
      <w:r w:rsidR="004075A2" w:rsidRPr="00B26D7F">
        <w:rPr>
          <w:sz w:val="28"/>
          <w:szCs w:val="28"/>
        </w:rPr>
        <w:t>ā</w:t>
      </w:r>
      <w:r w:rsidRPr="00B26D7F">
        <w:rPr>
          <w:sz w:val="28"/>
          <w:szCs w:val="28"/>
        </w:rPr>
        <w:t xml:space="preserve"> laikā atzīmējams, ka </w:t>
      </w:r>
      <w:r w:rsidR="00821BB8" w:rsidRPr="00B26D7F">
        <w:rPr>
          <w:sz w:val="28"/>
          <w:szCs w:val="28"/>
        </w:rPr>
        <w:t>e</w:t>
      </w:r>
      <w:r w:rsidRPr="00B26D7F">
        <w:rPr>
          <w:sz w:val="28"/>
          <w:szCs w:val="28"/>
        </w:rPr>
        <w:t xml:space="preserve">fektīvs mehānisms </w:t>
      </w:r>
      <w:proofErr w:type="spellStart"/>
      <w:r w:rsidRPr="00B26D7F">
        <w:rPr>
          <w:sz w:val="28"/>
          <w:szCs w:val="28"/>
        </w:rPr>
        <w:t>komercstrīdu</w:t>
      </w:r>
      <w:proofErr w:type="spellEnd"/>
      <w:r w:rsidRPr="00B26D7F">
        <w:rPr>
          <w:sz w:val="28"/>
          <w:szCs w:val="28"/>
        </w:rPr>
        <w:t xml:space="preserve"> risināšanai nenoliedzami</w:t>
      </w:r>
      <w:r w:rsidR="00821BB8" w:rsidRPr="00B26D7F">
        <w:rPr>
          <w:sz w:val="28"/>
          <w:szCs w:val="28"/>
        </w:rPr>
        <w:t xml:space="preserve"> ir nozīmīgs</w:t>
      </w:r>
      <w:r w:rsidRPr="00B26D7F">
        <w:rPr>
          <w:sz w:val="28"/>
          <w:szCs w:val="28"/>
        </w:rPr>
        <w:t xml:space="preserve">, tomēr </w:t>
      </w:r>
      <w:r w:rsidRPr="00B26D7F">
        <w:rPr>
          <w:b/>
          <w:sz w:val="28"/>
          <w:szCs w:val="28"/>
        </w:rPr>
        <w:t xml:space="preserve">nedrīkst atstāt bez ievērības faktu, ka tikpat būtiski ir, lai valsts aktīvi cīnītos pret tādiem uzņēmējdarbības vides tiesiskumu graujošiem apstākļiem kā korupcija, naudas “atmazgāšana”, krāpšanas un piesavināšanās grupējumi, kā arī izvairīšanās no nodokļu nomaksas, kas veicina ēnu ekonomiku.  </w:t>
      </w:r>
    </w:p>
    <w:p w14:paraId="1BE32385" w14:textId="5339018B" w:rsidR="006C1E72" w:rsidRPr="00B26D7F" w:rsidRDefault="006C1E72" w:rsidP="006C1E72">
      <w:pPr>
        <w:ind w:firstLine="720"/>
        <w:jc w:val="both"/>
        <w:rPr>
          <w:sz w:val="28"/>
          <w:szCs w:val="28"/>
        </w:rPr>
      </w:pPr>
      <w:r w:rsidRPr="00B26D7F">
        <w:rPr>
          <w:sz w:val="28"/>
          <w:szCs w:val="28"/>
        </w:rPr>
        <w:t xml:space="preserve">Ievērojot minēto, </w:t>
      </w:r>
      <w:r w:rsidRPr="00B26D7F">
        <w:rPr>
          <w:b/>
          <w:sz w:val="28"/>
          <w:szCs w:val="28"/>
        </w:rPr>
        <w:t xml:space="preserve">mērķis veicināt investīciju un uzņēmējdarbības vides izaugsmi ilgtermiņā var tikt sasniegts tikai kompleksi, nodrošinot gan ātru un efektīvu </w:t>
      </w:r>
      <w:proofErr w:type="spellStart"/>
      <w:r w:rsidRPr="00B26D7F">
        <w:rPr>
          <w:b/>
          <w:sz w:val="28"/>
          <w:szCs w:val="28"/>
        </w:rPr>
        <w:t>komercstrīdu</w:t>
      </w:r>
      <w:proofErr w:type="spellEnd"/>
      <w:r w:rsidRPr="00B26D7F">
        <w:rPr>
          <w:b/>
          <w:sz w:val="28"/>
          <w:szCs w:val="28"/>
        </w:rPr>
        <w:t xml:space="preserve"> risināšanu civiltiesiskā kārtībā, gan nodrošinot, ka tie noziedzīgie nodarījumi, kas būtiski ietekmē investīciju vidi, tiek izskatīti tiesā ātri un profesionāli</w:t>
      </w:r>
      <w:r w:rsidRPr="00B26D7F">
        <w:rPr>
          <w:sz w:val="28"/>
          <w:szCs w:val="28"/>
        </w:rPr>
        <w:t xml:space="preserve">. </w:t>
      </w:r>
    </w:p>
    <w:p w14:paraId="4CFD0929" w14:textId="1025020C" w:rsidR="00851745" w:rsidRPr="00B26D7F" w:rsidRDefault="00851745" w:rsidP="006C1E72">
      <w:pPr>
        <w:ind w:firstLine="720"/>
        <w:jc w:val="both"/>
        <w:rPr>
          <w:b/>
          <w:sz w:val="28"/>
          <w:szCs w:val="28"/>
        </w:rPr>
      </w:pPr>
      <w:r w:rsidRPr="00B26D7F">
        <w:rPr>
          <w:sz w:val="28"/>
          <w:szCs w:val="28"/>
        </w:rPr>
        <w:t>Tāpat būtiski atzīmēt, ka</w:t>
      </w:r>
      <w:r w:rsidR="00FC6FEC" w:rsidRPr="00B26D7F">
        <w:rPr>
          <w:sz w:val="28"/>
          <w:szCs w:val="28"/>
        </w:rPr>
        <w:t xml:space="preserve"> jaunas speciālas tiesas izveidei</w:t>
      </w:r>
      <w:r w:rsidR="007E76A7" w:rsidRPr="00B26D7F">
        <w:rPr>
          <w:sz w:val="28"/>
          <w:szCs w:val="28"/>
        </w:rPr>
        <w:t>,</w:t>
      </w:r>
      <w:r w:rsidR="00FC6FEC" w:rsidRPr="00B26D7F">
        <w:rPr>
          <w:sz w:val="28"/>
          <w:szCs w:val="28"/>
        </w:rPr>
        <w:t xml:space="preserve"> salīdzinoši ar esošo sistēmu</w:t>
      </w:r>
      <w:r w:rsidR="007E76A7" w:rsidRPr="00B26D7F">
        <w:rPr>
          <w:sz w:val="28"/>
          <w:szCs w:val="28"/>
        </w:rPr>
        <w:t>,</w:t>
      </w:r>
      <w:r w:rsidR="00FC6FEC" w:rsidRPr="00B26D7F">
        <w:rPr>
          <w:sz w:val="28"/>
          <w:szCs w:val="28"/>
        </w:rPr>
        <w:t xml:space="preserve"> ir lielāks attīstības potenciāls</w:t>
      </w:r>
      <w:r w:rsidR="007E76A7" w:rsidRPr="00B26D7F">
        <w:rPr>
          <w:sz w:val="28"/>
          <w:szCs w:val="28"/>
        </w:rPr>
        <w:t>,</w:t>
      </w:r>
      <w:r w:rsidR="00FC6FEC" w:rsidRPr="00B26D7F">
        <w:rPr>
          <w:sz w:val="28"/>
          <w:szCs w:val="28"/>
        </w:rPr>
        <w:t xml:space="preserve"> un </w:t>
      </w:r>
      <w:r w:rsidR="00FC6FEC" w:rsidRPr="00B26D7F">
        <w:rPr>
          <w:b/>
          <w:sz w:val="28"/>
          <w:szCs w:val="28"/>
        </w:rPr>
        <w:t xml:space="preserve">jaunas speciālas tiesas izveide rada visus nepieciešamos priekšnosacījumus </w:t>
      </w:r>
      <w:proofErr w:type="spellStart"/>
      <w:r w:rsidR="00FC6FEC" w:rsidRPr="00B26D7F">
        <w:rPr>
          <w:b/>
          <w:sz w:val="28"/>
          <w:szCs w:val="28"/>
        </w:rPr>
        <w:t>komercstrīdu</w:t>
      </w:r>
      <w:proofErr w:type="spellEnd"/>
      <w:r w:rsidR="00FC6FEC" w:rsidRPr="00B26D7F">
        <w:rPr>
          <w:b/>
          <w:sz w:val="28"/>
          <w:szCs w:val="28"/>
        </w:rPr>
        <w:t xml:space="preserve"> specializācijas tālākai attīstībai arī turpmāk.</w:t>
      </w:r>
    </w:p>
    <w:p w14:paraId="23260971" w14:textId="77777777" w:rsidR="004075A2" w:rsidRDefault="002355B2" w:rsidP="00821BB8">
      <w:pPr>
        <w:ind w:firstLine="720"/>
        <w:jc w:val="both"/>
        <w:rPr>
          <w:sz w:val="28"/>
          <w:szCs w:val="28"/>
        </w:rPr>
      </w:pPr>
      <w:r w:rsidRPr="00303CC1">
        <w:rPr>
          <w:sz w:val="28"/>
          <w:szCs w:val="28"/>
        </w:rPr>
        <w:t>Finanšu noziegumu lietas nereti izskata</w:t>
      </w:r>
      <w:r w:rsidR="00111100" w:rsidRPr="00303CC1">
        <w:rPr>
          <w:sz w:val="28"/>
          <w:szCs w:val="28"/>
        </w:rPr>
        <w:t xml:space="preserve"> ilgi</w:t>
      </w:r>
      <w:r w:rsidRPr="00303CC1">
        <w:rPr>
          <w:sz w:val="28"/>
          <w:szCs w:val="28"/>
        </w:rPr>
        <w:t>, jo tiesnesim vajag ilgāku laiku, lai viņš spētu rūpīgi iedziļināties grāmatvedības dokumentos un citās lietas niansēs, saprastu, kā ticis pastrādāts attiecīgs nodarījums. Problēmas ir ar grāmatvedības un finanšu jomu, kurā tiesnesim jāiedziļinās un jāizprot saimnieciskā darbība. Jāsaprot finanšu darījumi, grāmatvedības uzskaite un kārtība</w:t>
      </w:r>
      <w:r w:rsidRPr="00303CC1">
        <w:rPr>
          <w:rStyle w:val="FootnoteReference"/>
          <w:sz w:val="28"/>
          <w:szCs w:val="28"/>
        </w:rPr>
        <w:footnoteReference w:id="23"/>
      </w:r>
      <w:r w:rsidRPr="00303CC1">
        <w:rPr>
          <w:sz w:val="28"/>
          <w:szCs w:val="28"/>
        </w:rPr>
        <w:t>.</w:t>
      </w:r>
      <w:r w:rsidRPr="00303CC1">
        <w:rPr>
          <w:rStyle w:val="FootnoteReference"/>
          <w:sz w:val="28"/>
          <w:szCs w:val="28"/>
        </w:rPr>
        <w:t xml:space="preserve"> </w:t>
      </w:r>
      <w:r w:rsidRPr="00303CC1">
        <w:rPr>
          <w:sz w:val="28"/>
          <w:szCs w:val="28"/>
        </w:rPr>
        <w:t xml:space="preserve"> Līdz ar to </w:t>
      </w:r>
      <w:proofErr w:type="spellStart"/>
      <w:r w:rsidRPr="00303CC1">
        <w:rPr>
          <w:sz w:val="28"/>
          <w:szCs w:val="28"/>
        </w:rPr>
        <w:t>prioritizēta</w:t>
      </w:r>
      <w:proofErr w:type="spellEnd"/>
      <w:r w:rsidRPr="00303CC1">
        <w:rPr>
          <w:sz w:val="28"/>
          <w:szCs w:val="28"/>
        </w:rPr>
        <w:t xml:space="preserve"> šādu lietu izskatīšana sekmētu ne tikai to kvalitatīvāku, bet arī to ātrāku izskatīšanu. </w:t>
      </w:r>
      <w:r w:rsidR="00821BB8" w:rsidRPr="00303CC1">
        <w:rPr>
          <w:sz w:val="28"/>
          <w:szCs w:val="28"/>
        </w:rPr>
        <w:t xml:space="preserve">Ātri un adekvāti kriminālsodi kalpo par lielisku </w:t>
      </w:r>
      <w:proofErr w:type="spellStart"/>
      <w:r w:rsidR="00821BB8" w:rsidRPr="00303CC1">
        <w:rPr>
          <w:sz w:val="28"/>
          <w:szCs w:val="28"/>
        </w:rPr>
        <w:t>prevenciju</w:t>
      </w:r>
      <w:proofErr w:type="spellEnd"/>
      <w:r w:rsidR="00821BB8" w:rsidRPr="00303CC1">
        <w:rPr>
          <w:sz w:val="28"/>
          <w:szCs w:val="28"/>
        </w:rPr>
        <w:t xml:space="preserve"> un palīdz izskaust attiecīgos noziegumus.</w:t>
      </w:r>
      <w:r w:rsidR="004075A2">
        <w:rPr>
          <w:sz w:val="28"/>
          <w:szCs w:val="28"/>
        </w:rPr>
        <w:t xml:space="preserve"> </w:t>
      </w:r>
    </w:p>
    <w:p w14:paraId="699F33EE" w14:textId="55C0F4C3" w:rsidR="00821BB8" w:rsidRPr="00B26D7F" w:rsidRDefault="00E254D4" w:rsidP="00E51353">
      <w:pPr>
        <w:ind w:firstLine="720"/>
        <w:jc w:val="both"/>
        <w:rPr>
          <w:sz w:val="28"/>
          <w:szCs w:val="28"/>
        </w:rPr>
      </w:pPr>
      <w:r w:rsidRPr="00B26D7F">
        <w:rPr>
          <w:sz w:val="28"/>
          <w:szCs w:val="28"/>
        </w:rPr>
        <w:t>Pamatojoties uz minēto</w:t>
      </w:r>
      <w:r w:rsidR="00176096" w:rsidRPr="00B26D7F">
        <w:rPr>
          <w:sz w:val="28"/>
          <w:szCs w:val="28"/>
        </w:rPr>
        <w:t xml:space="preserve">, kā arī ņemot vērā FICIL sniegtās rekomendācijas papildus specializējamo </w:t>
      </w:r>
      <w:proofErr w:type="spellStart"/>
      <w:r w:rsidR="00176096" w:rsidRPr="00B26D7F">
        <w:rPr>
          <w:sz w:val="28"/>
          <w:szCs w:val="28"/>
        </w:rPr>
        <w:t>komercstrīdu</w:t>
      </w:r>
      <w:proofErr w:type="spellEnd"/>
      <w:r w:rsidR="00176096" w:rsidRPr="00B26D7F">
        <w:rPr>
          <w:sz w:val="28"/>
          <w:szCs w:val="28"/>
        </w:rPr>
        <w:t xml:space="preserve"> lokam,</w:t>
      </w:r>
      <w:r w:rsidRPr="00B26D7F">
        <w:rPr>
          <w:sz w:val="28"/>
          <w:szCs w:val="28"/>
        </w:rPr>
        <w:t xml:space="preserve"> </w:t>
      </w:r>
      <w:r w:rsidRPr="00B26D7F">
        <w:rPr>
          <w:b/>
          <w:sz w:val="28"/>
          <w:szCs w:val="28"/>
        </w:rPr>
        <w:t>Ekonomisko lietu tiesas kompetencē būtu nododamas šādas civilprocesuālā kārtībā izskatāmas lietas</w:t>
      </w:r>
      <w:r w:rsidRPr="00B26D7F">
        <w:rPr>
          <w:sz w:val="28"/>
          <w:szCs w:val="28"/>
        </w:rPr>
        <w:t>:</w:t>
      </w:r>
    </w:p>
    <w:p w14:paraId="0A65BC37" w14:textId="3CE31FA3" w:rsidR="00E254D4" w:rsidRPr="00B26D7F" w:rsidRDefault="00E254D4" w:rsidP="00962301">
      <w:pPr>
        <w:ind w:left="1560" w:hanging="284"/>
        <w:jc w:val="both"/>
        <w:rPr>
          <w:sz w:val="28"/>
          <w:szCs w:val="28"/>
        </w:rPr>
      </w:pPr>
      <w:r w:rsidRPr="00B26D7F">
        <w:rPr>
          <w:sz w:val="28"/>
          <w:szCs w:val="28"/>
        </w:rPr>
        <w:t xml:space="preserve">1) lietas par </w:t>
      </w:r>
      <w:r w:rsidR="007E76A7" w:rsidRPr="00B26D7F">
        <w:rPr>
          <w:sz w:val="28"/>
          <w:szCs w:val="28"/>
        </w:rPr>
        <w:t xml:space="preserve">dalībnieku (akcionāru) savstarpējiem strīdiem, tajā skaitā lietas par </w:t>
      </w:r>
      <w:r w:rsidRPr="00B26D7F">
        <w:rPr>
          <w:sz w:val="28"/>
          <w:szCs w:val="28"/>
        </w:rPr>
        <w:t>kapitālsabiedrību dalībnieku (akcionāru) sapulces lēmumu atzīšanu par spēkā neesošiem;</w:t>
      </w:r>
    </w:p>
    <w:p w14:paraId="2F194912" w14:textId="379A58F0" w:rsidR="00E51353" w:rsidRPr="00B26D7F" w:rsidRDefault="00E254D4" w:rsidP="00962301">
      <w:pPr>
        <w:ind w:left="1560" w:hanging="284"/>
        <w:jc w:val="both"/>
        <w:rPr>
          <w:sz w:val="28"/>
          <w:szCs w:val="28"/>
        </w:rPr>
      </w:pPr>
      <w:r w:rsidRPr="00B26D7F">
        <w:rPr>
          <w:sz w:val="28"/>
          <w:szCs w:val="28"/>
        </w:rPr>
        <w:t xml:space="preserve">2) </w:t>
      </w:r>
      <w:r w:rsidR="00176096" w:rsidRPr="00B26D7F">
        <w:rPr>
          <w:sz w:val="28"/>
          <w:szCs w:val="28"/>
        </w:rPr>
        <w:t xml:space="preserve">strīdi, kas saistīti ar </w:t>
      </w:r>
      <w:r w:rsidR="00C52E30" w:rsidRPr="00B26D7F">
        <w:rPr>
          <w:sz w:val="28"/>
          <w:szCs w:val="28"/>
        </w:rPr>
        <w:t>intelektuālā īpašum</w:t>
      </w:r>
      <w:r w:rsidR="00176096" w:rsidRPr="00B26D7F">
        <w:rPr>
          <w:sz w:val="28"/>
          <w:szCs w:val="28"/>
        </w:rPr>
        <w:t>a tiesībām, tajā skaitā</w:t>
      </w:r>
      <w:r w:rsidR="00C52E30" w:rsidRPr="00B26D7F">
        <w:rPr>
          <w:sz w:val="28"/>
          <w:szCs w:val="28"/>
        </w:rPr>
        <w:t xml:space="preserve"> lietas par rūpnieciskā īpašuma tiesībām (patenti, dizainparaugi, pusvadītāju izstrādājumi, preču zīmes u.c.)</w:t>
      </w:r>
      <w:r w:rsidR="00176096" w:rsidRPr="00B26D7F">
        <w:rPr>
          <w:sz w:val="28"/>
          <w:szCs w:val="28"/>
        </w:rPr>
        <w:t>;</w:t>
      </w:r>
    </w:p>
    <w:p w14:paraId="64762A1B" w14:textId="1C277DEC" w:rsidR="00176096" w:rsidRPr="00B26D7F" w:rsidRDefault="00176096" w:rsidP="00962301">
      <w:pPr>
        <w:ind w:left="1560" w:hanging="284"/>
        <w:jc w:val="both"/>
        <w:rPr>
          <w:sz w:val="28"/>
          <w:szCs w:val="28"/>
        </w:rPr>
      </w:pPr>
      <w:r w:rsidRPr="00B26D7F">
        <w:rPr>
          <w:sz w:val="28"/>
          <w:szCs w:val="28"/>
        </w:rPr>
        <w:t>3) lietas par zaudējumu atlīdzināšanu par konkurences tiesību pārkāpumiem;</w:t>
      </w:r>
    </w:p>
    <w:p w14:paraId="7814F3A1" w14:textId="1599AA47" w:rsidR="00E51353" w:rsidRPr="00B26D7F" w:rsidRDefault="00176096" w:rsidP="00962301">
      <w:pPr>
        <w:ind w:left="1560" w:hanging="284"/>
        <w:jc w:val="both"/>
        <w:rPr>
          <w:sz w:val="28"/>
        </w:rPr>
      </w:pPr>
      <w:r w:rsidRPr="00B26D7F">
        <w:rPr>
          <w:sz w:val="28"/>
          <w:szCs w:val="28"/>
        </w:rPr>
        <w:lastRenderedPageBreak/>
        <w:t xml:space="preserve">4) lietas, kas izriet no </w:t>
      </w:r>
      <w:r w:rsidRPr="00B26D7F">
        <w:rPr>
          <w:sz w:val="28"/>
        </w:rPr>
        <w:t>F</w:t>
      </w:r>
      <w:r w:rsidR="00E51353" w:rsidRPr="00B26D7F">
        <w:rPr>
          <w:sz w:val="28"/>
        </w:rPr>
        <w:t>inanšu instrumentu tirgus likuma</w:t>
      </w:r>
      <w:r w:rsidR="00927692" w:rsidRPr="00B26D7F">
        <w:rPr>
          <w:sz w:val="28"/>
        </w:rPr>
        <w:t xml:space="preserve"> piemērošan</w:t>
      </w:r>
      <w:r w:rsidRPr="00B26D7F">
        <w:rPr>
          <w:sz w:val="28"/>
        </w:rPr>
        <w:t>as</w:t>
      </w:r>
      <w:r w:rsidR="00E51353" w:rsidRPr="00B26D7F">
        <w:rPr>
          <w:sz w:val="28"/>
        </w:rPr>
        <w:t>;</w:t>
      </w:r>
    </w:p>
    <w:p w14:paraId="599E1554" w14:textId="43262A94" w:rsidR="00176096" w:rsidRPr="00B26D7F" w:rsidRDefault="00176096" w:rsidP="00962301">
      <w:pPr>
        <w:ind w:left="1560" w:hanging="284"/>
        <w:jc w:val="both"/>
        <w:rPr>
          <w:sz w:val="28"/>
        </w:rPr>
      </w:pPr>
      <w:r w:rsidRPr="00B26D7F">
        <w:rPr>
          <w:sz w:val="28"/>
        </w:rPr>
        <w:t xml:space="preserve">5) </w:t>
      </w:r>
      <w:r w:rsidRPr="00B26D7F">
        <w:rPr>
          <w:sz w:val="28"/>
          <w:szCs w:val="28"/>
        </w:rPr>
        <w:t>lietas, kas izriet no</w:t>
      </w:r>
      <w:r w:rsidRPr="00B26D7F">
        <w:rPr>
          <w:sz w:val="28"/>
        </w:rPr>
        <w:t xml:space="preserve"> Finanšu nodrošinājuma likuma piemērošanas;</w:t>
      </w:r>
    </w:p>
    <w:p w14:paraId="1C202491" w14:textId="04DC0946" w:rsidR="00927692" w:rsidRPr="00B26D7F" w:rsidRDefault="00176096" w:rsidP="00962301">
      <w:pPr>
        <w:ind w:left="1560" w:hanging="284"/>
        <w:jc w:val="both"/>
        <w:rPr>
          <w:sz w:val="28"/>
          <w:szCs w:val="28"/>
        </w:rPr>
      </w:pPr>
      <w:r w:rsidRPr="00B26D7F">
        <w:rPr>
          <w:sz w:val="28"/>
        </w:rPr>
        <w:t xml:space="preserve">6) lietas par </w:t>
      </w:r>
      <w:r w:rsidR="00927692" w:rsidRPr="00B26D7F">
        <w:rPr>
          <w:sz w:val="28"/>
          <w:szCs w:val="28"/>
        </w:rPr>
        <w:t>publiskos reģistros ierakstītiem saistību nodrošinājuma līdzekļiem (to pilnīgas vai daļējas spēkā esamības vai piemērojamības apstrīdēšanu);</w:t>
      </w:r>
    </w:p>
    <w:p w14:paraId="31F4EB5F" w14:textId="461965BA" w:rsidR="00927692" w:rsidRPr="00B26D7F" w:rsidRDefault="00176096" w:rsidP="00962301">
      <w:pPr>
        <w:ind w:left="1560" w:hanging="284"/>
        <w:jc w:val="both"/>
        <w:rPr>
          <w:sz w:val="28"/>
          <w:szCs w:val="28"/>
        </w:rPr>
      </w:pPr>
      <w:r w:rsidRPr="00B26D7F">
        <w:rPr>
          <w:sz w:val="28"/>
          <w:szCs w:val="28"/>
        </w:rPr>
        <w:t xml:space="preserve">7) </w:t>
      </w:r>
      <w:r w:rsidR="00927692" w:rsidRPr="00B26D7F">
        <w:rPr>
          <w:sz w:val="28"/>
          <w:szCs w:val="28"/>
        </w:rPr>
        <w:t xml:space="preserve">investīciju aizsardzības normatīvā regulējuma jautājumiem, ciktāl tie ir Latvijas tiesu jurisdikcijas kompetencē; </w:t>
      </w:r>
    </w:p>
    <w:p w14:paraId="18C70EAC" w14:textId="5BABB367" w:rsidR="00314C95" w:rsidRPr="00B26D7F" w:rsidRDefault="00176096" w:rsidP="00962301">
      <w:pPr>
        <w:ind w:left="1560" w:hanging="284"/>
        <w:jc w:val="both"/>
        <w:rPr>
          <w:sz w:val="28"/>
          <w:szCs w:val="28"/>
        </w:rPr>
      </w:pPr>
      <w:r w:rsidRPr="00B26D7F">
        <w:rPr>
          <w:sz w:val="28"/>
          <w:szCs w:val="28"/>
        </w:rPr>
        <w:t>8) </w:t>
      </w:r>
      <w:r w:rsidR="00927692" w:rsidRPr="00B26D7F">
        <w:rPr>
          <w:sz w:val="28"/>
          <w:szCs w:val="28"/>
        </w:rPr>
        <w:t xml:space="preserve">liela apjoma prasībām </w:t>
      </w:r>
      <w:proofErr w:type="spellStart"/>
      <w:r w:rsidR="00927692" w:rsidRPr="00B26D7F">
        <w:rPr>
          <w:sz w:val="28"/>
          <w:szCs w:val="28"/>
        </w:rPr>
        <w:t>komercstrīdos</w:t>
      </w:r>
      <w:proofErr w:type="spellEnd"/>
      <w:r w:rsidR="00927692" w:rsidRPr="00B26D7F">
        <w:rPr>
          <w:rStyle w:val="FootnoteReference"/>
          <w:sz w:val="28"/>
          <w:szCs w:val="28"/>
        </w:rPr>
        <w:footnoteReference w:id="24"/>
      </w:r>
      <w:r w:rsidR="00927692" w:rsidRPr="00B26D7F">
        <w:rPr>
          <w:sz w:val="28"/>
          <w:szCs w:val="28"/>
        </w:rPr>
        <w:t xml:space="preserve">, piemēram, </w:t>
      </w:r>
      <w:r w:rsidR="00927692" w:rsidRPr="00B26D7F">
        <w:rPr>
          <w:sz w:val="28"/>
        </w:rPr>
        <w:t>kā papildu kritēriju nosakot prasības minimālo summu, piemēram</w:t>
      </w:r>
      <w:r w:rsidR="00962301" w:rsidRPr="00B26D7F">
        <w:rPr>
          <w:sz w:val="28"/>
        </w:rPr>
        <w:t>,</w:t>
      </w:r>
      <w:r w:rsidR="00927692" w:rsidRPr="00B26D7F">
        <w:rPr>
          <w:sz w:val="28"/>
        </w:rPr>
        <w:t xml:space="preserve"> </w:t>
      </w:r>
      <w:r w:rsidR="00962301" w:rsidRPr="00B26D7F">
        <w:rPr>
          <w:sz w:val="28"/>
        </w:rPr>
        <w:t>500 tūkst</w:t>
      </w:r>
      <w:r w:rsidR="00927692" w:rsidRPr="00B26D7F">
        <w:rPr>
          <w:sz w:val="28"/>
        </w:rPr>
        <w:t>.</w:t>
      </w:r>
      <w:r w:rsidR="0049431F" w:rsidRPr="00B26D7F">
        <w:rPr>
          <w:sz w:val="28"/>
        </w:rPr>
        <w:t xml:space="preserve"> </w:t>
      </w:r>
      <w:proofErr w:type="spellStart"/>
      <w:r w:rsidR="00927692" w:rsidRPr="00B26D7F">
        <w:rPr>
          <w:i/>
          <w:sz w:val="28"/>
        </w:rPr>
        <w:t>e</w:t>
      </w:r>
      <w:r w:rsidR="0049431F" w:rsidRPr="00B26D7F">
        <w:rPr>
          <w:i/>
          <w:sz w:val="28"/>
        </w:rPr>
        <w:t>u</w:t>
      </w:r>
      <w:r w:rsidR="00927692" w:rsidRPr="00B26D7F">
        <w:rPr>
          <w:i/>
          <w:sz w:val="28"/>
        </w:rPr>
        <w:t>ro</w:t>
      </w:r>
      <w:proofErr w:type="spellEnd"/>
      <w:r w:rsidR="00927692" w:rsidRPr="00B26D7F">
        <w:rPr>
          <w:sz w:val="28"/>
          <w:szCs w:val="28"/>
        </w:rPr>
        <w:t>;</w:t>
      </w:r>
    </w:p>
    <w:p w14:paraId="2922A6CE" w14:textId="14C8AB71" w:rsidR="00176096" w:rsidRPr="00B26D7F" w:rsidRDefault="00176096" w:rsidP="00962301">
      <w:pPr>
        <w:ind w:left="1560" w:hanging="284"/>
        <w:jc w:val="both"/>
        <w:rPr>
          <w:sz w:val="28"/>
          <w:szCs w:val="28"/>
        </w:rPr>
      </w:pPr>
      <w:r w:rsidRPr="00B26D7F">
        <w:rPr>
          <w:sz w:val="28"/>
          <w:szCs w:val="28"/>
        </w:rPr>
        <w:t xml:space="preserve">9) </w:t>
      </w:r>
      <w:r w:rsidR="007E76A7" w:rsidRPr="00B26D7F">
        <w:rPr>
          <w:sz w:val="28"/>
          <w:szCs w:val="28"/>
        </w:rPr>
        <w:t>t</w:t>
      </w:r>
      <w:r w:rsidRPr="00B26D7F">
        <w:rPr>
          <w:sz w:val="28"/>
          <w:szCs w:val="28"/>
        </w:rPr>
        <w:t>iesiskās aizsardzības procesa lietas;</w:t>
      </w:r>
    </w:p>
    <w:p w14:paraId="7165DBE6" w14:textId="12178D66" w:rsidR="007E76A7" w:rsidRPr="00B26D7F" w:rsidRDefault="007E76A7" w:rsidP="00962301">
      <w:pPr>
        <w:ind w:left="1560" w:hanging="284"/>
        <w:jc w:val="both"/>
      </w:pPr>
      <w:r w:rsidRPr="00B26D7F">
        <w:rPr>
          <w:sz w:val="28"/>
          <w:szCs w:val="28"/>
        </w:rPr>
        <w:t>10)</w:t>
      </w:r>
      <w:r w:rsidRPr="00B26D7F">
        <w:rPr>
          <w:sz w:val="28"/>
        </w:rPr>
        <w:t xml:space="preserve"> iespējams arī lietas par šķīrējtiesas līguma atzīšanu par spēkā neesošu, un lietas par izpildu raksta izsniegšanu pastāvīgās šķīrējtiesas sprieduma piespiedu izpildei;</w:t>
      </w:r>
    </w:p>
    <w:p w14:paraId="56D35B40" w14:textId="251A9D44" w:rsidR="00E51353" w:rsidRPr="00B26D7F" w:rsidRDefault="00176096" w:rsidP="00962301">
      <w:pPr>
        <w:ind w:left="1560" w:hanging="284"/>
        <w:jc w:val="both"/>
        <w:rPr>
          <w:sz w:val="28"/>
        </w:rPr>
      </w:pPr>
      <w:r w:rsidRPr="00B26D7F">
        <w:rPr>
          <w:sz w:val="28"/>
        </w:rPr>
        <w:t>1</w:t>
      </w:r>
      <w:r w:rsidR="007E76A7" w:rsidRPr="00B26D7F">
        <w:rPr>
          <w:sz w:val="28"/>
        </w:rPr>
        <w:t>1</w:t>
      </w:r>
      <w:r w:rsidRPr="00B26D7F">
        <w:rPr>
          <w:sz w:val="28"/>
        </w:rPr>
        <w:t xml:space="preserve">) </w:t>
      </w:r>
      <w:r w:rsidRPr="00B26D7F">
        <w:rPr>
          <w:sz w:val="28"/>
          <w:szCs w:val="28"/>
        </w:rPr>
        <w:t xml:space="preserve">lietas, kas izriet no </w:t>
      </w:r>
      <w:r w:rsidR="00E51353" w:rsidRPr="00B26D7F">
        <w:rPr>
          <w:sz w:val="28"/>
        </w:rPr>
        <w:t>Koncernu likum</w:t>
      </w:r>
      <w:r w:rsidR="00927692" w:rsidRPr="00B26D7F">
        <w:rPr>
          <w:sz w:val="28"/>
        </w:rPr>
        <w:t>a piemērošan</w:t>
      </w:r>
      <w:r w:rsidRPr="00B26D7F">
        <w:rPr>
          <w:sz w:val="28"/>
        </w:rPr>
        <w:t>as</w:t>
      </w:r>
      <w:r w:rsidR="00927692" w:rsidRPr="00B26D7F">
        <w:rPr>
          <w:rStyle w:val="FootnoteReference"/>
          <w:sz w:val="28"/>
        </w:rPr>
        <w:footnoteReference w:id="25"/>
      </w:r>
      <w:r w:rsidR="00E51353" w:rsidRPr="00B26D7F">
        <w:rPr>
          <w:sz w:val="28"/>
        </w:rPr>
        <w:t xml:space="preserve">. </w:t>
      </w:r>
    </w:p>
    <w:p w14:paraId="04DA348C" w14:textId="34ADF902" w:rsidR="00314C95" w:rsidRPr="00B26D7F" w:rsidRDefault="00314C95" w:rsidP="00314C95">
      <w:pPr>
        <w:ind w:firstLine="720"/>
        <w:jc w:val="both"/>
        <w:rPr>
          <w:b/>
          <w:sz w:val="28"/>
          <w:szCs w:val="28"/>
        </w:rPr>
      </w:pPr>
      <w:r w:rsidRPr="00B26D7F">
        <w:rPr>
          <w:sz w:val="28"/>
          <w:szCs w:val="28"/>
        </w:rPr>
        <w:t xml:space="preserve">Savukārt, vērtējot specializācijas tvērumu no krimināltiesiskā viedokļa, būtu nosakāms, ka </w:t>
      </w:r>
      <w:r w:rsidR="00176096" w:rsidRPr="00B26D7F">
        <w:rPr>
          <w:b/>
          <w:sz w:val="28"/>
          <w:szCs w:val="28"/>
        </w:rPr>
        <w:t xml:space="preserve">Ekonomisko lietu </w:t>
      </w:r>
      <w:r w:rsidRPr="00B26D7F">
        <w:rPr>
          <w:b/>
          <w:sz w:val="28"/>
          <w:szCs w:val="28"/>
        </w:rPr>
        <w:t>tiesa</w:t>
      </w:r>
      <w:r w:rsidR="00B17CC1" w:rsidRPr="00B26D7F">
        <w:rPr>
          <w:b/>
          <w:sz w:val="28"/>
          <w:szCs w:val="28"/>
        </w:rPr>
        <w:t>s kompetence</w:t>
      </w:r>
      <w:r w:rsidRPr="00B26D7F">
        <w:rPr>
          <w:b/>
          <w:sz w:val="28"/>
          <w:szCs w:val="28"/>
        </w:rPr>
        <w:t xml:space="preserve"> aptvert</w:t>
      </w:r>
      <w:r w:rsidR="007E76A7" w:rsidRPr="00B26D7F">
        <w:rPr>
          <w:b/>
          <w:sz w:val="28"/>
          <w:szCs w:val="28"/>
        </w:rPr>
        <w:t>u</w:t>
      </w:r>
      <w:r w:rsidR="00176096" w:rsidRPr="00B26D7F">
        <w:rPr>
          <w:b/>
          <w:sz w:val="28"/>
          <w:szCs w:val="28"/>
        </w:rPr>
        <w:t xml:space="preserve"> lietas par šādiem</w:t>
      </w:r>
      <w:r w:rsidRPr="00B26D7F">
        <w:rPr>
          <w:b/>
          <w:sz w:val="28"/>
          <w:szCs w:val="28"/>
        </w:rPr>
        <w:t xml:space="preserve"> noziedzīg</w:t>
      </w:r>
      <w:r w:rsidR="00176096" w:rsidRPr="00B26D7F">
        <w:rPr>
          <w:b/>
          <w:sz w:val="28"/>
          <w:szCs w:val="28"/>
        </w:rPr>
        <w:t>iem</w:t>
      </w:r>
      <w:r w:rsidRPr="00B26D7F">
        <w:rPr>
          <w:b/>
          <w:sz w:val="28"/>
          <w:szCs w:val="28"/>
        </w:rPr>
        <w:t xml:space="preserve"> nodarījum</w:t>
      </w:r>
      <w:r w:rsidR="00176096" w:rsidRPr="00B26D7F">
        <w:rPr>
          <w:b/>
          <w:sz w:val="28"/>
          <w:szCs w:val="28"/>
        </w:rPr>
        <w:t>iem</w:t>
      </w:r>
      <w:r w:rsidRPr="00B26D7F">
        <w:rPr>
          <w:b/>
          <w:sz w:val="28"/>
          <w:szCs w:val="28"/>
        </w:rPr>
        <w:t>:</w:t>
      </w:r>
    </w:p>
    <w:p w14:paraId="219279F5" w14:textId="57C3952D" w:rsidR="00E51353" w:rsidRPr="00B26D7F" w:rsidRDefault="0049431F" w:rsidP="00314C95">
      <w:pPr>
        <w:pStyle w:val="ListParagraph"/>
        <w:numPr>
          <w:ilvl w:val="1"/>
          <w:numId w:val="38"/>
        </w:numPr>
        <w:jc w:val="both"/>
        <w:rPr>
          <w:rFonts w:ascii="Times New Roman" w:hAnsi="Times New Roman"/>
          <w:sz w:val="28"/>
          <w:szCs w:val="28"/>
        </w:rPr>
      </w:pPr>
      <w:r w:rsidRPr="00B26D7F">
        <w:rPr>
          <w:rFonts w:ascii="Times New Roman" w:hAnsi="Times New Roman"/>
          <w:sz w:val="28"/>
          <w:szCs w:val="28"/>
        </w:rPr>
        <w:t>k</w:t>
      </w:r>
      <w:r w:rsidR="00E51353" w:rsidRPr="00B26D7F">
        <w:rPr>
          <w:rFonts w:ascii="Times New Roman" w:hAnsi="Times New Roman"/>
          <w:sz w:val="28"/>
          <w:szCs w:val="28"/>
        </w:rPr>
        <w:t>rāpšana, piesavināšanās</w:t>
      </w:r>
      <w:r w:rsidR="00314C95" w:rsidRPr="00B26D7F">
        <w:rPr>
          <w:rFonts w:ascii="Times New Roman" w:hAnsi="Times New Roman"/>
          <w:sz w:val="28"/>
          <w:szCs w:val="28"/>
        </w:rPr>
        <w:t>, ja tā veikta</w:t>
      </w:r>
      <w:r w:rsidR="00E51353" w:rsidRPr="00B26D7F">
        <w:rPr>
          <w:rFonts w:ascii="Times New Roman" w:hAnsi="Times New Roman"/>
          <w:sz w:val="28"/>
          <w:szCs w:val="28"/>
        </w:rPr>
        <w:t xml:space="preserve"> lielā apmērā</w:t>
      </w:r>
      <w:r w:rsidR="00314C95" w:rsidRPr="00B26D7F">
        <w:rPr>
          <w:rFonts w:ascii="Times New Roman" w:hAnsi="Times New Roman"/>
          <w:sz w:val="28"/>
          <w:szCs w:val="28"/>
        </w:rPr>
        <w:t xml:space="preserve">, </w:t>
      </w:r>
      <w:r w:rsidR="00E51353" w:rsidRPr="00B26D7F">
        <w:rPr>
          <w:rFonts w:ascii="Times New Roman" w:hAnsi="Times New Roman"/>
          <w:sz w:val="28"/>
          <w:szCs w:val="28"/>
        </w:rPr>
        <w:t>organizētā grupā vai grupā pēc iepriekšējas vienošanās;</w:t>
      </w:r>
    </w:p>
    <w:p w14:paraId="0B5D7A3C" w14:textId="053EB299" w:rsidR="00E51353" w:rsidRPr="00B26D7F" w:rsidRDefault="0049431F" w:rsidP="00314C95">
      <w:pPr>
        <w:pStyle w:val="ListParagraph"/>
        <w:numPr>
          <w:ilvl w:val="1"/>
          <w:numId w:val="38"/>
        </w:numPr>
        <w:jc w:val="both"/>
        <w:rPr>
          <w:rFonts w:ascii="Times New Roman" w:hAnsi="Times New Roman"/>
          <w:sz w:val="28"/>
          <w:szCs w:val="28"/>
        </w:rPr>
      </w:pPr>
      <w:r w:rsidRPr="00B26D7F">
        <w:rPr>
          <w:rFonts w:ascii="Times New Roman" w:hAnsi="Times New Roman"/>
          <w:sz w:val="28"/>
          <w:szCs w:val="28"/>
        </w:rPr>
        <w:t>n</w:t>
      </w:r>
      <w:r w:rsidR="00E51353" w:rsidRPr="00B26D7F">
        <w:rPr>
          <w:rFonts w:ascii="Times New Roman" w:hAnsi="Times New Roman"/>
          <w:sz w:val="28"/>
          <w:szCs w:val="28"/>
        </w:rPr>
        <w:t>oziedzīgi iegūtu līdzekļu legalizēšana;</w:t>
      </w:r>
    </w:p>
    <w:p w14:paraId="1C26F530" w14:textId="5156437D" w:rsidR="00E51353" w:rsidRPr="00B26D7F" w:rsidRDefault="0049431F" w:rsidP="00314C95">
      <w:pPr>
        <w:pStyle w:val="ListParagraph"/>
        <w:numPr>
          <w:ilvl w:val="1"/>
          <w:numId w:val="38"/>
        </w:numPr>
        <w:jc w:val="both"/>
        <w:rPr>
          <w:rFonts w:ascii="Times New Roman" w:hAnsi="Times New Roman"/>
          <w:sz w:val="28"/>
          <w:szCs w:val="28"/>
        </w:rPr>
      </w:pPr>
      <w:r w:rsidRPr="00B26D7F">
        <w:rPr>
          <w:rFonts w:ascii="Times New Roman" w:hAnsi="Times New Roman"/>
          <w:sz w:val="28"/>
          <w:szCs w:val="28"/>
        </w:rPr>
        <w:t>i</w:t>
      </w:r>
      <w:r w:rsidR="00E51353" w:rsidRPr="00B26D7F">
        <w:rPr>
          <w:rFonts w:ascii="Times New Roman" w:hAnsi="Times New Roman"/>
          <w:sz w:val="28"/>
          <w:szCs w:val="28"/>
        </w:rPr>
        <w:t>zvairīšanās no nodokļu nomaksas;</w:t>
      </w:r>
    </w:p>
    <w:p w14:paraId="1D98FE6B" w14:textId="7567FD2E" w:rsidR="00E51353" w:rsidRPr="00B26D7F" w:rsidRDefault="0049431F" w:rsidP="00314C95">
      <w:pPr>
        <w:pStyle w:val="ListParagraph"/>
        <w:numPr>
          <w:ilvl w:val="1"/>
          <w:numId w:val="38"/>
        </w:numPr>
        <w:jc w:val="both"/>
        <w:rPr>
          <w:rFonts w:ascii="Times New Roman" w:hAnsi="Times New Roman"/>
          <w:sz w:val="28"/>
          <w:szCs w:val="28"/>
        </w:rPr>
      </w:pPr>
      <w:r w:rsidRPr="00B26D7F">
        <w:rPr>
          <w:rFonts w:ascii="Times New Roman" w:hAnsi="Times New Roman"/>
          <w:sz w:val="28"/>
          <w:szCs w:val="28"/>
        </w:rPr>
        <w:t>k</w:t>
      </w:r>
      <w:r w:rsidR="00E51353" w:rsidRPr="00B26D7F">
        <w:rPr>
          <w:rFonts w:ascii="Times New Roman" w:hAnsi="Times New Roman"/>
          <w:sz w:val="28"/>
          <w:szCs w:val="28"/>
        </w:rPr>
        <w:t>oruptīvie noziedzīgi nodarījumi</w:t>
      </w:r>
      <w:r w:rsidR="00314C95" w:rsidRPr="00B26D7F">
        <w:rPr>
          <w:rFonts w:ascii="Times New Roman" w:hAnsi="Times New Roman"/>
          <w:sz w:val="28"/>
          <w:szCs w:val="28"/>
        </w:rPr>
        <w:t>, ko</w:t>
      </w:r>
      <w:r w:rsidR="00E51353" w:rsidRPr="00B26D7F">
        <w:rPr>
          <w:rFonts w:ascii="Times New Roman" w:hAnsi="Times New Roman"/>
          <w:sz w:val="28"/>
          <w:szCs w:val="28"/>
        </w:rPr>
        <w:t xml:space="preserve"> izdarījusi valsts amatpersona vai amatpersona, kas ieņem atbildīgu stāvokli vai ja kukulis pieņemts pēc tā izspiešanas vai pieprasīšanas.</w:t>
      </w:r>
    </w:p>
    <w:p w14:paraId="20323965" w14:textId="7E0586B2" w:rsidR="008B1F63" w:rsidRPr="00303CC1" w:rsidRDefault="0097028F" w:rsidP="008E0459">
      <w:pPr>
        <w:ind w:firstLine="720"/>
        <w:jc w:val="both"/>
        <w:rPr>
          <w:sz w:val="28"/>
          <w:szCs w:val="28"/>
        </w:rPr>
      </w:pPr>
      <w:r w:rsidRPr="00303CC1">
        <w:rPr>
          <w:sz w:val="28"/>
          <w:szCs w:val="28"/>
        </w:rPr>
        <w:t>Iepriekš minēto krimināllietu uzskaitījums definēts atbilstoši Noziedzīgi iegūtu līdzekļu legalizācijas novēršanas dienesta un Ģenerālprokuratūras viedokļiem, tostarp, ņemot vērā</w:t>
      </w:r>
      <w:r w:rsidR="008B1F63" w:rsidRPr="00303CC1">
        <w:rPr>
          <w:sz w:val="28"/>
          <w:szCs w:val="28"/>
        </w:rPr>
        <w:t xml:space="preserve"> 2018.</w:t>
      </w:r>
      <w:r w:rsidR="009A4CB5" w:rsidRPr="00303CC1">
        <w:rPr>
          <w:sz w:val="28"/>
          <w:szCs w:val="28"/>
        </w:rPr>
        <w:t> </w:t>
      </w:r>
      <w:r w:rsidR="008B1F63" w:rsidRPr="00303CC1">
        <w:rPr>
          <w:sz w:val="28"/>
          <w:szCs w:val="28"/>
        </w:rPr>
        <w:t>gada 22.</w:t>
      </w:r>
      <w:r w:rsidR="009A4CB5" w:rsidRPr="00303CC1">
        <w:rPr>
          <w:sz w:val="28"/>
          <w:szCs w:val="28"/>
        </w:rPr>
        <w:t> </w:t>
      </w:r>
      <w:r w:rsidR="008B1F63" w:rsidRPr="00303CC1">
        <w:rPr>
          <w:sz w:val="28"/>
          <w:szCs w:val="28"/>
        </w:rPr>
        <w:t>jūnija Latvijas Nacionālajā noziedzīgi iegūtu līdzekļu legalizācijas un terorisma finansēšanas risku novērtēšanas ziņojumā, kā arī Ministru kabineta 2018.</w:t>
      </w:r>
      <w:r w:rsidR="009A4CB5" w:rsidRPr="00303CC1">
        <w:rPr>
          <w:sz w:val="28"/>
          <w:szCs w:val="28"/>
        </w:rPr>
        <w:t> </w:t>
      </w:r>
      <w:r w:rsidR="008B1F63" w:rsidRPr="00303CC1">
        <w:rPr>
          <w:sz w:val="28"/>
          <w:szCs w:val="28"/>
        </w:rPr>
        <w:t>gada 11.</w:t>
      </w:r>
      <w:r w:rsidR="009A4CB5" w:rsidRPr="00303CC1">
        <w:rPr>
          <w:sz w:val="28"/>
          <w:szCs w:val="28"/>
        </w:rPr>
        <w:t> </w:t>
      </w:r>
      <w:r w:rsidR="008B1F63" w:rsidRPr="00303CC1">
        <w:rPr>
          <w:sz w:val="28"/>
          <w:szCs w:val="28"/>
        </w:rPr>
        <w:t>oktobra rīkojumā Nr.</w:t>
      </w:r>
      <w:r w:rsidR="009A4CB5" w:rsidRPr="00303CC1">
        <w:rPr>
          <w:sz w:val="28"/>
          <w:szCs w:val="28"/>
        </w:rPr>
        <w:t> </w:t>
      </w:r>
      <w:r w:rsidR="008B1F63" w:rsidRPr="00303CC1">
        <w:rPr>
          <w:sz w:val="28"/>
          <w:szCs w:val="28"/>
        </w:rPr>
        <w:t>512 "Par Pasākumu plānu noziedzīgi iegūtu līdzekļu legalizācijas un terorisma finansēšanas novēršanai laikposmam līdz 2019.</w:t>
      </w:r>
      <w:r w:rsidR="009A4CB5" w:rsidRPr="00303CC1">
        <w:rPr>
          <w:sz w:val="28"/>
          <w:szCs w:val="28"/>
        </w:rPr>
        <w:t> </w:t>
      </w:r>
      <w:r w:rsidR="008B1F63" w:rsidRPr="00303CC1">
        <w:rPr>
          <w:sz w:val="28"/>
          <w:szCs w:val="28"/>
        </w:rPr>
        <w:t>gada 31.</w:t>
      </w:r>
      <w:r w:rsidR="009A4CB5" w:rsidRPr="00303CC1">
        <w:rPr>
          <w:sz w:val="28"/>
          <w:szCs w:val="28"/>
        </w:rPr>
        <w:t> </w:t>
      </w:r>
      <w:r w:rsidR="008B1F63" w:rsidRPr="00303CC1">
        <w:rPr>
          <w:sz w:val="28"/>
          <w:szCs w:val="28"/>
        </w:rPr>
        <w:t>decembrim" norādīt</w:t>
      </w:r>
      <w:r w:rsidR="00CA5CB4" w:rsidRPr="00303CC1">
        <w:rPr>
          <w:sz w:val="28"/>
          <w:szCs w:val="28"/>
        </w:rPr>
        <w:t>o</w:t>
      </w:r>
      <w:r w:rsidR="008B1F63" w:rsidRPr="00303CC1">
        <w:rPr>
          <w:sz w:val="28"/>
          <w:szCs w:val="28"/>
        </w:rPr>
        <w:t xml:space="preserve"> par būtiskākajiem draudiem attiecībā uz noziedzīgiem nodarījumiem noziedzīgi iegūtu līdzekļu legalizācijas jomā. Vienlaikus </w:t>
      </w:r>
      <w:r w:rsidR="00127AB8" w:rsidRPr="00303CC1">
        <w:rPr>
          <w:sz w:val="28"/>
          <w:szCs w:val="28"/>
        </w:rPr>
        <w:t xml:space="preserve">risinājuma ieviešanai nepieciešamo </w:t>
      </w:r>
      <w:r w:rsidR="008B1F63" w:rsidRPr="00303CC1">
        <w:rPr>
          <w:sz w:val="28"/>
          <w:szCs w:val="28"/>
        </w:rPr>
        <w:t xml:space="preserve">likumprojektu izstrādes ietvaros būtu vērtējams, vai atbilstoši </w:t>
      </w:r>
      <w:proofErr w:type="spellStart"/>
      <w:r w:rsidR="008B1F63" w:rsidRPr="00303CC1">
        <w:rPr>
          <w:i/>
          <w:sz w:val="28"/>
          <w:szCs w:val="28"/>
        </w:rPr>
        <w:t>Moneyval</w:t>
      </w:r>
      <w:proofErr w:type="spellEnd"/>
      <w:r w:rsidR="008B1F63" w:rsidRPr="00303CC1">
        <w:rPr>
          <w:sz w:val="28"/>
          <w:szCs w:val="28"/>
        </w:rPr>
        <w:t xml:space="preserve"> 5. kārtas novērtējuma ziņojumam par Latvijas noziedzīgi iegūtu līdzekļu legalizācijas un terorisma finansēšanas novēršanas un apkarošanas sistēmu un pasākumiem, kuri tiek veikti, lai uzlabotu Latvijas reputāciju, </w:t>
      </w:r>
      <w:r w:rsidR="008B1F63" w:rsidRPr="00303CC1">
        <w:rPr>
          <w:sz w:val="28"/>
          <w:szCs w:val="28"/>
        </w:rPr>
        <w:lastRenderedPageBreak/>
        <w:t xml:space="preserve">specializētās tiesas kompetencē nav iekļaujami noziedzīgi nodarījumi saistībā ar terorisma un proliferācijas finansēšanu. </w:t>
      </w:r>
    </w:p>
    <w:p w14:paraId="4028F99C" w14:textId="5BF33307" w:rsidR="0097028F" w:rsidRPr="00303CC1" w:rsidRDefault="00962301" w:rsidP="007E76A7">
      <w:pPr>
        <w:ind w:firstLine="720"/>
        <w:jc w:val="both"/>
        <w:rPr>
          <w:sz w:val="28"/>
          <w:szCs w:val="28"/>
        </w:rPr>
      </w:pPr>
      <w:r w:rsidRPr="00303CC1">
        <w:rPr>
          <w:sz w:val="28"/>
          <w:szCs w:val="28"/>
        </w:rPr>
        <w:t>I</w:t>
      </w:r>
      <w:r w:rsidR="0097028F" w:rsidRPr="00303CC1">
        <w:rPr>
          <w:sz w:val="28"/>
          <w:szCs w:val="28"/>
        </w:rPr>
        <w:t>epriekš</w:t>
      </w:r>
      <w:r w:rsidR="0097028F" w:rsidRPr="007E76A7">
        <w:rPr>
          <w:sz w:val="28"/>
          <w:szCs w:val="28"/>
        </w:rPr>
        <w:t xml:space="preserve"> minētais uzskaitījums </w:t>
      </w:r>
      <w:r w:rsidRPr="007E76A7">
        <w:rPr>
          <w:sz w:val="28"/>
          <w:szCs w:val="28"/>
        </w:rPr>
        <w:t xml:space="preserve">ietverts </w:t>
      </w:r>
      <w:r w:rsidR="0097028F" w:rsidRPr="007E76A7">
        <w:rPr>
          <w:sz w:val="28"/>
          <w:szCs w:val="28"/>
        </w:rPr>
        <w:t xml:space="preserve">nolūkā aprakstīt </w:t>
      </w:r>
      <w:r w:rsidR="007E76A7">
        <w:rPr>
          <w:sz w:val="28"/>
          <w:szCs w:val="28"/>
        </w:rPr>
        <w:t xml:space="preserve">indikatīvu </w:t>
      </w:r>
      <w:r w:rsidR="0097028F" w:rsidRPr="007E76A7">
        <w:rPr>
          <w:sz w:val="28"/>
          <w:szCs w:val="28"/>
        </w:rPr>
        <w:t xml:space="preserve">specializētās tiesas kompetences tvērumu, nevis definēt lietu piekritību. Lietu piekritība, tajā skaitā, tās nošķiršanā izmantotie kritēriji </w:t>
      </w:r>
      <w:r w:rsidR="0097028F" w:rsidRPr="00303CC1">
        <w:rPr>
          <w:sz w:val="28"/>
          <w:szCs w:val="28"/>
        </w:rPr>
        <w:t xml:space="preserve">(likuma vai likuma regulējuma joma, prasības summas apmērs) tiks definēti </w:t>
      </w:r>
      <w:r w:rsidR="00127AB8" w:rsidRPr="00303CC1">
        <w:rPr>
          <w:sz w:val="28"/>
          <w:szCs w:val="28"/>
        </w:rPr>
        <w:t xml:space="preserve">risinājuma ieviešanai nepieciešamo </w:t>
      </w:r>
      <w:r w:rsidR="0097028F" w:rsidRPr="00303CC1">
        <w:rPr>
          <w:sz w:val="28"/>
          <w:szCs w:val="28"/>
        </w:rPr>
        <w:t>likumprojekt</w:t>
      </w:r>
      <w:r w:rsidR="00B75F46" w:rsidRPr="00303CC1">
        <w:rPr>
          <w:sz w:val="28"/>
          <w:szCs w:val="28"/>
        </w:rPr>
        <w:t>u</w:t>
      </w:r>
      <w:r w:rsidR="0097028F" w:rsidRPr="00303CC1">
        <w:rPr>
          <w:sz w:val="28"/>
          <w:szCs w:val="28"/>
        </w:rPr>
        <w:t xml:space="preserve"> izstrādes procesā. </w:t>
      </w:r>
    </w:p>
    <w:p w14:paraId="71131B7B" w14:textId="0E93803B" w:rsidR="00E51353" w:rsidRPr="00303CC1" w:rsidRDefault="00896727" w:rsidP="000D0256">
      <w:pPr>
        <w:ind w:firstLine="720"/>
        <w:jc w:val="both"/>
        <w:rPr>
          <w:sz w:val="28"/>
          <w:szCs w:val="28"/>
        </w:rPr>
      </w:pPr>
      <w:r w:rsidRPr="00303CC1">
        <w:rPr>
          <w:sz w:val="28"/>
          <w:szCs w:val="28"/>
        </w:rPr>
        <w:t>Jāatzīmē, ka</w:t>
      </w:r>
      <w:r w:rsidR="00303CC1">
        <w:rPr>
          <w:sz w:val="28"/>
          <w:szCs w:val="28"/>
        </w:rPr>
        <w:t>,</w:t>
      </w:r>
      <w:r w:rsidRPr="00303CC1">
        <w:rPr>
          <w:sz w:val="28"/>
          <w:szCs w:val="28"/>
        </w:rPr>
        <w:t xml:space="preserve"> nosakot specializētās tiesas kompetences tvērumu, t</w:t>
      </w:r>
      <w:r w:rsidR="000D0256" w:rsidRPr="00303CC1">
        <w:rPr>
          <w:sz w:val="28"/>
          <w:szCs w:val="28"/>
        </w:rPr>
        <w:t>ā</w:t>
      </w:r>
      <w:r w:rsidRPr="00303CC1">
        <w:rPr>
          <w:sz w:val="28"/>
          <w:szCs w:val="28"/>
        </w:rPr>
        <w:t xml:space="preserve"> sākotnēji </w:t>
      </w:r>
      <w:r w:rsidR="000D0256" w:rsidRPr="00303CC1">
        <w:rPr>
          <w:sz w:val="28"/>
          <w:szCs w:val="28"/>
        </w:rPr>
        <w:t>nosakāma</w:t>
      </w:r>
      <w:r w:rsidRPr="00303CC1">
        <w:rPr>
          <w:sz w:val="28"/>
          <w:szCs w:val="28"/>
        </w:rPr>
        <w:t xml:space="preserve"> tādās jomās, kas prasa tūlītēju risinājumu. Turpmākās kompetences tvēruma definēšanā</w:t>
      </w:r>
      <w:r w:rsidR="00693C20" w:rsidRPr="00303CC1">
        <w:rPr>
          <w:sz w:val="28"/>
          <w:szCs w:val="28"/>
        </w:rPr>
        <w:t>, ja šāda nepieciešamība radīsies,</w:t>
      </w:r>
      <w:r w:rsidRPr="00303CC1">
        <w:rPr>
          <w:sz w:val="28"/>
          <w:szCs w:val="28"/>
        </w:rPr>
        <w:t xml:space="preserve"> bū</w:t>
      </w:r>
      <w:r w:rsidR="00693C20" w:rsidRPr="00303CC1">
        <w:rPr>
          <w:sz w:val="28"/>
          <w:szCs w:val="28"/>
        </w:rPr>
        <w:t>s</w:t>
      </w:r>
      <w:r w:rsidRPr="00303CC1">
        <w:rPr>
          <w:sz w:val="28"/>
          <w:szCs w:val="28"/>
        </w:rPr>
        <w:t xml:space="preserve"> ņemama vērā gan tiesas kapacitāte, gan lietu atbilstība specializ</w:t>
      </w:r>
      <w:r w:rsidR="00693C20" w:rsidRPr="00303CC1">
        <w:rPr>
          <w:sz w:val="28"/>
          <w:szCs w:val="28"/>
        </w:rPr>
        <w:t>āci</w:t>
      </w:r>
      <w:r w:rsidRPr="00303CC1">
        <w:rPr>
          <w:sz w:val="28"/>
          <w:szCs w:val="28"/>
        </w:rPr>
        <w:t xml:space="preserve">jas tvērumam. </w:t>
      </w:r>
      <w:r w:rsidR="00693C20" w:rsidRPr="00303CC1">
        <w:rPr>
          <w:sz w:val="28"/>
          <w:szCs w:val="28"/>
        </w:rPr>
        <w:t>Jāņem vērā, ka</w:t>
      </w:r>
      <w:r w:rsidRPr="00303CC1">
        <w:rPr>
          <w:sz w:val="28"/>
          <w:szCs w:val="28"/>
        </w:rPr>
        <w:t xml:space="preserve"> specializētas tiesas kompetences tvērums tiek noteikts pēc priekšmeta, nevis, piemēram, subjekta. Tād</w:t>
      </w:r>
      <w:r w:rsidR="00E228F5" w:rsidRPr="00303CC1">
        <w:rPr>
          <w:sz w:val="28"/>
          <w:szCs w:val="28"/>
        </w:rPr>
        <w:t>ē</w:t>
      </w:r>
      <w:r w:rsidRPr="00303CC1">
        <w:rPr>
          <w:sz w:val="28"/>
          <w:szCs w:val="28"/>
        </w:rPr>
        <w:t xml:space="preserve">jādi, piemēram, </w:t>
      </w:r>
      <w:r w:rsidR="000B3948" w:rsidRPr="00303CC1">
        <w:rPr>
          <w:sz w:val="28"/>
          <w:szCs w:val="28"/>
        </w:rPr>
        <w:t>strīdi, kas izrietēs no Kredītiestāžu likum</w:t>
      </w:r>
      <w:r w:rsidR="00E228F5" w:rsidRPr="00303CC1">
        <w:rPr>
          <w:sz w:val="28"/>
          <w:szCs w:val="28"/>
        </w:rPr>
        <w:t>a</w:t>
      </w:r>
      <w:r w:rsidR="000B3948" w:rsidRPr="00303CC1">
        <w:rPr>
          <w:sz w:val="28"/>
          <w:szCs w:val="28"/>
        </w:rPr>
        <w:t xml:space="preserve"> būs piekritīgi specializētai tiesai, ja prasības summa pārsniegs 0,5 </w:t>
      </w:r>
      <w:proofErr w:type="spellStart"/>
      <w:r w:rsidR="000B3948" w:rsidRPr="00303CC1">
        <w:rPr>
          <w:sz w:val="28"/>
          <w:szCs w:val="28"/>
        </w:rPr>
        <w:t>milj</w:t>
      </w:r>
      <w:proofErr w:type="spellEnd"/>
      <w:r w:rsidR="000B3948" w:rsidRPr="00303CC1">
        <w:rPr>
          <w:sz w:val="28"/>
          <w:szCs w:val="28"/>
        </w:rPr>
        <w:t xml:space="preserve"> </w:t>
      </w:r>
      <w:proofErr w:type="spellStart"/>
      <w:r w:rsidR="000B3948" w:rsidRPr="00303CC1">
        <w:rPr>
          <w:i/>
          <w:sz w:val="28"/>
          <w:szCs w:val="28"/>
        </w:rPr>
        <w:t>euro</w:t>
      </w:r>
      <w:proofErr w:type="spellEnd"/>
      <w:r w:rsidR="000B3948" w:rsidRPr="00303CC1">
        <w:rPr>
          <w:sz w:val="28"/>
          <w:szCs w:val="28"/>
        </w:rPr>
        <w:t xml:space="preserve">. </w:t>
      </w:r>
    </w:p>
    <w:p w14:paraId="544D56B0" w14:textId="77777777" w:rsidR="00C575A3" w:rsidRPr="00D27255" w:rsidRDefault="00C575A3" w:rsidP="00E51353">
      <w:pPr>
        <w:ind w:firstLine="720"/>
        <w:jc w:val="both"/>
        <w:rPr>
          <w:sz w:val="28"/>
          <w:szCs w:val="28"/>
        </w:rPr>
      </w:pPr>
    </w:p>
    <w:p w14:paraId="18E661D9" w14:textId="05A8EF84" w:rsidR="00314C95" w:rsidRPr="00D27255" w:rsidRDefault="00314C95" w:rsidP="00E51353">
      <w:pPr>
        <w:ind w:firstLine="720"/>
        <w:jc w:val="both"/>
        <w:rPr>
          <w:b/>
          <w:sz w:val="28"/>
          <w:szCs w:val="28"/>
        </w:rPr>
      </w:pPr>
      <w:r w:rsidRPr="00D27255">
        <w:rPr>
          <w:b/>
          <w:sz w:val="28"/>
          <w:szCs w:val="28"/>
        </w:rPr>
        <w:t>3.</w:t>
      </w:r>
      <w:r w:rsidR="000F39FE" w:rsidRPr="00D27255">
        <w:rPr>
          <w:b/>
          <w:sz w:val="28"/>
          <w:szCs w:val="28"/>
        </w:rPr>
        <w:t>3</w:t>
      </w:r>
      <w:r w:rsidRPr="00D27255">
        <w:rPr>
          <w:b/>
          <w:sz w:val="28"/>
          <w:szCs w:val="28"/>
        </w:rPr>
        <w:t>. Prognozējamais noslodzes apjoms</w:t>
      </w:r>
      <w:r w:rsidR="004C0F55" w:rsidRPr="00D27255">
        <w:rPr>
          <w:b/>
          <w:sz w:val="28"/>
          <w:szCs w:val="28"/>
        </w:rPr>
        <w:t xml:space="preserve"> un nepieciešamā kapacitāte</w:t>
      </w:r>
    </w:p>
    <w:p w14:paraId="7DF65DD5" w14:textId="3168C7B2" w:rsidR="0081010B" w:rsidRPr="00D27255" w:rsidRDefault="0081010B" w:rsidP="0081010B">
      <w:pPr>
        <w:ind w:firstLine="720"/>
        <w:jc w:val="both"/>
        <w:rPr>
          <w:sz w:val="28"/>
          <w:szCs w:val="28"/>
        </w:rPr>
      </w:pPr>
      <w:r w:rsidRPr="00D27255">
        <w:rPr>
          <w:sz w:val="28"/>
          <w:szCs w:val="28"/>
        </w:rPr>
        <w:t>Tiesu informatīvajā sistēmā esošie dati neļauj strukturētā veidā atlasīt to civillietu kategoriju lietas, kas atbilst iepriekš minētajai specializācijai. Prognozējot iespējamo noslodzi, Tiesu informatīvajā sistēmā tika veikta datu atlase, izmantojot noteiktas frāzes. Iegūtie dati par 2017</w:t>
      </w:r>
      <w:r w:rsidR="008126C3" w:rsidRPr="00D27255">
        <w:rPr>
          <w:sz w:val="28"/>
          <w:szCs w:val="28"/>
        </w:rPr>
        <w:t>. </w:t>
      </w:r>
      <w:r w:rsidRPr="00D27255">
        <w:rPr>
          <w:sz w:val="28"/>
          <w:szCs w:val="28"/>
        </w:rPr>
        <w:t>un 2018</w:t>
      </w:r>
      <w:r w:rsidR="008126C3" w:rsidRPr="00D27255">
        <w:rPr>
          <w:sz w:val="28"/>
          <w:szCs w:val="28"/>
        </w:rPr>
        <w:t>. </w:t>
      </w:r>
      <w:r w:rsidRPr="00D27255">
        <w:rPr>
          <w:sz w:val="28"/>
          <w:szCs w:val="28"/>
        </w:rPr>
        <w:t>gadā izskatītajām lietām, ļauj prognozēt šādu tiesas noslodzi civillietu izskatīšanā</w:t>
      </w:r>
      <w:r w:rsidR="00981316" w:rsidRPr="00D27255">
        <w:rPr>
          <w:sz w:val="28"/>
          <w:szCs w:val="28"/>
        </w:rPr>
        <w:t xml:space="preserve"> (</w:t>
      </w:r>
      <w:r w:rsidR="00F04DA3" w:rsidRPr="00D27255">
        <w:rPr>
          <w:sz w:val="28"/>
          <w:szCs w:val="28"/>
        </w:rPr>
        <w:t>s</w:t>
      </w:r>
      <w:r w:rsidR="00981316" w:rsidRPr="00D27255">
        <w:rPr>
          <w:sz w:val="28"/>
          <w:szCs w:val="28"/>
        </w:rPr>
        <w:t>katīt 2.</w:t>
      </w:r>
      <w:r w:rsidR="00F04DA3" w:rsidRPr="00D27255">
        <w:rPr>
          <w:sz w:val="28"/>
          <w:szCs w:val="28"/>
        </w:rPr>
        <w:t> </w:t>
      </w:r>
      <w:r w:rsidR="00981316" w:rsidRPr="00D27255">
        <w:rPr>
          <w:sz w:val="28"/>
          <w:szCs w:val="28"/>
        </w:rPr>
        <w:t>tabulu</w:t>
      </w:r>
      <w:r w:rsidR="004B7384" w:rsidRPr="00D27255">
        <w:rPr>
          <w:sz w:val="28"/>
          <w:szCs w:val="28"/>
        </w:rPr>
        <w:t>.</w:t>
      </w:r>
      <w:r w:rsidR="00981316" w:rsidRPr="00D27255">
        <w:rPr>
          <w:sz w:val="28"/>
          <w:szCs w:val="28"/>
        </w:rPr>
        <w:t xml:space="preserve"> Pabeigto civillietu, kuru izskatīšana būtu specializējama, skaits 2017</w:t>
      </w:r>
      <w:r w:rsidR="0049431F" w:rsidRPr="00D27255">
        <w:rPr>
          <w:sz w:val="28"/>
          <w:szCs w:val="28"/>
        </w:rPr>
        <w:t>.</w:t>
      </w:r>
      <w:r w:rsidR="008126C3" w:rsidRPr="00D27255">
        <w:rPr>
          <w:sz w:val="28"/>
          <w:szCs w:val="28"/>
        </w:rPr>
        <w:t> </w:t>
      </w:r>
      <w:r w:rsidR="00981316" w:rsidRPr="00D27255">
        <w:rPr>
          <w:sz w:val="28"/>
          <w:szCs w:val="28"/>
        </w:rPr>
        <w:t>-2018.gadā)</w:t>
      </w:r>
      <w:r w:rsidRPr="00D27255">
        <w:rPr>
          <w:sz w:val="28"/>
          <w:szCs w:val="28"/>
        </w:rPr>
        <w:t>.</w:t>
      </w:r>
    </w:p>
    <w:p w14:paraId="6195C8FA" w14:textId="77777777" w:rsidR="00446409" w:rsidRPr="00D27255" w:rsidRDefault="00446409" w:rsidP="0081010B">
      <w:pPr>
        <w:ind w:firstLine="720"/>
        <w:jc w:val="both"/>
        <w:rPr>
          <w:b/>
          <w:sz w:val="28"/>
          <w:szCs w:val="28"/>
        </w:rPr>
      </w:pPr>
    </w:p>
    <w:tbl>
      <w:tblPr>
        <w:tblStyle w:val="TableGrid"/>
        <w:tblW w:w="0" w:type="auto"/>
        <w:tblLook w:val="04A0" w:firstRow="1" w:lastRow="0" w:firstColumn="1" w:lastColumn="0" w:noHBand="0" w:noVBand="1"/>
      </w:tblPr>
      <w:tblGrid>
        <w:gridCol w:w="5807"/>
        <w:gridCol w:w="1559"/>
        <w:gridCol w:w="1695"/>
      </w:tblGrid>
      <w:tr w:rsidR="0081010B" w:rsidRPr="007E76A7" w14:paraId="19E6640E" w14:textId="77777777" w:rsidTr="00B04E5D">
        <w:tc>
          <w:tcPr>
            <w:tcW w:w="5807" w:type="dxa"/>
          </w:tcPr>
          <w:p w14:paraId="6F7AAE96" w14:textId="77777777" w:rsidR="0081010B" w:rsidRPr="007E76A7" w:rsidRDefault="0081010B" w:rsidP="00A77CEF">
            <w:pPr>
              <w:jc w:val="both"/>
              <w:rPr>
                <w:b/>
                <w:sz w:val="20"/>
                <w:szCs w:val="20"/>
              </w:rPr>
            </w:pPr>
            <w:r w:rsidRPr="007E76A7">
              <w:rPr>
                <w:b/>
                <w:sz w:val="20"/>
                <w:szCs w:val="20"/>
              </w:rPr>
              <w:t>Lietas</w:t>
            </w:r>
          </w:p>
        </w:tc>
        <w:tc>
          <w:tcPr>
            <w:tcW w:w="1559" w:type="dxa"/>
          </w:tcPr>
          <w:p w14:paraId="50889439" w14:textId="78D87790" w:rsidR="0081010B" w:rsidRPr="007E76A7" w:rsidRDefault="0081010B" w:rsidP="00A77CEF">
            <w:pPr>
              <w:jc w:val="both"/>
              <w:rPr>
                <w:b/>
                <w:sz w:val="20"/>
                <w:szCs w:val="20"/>
              </w:rPr>
            </w:pPr>
            <w:r w:rsidRPr="007E76A7">
              <w:rPr>
                <w:b/>
                <w:sz w:val="20"/>
                <w:szCs w:val="20"/>
              </w:rPr>
              <w:t>Skaits 2017</w:t>
            </w:r>
            <w:r w:rsidR="00B772CB" w:rsidRPr="007E76A7">
              <w:rPr>
                <w:b/>
                <w:sz w:val="20"/>
                <w:szCs w:val="20"/>
              </w:rPr>
              <w:t>.</w:t>
            </w:r>
            <w:r w:rsidR="00981316" w:rsidRPr="007E76A7">
              <w:rPr>
                <w:b/>
                <w:sz w:val="20"/>
                <w:szCs w:val="20"/>
              </w:rPr>
              <w:t xml:space="preserve"> gadā</w:t>
            </w:r>
          </w:p>
        </w:tc>
        <w:tc>
          <w:tcPr>
            <w:tcW w:w="1695" w:type="dxa"/>
          </w:tcPr>
          <w:p w14:paraId="22AB1F8F" w14:textId="236FCED8" w:rsidR="0081010B" w:rsidRPr="007E76A7" w:rsidRDefault="0081010B" w:rsidP="00A77CEF">
            <w:pPr>
              <w:jc w:val="both"/>
              <w:rPr>
                <w:b/>
                <w:sz w:val="20"/>
                <w:szCs w:val="20"/>
              </w:rPr>
            </w:pPr>
            <w:r w:rsidRPr="007E76A7">
              <w:rPr>
                <w:b/>
                <w:sz w:val="20"/>
                <w:szCs w:val="20"/>
              </w:rPr>
              <w:t>Skaits 2018</w:t>
            </w:r>
            <w:r w:rsidR="00B772CB" w:rsidRPr="007E76A7">
              <w:rPr>
                <w:b/>
                <w:sz w:val="20"/>
                <w:szCs w:val="20"/>
              </w:rPr>
              <w:t>.</w:t>
            </w:r>
            <w:r w:rsidR="00981316" w:rsidRPr="007E76A7">
              <w:rPr>
                <w:b/>
                <w:sz w:val="20"/>
                <w:szCs w:val="20"/>
              </w:rPr>
              <w:t xml:space="preserve"> gadā</w:t>
            </w:r>
          </w:p>
        </w:tc>
      </w:tr>
      <w:tr w:rsidR="0081010B" w:rsidRPr="007E76A7" w14:paraId="52CFF1D7" w14:textId="77777777" w:rsidTr="00B04E5D">
        <w:tc>
          <w:tcPr>
            <w:tcW w:w="5807" w:type="dxa"/>
          </w:tcPr>
          <w:p w14:paraId="36991BEB" w14:textId="77777777" w:rsidR="0081010B" w:rsidRPr="007E76A7" w:rsidRDefault="0081010B" w:rsidP="00A77CEF">
            <w:pPr>
              <w:jc w:val="both"/>
              <w:rPr>
                <w:sz w:val="20"/>
                <w:szCs w:val="20"/>
              </w:rPr>
            </w:pPr>
            <w:r w:rsidRPr="007E76A7">
              <w:rPr>
                <w:sz w:val="20"/>
                <w:szCs w:val="20"/>
              </w:rPr>
              <w:t xml:space="preserve">Reiderisma lietas </w:t>
            </w:r>
          </w:p>
        </w:tc>
        <w:tc>
          <w:tcPr>
            <w:tcW w:w="1559" w:type="dxa"/>
          </w:tcPr>
          <w:p w14:paraId="2AD0CE01" w14:textId="77777777" w:rsidR="0081010B" w:rsidRPr="007E76A7" w:rsidRDefault="0081010B" w:rsidP="00A77CEF">
            <w:pPr>
              <w:jc w:val="both"/>
              <w:rPr>
                <w:sz w:val="20"/>
                <w:szCs w:val="20"/>
              </w:rPr>
            </w:pPr>
            <w:r w:rsidRPr="007E76A7">
              <w:rPr>
                <w:sz w:val="20"/>
                <w:szCs w:val="20"/>
              </w:rPr>
              <w:t>13</w:t>
            </w:r>
          </w:p>
        </w:tc>
        <w:tc>
          <w:tcPr>
            <w:tcW w:w="1695" w:type="dxa"/>
          </w:tcPr>
          <w:p w14:paraId="277BC8B8" w14:textId="77777777" w:rsidR="0081010B" w:rsidRPr="007E76A7" w:rsidRDefault="0081010B" w:rsidP="00A77CEF">
            <w:pPr>
              <w:jc w:val="both"/>
              <w:rPr>
                <w:sz w:val="20"/>
                <w:szCs w:val="20"/>
              </w:rPr>
            </w:pPr>
            <w:r w:rsidRPr="007E76A7">
              <w:rPr>
                <w:sz w:val="20"/>
                <w:szCs w:val="20"/>
              </w:rPr>
              <w:t>13</w:t>
            </w:r>
          </w:p>
        </w:tc>
      </w:tr>
      <w:tr w:rsidR="0081010B" w:rsidRPr="007E76A7" w14:paraId="3FC067FC" w14:textId="77777777" w:rsidTr="00B04E5D">
        <w:tc>
          <w:tcPr>
            <w:tcW w:w="5807" w:type="dxa"/>
          </w:tcPr>
          <w:p w14:paraId="0E7DAB63" w14:textId="47D99851" w:rsidR="0081010B" w:rsidRPr="007E76A7" w:rsidRDefault="0081010B" w:rsidP="00A77CEF">
            <w:pPr>
              <w:jc w:val="both"/>
              <w:rPr>
                <w:sz w:val="20"/>
                <w:szCs w:val="20"/>
              </w:rPr>
            </w:pPr>
            <w:r w:rsidRPr="007E76A7">
              <w:rPr>
                <w:sz w:val="20"/>
                <w:szCs w:val="20"/>
              </w:rPr>
              <w:t>Lietas, kurās prasības summa ir virs 500</w:t>
            </w:r>
            <w:r w:rsidR="00362034" w:rsidRPr="007E76A7">
              <w:rPr>
                <w:sz w:val="20"/>
                <w:szCs w:val="20"/>
              </w:rPr>
              <w:t> </w:t>
            </w:r>
            <w:r w:rsidRPr="007E76A7">
              <w:rPr>
                <w:sz w:val="20"/>
                <w:szCs w:val="20"/>
              </w:rPr>
              <w:t>000</w:t>
            </w:r>
            <w:r w:rsidR="005A44AA" w:rsidRPr="007E76A7">
              <w:rPr>
                <w:sz w:val="20"/>
                <w:szCs w:val="20"/>
              </w:rPr>
              <w:t> </w:t>
            </w:r>
            <w:proofErr w:type="spellStart"/>
            <w:r w:rsidR="0049431F" w:rsidRPr="007E76A7">
              <w:rPr>
                <w:i/>
                <w:sz w:val="20"/>
                <w:szCs w:val="20"/>
              </w:rPr>
              <w:t>euro</w:t>
            </w:r>
            <w:proofErr w:type="spellEnd"/>
            <w:r w:rsidRPr="007E76A7">
              <w:rPr>
                <w:sz w:val="20"/>
                <w:szCs w:val="20"/>
              </w:rPr>
              <w:t>, un kā prasītājs ir kredītiestāde, piemēram, vārda sakne "</w:t>
            </w:r>
            <w:proofErr w:type="spellStart"/>
            <w:r w:rsidRPr="007E76A7">
              <w:rPr>
                <w:sz w:val="20"/>
                <w:szCs w:val="20"/>
              </w:rPr>
              <w:t>bank</w:t>
            </w:r>
            <w:proofErr w:type="spellEnd"/>
            <w:r w:rsidRPr="007E76A7">
              <w:rPr>
                <w:sz w:val="20"/>
                <w:szCs w:val="20"/>
              </w:rPr>
              <w:t>"; "</w:t>
            </w:r>
            <w:proofErr w:type="spellStart"/>
            <w:r w:rsidRPr="007E76A7">
              <w:rPr>
                <w:sz w:val="20"/>
                <w:szCs w:val="20"/>
              </w:rPr>
              <w:t>lizin</w:t>
            </w:r>
            <w:proofErr w:type="spellEnd"/>
            <w:r w:rsidRPr="007E76A7">
              <w:rPr>
                <w:sz w:val="20"/>
                <w:szCs w:val="20"/>
              </w:rPr>
              <w:t>"</w:t>
            </w:r>
          </w:p>
        </w:tc>
        <w:tc>
          <w:tcPr>
            <w:tcW w:w="1559" w:type="dxa"/>
          </w:tcPr>
          <w:p w14:paraId="0624A61F" w14:textId="77777777" w:rsidR="0081010B" w:rsidRPr="007E76A7" w:rsidRDefault="0081010B" w:rsidP="00A77CEF">
            <w:pPr>
              <w:jc w:val="both"/>
              <w:rPr>
                <w:sz w:val="20"/>
                <w:szCs w:val="20"/>
              </w:rPr>
            </w:pPr>
            <w:r w:rsidRPr="007E76A7">
              <w:rPr>
                <w:sz w:val="20"/>
                <w:szCs w:val="20"/>
              </w:rPr>
              <w:t>7</w:t>
            </w:r>
          </w:p>
        </w:tc>
        <w:tc>
          <w:tcPr>
            <w:tcW w:w="1695" w:type="dxa"/>
          </w:tcPr>
          <w:p w14:paraId="4705ACBB" w14:textId="77777777" w:rsidR="0081010B" w:rsidRPr="007E76A7" w:rsidRDefault="0081010B" w:rsidP="00A77CEF">
            <w:pPr>
              <w:jc w:val="both"/>
              <w:rPr>
                <w:sz w:val="20"/>
                <w:szCs w:val="20"/>
              </w:rPr>
            </w:pPr>
            <w:r w:rsidRPr="007E76A7">
              <w:rPr>
                <w:sz w:val="20"/>
                <w:szCs w:val="20"/>
              </w:rPr>
              <w:t>5</w:t>
            </w:r>
          </w:p>
        </w:tc>
      </w:tr>
      <w:tr w:rsidR="0081010B" w:rsidRPr="007E76A7" w14:paraId="35750692" w14:textId="77777777" w:rsidTr="00B04E5D">
        <w:tc>
          <w:tcPr>
            <w:tcW w:w="5807" w:type="dxa"/>
          </w:tcPr>
          <w:p w14:paraId="53621785" w14:textId="73E5A6AC" w:rsidR="0081010B" w:rsidRPr="007E76A7" w:rsidRDefault="0081010B" w:rsidP="00A77CEF">
            <w:pPr>
              <w:jc w:val="both"/>
              <w:rPr>
                <w:sz w:val="20"/>
                <w:szCs w:val="20"/>
              </w:rPr>
            </w:pPr>
            <w:r w:rsidRPr="007E76A7">
              <w:rPr>
                <w:sz w:val="20"/>
                <w:szCs w:val="20"/>
              </w:rPr>
              <w:t>Nolēmums pirmās instances tiesās, kurā ir atsauce uz precīzu frāzi: "Komercķīlas likumu" un kurās prasības summa pārsniedz 500</w:t>
            </w:r>
            <w:r w:rsidR="00362034" w:rsidRPr="007E76A7">
              <w:rPr>
                <w:sz w:val="20"/>
                <w:szCs w:val="20"/>
              </w:rPr>
              <w:t> </w:t>
            </w:r>
            <w:r w:rsidRPr="007E76A7">
              <w:rPr>
                <w:sz w:val="20"/>
                <w:szCs w:val="20"/>
              </w:rPr>
              <w:t>000</w:t>
            </w:r>
            <w:r w:rsidR="00362034" w:rsidRPr="007E76A7">
              <w:rPr>
                <w:sz w:val="20"/>
                <w:szCs w:val="20"/>
              </w:rPr>
              <w:t> </w:t>
            </w:r>
            <w:proofErr w:type="spellStart"/>
            <w:r w:rsidR="00111100" w:rsidRPr="007E76A7">
              <w:rPr>
                <w:i/>
                <w:sz w:val="20"/>
                <w:szCs w:val="20"/>
              </w:rPr>
              <w:t>euro</w:t>
            </w:r>
            <w:proofErr w:type="spellEnd"/>
          </w:p>
        </w:tc>
        <w:tc>
          <w:tcPr>
            <w:tcW w:w="1559" w:type="dxa"/>
          </w:tcPr>
          <w:p w14:paraId="752D3583" w14:textId="77777777" w:rsidR="0081010B" w:rsidRPr="007E76A7" w:rsidRDefault="0081010B" w:rsidP="00A77CEF">
            <w:pPr>
              <w:jc w:val="both"/>
              <w:rPr>
                <w:sz w:val="20"/>
                <w:szCs w:val="20"/>
              </w:rPr>
            </w:pPr>
            <w:r w:rsidRPr="007E76A7">
              <w:rPr>
                <w:sz w:val="20"/>
                <w:szCs w:val="20"/>
              </w:rPr>
              <w:t>0</w:t>
            </w:r>
          </w:p>
        </w:tc>
        <w:tc>
          <w:tcPr>
            <w:tcW w:w="1695" w:type="dxa"/>
          </w:tcPr>
          <w:p w14:paraId="626AC784" w14:textId="77777777" w:rsidR="0081010B" w:rsidRPr="007E76A7" w:rsidRDefault="0081010B" w:rsidP="00A77CEF">
            <w:pPr>
              <w:jc w:val="both"/>
              <w:rPr>
                <w:sz w:val="20"/>
                <w:szCs w:val="20"/>
              </w:rPr>
            </w:pPr>
            <w:r w:rsidRPr="007E76A7">
              <w:rPr>
                <w:sz w:val="20"/>
                <w:szCs w:val="20"/>
              </w:rPr>
              <w:t>2</w:t>
            </w:r>
          </w:p>
        </w:tc>
      </w:tr>
      <w:tr w:rsidR="0081010B" w:rsidRPr="007E76A7" w14:paraId="3F10B45D" w14:textId="77777777" w:rsidTr="00B04E5D">
        <w:tc>
          <w:tcPr>
            <w:tcW w:w="5807" w:type="dxa"/>
          </w:tcPr>
          <w:p w14:paraId="6589CCEE" w14:textId="3678BAA2" w:rsidR="0081010B" w:rsidRPr="007E76A7" w:rsidRDefault="0081010B" w:rsidP="00A77CEF">
            <w:pPr>
              <w:jc w:val="both"/>
              <w:rPr>
                <w:sz w:val="20"/>
                <w:szCs w:val="20"/>
              </w:rPr>
            </w:pPr>
            <w:r w:rsidRPr="007E76A7">
              <w:rPr>
                <w:sz w:val="20"/>
                <w:szCs w:val="20"/>
              </w:rPr>
              <w:t>Nolēmums pirmās instances tiesās, kur</w:t>
            </w:r>
            <w:r w:rsidR="00E228F5" w:rsidRPr="007E76A7">
              <w:rPr>
                <w:sz w:val="20"/>
                <w:szCs w:val="20"/>
              </w:rPr>
              <w:t>ā</w:t>
            </w:r>
            <w:r w:rsidRPr="007E76A7">
              <w:rPr>
                <w:sz w:val="20"/>
                <w:szCs w:val="20"/>
              </w:rPr>
              <w:t xml:space="preserve"> ir atsauce uz precīzu frāzi "Finanšu instrumentu tirgus likuma"</w:t>
            </w:r>
          </w:p>
        </w:tc>
        <w:tc>
          <w:tcPr>
            <w:tcW w:w="1559" w:type="dxa"/>
          </w:tcPr>
          <w:p w14:paraId="7287A1A5" w14:textId="77777777" w:rsidR="0081010B" w:rsidRPr="007E76A7" w:rsidRDefault="0081010B" w:rsidP="00A77CEF">
            <w:pPr>
              <w:jc w:val="both"/>
              <w:rPr>
                <w:sz w:val="20"/>
                <w:szCs w:val="20"/>
              </w:rPr>
            </w:pPr>
            <w:r w:rsidRPr="007E76A7">
              <w:rPr>
                <w:sz w:val="20"/>
                <w:szCs w:val="20"/>
              </w:rPr>
              <w:t>2</w:t>
            </w:r>
          </w:p>
        </w:tc>
        <w:tc>
          <w:tcPr>
            <w:tcW w:w="1695" w:type="dxa"/>
          </w:tcPr>
          <w:p w14:paraId="58513951" w14:textId="77777777" w:rsidR="0081010B" w:rsidRPr="007E76A7" w:rsidRDefault="0081010B" w:rsidP="00A77CEF">
            <w:pPr>
              <w:jc w:val="both"/>
              <w:rPr>
                <w:sz w:val="20"/>
                <w:szCs w:val="20"/>
              </w:rPr>
            </w:pPr>
            <w:r w:rsidRPr="007E76A7">
              <w:rPr>
                <w:sz w:val="20"/>
                <w:szCs w:val="20"/>
              </w:rPr>
              <w:t>3</w:t>
            </w:r>
          </w:p>
        </w:tc>
      </w:tr>
      <w:tr w:rsidR="0081010B" w:rsidRPr="007E76A7" w14:paraId="0BD83255" w14:textId="77777777" w:rsidTr="00B04E5D">
        <w:tc>
          <w:tcPr>
            <w:tcW w:w="5807" w:type="dxa"/>
          </w:tcPr>
          <w:p w14:paraId="4A28DD58" w14:textId="1844E898" w:rsidR="0081010B" w:rsidRPr="007E76A7" w:rsidRDefault="0081010B" w:rsidP="00A77CEF">
            <w:pPr>
              <w:jc w:val="both"/>
              <w:rPr>
                <w:sz w:val="20"/>
                <w:szCs w:val="20"/>
              </w:rPr>
            </w:pPr>
            <w:r w:rsidRPr="007E76A7">
              <w:rPr>
                <w:sz w:val="20"/>
                <w:szCs w:val="20"/>
              </w:rPr>
              <w:t>Nolēmum</w:t>
            </w:r>
            <w:r w:rsidR="00F3095B" w:rsidRPr="007E76A7">
              <w:rPr>
                <w:sz w:val="20"/>
                <w:szCs w:val="20"/>
              </w:rPr>
              <w:t>i</w:t>
            </w:r>
            <w:r w:rsidRPr="007E76A7">
              <w:rPr>
                <w:sz w:val="20"/>
                <w:szCs w:val="20"/>
              </w:rPr>
              <w:t xml:space="preserve"> pirmās instances tiesās, kur</w:t>
            </w:r>
            <w:r w:rsidR="00F3095B" w:rsidRPr="007E76A7">
              <w:rPr>
                <w:sz w:val="20"/>
                <w:szCs w:val="20"/>
              </w:rPr>
              <w:t>o</w:t>
            </w:r>
            <w:r w:rsidRPr="007E76A7">
              <w:rPr>
                <w:sz w:val="20"/>
                <w:szCs w:val="20"/>
              </w:rPr>
              <w:t>s ir atsauce uz precīzu frāzi "Komercdarbības atbalsta kontroles likuma"</w:t>
            </w:r>
          </w:p>
        </w:tc>
        <w:tc>
          <w:tcPr>
            <w:tcW w:w="1559" w:type="dxa"/>
          </w:tcPr>
          <w:p w14:paraId="1CC05DD3" w14:textId="77777777" w:rsidR="0081010B" w:rsidRPr="007E76A7" w:rsidRDefault="0081010B" w:rsidP="00A77CEF">
            <w:pPr>
              <w:jc w:val="both"/>
              <w:rPr>
                <w:sz w:val="20"/>
                <w:szCs w:val="20"/>
              </w:rPr>
            </w:pPr>
            <w:r w:rsidRPr="007E76A7">
              <w:rPr>
                <w:sz w:val="20"/>
                <w:szCs w:val="20"/>
              </w:rPr>
              <w:t>5</w:t>
            </w:r>
          </w:p>
        </w:tc>
        <w:tc>
          <w:tcPr>
            <w:tcW w:w="1695" w:type="dxa"/>
          </w:tcPr>
          <w:p w14:paraId="1ADC2DDD" w14:textId="77777777" w:rsidR="0081010B" w:rsidRPr="007E76A7" w:rsidRDefault="0081010B" w:rsidP="00A77CEF">
            <w:pPr>
              <w:jc w:val="both"/>
              <w:rPr>
                <w:sz w:val="20"/>
                <w:szCs w:val="20"/>
              </w:rPr>
            </w:pPr>
            <w:r w:rsidRPr="007E76A7">
              <w:rPr>
                <w:sz w:val="20"/>
                <w:szCs w:val="20"/>
              </w:rPr>
              <w:t>1</w:t>
            </w:r>
          </w:p>
        </w:tc>
      </w:tr>
      <w:tr w:rsidR="000F39FE" w:rsidRPr="007E76A7" w14:paraId="39719C4B" w14:textId="77777777" w:rsidTr="00B04E5D">
        <w:tc>
          <w:tcPr>
            <w:tcW w:w="5807" w:type="dxa"/>
          </w:tcPr>
          <w:p w14:paraId="0BF91D2C" w14:textId="1E788B00" w:rsidR="000F39FE" w:rsidRPr="007E76A7" w:rsidRDefault="000F39FE" w:rsidP="000F39FE">
            <w:pPr>
              <w:jc w:val="both"/>
              <w:rPr>
                <w:sz w:val="20"/>
                <w:szCs w:val="20"/>
              </w:rPr>
            </w:pPr>
            <w:r w:rsidRPr="007E76A7">
              <w:rPr>
                <w:sz w:val="20"/>
                <w:szCs w:val="20"/>
              </w:rPr>
              <w:t>Tiesiskās aizsardzības procesa lietas</w:t>
            </w:r>
          </w:p>
        </w:tc>
        <w:tc>
          <w:tcPr>
            <w:tcW w:w="1559" w:type="dxa"/>
          </w:tcPr>
          <w:p w14:paraId="6EE0C912" w14:textId="11793B78" w:rsidR="000F39FE" w:rsidRPr="007E76A7" w:rsidRDefault="000F39FE" w:rsidP="000F39FE">
            <w:pPr>
              <w:jc w:val="both"/>
              <w:rPr>
                <w:sz w:val="20"/>
                <w:szCs w:val="20"/>
              </w:rPr>
            </w:pPr>
            <w:r w:rsidRPr="007E76A7">
              <w:rPr>
                <w:sz w:val="20"/>
                <w:szCs w:val="20"/>
              </w:rPr>
              <w:t>147</w:t>
            </w:r>
          </w:p>
        </w:tc>
        <w:tc>
          <w:tcPr>
            <w:tcW w:w="1695" w:type="dxa"/>
          </w:tcPr>
          <w:p w14:paraId="408E9832" w14:textId="72EB3478" w:rsidR="000F39FE" w:rsidRPr="007E76A7" w:rsidRDefault="000F39FE" w:rsidP="000F39FE">
            <w:pPr>
              <w:jc w:val="both"/>
              <w:rPr>
                <w:sz w:val="20"/>
                <w:szCs w:val="20"/>
              </w:rPr>
            </w:pPr>
            <w:r w:rsidRPr="007E76A7">
              <w:rPr>
                <w:sz w:val="20"/>
                <w:szCs w:val="20"/>
              </w:rPr>
              <w:t>44</w:t>
            </w:r>
          </w:p>
        </w:tc>
      </w:tr>
      <w:tr w:rsidR="00446409" w:rsidRPr="007E76A7" w14:paraId="3AD31DD1" w14:textId="77777777" w:rsidTr="00B04E5D">
        <w:tc>
          <w:tcPr>
            <w:tcW w:w="5807" w:type="dxa"/>
          </w:tcPr>
          <w:p w14:paraId="4B455097" w14:textId="78B5FB06" w:rsidR="00446409" w:rsidRPr="007E76A7" w:rsidRDefault="00446409" w:rsidP="000F39FE">
            <w:pPr>
              <w:jc w:val="both"/>
              <w:rPr>
                <w:sz w:val="20"/>
                <w:szCs w:val="20"/>
              </w:rPr>
            </w:pPr>
            <w:r w:rsidRPr="007E76A7">
              <w:rPr>
                <w:sz w:val="20"/>
                <w:szCs w:val="20"/>
              </w:rPr>
              <w:t>Intelektuālā īpašuma lietas </w:t>
            </w:r>
            <w:r w:rsidR="007E76A7" w:rsidRPr="007E76A7">
              <w:rPr>
                <w:sz w:val="20"/>
                <w:szCs w:val="20"/>
              </w:rPr>
              <w:t>(kopā)</w:t>
            </w:r>
          </w:p>
        </w:tc>
        <w:tc>
          <w:tcPr>
            <w:tcW w:w="1559" w:type="dxa"/>
          </w:tcPr>
          <w:p w14:paraId="3D318467" w14:textId="5051ED2A" w:rsidR="00446409" w:rsidRPr="007E76A7" w:rsidRDefault="00556E2C" w:rsidP="000F39FE">
            <w:pPr>
              <w:jc w:val="both"/>
              <w:rPr>
                <w:sz w:val="20"/>
                <w:szCs w:val="20"/>
              </w:rPr>
            </w:pPr>
            <w:r>
              <w:rPr>
                <w:sz w:val="20"/>
                <w:szCs w:val="20"/>
              </w:rPr>
              <w:t>52</w:t>
            </w:r>
          </w:p>
        </w:tc>
        <w:tc>
          <w:tcPr>
            <w:tcW w:w="1695" w:type="dxa"/>
          </w:tcPr>
          <w:p w14:paraId="2FB12B33" w14:textId="4809EB1B" w:rsidR="00446409" w:rsidRPr="007E76A7" w:rsidRDefault="00556E2C" w:rsidP="000F39FE">
            <w:pPr>
              <w:jc w:val="both"/>
              <w:rPr>
                <w:sz w:val="20"/>
                <w:szCs w:val="20"/>
              </w:rPr>
            </w:pPr>
            <w:r>
              <w:rPr>
                <w:sz w:val="20"/>
                <w:szCs w:val="20"/>
              </w:rPr>
              <w:t>64</w:t>
            </w:r>
          </w:p>
        </w:tc>
      </w:tr>
      <w:tr w:rsidR="005D7586" w:rsidRPr="007E76A7" w14:paraId="338B1DBB" w14:textId="77777777" w:rsidTr="00B04E5D">
        <w:tc>
          <w:tcPr>
            <w:tcW w:w="5807" w:type="dxa"/>
          </w:tcPr>
          <w:p w14:paraId="3AC52817" w14:textId="41EA886E" w:rsidR="005D7586" w:rsidRPr="007E76A7" w:rsidRDefault="005D7586" w:rsidP="005D7586">
            <w:pPr>
              <w:jc w:val="both"/>
              <w:rPr>
                <w:sz w:val="20"/>
                <w:szCs w:val="20"/>
              </w:rPr>
            </w:pPr>
            <w:r w:rsidRPr="007E76A7">
              <w:rPr>
                <w:sz w:val="20"/>
                <w:szCs w:val="20"/>
              </w:rPr>
              <w:t>Nolēmum</w:t>
            </w:r>
            <w:r w:rsidR="00F3095B" w:rsidRPr="007E76A7">
              <w:rPr>
                <w:sz w:val="20"/>
                <w:szCs w:val="20"/>
              </w:rPr>
              <w:t>i</w:t>
            </w:r>
            <w:r w:rsidRPr="007E76A7">
              <w:rPr>
                <w:sz w:val="20"/>
                <w:szCs w:val="20"/>
              </w:rPr>
              <w:t xml:space="preserve"> pirmās instances tiesās, kur</w:t>
            </w:r>
            <w:r w:rsidR="00F3095B" w:rsidRPr="007E76A7">
              <w:rPr>
                <w:sz w:val="20"/>
                <w:szCs w:val="20"/>
              </w:rPr>
              <w:t>o</w:t>
            </w:r>
            <w:r w:rsidRPr="007E76A7">
              <w:rPr>
                <w:sz w:val="20"/>
                <w:szCs w:val="20"/>
              </w:rPr>
              <w:t>s ir atsauce uz precīzu frāzi "šķīrējtiesas līguma atzīšanu par spēkā neesošu"</w:t>
            </w:r>
          </w:p>
        </w:tc>
        <w:tc>
          <w:tcPr>
            <w:tcW w:w="1559" w:type="dxa"/>
          </w:tcPr>
          <w:p w14:paraId="389FDF6F" w14:textId="77777777" w:rsidR="005D7586" w:rsidRPr="007E76A7" w:rsidRDefault="005D7586" w:rsidP="005D7586">
            <w:pPr>
              <w:jc w:val="both"/>
              <w:rPr>
                <w:sz w:val="20"/>
                <w:szCs w:val="20"/>
              </w:rPr>
            </w:pPr>
            <w:r w:rsidRPr="007E76A7">
              <w:rPr>
                <w:sz w:val="20"/>
                <w:szCs w:val="20"/>
              </w:rPr>
              <w:t>27</w:t>
            </w:r>
          </w:p>
        </w:tc>
        <w:tc>
          <w:tcPr>
            <w:tcW w:w="1695" w:type="dxa"/>
          </w:tcPr>
          <w:p w14:paraId="684B806F" w14:textId="77777777" w:rsidR="005D7586" w:rsidRPr="007E76A7" w:rsidRDefault="005D7586" w:rsidP="005D7586">
            <w:pPr>
              <w:jc w:val="both"/>
              <w:rPr>
                <w:sz w:val="20"/>
                <w:szCs w:val="20"/>
              </w:rPr>
            </w:pPr>
            <w:r w:rsidRPr="007E76A7">
              <w:rPr>
                <w:sz w:val="20"/>
                <w:szCs w:val="20"/>
              </w:rPr>
              <w:t>18</w:t>
            </w:r>
          </w:p>
        </w:tc>
      </w:tr>
      <w:tr w:rsidR="004F77CB" w:rsidRPr="007E76A7" w14:paraId="19E916BE" w14:textId="77777777" w:rsidTr="00B04E5D">
        <w:tc>
          <w:tcPr>
            <w:tcW w:w="5807" w:type="dxa"/>
          </w:tcPr>
          <w:p w14:paraId="4A9BBBE9" w14:textId="4138954D" w:rsidR="004F77CB" w:rsidRPr="007E76A7" w:rsidRDefault="005D7586" w:rsidP="000F39FE">
            <w:pPr>
              <w:jc w:val="both"/>
              <w:rPr>
                <w:i/>
                <w:sz w:val="20"/>
                <w:szCs w:val="20"/>
              </w:rPr>
            </w:pPr>
            <w:r w:rsidRPr="007E76A7">
              <w:rPr>
                <w:i/>
                <w:sz w:val="20"/>
                <w:szCs w:val="20"/>
              </w:rPr>
              <w:t>P</w:t>
            </w:r>
            <w:r w:rsidR="004F77CB" w:rsidRPr="007E76A7">
              <w:rPr>
                <w:i/>
                <w:sz w:val="20"/>
                <w:szCs w:val="20"/>
              </w:rPr>
              <w:t>ieteikumi par izpildu raksta izdošanu uz pastāvīgās šķīrējtiesas sprie</w:t>
            </w:r>
            <w:r w:rsidRPr="007E76A7">
              <w:rPr>
                <w:i/>
                <w:sz w:val="20"/>
                <w:szCs w:val="20"/>
              </w:rPr>
              <w:t>d</w:t>
            </w:r>
            <w:r w:rsidR="004F77CB" w:rsidRPr="007E76A7">
              <w:rPr>
                <w:i/>
                <w:sz w:val="20"/>
                <w:szCs w:val="20"/>
              </w:rPr>
              <w:t>uma pamata vai ārvalsts šķīrējtiesas nolēmuma atzīšanu un izpildīšanu</w:t>
            </w:r>
            <w:r w:rsidR="00CC5A1C" w:rsidRPr="007E76A7">
              <w:rPr>
                <w:i/>
                <w:sz w:val="20"/>
                <w:szCs w:val="20"/>
              </w:rPr>
              <w:t xml:space="preserve"> (meklēts pēc attiecīgi precīzas frāzes)</w:t>
            </w:r>
            <w:r w:rsidR="003F54B3" w:rsidRPr="007E76A7">
              <w:rPr>
                <w:rStyle w:val="FootnoteReference"/>
                <w:i/>
                <w:sz w:val="20"/>
                <w:szCs w:val="20"/>
              </w:rPr>
              <w:footnoteReference w:id="26"/>
            </w:r>
          </w:p>
        </w:tc>
        <w:tc>
          <w:tcPr>
            <w:tcW w:w="1559" w:type="dxa"/>
          </w:tcPr>
          <w:p w14:paraId="5384A360" w14:textId="797C8E39" w:rsidR="004F77CB" w:rsidRPr="007E76A7" w:rsidRDefault="001E2144" w:rsidP="000F39FE">
            <w:pPr>
              <w:jc w:val="both"/>
              <w:rPr>
                <w:i/>
                <w:sz w:val="20"/>
                <w:szCs w:val="20"/>
              </w:rPr>
            </w:pPr>
            <w:r w:rsidRPr="007E76A7">
              <w:rPr>
                <w:i/>
                <w:sz w:val="20"/>
                <w:szCs w:val="20"/>
              </w:rPr>
              <w:t>730</w:t>
            </w:r>
          </w:p>
        </w:tc>
        <w:tc>
          <w:tcPr>
            <w:tcW w:w="1695" w:type="dxa"/>
          </w:tcPr>
          <w:p w14:paraId="227C6987" w14:textId="00A83876" w:rsidR="004F77CB" w:rsidRPr="007E76A7" w:rsidRDefault="001E2144" w:rsidP="000F39FE">
            <w:pPr>
              <w:jc w:val="both"/>
              <w:rPr>
                <w:i/>
                <w:sz w:val="20"/>
                <w:szCs w:val="20"/>
              </w:rPr>
            </w:pPr>
            <w:r w:rsidRPr="007E76A7">
              <w:rPr>
                <w:i/>
                <w:sz w:val="20"/>
                <w:szCs w:val="20"/>
              </w:rPr>
              <w:t>390</w:t>
            </w:r>
          </w:p>
        </w:tc>
      </w:tr>
      <w:tr w:rsidR="000F39FE" w:rsidRPr="007E76A7" w14:paraId="6458B2E0" w14:textId="77777777" w:rsidTr="00B04E5D">
        <w:tc>
          <w:tcPr>
            <w:tcW w:w="5807" w:type="dxa"/>
          </w:tcPr>
          <w:p w14:paraId="000F9F74" w14:textId="77777777" w:rsidR="000F39FE" w:rsidRPr="007E76A7" w:rsidRDefault="000F39FE" w:rsidP="000F39FE">
            <w:pPr>
              <w:jc w:val="both"/>
              <w:rPr>
                <w:b/>
                <w:sz w:val="20"/>
                <w:szCs w:val="20"/>
              </w:rPr>
            </w:pPr>
            <w:r w:rsidRPr="007E76A7">
              <w:rPr>
                <w:b/>
                <w:sz w:val="20"/>
                <w:szCs w:val="20"/>
              </w:rPr>
              <w:t>Kopā</w:t>
            </w:r>
          </w:p>
        </w:tc>
        <w:tc>
          <w:tcPr>
            <w:tcW w:w="1559" w:type="dxa"/>
          </w:tcPr>
          <w:p w14:paraId="7264DDEF" w14:textId="151147F2" w:rsidR="000F39FE" w:rsidRPr="007E76A7" w:rsidRDefault="001E2144" w:rsidP="000F39FE">
            <w:pPr>
              <w:jc w:val="both"/>
              <w:rPr>
                <w:b/>
                <w:sz w:val="20"/>
                <w:szCs w:val="20"/>
              </w:rPr>
            </w:pPr>
            <w:r w:rsidRPr="007E76A7">
              <w:rPr>
                <w:b/>
                <w:sz w:val="20"/>
                <w:szCs w:val="20"/>
              </w:rPr>
              <w:t>25</w:t>
            </w:r>
            <w:r w:rsidR="007E76A7" w:rsidRPr="007E76A7">
              <w:rPr>
                <w:b/>
                <w:sz w:val="20"/>
                <w:szCs w:val="20"/>
              </w:rPr>
              <w:t>3</w:t>
            </w:r>
          </w:p>
        </w:tc>
        <w:tc>
          <w:tcPr>
            <w:tcW w:w="1695" w:type="dxa"/>
          </w:tcPr>
          <w:p w14:paraId="22A30DE4" w14:textId="3465B79A" w:rsidR="000F39FE" w:rsidRPr="007E76A7" w:rsidRDefault="001E2144" w:rsidP="000F39FE">
            <w:pPr>
              <w:jc w:val="both"/>
              <w:rPr>
                <w:b/>
                <w:sz w:val="20"/>
                <w:szCs w:val="20"/>
              </w:rPr>
            </w:pPr>
            <w:r w:rsidRPr="007E76A7">
              <w:rPr>
                <w:b/>
                <w:sz w:val="20"/>
                <w:szCs w:val="20"/>
              </w:rPr>
              <w:t>15</w:t>
            </w:r>
            <w:r w:rsidR="007E76A7" w:rsidRPr="007E76A7">
              <w:rPr>
                <w:b/>
                <w:sz w:val="20"/>
                <w:szCs w:val="20"/>
              </w:rPr>
              <w:t>0</w:t>
            </w:r>
          </w:p>
        </w:tc>
      </w:tr>
    </w:tbl>
    <w:p w14:paraId="39D32D6B" w14:textId="748A934D" w:rsidR="0081010B" w:rsidRPr="00D27255" w:rsidRDefault="00111100" w:rsidP="00B04E5D">
      <w:pPr>
        <w:ind w:firstLine="720"/>
        <w:jc w:val="both"/>
      </w:pPr>
      <w:r w:rsidRPr="00D27255">
        <w:lastRenderedPageBreak/>
        <w:t>2</w:t>
      </w:r>
      <w:r w:rsidR="008126C3" w:rsidRPr="00D27255">
        <w:t>. t</w:t>
      </w:r>
      <w:r w:rsidR="0081010B" w:rsidRPr="00D27255">
        <w:t>abula</w:t>
      </w:r>
      <w:r w:rsidR="004B7384" w:rsidRPr="00D27255">
        <w:t>.</w:t>
      </w:r>
      <w:r w:rsidR="0081010B" w:rsidRPr="00D27255">
        <w:t xml:space="preserve"> </w:t>
      </w:r>
      <w:r w:rsidR="00981316" w:rsidRPr="00D27255">
        <w:t>Pabeigto c</w:t>
      </w:r>
      <w:r w:rsidR="0081010B" w:rsidRPr="00D27255">
        <w:t>ivillietu, kuru izskatīšana būtu specializējama</w:t>
      </w:r>
      <w:r w:rsidR="00981316" w:rsidRPr="00D27255">
        <w:t>, skaits 2017.-2018.</w:t>
      </w:r>
      <w:r w:rsidR="00362034" w:rsidRPr="00D27255">
        <w:t> </w:t>
      </w:r>
      <w:r w:rsidR="00981316" w:rsidRPr="00D27255">
        <w:t>gadā</w:t>
      </w:r>
    </w:p>
    <w:p w14:paraId="1D1A6ABE" w14:textId="4C381057" w:rsidR="0081010B" w:rsidRPr="00D27255" w:rsidRDefault="0081010B" w:rsidP="0081010B">
      <w:pPr>
        <w:jc w:val="both"/>
        <w:rPr>
          <w:sz w:val="28"/>
          <w:szCs w:val="28"/>
        </w:rPr>
      </w:pPr>
    </w:p>
    <w:p w14:paraId="197DCF2C" w14:textId="78819D45" w:rsidR="0081010B" w:rsidRPr="00D27255" w:rsidRDefault="0081010B" w:rsidP="00B04E5D">
      <w:pPr>
        <w:ind w:firstLine="720"/>
        <w:jc w:val="both"/>
        <w:rPr>
          <w:sz w:val="28"/>
          <w:szCs w:val="28"/>
        </w:rPr>
      </w:pPr>
      <w:r w:rsidRPr="00D27255">
        <w:rPr>
          <w:sz w:val="28"/>
          <w:szCs w:val="28"/>
        </w:rPr>
        <w:t>Prognozējot specializētās tiesas noslodzi būtu jāņem vērā no prokuratūras tiesai nodoto lietu</w:t>
      </w:r>
      <w:r w:rsidR="00446409" w:rsidRPr="00D27255">
        <w:rPr>
          <w:rStyle w:val="FootnoteReference"/>
          <w:sz w:val="28"/>
          <w:szCs w:val="28"/>
        </w:rPr>
        <w:footnoteReference w:id="27"/>
      </w:r>
      <w:r w:rsidR="00446409" w:rsidRPr="00D27255">
        <w:rPr>
          <w:sz w:val="28"/>
          <w:szCs w:val="28"/>
        </w:rPr>
        <w:t xml:space="preserve"> </w:t>
      </w:r>
      <w:r w:rsidRPr="00D27255">
        <w:rPr>
          <w:sz w:val="28"/>
          <w:szCs w:val="28"/>
        </w:rPr>
        <w:t>skaits 2017</w:t>
      </w:r>
      <w:r w:rsidR="008126C3" w:rsidRPr="00D27255">
        <w:rPr>
          <w:sz w:val="28"/>
          <w:szCs w:val="28"/>
        </w:rPr>
        <w:t>. </w:t>
      </w:r>
      <w:r w:rsidRPr="00D27255">
        <w:rPr>
          <w:sz w:val="28"/>
          <w:szCs w:val="28"/>
        </w:rPr>
        <w:t>un 2018</w:t>
      </w:r>
      <w:r w:rsidR="008126C3" w:rsidRPr="00D27255">
        <w:rPr>
          <w:sz w:val="28"/>
          <w:szCs w:val="28"/>
        </w:rPr>
        <w:t>. </w:t>
      </w:r>
      <w:r w:rsidRPr="00D27255">
        <w:rPr>
          <w:sz w:val="28"/>
          <w:szCs w:val="28"/>
        </w:rPr>
        <w:t>gadā</w:t>
      </w:r>
      <w:r w:rsidR="00981316" w:rsidRPr="00D27255">
        <w:rPr>
          <w:sz w:val="28"/>
          <w:szCs w:val="28"/>
        </w:rPr>
        <w:t xml:space="preserve"> (</w:t>
      </w:r>
      <w:r w:rsidR="00B772CB" w:rsidRPr="00D27255">
        <w:rPr>
          <w:sz w:val="28"/>
          <w:szCs w:val="28"/>
        </w:rPr>
        <w:t>s</w:t>
      </w:r>
      <w:r w:rsidR="00981316" w:rsidRPr="00D27255">
        <w:rPr>
          <w:sz w:val="28"/>
          <w:szCs w:val="28"/>
        </w:rPr>
        <w:t>katīt 3</w:t>
      </w:r>
      <w:r w:rsidR="008126C3" w:rsidRPr="00D27255">
        <w:rPr>
          <w:sz w:val="28"/>
          <w:szCs w:val="28"/>
        </w:rPr>
        <w:t>. </w:t>
      </w:r>
      <w:r w:rsidR="00981316" w:rsidRPr="00D27255">
        <w:rPr>
          <w:sz w:val="28"/>
          <w:szCs w:val="28"/>
        </w:rPr>
        <w:t>tabulu</w:t>
      </w:r>
      <w:r w:rsidR="004B7384" w:rsidRPr="00D27255">
        <w:rPr>
          <w:sz w:val="28"/>
          <w:szCs w:val="28"/>
        </w:rPr>
        <w:t>.</w:t>
      </w:r>
      <w:r w:rsidR="00981316" w:rsidRPr="00D27255">
        <w:rPr>
          <w:sz w:val="28"/>
          <w:szCs w:val="28"/>
        </w:rPr>
        <w:t xml:space="preserve"> Tiesai nodoto krimināllietu, kuru izskatīšana būtu specializējama, skaits 2017</w:t>
      </w:r>
      <w:r w:rsidR="00B23920" w:rsidRPr="00D27255">
        <w:rPr>
          <w:sz w:val="28"/>
          <w:szCs w:val="28"/>
        </w:rPr>
        <w:t>.</w:t>
      </w:r>
      <w:r w:rsidR="00981316" w:rsidRPr="00D27255">
        <w:rPr>
          <w:sz w:val="28"/>
          <w:szCs w:val="28"/>
        </w:rPr>
        <w:t xml:space="preserve"> – 2018.</w:t>
      </w:r>
      <w:r w:rsidR="00362034" w:rsidRPr="00D27255">
        <w:rPr>
          <w:sz w:val="28"/>
          <w:szCs w:val="28"/>
        </w:rPr>
        <w:t> </w:t>
      </w:r>
      <w:r w:rsidR="00981316" w:rsidRPr="00D27255">
        <w:rPr>
          <w:sz w:val="28"/>
          <w:szCs w:val="28"/>
        </w:rPr>
        <w:t>gadā</w:t>
      </w:r>
      <w:r w:rsidR="00446409" w:rsidRPr="00D27255">
        <w:rPr>
          <w:sz w:val="28"/>
          <w:szCs w:val="28"/>
        </w:rPr>
        <w:t>)</w:t>
      </w:r>
      <w:r w:rsidRPr="00D27255">
        <w:rPr>
          <w:sz w:val="28"/>
          <w:szCs w:val="28"/>
        </w:rPr>
        <w:t xml:space="preserve">. </w:t>
      </w:r>
    </w:p>
    <w:p w14:paraId="0EAAF02B" w14:textId="77777777" w:rsidR="00283997" w:rsidRPr="00D27255" w:rsidRDefault="00283997" w:rsidP="0081010B">
      <w:pPr>
        <w:jc w:val="both"/>
        <w:rPr>
          <w:sz w:val="28"/>
          <w:szCs w:val="28"/>
        </w:rPr>
      </w:pPr>
    </w:p>
    <w:tbl>
      <w:tblPr>
        <w:tblStyle w:val="TableGrid"/>
        <w:tblW w:w="9356" w:type="dxa"/>
        <w:tblInd w:w="-5" w:type="dxa"/>
        <w:tblLook w:val="04A0" w:firstRow="1" w:lastRow="0" w:firstColumn="1" w:lastColumn="0" w:noHBand="0" w:noVBand="1"/>
      </w:tblPr>
      <w:tblGrid>
        <w:gridCol w:w="6213"/>
        <w:gridCol w:w="1584"/>
        <w:gridCol w:w="1559"/>
      </w:tblGrid>
      <w:tr w:rsidR="0081010B" w:rsidRPr="007E76A7" w14:paraId="2C0674CA" w14:textId="77777777" w:rsidTr="000F39FE">
        <w:tc>
          <w:tcPr>
            <w:tcW w:w="6213" w:type="dxa"/>
          </w:tcPr>
          <w:p w14:paraId="0A817DCA" w14:textId="77777777" w:rsidR="0081010B" w:rsidRPr="007E76A7" w:rsidRDefault="0081010B" w:rsidP="00A77CEF">
            <w:pPr>
              <w:jc w:val="both"/>
              <w:rPr>
                <w:b/>
                <w:sz w:val="20"/>
                <w:szCs w:val="20"/>
              </w:rPr>
            </w:pPr>
            <w:bookmarkStart w:id="4" w:name="_Hlk9257926"/>
            <w:r w:rsidRPr="007E76A7">
              <w:rPr>
                <w:b/>
                <w:sz w:val="20"/>
                <w:szCs w:val="20"/>
              </w:rPr>
              <w:t>Lieta</w:t>
            </w:r>
          </w:p>
        </w:tc>
        <w:tc>
          <w:tcPr>
            <w:tcW w:w="1584" w:type="dxa"/>
          </w:tcPr>
          <w:p w14:paraId="24C367B4" w14:textId="509CAD25" w:rsidR="0081010B" w:rsidRPr="007E76A7" w:rsidRDefault="0081010B" w:rsidP="00A77CEF">
            <w:pPr>
              <w:jc w:val="both"/>
              <w:rPr>
                <w:b/>
                <w:sz w:val="20"/>
                <w:szCs w:val="20"/>
              </w:rPr>
            </w:pPr>
            <w:r w:rsidRPr="007E76A7">
              <w:rPr>
                <w:b/>
                <w:sz w:val="20"/>
                <w:szCs w:val="20"/>
              </w:rPr>
              <w:t>Nodoto lietu skaits 2017. gad</w:t>
            </w:r>
            <w:r w:rsidR="00E228F5" w:rsidRPr="007E76A7">
              <w:rPr>
                <w:b/>
                <w:sz w:val="20"/>
                <w:szCs w:val="20"/>
              </w:rPr>
              <w:t>ā</w:t>
            </w:r>
          </w:p>
        </w:tc>
        <w:tc>
          <w:tcPr>
            <w:tcW w:w="1559" w:type="dxa"/>
          </w:tcPr>
          <w:p w14:paraId="5B141214" w14:textId="25AB4B8B" w:rsidR="0081010B" w:rsidRPr="007E76A7" w:rsidRDefault="0081010B" w:rsidP="00A77CEF">
            <w:pPr>
              <w:jc w:val="both"/>
              <w:rPr>
                <w:b/>
                <w:sz w:val="20"/>
                <w:szCs w:val="20"/>
              </w:rPr>
            </w:pPr>
            <w:r w:rsidRPr="007E76A7">
              <w:rPr>
                <w:b/>
                <w:sz w:val="20"/>
                <w:szCs w:val="20"/>
              </w:rPr>
              <w:t>Nodoto lietu skaits 2018.gad</w:t>
            </w:r>
            <w:r w:rsidR="00E228F5" w:rsidRPr="007E76A7">
              <w:rPr>
                <w:b/>
                <w:sz w:val="20"/>
                <w:szCs w:val="20"/>
              </w:rPr>
              <w:t>ā</w:t>
            </w:r>
          </w:p>
        </w:tc>
      </w:tr>
      <w:tr w:rsidR="0081010B" w:rsidRPr="007E76A7" w14:paraId="38919FD3" w14:textId="77777777" w:rsidTr="000F39FE">
        <w:tc>
          <w:tcPr>
            <w:tcW w:w="6213" w:type="dxa"/>
          </w:tcPr>
          <w:p w14:paraId="0EBB35F6" w14:textId="477054BB" w:rsidR="0081010B" w:rsidRPr="007E76A7" w:rsidRDefault="0081010B" w:rsidP="00A77CEF">
            <w:pPr>
              <w:jc w:val="both"/>
              <w:rPr>
                <w:sz w:val="20"/>
                <w:szCs w:val="20"/>
              </w:rPr>
            </w:pPr>
            <w:r w:rsidRPr="007E76A7">
              <w:rPr>
                <w:sz w:val="20"/>
                <w:szCs w:val="20"/>
              </w:rPr>
              <w:t>177.</w:t>
            </w:r>
            <w:r w:rsidR="00362034" w:rsidRPr="007E76A7">
              <w:rPr>
                <w:sz w:val="20"/>
                <w:szCs w:val="20"/>
              </w:rPr>
              <w:t> </w:t>
            </w:r>
            <w:r w:rsidRPr="007E76A7">
              <w:rPr>
                <w:sz w:val="20"/>
                <w:szCs w:val="20"/>
              </w:rPr>
              <w:t xml:space="preserve">panta trešā daļa – Krāpšana </w:t>
            </w:r>
          </w:p>
        </w:tc>
        <w:tc>
          <w:tcPr>
            <w:tcW w:w="1584" w:type="dxa"/>
          </w:tcPr>
          <w:p w14:paraId="3F11EA45" w14:textId="77777777" w:rsidR="0081010B" w:rsidRPr="007E76A7" w:rsidRDefault="0081010B" w:rsidP="00A77CEF">
            <w:pPr>
              <w:jc w:val="both"/>
              <w:rPr>
                <w:sz w:val="20"/>
                <w:szCs w:val="20"/>
              </w:rPr>
            </w:pPr>
            <w:r w:rsidRPr="007E76A7">
              <w:rPr>
                <w:sz w:val="20"/>
                <w:szCs w:val="20"/>
              </w:rPr>
              <w:t>37</w:t>
            </w:r>
          </w:p>
        </w:tc>
        <w:tc>
          <w:tcPr>
            <w:tcW w:w="1559" w:type="dxa"/>
          </w:tcPr>
          <w:p w14:paraId="2D5532FB" w14:textId="77777777" w:rsidR="0081010B" w:rsidRPr="007E76A7" w:rsidRDefault="0081010B" w:rsidP="00A77CEF">
            <w:pPr>
              <w:jc w:val="both"/>
              <w:rPr>
                <w:sz w:val="20"/>
                <w:szCs w:val="20"/>
              </w:rPr>
            </w:pPr>
            <w:r w:rsidRPr="007E76A7">
              <w:rPr>
                <w:sz w:val="20"/>
                <w:szCs w:val="20"/>
              </w:rPr>
              <w:t>42</w:t>
            </w:r>
          </w:p>
        </w:tc>
      </w:tr>
      <w:tr w:rsidR="0081010B" w:rsidRPr="007E76A7" w14:paraId="30B4B8B2" w14:textId="77777777" w:rsidTr="000F39FE">
        <w:tc>
          <w:tcPr>
            <w:tcW w:w="6213" w:type="dxa"/>
          </w:tcPr>
          <w:p w14:paraId="45AD36EC" w14:textId="3B6F5C35" w:rsidR="0081010B" w:rsidRPr="007E76A7" w:rsidRDefault="0081010B" w:rsidP="00A77CEF">
            <w:pPr>
              <w:jc w:val="both"/>
              <w:rPr>
                <w:sz w:val="20"/>
                <w:szCs w:val="20"/>
              </w:rPr>
            </w:pPr>
            <w:r w:rsidRPr="007E76A7">
              <w:rPr>
                <w:sz w:val="20"/>
                <w:szCs w:val="20"/>
              </w:rPr>
              <w:t>179.</w:t>
            </w:r>
            <w:r w:rsidR="00362034" w:rsidRPr="007E76A7">
              <w:rPr>
                <w:sz w:val="20"/>
                <w:szCs w:val="20"/>
              </w:rPr>
              <w:t> </w:t>
            </w:r>
            <w:r w:rsidRPr="007E76A7">
              <w:rPr>
                <w:sz w:val="20"/>
                <w:szCs w:val="20"/>
              </w:rPr>
              <w:t>panta trešā daļa – Piesavināšanās</w:t>
            </w:r>
          </w:p>
        </w:tc>
        <w:tc>
          <w:tcPr>
            <w:tcW w:w="1584" w:type="dxa"/>
          </w:tcPr>
          <w:p w14:paraId="2120CA56" w14:textId="77777777" w:rsidR="0081010B" w:rsidRPr="007E76A7" w:rsidRDefault="0081010B" w:rsidP="00A77CEF">
            <w:pPr>
              <w:jc w:val="both"/>
              <w:rPr>
                <w:sz w:val="20"/>
                <w:szCs w:val="20"/>
              </w:rPr>
            </w:pPr>
            <w:r w:rsidRPr="007E76A7">
              <w:rPr>
                <w:sz w:val="20"/>
                <w:szCs w:val="20"/>
              </w:rPr>
              <w:t>29</w:t>
            </w:r>
          </w:p>
        </w:tc>
        <w:tc>
          <w:tcPr>
            <w:tcW w:w="1559" w:type="dxa"/>
          </w:tcPr>
          <w:p w14:paraId="01FF0D7A" w14:textId="77777777" w:rsidR="0081010B" w:rsidRPr="007E76A7" w:rsidRDefault="0081010B" w:rsidP="00A77CEF">
            <w:pPr>
              <w:jc w:val="both"/>
              <w:rPr>
                <w:sz w:val="20"/>
                <w:szCs w:val="20"/>
              </w:rPr>
            </w:pPr>
            <w:r w:rsidRPr="007E76A7">
              <w:rPr>
                <w:sz w:val="20"/>
                <w:szCs w:val="20"/>
              </w:rPr>
              <w:t>34</w:t>
            </w:r>
          </w:p>
        </w:tc>
      </w:tr>
      <w:tr w:rsidR="0081010B" w:rsidRPr="007E76A7" w14:paraId="4F36B8DE" w14:textId="77777777" w:rsidTr="000F39FE">
        <w:tc>
          <w:tcPr>
            <w:tcW w:w="6213" w:type="dxa"/>
          </w:tcPr>
          <w:p w14:paraId="201E4110" w14:textId="1F7B612C" w:rsidR="0081010B" w:rsidRPr="007E76A7" w:rsidRDefault="0081010B" w:rsidP="00A77CEF">
            <w:pPr>
              <w:rPr>
                <w:sz w:val="20"/>
                <w:szCs w:val="20"/>
              </w:rPr>
            </w:pPr>
            <w:r w:rsidRPr="007E76A7">
              <w:rPr>
                <w:sz w:val="20"/>
                <w:szCs w:val="20"/>
              </w:rPr>
              <w:t>190.</w:t>
            </w:r>
            <w:r w:rsidR="00362034" w:rsidRPr="007E76A7">
              <w:rPr>
                <w:sz w:val="20"/>
                <w:szCs w:val="20"/>
              </w:rPr>
              <w:t> </w:t>
            </w:r>
            <w:r w:rsidRPr="007E76A7">
              <w:rPr>
                <w:sz w:val="20"/>
                <w:szCs w:val="20"/>
              </w:rPr>
              <w:t xml:space="preserve">panta trešā daļa </w:t>
            </w:r>
            <w:r w:rsidR="001837D7" w:rsidRPr="007E76A7">
              <w:rPr>
                <w:sz w:val="20"/>
                <w:szCs w:val="20"/>
              </w:rPr>
              <w:t xml:space="preserve">– </w:t>
            </w:r>
            <w:r w:rsidRPr="007E76A7">
              <w:rPr>
                <w:sz w:val="20"/>
                <w:szCs w:val="20"/>
              </w:rPr>
              <w:t>Kontrabanda</w:t>
            </w:r>
          </w:p>
        </w:tc>
        <w:tc>
          <w:tcPr>
            <w:tcW w:w="1584" w:type="dxa"/>
          </w:tcPr>
          <w:p w14:paraId="43B2B65D" w14:textId="77777777" w:rsidR="0081010B" w:rsidRPr="007E76A7" w:rsidRDefault="0081010B" w:rsidP="00A77CEF">
            <w:pPr>
              <w:jc w:val="both"/>
              <w:rPr>
                <w:sz w:val="20"/>
                <w:szCs w:val="20"/>
              </w:rPr>
            </w:pPr>
            <w:r w:rsidRPr="007E76A7">
              <w:rPr>
                <w:sz w:val="20"/>
                <w:szCs w:val="20"/>
              </w:rPr>
              <w:t>9</w:t>
            </w:r>
          </w:p>
        </w:tc>
        <w:tc>
          <w:tcPr>
            <w:tcW w:w="1559" w:type="dxa"/>
          </w:tcPr>
          <w:p w14:paraId="3A0AE66D" w14:textId="77777777" w:rsidR="0081010B" w:rsidRPr="007E76A7" w:rsidRDefault="0081010B" w:rsidP="00A77CEF">
            <w:pPr>
              <w:jc w:val="both"/>
              <w:rPr>
                <w:sz w:val="20"/>
                <w:szCs w:val="20"/>
              </w:rPr>
            </w:pPr>
            <w:r w:rsidRPr="007E76A7">
              <w:rPr>
                <w:sz w:val="20"/>
                <w:szCs w:val="20"/>
              </w:rPr>
              <w:t>8</w:t>
            </w:r>
          </w:p>
        </w:tc>
      </w:tr>
      <w:tr w:rsidR="0081010B" w:rsidRPr="007E76A7" w14:paraId="44E6A13C" w14:textId="77777777" w:rsidTr="000F39FE">
        <w:tc>
          <w:tcPr>
            <w:tcW w:w="6213" w:type="dxa"/>
          </w:tcPr>
          <w:p w14:paraId="59A2E082" w14:textId="09E54A62" w:rsidR="0081010B" w:rsidRPr="007E76A7" w:rsidRDefault="0081010B" w:rsidP="00A77CEF">
            <w:pPr>
              <w:jc w:val="both"/>
              <w:rPr>
                <w:sz w:val="20"/>
                <w:szCs w:val="20"/>
              </w:rPr>
            </w:pPr>
            <w:r w:rsidRPr="007E76A7">
              <w:rPr>
                <w:sz w:val="20"/>
                <w:szCs w:val="20"/>
              </w:rPr>
              <w:t>195.</w:t>
            </w:r>
            <w:r w:rsidR="00362034" w:rsidRPr="007E76A7">
              <w:rPr>
                <w:sz w:val="20"/>
                <w:szCs w:val="20"/>
              </w:rPr>
              <w:t> </w:t>
            </w:r>
            <w:r w:rsidRPr="007E76A7">
              <w:rPr>
                <w:sz w:val="20"/>
                <w:szCs w:val="20"/>
              </w:rPr>
              <w:t>panta otrā daļa – Noziedzīgi iegūtu līdzekļu legalizēšana</w:t>
            </w:r>
          </w:p>
        </w:tc>
        <w:tc>
          <w:tcPr>
            <w:tcW w:w="1584" w:type="dxa"/>
          </w:tcPr>
          <w:p w14:paraId="588BCD0B" w14:textId="77777777" w:rsidR="0081010B" w:rsidRPr="007E76A7" w:rsidRDefault="0081010B" w:rsidP="00A77CEF">
            <w:pPr>
              <w:jc w:val="both"/>
              <w:rPr>
                <w:sz w:val="20"/>
                <w:szCs w:val="20"/>
              </w:rPr>
            </w:pPr>
            <w:r w:rsidRPr="007E76A7">
              <w:rPr>
                <w:sz w:val="20"/>
                <w:szCs w:val="20"/>
              </w:rPr>
              <w:t>1</w:t>
            </w:r>
          </w:p>
        </w:tc>
        <w:tc>
          <w:tcPr>
            <w:tcW w:w="1559" w:type="dxa"/>
          </w:tcPr>
          <w:p w14:paraId="0645F578" w14:textId="77777777" w:rsidR="0081010B" w:rsidRPr="007E76A7" w:rsidRDefault="0081010B" w:rsidP="00A77CEF">
            <w:pPr>
              <w:jc w:val="both"/>
              <w:rPr>
                <w:sz w:val="20"/>
                <w:szCs w:val="20"/>
              </w:rPr>
            </w:pPr>
            <w:r w:rsidRPr="007E76A7">
              <w:rPr>
                <w:sz w:val="20"/>
                <w:szCs w:val="20"/>
              </w:rPr>
              <w:t>4</w:t>
            </w:r>
          </w:p>
        </w:tc>
      </w:tr>
      <w:tr w:rsidR="0081010B" w:rsidRPr="007E76A7" w14:paraId="4C5AB855" w14:textId="77777777" w:rsidTr="000F39FE">
        <w:tc>
          <w:tcPr>
            <w:tcW w:w="6213" w:type="dxa"/>
          </w:tcPr>
          <w:p w14:paraId="5EC44DD1" w14:textId="3C6339FD" w:rsidR="0081010B" w:rsidRPr="007E76A7" w:rsidRDefault="0081010B" w:rsidP="00A77CEF">
            <w:pPr>
              <w:jc w:val="both"/>
              <w:rPr>
                <w:sz w:val="20"/>
                <w:szCs w:val="20"/>
              </w:rPr>
            </w:pPr>
            <w:r w:rsidRPr="007E76A7">
              <w:rPr>
                <w:sz w:val="20"/>
                <w:szCs w:val="20"/>
              </w:rPr>
              <w:t>195.</w:t>
            </w:r>
            <w:r w:rsidR="00362034" w:rsidRPr="007E76A7">
              <w:rPr>
                <w:sz w:val="20"/>
                <w:szCs w:val="20"/>
              </w:rPr>
              <w:t> </w:t>
            </w:r>
            <w:r w:rsidRPr="007E76A7">
              <w:rPr>
                <w:sz w:val="20"/>
                <w:szCs w:val="20"/>
              </w:rPr>
              <w:t>panta trešā daļa – Noziedzīgi iegūtu līdzekļu legalizēšana</w:t>
            </w:r>
          </w:p>
        </w:tc>
        <w:tc>
          <w:tcPr>
            <w:tcW w:w="1584" w:type="dxa"/>
          </w:tcPr>
          <w:p w14:paraId="2BEA2EA8" w14:textId="77777777" w:rsidR="0081010B" w:rsidRPr="007E76A7" w:rsidRDefault="0081010B" w:rsidP="00A77CEF">
            <w:pPr>
              <w:jc w:val="both"/>
              <w:rPr>
                <w:sz w:val="20"/>
                <w:szCs w:val="20"/>
              </w:rPr>
            </w:pPr>
            <w:r w:rsidRPr="007E76A7">
              <w:rPr>
                <w:sz w:val="20"/>
                <w:szCs w:val="20"/>
              </w:rPr>
              <w:t>9</w:t>
            </w:r>
          </w:p>
        </w:tc>
        <w:tc>
          <w:tcPr>
            <w:tcW w:w="1559" w:type="dxa"/>
          </w:tcPr>
          <w:p w14:paraId="520CB3CE" w14:textId="77777777" w:rsidR="0081010B" w:rsidRPr="007E76A7" w:rsidRDefault="0081010B" w:rsidP="00A77CEF">
            <w:pPr>
              <w:jc w:val="both"/>
              <w:rPr>
                <w:sz w:val="20"/>
                <w:szCs w:val="20"/>
              </w:rPr>
            </w:pPr>
            <w:r w:rsidRPr="007E76A7">
              <w:rPr>
                <w:sz w:val="20"/>
                <w:szCs w:val="20"/>
              </w:rPr>
              <w:t>13</w:t>
            </w:r>
          </w:p>
        </w:tc>
      </w:tr>
      <w:tr w:rsidR="0081010B" w:rsidRPr="007E76A7" w14:paraId="7416F3EC" w14:textId="77777777" w:rsidTr="000F39FE">
        <w:tc>
          <w:tcPr>
            <w:tcW w:w="6213" w:type="dxa"/>
          </w:tcPr>
          <w:p w14:paraId="4F5E6E31" w14:textId="45B47514" w:rsidR="0081010B" w:rsidRPr="007E76A7" w:rsidRDefault="0081010B" w:rsidP="00A77CEF">
            <w:pPr>
              <w:jc w:val="both"/>
              <w:rPr>
                <w:sz w:val="20"/>
                <w:szCs w:val="20"/>
              </w:rPr>
            </w:pPr>
            <w:r w:rsidRPr="007E76A7">
              <w:rPr>
                <w:sz w:val="20"/>
                <w:szCs w:val="20"/>
              </w:rPr>
              <w:t>218.</w:t>
            </w:r>
            <w:r w:rsidR="00362034" w:rsidRPr="007E76A7">
              <w:rPr>
                <w:sz w:val="20"/>
                <w:szCs w:val="20"/>
              </w:rPr>
              <w:t> </w:t>
            </w:r>
            <w:r w:rsidRPr="007E76A7">
              <w:rPr>
                <w:sz w:val="20"/>
                <w:szCs w:val="20"/>
              </w:rPr>
              <w:t xml:space="preserve">panta otrā daļa – Izvairīšanās no nodokļu un tiem pielīdzināto maksājumu nomaksas </w:t>
            </w:r>
          </w:p>
        </w:tc>
        <w:tc>
          <w:tcPr>
            <w:tcW w:w="1584" w:type="dxa"/>
          </w:tcPr>
          <w:p w14:paraId="74B63B6B" w14:textId="77777777" w:rsidR="0081010B" w:rsidRPr="007E76A7" w:rsidRDefault="0081010B" w:rsidP="00A77CEF">
            <w:pPr>
              <w:jc w:val="both"/>
              <w:rPr>
                <w:sz w:val="20"/>
                <w:szCs w:val="20"/>
              </w:rPr>
            </w:pPr>
            <w:r w:rsidRPr="007E76A7">
              <w:rPr>
                <w:sz w:val="20"/>
                <w:szCs w:val="20"/>
              </w:rPr>
              <w:t>52</w:t>
            </w:r>
          </w:p>
        </w:tc>
        <w:tc>
          <w:tcPr>
            <w:tcW w:w="1559" w:type="dxa"/>
          </w:tcPr>
          <w:p w14:paraId="0E126E1C" w14:textId="77777777" w:rsidR="0081010B" w:rsidRPr="007E76A7" w:rsidRDefault="0081010B" w:rsidP="00A77CEF">
            <w:pPr>
              <w:jc w:val="both"/>
              <w:rPr>
                <w:sz w:val="20"/>
                <w:szCs w:val="20"/>
              </w:rPr>
            </w:pPr>
            <w:r w:rsidRPr="007E76A7">
              <w:rPr>
                <w:sz w:val="20"/>
                <w:szCs w:val="20"/>
              </w:rPr>
              <w:t>49</w:t>
            </w:r>
          </w:p>
        </w:tc>
      </w:tr>
      <w:tr w:rsidR="0081010B" w:rsidRPr="007E76A7" w14:paraId="313AD28F" w14:textId="77777777" w:rsidTr="000F39FE">
        <w:tc>
          <w:tcPr>
            <w:tcW w:w="6213" w:type="dxa"/>
          </w:tcPr>
          <w:p w14:paraId="2F989714" w14:textId="36FC55C2" w:rsidR="0081010B" w:rsidRPr="007E76A7" w:rsidRDefault="0081010B" w:rsidP="00A77CEF">
            <w:pPr>
              <w:jc w:val="both"/>
              <w:rPr>
                <w:sz w:val="20"/>
                <w:szCs w:val="20"/>
              </w:rPr>
            </w:pPr>
            <w:r w:rsidRPr="007E76A7">
              <w:rPr>
                <w:sz w:val="20"/>
                <w:szCs w:val="20"/>
              </w:rPr>
              <w:t>218.</w:t>
            </w:r>
            <w:r w:rsidR="00362034" w:rsidRPr="007E76A7">
              <w:rPr>
                <w:sz w:val="20"/>
                <w:szCs w:val="20"/>
              </w:rPr>
              <w:t> </w:t>
            </w:r>
            <w:r w:rsidRPr="007E76A7">
              <w:rPr>
                <w:sz w:val="20"/>
                <w:szCs w:val="20"/>
              </w:rPr>
              <w:t xml:space="preserve">panta trešā daļa – Izvairīšanās no nodokļu un tiem pielīdzināto maksājumu nomaksas </w:t>
            </w:r>
          </w:p>
        </w:tc>
        <w:tc>
          <w:tcPr>
            <w:tcW w:w="1584" w:type="dxa"/>
          </w:tcPr>
          <w:p w14:paraId="0BE894F0" w14:textId="77777777" w:rsidR="0081010B" w:rsidRPr="007E76A7" w:rsidRDefault="0081010B" w:rsidP="00A77CEF">
            <w:pPr>
              <w:jc w:val="both"/>
              <w:rPr>
                <w:sz w:val="20"/>
                <w:szCs w:val="20"/>
              </w:rPr>
            </w:pPr>
            <w:r w:rsidRPr="007E76A7">
              <w:rPr>
                <w:sz w:val="20"/>
                <w:szCs w:val="20"/>
              </w:rPr>
              <w:t>3</w:t>
            </w:r>
          </w:p>
        </w:tc>
        <w:tc>
          <w:tcPr>
            <w:tcW w:w="1559" w:type="dxa"/>
          </w:tcPr>
          <w:p w14:paraId="74A67747" w14:textId="77777777" w:rsidR="0081010B" w:rsidRPr="007E76A7" w:rsidRDefault="0081010B" w:rsidP="00A77CEF">
            <w:pPr>
              <w:jc w:val="both"/>
              <w:rPr>
                <w:sz w:val="20"/>
                <w:szCs w:val="20"/>
              </w:rPr>
            </w:pPr>
            <w:r w:rsidRPr="007E76A7">
              <w:rPr>
                <w:sz w:val="20"/>
                <w:szCs w:val="20"/>
              </w:rPr>
              <w:t>2</w:t>
            </w:r>
          </w:p>
        </w:tc>
      </w:tr>
      <w:tr w:rsidR="0081010B" w:rsidRPr="007E76A7" w14:paraId="7F7D9ED4" w14:textId="77777777" w:rsidTr="000F39FE">
        <w:tc>
          <w:tcPr>
            <w:tcW w:w="6213" w:type="dxa"/>
          </w:tcPr>
          <w:p w14:paraId="38AC83DA" w14:textId="0972D6FC" w:rsidR="0081010B" w:rsidRPr="007E76A7" w:rsidRDefault="0081010B" w:rsidP="00A77CEF">
            <w:pPr>
              <w:jc w:val="both"/>
              <w:rPr>
                <w:sz w:val="20"/>
                <w:szCs w:val="20"/>
              </w:rPr>
            </w:pPr>
            <w:r w:rsidRPr="007E76A7">
              <w:rPr>
                <w:sz w:val="20"/>
                <w:szCs w:val="20"/>
              </w:rPr>
              <w:t>322.</w:t>
            </w:r>
            <w:r w:rsidR="00362034" w:rsidRPr="007E76A7">
              <w:rPr>
                <w:sz w:val="20"/>
                <w:szCs w:val="20"/>
              </w:rPr>
              <w:t> </w:t>
            </w:r>
            <w:r w:rsidRPr="007E76A7">
              <w:rPr>
                <w:sz w:val="20"/>
                <w:szCs w:val="20"/>
              </w:rPr>
              <w:t>panta otrā daļa – Starpniecība kukuļošanā</w:t>
            </w:r>
          </w:p>
        </w:tc>
        <w:tc>
          <w:tcPr>
            <w:tcW w:w="1584" w:type="dxa"/>
          </w:tcPr>
          <w:p w14:paraId="4D4B1C1C" w14:textId="77777777" w:rsidR="0081010B" w:rsidRPr="007E76A7" w:rsidRDefault="0081010B" w:rsidP="00A77CEF">
            <w:pPr>
              <w:jc w:val="both"/>
              <w:rPr>
                <w:sz w:val="20"/>
                <w:szCs w:val="20"/>
              </w:rPr>
            </w:pPr>
            <w:r w:rsidRPr="007E76A7">
              <w:rPr>
                <w:sz w:val="20"/>
                <w:szCs w:val="20"/>
              </w:rPr>
              <w:t>0</w:t>
            </w:r>
          </w:p>
        </w:tc>
        <w:tc>
          <w:tcPr>
            <w:tcW w:w="1559" w:type="dxa"/>
          </w:tcPr>
          <w:p w14:paraId="558236D0" w14:textId="77777777" w:rsidR="0081010B" w:rsidRPr="007E76A7" w:rsidRDefault="0081010B" w:rsidP="00A77CEF">
            <w:pPr>
              <w:jc w:val="both"/>
              <w:rPr>
                <w:sz w:val="20"/>
                <w:szCs w:val="20"/>
              </w:rPr>
            </w:pPr>
            <w:r w:rsidRPr="007E76A7">
              <w:rPr>
                <w:sz w:val="20"/>
                <w:szCs w:val="20"/>
              </w:rPr>
              <w:t>0</w:t>
            </w:r>
          </w:p>
        </w:tc>
      </w:tr>
      <w:tr w:rsidR="0081010B" w:rsidRPr="007E76A7" w14:paraId="64F83F2B" w14:textId="77777777" w:rsidTr="000F39FE">
        <w:tc>
          <w:tcPr>
            <w:tcW w:w="6213" w:type="dxa"/>
          </w:tcPr>
          <w:p w14:paraId="11431FFB" w14:textId="15AE3D6B" w:rsidR="0081010B" w:rsidRPr="007E76A7" w:rsidRDefault="0081010B" w:rsidP="00A77CEF">
            <w:pPr>
              <w:jc w:val="both"/>
              <w:rPr>
                <w:sz w:val="20"/>
                <w:szCs w:val="20"/>
              </w:rPr>
            </w:pPr>
            <w:r w:rsidRPr="007E76A7">
              <w:rPr>
                <w:sz w:val="20"/>
                <w:szCs w:val="20"/>
              </w:rPr>
              <w:t>320.</w:t>
            </w:r>
            <w:r w:rsidR="00362034" w:rsidRPr="007E76A7">
              <w:rPr>
                <w:sz w:val="20"/>
                <w:szCs w:val="20"/>
              </w:rPr>
              <w:t> </w:t>
            </w:r>
            <w:r w:rsidRPr="007E76A7">
              <w:rPr>
                <w:sz w:val="20"/>
                <w:szCs w:val="20"/>
              </w:rPr>
              <w:t>panta trešā daļa – Kukuļņemšana</w:t>
            </w:r>
          </w:p>
        </w:tc>
        <w:tc>
          <w:tcPr>
            <w:tcW w:w="1584" w:type="dxa"/>
          </w:tcPr>
          <w:p w14:paraId="572EA87D" w14:textId="77777777" w:rsidR="0081010B" w:rsidRPr="007E76A7" w:rsidRDefault="0081010B" w:rsidP="00A77CEF">
            <w:pPr>
              <w:jc w:val="both"/>
              <w:rPr>
                <w:sz w:val="20"/>
                <w:szCs w:val="20"/>
              </w:rPr>
            </w:pPr>
            <w:r w:rsidRPr="007E76A7">
              <w:rPr>
                <w:sz w:val="20"/>
                <w:szCs w:val="20"/>
              </w:rPr>
              <w:t>10</w:t>
            </w:r>
          </w:p>
        </w:tc>
        <w:tc>
          <w:tcPr>
            <w:tcW w:w="1559" w:type="dxa"/>
          </w:tcPr>
          <w:p w14:paraId="3402A81D" w14:textId="77777777" w:rsidR="0081010B" w:rsidRPr="007E76A7" w:rsidRDefault="0081010B" w:rsidP="00A77CEF">
            <w:pPr>
              <w:jc w:val="both"/>
              <w:rPr>
                <w:sz w:val="20"/>
                <w:szCs w:val="20"/>
              </w:rPr>
            </w:pPr>
            <w:r w:rsidRPr="007E76A7">
              <w:rPr>
                <w:sz w:val="20"/>
                <w:szCs w:val="20"/>
              </w:rPr>
              <w:t>7</w:t>
            </w:r>
          </w:p>
        </w:tc>
      </w:tr>
      <w:tr w:rsidR="0081010B" w:rsidRPr="007E76A7" w14:paraId="12AE6EB1" w14:textId="77777777" w:rsidTr="000F39FE">
        <w:tc>
          <w:tcPr>
            <w:tcW w:w="6213" w:type="dxa"/>
          </w:tcPr>
          <w:p w14:paraId="229C3E46" w14:textId="5876EA5E" w:rsidR="0081010B" w:rsidRPr="007E76A7" w:rsidRDefault="0081010B" w:rsidP="00A77CEF">
            <w:pPr>
              <w:jc w:val="both"/>
              <w:rPr>
                <w:sz w:val="20"/>
                <w:szCs w:val="20"/>
              </w:rPr>
            </w:pPr>
            <w:r w:rsidRPr="007E76A7">
              <w:rPr>
                <w:sz w:val="20"/>
                <w:szCs w:val="20"/>
              </w:rPr>
              <w:t>320.</w:t>
            </w:r>
            <w:r w:rsidR="00362034" w:rsidRPr="007E76A7">
              <w:rPr>
                <w:sz w:val="20"/>
                <w:szCs w:val="20"/>
              </w:rPr>
              <w:t> </w:t>
            </w:r>
            <w:r w:rsidRPr="007E76A7">
              <w:rPr>
                <w:sz w:val="20"/>
                <w:szCs w:val="20"/>
              </w:rPr>
              <w:t>panta ceturtā daļa – Kukuļņemšana</w:t>
            </w:r>
          </w:p>
        </w:tc>
        <w:tc>
          <w:tcPr>
            <w:tcW w:w="1584" w:type="dxa"/>
          </w:tcPr>
          <w:p w14:paraId="5F0DBB40" w14:textId="77777777" w:rsidR="0081010B" w:rsidRPr="007E76A7" w:rsidRDefault="0081010B" w:rsidP="00A77CEF">
            <w:pPr>
              <w:jc w:val="both"/>
              <w:rPr>
                <w:sz w:val="20"/>
                <w:szCs w:val="20"/>
              </w:rPr>
            </w:pPr>
            <w:r w:rsidRPr="007E76A7">
              <w:rPr>
                <w:sz w:val="20"/>
                <w:szCs w:val="20"/>
              </w:rPr>
              <w:t>1</w:t>
            </w:r>
          </w:p>
        </w:tc>
        <w:tc>
          <w:tcPr>
            <w:tcW w:w="1559" w:type="dxa"/>
          </w:tcPr>
          <w:p w14:paraId="2CD56C74" w14:textId="77777777" w:rsidR="0081010B" w:rsidRPr="007E76A7" w:rsidRDefault="0081010B" w:rsidP="00A77CEF">
            <w:pPr>
              <w:jc w:val="both"/>
              <w:rPr>
                <w:sz w:val="20"/>
                <w:szCs w:val="20"/>
              </w:rPr>
            </w:pPr>
            <w:r w:rsidRPr="007E76A7">
              <w:rPr>
                <w:sz w:val="20"/>
                <w:szCs w:val="20"/>
              </w:rPr>
              <w:t>2</w:t>
            </w:r>
          </w:p>
        </w:tc>
      </w:tr>
      <w:tr w:rsidR="0081010B" w:rsidRPr="007E76A7" w14:paraId="6201EDDC" w14:textId="77777777" w:rsidTr="000F39FE">
        <w:tc>
          <w:tcPr>
            <w:tcW w:w="6213" w:type="dxa"/>
          </w:tcPr>
          <w:p w14:paraId="48D939E4" w14:textId="77777777" w:rsidR="0081010B" w:rsidRPr="007E76A7" w:rsidRDefault="0081010B" w:rsidP="00A77CEF">
            <w:pPr>
              <w:jc w:val="both"/>
              <w:rPr>
                <w:b/>
                <w:sz w:val="20"/>
                <w:szCs w:val="20"/>
              </w:rPr>
            </w:pPr>
            <w:r w:rsidRPr="007E76A7">
              <w:rPr>
                <w:b/>
                <w:sz w:val="20"/>
                <w:szCs w:val="20"/>
              </w:rPr>
              <w:t xml:space="preserve">Kopā </w:t>
            </w:r>
          </w:p>
        </w:tc>
        <w:tc>
          <w:tcPr>
            <w:tcW w:w="1584" w:type="dxa"/>
          </w:tcPr>
          <w:p w14:paraId="508EC581" w14:textId="3D40B8AA" w:rsidR="0081010B" w:rsidRPr="007E76A7" w:rsidRDefault="008171F0" w:rsidP="00A77CEF">
            <w:pPr>
              <w:jc w:val="both"/>
              <w:rPr>
                <w:b/>
                <w:sz w:val="20"/>
                <w:szCs w:val="20"/>
              </w:rPr>
            </w:pPr>
            <w:r w:rsidRPr="007E76A7">
              <w:rPr>
                <w:b/>
                <w:sz w:val="20"/>
                <w:szCs w:val="20"/>
              </w:rPr>
              <w:t>151</w:t>
            </w:r>
          </w:p>
        </w:tc>
        <w:tc>
          <w:tcPr>
            <w:tcW w:w="1559" w:type="dxa"/>
          </w:tcPr>
          <w:p w14:paraId="103BD25D" w14:textId="721229DD" w:rsidR="0081010B" w:rsidRPr="007E76A7" w:rsidRDefault="0081010B" w:rsidP="00A77CEF">
            <w:pPr>
              <w:jc w:val="both"/>
              <w:rPr>
                <w:b/>
                <w:sz w:val="20"/>
                <w:szCs w:val="20"/>
              </w:rPr>
            </w:pPr>
            <w:r w:rsidRPr="007E76A7">
              <w:rPr>
                <w:b/>
                <w:sz w:val="20"/>
                <w:szCs w:val="20"/>
              </w:rPr>
              <w:t>16</w:t>
            </w:r>
            <w:r w:rsidR="008171F0" w:rsidRPr="007E76A7">
              <w:rPr>
                <w:b/>
                <w:sz w:val="20"/>
                <w:szCs w:val="20"/>
              </w:rPr>
              <w:t>2</w:t>
            </w:r>
          </w:p>
        </w:tc>
      </w:tr>
    </w:tbl>
    <w:bookmarkEnd w:id="4"/>
    <w:p w14:paraId="7F0EF3F9" w14:textId="134FA2CA" w:rsidR="0081010B" w:rsidRPr="00D27255" w:rsidRDefault="00981316" w:rsidP="00B04E5D">
      <w:pPr>
        <w:ind w:firstLine="720"/>
        <w:jc w:val="both"/>
      </w:pPr>
      <w:r w:rsidRPr="00D27255">
        <w:t>3</w:t>
      </w:r>
      <w:r w:rsidR="008126C3" w:rsidRPr="00D27255">
        <w:t>. </w:t>
      </w:r>
      <w:r w:rsidR="0081010B" w:rsidRPr="00D27255">
        <w:t>tabula</w:t>
      </w:r>
      <w:r w:rsidR="004B7384" w:rsidRPr="00D27255">
        <w:t>.</w:t>
      </w:r>
      <w:r w:rsidR="0081010B" w:rsidRPr="00D27255">
        <w:t xml:space="preserve"> </w:t>
      </w:r>
      <w:r w:rsidRPr="00D27255">
        <w:t>Tiesai nodoto k</w:t>
      </w:r>
      <w:r w:rsidR="0081010B" w:rsidRPr="00D27255">
        <w:t>rimināllietu, kuru izskatīšana būtu specializējama</w:t>
      </w:r>
      <w:r w:rsidRPr="00D27255">
        <w:t>, skaits 2017</w:t>
      </w:r>
      <w:r w:rsidR="008126C3" w:rsidRPr="00D27255">
        <w:t>. </w:t>
      </w:r>
      <w:r w:rsidRPr="00D27255">
        <w:t>– 2018</w:t>
      </w:r>
      <w:r w:rsidR="008126C3" w:rsidRPr="00D27255">
        <w:t>. </w:t>
      </w:r>
      <w:r w:rsidRPr="00D27255">
        <w:t>gadā</w:t>
      </w:r>
    </w:p>
    <w:p w14:paraId="7BB29C9A" w14:textId="77777777" w:rsidR="0081010B" w:rsidRPr="00D27255" w:rsidRDefault="0081010B" w:rsidP="0081010B">
      <w:pPr>
        <w:ind w:firstLine="720"/>
        <w:jc w:val="both"/>
        <w:rPr>
          <w:rFonts w:eastAsiaTheme="majorEastAsia"/>
          <w:sz w:val="28"/>
          <w:szCs w:val="28"/>
          <w:lang w:eastAsia="en-US"/>
        </w:rPr>
      </w:pPr>
    </w:p>
    <w:p w14:paraId="70140997" w14:textId="5B31E93E" w:rsidR="0081010B" w:rsidRPr="00D27255" w:rsidRDefault="0081010B" w:rsidP="00F3095B">
      <w:pPr>
        <w:ind w:firstLine="720"/>
        <w:jc w:val="both"/>
        <w:rPr>
          <w:rFonts w:eastAsiaTheme="majorEastAsia"/>
          <w:sz w:val="28"/>
          <w:szCs w:val="28"/>
          <w:lang w:eastAsia="en-US"/>
        </w:rPr>
      </w:pPr>
      <w:r w:rsidRPr="00D27255">
        <w:rPr>
          <w:rFonts w:eastAsiaTheme="majorEastAsia"/>
          <w:sz w:val="28"/>
          <w:szCs w:val="28"/>
          <w:lang w:eastAsia="en-US"/>
        </w:rPr>
        <w:t>Savukārt apelācijas instanc</w:t>
      </w:r>
      <w:r w:rsidR="004C0F55" w:rsidRPr="00D27255">
        <w:rPr>
          <w:rFonts w:eastAsiaTheme="majorEastAsia"/>
          <w:sz w:val="28"/>
          <w:szCs w:val="28"/>
          <w:lang w:eastAsia="en-US"/>
        </w:rPr>
        <w:t>ē prognozējam</w:t>
      </w:r>
      <w:r w:rsidR="00B17CC1" w:rsidRPr="00D27255">
        <w:rPr>
          <w:rFonts w:eastAsiaTheme="majorEastAsia"/>
          <w:sz w:val="28"/>
          <w:szCs w:val="28"/>
          <w:lang w:eastAsia="en-US"/>
        </w:rPr>
        <w:t>a</w:t>
      </w:r>
      <w:r w:rsidR="004C0F55" w:rsidRPr="00D27255">
        <w:rPr>
          <w:rFonts w:eastAsiaTheme="majorEastAsia"/>
          <w:sz w:val="28"/>
          <w:szCs w:val="28"/>
          <w:lang w:eastAsia="en-US"/>
        </w:rPr>
        <w:t xml:space="preserve"> šāda noslodze</w:t>
      </w:r>
      <w:r w:rsidR="00981316" w:rsidRPr="00D27255">
        <w:rPr>
          <w:rFonts w:eastAsiaTheme="majorEastAsia"/>
          <w:sz w:val="28"/>
          <w:szCs w:val="28"/>
          <w:lang w:eastAsia="en-US"/>
        </w:rPr>
        <w:t xml:space="preserve"> (</w:t>
      </w:r>
      <w:r w:rsidR="00362034" w:rsidRPr="00D27255">
        <w:rPr>
          <w:rFonts w:eastAsiaTheme="majorEastAsia"/>
          <w:sz w:val="28"/>
          <w:szCs w:val="28"/>
          <w:lang w:eastAsia="en-US"/>
        </w:rPr>
        <w:t>s</w:t>
      </w:r>
      <w:r w:rsidR="00981316" w:rsidRPr="00D27255">
        <w:rPr>
          <w:rFonts w:eastAsiaTheme="majorEastAsia"/>
          <w:sz w:val="28"/>
          <w:szCs w:val="28"/>
          <w:lang w:eastAsia="en-US"/>
        </w:rPr>
        <w:t>katīt 4.</w:t>
      </w:r>
      <w:r w:rsidR="00362034" w:rsidRPr="00D27255">
        <w:rPr>
          <w:rFonts w:eastAsiaTheme="majorEastAsia"/>
          <w:sz w:val="28"/>
          <w:szCs w:val="28"/>
          <w:lang w:eastAsia="en-US"/>
        </w:rPr>
        <w:t> </w:t>
      </w:r>
      <w:r w:rsidR="00981316" w:rsidRPr="00D27255">
        <w:rPr>
          <w:rFonts w:eastAsiaTheme="majorEastAsia"/>
          <w:sz w:val="28"/>
          <w:szCs w:val="28"/>
          <w:lang w:eastAsia="en-US"/>
        </w:rPr>
        <w:t>tabulu</w:t>
      </w:r>
      <w:r w:rsidR="004B7384" w:rsidRPr="00D27255">
        <w:rPr>
          <w:rFonts w:eastAsiaTheme="majorEastAsia"/>
          <w:sz w:val="28"/>
          <w:szCs w:val="28"/>
          <w:lang w:eastAsia="en-US"/>
        </w:rPr>
        <w:t>.</w:t>
      </w:r>
      <w:r w:rsidR="00981316" w:rsidRPr="00D27255">
        <w:rPr>
          <w:rFonts w:eastAsiaTheme="majorEastAsia"/>
          <w:sz w:val="28"/>
          <w:szCs w:val="28"/>
          <w:lang w:eastAsia="en-US"/>
        </w:rPr>
        <w:t xml:space="preserve"> </w:t>
      </w:r>
      <w:r w:rsidR="00F3095B" w:rsidRPr="00D27255">
        <w:rPr>
          <w:rFonts w:eastAsiaTheme="majorEastAsia"/>
          <w:sz w:val="28"/>
          <w:szCs w:val="28"/>
          <w:lang w:eastAsia="en-US"/>
        </w:rPr>
        <w:t>Saņemto civillietu un krimināllietu skaits specializējamās lietu kategorijās apelācijas instances tiesā</w:t>
      </w:r>
      <w:r w:rsidR="00981316" w:rsidRPr="00D27255">
        <w:rPr>
          <w:rFonts w:eastAsiaTheme="majorEastAsia"/>
          <w:sz w:val="28"/>
          <w:szCs w:val="28"/>
          <w:lang w:eastAsia="en-US"/>
        </w:rPr>
        <w:t>)</w:t>
      </w:r>
      <w:r w:rsidR="004C0F55" w:rsidRPr="00D27255">
        <w:rPr>
          <w:rFonts w:eastAsiaTheme="majorEastAsia"/>
          <w:sz w:val="28"/>
          <w:szCs w:val="28"/>
          <w:lang w:eastAsia="en-US"/>
        </w:rPr>
        <w:t>:</w:t>
      </w:r>
    </w:p>
    <w:tbl>
      <w:tblPr>
        <w:tblStyle w:val="TableGrid"/>
        <w:tblW w:w="0" w:type="auto"/>
        <w:tblLook w:val="04A0" w:firstRow="1" w:lastRow="0" w:firstColumn="1" w:lastColumn="0" w:noHBand="0" w:noVBand="1"/>
      </w:tblPr>
      <w:tblGrid>
        <w:gridCol w:w="5949"/>
        <w:gridCol w:w="1559"/>
        <w:gridCol w:w="1553"/>
      </w:tblGrid>
      <w:tr w:rsidR="0081010B" w:rsidRPr="00556E2C" w14:paraId="5D2E130D" w14:textId="77777777" w:rsidTr="00B04E5D">
        <w:tc>
          <w:tcPr>
            <w:tcW w:w="5949" w:type="dxa"/>
          </w:tcPr>
          <w:p w14:paraId="4BC0D4C0" w14:textId="791F12B7" w:rsidR="0081010B" w:rsidRPr="00556E2C" w:rsidRDefault="005D7586" w:rsidP="00A77CEF">
            <w:pPr>
              <w:jc w:val="both"/>
              <w:rPr>
                <w:b/>
                <w:sz w:val="20"/>
                <w:szCs w:val="20"/>
              </w:rPr>
            </w:pPr>
            <w:r w:rsidRPr="00556E2C">
              <w:rPr>
                <w:b/>
                <w:sz w:val="20"/>
                <w:szCs w:val="20"/>
              </w:rPr>
              <w:t>Civilprocesuālā kārtībā s</w:t>
            </w:r>
            <w:r w:rsidR="0081010B" w:rsidRPr="00556E2C">
              <w:rPr>
                <w:b/>
                <w:sz w:val="20"/>
                <w:szCs w:val="20"/>
              </w:rPr>
              <w:t>aņemto lietu skaits apgabaltiesās</w:t>
            </w:r>
          </w:p>
        </w:tc>
        <w:tc>
          <w:tcPr>
            <w:tcW w:w="1559" w:type="dxa"/>
          </w:tcPr>
          <w:p w14:paraId="3FAE9CFF" w14:textId="0135E015" w:rsidR="0081010B" w:rsidRPr="00556E2C" w:rsidRDefault="0081010B" w:rsidP="00A77CEF">
            <w:pPr>
              <w:jc w:val="both"/>
              <w:rPr>
                <w:b/>
                <w:sz w:val="20"/>
                <w:szCs w:val="20"/>
              </w:rPr>
            </w:pPr>
            <w:r w:rsidRPr="00556E2C">
              <w:rPr>
                <w:b/>
                <w:sz w:val="20"/>
                <w:szCs w:val="20"/>
              </w:rPr>
              <w:t>Skaits 2017</w:t>
            </w:r>
            <w:r w:rsidR="001837D7" w:rsidRPr="00556E2C">
              <w:rPr>
                <w:b/>
                <w:sz w:val="20"/>
                <w:szCs w:val="20"/>
              </w:rPr>
              <w:t>.</w:t>
            </w:r>
            <w:r w:rsidR="00981316" w:rsidRPr="00556E2C">
              <w:rPr>
                <w:b/>
                <w:sz w:val="20"/>
                <w:szCs w:val="20"/>
              </w:rPr>
              <w:t xml:space="preserve"> gadā</w:t>
            </w:r>
          </w:p>
        </w:tc>
        <w:tc>
          <w:tcPr>
            <w:tcW w:w="1553" w:type="dxa"/>
          </w:tcPr>
          <w:p w14:paraId="28C9B4E9" w14:textId="0AE238BC" w:rsidR="0081010B" w:rsidRPr="00556E2C" w:rsidRDefault="0081010B" w:rsidP="00A77CEF">
            <w:pPr>
              <w:jc w:val="both"/>
              <w:rPr>
                <w:b/>
                <w:sz w:val="20"/>
                <w:szCs w:val="20"/>
              </w:rPr>
            </w:pPr>
            <w:r w:rsidRPr="00556E2C">
              <w:rPr>
                <w:b/>
                <w:sz w:val="20"/>
                <w:szCs w:val="20"/>
              </w:rPr>
              <w:t>Skaits 2018</w:t>
            </w:r>
            <w:r w:rsidR="001837D7" w:rsidRPr="00556E2C">
              <w:rPr>
                <w:b/>
                <w:sz w:val="20"/>
                <w:szCs w:val="20"/>
              </w:rPr>
              <w:t>.</w:t>
            </w:r>
            <w:r w:rsidR="00981316" w:rsidRPr="00556E2C">
              <w:rPr>
                <w:b/>
                <w:sz w:val="20"/>
                <w:szCs w:val="20"/>
              </w:rPr>
              <w:t xml:space="preserve"> gadā</w:t>
            </w:r>
          </w:p>
        </w:tc>
      </w:tr>
      <w:tr w:rsidR="0081010B" w:rsidRPr="00556E2C" w14:paraId="4B1CA466" w14:textId="77777777" w:rsidTr="00B04E5D">
        <w:tc>
          <w:tcPr>
            <w:tcW w:w="5949" w:type="dxa"/>
          </w:tcPr>
          <w:p w14:paraId="4B9DD3B5" w14:textId="381DFDCD" w:rsidR="0081010B" w:rsidRPr="00556E2C" w:rsidRDefault="0081010B" w:rsidP="00A77CEF">
            <w:pPr>
              <w:jc w:val="both"/>
              <w:rPr>
                <w:sz w:val="20"/>
                <w:szCs w:val="20"/>
              </w:rPr>
            </w:pPr>
            <w:r w:rsidRPr="00556E2C">
              <w:rPr>
                <w:sz w:val="20"/>
                <w:szCs w:val="20"/>
              </w:rPr>
              <w:t>Reiderisma lietas</w:t>
            </w:r>
            <w:r w:rsidR="005D7586" w:rsidRPr="00556E2C">
              <w:rPr>
                <w:rStyle w:val="FootnoteReference"/>
                <w:sz w:val="20"/>
                <w:szCs w:val="20"/>
              </w:rPr>
              <w:footnoteReference w:id="28"/>
            </w:r>
            <w:r w:rsidRPr="00556E2C">
              <w:rPr>
                <w:sz w:val="20"/>
                <w:szCs w:val="20"/>
              </w:rPr>
              <w:t xml:space="preserve"> </w:t>
            </w:r>
          </w:p>
        </w:tc>
        <w:tc>
          <w:tcPr>
            <w:tcW w:w="1559" w:type="dxa"/>
          </w:tcPr>
          <w:p w14:paraId="00CF9582" w14:textId="77777777" w:rsidR="0081010B" w:rsidRPr="00556E2C" w:rsidRDefault="0081010B" w:rsidP="00A77CEF">
            <w:pPr>
              <w:jc w:val="both"/>
              <w:rPr>
                <w:sz w:val="20"/>
                <w:szCs w:val="20"/>
              </w:rPr>
            </w:pPr>
            <w:r w:rsidRPr="00556E2C">
              <w:rPr>
                <w:sz w:val="20"/>
                <w:szCs w:val="20"/>
              </w:rPr>
              <w:t>4</w:t>
            </w:r>
          </w:p>
        </w:tc>
        <w:tc>
          <w:tcPr>
            <w:tcW w:w="1553" w:type="dxa"/>
          </w:tcPr>
          <w:p w14:paraId="36A74C08" w14:textId="77777777" w:rsidR="0081010B" w:rsidRPr="00556E2C" w:rsidRDefault="0081010B" w:rsidP="00A77CEF">
            <w:pPr>
              <w:jc w:val="both"/>
              <w:rPr>
                <w:sz w:val="20"/>
                <w:szCs w:val="20"/>
              </w:rPr>
            </w:pPr>
            <w:r w:rsidRPr="00556E2C">
              <w:rPr>
                <w:sz w:val="20"/>
                <w:szCs w:val="20"/>
              </w:rPr>
              <w:t>4</w:t>
            </w:r>
          </w:p>
        </w:tc>
      </w:tr>
      <w:tr w:rsidR="0081010B" w:rsidRPr="00556E2C" w14:paraId="522A0F41" w14:textId="77777777" w:rsidTr="00B04E5D">
        <w:tc>
          <w:tcPr>
            <w:tcW w:w="5949" w:type="dxa"/>
          </w:tcPr>
          <w:p w14:paraId="24DBCC07" w14:textId="3293942E" w:rsidR="0081010B" w:rsidRPr="00556E2C" w:rsidRDefault="0081010B" w:rsidP="00A77CEF">
            <w:pPr>
              <w:jc w:val="both"/>
              <w:rPr>
                <w:sz w:val="20"/>
                <w:szCs w:val="20"/>
              </w:rPr>
            </w:pPr>
            <w:r w:rsidRPr="00556E2C">
              <w:rPr>
                <w:sz w:val="20"/>
                <w:szCs w:val="20"/>
              </w:rPr>
              <w:t>Lietas, kurās  prasības summa ir virs 500</w:t>
            </w:r>
            <w:r w:rsidR="001837D7" w:rsidRPr="00556E2C">
              <w:rPr>
                <w:sz w:val="20"/>
                <w:szCs w:val="20"/>
              </w:rPr>
              <w:t> </w:t>
            </w:r>
            <w:r w:rsidRPr="00556E2C">
              <w:rPr>
                <w:sz w:val="20"/>
                <w:szCs w:val="20"/>
              </w:rPr>
              <w:t>000</w:t>
            </w:r>
            <w:r w:rsidR="001837D7" w:rsidRPr="00556E2C">
              <w:rPr>
                <w:sz w:val="20"/>
                <w:szCs w:val="20"/>
              </w:rPr>
              <w:t> </w:t>
            </w:r>
            <w:proofErr w:type="spellStart"/>
            <w:r w:rsidR="001837D7" w:rsidRPr="00556E2C">
              <w:rPr>
                <w:i/>
                <w:sz w:val="20"/>
                <w:szCs w:val="20"/>
              </w:rPr>
              <w:t>euro</w:t>
            </w:r>
            <w:proofErr w:type="spellEnd"/>
            <w:r w:rsidRPr="00556E2C">
              <w:rPr>
                <w:sz w:val="20"/>
                <w:szCs w:val="20"/>
              </w:rPr>
              <w:t xml:space="preserve">, un kā prasītājs ir kredītiestāde, piemēram, vārda sakne </w:t>
            </w:r>
            <w:r w:rsidR="00362034" w:rsidRPr="00556E2C">
              <w:rPr>
                <w:sz w:val="20"/>
                <w:szCs w:val="20"/>
              </w:rPr>
              <w:t>"</w:t>
            </w:r>
            <w:proofErr w:type="spellStart"/>
            <w:r w:rsidRPr="00556E2C">
              <w:rPr>
                <w:sz w:val="20"/>
                <w:szCs w:val="20"/>
              </w:rPr>
              <w:t>bank</w:t>
            </w:r>
            <w:proofErr w:type="spellEnd"/>
            <w:r w:rsidR="00BE24C3" w:rsidRPr="00556E2C">
              <w:rPr>
                <w:sz w:val="20"/>
                <w:szCs w:val="20"/>
              </w:rPr>
              <w:t>"</w:t>
            </w:r>
            <w:r w:rsidRPr="00556E2C">
              <w:rPr>
                <w:sz w:val="20"/>
                <w:szCs w:val="20"/>
              </w:rPr>
              <w:t xml:space="preserve">; </w:t>
            </w:r>
            <w:r w:rsidR="00BE24C3" w:rsidRPr="00556E2C">
              <w:rPr>
                <w:sz w:val="20"/>
                <w:szCs w:val="20"/>
              </w:rPr>
              <w:t>"</w:t>
            </w:r>
            <w:proofErr w:type="spellStart"/>
            <w:r w:rsidRPr="00556E2C">
              <w:rPr>
                <w:sz w:val="20"/>
                <w:szCs w:val="20"/>
              </w:rPr>
              <w:t>lizin</w:t>
            </w:r>
            <w:proofErr w:type="spellEnd"/>
            <w:r w:rsidR="00BE24C3" w:rsidRPr="00556E2C">
              <w:rPr>
                <w:sz w:val="20"/>
                <w:szCs w:val="20"/>
              </w:rPr>
              <w:t>"</w:t>
            </w:r>
          </w:p>
        </w:tc>
        <w:tc>
          <w:tcPr>
            <w:tcW w:w="1559" w:type="dxa"/>
          </w:tcPr>
          <w:p w14:paraId="1F2EDC65" w14:textId="77777777" w:rsidR="0081010B" w:rsidRPr="00556E2C" w:rsidRDefault="0081010B" w:rsidP="00A77CEF">
            <w:pPr>
              <w:jc w:val="both"/>
              <w:rPr>
                <w:sz w:val="20"/>
                <w:szCs w:val="20"/>
              </w:rPr>
            </w:pPr>
            <w:r w:rsidRPr="00556E2C">
              <w:rPr>
                <w:sz w:val="20"/>
                <w:szCs w:val="20"/>
              </w:rPr>
              <w:t>9</w:t>
            </w:r>
          </w:p>
        </w:tc>
        <w:tc>
          <w:tcPr>
            <w:tcW w:w="1553" w:type="dxa"/>
          </w:tcPr>
          <w:p w14:paraId="63C9DCD7" w14:textId="77777777" w:rsidR="0081010B" w:rsidRPr="00556E2C" w:rsidRDefault="0081010B" w:rsidP="00A77CEF">
            <w:pPr>
              <w:jc w:val="both"/>
              <w:rPr>
                <w:sz w:val="20"/>
                <w:szCs w:val="20"/>
              </w:rPr>
            </w:pPr>
            <w:r w:rsidRPr="00556E2C">
              <w:rPr>
                <w:sz w:val="20"/>
                <w:szCs w:val="20"/>
              </w:rPr>
              <w:t>4</w:t>
            </w:r>
          </w:p>
        </w:tc>
      </w:tr>
      <w:tr w:rsidR="0081010B" w:rsidRPr="00556E2C" w14:paraId="7C2B5581" w14:textId="77777777" w:rsidTr="00B04E5D">
        <w:tc>
          <w:tcPr>
            <w:tcW w:w="5949" w:type="dxa"/>
          </w:tcPr>
          <w:p w14:paraId="329800B6" w14:textId="30207F8F" w:rsidR="0081010B" w:rsidRPr="00556E2C" w:rsidRDefault="0081010B" w:rsidP="00A77CEF">
            <w:pPr>
              <w:jc w:val="both"/>
              <w:rPr>
                <w:sz w:val="20"/>
                <w:szCs w:val="20"/>
              </w:rPr>
            </w:pPr>
            <w:r w:rsidRPr="00556E2C">
              <w:rPr>
                <w:sz w:val="20"/>
                <w:szCs w:val="20"/>
              </w:rPr>
              <w:t xml:space="preserve">Nolēmums otrās instances tiesās, kurā ir atsauce uz precīzu frāzi: </w:t>
            </w:r>
            <w:r w:rsidR="00BE24C3" w:rsidRPr="00556E2C">
              <w:rPr>
                <w:sz w:val="20"/>
                <w:szCs w:val="20"/>
              </w:rPr>
              <w:t>"</w:t>
            </w:r>
            <w:r w:rsidRPr="00556E2C">
              <w:rPr>
                <w:sz w:val="20"/>
                <w:szCs w:val="20"/>
              </w:rPr>
              <w:t>Komercķīlas likumu</w:t>
            </w:r>
            <w:r w:rsidR="00BE24C3" w:rsidRPr="00556E2C">
              <w:rPr>
                <w:sz w:val="20"/>
                <w:szCs w:val="20"/>
              </w:rPr>
              <w:t>"</w:t>
            </w:r>
            <w:r w:rsidRPr="00556E2C">
              <w:rPr>
                <w:sz w:val="20"/>
                <w:szCs w:val="20"/>
              </w:rPr>
              <w:t xml:space="preserve"> un kurā prasības summa pārsniedz 500</w:t>
            </w:r>
            <w:r w:rsidR="00BE24C3" w:rsidRPr="00556E2C">
              <w:rPr>
                <w:sz w:val="20"/>
                <w:szCs w:val="20"/>
              </w:rPr>
              <w:t> </w:t>
            </w:r>
            <w:r w:rsidRPr="00556E2C">
              <w:rPr>
                <w:sz w:val="20"/>
                <w:szCs w:val="20"/>
              </w:rPr>
              <w:t>000</w:t>
            </w:r>
            <w:r w:rsidR="00BE24C3" w:rsidRPr="00556E2C">
              <w:rPr>
                <w:sz w:val="20"/>
                <w:szCs w:val="20"/>
              </w:rPr>
              <w:t> </w:t>
            </w:r>
            <w:proofErr w:type="spellStart"/>
            <w:r w:rsidR="004B41C5" w:rsidRPr="00556E2C">
              <w:rPr>
                <w:i/>
                <w:sz w:val="20"/>
                <w:szCs w:val="20"/>
              </w:rPr>
              <w:t>euro</w:t>
            </w:r>
            <w:proofErr w:type="spellEnd"/>
          </w:p>
        </w:tc>
        <w:tc>
          <w:tcPr>
            <w:tcW w:w="1559" w:type="dxa"/>
          </w:tcPr>
          <w:p w14:paraId="0C6026A1" w14:textId="77777777" w:rsidR="0081010B" w:rsidRPr="00556E2C" w:rsidRDefault="0081010B" w:rsidP="00A77CEF">
            <w:pPr>
              <w:jc w:val="both"/>
              <w:rPr>
                <w:sz w:val="20"/>
                <w:szCs w:val="20"/>
              </w:rPr>
            </w:pPr>
            <w:r w:rsidRPr="00556E2C">
              <w:rPr>
                <w:sz w:val="20"/>
                <w:szCs w:val="20"/>
              </w:rPr>
              <w:t>0</w:t>
            </w:r>
          </w:p>
        </w:tc>
        <w:tc>
          <w:tcPr>
            <w:tcW w:w="1553" w:type="dxa"/>
          </w:tcPr>
          <w:p w14:paraId="5FB6A02A" w14:textId="77777777" w:rsidR="0081010B" w:rsidRPr="00556E2C" w:rsidRDefault="0081010B" w:rsidP="00A77CEF">
            <w:pPr>
              <w:jc w:val="both"/>
              <w:rPr>
                <w:sz w:val="20"/>
                <w:szCs w:val="20"/>
              </w:rPr>
            </w:pPr>
            <w:r w:rsidRPr="00556E2C">
              <w:rPr>
                <w:sz w:val="20"/>
                <w:szCs w:val="20"/>
              </w:rPr>
              <w:t>1</w:t>
            </w:r>
          </w:p>
        </w:tc>
      </w:tr>
      <w:tr w:rsidR="0081010B" w:rsidRPr="00556E2C" w14:paraId="09F36ED0" w14:textId="77777777" w:rsidTr="00B04E5D">
        <w:tc>
          <w:tcPr>
            <w:tcW w:w="5949" w:type="dxa"/>
          </w:tcPr>
          <w:p w14:paraId="257C256F" w14:textId="40B57DB9" w:rsidR="0081010B" w:rsidRPr="00556E2C" w:rsidRDefault="0081010B" w:rsidP="00A77CEF">
            <w:pPr>
              <w:jc w:val="both"/>
              <w:rPr>
                <w:sz w:val="20"/>
                <w:szCs w:val="20"/>
              </w:rPr>
            </w:pPr>
            <w:r w:rsidRPr="00556E2C">
              <w:rPr>
                <w:sz w:val="20"/>
                <w:szCs w:val="20"/>
              </w:rPr>
              <w:t xml:space="preserve">Nolēmums otrās instances tiesās, kurā ir atsauce uz precīzu frāzi </w:t>
            </w:r>
            <w:r w:rsidR="00BE24C3" w:rsidRPr="00556E2C">
              <w:rPr>
                <w:sz w:val="20"/>
                <w:szCs w:val="20"/>
              </w:rPr>
              <w:t>"</w:t>
            </w:r>
            <w:r w:rsidRPr="00556E2C">
              <w:rPr>
                <w:sz w:val="20"/>
                <w:szCs w:val="20"/>
              </w:rPr>
              <w:t>Finanšu instrumentu tirgus likuma</w:t>
            </w:r>
            <w:r w:rsidR="00BE24C3" w:rsidRPr="00556E2C">
              <w:rPr>
                <w:sz w:val="20"/>
                <w:szCs w:val="20"/>
              </w:rPr>
              <w:t>"</w:t>
            </w:r>
          </w:p>
        </w:tc>
        <w:tc>
          <w:tcPr>
            <w:tcW w:w="1559" w:type="dxa"/>
          </w:tcPr>
          <w:p w14:paraId="26B4D8A2" w14:textId="77777777" w:rsidR="0081010B" w:rsidRPr="00556E2C" w:rsidRDefault="0081010B" w:rsidP="00A77CEF">
            <w:pPr>
              <w:jc w:val="both"/>
              <w:rPr>
                <w:sz w:val="20"/>
                <w:szCs w:val="20"/>
              </w:rPr>
            </w:pPr>
            <w:r w:rsidRPr="00556E2C">
              <w:rPr>
                <w:sz w:val="20"/>
                <w:szCs w:val="20"/>
              </w:rPr>
              <w:t>1</w:t>
            </w:r>
          </w:p>
        </w:tc>
        <w:tc>
          <w:tcPr>
            <w:tcW w:w="1553" w:type="dxa"/>
          </w:tcPr>
          <w:p w14:paraId="02E7995E" w14:textId="77777777" w:rsidR="0081010B" w:rsidRPr="00556E2C" w:rsidRDefault="0081010B" w:rsidP="00A77CEF">
            <w:pPr>
              <w:jc w:val="both"/>
              <w:rPr>
                <w:sz w:val="20"/>
                <w:szCs w:val="20"/>
              </w:rPr>
            </w:pPr>
            <w:r w:rsidRPr="00556E2C">
              <w:rPr>
                <w:sz w:val="20"/>
                <w:szCs w:val="20"/>
              </w:rPr>
              <w:t>2</w:t>
            </w:r>
          </w:p>
        </w:tc>
      </w:tr>
      <w:tr w:rsidR="0081010B" w:rsidRPr="00556E2C" w14:paraId="21523937" w14:textId="77777777" w:rsidTr="00B04E5D">
        <w:tc>
          <w:tcPr>
            <w:tcW w:w="5949" w:type="dxa"/>
          </w:tcPr>
          <w:p w14:paraId="1DFB5FF3" w14:textId="253C0F50" w:rsidR="0081010B" w:rsidRPr="00556E2C" w:rsidRDefault="0081010B" w:rsidP="00A77CEF">
            <w:pPr>
              <w:jc w:val="both"/>
              <w:rPr>
                <w:sz w:val="20"/>
                <w:szCs w:val="20"/>
              </w:rPr>
            </w:pPr>
            <w:r w:rsidRPr="00556E2C">
              <w:rPr>
                <w:sz w:val="20"/>
                <w:szCs w:val="20"/>
              </w:rPr>
              <w:t xml:space="preserve">Nolēmums otrās instances tiesās, kurā ir atsauce uz precīzu frāzi </w:t>
            </w:r>
            <w:r w:rsidR="00BE24C3" w:rsidRPr="00556E2C">
              <w:rPr>
                <w:sz w:val="20"/>
                <w:szCs w:val="20"/>
              </w:rPr>
              <w:t>"</w:t>
            </w:r>
            <w:r w:rsidRPr="00556E2C">
              <w:rPr>
                <w:sz w:val="20"/>
                <w:szCs w:val="20"/>
              </w:rPr>
              <w:t>Komercdarbības atbalsta kontroles likuma</w:t>
            </w:r>
            <w:r w:rsidR="00BE24C3" w:rsidRPr="00556E2C">
              <w:rPr>
                <w:sz w:val="20"/>
                <w:szCs w:val="20"/>
              </w:rPr>
              <w:t>"</w:t>
            </w:r>
          </w:p>
        </w:tc>
        <w:tc>
          <w:tcPr>
            <w:tcW w:w="1559" w:type="dxa"/>
          </w:tcPr>
          <w:p w14:paraId="4F9CAFF7" w14:textId="77777777" w:rsidR="0081010B" w:rsidRPr="00556E2C" w:rsidRDefault="0081010B" w:rsidP="00A77CEF">
            <w:pPr>
              <w:jc w:val="both"/>
              <w:rPr>
                <w:sz w:val="20"/>
                <w:szCs w:val="20"/>
              </w:rPr>
            </w:pPr>
            <w:r w:rsidRPr="00556E2C">
              <w:rPr>
                <w:sz w:val="20"/>
                <w:szCs w:val="20"/>
              </w:rPr>
              <w:t>6</w:t>
            </w:r>
          </w:p>
        </w:tc>
        <w:tc>
          <w:tcPr>
            <w:tcW w:w="1553" w:type="dxa"/>
          </w:tcPr>
          <w:p w14:paraId="49176388" w14:textId="77777777" w:rsidR="0081010B" w:rsidRPr="00556E2C" w:rsidRDefault="0081010B" w:rsidP="00A77CEF">
            <w:pPr>
              <w:jc w:val="both"/>
              <w:rPr>
                <w:sz w:val="20"/>
                <w:szCs w:val="20"/>
              </w:rPr>
            </w:pPr>
            <w:r w:rsidRPr="00556E2C">
              <w:rPr>
                <w:sz w:val="20"/>
                <w:szCs w:val="20"/>
              </w:rPr>
              <w:t>1</w:t>
            </w:r>
          </w:p>
        </w:tc>
      </w:tr>
      <w:tr w:rsidR="008171F0" w:rsidRPr="00556E2C" w14:paraId="60C85544" w14:textId="77777777" w:rsidTr="00B04E5D">
        <w:tc>
          <w:tcPr>
            <w:tcW w:w="5949" w:type="dxa"/>
          </w:tcPr>
          <w:p w14:paraId="4A8A7FD1" w14:textId="3DC2555F" w:rsidR="008171F0" w:rsidRPr="00556E2C" w:rsidRDefault="008171F0" w:rsidP="008171F0">
            <w:pPr>
              <w:jc w:val="both"/>
              <w:rPr>
                <w:sz w:val="20"/>
                <w:szCs w:val="20"/>
              </w:rPr>
            </w:pPr>
            <w:r w:rsidRPr="00556E2C">
              <w:rPr>
                <w:sz w:val="20"/>
                <w:szCs w:val="20"/>
              </w:rPr>
              <w:t>Tiesiskās aizsardzības procesa lietas</w:t>
            </w:r>
          </w:p>
        </w:tc>
        <w:tc>
          <w:tcPr>
            <w:tcW w:w="1559" w:type="dxa"/>
          </w:tcPr>
          <w:p w14:paraId="3E56512A" w14:textId="62B04219" w:rsidR="008171F0" w:rsidRPr="00556E2C" w:rsidRDefault="008171F0" w:rsidP="008171F0">
            <w:pPr>
              <w:jc w:val="both"/>
              <w:rPr>
                <w:sz w:val="20"/>
                <w:szCs w:val="20"/>
              </w:rPr>
            </w:pPr>
            <w:r w:rsidRPr="00556E2C">
              <w:rPr>
                <w:sz w:val="20"/>
                <w:szCs w:val="20"/>
              </w:rPr>
              <w:t>14</w:t>
            </w:r>
          </w:p>
        </w:tc>
        <w:tc>
          <w:tcPr>
            <w:tcW w:w="1553" w:type="dxa"/>
          </w:tcPr>
          <w:p w14:paraId="107482BD" w14:textId="2B0524A7" w:rsidR="008171F0" w:rsidRPr="00556E2C" w:rsidRDefault="008171F0" w:rsidP="008171F0">
            <w:pPr>
              <w:jc w:val="both"/>
              <w:rPr>
                <w:sz w:val="20"/>
                <w:szCs w:val="20"/>
              </w:rPr>
            </w:pPr>
            <w:r w:rsidRPr="00556E2C">
              <w:rPr>
                <w:sz w:val="20"/>
                <w:szCs w:val="20"/>
              </w:rPr>
              <w:t>16</w:t>
            </w:r>
          </w:p>
        </w:tc>
      </w:tr>
      <w:tr w:rsidR="00446409" w:rsidRPr="00556E2C" w14:paraId="6655D90D" w14:textId="77777777" w:rsidTr="00B04E5D">
        <w:tc>
          <w:tcPr>
            <w:tcW w:w="5949" w:type="dxa"/>
          </w:tcPr>
          <w:p w14:paraId="3640D758" w14:textId="3C380B92" w:rsidR="00446409" w:rsidRPr="00556E2C" w:rsidRDefault="00446409" w:rsidP="008171F0">
            <w:pPr>
              <w:jc w:val="both"/>
              <w:rPr>
                <w:sz w:val="20"/>
                <w:szCs w:val="20"/>
              </w:rPr>
            </w:pPr>
            <w:r w:rsidRPr="00556E2C">
              <w:rPr>
                <w:sz w:val="20"/>
                <w:szCs w:val="20"/>
              </w:rPr>
              <w:t>Intelektuālā īpašuma lietas</w:t>
            </w:r>
            <w:r w:rsidR="00556E2C" w:rsidRPr="00556E2C">
              <w:rPr>
                <w:sz w:val="20"/>
                <w:szCs w:val="20"/>
              </w:rPr>
              <w:t xml:space="preserve"> (kopā)</w:t>
            </w:r>
            <w:r w:rsidRPr="00556E2C">
              <w:rPr>
                <w:sz w:val="20"/>
                <w:szCs w:val="20"/>
              </w:rPr>
              <w:t> </w:t>
            </w:r>
          </w:p>
        </w:tc>
        <w:tc>
          <w:tcPr>
            <w:tcW w:w="1559" w:type="dxa"/>
          </w:tcPr>
          <w:p w14:paraId="70921AC4" w14:textId="34B49DED" w:rsidR="00446409" w:rsidRPr="00556E2C" w:rsidRDefault="00556E2C" w:rsidP="008171F0">
            <w:pPr>
              <w:jc w:val="both"/>
              <w:rPr>
                <w:sz w:val="20"/>
                <w:szCs w:val="20"/>
              </w:rPr>
            </w:pPr>
            <w:r w:rsidRPr="00556E2C">
              <w:rPr>
                <w:sz w:val="20"/>
                <w:szCs w:val="20"/>
              </w:rPr>
              <w:t>22</w:t>
            </w:r>
          </w:p>
        </w:tc>
        <w:tc>
          <w:tcPr>
            <w:tcW w:w="1553" w:type="dxa"/>
          </w:tcPr>
          <w:p w14:paraId="3019BC34" w14:textId="2867161C" w:rsidR="00446409" w:rsidRPr="00556E2C" w:rsidRDefault="00556E2C" w:rsidP="008171F0">
            <w:pPr>
              <w:jc w:val="both"/>
              <w:rPr>
                <w:sz w:val="20"/>
                <w:szCs w:val="20"/>
              </w:rPr>
            </w:pPr>
            <w:r w:rsidRPr="00556E2C">
              <w:rPr>
                <w:sz w:val="20"/>
                <w:szCs w:val="20"/>
              </w:rPr>
              <w:t>35</w:t>
            </w:r>
          </w:p>
        </w:tc>
      </w:tr>
      <w:tr w:rsidR="005D7586" w:rsidRPr="00556E2C" w14:paraId="39FBD872" w14:textId="77777777" w:rsidTr="00B04E5D">
        <w:tc>
          <w:tcPr>
            <w:tcW w:w="5949" w:type="dxa"/>
          </w:tcPr>
          <w:p w14:paraId="1FEFF1E5" w14:textId="62A87CC7" w:rsidR="005D7586" w:rsidRPr="00556E2C" w:rsidRDefault="005D7586" w:rsidP="005D7586">
            <w:pPr>
              <w:jc w:val="both"/>
              <w:rPr>
                <w:sz w:val="20"/>
                <w:szCs w:val="20"/>
              </w:rPr>
            </w:pPr>
            <w:r w:rsidRPr="00556E2C">
              <w:rPr>
                <w:sz w:val="20"/>
                <w:szCs w:val="20"/>
              </w:rPr>
              <w:t>Nolēmumi, kuros ir atsauce uz precīzu frāzi "šķīrējtiesas līguma atzīšanu par spēkā neesošu"</w:t>
            </w:r>
          </w:p>
        </w:tc>
        <w:tc>
          <w:tcPr>
            <w:tcW w:w="1559" w:type="dxa"/>
          </w:tcPr>
          <w:p w14:paraId="531FA812" w14:textId="77777777" w:rsidR="005D7586" w:rsidRPr="00556E2C" w:rsidRDefault="005D7586" w:rsidP="005D7586">
            <w:pPr>
              <w:jc w:val="both"/>
              <w:rPr>
                <w:sz w:val="20"/>
                <w:szCs w:val="20"/>
              </w:rPr>
            </w:pPr>
            <w:r w:rsidRPr="00556E2C">
              <w:rPr>
                <w:sz w:val="20"/>
                <w:szCs w:val="20"/>
              </w:rPr>
              <w:t>27</w:t>
            </w:r>
          </w:p>
        </w:tc>
        <w:tc>
          <w:tcPr>
            <w:tcW w:w="1553" w:type="dxa"/>
          </w:tcPr>
          <w:p w14:paraId="007F9821" w14:textId="77777777" w:rsidR="005D7586" w:rsidRPr="00556E2C" w:rsidRDefault="005D7586" w:rsidP="005D7586">
            <w:pPr>
              <w:jc w:val="both"/>
              <w:rPr>
                <w:sz w:val="20"/>
                <w:szCs w:val="20"/>
              </w:rPr>
            </w:pPr>
            <w:r w:rsidRPr="00556E2C">
              <w:rPr>
                <w:sz w:val="20"/>
                <w:szCs w:val="20"/>
              </w:rPr>
              <w:t>9</w:t>
            </w:r>
          </w:p>
        </w:tc>
      </w:tr>
      <w:tr w:rsidR="004F77CB" w:rsidRPr="00556E2C" w14:paraId="1A49C50E" w14:textId="77777777" w:rsidTr="00B04E5D">
        <w:tc>
          <w:tcPr>
            <w:tcW w:w="5949" w:type="dxa"/>
          </w:tcPr>
          <w:p w14:paraId="75703ECE" w14:textId="20E472DA" w:rsidR="004F77CB" w:rsidRPr="00556E2C" w:rsidRDefault="005D7586" w:rsidP="008171F0">
            <w:pPr>
              <w:jc w:val="both"/>
              <w:rPr>
                <w:i/>
                <w:sz w:val="20"/>
                <w:szCs w:val="20"/>
              </w:rPr>
            </w:pPr>
            <w:r w:rsidRPr="00556E2C">
              <w:rPr>
                <w:i/>
                <w:sz w:val="20"/>
                <w:szCs w:val="20"/>
              </w:rPr>
              <w:t xml:space="preserve">Blakus sūdzības </w:t>
            </w:r>
            <w:r w:rsidR="004F77CB" w:rsidRPr="00556E2C">
              <w:rPr>
                <w:i/>
                <w:sz w:val="20"/>
                <w:szCs w:val="20"/>
              </w:rPr>
              <w:t>par izpildu raksta izdošanu uz pastāvīgās šķīrējtiesas sprieduma pamata vai ārvalsts šķīrējtiesas nolēmuma atzīšanu un izpildīšanu</w:t>
            </w:r>
            <w:r w:rsidR="00CC5A1C" w:rsidRPr="00556E2C">
              <w:rPr>
                <w:i/>
                <w:sz w:val="20"/>
                <w:szCs w:val="20"/>
              </w:rPr>
              <w:t xml:space="preserve"> (meklēts pēc attiecīgi precīzas frāzes)</w:t>
            </w:r>
            <w:r w:rsidRPr="00556E2C">
              <w:rPr>
                <w:rStyle w:val="FootnoteReference"/>
                <w:i/>
                <w:sz w:val="20"/>
                <w:szCs w:val="20"/>
              </w:rPr>
              <w:t xml:space="preserve"> </w:t>
            </w:r>
            <w:r w:rsidRPr="00556E2C">
              <w:rPr>
                <w:rStyle w:val="FootnoteReference"/>
                <w:i/>
                <w:sz w:val="20"/>
                <w:szCs w:val="20"/>
              </w:rPr>
              <w:footnoteReference w:id="29"/>
            </w:r>
          </w:p>
        </w:tc>
        <w:tc>
          <w:tcPr>
            <w:tcW w:w="1559" w:type="dxa"/>
          </w:tcPr>
          <w:p w14:paraId="6E264A23" w14:textId="7F8CEC2B" w:rsidR="004F77CB" w:rsidRPr="00556E2C" w:rsidRDefault="000979D1" w:rsidP="008171F0">
            <w:pPr>
              <w:jc w:val="both"/>
              <w:rPr>
                <w:i/>
                <w:sz w:val="20"/>
                <w:szCs w:val="20"/>
              </w:rPr>
            </w:pPr>
            <w:r w:rsidRPr="00556E2C">
              <w:rPr>
                <w:i/>
                <w:sz w:val="20"/>
                <w:szCs w:val="20"/>
              </w:rPr>
              <w:t>44</w:t>
            </w:r>
          </w:p>
        </w:tc>
        <w:tc>
          <w:tcPr>
            <w:tcW w:w="1553" w:type="dxa"/>
          </w:tcPr>
          <w:p w14:paraId="4DF710BB" w14:textId="1546079C" w:rsidR="004F77CB" w:rsidRPr="00556E2C" w:rsidRDefault="000979D1" w:rsidP="008171F0">
            <w:pPr>
              <w:jc w:val="both"/>
              <w:rPr>
                <w:i/>
                <w:sz w:val="20"/>
                <w:szCs w:val="20"/>
              </w:rPr>
            </w:pPr>
            <w:r w:rsidRPr="00556E2C">
              <w:rPr>
                <w:i/>
                <w:sz w:val="20"/>
                <w:szCs w:val="20"/>
              </w:rPr>
              <w:t>43</w:t>
            </w:r>
          </w:p>
        </w:tc>
      </w:tr>
      <w:tr w:rsidR="008171F0" w:rsidRPr="00556E2C" w14:paraId="1E74EA86" w14:textId="77777777" w:rsidTr="00B04E5D">
        <w:tc>
          <w:tcPr>
            <w:tcW w:w="5949" w:type="dxa"/>
          </w:tcPr>
          <w:p w14:paraId="6A69C087" w14:textId="77777777" w:rsidR="008171F0" w:rsidRPr="00556E2C" w:rsidRDefault="008171F0" w:rsidP="008171F0">
            <w:pPr>
              <w:jc w:val="both"/>
              <w:rPr>
                <w:b/>
                <w:sz w:val="20"/>
                <w:szCs w:val="20"/>
              </w:rPr>
            </w:pPr>
            <w:r w:rsidRPr="00556E2C">
              <w:rPr>
                <w:b/>
                <w:sz w:val="20"/>
                <w:szCs w:val="20"/>
              </w:rPr>
              <w:t>Kopā</w:t>
            </w:r>
          </w:p>
        </w:tc>
        <w:tc>
          <w:tcPr>
            <w:tcW w:w="1559" w:type="dxa"/>
          </w:tcPr>
          <w:p w14:paraId="760BFB2B" w14:textId="7716E810" w:rsidR="008171F0" w:rsidRPr="00556E2C" w:rsidRDefault="000979D1" w:rsidP="008171F0">
            <w:pPr>
              <w:jc w:val="both"/>
              <w:rPr>
                <w:b/>
                <w:sz w:val="20"/>
                <w:szCs w:val="20"/>
              </w:rPr>
            </w:pPr>
            <w:r w:rsidRPr="00556E2C">
              <w:rPr>
                <w:b/>
                <w:sz w:val="20"/>
                <w:szCs w:val="20"/>
              </w:rPr>
              <w:t>83</w:t>
            </w:r>
          </w:p>
        </w:tc>
        <w:tc>
          <w:tcPr>
            <w:tcW w:w="1553" w:type="dxa"/>
          </w:tcPr>
          <w:p w14:paraId="44AF91B0" w14:textId="44D1A9F8" w:rsidR="008171F0" w:rsidRPr="00556E2C" w:rsidRDefault="000979D1" w:rsidP="008171F0">
            <w:pPr>
              <w:jc w:val="both"/>
              <w:rPr>
                <w:b/>
                <w:sz w:val="20"/>
                <w:szCs w:val="20"/>
              </w:rPr>
            </w:pPr>
            <w:r w:rsidRPr="00556E2C">
              <w:rPr>
                <w:b/>
                <w:sz w:val="20"/>
                <w:szCs w:val="20"/>
              </w:rPr>
              <w:t>72</w:t>
            </w:r>
          </w:p>
        </w:tc>
      </w:tr>
    </w:tbl>
    <w:p w14:paraId="6D84FA87" w14:textId="4BAB1ED7" w:rsidR="005D7586" w:rsidRDefault="005D7586"/>
    <w:p w14:paraId="7ECAFBEA" w14:textId="77777777" w:rsidR="00303CC1" w:rsidRPr="00D27255" w:rsidRDefault="00303CC1"/>
    <w:tbl>
      <w:tblPr>
        <w:tblStyle w:val="TableGrid"/>
        <w:tblW w:w="0" w:type="auto"/>
        <w:tblLook w:val="04A0" w:firstRow="1" w:lastRow="0" w:firstColumn="1" w:lastColumn="0" w:noHBand="0" w:noVBand="1"/>
      </w:tblPr>
      <w:tblGrid>
        <w:gridCol w:w="5949"/>
        <w:gridCol w:w="1559"/>
        <w:gridCol w:w="1553"/>
      </w:tblGrid>
      <w:tr w:rsidR="005D7586" w:rsidRPr="00556E2C" w14:paraId="3DF4CF78" w14:textId="77777777" w:rsidTr="00B04E5D">
        <w:tc>
          <w:tcPr>
            <w:tcW w:w="5949" w:type="dxa"/>
          </w:tcPr>
          <w:p w14:paraId="1788E88E" w14:textId="315389D8" w:rsidR="005D7586" w:rsidRPr="00556E2C" w:rsidRDefault="005D7586" w:rsidP="005D7586">
            <w:pPr>
              <w:jc w:val="both"/>
              <w:rPr>
                <w:b/>
                <w:sz w:val="20"/>
                <w:szCs w:val="20"/>
              </w:rPr>
            </w:pPr>
            <w:r w:rsidRPr="00556E2C">
              <w:rPr>
                <w:b/>
                <w:sz w:val="20"/>
                <w:szCs w:val="20"/>
              </w:rPr>
              <w:t>Kriminālprocesa kārtībā saņemto lietu skaits apgabaltiesās</w:t>
            </w:r>
          </w:p>
        </w:tc>
        <w:tc>
          <w:tcPr>
            <w:tcW w:w="1559" w:type="dxa"/>
          </w:tcPr>
          <w:p w14:paraId="7A4E4DA0" w14:textId="02E09E99" w:rsidR="005D7586" w:rsidRPr="00556E2C" w:rsidRDefault="005D7586" w:rsidP="005D7586">
            <w:pPr>
              <w:jc w:val="both"/>
              <w:rPr>
                <w:b/>
                <w:sz w:val="20"/>
                <w:szCs w:val="20"/>
              </w:rPr>
            </w:pPr>
            <w:r w:rsidRPr="00556E2C">
              <w:rPr>
                <w:b/>
                <w:sz w:val="20"/>
                <w:szCs w:val="20"/>
              </w:rPr>
              <w:t>Skaits 2017</w:t>
            </w:r>
            <w:r w:rsidR="001837D7" w:rsidRPr="00556E2C">
              <w:rPr>
                <w:b/>
                <w:sz w:val="20"/>
                <w:szCs w:val="20"/>
              </w:rPr>
              <w:t>.</w:t>
            </w:r>
            <w:r w:rsidRPr="00556E2C">
              <w:rPr>
                <w:b/>
                <w:sz w:val="20"/>
                <w:szCs w:val="20"/>
              </w:rPr>
              <w:t xml:space="preserve"> gadā</w:t>
            </w:r>
          </w:p>
        </w:tc>
        <w:tc>
          <w:tcPr>
            <w:tcW w:w="1553" w:type="dxa"/>
          </w:tcPr>
          <w:p w14:paraId="2904F341" w14:textId="7E310089" w:rsidR="005D7586" w:rsidRPr="00556E2C" w:rsidRDefault="005D7586" w:rsidP="005D7586">
            <w:pPr>
              <w:jc w:val="both"/>
              <w:rPr>
                <w:b/>
                <w:sz w:val="20"/>
                <w:szCs w:val="20"/>
              </w:rPr>
            </w:pPr>
            <w:r w:rsidRPr="00556E2C">
              <w:rPr>
                <w:b/>
                <w:sz w:val="20"/>
                <w:szCs w:val="20"/>
              </w:rPr>
              <w:t>Skaits 2018</w:t>
            </w:r>
            <w:r w:rsidR="001837D7" w:rsidRPr="00556E2C">
              <w:rPr>
                <w:b/>
                <w:sz w:val="20"/>
                <w:szCs w:val="20"/>
              </w:rPr>
              <w:t>.</w:t>
            </w:r>
            <w:r w:rsidRPr="00556E2C">
              <w:rPr>
                <w:b/>
                <w:sz w:val="20"/>
                <w:szCs w:val="20"/>
              </w:rPr>
              <w:t xml:space="preserve"> gadā</w:t>
            </w:r>
          </w:p>
        </w:tc>
      </w:tr>
      <w:tr w:rsidR="008171F0" w:rsidRPr="00556E2C" w14:paraId="3668D89D" w14:textId="77777777" w:rsidTr="00B04E5D">
        <w:tc>
          <w:tcPr>
            <w:tcW w:w="5949" w:type="dxa"/>
          </w:tcPr>
          <w:p w14:paraId="0655EB81" w14:textId="3AD1E279" w:rsidR="008171F0" w:rsidRPr="00556E2C" w:rsidRDefault="008171F0" w:rsidP="008171F0">
            <w:pPr>
              <w:jc w:val="both"/>
              <w:rPr>
                <w:b/>
                <w:sz w:val="20"/>
                <w:szCs w:val="20"/>
              </w:rPr>
            </w:pPr>
            <w:r w:rsidRPr="00556E2C">
              <w:rPr>
                <w:sz w:val="20"/>
                <w:szCs w:val="20"/>
              </w:rPr>
              <w:t>177.</w:t>
            </w:r>
            <w:r w:rsidR="00BE24C3" w:rsidRPr="00556E2C">
              <w:rPr>
                <w:sz w:val="20"/>
                <w:szCs w:val="20"/>
              </w:rPr>
              <w:t> </w:t>
            </w:r>
            <w:r w:rsidRPr="00556E2C">
              <w:rPr>
                <w:sz w:val="20"/>
                <w:szCs w:val="20"/>
              </w:rPr>
              <w:t xml:space="preserve">panta trešajā daļa – Krāpšana </w:t>
            </w:r>
          </w:p>
        </w:tc>
        <w:tc>
          <w:tcPr>
            <w:tcW w:w="1559" w:type="dxa"/>
          </w:tcPr>
          <w:p w14:paraId="293858A8" w14:textId="77777777" w:rsidR="008171F0" w:rsidRPr="00556E2C" w:rsidRDefault="008171F0" w:rsidP="008171F0">
            <w:pPr>
              <w:jc w:val="both"/>
              <w:rPr>
                <w:sz w:val="20"/>
                <w:szCs w:val="20"/>
              </w:rPr>
            </w:pPr>
            <w:r w:rsidRPr="00556E2C">
              <w:rPr>
                <w:sz w:val="20"/>
                <w:szCs w:val="20"/>
              </w:rPr>
              <w:t>0</w:t>
            </w:r>
          </w:p>
        </w:tc>
        <w:tc>
          <w:tcPr>
            <w:tcW w:w="1553" w:type="dxa"/>
          </w:tcPr>
          <w:p w14:paraId="71ADDF9F" w14:textId="77777777" w:rsidR="008171F0" w:rsidRPr="00556E2C" w:rsidRDefault="008171F0" w:rsidP="008171F0">
            <w:pPr>
              <w:jc w:val="both"/>
              <w:rPr>
                <w:sz w:val="20"/>
                <w:szCs w:val="20"/>
              </w:rPr>
            </w:pPr>
            <w:r w:rsidRPr="00556E2C">
              <w:rPr>
                <w:sz w:val="20"/>
                <w:szCs w:val="20"/>
              </w:rPr>
              <w:t>0</w:t>
            </w:r>
          </w:p>
        </w:tc>
      </w:tr>
      <w:tr w:rsidR="008171F0" w:rsidRPr="00556E2C" w14:paraId="51E801AC" w14:textId="77777777" w:rsidTr="00B04E5D">
        <w:tc>
          <w:tcPr>
            <w:tcW w:w="5949" w:type="dxa"/>
          </w:tcPr>
          <w:p w14:paraId="6F4AD0A1" w14:textId="20EA143A" w:rsidR="008171F0" w:rsidRPr="00556E2C" w:rsidRDefault="008171F0" w:rsidP="008171F0">
            <w:pPr>
              <w:jc w:val="both"/>
              <w:rPr>
                <w:b/>
                <w:sz w:val="20"/>
                <w:szCs w:val="20"/>
              </w:rPr>
            </w:pPr>
            <w:r w:rsidRPr="00556E2C">
              <w:rPr>
                <w:sz w:val="20"/>
                <w:szCs w:val="20"/>
              </w:rPr>
              <w:t>179.</w:t>
            </w:r>
            <w:r w:rsidR="00BE24C3" w:rsidRPr="00556E2C">
              <w:rPr>
                <w:sz w:val="20"/>
                <w:szCs w:val="20"/>
              </w:rPr>
              <w:t> </w:t>
            </w:r>
            <w:r w:rsidRPr="00556E2C">
              <w:rPr>
                <w:sz w:val="20"/>
                <w:szCs w:val="20"/>
              </w:rPr>
              <w:t>panta trešā daļa – Piesavināšanās</w:t>
            </w:r>
          </w:p>
        </w:tc>
        <w:tc>
          <w:tcPr>
            <w:tcW w:w="1559" w:type="dxa"/>
          </w:tcPr>
          <w:p w14:paraId="2432A946" w14:textId="77777777" w:rsidR="008171F0" w:rsidRPr="00556E2C" w:rsidRDefault="008171F0" w:rsidP="008171F0">
            <w:pPr>
              <w:jc w:val="both"/>
              <w:rPr>
                <w:sz w:val="20"/>
                <w:szCs w:val="20"/>
              </w:rPr>
            </w:pPr>
            <w:r w:rsidRPr="00556E2C">
              <w:rPr>
                <w:sz w:val="20"/>
                <w:szCs w:val="20"/>
              </w:rPr>
              <w:t>19</w:t>
            </w:r>
          </w:p>
        </w:tc>
        <w:tc>
          <w:tcPr>
            <w:tcW w:w="1553" w:type="dxa"/>
          </w:tcPr>
          <w:p w14:paraId="4694B4C7" w14:textId="77777777" w:rsidR="008171F0" w:rsidRPr="00556E2C" w:rsidRDefault="008171F0" w:rsidP="008171F0">
            <w:pPr>
              <w:jc w:val="both"/>
              <w:rPr>
                <w:sz w:val="20"/>
                <w:szCs w:val="20"/>
              </w:rPr>
            </w:pPr>
            <w:r w:rsidRPr="00556E2C">
              <w:rPr>
                <w:sz w:val="20"/>
                <w:szCs w:val="20"/>
              </w:rPr>
              <w:t>15</w:t>
            </w:r>
          </w:p>
        </w:tc>
      </w:tr>
      <w:tr w:rsidR="008171F0" w:rsidRPr="00556E2C" w14:paraId="2344CA3E" w14:textId="77777777" w:rsidTr="00B04E5D">
        <w:tc>
          <w:tcPr>
            <w:tcW w:w="5949" w:type="dxa"/>
          </w:tcPr>
          <w:p w14:paraId="4C94F2FC" w14:textId="4F16A77F" w:rsidR="008171F0" w:rsidRPr="00556E2C" w:rsidRDefault="008171F0" w:rsidP="008171F0">
            <w:pPr>
              <w:jc w:val="both"/>
              <w:rPr>
                <w:sz w:val="20"/>
                <w:szCs w:val="20"/>
              </w:rPr>
            </w:pPr>
            <w:r w:rsidRPr="00556E2C">
              <w:rPr>
                <w:sz w:val="20"/>
                <w:szCs w:val="20"/>
              </w:rPr>
              <w:t>190.</w:t>
            </w:r>
            <w:r w:rsidR="00BE24C3" w:rsidRPr="00556E2C">
              <w:rPr>
                <w:sz w:val="20"/>
                <w:szCs w:val="20"/>
              </w:rPr>
              <w:t> </w:t>
            </w:r>
            <w:r w:rsidRPr="00556E2C">
              <w:rPr>
                <w:sz w:val="20"/>
                <w:szCs w:val="20"/>
              </w:rPr>
              <w:t>panta trešā daļa – Kontrabanda</w:t>
            </w:r>
          </w:p>
        </w:tc>
        <w:tc>
          <w:tcPr>
            <w:tcW w:w="1559" w:type="dxa"/>
          </w:tcPr>
          <w:p w14:paraId="093A7CAD" w14:textId="77777777" w:rsidR="008171F0" w:rsidRPr="00556E2C" w:rsidRDefault="008171F0" w:rsidP="008171F0">
            <w:pPr>
              <w:jc w:val="both"/>
              <w:rPr>
                <w:sz w:val="20"/>
                <w:szCs w:val="20"/>
              </w:rPr>
            </w:pPr>
            <w:r w:rsidRPr="00556E2C">
              <w:rPr>
                <w:sz w:val="20"/>
                <w:szCs w:val="20"/>
              </w:rPr>
              <w:t>1</w:t>
            </w:r>
          </w:p>
        </w:tc>
        <w:tc>
          <w:tcPr>
            <w:tcW w:w="1553" w:type="dxa"/>
          </w:tcPr>
          <w:p w14:paraId="23CDA522" w14:textId="77777777" w:rsidR="008171F0" w:rsidRPr="00556E2C" w:rsidRDefault="008171F0" w:rsidP="008171F0">
            <w:pPr>
              <w:jc w:val="both"/>
              <w:rPr>
                <w:sz w:val="20"/>
                <w:szCs w:val="20"/>
              </w:rPr>
            </w:pPr>
            <w:r w:rsidRPr="00556E2C">
              <w:rPr>
                <w:sz w:val="20"/>
                <w:szCs w:val="20"/>
              </w:rPr>
              <w:t>3</w:t>
            </w:r>
          </w:p>
        </w:tc>
      </w:tr>
      <w:tr w:rsidR="008171F0" w:rsidRPr="00556E2C" w14:paraId="76411390" w14:textId="77777777" w:rsidTr="00B04E5D">
        <w:tc>
          <w:tcPr>
            <w:tcW w:w="5949" w:type="dxa"/>
          </w:tcPr>
          <w:p w14:paraId="4A433D86" w14:textId="33249658" w:rsidR="008171F0" w:rsidRPr="00556E2C" w:rsidRDefault="008171F0" w:rsidP="008171F0">
            <w:pPr>
              <w:jc w:val="both"/>
              <w:rPr>
                <w:sz w:val="20"/>
                <w:szCs w:val="20"/>
              </w:rPr>
            </w:pPr>
            <w:r w:rsidRPr="00556E2C">
              <w:rPr>
                <w:sz w:val="20"/>
                <w:szCs w:val="20"/>
              </w:rPr>
              <w:t>195.</w:t>
            </w:r>
            <w:r w:rsidR="00BE24C3" w:rsidRPr="00556E2C">
              <w:rPr>
                <w:sz w:val="20"/>
                <w:szCs w:val="20"/>
              </w:rPr>
              <w:t> </w:t>
            </w:r>
            <w:r w:rsidRPr="00556E2C">
              <w:rPr>
                <w:sz w:val="20"/>
                <w:szCs w:val="20"/>
              </w:rPr>
              <w:t>panta otrā daļa – Noziedzīgi iegūtu līdzekļu legalizēšana</w:t>
            </w:r>
          </w:p>
        </w:tc>
        <w:tc>
          <w:tcPr>
            <w:tcW w:w="1559" w:type="dxa"/>
          </w:tcPr>
          <w:p w14:paraId="109C149A" w14:textId="77777777" w:rsidR="008171F0" w:rsidRPr="00556E2C" w:rsidRDefault="008171F0" w:rsidP="008171F0">
            <w:pPr>
              <w:jc w:val="both"/>
              <w:rPr>
                <w:sz w:val="20"/>
                <w:szCs w:val="20"/>
              </w:rPr>
            </w:pPr>
            <w:r w:rsidRPr="00556E2C">
              <w:rPr>
                <w:sz w:val="20"/>
                <w:szCs w:val="20"/>
              </w:rPr>
              <w:t>0</w:t>
            </w:r>
          </w:p>
        </w:tc>
        <w:tc>
          <w:tcPr>
            <w:tcW w:w="1553" w:type="dxa"/>
          </w:tcPr>
          <w:p w14:paraId="4ECF0008" w14:textId="77777777" w:rsidR="008171F0" w:rsidRPr="00556E2C" w:rsidRDefault="008171F0" w:rsidP="008171F0">
            <w:pPr>
              <w:jc w:val="both"/>
              <w:rPr>
                <w:sz w:val="20"/>
                <w:szCs w:val="20"/>
              </w:rPr>
            </w:pPr>
            <w:r w:rsidRPr="00556E2C">
              <w:rPr>
                <w:sz w:val="20"/>
                <w:szCs w:val="20"/>
              </w:rPr>
              <w:t>0</w:t>
            </w:r>
          </w:p>
        </w:tc>
      </w:tr>
      <w:tr w:rsidR="008171F0" w:rsidRPr="00556E2C" w14:paraId="0063881B" w14:textId="77777777" w:rsidTr="00B04E5D">
        <w:tc>
          <w:tcPr>
            <w:tcW w:w="5949" w:type="dxa"/>
          </w:tcPr>
          <w:p w14:paraId="3998614A" w14:textId="1DA87454" w:rsidR="008171F0" w:rsidRPr="00556E2C" w:rsidRDefault="008171F0" w:rsidP="008171F0">
            <w:pPr>
              <w:jc w:val="both"/>
              <w:rPr>
                <w:sz w:val="20"/>
                <w:szCs w:val="20"/>
              </w:rPr>
            </w:pPr>
            <w:r w:rsidRPr="00556E2C">
              <w:rPr>
                <w:sz w:val="20"/>
                <w:szCs w:val="20"/>
              </w:rPr>
              <w:t>195.</w:t>
            </w:r>
            <w:r w:rsidR="00BE24C3" w:rsidRPr="00556E2C">
              <w:rPr>
                <w:sz w:val="20"/>
                <w:szCs w:val="20"/>
              </w:rPr>
              <w:t> </w:t>
            </w:r>
            <w:r w:rsidRPr="00556E2C">
              <w:rPr>
                <w:sz w:val="20"/>
                <w:szCs w:val="20"/>
              </w:rPr>
              <w:t>panta trešā daļa – Noziedzīgi iegūtu līdzekļu legalizēšana</w:t>
            </w:r>
          </w:p>
        </w:tc>
        <w:tc>
          <w:tcPr>
            <w:tcW w:w="1559" w:type="dxa"/>
          </w:tcPr>
          <w:p w14:paraId="25D935F7" w14:textId="77777777" w:rsidR="008171F0" w:rsidRPr="00556E2C" w:rsidRDefault="008171F0" w:rsidP="008171F0">
            <w:pPr>
              <w:jc w:val="both"/>
              <w:rPr>
                <w:sz w:val="20"/>
                <w:szCs w:val="20"/>
              </w:rPr>
            </w:pPr>
            <w:r w:rsidRPr="00556E2C">
              <w:rPr>
                <w:sz w:val="20"/>
                <w:szCs w:val="20"/>
              </w:rPr>
              <w:t>5</w:t>
            </w:r>
          </w:p>
        </w:tc>
        <w:tc>
          <w:tcPr>
            <w:tcW w:w="1553" w:type="dxa"/>
          </w:tcPr>
          <w:p w14:paraId="18F815A8" w14:textId="77777777" w:rsidR="008171F0" w:rsidRPr="00556E2C" w:rsidRDefault="008171F0" w:rsidP="008171F0">
            <w:pPr>
              <w:jc w:val="both"/>
              <w:rPr>
                <w:sz w:val="20"/>
                <w:szCs w:val="20"/>
              </w:rPr>
            </w:pPr>
            <w:r w:rsidRPr="00556E2C">
              <w:rPr>
                <w:sz w:val="20"/>
                <w:szCs w:val="20"/>
              </w:rPr>
              <w:t>2</w:t>
            </w:r>
          </w:p>
        </w:tc>
      </w:tr>
      <w:tr w:rsidR="008171F0" w:rsidRPr="00556E2C" w14:paraId="655DBD7D" w14:textId="77777777" w:rsidTr="00B04E5D">
        <w:tc>
          <w:tcPr>
            <w:tcW w:w="5949" w:type="dxa"/>
          </w:tcPr>
          <w:p w14:paraId="05691E86" w14:textId="6283837E" w:rsidR="008171F0" w:rsidRPr="00556E2C" w:rsidRDefault="008171F0" w:rsidP="008171F0">
            <w:pPr>
              <w:jc w:val="both"/>
              <w:rPr>
                <w:sz w:val="20"/>
                <w:szCs w:val="20"/>
              </w:rPr>
            </w:pPr>
            <w:r w:rsidRPr="00556E2C">
              <w:rPr>
                <w:sz w:val="20"/>
                <w:szCs w:val="20"/>
              </w:rPr>
              <w:t>218.</w:t>
            </w:r>
            <w:r w:rsidR="00BE24C3" w:rsidRPr="00556E2C">
              <w:rPr>
                <w:sz w:val="20"/>
                <w:szCs w:val="20"/>
              </w:rPr>
              <w:t> </w:t>
            </w:r>
            <w:r w:rsidRPr="00556E2C">
              <w:rPr>
                <w:sz w:val="20"/>
                <w:szCs w:val="20"/>
              </w:rPr>
              <w:t xml:space="preserve">panta otrā daļa – Izvairīšanās no nodokļu un tiem pielīdzināto maksājumu nomaksas </w:t>
            </w:r>
          </w:p>
        </w:tc>
        <w:tc>
          <w:tcPr>
            <w:tcW w:w="1559" w:type="dxa"/>
          </w:tcPr>
          <w:p w14:paraId="2CC49C53" w14:textId="77777777" w:rsidR="008171F0" w:rsidRPr="00556E2C" w:rsidRDefault="008171F0" w:rsidP="008171F0">
            <w:pPr>
              <w:jc w:val="both"/>
              <w:rPr>
                <w:sz w:val="20"/>
                <w:szCs w:val="20"/>
              </w:rPr>
            </w:pPr>
            <w:r w:rsidRPr="00556E2C">
              <w:rPr>
                <w:sz w:val="20"/>
                <w:szCs w:val="20"/>
              </w:rPr>
              <w:t>31</w:t>
            </w:r>
          </w:p>
        </w:tc>
        <w:tc>
          <w:tcPr>
            <w:tcW w:w="1553" w:type="dxa"/>
          </w:tcPr>
          <w:p w14:paraId="0DADF35C" w14:textId="77777777" w:rsidR="008171F0" w:rsidRPr="00556E2C" w:rsidRDefault="008171F0" w:rsidP="008171F0">
            <w:pPr>
              <w:jc w:val="both"/>
              <w:rPr>
                <w:sz w:val="20"/>
                <w:szCs w:val="20"/>
              </w:rPr>
            </w:pPr>
            <w:r w:rsidRPr="00556E2C">
              <w:rPr>
                <w:sz w:val="20"/>
                <w:szCs w:val="20"/>
              </w:rPr>
              <w:t>35</w:t>
            </w:r>
          </w:p>
        </w:tc>
      </w:tr>
      <w:tr w:rsidR="008171F0" w:rsidRPr="00556E2C" w14:paraId="1BDE0E72" w14:textId="77777777" w:rsidTr="00B04E5D">
        <w:tc>
          <w:tcPr>
            <w:tcW w:w="5949" w:type="dxa"/>
          </w:tcPr>
          <w:p w14:paraId="583B5B48" w14:textId="6A5875D4" w:rsidR="008171F0" w:rsidRPr="00556E2C" w:rsidRDefault="008171F0" w:rsidP="008171F0">
            <w:pPr>
              <w:jc w:val="both"/>
              <w:rPr>
                <w:sz w:val="20"/>
                <w:szCs w:val="20"/>
              </w:rPr>
            </w:pPr>
            <w:r w:rsidRPr="00556E2C">
              <w:rPr>
                <w:sz w:val="20"/>
                <w:szCs w:val="20"/>
              </w:rPr>
              <w:t>218.</w:t>
            </w:r>
            <w:r w:rsidR="00BE24C3" w:rsidRPr="00556E2C">
              <w:rPr>
                <w:sz w:val="20"/>
                <w:szCs w:val="20"/>
              </w:rPr>
              <w:t> </w:t>
            </w:r>
            <w:r w:rsidRPr="00556E2C">
              <w:rPr>
                <w:sz w:val="20"/>
                <w:szCs w:val="20"/>
              </w:rPr>
              <w:t xml:space="preserve">panta trešā daļa – Izvairīšanās no nodokļu un tiem pielīdzināto maksājumu nomaksas </w:t>
            </w:r>
          </w:p>
        </w:tc>
        <w:tc>
          <w:tcPr>
            <w:tcW w:w="1559" w:type="dxa"/>
          </w:tcPr>
          <w:p w14:paraId="7829CCD8" w14:textId="77777777" w:rsidR="008171F0" w:rsidRPr="00556E2C" w:rsidRDefault="008171F0" w:rsidP="008171F0">
            <w:pPr>
              <w:jc w:val="both"/>
              <w:rPr>
                <w:sz w:val="20"/>
                <w:szCs w:val="20"/>
              </w:rPr>
            </w:pPr>
            <w:r w:rsidRPr="00556E2C">
              <w:rPr>
                <w:sz w:val="20"/>
                <w:szCs w:val="20"/>
              </w:rPr>
              <w:t>0</w:t>
            </w:r>
          </w:p>
        </w:tc>
        <w:tc>
          <w:tcPr>
            <w:tcW w:w="1553" w:type="dxa"/>
          </w:tcPr>
          <w:p w14:paraId="76A465B0" w14:textId="77777777" w:rsidR="008171F0" w:rsidRPr="00556E2C" w:rsidRDefault="008171F0" w:rsidP="008171F0">
            <w:pPr>
              <w:jc w:val="both"/>
              <w:rPr>
                <w:sz w:val="20"/>
                <w:szCs w:val="20"/>
              </w:rPr>
            </w:pPr>
            <w:r w:rsidRPr="00556E2C">
              <w:rPr>
                <w:sz w:val="20"/>
                <w:szCs w:val="20"/>
              </w:rPr>
              <w:t>1</w:t>
            </w:r>
          </w:p>
        </w:tc>
      </w:tr>
      <w:tr w:rsidR="008171F0" w:rsidRPr="00556E2C" w14:paraId="64B3D001" w14:textId="77777777" w:rsidTr="00B04E5D">
        <w:tc>
          <w:tcPr>
            <w:tcW w:w="5949" w:type="dxa"/>
          </w:tcPr>
          <w:p w14:paraId="30DCE87B" w14:textId="5EAD25EC" w:rsidR="008171F0" w:rsidRPr="00556E2C" w:rsidRDefault="008171F0" w:rsidP="008171F0">
            <w:pPr>
              <w:jc w:val="both"/>
              <w:rPr>
                <w:sz w:val="20"/>
                <w:szCs w:val="20"/>
              </w:rPr>
            </w:pPr>
            <w:r w:rsidRPr="00556E2C">
              <w:rPr>
                <w:sz w:val="20"/>
                <w:szCs w:val="20"/>
              </w:rPr>
              <w:t>322.</w:t>
            </w:r>
            <w:r w:rsidR="00BE24C3" w:rsidRPr="00556E2C">
              <w:rPr>
                <w:sz w:val="20"/>
                <w:szCs w:val="20"/>
              </w:rPr>
              <w:t> </w:t>
            </w:r>
            <w:r w:rsidRPr="00556E2C">
              <w:rPr>
                <w:sz w:val="20"/>
                <w:szCs w:val="20"/>
              </w:rPr>
              <w:t>panta otrā daļa – Starpniecība kukuļošanā</w:t>
            </w:r>
          </w:p>
        </w:tc>
        <w:tc>
          <w:tcPr>
            <w:tcW w:w="1559" w:type="dxa"/>
          </w:tcPr>
          <w:p w14:paraId="25CF91F3" w14:textId="77777777" w:rsidR="008171F0" w:rsidRPr="00556E2C" w:rsidRDefault="008171F0" w:rsidP="008171F0">
            <w:pPr>
              <w:jc w:val="both"/>
              <w:rPr>
                <w:sz w:val="20"/>
                <w:szCs w:val="20"/>
              </w:rPr>
            </w:pPr>
            <w:r w:rsidRPr="00556E2C">
              <w:rPr>
                <w:sz w:val="20"/>
                <w:szCs w:val="20"/>
              </w:rPr>
              <w:t>0</w:t>
            </w:r>
          </w:p>
        </w:tc>
        <w:tc>
          <w:tcPr>
            <w:tcW w:w="1553" w:type="dxa"/>
          </w:tcPr>
          <w:p w14:paraId="271ED3E5" w14:textId="77777777" w:rsidR="008171F0" w:rsidRPr="00556E2C" w:rsidRDefault="008171F0" w:rsidP="008171F0">
            <w:pPr>
              <w:jc w:val="both"/>
              <w:rPr>
                <w:sz w:val="20"/>
                <w:szCs w:val="20"/>
              </w:rPr>
            </w:pPr>
            <w:r w:rsidRPr="00556E2C">
              <w:rPr>
                <w:sz w:val="20"/>
                <w:szCs w:val="20"/>
              </w:rPr>
              <w:t>0</w:t>
            </w:r>
          </w:p>
        </w:tc>
      </w:tr>
      <w:tr w:rsidR="008171F0" w:rsidRPr="00556E2C" w14:paraId="02AD4845" w14:textId="77777777" w:rsidTr="00B04E5D">
        <w:tc>
          <w:tcPr>
            <w:tcW w:w="5949" w:type="dxa"/>
          </w:tcPr>
          <w:p w14:paraId="613FB211" w14:textId="3394BBC2" w:rsidR="008171F0" w:rsidRPr="00556E2C" w:rsidRDefault="008171F0" w:rsidP="008171F0">
            <w:pPr>
              <w:jc w:val="both"/>
              <w:rPr>
                <w:sz w:val="20"/>
                <w:szCs w:val="20"/>
              </w:rPr>
            </w:pPr>
            <w:r w:rsidRPr="00556E2C">
              <w:rPr>
                <w:sz w:val="20"/>
                <w:szCs w:val="20"/>
              </w:rPr>
              <w:t>320.</w:t>
            </w:r>
            <w:r w:rsidR="00BE24C3" w:rsidRPr="00556E2C">
              <w:rPr>
                <w:sz w:val="20"/>
                <w:szCs w:val="20"/>
              </w:rPr>
              <w:t> </w:t>
            </w:r>
            <w:r w:rsidRPr="00556E2C">
              <w:rPr>
                <w:sz w:val="20"/>
                <w:szCs w:val="20"/>
              </w:rPr>
              <w:t>panta trešā daļa – Kukuļņemšana</w:t>
            </w:r>
          </w:p>
        </w:tc>
        <w:tc>
          <w:tcPr>
            <w:tcW w:w="1559" w:type="dxa"/>
          </w:tcPr>
          <w:p w14:paraId="639F321B" w14:textId="77777777" w:rsidR="008171F0" w:rsidRPr="00556E2C" w:rsidRDefault="008171F0" w:rsidP="008171F0">
            <w:pPr>
              <w:jc w:val="both"/>
              <w:rPr>
                <w:sz w:val="20"/>
                <w:szCs w:val="20"/>
              </w:rPr>
            </w:pPr>
            <w:r w:rsidRPr="00556E2C">
              <w:rPr>
                <w:sz w:val="20"/>
                <w:szCs w:val="20"/>
              </w:rPr>
              <w:t>8</w:t>
            </w:r>
          </w:p>
        </w:tc>
        <w:tc>
          <w:tcPr>
            <w:tcW w:w="1553" w:type="dxa"/>
          </w:tcPr>
          <w:p w14:paraId="6D522047" w14:textId="77777777" w:rsidR="008171F0" w:rsidRPr="00556E2C" w:rsidRDefault="008171F0" w:rsidP="008171F0">
            <w:pPr>
              <w:jc w:val="both"/>
              <w:rPr>
                <w:sz w:val="20"/>
                <w:szCs w:val="20"/>
              </w:rPr>
            </w:pPr>
            <w:r w:rsidRPr="00556E2C">
              <w:rPr>
                <w:sz w:val="20"/>
                <w:szCs w:val="20"/>
              </w:rPr>
              <w:t>2</w:t>
            </w:r>
          </w:p>
        </w:tc>
      </w:tr>
      <w:tr w:rsidR="008171F0" w:rsidRPr="00556E2C" w14:paraId="6AC6D735" w14:textId="77777777" w:rsidTr="00B04E5D">
        <w:tc>
          <w:tcPr>
            <w:tcW w:w="5949" w:type="dxa"/>
          </w:tcPr>
          <w:p w14:paraId="4CBA37F0" w14:textId="6BF3BFF7" w:rsidR="008171F0" w:rsidRPr="00556E2C" w:rsidRDefault="008171F0" w:rsidP="008171F0">
            <w:pPr>
              <w:jc w:val="both"/>
              <w:rPr>
                <w:sz w:val="20"/>
                <w:szCs w:val="20"/>
              </w:rPr>
            </w:pPr>
            <w:r w:rsidRPr="00556E2C">
              <w:rPr>
                <w:sz w:val="20"/>
                <w:szCs w:val="20"/>
              </w:rPr>
              <w:t>320.</w:t>
            </w:r>
            <w:r w:rsidR="00BE24C3" w:rsidRPr="00556E2C">
              <w:rPr>
                <w:sz w:val="20"/>
                <w:szCs w:val="20"/>
              </w:rPr>
              <w:t> </w:t>
            </w:r>
            <w:r w:rsidRPr="00556E2C">
              <w:rPr>
                <w:sz w:val="20"/>
                <w:szCs w:val="20"/>
              </w:rPr>
              <w:t>panta ceturtā daļa – Kukuļņemšana</w:t>
            </w:r>
          </w:p>
        </w:tc>
        <w:tc>
          <w:tcPr>
            <w:tcW w:w="1559" w:type="dxa"/>
          </w:tcPr>
          <w:p w14:paraId="1F00C6DC" w14:textId="77777777" w:rsidR="008171F0" w:rsidRPr="00556E2C" w:rsidRDefault="008171F0" w:rsidP="008171F0">
            <w:pPr>
              <w:jc w:val="both"/>
              <w:rPr>
                <w:sz w:val="20"/>
                <w:szCs w:val="20"/>
              </w:rPr>
            </w:pPr>
            <w:r w:rsidRPr="00556E2C">
              <w:rPr>
                <w:sz w:val="20"/>
                <w:szCs w:val="20"/>
              </w:rPr>
              <w:t>0</w:t>
            </w:r>
          </w:p>
        </w:tc>
        <w:tc>
          <w:tcPr>
            <w:tcW w:w="1553" w:type="dxa"/>
          </w:tcPr>
          <w:p w14:paraId="7BD9BA23" w14:textId="77777777" w:rsidR="008171F0" w:rsidRPr="00556E2C" w:rsidRDefault="008171F0" w:rsidP="008171F0">
            <w:pPr>
              <w:jc w:val="both"/>
              <w:rPr>
                <w:sz w:val="20"/>
                <w:szCs w:val="20"/>
              </w:rPr>
            </w:pPr>
            <w:r w:rsidRPr="00556E2C">
              <w:rPr>
                <w:sz w:val="20"/>
                <w:szCs w:val="20"/>
              </w:rPr>
              <w:t>0</w:t>
            </w:r>
          </w:p>
        </w:tc>
      </w:tr>
      <w:tr w:rsidR="008171F0" w:rsidRPr="00556E2C" w14:paraId="03ECD0A5" w14:textId="77777777" w:rsidTr="00B04E5D">
        <w:tc>
          <w:tcPr>
            <w:tcW w:w="5949" w:type="dxa"/>
          </w:tcPr>
          <w:p w14:paraId="693B0E41" w14:textId="77777777" w:rsidR="008171F0" w:rsidRPr="00556E2C" w:rsidRDefault="008171F0" w:rsidP="008171F0">
            <w:pPr>
              <w:jc w:val="both"/>
              <w:rPr>
                <w:sz w:val="20"/>
                <w:szCs w:val="20"/>
              </w:rPr>
            </w:pPr>
            <w:r w:rsidRPr="00556E2C">
              <w:rPr>
                <w:b/>
                <w:sz w:val="20"/>
                <w:szCs w:val="20"/>
              </w:rPr>
              <w:t xml:space="preserve">Kopā </w:t>
            </w:r>
          </w:p>
        </w:tc>
        <w:tc>
          <w:tcPr>
            <w:tcW w:w="1559" w:type="dxa"/>
          </w:tcPr>
          <w:p w14:paraId="199EB326" w14:textId="77777777" w:rsidR="008171F0" w:rsidRPr="00556E2C" w:rsidRDefault="008171F0" w:rsidP="008171F0">
            <w:pPr>
              <w:jc w:val="both"/>
              <w:rPr>
                <w:b/>
                <w:sz w:val="20"/>
                <w:szCs w:val="20"/>
              </w:rPr>
            </w:pPr>
            <w:r w:rsidRPr="00556E2C">
              <w:rPr>
                <w:b/>
                <w:sz w:val="20"/>
                <w:szCs w:val="20"/>
              </w:rPr>
              <w:t>55</w:t>
            </w:r>
          </w:p>
        </w:tc>
        <w:tc>
          <w:tcPr>
            <w:tcW w:w="1553" w:type="dxa"/>
          </w:tcPr>
          <w:p w14:paraId="784B82FB" w14:textId="79096D2F" w:rsidR="008171F0" w:rsidRPr="00556E2C" w:rsidRDefault="00FF7BA6" w:rsidP="008171F0">
            <w:pPr>
              <w:jc w:val="both"/>
              <w:rPr>
                <w:b/>
                <w:sz w:val="20"/>
                <w:szCs w:val="20"/>
              </w:rPr>
            </w:pPr>
            <w:r w:rsidRPr="00556E2C">
              <w:rPr>
                <w:b/>
                <w:sz w:val="20"/>
                <w:szCs w:val="20"/>
              </w:rPr>
              <w:t>58</w:t>
            </w:r>
          </w:p>
        </w:tc>
      </w:tr>
    </w:tbl>
    <w:p w14:paraId="22EC6651" w14:textId="3994DF48" w:rsidR="0081010B" w:rsidRPr="00D27255" w:rsidRDefault="00981316" w:rsidP="00B04E5D">
      <w:pPr>
        <w:ind w:firstLine="720"/>
        <w:jc w:val="both"/>
      </w:pPr>
      <w:r w:rsidRPr="00D27255">
        <w:t>4</w:t>
      </w:r>
      <w:r w:rsidR="008126C3" w:rsidRPr="00D27255">
        <w:t>. </w:t>
      </w:r>
      <w:r w:rsidR="0081010B" w:rsidRPr="00D27255">
        <w:t>tabula</w:t>
      </w:r>
      <w:r w:rsidR="004B7384" w:rsidRPr="00D27255">
        <w:t>.</w:t>
      </w:r>
      <w:r w:rsidR="0081010B" w:rsidRPr="00D27255">
        <w:t xml:space="preserve"> Saņemto civillietu un krimināllietu skaits specializējamās lietu kategorijās </w:t>
      </w:r>
      <w:r w:rsidR="00AE4165" w:rsidRPr="00D27255">
        <w:t>apelācijas</w:t>
      </w:r>
      <w:r w:rsidR="0081010B" w:rsidRPr="00D27255">
        <w:t xml:space="preserve"> instances tiesā</w:t>
      </w:r>
    </w:p>
    <w:p w14:paraId="2A0C4AA1" w14:textId="77777777" w:rsidR="004C0F55" w:rsidRPr="00D27255" w:rsidRDefault="004C0F55" w:rsidP="004C0F55">
      <w:pPr>
        <w:tabs>
          <w:tab w:val="left" w:pos="709"/>
        </w:tabs>
        <w:ind w:firstLine="720"/>
        <w:jc w:val="both"/>
        <w:rPr>
          <w:rFonts w:eastAsiaTheme="majorEastAsia"/>
          <w:sz w:val="28"/>
          <w:szCs w:val="28"/>
          <w:lang w:eastAsia="en-US"/>
        </w:rPr>
      </w:pPr>
    </w:p>
    <w:p w14:paraId="00C55D5D" w14:textId="197F17B8" w:rsidR="00FE381A" w:rsidRPr="00D27255" w:rsidRDefault="00FE381A" w:rsidP="00FE381A">
      <w:pPr>
        <w:tabs>
          <w:tab w:val="left" w:pos="709"/>
        </w:tabs>
        <w:ind w:firstLine="720"/>
        <w:jc w:val="both"/>
        <w:rPr>
          <w:rFonts w:eastAsiaTheme="majorEastAsia"/>
          <w:sz w:val="28"/>
          <w:szCs w:val="28"/>
          <w:lang w:eastAsia="en-US"/>
        </w:rPr>
      </w:pPr>
      <w:r w:rsidRPr="00D27255">
        <w:rPr>
          <w:rFonts w:eastAsiaTheme="majorEastAsia"/>
          <w:sz w:val="28"/>
          <w:szCs w:val="28"/>
          <w:lang w:eastAsia="en-US"/>
        </w:rPr>
        <w:t xml:space="preserve">Prognozējot nepieciešamo kapacitāti šāda lietu apjoma izskatīšanai attiecīgā tiesu instancē un ņemot vērā vidējo lietu skaitu pēdējos divos gados, secināms, ka </w:t>
      </w:r>
      <w:r w:rsidR="006E7E05" w:rsidRPr="00D27255">
        <w:rPr>
          <w:rFonts w:eastAsiaTheme="majorEastAsia"/>
          <w:sz w:val="28"/>
          <w:szCs w:val="28"/>
          <w:lang w:eastAsia="en-US"/>
        </w:rPr>
        <w:t xml:space="preserve">specializācijas </w:t>
      </w:r>
      <w:r w:rsidRPr="00D27255">
        <w:rPr>
          <w:rFonts w:eastAsiaTheme="majorEastAsia"/>
          <w:sz w:val="28"/>
          <w:szCs w:val="28"/>
          <w:lang w:eastAsia="en-US"/>
        </w:rPr>
        <w:t xml:space="preserve">noslodzi </w:t>
      </w:r>
      <w:r w:rsidR="006E7E05" w:rsidRPr="00D27255">
        <w:rPr>
          <w:rFonts w:eastAsiaTheme="majorEastAsia"/>
          <w:sz w:val="28"/>
          <w:szCs w:val="28"/>
          <w:lang w:eastAsia="en-US"/>
        </w:rPr>
        <w:t xml:space="preserve">pirmajā instancē </w:t>
      </w:r>
      <w:r w:rsidRPr="00D27255">
        <w:rPr>
          <w:rFonts w:eastAsiaTheme="majorEastAsia"/>
          <w:sz w:val="28"/>
          <w:szCs w:val="28"/>
          <w:lang w:eastAsia="en-US"/>
        </w:rPr>
        <w:t xml:space="preserve">veidotu vidēji </w:t>
      </w:r>
      <w:r w:rsidR="00CC5A1C" w:rsidRPr="00D27255">
        <w:rPr>
          <w:rFonts w:eastAsiaTheme="majorEastAsia"/>
          <w:sz w:val="28"/>
          <w:szCs w:val="28"/>
          <w:lang w:eastAsia="en-US"/>
        </w:rPr>
        <w:t>35</w:t>
      </w:r>
      <w:r w:rsidR="00556E2C">
        <w:rPr>
          <w:rFonts w:eastAsiaTheme="majorEastAsia"/>
          <w:sz w:val="28"/>
          <w:szCs w:val="28"/>
          <w:lang w:eastAsia="en-US"/>
        </w:rPr>
        <w:t>0</w:t>
      </w:r>
      <w:r w:rsidR="00CC5A1C" w:rsidRPr="00D27255">
        <w:rPr>
          <w:rFonts w:eastAsiaTheme="majorEastAsia"/>
          <w:sz w:val="28"/>
          <w:szCs w:val="28"/>
          <w:lang w:eastAsia="en-US"/>
        </w:rPr>
        <w:t xml:space="preserve"> </w:t>
      </w:r>
      <w:r w:rsidRPr="00D27255">
        <w:rPr>
          <w:rFonts w:eastAsiaTheme="majorEastAsia"/>
          <w:sz w:val="28"/>
          <w:szCs w:val="28"/>
          <w:lang w:eastAsia="en-US"/>
        </w:rPr>
        <w:t xml:space="preserve">lietas gadā (no tām </w:t>
      </w:r>
      <w:r w:rsidR="00556E2C">
        <w:rPr>
          <w:rFonts w:eastAsiaTheme="majorEastAsia"/>
          <w:sz w:val="28"/>
          <w:szCs w:val="28"/>
          <w:lang w:eastAsia="en-US"/>
        </w:rPr>
        <w:t xml:space="preserve">aptuveni </w:t>
      </w:r>
      <w:r w:rsidR="00CC5A1C" w:rsidRPr="00D27255">
        <w:rPr>
          <w:rFonts w:eastAsiaTheme="majorEastAsia"/>
          <w:sz w:val="28"/>
          <w:szCs w:val="28"/>
          <w:lang w:eastAsia="en-US"/>
        </w:rPr>
        <w:t>20</w:t>
      </w:r>
      <w:r w:rsidR="00556E2C">
        <w:rPr>
          <w:rFonts w:eastAsiaTheme="majorEastAsia"/>
          <w:sz w:val="28"/>
          <w:szCs w:val="28"/>
          <w:lang w:eastAsia="en-US"/>
        </w:rPr>
        <w:t>0</w:t>
      </w:r>
      <w:r w:rsidR="00CC5A1C" w:rsidRPr="00D27255">
        <w:rPr>
          <w:rFonts w:eastAsiaTheme="majorEastAsia"/>
          <w:sz w:val="28"/>
          <w:szCs w:val="28"/>
          <w:lang w:eastAsia="en-US"/>
        </w:rPr>
        <w:t xml:space="preserve"> </w:t>
      </w:r>
      <w:r w:rsidRPr="00D27255">
        <w:rPr>
          <w:rFonts w:eastAsiaTheme="majorEastAsia"/>
          <w:sz w:val="28"/>
          <w:szCs w:val="28"/>
          <w:lang w:eastAsia="en-US"/>
        </w:rPr>
        <w:t>civilprocesa kārtībā izskatāma</w:t>
      </w:r>
      <w:r w:rsidR="006E7E05" w:rsidRPr="00D27255">
        <w:rPr>
          <w:rFonts w:eastAsiaTheme="majorEastAsia"/>
          <w:sz w:val="28"/>
          <w:szCs w:val="28"/>
          <w:lang w:eastAsia="en-US"/>
        </w:rPr>
        <w:t>s</w:t>
      </w:r>
      <w:r w:rsidRPr="00D27255">
        <w:rPr>
          <w:rFonts w:eastAsiaTheme="majorEastAsia"/>
          <w:sz w:val="28"/>
          <w:szCs w:val="28"/>
          <w:lang w:eastAsia="en-US"/>
        </w:rPr>
        <w:t xml:space="preserve"> lieta</w:t>
      </w:r>
      <w:r w:rsidR="006E7E05" w:rsidRPr="00D27255">
        <w:rPr>
          <w:rFonts w:eastAsiaTheme="majorEastAsia"/>
          <w:sz w:val="28"/>
          <w:szCs w:val="28"/>
          <w:lang w:eastAsia="en-US"/>
        </w:rPr>
        <w:t>s</w:t>
      </w:r>
      <w:r w:rsidRPr="00D27255">
        <w:rPr>
          <w:rFonts w:eastAsiaTheme="majorEastAsia"/>
          <w:sz w:val="28"/>
          <w:szCs w:val="28"/>
          <w:lang w:eastAsia="en-US"/>
        </w:rPr>
        <w:t xml:space="preserve"> un </w:t>
      </w:r>
      <w:r w:rsidR="00556E2C">
        <w:rPr>
          <w:rFonts w:eastAsiaTheme="majorEastAsia"/>
          <w:sz w:val="28"/>
          <w:szCs w:val="28"/>
          <w:lang w:eastAsia="en-US"/>
        </w:rPr>
        <w:t xml:space="preserve">aptuveni </w:t>
      </w:r>
      <w:r w:rsidRPr="00D27255">
        <w:rPr>
          <w:rFonts w:eastAsiaTheme="majorEastAsia"/>
          <w:sz w:val="28"/>
          <w:szCs w:val="28"/>
          <w:lang w:eastAsia="en-US"/>
        </w:rPr>
        <w:t>15</w:t>
      </w:r>
      <w:r w:rsidR="00556E2C">
        <w:rPr>
          <w:rFonts w:eastAsiaTheme="majorEastAsia"/>
          <w:sz w:val="28"/>
          <w:szCs w:val="28"/>
          <w:lang w:eastAsia="en-US"/>
        </w:rPr>
        <w:t>0</w:t>
      </w:r>
      <w:r w:rsidRPr="00D27255">
        <w:rPr>
          <w:rFonts w:eastAsiaTheme="majorEastAsia"/>
          <w:sz w:val="28"/>
          <w:szCs w:val="28"/>
          <w:lang w:eastAsia="en-US"/>
        </w:rPr>
        <w:t xml:space="preserve"> krimināllietas). Savukārt apelācijas instances noslodzi veidotu vidēji </w:t>
      </w:r>
      <w:r w:rsidR="00CC5A1C" w:rsidRPr="00D27255">
        <w:rPr>
          <w:rFonts w:eastAsiaTheme="majorEastAsia"/>
          <w:sz w:val="28"/>
          <w:szCs w:val="28"/>
          <w:lang w:eastAsia="en-US"/>
        </w:rPr>
        <w:t>13</w:t>
      </w:r>
      <w:r w:rsidR="00556E2C">
        <w:rPr>
          <w:rFonts w:eastAsiaTheme="majorEastAsia"/>
          <w:sz w:val="28"/>
          <w:szCs w:val="28"/>
          <w:lang w:eastAsia="en-US"/>
        </w:rPr>
        <w:t>0</w:t>
      </w:r>
      <w:r w:rsidR="00CC5A1C" w:rsidRPr="00D27255">
        <w:rPr>
          <w:rFonts w:eastAsiaTheme="majorEastAsia"/>
          <w:sz w:val="28"/>
          <w:szCs w:val="28"/>
          <w:lang w:eastAsia="en-US"/>
        </w:rPr>
        <w:t xml:space="preserve"> </w:t>
      </w:r>
      <w:r w:rsidRPr="00D27255">
        <w:rPr>
          <w:rFonts w:eastAsiaTheme="majorEastAsia"/>
          <w:sz w:val="28"/>
          <w:szCs w:val="28"/>
          <w:lang w:eastAsia="en-US"/>
        </w:rPr>
        <w:t xml:space="preserve">lietas gadā (no tām </w:t>
      </w:r>
      <w:r w:rsidR="00556E2C">
        <w:rPr>
          <w:rFonts w:eastAsiaTheme="majorEastAsia"/>
          <w:sz w:val="28"/>
          <w:szCs w:val="28"/>
          <w:lang w:eastAsia="en-US"/>
        </w:rPr>
        <w:t>aptuveni 75</w:t>
      </w:r>
      <w:r w:rsidR="00CC5A1C" w:rsidRPr="00D27255">
        <w:rPr>
          <w:rFonts w:eastAsiaTheme="majorEastAsia"/>
          <w:sz w:val="28"/>
          <w:szCs w:val="28"/>
          <w:lang w:eastAsia="en-US"/>
        </w:rPr>
        <w:t xml:space="preserve"> </w:t>
      </w:r>
      <w:r w:rsidRPr="00D27255">
        <w:rPr>
          <w:rFonts w:eastAsiaTheme="majorEastAsia"/>
          <w:sz w:val="28"/>
          <w:szCs w:val="28"/>
          <w:lang w:eastAsia="en-US"/>
        </w:rPr>
        <w:t>civilprocesa kārtībā izskatāma</w:t>
      </w:r>
      <w:r w:rsidR="006E7E05" w:rsidRPr="00D27255">
        <w:rPr>
          <w:rFonts w:eastAsiaTheme="majorEastAsia"/>
          <w:sz w:val="28"/>
          <w:szCs w:val="28"/>
          <w:lang w:eastAsia="en-US"/>
        </w:rPr>
        <w:t>s</w:t>
      </w:r>
      <w:r w:rsidRPr="00D27255">
        <w:rPr>
          <w:rFonts w:eastAsiaTheme="majorEastAsia"/>
          <w:sz w:val="28"/>
          <w:szCs w:val="28"/>
          <w:lang w:eastAsia="en-US"/>
        </w:rPr>
        <w:t xml:space="preserve"> lieta</w:t>
      </w:r>
      <w:r w:rsidR="006E7E05" w:rsidRPr="00D27255">
        <w:rPr>
          <w:rFonts w:eastAsiaTheme="majorEastAsia"/>
          <w:sz w:val="28"/>
          <w:szCs w:val="28"/>
          <w:lang w:eastAsia="en-US"/>
        </w:rPr>
        <w:t>s</w:t>
      </w:r>
      <w:r w:rsidRPr="00D27255">
        <w:rPr>
          <w:rFonts w:eastAsiaTheme="majorEastAsia"/>
          <w:sz w:val="28"/>
          <w:szCs w:val="28"/>
          <w:lang w:eastAsia="en-US"/>
        </w:rPr>
        <w:t xml:space="preserve"> un </w:t>
      </w:r>
      <w:r w:rsidR="00556E2C">
        <w:rPr>
          <w:rFonts w:eastAsiaTheme="majorEastAsia"/>
          <w:sz w:val="28"/>
          <w:szCs w:val="28"/>
          <w:lang w:eastAsia="en-US"/>
        </w:rPr>
        <w:t>55</w:t>
      </w:r>
      <w:r w:rsidRPr="00D27255">
        <w:rPr>
          <w:rFonts w:eastAsiaTheme="majorEastAsia"/>
          <w:sz w:val="28"/>
          <w:szCs w:val="28"/>
          <w:lang w:eastAsia="en-US"/>
        </w:rPr>
        <w:t xml:space="preserve"> krimināllietas).</w:t>
      </w:r>
      <w:r w:rsidR="00C575A3" w:rsidRPr="00D27255">
        <w:rPr>
          <w:rFonts w:eastAsiaTheme="majorEastAsia"/>
          <w:sz w:val="28"/>
          <w:szCs w:val="28"/>
          <w:lang w:eastAsia="en-US"/>
        </w:rPr>
        <w:t xml:space="preserve"> </w:t>
      </w:r>
    </w:p>
    <w:p w14:paraId="43D668FD" w14:textId="27632801" w:rsidR="007D7897" w:rsidRPr="00D27255" w:rsidRDefault="007D7897" w:rsidP="00FE381A">
      <w:pPr>
        <w:tabs>
          <w:tab w:val="left" w:pos="709"/>
        </w:tabs>
        <w:ind w:firstLine="720"/>
        <w:jc w:val="both"/>
        <w:rPr>
          <w:rFonts w:eastAsiaTheme="majorEastAsia"/>
          <w:sz w:val="28"/>
          <w:szCs w:val="28"/>
          <w:lang w:eastAsia="en-US"/>
        </w:rPr>
      </w:pPr>
      <w:r w:rsidRPr="00D27255">
        <w:rPr>
          <w:rFonts w:eastAsiaTheme="majorEastAsia"/>
          <w:sz w:val="28"/>
          <w:szCs w:val="28"/>
          <w:lang w:eastAsia="en-US"/>
        </w:rPr>
        <w:t>Tiesnešu skaitam tiesā jābūt sabalansētam ar prognozēto tiesas noslodzi un vienlaikus pietiekamam, lai nodrošinātu lietu sadali pēc nejaušības principa.</w:t>
      </w:r>
    </w:p>
    <w:p w14:paraId="1135FC9E" w14:textId="69CA67A4" w:rsidR="007D7897" w:rsidRPr="00D27255" w:rsidRDefault="007D7897" w:rsidP="007D7897">
      <w:pPr>
        <w:tabs>
          <w:tab w:val="left" w:pos="709"/>
        </w:tabs>
        <w:ind w:firstLine="720"/>
        <w:jc w:val="both"/>
        <w:rPr>
          <w:sz w:val="28"/>
          <w:szCs w:val="28"/>
          <w:lang w:eastAsia="en-US"/>
        </w:rPr>
      </w:pPr>
      <w:r w:rsidRPr="00D27255">
        <w:rPr>
          <w:sz w:val="28"/>
          <w:szCs w:val="28"/>
          <w:lang w:eastAsia="en-US"/>
        </w:rPr>
        <w:t xml:space="preserve">Latvijas un Šveices sadarbības programmas individuālā projekta </w:t>
      </w:r>
      <w:r w:rsidR="00BE24C3" w:rsidRPr="00D27255">
        <w:rPr>
          <w:sz w:val="28"/>
          <w:szCs w:val="28"/>
          <w:lang w:eastAsia="en-US"/>
        </w:rPr>
        <w:t>"</w:t>
      </w:r>
      <w:r w:rsidRPr="00D27255">
        <w:rPr>
          <w:sz w:val="28"/>
          <w:szCs w:val="28"/>
          <w:lang w:eastAsia="en-US"/>
        </w:rPr>
        <w:t>Tiesu modernizācija Latvijā</w:t>
      </w:r>
      <w:r w:rsidR="00BE24C3" w:rsidRPr="00D27255">
        <w:rPr>
          <w:sz w:val="28"/>
          <w:szCs w:val="28"/>
          <w:lang w:eastAsia="en-US"/>
        </w:rPr>
        <w:t>"</w:t>
      </w:r>
      <w:r w:rsidRPr="00D27255">
        <w:rPr>
          <w:sz w:val="28"/>
          <w:szCs w:val="28"/>
          <w:lang w:eastAsia="en-US"/>
        </w:rPr>
        <w:t xml:space="preserve"> ietvaros veiktajā tiesvedības procesu izvērtēšanas un efektivitātes uzlabošanas pētījumā secināts, ka optimāla noslodze tiesnesim būtu 48-52 krimināllietas gadā un aptuveni 175-190 civillietas gadā. Vienlaikus attiecībā uz civillietām atzīmējams, ka kopš pētījuma veikšanas 2013</w:t>
      </w:r>
      <w:r w:rsidR="008126C3" w:rsidRPr="00D27255">
        <w:rPr>
          <w:sz w:val="28"/>
          <w:szCs w:val="28"/>
        </w:rPr>
        <w:t>. </w:t>
      </w:r>
      <w:r w:rsidRPr="00D27255">
        <w:rPr>
          <w:sz w:val="28"/>
          <w:szCs w:val="28"/>
          <w:lang w:eastAsia="en-US"/>
        </w:rPr>
        <w:t>gadā ir turpināts darbs pie tiesu atslogošanas no t</w:t>
      </w:r>
      <w:r w:rsidR="00F97D31" w:rsidRPr="00D27255">
        <w:rPr>
          <w:sz w:val="28"/>
          <w:szCs w:val="28"/>
          <w:lang w:eastAsia="en-US"/>
        </w:rPr>
        <w:t>ām</w:t>
      </w:r>
      <w:r w:rsidRPr="00D27255">
        <w:rPr>
          <w:sz w:val="28"/>
          <w:szCs w:val="28"/>
          <w:lang w:eastAsia="en-US"/>
        </w:rPr>
        <w:t xml:space="preserve"> neraksturīgu funkciju veikšanas</w:t>
      </w:r>
      <w:r w:rsidR="00190272" w:rsidRPr="00D27255">
        <w:rPr>
          <w:sz w:val="28"/>
          <w:szCs w:val="28"/>
          <w:lang w:eastAsia="en-US"/>
        </w:rPr>
        <w:t>, konkrēti</w:t>
      </w:r>
      <w:r w:rsidRPr="00D27255">
        <w:rPr>
          <w:sz w:val="28"/>
          <w:szCs w:val="28"/>
          <w:lang w:eastAsia="en-US"/>
        </w:rPr>
        <w:t xml:space="preserve"> – lietu</w:t>
      </w:r>
      <w:r w:rsidR="00E228F5">
        <w:rPr>
          <w:sz w:val="28"/>
          <w:szCs w:val="28"/>
          <w:lang w:eastAsia="en-US"/>
        </w:rPr>
        <w:t>,</w:t>
      </w:r>
      <w:r w:rsidRPr="00D27255">
        <w:rPr>
          <w:sz w:val="28"/>
          <w:szCs w:val="28"/>
          <w:lang w:eastAsia="en-US"/>
        </w:rPr>
        <w:t xml:space="preserve"> kurām nav strīda raksturs, nodošanas citiem subjektiem. Minētā rezultātā statistiski uz šo brīdi vēl vairāk samazinājies tiesā saņemto civillietu skaits, tomēr tās lietas, kas šobrīd ir tiesas kompetencē ir saistītas ar strīdu pēc būtības izskatīšanu un nereti sarežģītu juridisku kāzusu risināšanu. Līdz ar </w:t>
      </w:r>
      <w:r w:rsidR="00F97D31" w:rsidRPr="00D27255">
        <w:rPr>
          <w:sz w:val="28"/>
          <w:szCs w:val="28"/>
          <w:lang w:eastAsia="en-US"/>
        </w:rPr>
        <w:t xml:space="preserve">to </w:t>
      </w:r>
      <w:r w:rsidRPr="00D27255">
        <w:rPr>
          <w:sz w:val="28"/>
          <w:szCs w:val="28"/>
          <w:lang w:eastAsia="en-US"/>
        </w:rPr>
        <w:t xml:space="preserve">attiecīgi būtu maināma optimālā noslodze attiecībā uz civillietām, jo pētījuma dati aptver arī bezstrīdus lietu izskatīšanu un tādas lietas, kurās nav strīda, piemēram, lietas par uzturlīdzekļiem minimālajā apmērā u.c. Ievērojot minēto un specializēto lietu sarežģītību, </w:t>
      </w:r>
      <w:r w:rsidR="000901B4" w:rsidRPr="00D27255">
        <w:rPr>
          <w:sz w:val="28"/>
          <w:szCs w:val="28"/>
          <w:lang w:eastAsia="en-US"/>
        </w:rPr>
        <w:t xml:space="preserve">kā arī </w:t>
      </w:r>
      <w:r w:rsidRPr="00D27255">
        <w:rPr>
          <w:sz w:val="28"/>
          <w:szCs w:val="28"/>
          <w:lang w:eastAsia="en-US"/>
        </w:rPr>
        <w:t>nepieciešamību nodrošināt operatīvu procesa norisi, minētie optimālās noslodzes rādītāji nevarētu tikt tieši attiecināti</w:t>
      </w:r>
      <w:r w:rsidR="000901B4" w:rsidRPr="00D27255">
        <w:rPr>
          <w:sz w:val="28"/>
          <w:szCs w:val="28"/>
          <w:lang w:eastAsia="en-US"/>
        </w:rPr>
        <w:t xml:space="preserve"> uz ziņojumā identificēto specializācijas tvērumu </w:t>
      </w:r>
      <w:r w:rsidRPr="00D27255">
        <w:rPr>
          <w:sz w:val="28"/>
          <w:szCs w:val="28"/>
          <w:lang w:eastAsia="en-US"/>
        </w:rPr>
        <w:t xml:space="preserve"> un pieņemams, ka optimāl</w:t>
      </w:r>
      <w:r w:rsidR="00190272" w:rsidRPr="00D27255">
        <w:rPr>
          <w:sz w:val="28"/>
          <w:szCs w:val="28"/>
          <w:lang w:eastAsia="en-US"/>
        </w:rPr>
        <w:t>u</w:t>
      </w:r>
      <w:r w:rsidRPr="00D27255">
        <w:rPr>
          <w:sz w:val="28"/>
          <w:szCs w:val="28"/>
          <w:lang w:eastAsia="en-US"/>
        </w:rPr>
        <w:t xml:space="preserve"> noslodzi veidotu mazāks lietu skaits.  </w:t>
      </w:r>
    </w:p>
    <w:p w14:paraId="1E565B35" w14:textId="0F51EED4" w:rsidR="00C5448C" w:rsidRPr="00D27255" w:rsidRDefault="00C5448C" w:rsidP="007D7897">
      <w:pPr>
        <w:tabs>
          <w:tab w:val="left" w:pos="709"/>
        </w:tabs>
        <w:ind w:firstLine="720"/>
        <w:jc w:val="both"/>
        <w:rPr>
          <w:sz w:val="28"/>
          <w:szCs w:val="28"/>
          <w:lang w:eastAsia="en-US"/>
        </w:rPr>
      </w:pPr>
      <w:bookmarkStart w:id="5" w:name="_Hlk9434198"/>
      <w:r w:rsidRPr="00D27255">
        <w:rPr>
          <w:sz w:val="28"/>
          <w:szCs w:val="28"/>
          <w:lang w:eastAsia="en-US"/>
        </w:rPr>
        <w:lastRenderedPageBreak/>
        <w:t>Analizējot vidējo pabeigto civillietu un krimināllietu skaitu uz vienu rajona (pilsētas) tiesas tiesnesi</w:t>
      </w:r>
      <w:r w:rsidR="00DC2953" w:rsidRPr="00D27255">
        <w:rPr>
          <w:sz w:val="28"/>
          <w:szCs w:val="28"/>
          <w:lang w:eastAsia="en-US"/>
        </w:rPr>
        <w:t xml:space="preserve"> 2017</w:t>
      </w:r>
      <w:r w:rsidR="008126C3" w:rsidRPr="00D27255">
        <w:rPr>
          <w:sz w:val="28"/>
          <w:szCs w:val="28"/>
        </w:rPr>
        <w:t>. </w:t>
      </w:r>
      <w:r w:rsidR="00DC2953" w:rsidRPr="00D27255">
        <w:rPr>
          <w:sz w:val="28"/>
          <w:szCs w:val="28"/>
          <w:lang w:eastAsia="en-US"/>
        </w:rPr>
        <w:t>un 2018</w:t>
      </w:r>
      <w:r w:rsidR="008126C3" w:rsidRPr="00D27255">
        <w:rPr>
          <w:sz w:val="28"/>
          <w:szCs w:val="28"/>
        </w:rPr>
        <w:t>. </w:t>
      </w:r>
      <w:r w:rsidR="00DC2953" w:rsidRPr="00D27255">
        <w:rPr>
          <w:sz w:val="28"/>
          <w:szCs w:val="28"/>
          <w:lang w:eastAsia="en-US"/>
        </w:rPr>
        <w:t>gadā</w:t>
      </w:r>
      <w:r w:rsidRPr="00D27255">
        <w:rPr>
          <w:sz w:val="28"/>
          <w:szCs w:val="28"/>
          <w:lang w:eastAsia="en-US"/>
        </w:rPr>
        <w:t xml:space="preserve"> secināms, ka viens tiesnesis vidēji izskata 35 krimināllietas gadā un 100-120 civillietas gadā.</w:t>
      </w:r>
      <w:r w:rsidR="00C575A3" w:rsidRPr="00D27255">
        <w:rPr>
          <w:sz w:val="28"/>
          <w:szCs w:val="28"/>
          <w:lang w:eastAsia="en-US"/>
        </w:rPr>
        <w:t xml:space="preserve"> </w:t>
      </w:r>
    </w:p>
    <w:bookmarkEnd w:id="5"/>
    <w:p w14:paraId="25E93D68" w14:textId="75DE3DFA" w:rsidR="00C5448C" w:rsidRPr="00D27255" w:rsidRDefault="00C5448C" w:rsidP="00C5448C">
      <w:pPr>
        <w:tabs>
          <w:tab w:val="left" w:pos="709"/>
        </w:tabs>
        <w:ind w:firstLine="720"/>
        <w:jc w:val="both"/>
        <w:rPr>
          <w:rFonts w:eastAsiaTheme="majorEastAsia"/>
          <w:b/>
          <w:sz w:val="28"/>
          <w:szCs w:val="28"/>
          <w:lang w:eastAsia="en-US"/>
        </w:rPr>
      </w:pPr>
      <w:r w:rsidRPr="00D27255">
        <w:rPr>
          <w:rFonts w:eastAsiaTheme="majorEastAsia"/>
          <w:sz w:val="28"/>
          <w:szCs w:val="28"/>
          <w:lang w:eastAsia="en-US"/>
        </w:rPr>
        <w:t xml:space="preserve">Modelējot noslodzi pēc iegūtajiem datiem, kā arī ņemot vērā specializācijas tvērumā ietverto lietu specifiku secināms, ka </w:t>
      </w:r>
      <w:r w:rsidRPr="00D27255">
        <w:rPr>
          <w:rFonts w:eastAsiaTheme="majorEastAsia"/>
          <w:b/>
          <w:sz w:val="28"/>
          <w:szCs w:val="28"/>
          <w:lang w:eastAsia="en-US"/>
        </w:rPr>
        <w:t xml:space="preserve">provizoriski pirmajā instancē būtu jābūt ne mazāk kā 5 tiesnešiem, bet ne vairāk </w:t>
      </w:r>
      <w:r w:rsidR="00B95078" w:rsidRPr="00D27255">
        <w:rPr>
          <w:rFonts w:eastAsiaTheme="majorEastAsia"/>
          <w:b/>
          <w:sz w:val="28"/>
          <w:szCs w:val="28"/>
          <w:lang w:eastAsia="en-US"/>
        </w:rPr>
        <w:t>par</w:t>
      </w:r>
      <w:r w:rsidRPr="00D27255">
        <w:rPr>
          <w:rFonts w:eastAsiaTheme="majorEastAsia"/>
          <w:b/>
          <w:sz w:val="28"/>
          <w:szCs w:val="28"/>
          <w:lang w:eastAsia="en-US"/>
        </w:rPr>
        <w:t xml:space="preserve"> 10 tiesnešiem, kuru kompetencē būtu specializēto lietu izskatīšana.</w:t>
      </w:r>
      <w:r w:rsidRPr="00D27255">
        <w:rPr>
          <w:rFonts w:eastAsiaTheme="majorEastAsia"/>
          <w:sz w:val="28"/>
          <w:szCs w:val="28"/>
          <w:lang w:eastAsia="en-US"/>
        </w:rPr>
        <w:t xml:space="preserve"> </w:t>
      </w:r>
      <w:r w:rsidRPr="00D27255">
        <w:rPr>
          <w:rFonts w:eastAsiaTheme="majorEastAsia"/>
          <w:b/>
          <w:sz w:val="28"/>
          <w:szCs w:val="28"/>
          <w:lang w:eastAsia="en-US"/>
        </w:rPr>
        <w:t xml:space="preserve">Savukārt apelācijas instancē </w:t>
      </w:r>
      <w:r w:rsidR="00962301">
        <w:rPr>
          <w:rFonts w:eastAsiaTheme="majorEastAsia"/>
          <w:b/>
          <w:sz w:val="28"/>
          <w:szCs w:val="28"/>
          <w:lang w:eastAsia="en-US"/>
        </w:rPr>
        <w:t xml:space="preserve">papildus </w:t>
      </w:r>
      <w:r w:rsidRPr="00D27255">
        <w:rPr>
          <w:rFonts w:eastAsiaTheme="majorEastAsia"/>
          <w:b/>
          <w:sz w:val="28"/>
          <w:szCs w:val="28"/>
          <w:lang w:eastAsia="en-US"/>
        </w:rPr>
        <w:t xml:space="preserve">būtu nepieciešami līdz </w:t>
      </w:r>
      <w:r w:rsidRPr="00B26D7F">
        <w:rPr>
          <w:rFonts w:eastAsiaTheme="majorEastAsia"/>
          <w:b/>
          <w:sz w:val="28"/>
          <w:szCs w:val="28"/>
          <w:lang w:eastAsia="en-US"/>
        </w:rPr>
        <w:t xml:space="preserve">4 </w:t>
      </w:r>
      <w:r w:rsidR="00B75096" w:rsidRPr="00B26D7F">
        <w:rPr>
          <w:rFonts w:eastAsiaTheme="majorEastAsia"/>
          <w:b/>
          <w:sz w:val="28"/>
          <w:szCs w:val="28"/>
          <w:lang w:eastAsia="en-US"/>
        </w:rPr>
        <w:t>tiesneš</w:t>
      </w:r>
      <w:r w:rsidR="00962301" w:rsidRPr="00B26D7F">
        <w:rPr>
          <w:rFonts w:eastAsiaTheme="majorEastAsia"/>
          <w:b/>
          <w:sz w:val="28"/>
          <w:szCs w:val="28"/>
          <w:lang w:eastAsia="en-US"/>
        </w:rPr>
        <w:t>iem</w:t>
      </w:r>
      <w:r w:rsidRPr="00B26D7F">
        <w:rPr>
          <w:rFonts w:eastAsiaTheme="majorEastAsia"/>
          <w:b/>
          <w:sz w:val="28"/>
          <w:szCs w:val="28"/>
          <w:lang w:eastAsia="en-US"/>
        </w:rPr>
        <w:t>.</w:t>
      </w:r>
    </w:p>
    <w:p w14:paraId="238B6F54" w14:textId="77777777" w:rsidR="00FE381A" w:rsidRPr="00D27255" w:rsidRDefault="00FE381A" w:rsidP="00FE381A">
      <w:pPr>
        <w:tabs>
          <w:tab w:val="left" w:pos="709"/>
        </w:tabs>
        <w:ind w:firstLine="720"/>
        <w:jc w:val="both"/>
        <w:rPr>
          <w:rFonts w:eastAsiaTheme="majorEastAsia"/>
          <w:sz w:val="28"/>
          <w:szCs w:val="28"/>
          <w:lang w:eastAsia="en-US"/>
        </w:rPr>
      </w:pPr>
    </w:p>
    <w:p w14:paraId="460DB300" w14:textId="4860D029" w:rsidR="00C21C19" w:rsidRPr="00D27255" w:rsidRDefault="00C21C19" w:rsidP="004C0F55">
      <w:pPr>
        <w:ind w:firstLine="720"/>
        <w:jc w:val="both"/>
        <w:rPr>
          <w:b/>
          <w:sz w:val="28"/>
          <w:szCs w:val="28"/>
        </w:rPr>
      </w:pPr>
      <w:r w:rsidRPr="00D27255">
        <w:rPr>
          <w:b/>
          <w:sz w:val="28"/>
          <w:szCs w:val="28"/>
        </w:rPr>
        <w:t>3.</w:t>
      </w:r>
      <w:r w:rsidR="00303CC1">
        <w:rPr>
          <w:b/>
          <w:sz w:val="28"/>
          <w:szCs w:val="28"/>
        </w:rPr>
        <w:t>4</w:t>
      </w:r>
      <w:r w:rsidRPr="00D27255">
        <w:rPr>
          <w:b/>
          <w:sz w:val="28"/>
          <w:szCs w:val="28"/>
        </w:rPr>
        <w:t>. Specializētās tiesas atrašanās vieta un izveides process</w:t>
      </w:r>
    </w:p>
    <w:p w14:paraId="551CF965" w14:textId="70D35BDD" w:rsidR="00A77CEF" w:rsidRPr="00D27255" w:rsidRDefault="00A77CEF" w:rsidP="00A77CEF">
      <w:pPr>
        <w:ind w:firstLine="720"/>
        <w:jc w:val="both"/>
        <w:rPr>
          <w:sz w:val="28"/>
          <w:szCs w:val="28"/>
        </w:rPr>
      </w:pPr>
      <w:r w:rsidRPr="00D27255">
        <w:rPr>
          <w:sz w:val="28"/>
          <w:szCs w:val="28"/>
        </w:rPr>
        <w:t xml:space="preserve">Rīgā ir koncentrēta lielākā daļa no visas Latvijas ekonomiskās aktivitātes. Attiecīgi Rīgas tiesu apgabalā tiek saņemta vairāk </w:t>
      </w:r>
      <w:r w:rsidR="006B0587" w:rsidRPr="00D27255">
        <w:rPr>
          <w:sz w:val="28"/>
          <w:szCs w:val="28"/>
        </w:rPr>
        <w:t>ne</w:t>
      </w:r>
      <w:r w:rsidRPr="00D27255">
        <w:rPr>
          <w:sz w:val="28"/>
          <w:szCs w:val="28"/>
        </w:rPr>
        <w:t xml:space="preserve">kā puse no visām civillietām un nedaudz mazāk </w:t>
      </w:r>
      <w:r w:rsidR="00D618D8">
        <w:rPr>
          <w:sz w:val="28"/>
          <w:szCs w:val="28"/>
        </w:rPr>
        <w:t>ne</w:t>
      </w:r>
      <w:r w:rsidRPr="00D27255">
        <w:rPr>
          <w:sz w:val="28"/>
          <w:szCs w:val="28"/>
        </w:rPr>
        <w:t>kā puse no visām krimināllietām, kas piekritīgas Latvijas tiesām. Kopumā 51</w:t>
      </w:r>
      <w:r w:rsidR="00575ABE" w:rsidRPr="00D27255">
        <w:rPr>
          <w:sz w:val="28"/>
          <w:szCs w:val="28"/>
        </w:rPr>
        <w:t> </w:t>
      </w:r>
      <w:r w:rsidRPr="00D27255">
        <w:rPr>
          <w:sz w:val="28"/>
          <w:szCs w:val="28"/>
        </w:rPr>
        <w:t>% no visās Latvijas rajona (pilsētu) tiesās saņemtajām civillietām un krimināllietām ir piekritīgas rajona (pilsētu) tiesām Rīgas tiesu apgabalā.</w:t>
      </w:r>
    </w:p>
    <w:p w14:paraId="5398726E" w14:textId="1A1E26D4" w:rsidR="00A77CEF" w:rsidRPr="00D27255" w:rsidRDefault="00A77CEF" w:rsidP="00A77CEF">
      <w:pPr>
        <w:ind w:firstLine="284"/>
        <w:jc w:val="both"/>
        <w:rPr>
          <w:bCs/>
        </w:rPr>
      </w:pPr>
      <w:r w:rsidRPr="00D27255">
        <w:rPr>
          <w:bCs/>
          <w:noProof/>
          <w:lang w:val="en-US" w:eastAsia="en-US"/>
        </w:rPr>
        <w:drawing>
          <wp:inline distT="0" distB="0" distL="0" distR="0" wp14:anchorId="3A00CF28" wp14:editId="32DACDAE">
            <wp:extent cx="5476875" cy="316414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638" cy="3232752"/>
                    </a:xfrm>
                    <a:prstGeom prst="rect">
                      <a:avLst/>
                    </a:prstGeom>
                    <a:noFill/>
                  </pic:spPr>
                </pic:pic>
              </a:graphicData>
            </a:graphic>
          </wp:inline>
        </w:drawing>
      </w:r>
    </w:p>
    <w:p w14:paraId="1A6ABE87" w14:textId="0D9EF2C8" w:rsidR="00A77CEF" w:rsidRPr="00D27255" w:rsidRDefault="00A77CEF" w:rsidP="00B04E5D">
      <w:pPr>
        <w:ind w:firstLine="720"/>
        <w:jc w:val="both"/>
        <w:rPr>
          <w:bCs/>
        </w:rPr>
      </w:pPr>
      <w:r w:rsidRPr="00D27255">
        <w:rPr>
          <w:bCs/>
        </w:rPr>
        <w:t>3.</w:t>
      </w:r>
      <w:r w:rsidR="008126C3" w:rsidRPr="00D27255">
        <w:t> </w:t>
      </w:r>
      <w:r w:rsidRPr="00D27255">
        <w:rPr>
          <w:bCs/>
        </w:rPr>
        <w:t>diagramma. Saņemto civillietu un krimināllietu dinamika Rīgas tiesu apgabalā un pārējos tiesu apgabalos kopā (2016</w:t>
      </w:r>
      <w:r w:rsidR="008126C3" w:rsidRPr="00D27255">
        <w:t> </w:t>
      </w:r>
      <w:r w:rsidRPr="00D27255">
        <w:rPr>
          <w:bCs/>
        </w:rPr>
        <w:t>-2018)</w:t>
      </w:r>
    </w:p>
    <w:p w14:paraId="0C1C0F59" w14:textId="77777777" w:rsidR="00A77CEF" w:rsidRPr="00D27255" w:rsidRDefault="00A77CEF" w:rsidP="00A77CEF">
      <w:pPr>
        <w:ind w:firstLine="720"/>
        <w:jc w:val="both"/>
      </w:pPr>
    </w:p>
    <w:p w14:paraId="4380087B" w14:textId="7D7130DC" w:rsidR="00AE4165" w:rsidRPr="00D27255" w:rsidRDefault="00AE4165" w:rsidP="00AE4165">
      <w:pPr>
        <w:ind w:firstLine="720"/>
        <w:jc w:val="both"/>
        <w:rPr>
          <w:sz w:val="28"/>
          <w:szCs w:val="28"/>
        </w:rPr>
      </w:pPr>
      <w:r w:rsidRPr="00D27255">
        <w:rPr>
          <w:sz w:val="28"/>
          <w:szCs w:val="28"/>
        </w:rPr>
        <w:t xml:space="preserve">Bez manuālas apstrādes nav iespējams noteikt precīzu specializējamo lietu attiecību starp Rīgas tiesu apgabala tiesām un reģionu tiesām piekritīgajām lietām. Vienlaikus netiek konstatēti apstākļi, kuru dēļ būtu izdarāms pieņēmums, ka attiecībā uz specializējamo lietu kategorijām pastāvētu no vispārīgām tendencēm atšķirīgs lietu īpatsvara sadalījums. Ievērojot minēto, prognozējams, ka vairāk nekā puse no </w:t>
      </w:r>
      <w:r w:rsidR="00DB0D85" w:rsidRPr="00D27255">
        <w:rPr>
          <w:sz w:val="28"/>
          <w:szCs w:val="28"/>
        </w:rPr>
        <w:t xml:space="preserve">lietām, kuru izskatīšana būtu </w:t>
      </w:r>
      <w:r w:rsidRPr="00D27255">
        <w:rPr>
          <w:sz w:val="28"/>
          <w:szCs w:val="28"/>
        </w:rPr>
        <w:t>specializējam</w:t>
      </w:r>
      <w:r w:rsidR="00DB0D85" w:rsidRPr="00D27255">
        <w:rPr>
          <w:sz w:val="28"/>
          <w:szCs w:val="28"/>
        </w:rPr>
        <w:t xml:space="preserve">a, </w:t>
      </w:r>
      <w:r w:rsidRPr="00D27255">
        <w:rPr>
          <w:sz w:val="28"/>
          <w:szCs w:val="28"/>
        </w:rPr>
        <w:t>būs lietas, kuru piekritība šobrīd noteikta Rīgas tiesu apgabala tiesām.</w:t>
      </w:r>
    </w:p>
    <w:p w14:paraId="2B8575B1" w14:textId="5A08D600" w:rsidR="00A77CEF" w:rsidRPr="00D27255" w:rsidRDefault="00A77CEF" w:rsidP="00A77CEF">
      <w:pPr>
        <w:ind w:firstLine="720"/>
        <w:jc w:val="both"/>
        <w:rPr>
          <w:sz w:val="28"/>
          <w:szCs w:val="28"/>
        </w:rPr>
      </w:pPr>
      <w:r w:rsidRPr="00D27255">
        <w:rPr>
          <w:sz w:val="28"/>
          <w:szCs w:val="28"/>
        </w:rPr>
        <w:t xml:space="preserve">Turklāt, arī vērtējot </w:t>
      </w:r>
      <w:r w:rsidR="000C1D01" w:rsidRPr="00D27255">
        <w:rPr>
          <w:sz w:val="28"/>
          <w:szCs w:val="28"/>
        </w:rPr>
        <w:t xml:space="preserve">tiesas izvietojumu no pieejamības viedokļa, secināms, ka, veidojot tikai vienu specializētu pirmās instances tiesu, tā būtu veidojama Rīgā, ņemot vērā attīstīto satiksmes infrastruktūru starp reģioniem un </w:t>
      </w:r>
      <w:r w:rsidR="000C1D01" w:rsidRPr="00D27255">
        <w:rPr>
          <w:sz w:val="28"/>
          <w:szCs w:val="28"/>
        </w:rPr>
        <w:lastRenderedPageBreak/>
        <w:t>galvaspilsētu, kā arī praktiskās iespējas nodrošināt tiesas darbam nepieciešamās telpas.</w:t>
      </w:r>
    </w:p>
    <w:p w14:paraId="07328DDA" w14:textId="1950C234" w:rsidR="004C0F55" w:rsidRPr="00D27255" w:rsidRDefault="00A77CEF" w:rsidP="004C0F55">
      <w:pPr>
        <w:ind w:firstLine="720"/>
        <w:jc w:val="both"/>
        <w:rPr>
          <w:sz w:val="28"/>
          <w:szCs w:val="28"/>
        </w:rPr>
      </w:pPr>
      <w:r w:rsidRPr="00D27255">
        <w:rPr>
          <w:sz w:val="28"/>
          <w:szCs w:val="28"/>
        </w:rPr>
        <w:t>Ievērojot minēto</w:t>
      </w:r>
      <w:r w:rsidR="000C1D01" w:rsidRPr="00D27255">
        <w:rPr>
          <w:sz w:val="28"/>
          <w:szCs w:val="28"/>
        </w:rPr>
        <w:t>,</w:t>
      </w:r>
      <w:r w:rsidRPr="00D27255">
        <w:rPr>
          <w:sz w:val="28"/>
          <w:szCs w:val="28"/>
        </w:rPr>
        <w:t xml:space="preserve"> </w:t>
      </w:r>
      <w:r w:rsidR="004C0F55" w:rsidRPr="00D27255">
        <w:rPr>
          <w:sz w:val="28"/>
          <w:szCs w:val="28"/>
        </w:rPr>
        <w:t xml:space="preserve">specializētā </w:t>
      </w:r>
      <w:r w:rsidR="000C1D01" w:rsidRPr="00D27255">
        <w:rPr>
          <w:b/>
          <w:sz w:val="28"/>
          <w:szCs w:val="28"/>
        </w:rPr>
        <w:t xml:space="preserve">pirmās instances </w:t>
      </w:r>
      <w:r w:rsidR="004C0F55" w:rsidRPr="00D27255">
        <w:rPr>
          <w:b/>
          <w:sz w:val="28"/>
          <w:szCs w:val="28"/>
        </w:rPr>
        <w:t>tiesa būtu veidojama tieši galvaspilsētā</w:t>
      </w:r>
      <w:r w:rsidRPr="00D27255">
        <w:rPr>
          <w:b/>
          <w:sz w:val="28"/>
          <w:szCs w:val="28"/>
        </w:rPr>
        <w:t>.</w:t>
      </w:r>
      <w:r w:rsidR="000C1D01" w:rsidRPr="00D27255">
        <w:rPr>
          <w:b/>
          <w:sz w:val="28"/>
          <w:szCs w:val="28"/>
        </w:rPr>
        <w:t xml:space="preserve"> Savukārt apelācijas instances funkcijas veiktu specializēta kolēģija Rīgas apgabaltiesas sastāvā</w:t>
      </w:r>
      <w:r w:rsidR="000C1D01" w:rsidRPr="00D27255">
        <w:rPr>
          <w:sz w:val="28"/>
          <w:szCs w:val="28"/>
        </w:rPr>
        <w:t xml:space="preserve">. </w:t>
      </w:r>
    </w:p>
    <w:p w14:paraId="63091741" w14:textId="17C774E4" w:rsidR="00557668" w:rsidRPr="00D27255" w:rsidRDefault="00F3095B" w:rsidP="00557201">
      <w:pPr>
        <w:pStyle w:val="Heading2"/>
        <w:ind w:firstLine="720"/>
        <w:jc w:val="both"/>
        <w:rPr>
          <w:sz w:val="28"/>
          <w:szCs w:val="28"/>
        </w:rPr>
      </w:pPr>
      <w:bookmarkStart w:id="6" w:name="_Toc10638791"/>
      <w:r w:rsidRPr="00D27255">
        <w:rPr>
          <w:rFonts w:ascii="Times New Roman" w:eastAsia="Times New Roman" w:hAnsi="Times New Roman" w:cs="Times New Roman"/>
          <w:color w:val="auto"/>
          <w:sz w:val="28"/>
          <w:szCs w:val="28"/>
        </w:rPr>
        <w:t>Detalizētu pasākumu un laika grafika atspoguļojums saistībā ar specializētās tiesas izveidi ietverts konceptuālā ziņojuma 1. pielikumā</w:t>
      </w:r>
      <w:r w:rsidR="00801EFF" w:rsidRPr="00D27255">
        <w:rPr>
          <w:rFonts w:ascii="Times New Roman" w:eastAsia="Times New Roman" w:hAnsi="Times New Roman" w:cs="Times New Roman"/>
          <w:color w:val="auto"/>
          <w:sz w:val="28"/>
          <w:szCs w:val="28"/>
        </w:rPr>
        <w:t xml:space="preserve"> "Rīcības plāns </w:t>
      </w:r>
      <w:r w:rsidR="001E47E1">
        <w:rPr>
          <w:rFonts w:ascii="Times New Roman" w:eastAsia="Times New Roman" w:hAnsi="Times New Roman" w:cs="Times New Roman"/>
          <w:color w:val="auto"/>
          <w:sz w:val="28"/>
          <w:szCs w:val="28"/>
        </w:rPr>
        <w:t>ekonomisko lietu</w:t>
      </w:r>
      <w:r w:rsidR="00801EFF" w:rsidRPr="00D27255">
        <w:rPr>
          <w:rFonts w:ascii="Times New Roman" w:eastAsia="Times New Roman" w:hAnsi="Times New Roman" w:cs="Times New Roman"/>
          <w:color w:val="auto"/>
          <w:sz w:val="28"/>
          <w:szCs w:val="28"/>
        </w:rPr>
        <w:t xml:space="preserve"> tiesas izveidei"</w:t>
      </w:r>
      <w:r w:rsidRPr="00D27255">
        <w:rPr>
          <w:rFonts w:ascii="Times New Roman" w:eastAsia="Times New Roman" w:hAnsi="Times New Roman" w:cs="Times New Roman"/>
          <w:color w:val="auto"/>
          <w:sz w:val="28"/>
          <w:szCs w:val="28"/>
        </w:rPr>
        <w:t xml:space="preserve">. </w:t>
      </w:r>
      <w:r w:rsidR="007E239A" w:rsidRPr="00D27255">
        <w:rPr>
          <w:rFonts w:ascii="Times New Roman" w:eastAsia="Times New Roman" w:hAnsi="Times New Roman" w:cs="Times New Roman"/>
          <w:color w:val="auto"/>
          <w:sz w:val="28"/>
          <w:szCs w:val="28"/>
        </w:rPr>
        <w:t>Būtiskākie pasākumi, la</w:t>
      </w:r>
      <w:r w:rsidR="000C1D01" w:rsidRPr="00D27255">
        <w:rPr>
          <w:rFonts w:ascii="Times New Roman" w:eastAsia="Times New Roman" w:hAnsi="Times New Roman" w:cs="Times New Roman"/>
          <w:color w:val="auto"/>
          <w:sz w:val="28"/>
          <w:szCs w:val="28"/>
        </w:rPr>
        <w:t>i nodrošinātu jaunas tiesas izveid</w:t>
      </w:r>
      <w:r w:rsidRPr="00D27255">
        <w:rPr>
          <w:rFonts w:ascii="Times New Roman" w:eastAsia="Times New Roman" w:hAnsi="Times New Roman" w:cs="Times New Roman"/>
          <w:color w:val="auto"/>
          <w:sz w:val="28"/>
          <w:szCs w:val="28"/>
        </w:rPr>
        <w:t>i</w:t>
      </w:r>
      <w:r w:rsidR="00557668" w:rsidRPr="00D27255">
        <w:rPr>
          <w:rFonts w:ascii="Times New Roman" w:eastAsia="Times New Roman" w:hAnsi="Times New Roman" w:cs="Times New Roman"/>
          <w:color w:val="auto"/>
          <w:sz w:val="28"/>
          <w:szCs w:val="28"/>
        </w:rPr>
        <w:t>:</w:t>
      </w:r>
      <w:bookmarkEnd w:id="6"/>
    </w:p>
    <w:p w14:paraId="28A6C2CD" w14:textId="208BF815" w:rsidR="00AC31C3" w:rsidRPr="00D27255" w:rsidRDefault="00AC31C3" w:rsidP="00801EFF">
      <w:pPr>
        <w:ind w:firstLine="720"/>
        <w:jc w:val="both"/>
        <w:rPr>
          <w:sz w:val="28"/>
          <w:szCs w:val="28"/>
        </w:rPr>
      </w:pPr>
    </w:p>
    <w:tbl>
      <w:tblPr>
        <w:tblStyle w:val="TableGrid"/>
        <w:tblW w:w="0" w:type="auto"/>
        <w:tblLook w:val="04A0" w:firstRow="1" w:lastRow="0" w:firstColumn="1" w:lastColumn="0" w:noHBand="0" w:noVBand="1"/>
      </w:tblPr>
      <w:tblGrid>
        <w:gridCol w:w="2089"/>
        <w:gridCol w:w="6972"/>
      </w:tblGrid>
      <w:tr w:rsidR="000D0256" w:rsidRPr="00D27255" w14:paraId="19D14570" w14:textId="77777777" w:rsidTr="00AC31C3">
        <w:tc>
          <w:tcPr>
            <w:tcW w:w="2122" w:type="dxa"/>
          </w:tcPr>
          <w:p w14:paraId="656246EA" w14:textId="6CD6A7B0" w:rsidR="00557668" w:rsidRPr="00B26D7F" w:rsidRDefault="0016582C" w:rsidP="00FE6828">
            <w:pPr>
              <w:jc w:val="both"/>
              <w:rPr>
                <w:sz w:val="20"/>
                <w:szCs w:val="20"/>
                <w:lang w:eastAsia="en-US"/>
              </w:rPr>
            </w:pPr>
            <w:r w:rsidRPr="00B26D7F">
              <w:rPr>
                <w:sz w:val="28"/>
                <w:lang w:eastAsia="en-US"/>
              </w:rPr>
              <w:t xml:space="preserve">Līdz 2020.gada </w:t>
            </w:r>
            <w:r w:rsidRPr="00B26D7F">
              <w:rPr>
                <w:sz w:val="20"/>
                <w:szCs w:val="20"/>
                <w:lang w:eastAsia="en-US"/>
              </w:rPr>
              <w:t>janvārim (grozījumi likumā "Par tiesu varu" un tiesnešu atlases kārtībā)</w:t>
            </w:r>
          </w:p>
          <w:p w14:paraId="60918842" w14:textId="2A75CF30" w:rsidR="0016582C" w:rsidRPr="00B26D7F" w:rsidRDefault="0016582C" w:rsidP="00FE6828">
            <w:pPr>
              <w:jc w:val="both"/>
              <w:rPr>
                <w:sz w:val="20"/>
                <w:szCs w:val="20"/>
                <w:lang w:eastAsia="en-US"/>
              </w:rPr>
            </w:pPr>
            <w:r w:rsidRPr="00B26D7F">
              <w:rPr>
                <w:sz w:val="28"/>
                <w:lang w:eastAsia="en-US"/>
              </w:rPr>
              <w:t xml:space="preserve">Līdz 2020.gada </w:t>
            </w:r>
            <w:r w:rsidRPr="00B26D7F">
              <w:rPr>
                <w:sz w:val="20"/>
                <w:szCs w:val="20"/>
                <w:lang w:eastAsia="en-US"/>
              </w:rPr>
              <w:t>jūnijam pārējo normatīvo aktu grozījumi</w:t>
            </w:r>
          </w:p>
          <w:p w14:paraId="66426FF9" w14:textId="4E99F34C" w:rsidR="007E239A" w:rsidRPr="00303CC1" w:rsidRDefault="007E239A" w:rsidP="00FE6828">
            <w:pPr>
              <w:jc w:val="both"/>
              <w:rPr>
                <w:lang w:eastAsia="en-US"/>
              </w:rPr>
            </w:pPr>
          </w:p>
        </w:tc>
        <w:tc>
          <w:tcPr>
            <w:tcW w:w="7222" w:type="dxa"/>
          </w:tcPr>
          <w:p w14:paraId="0ADC7B04" w14:textId="02E16B65" w:rsidR="00557668" w:rsidRPr="00303CC1" w:rsidRDefault="00557668" w:rsidP="00557668">
            <w:pPr>
              <w:jc w:val="both"/>
              <w:rPr>
                <w:sz w:val="28"/>
                <w:szCs w:val="28"/>
              </w:rPr>
            </w:pPr>
            <w:r w:rsidRPr="00303CC1">
              <w:rPr>
                <w:sz w:val="28"/>
                <w:szCs w:val="28"/>
              </w:rPr>
              <w:t>Normatīvo aktu bāzes izstrāde</w:t>
            </w:r>
            <w:r w:rsidR="007E239A" w:rsidRPr="00303CC1">
              <w:rPr>
                <w:sz w:val="28"/>
                <w:szCs w:val="28"/>
              </w:rPr>
              <w:t xml:space="preserve"> un pieņemšana</w:t>
            </w:r>
          </w:p>
          <w:p w14:paraId="1DCE9906" w14:textId="479FD1F6" w:rsidR="00AC31C3" w:rsidRPr="00D27255" w:rsidRDefault="00557668" w:rsidP="00B7475C">
            <w:pPr>
              <w:jc w:val="both"/>
              <w:rPr>
                <w:b/>
                <w:i/>
                <w:u w:val="single"/>
              </w:rPr>
            </w:pPr>
            <w:r w:rsidRPr="00303CC1">
              <w:rPr>
                <w:i/>
              </w:rPr>
              <w:t>nepieciešams veikt grozījumus normatīvo aktu bāzē – likumā "Par tiesu varu", Civilprocesa likumā un Kriminālprocesa likumā, tajā skaitā risinot jautājumu par lietas piekritību, gadījumos, kad apsūdzība uzrādīta pēc vairākiem Krimināllikuma pantiem, no kuriem ne visi ir noteikti speciālās tiesas kompetencē. Veicami grozījumi Tieslietu padomes</w:t>
            </w:r>
            <w:r w:rsidR="007E239A" w:rsidRPr="00303CC1">
              <w:rPr>
                <w:i/>
              </w:rPr>
              <w:t xml:space="preserve"> apstiprinātajās</w:t>
            </w:r>
            <w:r w:rsidRPr="00303CC1">
              <w:rPr>
                <w:i/>
              </w:rPr>
              <w:t xml:space="preserve"> </w:t>
            </w:r>
            <w:proofErr w:type="spellStart"/>
            <w:r w:rsidR="007E239A" w:rsidRPr="00303CC1">
              <w:rPr>
                <w:i/>
              </w:rPr>
              <w:t>kārtībās</w:t>
            </w:r>
            <w:proofErr w:type="spellEnd"/>
            <w:r w:rsidR="00654393" w:rsidRPr="00303CC1">
              <w:rPr>
                <w:i/>
              </w:rPr>
              <w:t xml:space="preserve"> (piemēram, par tiesu teritorijām, par lietu sadales kārtību un </w:t>
            </w:r>
            <w:proofErr w:type="spellStart"/>
            <w:r w:rsidR="00654393" w:rsidRPr="00303CC1">
              <w:rPr>
                <w:i/>
              </w:rPr>
              <w:t>specializācijām</w:t>
            </w:r>
            <w:proofErr w:type="spellEnd"/>
            <w:r w:rsidR="00654393" w:rsidRPr="00303CC1">
              <w:rPr>
                <w:i/>
              </w:rPr>
              <w:t>, u.c.)</w:t>
            </w:r>
            <w:r w:rsidRPr="00303CC1">
              <w:rPr>
                <w:i/>
              </w:rPr>
              <w:t xml:space="preserve"> un nostiprināms tiesnešu skaits tiesā. Izvērtējama grozījumu nepieciešamība citos speciālajos normatīvajos aktos</w:t>
            </w:r>
            <w:r w:rsidRPr="00303CC1">
              <w:t>.</w:t>
            </w:r>
            <w:r w:rsidR="00B7475C" w:rsidRPr="00303CC1">
              <w:t xml:space="preserve"> </w:t>
            </w:r>
            <w:r w:rsidR="00B7475C" w:rsidRPr="002F645C">
              <w:rPr>
                <w:i/>
              </w:rPr>
              <w:t>Jāatzīmē, ka attiecībā uz specializētās tiesas kompetencē esošajām lietām netiks mainīti šobrīd ieviestie risinājumi noslodzes mazināšan</w:t>
            </w:r>
            <w:r w:rsidR="00650FD0" w:rsidRPr="002F645C">
              <w:rPr>
                <w:i/>
              </w:rPr>
              <w:t>ai</w:t>
            </w:r>
            <w:r w:rsidR="00B7475C" w:rsidRPr="002F645C">
              <w:rPr>
                <w:i/>
              </w:rPr>
              <w:t>, piemēram, alternatīvās strīdu izšķiršanas iespējas. Šīs iespējas, ciktāl to pieļauj procesuālie likumi, arī turpmāk būs attiecināmas uz lietām, kuras būs specializētas tiesas kompetencē</w:t>
            </w:r>
            <w:r w:rsidR="00650FD0" w:rsidRPr="002F645C">
              <w:rPr>
                <w:i/>
              </w:rPr>
              <w:t xml:space="preserve">. Papildus atzīmējams, ka </w:t>
            </w:r>
            <w:r w:rsidR="00651075" w:rsidRPr="002F645C">
              <w:rPr>
                <w:i/>
              </w:rPr>
              <w:t>Deklarācijā</w:t>
            </w:r>
            <w:r w:rsidR="00650FD0" w:rsidRPr="002F645C">
              <w:rPr>
                <w:i/>
              </w:rPr>
              <w:t xml:space="preserve"> dots uzdevums </w:t>
            </w:r>
            <w:r w:rsidR="00651075" w:rsidRPr="002F645C">
              <w:rPr>
                <w:i/>
              </w:rPr>
              <w:t xml:space="preserve">- </w:t>
            </w:r>
            <w:r w:rsidR="00650FD0" w:rsidRPr="002F645C">
              <w:rPr>
                <w:i/>
              </w:rPr>
              <w:t>nodrošinā</w:t>
            </w:r>
            <w:r w:rsidR="00347D76" w:rsidRPr="002F645C">
              <w:rPr>
                <w:i/>
              </w:rPr>
              <w:t>t</w:t>
            </w:r>
            <w:r w:rsidR="00650FD0" w:rsidRPr="002F645C">
              <w:rPr>
                <w:i/>
              </w:rPr>
              <w:t xml:space="preserve"> ārpustiesas strīdu izskatīšanas veidu (šķīrējtiesas un mediācijas) plašāku izmantošanu</w:t>
            </w:r>
            <w:r w:rsidR="00347D76" w:rsidRPr="002F645C">
              <w:rPr>
                <w:i/>
              </w:rPr>
              <w:t>.</w:t>
            </w:r>
            <w:r w:rsidR="00347D76" w:rsidRPr="00D27255">
              <w:rPr>
                <w:b/>
                <w:i/>
                <w:u w:val="single"/>
              </w:rPr>
              <w:t xml:space="preserve"> </w:t>
            </w:r>
          </w:p>
        </w:tc>
      </w:tr>
      <w:tr w:rsidR="000D0256" w:rsidRPr="00D27255" w14:paraId="02CDA287" w14:textId="77777777" w:rsidTr="00AC31C3">
        <w:tc>
          <w:tcPr>
            <w:tcW w:w="2122" w:type="dxa"/>
          </w:tcPr>
          <w:p w14:paraId="0C618D64" w14:textId="4BA07601" w:rsidR="00557668" w:rsidRPr="00D27255" w:rsidRDefault="00AC31C3" w:rsidP="00FE6828">
            <w:pPr>
              <w:jc w:val="both"/>
              <w:rPr>
                <w:sz w:val="28"/>
                <w:lang w:eastAsia="en-US"/>
              </w:rPr>
            </w:pPr>
            <w:r w:rsidRPr="00D27255">
              <w:rPr>
                <w:sz w:val="28"/>
                <w:lang w:eastAsia="en-US"/>
              </w:rPr>
              <w:t>2020</w:t>
            </w:r>
            <w:r w:rsidR="008126C3" w:rsidRPr="00D27255">
              <w:rPr>
                <w:sz w:val="28"/>
                <w:szCs w:val="28"/>
              </w:rPr>
              <w:t>. </w:t>
            </w:r>
            <w:r w:rsidRPr="00D27255">
              <w:rPr>
                <w:sz w:val="28"/>
                <w:lang w:eastAsia="en-US"/>
              </w:rPr>
              <w:t>gad</w:t>
            </w:r>
            <w:r w:rsidR="007E239A" w:rsidRPr="00D27255">
              <w:rPr>
                <w:sz w:val="28"/>
                <w:lang w:eastAsia="en-US"/>
              </w:rPr>
              <w:t>s</w:t>
            </w:r>
            <w:r w:rsidRPr="00D27255">
              <w:rPr>
                <w:sz w:val="28"/>
                <w:lang w:eastAsia="en-US"/>
              </w:rPr>
              <w:t xml:space="preserve"> </w:t>
            </w:r>
            <w:r w:rsidRPr="00D27255">
              <w:rPr>
                <w:lang w:eastAsia="en-US"/>
              </w:rPr>
              <w:t>janvāris - maijs</w:t>
            </w:r>
          </w:p>
        </w:tc>
        <w:tc>
          <w:tcPr>
            <w:tcW w:w="7222" w:type="dxa"/>
          </w:tcPr>
          <w:p w14:paraId="2327B09D" w14:textId="2737278C" w:rsidR="00AC31C3" w:rsidRPr="00D27255" w:rsidRDefault="00AC31C3" w:rsidP="00557668">
            <w:pPr>
              <w:tabs>
                <w:tab w:val="left" w:pos="709"/>
              </w:tabs>
              <w:jc w:val="both"/>
              <w:rPr>
                <w:rFonts w:eastAsiaTheme="majorEastAsia"/>
                <w:sz w:val="28"/>
                <w:szCs w:val="28"/>
                <w:lang w:eastAsia="en-US"/>
              </w:rPr>
            </w:pPr>
            <w:r w:rsidRPr="00D27255">
              <w:rPr>
                <w:rFonts w:eastAsiaTheme="majorEastAsia"/>
                <w:sz w:val="28"/>
                <w:szCs w:val="28"/>
                <w:lang w:eastAsia="en-US"/>
              </w:rPr>
              <w:t>Tiesnešu un darbinieku atlase</w:t>
            </w:r>
          </w:p>
          <w:p w14:paraId="1579F58B" w14:textId="72B23004" w:rsidR="00557668" w:rsidRPr="00D27255" w:rsidRDefault="00557668" w:rsidP="000D0256">
            <w:pPr>
              <w:tabs>
                <w:tab w:val="left" w:pos="709"/>
              </w:tabs>
              <w:jc w:val="both"/>
              <w:rPr>
                <w:sz w:val="28"/>
                <w:lang w:eastAsia="en-US"/>
              </w:rPr>
            </w:pPr>
            <w:r w:rsidRPr="00D27255">
              <w:rPr>
                <w:rFonts w:eastAsiaTheme="majorEastAsia"/>
                <w:i/>
                <w:lang w:eastAsia="en-US"/>
              </w:rPr>
              <w:t xml:space="preserve">nepieciešams īstenot pasākumus tiesas sastāva nokomplektēšanai – tiesnešu un tiesas darbinieku atlasei. </w:t>
            </w:r>
            <w:r w:rsidR="000D0256" w:rsidRPr="002F645C">
              <w:rPr>
                <w:rFonts w:eastAsiaTheme="majorEastAsia"/>
                <w:i/>
                <w:lang w:eastAsia="en-US"/>
              </w:rPr>
              <w:t>Tiesnešu atlases process pats pēc savas būtības neizslēdz t.s. iekšējā konkursa rīkošanu. Tajā pašā laikā ņemot vērā plānoto specializāciju, specializētās tiesas tiesnešu atlases procesā būtu nosakāmi papildu kritēriji.</w:t>
            </w:r>
            <w:r w:rsidR="000D0256" w:rsidRPr="00D27255">
              <w:rPr>
                <w:rFonts w:eastAsiaTheme="majorEastAsia"/>
                <w:i/>
                <w:lang w:eastAsia="en-US"/>
              </w:rPr>
              <w:t xml:space="preserve"> </w:t>
            </w:r>
            <w:r w:rsidRPr="00D27255">
              <w:rPr>
                <w:i/>
                <w:lang w:eastAsia="en-US"/>
              </w:rPr>
              <w:t>Papildus norādāms, ka atbilstoši Tieslietu padomes lēmumam līdz 2019</w:t>
            </w:r>
            <w:r w:rsidR="008126C3" w:rsidRPr="00D27255">
              <w:t>. </w:t>
            </w:r>
            <w:r w:rsidRPr="00D27255">
              <w:rPr>
                <w:i/>
                <w:lang w:eastAsia="en-US"/>
              </w:rPr>
              <w:t>gada beigām ir pārstrādājama spēkā esošā Tiesneša amata kandidāta atlases, stažēšanās un kvalifikācijas eksāmena kārtošanas kārtība.</w:t>
            </w:r>
            <w:r w:rsidRPr="00D27255">
              <w:rPr>
                <w:rStyle w:val="FootnoteReference"/>
                <w:i/>
                <w:lang w:eastAsia="en-US"/>
              </w:rPr>
              <w:footnoteReference w:id="30"/>
            </w:r>
            <w:r w:rsidRPr="00D27255">
              <w:rPr>
                <w:i/>
                <w:lang w:eastAsia="en-US"/>
              </w:rPr>
              <w:t xml:space="preserve"> Minētās kārtības pārstrādes procesa ietvaros vērtējams, vai būtu nepieciešama atsevišķa tiesnešu amata kandidātu un arī tiesu darbinieku atlases kārtība, atbilstoši specializācijas prasībām</w:t>
            </w:r>
            <w:r w:rsidR="00650FD0" w:rsidRPr="002F645C">
              <w:rPr>
                <w:i/>
                <w:lang w:eastAsia="en-US"/>
              </w:rPr>
              <w:t xml:space="preserve">. </w:t>
            </w:r>
            <w:r w:rsidR="00650FD0" w:rsidRPr="002F645C">
              <w:rPr>
                <w:i/>
              </w:rPr>
              <w:t>Interešu konflikta risku un tā radītās sekas ir jāapzinās ikvienam tiesnesim un šo risku mazināšanai, būtiska ir tiesu varas pārstāvju pašu attieksme pret tiem vai tā gadījumiem profesijas ietvaros. Tād</w:t>
            </w:r>
            <w:r w:rsidR="00E228F5" w:rsidRPr="002F645C">
              <w:rPr>
                <w:i/>
              </w:rPr>
              <w:t>ē</w:t>
            </w:r>
            <w:r w:rsidR="00650FD0" w:rsidRPr="002F645C">
              <w:rPr>
                <w:i/>
              </w:rPr>
              <w:t>jādi minētajiem jautājumiem tiks pievērsta pastiprināta uzmanība, veicot tiesneša amata kandidātu atlasi. Minētie aspekti, tāpat arī reputācija būs nozīmīgi faktori, kas tiks vērtēti tiesnešu atlases procesā.</w:t>
            </w:r>
            <w:r w:rsidR="00650FD0" w:rsidRPr="00D27255">
              <w:rPr>
                <w:b/>
                <w:i/>
                <w:u w:val="single"/>
              </w:rPr>
              <w:t xml:space="preserve"> </w:t>
            </w:r>
          </w:p>
        </w:tc>
      </w:tr>
      <w:tr w:rsidR="000D0256" w:rsidRPr="00D27255" w14:paraId="6D155C9B" w14:textId="77777777" w:rsidTr="00AC31C3">
        <w:tc>
          <w:tcPr>
            <w:tcW w:w="2122" w:type="dxa"/>
          </w:tcPr>
          <w:p w14:paraId="3C72C598" w14:textId="3F893B52" w:rsidR="00AC31C3" w:rsidRPr="00D27255" w:rsidRDefault="00AC31C3" w:rsidP="00FE6828">
            <w:pPr>
              <w:jc w:val="both"/>
              <w:rPr>
                <w:sz w:val="28"/>
                <w:lang w:eastAsia="en-US"/>
              </w:rPr>
            </w:pPr>
            <w:r w:rsidRPr="00D27255">
              <w:rPr>
                <w:sz w:val="28"/>
                <w:lang w:eastAsia="en-US"/>
              </w:rPr>
              <w:lastRenderedPageBreak/>
              <w:t>2020</w:t>
            </w:r>
            <w:r w:rsidR="008126C3" w:rsidRPr="00D27255">
              <w:rPr>
                <w:sz w:val="28"/>
                <w:szCs w:val="28"/>
              </w:rPr>
              <w:t>. </w:t>
            </w:r>
            <w:r w:rsidRPr="00D27255">
              <w:rPr>
                <w:sz w:val="28"/>
                <w:lang w:eastAsia="en-US"/>
              </w:rPr>
              <w:t>gad</w:t>
            </w:r>
            <w:r w:rsidR="007E239A" w:rsidRPr="00D27255">
              <w:rPr>
                <w:sz w:val="28"/>
                <w:lang w:eastAsia="en-US"/>
              </w:rPr>
              <w:t>s</w:t>
            </w:r>
          </w:p>
          <w:p w14:paraId="25E0BE08" w14:textId="7FC17A03" w:rsidR="00557668" w:rsidRPr="00D27255" w:rsidRDefault="00AC31C3" w:rsidP="00FE6828">
            <w:pPr>
              <w:jc w:val="both"/>
              <w:rPr>
                <w:sz w:val="28"/>
                <w:lang w:eastAsia="en-US"/>
              </w:rPr>
            </w:pPr>
            <w:r w:rsidRPr="00D27255">
              <w:rPr>
                <w:lang w:eastAsia="en-US"/>
              </w:rPr>
              <w:t>jūnijs - decembris</w:t>
            </w:r>
          </w:p>
        </w:tc>
        <w:tc>
          <w:tcPr>
            <w:tcW w:w="7222" w:type="dxa"/>
          </w:tcPr>
          <w:p w14:paraId="3CA55B28" w14:textId="77777777" w:rsidR="00557668" w:rsidRPr="00D27255" w:rsidRDefault="00AC31C3" w:rsidP="00AC31C3">
            <w:pPr>
              <w:tabs>
                <w:tab w:val="left" w:pos="709"/>
              </w:tabs>
              <w:jc w:val="both"/>
              <w:rPr>
                <w:sz w:val="28"/>
                <w:szCs w:val="28"/>
                <w:lang w:eastAsia="en-US"/>
              </w:rPr>
            </w:pPr>
            <w:r w:rsidRPr="00D27255">
              <w:rPr>
                <w:rFonts w:eastAsiaTheme="majorEastAsia"/>
                <w:sz w:val="28"/>
                <w:szCs w:val="28"/>
                <w:lang w:eastAsia="en-US"/>
              </w:rPr>
              <w:t>Tiesnešu un darbinieku mācības</w:t>
            </w:r>
            <w:r w:rsidR="00557668" w:rsidRPr="00D27255">
              <w:rPr>
                <w:sz w:val="28"/>
                <w:szCs w:val="28"/>
                <w:lang w:eastAsia="en-US"/>
              </w:rPr>
              <w:t xml:space="preserve"> specializētās tiesas kompetences jautājumos</w:t>
            </w:r>
          </w:p>
          <w:p w14:paraId="39E6FA19" w14:textId="435C07D5" w:rsidR="00AC31C3" w:rsidRPr="00D27255" w:rsidRDefault="00AC31C3" w:rsidP="00AC31C3">
            <w:pPr>
              <w:tabs>
                <w:tab w:val="left" w:pos="709"/>
              </w:tabs>
              <w:jc w:val="both"/>
              <w:rPr>
                <w:sz w:val="28"/>
                <w:szCs w:val="28"/>
                <w:lang w:eastAsia="en-US"/>
              </w:rPr>
            </w:pPr>
          </w:p>
        </w:tc>
      </w:tr>
      <w:tr w:rsidR="000D0256" w:rsidRPr="00D27255" w14:paraId="6DB7BB59" w14:textId="77777777" w:rsidTr="00AC31C3">
        <w:tc>
          <w:tcPr>
            <w:tcW w:w="2122" w:type="dxa"/>
          </w:tcPr>
          <w:p w14:paraId="68FB2557" w14:textId="669EBDF8" w:rsidR="00557668" w:rsidRPr="00D27255" w:rsidRDefault="007E239A" w:rsidP="00FE6828">
            <w:pPr>
              <w:jc w:val="both"/>
              <w:rPr>
                <w:sz w:val="28"/>
                <w:lang w:eastAsia="en-US"/>
              </w:rPr>
            </w:pPr>
            <w:r w:rsidRPr="00D27255">
              <w:rPr>
                <w:sz w:val="28"/>
                <w:lang w:eastAsia="en-US"/>
              </w:rPr>
              <w:t>2020</w:t>
            </w:r>
            <w:r w:rsidR="008126C3" w:rsidRPr="00D27255">
              <w:rPr>
                <w:sz w:val="28"/>
                <w:szCs w:val="28"/>
              </w:rPr>
              <w:t>. </w:t>
            </w:r>
            <w:r w:rsidRPr="00D27255">
              <w:rPr>
                <w:sz w:val="28"/>
                <w:lang w:eastAsia="en-US"/>
              </w:rPr>
              <w:t>gads</w:t>
            </w:r>
          </w:p>
          <w:p w14:paraId="678EAA1B" w14:textId="6C3B413B" w:rsidR="007E239A" w:rsidRPr="00D27255" w:rsidRDefault="007E239A" w:rsidP="00FE6828">
            <w:pPr>
              <w:jc w:val="both"/>
              <w:rPr>
                <w:lang w:eastAsia="en-US"/>
              </w:rPr>
            </w:pPr>
            <w:r w:rsidRPr="00D27255">
              <w:rPr>
                <w:lang w:eastAsia="en-US"/>
              </w:rPr>
              <w:t>līdz decembris</w:t>
            </w:r>
          </w:p>
        </w:tc>
        <w:tc>
          <w:tcPr>
            <w:tcW w:w="7222" w:type="dxa"/>
          </w:tcPr>
          <w:p w14:paraId="55CA44E1" w14:textId="77777777" w:rsidR="00557668" w:rsidRPr="00D27255" w:rsidRDefault="00AC31C3" w:rsidP="00AC31C3">
            <w:pPr>
              <w:tabs>
                <w:tab w:val="left" w:pos="709"/>
              </w:tabs>
              <w:jc w:val="both"/>
              <w:rPr>
                <w:sz w:val="28"/>
                <w:szCs w:val="28"/>
                <w:lang w:eastAsia="en-US"/>
              </w:rPr>
            </w:pPr>
            <w:r w:rsidRPr="00D27255">
              <w:rPr>
                <w:sz w:val="28"/>
                <w:szCs w:val="28"/>
                <w:lang w:eastAsia="en-US"/>
              </w:rPr>
              <w:t>Telpu nodrošināšana un aprīkošana</w:t>
            </w:r>
          </w:p>
          <w:p w14:paraId="6720BB20" w14:textId="2EA6F323" w:rsidR="00AC31C3" w:rsidRPr="00D27255" w:rsidRDefault="00AC31C3" w:rsidP="00AC31C3">
            <w:pPr>
              <w:tabs>
                <w:tab w:val="left" w:pos="709"/>
              </w:tabs>
              <w:jc w:val="both"/>
              <w:rPr>
                <w:sz w:val="28"/>
                <w:szCs w:val="28"/>
                <w:lang w:eastAsia="en-US"/>
              </w:rPr>
            </w:pPr>
          </w:p>
        </w:tc>
      </w:tr>
    </w:tbl>
    <w:p w14:paraId="0EA92619" w14:textId="34DA93BC" w:rsidR="007E239A" w:rsidRPr="00D27255" w:rsidRDefault="007E239A" w:rsidP="00557668">
      <w:pPr>
        <w:tabs>
          <w:tab w:val="left" w:pos="709"/>
        </w:tabs>
        <w:jc w:val="both"/>
        <w:rPr>
          <w:sz w:val="28"/>
          <w:szCs w:val="28"/>
          <w:lang w:eastAsia="en-US"/>
        </w:rPr>
      </w:pPr>
    </w:p>
    <w:p w14:paraId="4F28228B" w14:textId="2B89CF65" w:rsidR="00BC7897" w:rsidRPr="00D27255" w:rsidRDefault="00BC7897" w:rsidP="00B04E5D">
      <w:pPr>
        <w:tabs>
          <w:tab w:val="left" w:pos="709"/>
        </w:tabs>
        <w:ind w:firstLine="720"/>
        <w:jc w:val="both"/>
        <w:rPr>
          <w:sz w:val="28"/>
          <w:szCs w:val="28"/>
          <w:lang w:eastAsia="en-US"/>
        </w:rPr>
      </w:pPr>
      <w:r w:rsidRPr="00651075">
        <w:rPr>
          <w:sz w:val="28"/>
          <w:szCs w:val="28"/>
          <w:lang w:eastAsia="en-US"/>
        </w:rPr>
        <w:t xml:space="preserve">Prognozēts, ka </w:t>
      </w:r>
      <w:r w:rsidR="007E239A" w:rsidRPr="00651075">
        <w:rPr>
          <w:sz w:val="28"/>
          <w:szCs w:val="28"/>
          <w:lang w:eastAsia="en-US"/>
        </w:rPr>
        <w:t>specializētās tiesas darba uzsākšanai veicamos pasākumus</w:t>
      </w:r>
      <w:r w:rsidRPr="00651075">
        <w:rPr>
          <w:sz w:val="28"/>
          <w:szCs w:val="28"/>
          <w:lang w:eastAsia="en-US"/>
        </w:rPr>
        <w:t xml:space="preserve"> iespējams nodrošināt un speci</w:t>
      </w:r>
      <w:r w:rsidR="00651075">
        <w:rPr>
          <w:sz w:val="28"/>
          <w:szCs w:val="28"/>
          <w:lang w:eastAsia="en-US"/>
        </w:rPr>
        <w:t>a</w:t>
      </w:r>
      <w:r w:rsidRPr="00651075">
        <w:rPr>
          <w:sz w:val="28"/>
          <w:szCs w:val="28"/>
          <w:lang w:eastAsia="en-US"/>
        </w:rPr>
        <w:t>l</w:t>
      </w:r>
      <w:r w:rsidR="00651075" w:rsidRPr="00651075">
        <w:rPr>
          <w:sz w:val="28"/>
          <w:szCs w:val="28"/>
          <w:lang w:eastAsia="en-US"/>
        </w:rPr>
        <w:t>izēt</w:t>
      </w:r>
      <w:r w:rsidR="00651075">
        <w:rPr>
          <w:sz w:val="28"/>
          <w:szCs w:val="28"/>
          <w:lang w:eastAsia="en-US"/>
        </w:rPr>
        <w:t>a</w:t>
      </w:r>
      <w:r w:rsidRPr="00651075">
        <w:rPr>
          <w:sz w:val="28"/>
          <w:szCs w:val="28"/>
          <w:lang w:eastAsia="en-US"/>
        </w:rPr>
        <w:t xml:space="preserve"> tiesa </w:t>
      </w:r>
      <w:r w:rsidRPr="00651075">
        <w:rPr>
          <w:b/>
          <w:sz w:val="28"/>
          <w:szCs w:val="28"/>
          <w:lang w:eastAsia="en-US"/>
        </w:rPr>
        <w:t>darbu varētu uzsākt ar 2021.</w:t>
      </w:r>
      <w:r w:rsidR="008126C3" w:rsidRPr="00651075">
        <w:rPr>
          <w:sz w:val="28"/>
          <w:szCs w:val="28"/>
        </w:rPr>
        <w:t> </w:t>
      </w:r>
      <w:r w:rsidRPr="00651075">
        <w:rPr>
          <w:b/>
          <w:sz w:val="28"/>
          <w:szCs w:val="28"/>
          <w:lang w:eastAsia="en-US"/>
        </w:rPr>
        <w:t>gada 1.</w:t>
      </w:r>
      <w:r w:rsidR="008126C3" w:rsidRPr="00651075">
        <w:rPr>
          <w:sz w:val="28"/>
          <w:szCs w:val="28"/>
        </w:rPr>
        <w:t> </w:t>
      </w:r>
      <w:r w:rsidRPr="00651075">
        <w:rPr>
          <w:b/>
          <w:sz w:val="28"/>
          <w:szCs w:val="28"/>
          <w:lang w:eastAsia="en-US"/>
        </w:rPr>
        <w:t>janvāri</w:t>
      </w:r>
      <w:r w:rsidRPr="00651075">
        <w:rPr>
          <w:sz w:val="28"/>
          <w:szCs w:val="28"/>
          <w:lang w:eastAsia="en-US"/>
        </w:rPr>
        <w:t>.</w:t>
      </w:r>
      <w:r w:rsidRPr="00D27255">
        <w:rPr>
          <w:sz w:val="28"/>
          <w:szCs w:val="28"/>
          <w:lang w:eastAsia="en-US"/>
        </w:rPr>
        <w:t xml:space="preserve"> </w:t>
      </w:r>
    </w:p>
    <w:p w14:paraId="2F6B6CE8" w14:textId="77777777" w:rsidR="00AC31C3" w:rsidRPr="00D27255" w:rsidRDefault="00AC31C3" w:rsidP="00AC31C3">
      <w:pPr>
        <w:ind w:firstLine="720"/>
        <w:jc w:val="both"/>
        <w:rPr>
          <w:sz w:val="28"/>
          <w:szCs w:val="28"/>
          <w:lang w:eastAsia="en-US"/>
        </w:rPr>
      </w:pPr>
    </w:p>
    <w:p w14:paraId="00BA42E2" w14:textId="6880C751" w:rsidR="006B0587" w:rsidRPr="00D27255" w:rsidRDefault="006B0587" w:rsidP="00AC31C3">
      <w:pPr>
        <w:ind w:firstLine="720"/>
        <w:jc w:val="both"/>
        <w:rPr>
          <w:sz w:val="28"/>
          <w:szCs w:val="28"/>
          <w:lang w:eastAsia="en-US"/>
        </w:rPr>
      </w:pPr>
      <w:r w:rsidRPr="00D27255">
        <w:rPr>
          <w:sz w:val="28"/>
          <w:szCs w:val="28"/>
          <w:lang w:eastAsia="en-US"/>
        </w:rPr>
        <w:t xml:space="preserve">Apkopojot iepriekš minēto, secināms, ka </w:t>
      </w:r>
      <w:r w:rsidRPr="00D27255">
        <w:rPr>
          <w:rFonts w:eastAsiaTheme="majorEastAsia"/>
          <w:sz w:val="28"/>
          <w:szCs w:val="28"/>
          <w:lang w:eastAsia="en-US"/>
        </w:rPr>
        <w:t>specializētas tiesas izveidei</w:t>
      </w:r>
      <w:r w:rsidRPr="00D27255">
        <w:rPr>
          <w:sz w:val="28"/>
          <w:szCs w:val="28"/>
          <w:lang w:eastAsia="en-US"/>
        </w:rPr>
        <w:t xml:space="preserve"> ir šādi ieguvumi: </w:t>
      </w:r>
    </w:p>
    <w:p w14:paraId="04A47BD9"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hAnsi="Times New Roman"/>
          <w:sz w:val="28"/>
          <w:szCs w:val="28"/>
          <w:lang w:eastAsia="en-US"/>
        </w:rPr>
        <w:t>tiesas spriešanas kvalitātes paaugstināšana, mērķtiecīgi attīstot tiesnešu prasmes un kompetences;</w:t>
      </w:r>
    </w:p>
    <w:p w14:paraId="352FD999"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eastAsia="Times New Roman" w:hAnsi="Times New Roman"/>
          <w:sz w:val="28"/>
          <w:szCs w:val="28"/>
          <w:lang w:eastAsia="en-US"/>
        </w:rPr>
        <w:t>iespēja paaugstināt procesa efektivitāti, tajā skaitā nodrošinot operatīvu lietu izskatīšanu;</w:t>
      </w:r>
    </w:p>
    <w:p w14:paraId="07BB968A"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eastAsia="Times New Roman" w:hAnsi="Times New Roman"/>
          <w:sz w:val="28"/>
          <w:szCs w:val="28"/>
          <w:lang w:eastAsia="en-US"/>
        </w:rPr>
        <w:t>nodrošināta tiesu prakses vienveidība un vienota sodu politika;</w:t>
      </w:r>
    </w:p>
    <w:p w14:paraId="428AD90D"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hAnsi="Times New Roman"/>
          <w:sz w:val="28"/>
          <w:szCs w:val="28"/>
          <w:lang w:eastAsia="en-US"/>
        </w:rPr>
        <w:t>nodrošināts profesionālu darbinieku korpuss un nodrošināti kvalifikācijas pilnveides pasākumi atbilstoši specializācijai;</w:t>
      </w:r>
      <w:r w:rsidRPr="00D27255">
        <w:rPr>
          <w:sz w:val="28"/>
          <w:szCs w:val="28"/>
          <w:lang w:eastAsia="en-US"/>
        </w:rPr>
        <w:t xml:space="preserve"> </w:t>
      </w:r>
    </w:p>
    <w:p w14:paraId="63B5B0A8"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hAnsi="Times New Roman"/>
          <w:sz w:val="28"/>
          <w:szCs w:val="28"/>
          <w:lang w:eastAsia="en-US"/>
        </w:rPr>
        <w:t>iespēja nākotnē attīstīt specializācijas tvērumu;</w:t>
      </w:r>
    </w:p>
    <w:p w14:paraId="4C4718F6" w14:textId="77777777" w:rsidR="006B0587" w:rsidRPr="00D27255" w:rsidRDefault="006B0587" w:rsidP="006B0587">
      <w:pPr>
        <w:pStyle w:val="ListParagraph"/>
        <w:numPr>
          <w:ilvl w:val="0"/>
          <w:numId w:val="41"/>
        </w:numPr>
        <w:ind w:left="1276"/>
        <w:jc w:val="both"/>
        <w:rPr>
          <w:rFonts w:ascii="Times New Roman" w:hAnsi="Times New Roman"/>
          <w:sz w:val="28"/>
          <w:szCs w:val="28"/>
          <w:lang w:eastAsia="en-US"/>
        </w:rPr>
      </w:pPr>
      <w:r w:rsidRPr="00D27255">
        <w:rPr>
          <w:rFonts w:ascii="Times New Roman" w:hAnsi="Times New Roman"/>
          <w:sz w:val="28"/>
          <w:szCs w:val="28"/>
          <w:lang w:eastAsia="en-US"/>
        </w:rPr>
        <w:t xml:space="preserve">atsevišķas tiesas izveide īpaši akcentē valsts politiku </w:t>
      </w:r>
      <w:proofErr w:type="spellStart"/>
      <w:r w:rsidRPr="00D27255">
        <w:rPr>
          <w:rFonts w:ascii="Times New Roman" w:hAnsi="Times New Roman"/>
          <w:sz w:val="28"/>
          <w:szCs w:val="28"/>
          <w:lang w:eastAsia="en-US"/>
        </w:rPr>
        <w:t>prioritizēt</w:t>
      </w:r>
      <w:proofErr w:type="spellEnd"/>
      <w:r w:rsidRPr="00D27255">
        <w:rPr>
          <w:rFonts w:ascii="Times New Roman" w:hAnsi="Times New Roman"/>
          <w:sz w:val="28"/>
          <w:szCs w:val="28"/>
          <w:lang w:eastAsia="en-US"/>
        </w:rPr>
        <w:t xml:space="preserve"> konkrētu krimināllietu un civillietu izskatīšanu.</w:t>
      </w:r>
    </w:p>
    <w:p w14:paraId="28563938" w14:textId="0B75E9D0" w:rsidR="006B0587" w:rsidRPr="00D27255" w:rsidRDefault="006B0587" w:rsidP="00F3095B">
      <w:pPr>
        <w:ind w:firstLine="720"/>
        <w:jc w:val="both"/>
        <w:rPr>
          <w:rFonts w:eastAsiaTheme="majorEastAsia"/>
          <w:sz w:val="28"/>
          <w:szCs w:val="28"/>
          <w:lang w:eastAsia="en-US"/>
        </w:rPr>
      </w:pPr>
      <w:r w:rsidRPr="00D27255">
        <w:rPr>
          <w:rFonts w:eastAsiaTheme="majorEastAsia"/>
          <w:sz w:val="28"/>
          <w:szCs w:val="28"/>
          <w:lang w:eastAsia="en-US"/>
        </w:rPr>
        <w:t>Vienlaikus konstatējam</w:t>
      </w:r>
      <w:r w:rsidR="00B772CB" w:rsidRPr="00D27255">
        <w:rPr>
          <w:rFonts w:eastAsiaTheme="majorEastAsia"/>
          <w:sz w:val="28"/>
          <w:szCs w:val="28"/>
          <w:lang w:eastAsia="en-US"/>
        </w:rPr>
        <w:t>s</w:t>
      </w:r>
      <w:r w:rsidRPr="00D27255">
        <w:rPr>
          <w:rFonts w:eastAsiaTheme="majorEastAsia"/>
          <w:sz w:val="28"/>
          <w:szCs w:val="28"/>
          <w:lang w:eastAsia="en-US"/>
        </w:rPr>
        <w:t xml:space="preserve"> šād</w:t>
      </w:r>
      <w:r w:rsidR="001D20A0" w:rsidRPr="00D27255">
        <w:rPr>
          <w:rFonts w:eastAsiaTheme="majorEastAsia"/>
          <w:sz w:val="28"/>
          <w:szCs w:val="28"/>
          <w:lang w:eastAsia="en-US"/>
        </w:rPr>
        <w:t>s</w:t>
      </w:r>
      <w:r w:rsidRPr="00D27255">
        <w:rPr>
          <w:rFonts w:eastAsiaTheme="majorEastAsia"/>
          <w:sz w:val="28"/>
          <w:szCs w:val="28"/>
          <w:lang w:eastAsia="en-US"/>
        </w:rPr>
        <w:t xml:space="preserve"> risk</w:t>
      </w:r>
      <w:r w:rsidR="001D20A0" w:rsidRPr="00D27255">
        <w:rPr>
          <w:rFonts w:eastAsiaTheme="majorEastAsia"/>
          <w:sz w:val="28"/>
          <w:szCs w:val="28"/>
          <w:lang w:eastAsia="en-US"/>
        </w:rPr>
        <w:t>s</w:t>
      </w:r>
      <w:r w:rsidR="00F3095B" w:rsidRPr="00D27255">
        <w:rPr>
          <w:sz w:val="28"/>
          <w:szCs w:val="28"/>
          <w:lang w:eastAsia="en-US"/>
        </w:rPr>
        <w:t xml:space="preserve"> - n</w:t>
      </w:r>
      <w:r w:rsidRPr="00D27255">
        <w:rPr>
          <w:rFonts w:eastAsiaTheme="majorEastAsia"/>
          <w:sz w:val="28"/>
          <w:szCs w:val="28"/>
          <w:lang w:eastAsia="en-US"/>
        </w:rPr>
        <w:t>eprecīza noslodzes prognoze vai citi iemesli, kuru dēļ izveidojas specializētās tiesas nepietiekam</w:t>
      </w:r>
      <w:r w:rsidR="008364AA" w:rsidRPr="00D27255">
        <w:rPr>
          <w:rFonts w:eastAsiaTheme="majorEastAsia"/>
          <w:sz w:val="28"/>
          <w:szCs w:val="28"/>
          <w:lang w:eastAsia="en-US"/>
        </w:rPr>
        <w:t>a</w:t>
      </w:r>
      <w:r w:rsidRPr="00D27255">
        <w:rPr>
          <w:rFonts w:eastAsiaTheme="majorEastAsia"/>
          <w:sz w:val="28"/>
          <w:szCs w:val="28"/>
          <w:lang w:eastAsia="en-US"/>
        </w:rPr>
        <w:t xml:space="preserve"> noslodz</w:t>
      </w:r>
      <w:r w:rsidR="008364AA" w:rsidRPr="00D27255">
        <w:rPr>
          <w:rFonts w:eastAsiaTheme="majorEastAsia"/>
          <w:sz w:val="28"/>
          <w:szCs w:val="28"/>
          <w:lang w:eastAsia="en-US"/>
        </w:rPr>
        <w:t>e</w:t>
      </w:r>
      <w:r w:rsidRPr="00D27255">
        <w:rPr>
          <w:sz w:val="28"/>
          <w:szCs w:val="28"/>
          <w:lang w:eastAsia="en-US"/>
        </w:rPr>
        <w:t>, vai gluži pretēji - pārslodz</w:t>
      </w:r>
      <w:r w:rsidR="008364AA" w:rsidRPr="00D27255">
        <w:rPr>
          <w:sz w:val="28"/>
          <w:szCs w:val="28"/>
          <w:lang w:eastAsia="en-US"/>
        </w:rPr>
        <w:t>e</w:t>
      </w:r>
      <w:r w:rsidRPr="00D27255">
        <w:rPr>
          <w:rFonts w:eastAsiaTheme="majorEastAsia"/>
          <w:sz w:val="28"/>
          <w:szCs w:val="28"/>
          <w:lang w:eastAsia="en-US"/>
        </w:rPr>
        <w:t>.</w:t>
      </w:r>
    </w:p>
    <w:p w14:paraId="11507696" w14:textId="006E8086" w:rsidR="006B0587" w:rsidRPr="00D27255" w:rsidRDefault="006B0587" w:rsidP="00C575A3">
      <w:pPr>
        <w:ind w:firstLine="720"/>
        <w:jc w:val="both"/>
        <w:rPr>
          <w:rFonts w:eastAsiaTheme="majorEastAsia"/>
          <w:sz w:val="28"/>
          <w:szCs w:val="28"/>
          <w:lang w:eastAsia="en-US"/>
        </w:rPr>
      </w:pPr>
      <w:r w:rsidRPr="00D27255">
        <w:rPr>
          <w:rFonts w:eastAsiaTheme="majorEastAsia"/>
          <w:sz w:val="28"/>
          <w:szCs w:val="28"/>
          <w:lang w:eastAsia="en-US"/>
        </w:rPr>
        <w:t>Attiecībā par risku novēršanu, norādāms, ka</w:t>
      </w:r>
      <w:r w:rsidR="00B26061" w:rsidRPr="00D27255">
        <w:rPr>
          <w:rFonts w:eastAsiaTheme="majorEastAsia"/>
          <w:sz w:val="28"/>
          <w:szCs w:val="28"/>
          <w:lang w:eastAsia="en-US"/>
        </w:rPr>
        <w:t>,</w:t>
      </w:r>
      <w:r w:rsidRPr="00D27255">
        <w:rPr>
          <w:rFonts w:eastAsiaTheme="majorEastAsia"/>
          <w:sz w:val="28"/>
          <w:szCs w:val="28"/>
          <w:lang w:eastAsia="en-US"/>
        </w:rPr>
        <w:t xml:space="preserve"> rodoties nepietiekamai noslodzei, apsverama specializētās tiesas kompetences </w:t>
      </w:r>
      <w:r w:rsidR="001D20A0" w:rsidRPr="00D27255">
        <w:rPr>
          <w:rFonts w:eastAsiaTheme="majorEastAsia"/>
          <w:sz w:val="28"/>
          <w:szCs w:val="28"/>
          <w:lang w:eastAsia="en-US"/>
        </w:rPr>
        <w:t>paplašināšana</w:t>
      </w:r>
      <w:r w:rsidRPr="00D27255">
        <w:rPr>
          <w:rFonts w:eastAsiaTheme="majorEastAsia"/>
          <w:sz w:val="28"/>
          <w:szCs w:val="28"/>
          <w:lang w:eastAsia="en-US"/>
        </w:rPr>
        <w:t>, kā arī atbilstoši Civilprocesa likuma 32.</w:t>
      </w:r>
      <w:r w:rsidRPr="00D27255">
        <w:rPr>
          <w:rFonts w:eastAsiaTheme="majorEastAsia"/>
          <w:sz w:val="28"/>
          <w:szCs w:val="28"/>
          <w:vertAlign w:val="superscript"/>
          <w:lang w:eastAsia="en-US"/>
        </w:rPr>
        <w:t>1</w:t>
      </w:r>
      <w:r w:rsidR="008126C3" w:rsidRPr="00D27255">
        <w:rPr>
          <w:sz w:val="28"/>
          <w:szCs w:val="28"/>
        </w:rPr>
        <w:t> </w:t>
      </w:r>
      <w:r w:rsidRPr="00D27255">
        <w:rPr>
          <w:rFonts w:eastAsiaTheme="majorEastAsia"/>
          <w:sz w:val="28"/>
          <w:szCs w:val="28"/>
          <w:lang w:eastAsia="en-US"/>
        </w:rPr>
        <w:t>pantam</w:t>
      </w:r>
      <w:r w:rsidRPr="00D27255">
        <w:rPr>
          <w:rStyle w:val="FootnoteReference"/>
          <w:rFonts w:eastAsiaTheme="majorEastAsia"/>
          <w:sz w:val="28"/>
          <w:szCs w:val="28"/>
          <w:lang w:eastAsia="en-US"/>
        </w:rPr>
        <w:footnoteReference w:id="31"/>
      </w:r>
      <w:r w:rsidRPr="00D27255">
        <w:rPr>
          <w:rFonts w:eastAsiaTheme="majorEastAsia"/>
          <w:sz w:val="28"/>
          <w:szCs w:val="28"/>
          <w:lang w:eastAsia="en-US"/>
        </w:rPr>
        <w:t xml:space="preserve"> un Kriminālprocesa </w:t>
      </w:r>
      <w:r w:rsidR="00B848A3">
        <w:rPr>
          <w:rFonts w:eastAsiaTheme="majorEastAsia"/>
          <w:sz w:val="28"/>
          <w:szCs w:val="28"/>
          <w:lang w:eastAsia="en-US"/>
        </w:rPr>
        <w:t xml:space="preserve">likuma </w:t>
      </w:r>
      <w:r w:rsidRPr="00D27255">
        <w:rPr>
          <w:rFonts w:eastAsiaTheme="majorEastAsia"/>
          <w:sz w:val="28"/>
          <w:szCs w:val="28"/>
          <w:lang w:eastAsia="en-US"/>
        </w:rPr>
        <w:t>445</w:t>
      </w:r>
      <w:r w:rsidR="008126C3" w:rsidRPr="00D27255">
        <w:rPr>
          <w:sz w:val="28"/>
          <w:szCs w:val="28"/>
        </w:rPr>
        <w:t>. </w:t>
      </w:r>
      <w:r w:rsidRPr="00D27255">
        <w:rPr>
          <w:rFonts w:eastAsiaTheme="majorEastAsia"/>
          <w:sz w:val="28"/>
          <w:szCs w:val="28"/>
          <w:lang w:eastAsia="en-US"/>
        </w:rPr>
        <w:t>pantam</w:t>
      </w:r>
      <w:r w:rsidRPr="00D27255">
        <w:rPr>
          <w:rStyle w:val="FootnoteReference"/>
          <w:rFonts w:eastAsiaTheme="majorEastAsia"/>
          <w:sz w:val="28"/>
          <w:szCs w:val="28"/>
          <w:lang w:eastAsia="en-US"/>
        </w:rPr>
        <w:footnoteReference w:id="32"/>
      </w:r>
      <w:r w:rsidRPr="00D27255">
        <w:rPr>
          <w:rFonts w:eastAsiaTheme="majorEastAsia"/>
          <w:sz w:val="28"/>
          <w:szCs w:val="28"/>
          <w:lang w:eastAsia="en-US"/>
        </w:rPr>
        <w:t xml:space="preserve"> risināms jautājums par lietu nodošanu specializētajai tiesai.</w:t>
      </w:r>
      <w:r w:rsidR="00732DA0" w:rsidRPr="00D27255">
        <w:rPr>
          <w:rFonts w:eastAsiaTheme="majorEastAsia"/>
          <w:sz w:val="28"/>
          <w:szCs w:val="28"/>
          <w:lang w:eastAsia="en-US"/>
        </w:rPr>
        <w:t xml:space="preserve"> </w:t>
      </w:r>
      <w:r w:rsidRPr="00D27255">
        <w:rPr>
          <w:rFonts w:eastAsiaTheme="majorEastAsia"/>
          <w:sz w:val="28"/>
          <w:szCs w:val="28"/>
          <w:lang w:eastAsia="en-US"/>
        </w:rPr>
        <w:t>Savukārt pārlieku lielas slodzes gadījumā</w:t>
      </w:r>
      <w:r w:rsidR="001D20A0" w:rsidRPr="00D27255">
        <w:rPr>
          <w:rFonts w:eastAsiaTheme="majorEastAsia"/>
          <w:sz w:val="28"/>
          <w:szCs w:val="28"/>
          <w:lang w:eastAsia="en-US"/>
        </w:rPr>
        <w:t xml:space="preserve"> līdzīgi kā gadījumā ar Administratīvās rajona tiesas izveidi 2004</w:t>
      </w:r>
      <w:r w:rsidR="008126C3" w:rsidRPr="00D27255">
        <w:rPr>
          <w:sz w:val="28"/>
          <w:szCs w:val="28"/>
        </w:rPr>
        <w:t>. </w:t>
      </w:r>
      <w:r w:rsidR="001D20A0" w:rsidRPr="00D27255">
        <w:rPr>
          <w:rFonts w:eastAsiaTheme="majorEastAsia"/>
          <w:sz w:val="28"/>
          <w:szCs w:val="28"/>
          <w:lang w:eastAsia="en-US"/>
        </w:rPr>
        <w:t>gadā</w:t>
      </w:r>
      <w:r w:rsidRPr="00D27255">
        <w:rPr>
          <w:rFonts w:eastAsiaTheme="majorEastAsia"/>
          <w:sz w:val="28"/>
          <w:szCs w:val="28"/>
          <w:lang w:eastAsia="en-US"/>
        </w:rPr>
        <w:t xml:space="preserve"> būs risināms jautājums par tiesnešu amata vietu skaita palielināšanu.</w:t>
      </w:r>
    </w:p>
    <w:p w14:paraId="685AC94F" w14:textId="77777777" w:rsidR="00B93C79" w:rsidRPr="00D27255" w:rsidRDefault="00B26061" w:rsidP="00B04E5D">
      <w:pPr>
        <w:ind w:firstLine="720"/>
        <w:jc w:val="both"/>
        <w:rPr>
          <w:rFonts w:eastAsiaTheme="majorEastAsia"/>
          <w:sz w:val="28"/>
          <w:szCs w:val="28"/>
          <w:lang w:eastAsia="en-US"/>
        </w:rPr>
      </w:pPr>
      <w:r w:rsidRPr="00D27255">
        <w:rPr>
          <w:rFonts w:eastAsiaTheme="majorEastAsia"/>
          <w:sz w:val="28"/>
          <w:szCs w:val="28"/>
          <w:lang w:eastAsia="en-US"/>
        </w:rPr>
        <w:t>A</w:t>
      </w:r>
      <w:r w:rsidR="00CD4A58" w:rsidRPr="00D27255">
        <w:rPr>
          <w:rFonts w:eastAsiaTheme="majorEastAsia"/>
          <w:sz w:val="28"/>
          <w:szCs w:val="28"/>
          <w:lang w:eastAsia="en-US"/>
        </w:rPr>
        <w:t>ttiecībā uz visu tiesas tiesnešu vienlaicīgu atrašanos interešu konfliktā norādāms, ka pie tiesas</w:t>
      </w:r>
      <w:r w:rsidR="00DB0D85" w:rsidRPr="00D27255">
        <w:rPr>
          <w:rFonts w:eastAsiaTheme="majorEastAsia"/>
          <w:sz w:val="28"/>
          <w:szCs w:val="28"/>
          <w:lang w:eastAsia="en-US"/>
        </w:rPr>
        <w:t xml:space="preserve">, piemēram, </w:t>
      </w:r>
      <w:r w:rsidRPr="00D27255">
        <w:rPr>
          <w:rFonts w:eastAsiaTheme="majorEastAsia"/>
          <w:sz w:val="28"/>
          <w:szCs w:val="28"/>
          <w:lang w:eastAsia="en-US"/>
        </w:rPr>
        <w:t xml:space="preserve">5-10 </w:t>
      </w:r>
      <w:r w:rsidR="00CD4A58" w:rsidRPr="00D27255">
        <w:rPr>
          <w:rFonts w:eastAsiaTheme="majorEastAsia"/>
          <w:sz w:val="28"/>
          <w:szCs w:val="28"/>
          <w:lang w:eastAsia="en-US"/>
        </w:rPr>
        <w:t>tiesnešu sastāvā šāds risks ir minimāls. Tomēr gadījumā, ja šāds apstāklis iestātos, būtu paredzams procesuāls regulējums, kas ļautu lietu nodot izskatīšanai citai tiesai.</w:t>
      </w:r>
      <w:r w:rsidR="00B93C79" w:rsidRPr="00D27255">
        <w:rPr>
          <w:rFonts w:eastAsiaTheme="majorEastAsia"/>
          <w:sz w:val="28"/>
          <w:szCs w:val="28"/>
          <w:lang w:eastAsia="en-US"/>
        </w:rPr>
        <w:t xml:space="preserve"> </w:t>
      </w:r>
    </w:p>
    <w:p w14:paraId="6E9EA173" w14:textId="5ABAFA28" w:rsidR="00CD4A58" w:rsidRPr="00303CC1" w:rsidRDefault="00B93C79" w:rsidP="00B04E5D">
      <w:pPr>
        <w:ind w:firstLine="720"/>
        <w:jc w:val="both"/>
        <w:rPr>
          <w:sz w:val="28"/>
          <w:szCs w:val="28"/>
          <w:lang w:eastAsia="en-US"/>
        </w:rPr>
      </w:pPr>
      <w:r w:rsidRPr="00303CC1">
        <w:rPr>
          <w:sz w:val="28"/>
          <w:szCs w:val="28"/>
          <w:lang w:eastAsia="en-US"/>
        </w:rPr>
        <w:t xml:space="preserve">Jāatzīmē, ka Tiesnešu ētikas kodeksa normas izvirza augstus profesionālās un ārpusdarba uzvedības standartus ikvienam tiesnesim un tiesneša amata kandidātam, kā arī ar skaidrojumiem palīdz risināt ētiska rakstura dilemmas, kas nereti ir saistītas arī ar interešu konflikta risku vai interešu konflikta šķietamību. Jāatzīmē, ka interešu konflikta riska samazināšanai var tikt izmantotas likumā </w:t>
      </w:r>
      <w:r w:rsidRPr="00303CC1">
        <w:rPr>
          <w:sz w:val="28"/>
          <w:szCs w:val="28"/>
          <w:lang w:eastAsia="en-US"/>
        </w:rPr>
        <w:lastRenderedPageBreak/>
        <w:t xml:space="preserve">noteiktās disciplinārās uzraudzības pilnvaras. Piemēram, tiesas priekšsēdētāju kompetencē ir ierosināt disciplinārlietu par likumā </w:t>
      </w:r>
      <w:r w:rsidR="00B848A3" w:rsidRPr="00303CC1">
        <w:rPr>
          <w:sz w:val="28"/>
          <w:szCs w:val="28"/>
          <w:lang w:eastAsia="en-US"/>
        </w:rPr>
        <w:t>"</w:t>
      </w:r>
      <w:r w:rsidRPr="00303CC1">
        <w:rPr>
          <w:sz w:val="28"/>
          <w:szCs w:val="28"/>
          <w:lang w:eastAsia="en-US"/>
        </w:rPr>
        <w:t>Par interešu konflikta novēršanu valsts amatpersonu darbībā</w:t>
      </w:r>
      <w:r w:rsidR="00B848A3" w:rsidRPr="00303CC1">
        <w:rPr>
          <w:sz w:val="28"/>
          <w:szCs w:val="28"/>
          <w:lang w:eastAsia="en-US"/>
        </w:rPr>
        <w:t>"</w:t>
      </w:r>
      <w:r w:rsidRPr="00303CC1">
        <w:rPr>
          <w:sz w:val="28"/>
          <w:szCs w:val="28"/>
          <w:lang w:eastAsia="en-US"/>
        </w:rPr>
        <w:t xml:space="preserve"> paredzēto ierobežojumu un aizliegumu neievērošanu. Šādas tiesības </w:t>
      </w:r>
      <w:r w:rsidR="00651075" w:rsidRPr="00303CC1">
        <w:rPr>
          <w:sz w:val="28"/>
          <w:szCs w:val="28"/>
          <w:lang w:eastAsia="en-US"/>
        </w:rPr>
        <w:t>būs</w:t>
      </w:r>
      <w:r w:rsidR="00347D76" w:rsidRPr="00303CC1">
        <w:rPr>
          <w:sz w:val="28"/>
          <w:szCs w:val="28"/>
          <w:lang w:eastAsia="en-US"/>
        </w:rPr>
        <w:t xml:space="preserve"> attiecināmas</w:t>
      </w:r>
      <w:r w:rsidRPr="00303CC1">
        <w:rPr>
          <w:sz w:val="28"/>
          <w:szCs w:val="28"/>
          <w:lang w:eastAsia="en-US"/>
        </w:rPr>
        <w:t xml:space="preserve"> arī </w:t>
      </w:r>
      <w:r w:rsidR="00347D76" w:rsidRPr="00303CC1">
        <w:rPr>
          <w:sz w:val="28"/>
          <w:szCs w:val="28"/>
          <w:lang w:eastAsia="en-US"/>
        </w:rPr>
        <w:t xml:space="preserve">uz </w:t>
      </w:r>
      <w:r w:rsidRPr="00303CC1">
        <w:rPr>
          <w:sz w:val="28"/>
          <w:szCs w:val="28"/>
          <w:lang w:eastAsia="en-US"/>
        </w:rPr>
        <w:t>specializētas tiesas priekšsēdētā</w:t>
      </w:r>
      <w:r w:rsidR="00B848A3" w:rsidRPr="00303CC1">
        <w:rPr>
          <w:sz w:val="28"/>
          <w:szCs w:val="28"/>
          <w:lang w:eastAsia="en-US"/>
        </w:rPr>
        <w:t>ju</w:t>
      </w:r>
      <w:r w:rsidRPr="00303CC1">
        <w:rPr>
          <w:sz w:val="28"/>
          <w:szCs w:val="28"/>
          <w:lang w:eastAsia="en-US"/>
        </w:rPr>
        <w:t xml:space="preserve">. Nav pamata apšaubīt, ka minētie risinājumi </w:t>
      </w:r>
      <w:r w:rsidR="00650FD0" w:rsidRPr="00303CC1">
        <w:rPr>
          <w:sz w:val="28"/>
          <w:szCs w:val="28"/>
          <w:lang w:eastAsia="en-US"/>
        </w:rPr>
        <w:t>interešu konflikta</w:t>
      </w:r>
      <w:r w:rsidRPr="00303CC1">
        <w:rPr>
          <w:sz w:val="28"/>
          <w:szCs w:val="28"/>
          <w:lang w:eastAsia="en-US"/>
        </w:rPr>
        <w:t xml:space="preserve"> risku mazināšanai ir </w:t>
      </w:r>
      <w:r w:rsidR="00347D76" w:rsidRPr="00303CC1">
        <w:rPr>
          <w:sz w:val="28"/>
          <w:szCs w:val="28"/>
          <w:lang w:eastAsia="en-US"/>
        </w:rPr>
        <w:t>ne</w:t>
      </w:r>
      <w:r w:rsidRPr="00303CC1">
        <w:rPr>
          <w:sz w:val="28"/>
          <w:szCs w:val="28"/>
          <w:lang w:eastAsia="en-US"/>
        </w:rPr>
        <w:t>efektīvi.</w:t>
      </w:r>
      <w:r w:rsidR="00347D76" w:rsidRPr="00303CC1">
        <w:rPr>
          <w:sz w:val="28"/>
          <w:szCs w:val="28"/>
          <w:lang w:eastAsia="en-US"/>
        </w:rPr>
        <w:t xml:space="preserve"> </w:t>
      </w:r>
    </w:p>
    <w:p w14:paraId="6D827B79" w14:textId="7E3C8846" w:rsidR="00CD4A58" w:rsidRPr="00303CC1" w:rsidRDefault="00CD4A58" w:rsidP="00CD4A58">
      <w:pPr>
        <w:ind w:firstLine="720"/>
        <w:jc w:val="both"/>
        <w:rPr>
          <w:rFonts w:eastAsiaTheme="majorEastAsia"/>
          <w:sz w:val="28"/>
          <w:szCs w:val="28"/>
          <w:lang w:eastAsia="en-US"/>
        </w:rPr>
      </w:pPr>
      <w:r w:rsidRPr="00D27255">
        <w:rPr>
          <w:rFonts w:eastAsiaTheme="majorEastAsia"/>
          <w:sz w:val="28"/>
          <w:szCs w:val="28"/>
          <w:lang w:eastAsia="en-US"/>
        </w:rPr>
        <w:t xml:space="preserve">Vienlaikus atkārtoti jāatzīmē, ka tiesas vai tiesnešu specializācija pati par sevi nenodrošina mērķa pilnīgu sasniegšanu, jo </w:t>
      </w:r>
      <w:r w:rsidRPr="00D27255">
        <w:rPr>
          <w:rFonts w:eastAsiaTheme="majorEastAsia"/>
          <w:b/>
          <w:sz w:val="28"/>
          <w:szCs w:val="28"/>
          <w:lang w:eastAsia="en-US"/>
        </w:rPr>
        <w:t xml:space="preserve">vienlaikus ir jārisina jautājums par izmeklēšanas un apsūdzības kvalitāti. </w:t>
      </w:r>
      <w:r w:rsidRPr="00D27255">
        <w:rPr>
          <w:rFonts w:eastAsiaTheme="majorEastAsia"/>
          <w:sz w:val="28"/>
          <w:szCs w:val="28"/>
          <w:lang w:eastAsia="en-US"/>
        </w:rPr>
        <w:t xml:space="preserve">Norādāms, ka tieši izmeklēšanas kvalitāte veido pamatu tam, kāda veidosies apsūdzība un kāds būs gala nolēmums. Turklāt, ja izmeklēšanas kvalitāte ir vāja, tas atstāj ietekmi arī uz lietas izskatīšanas termiņu. Līdz ar to, kompleksai izvirzītā mērķa sasniegšanai paralēli </w:t>
      </w:r>
      <w:r w:rsidRPr="00303CC1">
        <w:rPr>
          <w:rFonts w:eastAsiaTheme="majorEastAsia"/>
          <w:sz w:val="28"/>
          <w:szCs w:val="28"/>
          <w:lang w:eastAsia="en-US"/>
        </w:rPr>
        <w:t xml:space="preserve">meklējami efektīvi </w:t>
      </w:r>
      <w:bookmarkStart w:id="7" w:name="_Hlk10807916"/>
      <w:r w:rsidRPr="00303CC1">
        <w:rPr>
          <w:rFonts w:eastAsiaTheme="majorEastAsia"/>
          <w:sz w:val="28"/>
          <w:szCs w:val="28"/>
          <w:lang w:eastAsia="en-US"/>
        </w:rPr>
        <w:t>risinājumi izmeklēšanas un apsūdzības kvalitātes celšanai.</w:t>
      </w:r>
    </w:p>
    <w:p w14:paraId="2BA3E67F" w14:textId="1FB43DF3" w:rsidR="004353E0" w:rsidRPr="00303CC1" w:rsidRDefault="00571D24" w:rsidP="004353E0">
      <w:pPr>
        <w:pStyle w:val="naisf"/>
        <w:spacing w:before="0" w:after="0"/>
        <w:ind w:firstLine="0"/>
        <w:rPr>
          <w:sz w:val="28"/>
          <w:szCs w:val="28"/>
          <w:lang w:eastAsia="en-US"/>
        </w:rPr>
      </w:pPr>
      <w:bookmarkStart w:id="8" w:name="_Hlk12626461"/>
      <w:r w:rsidRPr="00303CC1">
        <w:rPr>
          <w:sz w:val="28"/>
          <w:szCs w:val="28"/>
          <w:lang w:eastAsia="en-US"/>
        </w:rPr>
        <w:tab/>
        <w:t xml:space="preserve">Izmeklēšanas un apsūdzības procesa kvalitātes uzlabošana ir valdības prioritāte, ko apliecina </w:t>
      </w:r>
      <w:r w:rsidR="00651075" w:rsidRPr="00303CC1">
        <w:rPr>
          <w:sz w:val="28"/>
          <w:szCs w:val="28"/>
          <w:lang w:eastAsia="en-US"/>
        </w:rPr>
        <w:t>Deklarācijas</w:t>
      </w:r>
      <w:r w:rsidRPr="00303CC1">
        <w:rPr>
          <w:sz w:val="28"/>
          <w:szCs w:val="28"/>
          <w:lang w:eastAsia="en-US"/>
        </w:rPr>
        <w:t xml:space="preserve"> ietvaros definēts uzdevums (178.2 uzdevums). Minētā uzdevuma ietvaros tiks veikti pasākumi, lai nodrošinātu kvalitatīvu pirmstiesas izmeklēšanas un tiesu sistēmas funkcionēšanu. Minētā uzdevuma ietvaros, veicot tieslietu sistēmas efektivitātes izvērtējumu (174.</w:t>
      </w:r>
      <w:r w:rsidR="007F2A22" w:rsidRPr="00303CC1">
        <w:rPr>
          <w:sz w:val="28"/>
          <w:szCs w:val="28"/>
          <w:lang w:eastAsia="en-US"/>
        </w:rPr>
        <w:t> </w:t>
      </w:r>
      <w:r w:rsidRPr="00303CC1">
        <w:rPr>
          <w:sz w:val="28"/>
          <w:szCs w:val="28"/>
          <w:lang w:eastAsia="en-US"/>
        </w:rPr>
        <w:t xml:space="preserve">uzdevums), tiks izstrādāti konkrēti priekšlikumi tieslietu sistēmas efektivitātes uzlabošanai. Tāpat tiks nodrošināts ieguldījums Valsts kontroles lietderības revīzijas </w:t>
      </w:r>
      <w:r w:rsidR="00B848A3" w:rsidRPr="00303CC1">
        <w:rPr>
          <w:sz w:val="28"/>
          <w:szCs w:val="28"/>
          <w:lang w:eastAsia="en-US"/>
        </w:rPr>
        <w:t>"</w:t>
      </w:r>
      <w:r w:rsidRPr="00303CC1">
        <w:rPr>
          <w:sz w:val="28"/>
          <w:szCs w:val="28"/>
          <w:lang w:eastAsia="en-US"/>
        </w:rPr>
        <w:t>Pirmstiesas izmeklēšanas efektivitāte Valsts policijā</w:t>
      </w:r>
      <w:r w:rsidR="00B848A3" w:rsidRPr="00303CC1">
        <w:rPr>
          <w:sz w:val="28"/>
          <w:szCs w:val="28"/>
          <w:lang w:eastAsia="en-US"/>
        </w:rPr>
        <w:t>"</w:t>
      </w:r>
      <w:r w:rsidRPr="00303CC1">
        <w:rPr>
          <w:sz w:val="28"/>
          <w:szCs w:val="28"/>
          <w:lang w:eastAsia="en-US"/>
        </w:rPr>
        <w:t xml:space="preserve"> konstatēto problēmu novēršanā un Valsts kontroles sniegto ieteikumu realizēšanā. </w:t>
      </w:r>
    </w:p>
    <w:p w14:paraId="18CB75AB" w14:textId="6DCECBC6" w:rsidR="007743CD" w:rsidRPr="00303CC1" w:rsidRDefault="004353E0" w:rsidP="007743CD">
      <w:pPr>
        <w:pStyle w:val="naisf"/>
        <w:spacing w:before="0" w:after="0"/>
        <w:ind w:firstLine="0"/>
        <w:rPr>
          <w:bCs/>
        </w:rPr>
      </w:pPr>
      <w:r w:rsidRPr="00303CC1">
        <w:rPr>
          <w:sz w:val="28"/>
          <w:szCs w:val="28"/>
          <w:lang w:eastAsia="en-US"/>
        </w:rPr>
        <w:tab/>
        <w:t>Jānorāda, ka konceptuālā ziņojuma ietvaros tiek risināts jautājums par specializētas tiesas izveidi, ko iespējams īstenot īstermiņā. Starpnozares pasākumu</w:t>
      </w:r>
      <w:r w:rsidR="00651075" w:rsidRPr="00303CC1">
        <w:rPr>
          <w:sz w:val="28"/>
          <w:szCs w:val="28"/>
          <w:lang w:eastAsia="en-US"/>
        </w:rPr>
        <w:t>s</w:t>
      </w:r>
      <w:r w:rsidRPr="00303CC1">
        <w:rPr>
          <w:sz w:val="28"/>
          <w:szCs w:val="28"/>
          <w:lang w:eastAsia="en-US"/>
        </w:rPr>
        <w:t>, ņemot vērā iesaistītās puses, ne vienmēr ir iespējams īstenot tikpat āt</w:t>
      </w:r>
      <w:r w:rsidR="00915A52" w:rsidRPr="00303CC1">
        <w:rPr>
          <w:sz w:val="28"/>
          <w:szCs w:val="28"/>
          <w:lang w:eastAsia="en-US"/>
        </w:rPr>
        <w:t>r</w:t>
      </w:r>
      <w:r w:rsidRPr="00303CC1">
        <w:rPr>
          <w:sz w:val="28"/>
          <w:szCs w:val="28"/>
          <w:lang w:eastAsia="en-US"/>
        </w:rPr>
        <w:t>i kā pasākum</w:t>
      </w:r>
      <w:r w:rsidR="00651075" w:rsidRPr="00303CC1">
        <w:rPr>
          <w:sz w:val="28"/>
          <w:szCs w:val="28"/>
          <w:lang w:eastAsia="en-US"/>
        </w:rPr>
        <w:t>us</w:t>
      </w:r>
      <w:r w:rsidRPr="00303CC1">
        <w:rPr>
          <w:sz w:val="28"/>
          <w:szCs w:val="28"/>
          <w:lang w:eastAsia="en-US"/>
        </w:rPr>
        <w:t>, kas aptver vienu  nozari. Tādējādi izvēlētais risinājums no efektivitātes viedokļa ir atzīstams par atbilstošāku</w:t>
      </w:r>
      <w:r w:rsidR="00042AD8" w:rsidRPr="00303CC1">
        <w:rPr>
          <w:sz w:val="28"/>
          <w:szCs w:val="28"/>
          <w:lang w:eastAsia="en-US"/>
        </w:rPr>
        <w:t xml:space="preserve">, kas neizslēdz turpmāku pasākumu īstenošanu, kas saistīti ar izmeklēšanas un apsūdzības kvalitātes uzlabošanu. </w:t>
      </w:r>
      <w:r w:rsidR="007743CD" w:rsidRPr="00303CC1">
        <w:rPr>
          <w:sz w:val="28"/>
          <w:szCs w:val="28"/>
          <w:lang w:eastAsia="en-US"/>
        </w:rPr>
        <w:t>Jāatzīmē, ka pasākumi ir izdalīti, jo to īstenošana, lai arī ir savstarpēji saistīti, tomēr nav pakārtoti viens otram. Tādējādi izvēlētais risinājums no efektivitātes viedokļa ir atzīstams par atbilstošāku.</w:t>
      </w:r>
      <w:r w:rsidR="007743CD" w:rsidRPr="00303CC1">
        <w:rPr>
          <w:bCs/>
        </w:rPr>
        <w:t xml:space="preserve">  </w:t>
      </w:r>
    </w:p>
    <w:p w14:paraId="316C5D46" w14:textId="31BF9AE2" w:rsidR="000F24F4" w:rsidRPr="00303CC1" w:rsidRDefault="000F24F4" w:rsidP="000F24F4">
      <w:pPr>
        <w:pStyle w:val="naisf"/>
        <w:spacing w:before="0" w:after="0"/>
        <w:ind w:firstLine="720"/>
        <w:rPr>
          <w:b/>
          <w:bCs/>
          <w:u w:val="single"/>
        </w:rPr>
      </w:pPr>
      <w:r w:rsidRPr="00303CC1">
        <w:rPr>
          <w:bCs/>
          <w:sz w:val="28"/>
          <w:szCs w:val="28"/>
        </w:rPr>
        <w:t>Ministru kabinets 2019.gada 25.jūnija sēdē, izskatot Tieslietu ministrijas sagatavoto informatīvo ziņojumu "Par nepieciešamību īstenot revīziju par faktoriem, kas ietekmē efektīvu kriminālprocesu par noziedzīgiem nodarījumiem ekonomikas un finanšu jomā izmeklēšanu un iztiesāšanu" (prot.Nr.30, 33.§)</w:t>
      </w:r>
      <w:r w:rsidR="007E76A7" w:rsidRPr="00303CC1">
        <w:rPr>
          <w:bCs/>
          <w:sz w:val="28"/>
          <w:szCs w:val="28"/>
        </w:rPr>
        <w:t>,</w:t>
      </w:r>
      <w:r w:rsidRPr="00303CC1">
        <w:rPr>
          <w:bCs/>
          <w:sz w:val="28"/>
          <w:szCs w:val="28"/>
        </w:rPr>
        <w:t xml:space="preserve"> pieņēma to zināšanai un atbalstīja tajā ietverto risinājumu, nosakot Tieslietu ministrijai aicināt Valsts kontroli izvērtēt iespēju veikt revīziju par faktoriem, kas ietekmē kriminālprocesu par noziedzīgiem nodarījumiem ekonomikas un finanšu jomā efektīvu izmeklēšanu un iztiesāšanu.</w:t>
      </w:r>
    </w:p>
    <w:p w14:paraId="2DB7650D" w14:textId="5A4BB3A2" w:rsidR="00571D24" w:rsidRPr="00303CC1" w:rsidRDefault="00571D24" w:rsidP="00571D24">
      <w:pPr>
        <w:widowControl w:val="0"/>
        <w:spacing w:after="120"/>
        <w:ind w:firstLine="720"/>
        <w:jc w:val="both"/>
        <w:rPr>
          <w:sz w:val="28"/>
          <w:szCs w:val="28"/>
          <w:lang w:eastAsia="en-US"/>
        </w:rPr>
      </w:pPr>
      <w:r w:rsidRPr="00303CC1">
        <w:rPr>
          <w:sz w:val="28"/>
          <w:szCs w:val="28"/>
          <w:lang w:eastAsia="en-US"/>
        </w:rPr>
        <w:t>Minētā uzdevuma ietvaros plānot</w:t>
      </w:r>
      <w:r w:rsidR="00CB1F6B" w:rsidRPr="00303CC1">
        <w:rPr>
          <w:sz w:val="28"/>
          <w:szCs w:val="28"/>
          <w:lang w:eastAsia="en-US"/>
        </w:rPr>
        <w:t>s</w:t>
      </w:r>
      <w:r w:rsidRPr="00303CC1">
        <w:rPr>
          <w:sz w:val="28"/>
          <w:szCs w:val="28"/>
          <w:lang w:eastAsia="en-US"/>
        </w:rPr>
        <w:t xml:space="preserve"> izvērtēt faktorus, kas negatīvi ietekmē efektīvu kriminālprocesu par noziedzīgiem nodarījumiem ekonomikas un finanšu jomā virzību, un sniegtu ieteikumus situācijas uzlabošanai. Tāpat jāatzīmē, ka izmeklēšanas procesa kvalitātes nodrošināšanas nolūkos 2017. gadā Valsts </w:t>
      </w:r>
      <w:r w:rsidRPr="00303CC1">
        <w:rPr>
          <w:sz w:val="28"/>
          <w:szCs w:val="28"/>
          <w:lang w:eastAsia="en-US"/>
        </w:rPr>
        <w:lastRenderedPageBreak/>
        <w:t>kontrole</w:t>
      </w:r>
      <w:r w:rsidR="00B848A3" w:rsidRPr="00303CC1">
        <w:rPr>
          <w:sz w:val="28"/>
          <w:szCs w:val="28"/>
          <w:lang w:eastAsia="en-US"/>
        </w:rPr>
        <w:t>s</w:t>
      </w:r>
      <w:r w:rsidRPr="00303CC1">
        <w:rPr>
          <w:sz w:val="28"/>
          <w:szCs w:val="28"/>
          <w:lang w:eastAsia="en-US"/>
        </w:rPr>
        <w:t xml:space="preserve"> veiktās lietderības revīzijas "Pirmstiesas izmeklēšanas efektivitāte Valsts policijā" ietvaros sniegta virkne ieteikumu. Minēto ieteikumu ieviešana ir patstāvīgi veicams uzdevums un tā īstenošana norit paralēli konceptuālā ziņojuma virzībai</w:t>
      </w:r>
      <w:r w:rsidR="00650FD0" w:rsidRPr="00303CC1">
        <w:rPr>
          <w:sz w:val="28"/>
          <w:szCs w:val="28"/>
          <w:lang w:eastAsia="en-US"/>
        </w:rPr>
        <w:t xml:space="preserve">. To </w:t>
      </w:r>
      <w:r w:rsidRPr="00303CC1">
        <w:rPr>
          <w:sz w:val="28"/>
          <w:szCs w:val="28"/>
          <w:lang w:eastAsia="en-US"/>
        </w:rPr>
        <w:t xml:space="preserve">dublēšana Ministru kabineta rīkojuma projektā nav nepieciešama. </w:t>
      </w:r>
    </w:p>
    <w:p w14:paraId="4191B945" w14:textId="285C8ADF" w:rsidR="00D25D59" w:rsidRPr="00D27255" w:rsidRDefault="006F01A7" w:rsidP="007531C3">
      <w:pPr>
        <w:pStyle w:val="Heading1"/>
        <w:jc w:val="center"/>
        <w:rPr>
          <w:rFonts w:ascii="Times New Roman" w:hAnsi="Times New Roman" w:cs="Times New Roman"/>
          <w:b/>
          <w:color w:val="auto"/>
          <w:lang w:eastAsia="en-US"/>
        </w:rPr>
      </w:pPr>
      <w:bookmarkStart w:id="9" w:name="_Toc10638792"/>
      <w:bookmarkEnd w:id="7"/>
      <w:bookmarkEnd w:id="8"/>
      <w:r w:rsidRPr="00D27255">
        <w:rPr>
          <w:rFonts w:ascii="Times New Roman" w:hAnsi="Times New Roman" w:cs="Times New Roman"/>
          <w:b/>
          <w:color w:val="auto"/>
          <w:lang w:eastAsia="en-US"/>
        </w:rPr>
        <w:t>4</w:t>
      </w:r>
      <w:r w:rsidR="00D25D59" w:rsidRPr="00D27255">
        <w:rPr>
          <w:rFonts w:ascii="Times New Roman" w:hAnsi="Times New Roman" w:cs="Times New Roman"/>
          <w:b/>
          <w:color w:val="auto"/>
          <w:lang w:eastAsia="en-US"/>
        </w:rPr>
        <w:t>. Ietekme uz valsts budžetu</w:t>
      </w:r>
      <w:bookmarkEnd w:id="9"/>
    </w:p>
    <w:p w14:paraId="0E7D7605" w14:textId="77777777" w:rsidR="00D25D59" w:rsidRPr="00D27255" w:rsidRDefault="00D25D59" w:rsidP="00D25D59">
      <w:pPr>
        <w:rPr>
          <w:lang w:eastAsia="en-US"/>
        </w:rPr>
      </w:pPr>
    </w:p>
    <w:p w14:paraId="7A0112BA" w14:textId="77777777" w:rsidR="000845E1" w:rsidRPr="00D27255" w:rsidRDefault="000845E1" w:rsidP="000845E1">
      <w:pPr>
        <w:ind w:firstLine="720"/>
        <w:jc w:val="both"/>
        <w:rPr>
          <w:b/>
          <w:sz w:val="28"/>
          <w:lang w:eastAsia="en-US"/>
        </w:rPr>
      </w:pPr>
      <w:r w:rsidRPr="00D27255">
        <w:rPr>
          <w:sz w:val="28"/>
          <w:lang w:eastAsia="en-US"/>
        </w:rPr>
        <w:t xml:space="preserve">Specializētās tiesas izveidē </w:t>
      </w:r>
      <w:r w:rsidRPr="00D27255">
        <w:rPr>
          <w:b/>
          <w:sz w:val="28"/>
          <w:lang w:eastAsia="en-US"/>
        </w:rPr>
        <w:t>tiks efektīvi izmantoti jau pieejamie tiesu finanšu resursi, no valsts budžeta veicot tikai atsevišķus papildu ieguldījumus tiesas darba nodrošināšanai.</w:t>
      </w:r>
    </w:p>
    <w:p w14:paraId="16385EE9" w14:textId="371BB57E" w:rsidR="000845E1" w:rsidRPr="00D27255" w:rsidRDefault="000845E1" w:rsidP="000845E1">
      <w:pPr>
        <w:ind w:firstLine="720"/>
        <w:jc w:val="both"/>
        <w:rPr>
          <w:sz w:val="28"/>
          <w:szCs w:val="28"/>
          <w:lang w:eastAsia="en-US"/>
        </w:rPr>
      </w:pPr>
      <w:r w:rsidRPr="00D27255">
        <w:rPr>
          <w:sz w:val="28"/>
          <w:szCs w:val="28"/>
          <w:lang w:eastAsia="en-US"/>
        </w:rPr>
        <w:t xml:space="preserve">Prognozējams, ka specializētās tiesas izveidei finansējums papildu amata vietu noteikšanai nebūtu nepieciešams. Kā minēts iepriekš pastāvīgi samazinās tiesās saņemto lietu skaits, tādējādi katras vakantās tiesneša amata vietas aizpildīšanas nepieciešamība līdz šim ir tikusi rūpīgi izvērtēta. Laika gaitā izveidojušās vakantas 14 tiesneša amata vietas un 22 darbinieku amata vietas. Lemjot par specializētās tiesas izveidi, minētās </w:t>
      </w:r>
      <w:r w:rsidRPr="00D27255">
        <w:rPr>
          <w:b/>
          <w:sz w:val="28"/>
          <w:szCs w:val="28"/>
          <w:lang w:eastAsia="en-US"/>
        </w:rPr>
        <w:t>vakantās amata vietas būtu novirzāmas specializētās tiesas kapacitātes nodrošināšanai</w:t>
      </w:r>
      <w:r w:rsidRPr="00D27255">
        <w:rPr>
          <w:sz w:val="28"/>
          <w:szCs w:val="28"/>
          <w:lang w:eastAsia="en-US"/>
        </w:rPr>
        <w:t xml:space="preserve">. </w:t>
      </w:r>
    </w:p>
    <w:p w14:paraId="0B9DD582" w14:textId="77777777" w:rsidR="000845E1" w:rsidRPr="000845E1" w:rsidRDefault="000845E1" w:rsidP="000845E1">
      <w:pPr>
        <w:jc w:val="both"/>
        <w:rPr>
          <w:sz w:val="28"/>
          <w:szCs w:val="28"/>
          <w:lang w:eastAsia="en-US"/>
        </w:rPr>
      </w:pPr>
      <w:r w:rsidRPr="00D27255">
        <w:rPr>
          <w:b/>
          <w:sz w:val="28"/>
          <w:szCs w:val="28"/>
          <w:lang w:eastAsia="en-US"/>
        </w:rPr>
        <w:tab/>
      </w:r>
      <w:r w:rsidRPr="000845E1">
        <w:rPr>
          <w:sz w:val="28"/>
          <w:szCs w:val="28"/>
          <w:lang w:eastAsia="en-US"/>
        </w:rPr>
        <w:t xml:space="preserve">Specializētajā tiesā pirmajā instancē paredzēts izveidot 10 tiesneša amata vietas un 27 tiesas darbinieka amata vietas un kopējais finansējuma apmērs tās izveidei ir </w:t>
      </w:r>
      <w:r w:rsidRPr="00B26D7F">
        <w:rPr>
          <w:sz w:val="28"/>
          <w:szCs w:val="28"/>
          <w:lang w:eastAsia="en-US"/>
        </w:rPr>
        <w:t>1 004 712 </w:t>
      </w:r>
      <w:proofErr w:type="spellStart"/>
      <w:r w:rsidRPr="00B26D7F">
        <w:rPr>
          <w:i/>
          <w:sz w:val="28"/>
          <w:szCs w:val="28"/>
          <w:lang w:eastAsia="en-US"/>
        </w:rPr>
        <w:t>euro</w:t>
      </w:r>
      <w:proofErr w:type="spellEnd"/>
      <w:r w:rsidRPr="00B26D7F">
        <w:rPr>
          <w:sz w:val="28"/>
          <w:szCs w:val="28"/>
          <w:lang w:eastAsia="en-US"/>
        </w:rPr>
        <w:t>, tai skaitā vienreizējie izdevumi 86 609 </w:t>
      </w:r>
      <w:proofErr w:type="spellStart"/>
      <w:r w:rsidRPr="00B26D7F">
        <w:rPr>
          <w:i/>
          <w:sz w:val="28"/>
          <w:szCs w:val="28"/>
          <w:lang w:eastAsia="en-US"/>
        </w:rPr>
        <w:t>euro</w:t>
      </w:r>
      <w:proofErr w:type="spellEnd"/>
      <w:r w:rsidRPr="00B26D7F">
        <w:rPr>
          <w:sz w:val="28"/>
          <w:szCs w:val="28"/>
          <w:lang w:eastAsia="en-US"/>
        </w:rPr>
        <w:t>. 918 103 </w:t>
      </w:r>
      <w:proofErr w:type="spellStart"/>
      <w:r w:rsidRPr="00B26D7F">
        <w:rPr>
          <w:i/>
          <w:sz w:val="28"/>
          <w:szCs w:val="28"/>
          <w:lang w:eastAsia="en-US"/>
        </w:rPr>
        <w:t>euro</w:t>
      </w:r>
      <w:proofErr w:type="spellEnd"/>
      <w:r w:rsidRPr="000845E1">
        <w:rPr>
          <w:sz w:val="28"/>
          <w:szCs w:val="28"/>
          <w:lang w:eastAsia="en-US"/>
        </w:rPr>
        <w:t xml:space="preserve"> tiks nodrošināti valsts budžetā piešķirtā finansējuma ietvaros, tai skaitā 37 amata vietu izveide no vakantajām tiesnešu un tiesu darbinieku amata vietām (šobrīd vakantas 10 tiesnešu amata vietas un 22 darbinieku amata vietas, piecas darbinieku amata vietas plānots novirzīt specializētās tiesas pirmajai instancei, ņemot vērā līdz gada beigām efektivitātes veicināšanas pasākumu ietvaros samazinātās amata vietas). Atlīdzībai paredzēts novirzīt 918 103 </w:t>
      </w:r>
      <w:proofErr w:type="spellStart"/>
      <w:r w:rsidRPr="000845E1">
        <w:rPr>
          <w:i/>
          <w:sz w:val="28"/>
          <w:szCs w:val="28"/>
          <w:lang w:eastAsia="en-US"/>
        </w:rPr>
        <w:t>euro</w:t>
      </w:r>
      <w:proofErr w:type="spellEnd"/>
      <w:r w:rsidRPr="000845E1">
        <w:rPr>
          <w:sz w:val="28"/>
          <w:szCs w:val="28"/>
          <w:lang w:eastAsia="en-US"/>
        </w:rPr>
        <w:t xml:space="preserve"> no vakantajām amata vietām</w:t>
      </w:r>
    </w:p>
    <w:p w14:paraId="41148CEE" w14:textId="79E59C68" w:rsidR="000845E1" w:rsidRPr="00B26D7F" w:rsidRDefault="000845E1" w:rsidP="000845E1">
      <w:pPr>
        <w:jc w:val="both"/>
        <w:rPr>
          <w:sz w:val="28"/>
          <w:szCs w:val="28"/>
          <w:lang w:eastAsia="en-US"/>
        </w:rPr>
      </w:pPr>
      <w:r w:rsidRPr="000845E1">
        <w:rPr>
          <w:sz w:val="28"/>
          <w:szCs w:val="28"/>
          <w:lang w:eastAsia="en-US"/>
        </w:rPr>
        <w:tab/>
      </w:r>
      <w:r w:rsidRPr="00B26D7F">
        <w:rPr>
          <w:sz w:val="28"/>
          <w:szCs w:val="28"/>
          <w:lang w:eastAsia="en-US"/>
        </w:rPr>
        <w:t>Apelācijas instancē specializētajai tiesai paredzēts izveidot 4 tiesneša amata vietas (4 no šobrīd vakantajām amata vietām,) un 6 tiesas darbinieku amata vietas</w:t>
      </w:r>
      <w:r w:rsidR="00582C59" w:rsidRPr="00B26D7F">
        <w:rPr>
          <w:sz w:val="28"/>
          <w:szCs w:val="28"/>
          <w:lang w:eastAsia="en-US"/>
        </w:rPr>
        <w:t xml:space="preserve">. </w:t>
      </w:r>
    </w:p>
    <w:p w14:paraId="21A344E7" w14:textId="77777777" w:rsidR="00CE7182" w:rsidRPr="00B26D7F" w:rsidRDefault="000845E1" w:rsidP="000845E1">
      <w:pPr>
        <w:jc w:val="both"/>
        <w:rPr>
          <w:sz w:val="28"/>
          <w:szCs w:val="28"/>
          <w:lang w:eastAsia="en-US"/>
        </w:rPr>
      </w:pPr>
      <w:r w:rsidRPr="00B26D7F">
        <w:rPr>
          <w:sz w:val="28"/>
          <w:szCs w:val="28"/>
          <w:lang w:eastAsia="en-US"/>
        </w:rPr>
        <w:t>Kopējās izmaksas apelācijas instances izveidei specializācijai piekritīgo lietu izskatīšanai ir 384 005 </w:t>
      </w:r>
      <w:proofErr w:type="spellStart"/>
      <w:r w:rsidRPr="00B26D7F">
        <w:rPr>
          <w:i/>
          <w:sz w:val="28"/>
          <w:szCs w:val="28"/>
          <w:lang w:eastAsia="en-US"/>
        </w:rPr>
        <w:t>euro</w:t>
      </w:r>
      <w:proofErr w:type="spellEnd"/>
      <w:r w:rsidRPr="00B26D7F">
        <w:rPr>
          <w:sz w:val="28"/>
          <w:szCs w:val="28"/>
          <w:lang w:eastAsia="en-US"/>
        </w:rPr>
        <w:t>, tai skaitā vienreizējie izdevumi 49 636 </w:t>
      </w:r>
      <w:proofErr w:type="spellStart"/>
      <w:r w:rsidRPr="00B26D7F">
        <w:rPr>
          <w:i/>
          <w:sz w:val="28"/>
          <w:szCs w:val="28"/>
          <w:lang w:eastAsia="en-US"/>
        </w:rPr>
        <w:t>euro</w:t>
      </w:r>
      <w:proofErr w:type="spellEnd"/>
      <w:r w:rsidRPr="00B26D7F">
        <w:rPr>
          <w:sz w:val="28"/>
          <w:szCs w:val="28"/>
          <w:lang w:eastAsia="en-US"/>
        </w:rPr>
        <w:t>. 334 369 </w:t>
      </w:r>
      <w:proofErr w:type="spellStart"/>
      <w:r w:rsidRPr="00B26D7F">
        <w:rPr>
          <w:i/>
          <w:sz w:val="28"/>
          <w:szCs w:val="28"/>
          <w:lang w:eastAsia="en-US"/>
        </w:rPr>
        <w:t>euro</w:t>
      </w:r>
      <w:proofErr w:type="spellEnd"/>
      <w:r w:rsidRPr="00B26D7F">
        <w:rPr>
          <w:sz w:val="28"/>
          <w:szCs w:val="28"/>
          <w:lang w:eastAsia="en-US"/>
        </w:rPr>
        <w:t xml:space="preserve"> tiks nodrošināti budžeta bāzē piešķirtā finansējuma ietvaros, tai skaitā atlīdzībai 334 369 </w:t>
      </w:r>
      <w:proofErr w:type="spellStart"/>
      <w:r w:rsidRPr="00B26D7F">
        <w:rPr>
          <w:i/>
          <w:sz w:val="28"/>
          <w:szCs w:val="28"/>
          <w:lang w:eastAsia="en-US"/>
        </w:rPr>
        <w:t>euro</w:t>
      </w:r>
      <w:proofErr w:type="spellEnd"/>
      <w:r w:rsidRPr="00B26D7F">
        <w:rPr>
          <w:sz w:val="28"/>
          <w:szCs w:val="28"/>
          <w:lang w:eastAsia="en-US"/>
        </w:rPr>
        <w:t>.</w:t>
      </w:r>
      <w:r w:rsidR="00CE7182" w:rsidRPr="00B26D7F">
        <w:rPr>
          <w:sz w:val="28"/>
          <w:szCs w:val="28"/>
          <w:lang w:eastAsia="en-US"/>
        </w:rPr>
        <w:t xml:space="preserve"> </w:t>
      </w:r>
    </w:p>
    <w:p w14:paraId="4C6F62D9" w14:textId="1A7BFCF0" w:rsidR="000845E1" w:rsidRPr="00B26D7F" w:rsidRDefault="00CE7182" w:rsidP="000845E1">
      <w:pPr>
        <w:jc w:val="both"/>
        <w:rPr>
          <w:sz w:val="28"/>
          <w:szCs w:val="28"/>
          <w:lang w:eastAsia="en-US"/>
        </w:rPr>
      </w:pPr>
      <w:r w:rsidRPr="00B26D7F">
        <w:rPr>
          <w:sz w:val="28"/>
          <w:szCs w:val="28"/>
          <w:lang w:eastAsia="en-US"/>
        </w:rPr>
        <w:tab/>
        <w:t>Paredzams, ka efektivitātes veicināšanas pasākumu ietvaros varētu tikt samazinātas vēl papildu amata vietas, ko būs iespējams novirzīt kapacitātes stiprināšanai.</w:t>
      </w:r>
    </w:p>
    <w:p w14:paraId="682FF73F" w14:textId="77777777" w:rsidR="000845E1" w:rsidRPr="00DE6003" w:rsidRDefault="000845E1" w:rsidP="000845E1">
      <w:pPr>
        <w:jc w:val="both"/>
        <w:rPr>
          <w:sz w:val="28"/>
          <w:szCs w:val="28"/>
          <w:lang w:eastAsia="en-US"/>
        </w:rPr>
      </w:pPr>
      <w:r w:rsidRPr="00D27255">
        <w:rPr>
          <w:sz w:val="28"/>
          <w:szCs w:val="28"/>
          <w:lang w:eastAsia="en-US"/>
        </w:rPr>
        <w:tab/>
      </w:r>
      <w:r w:rsidRPr="00DE6003">
        <w:rPr>
          <w:sz w:val="28"/>
          <w:szCs w:val="28"/>
          <w:lang w:eastAsia="en-US"/>
        </w:rPr>
        <w:t>Tiks vērtēta iespēja</w:t>
      </w:r>
      <w:r w:rsidRPr="00D27255">
        <w:rPr>
          <w:sz w:val="28"/>
          <w:szCs w:val="28"/>
          <w:lang w:eastAsia="en-US"/>
        </w:rPr>
        <w:t xml:space="preserve"> </w:t>
      </w:r>
      <w:r>
        <w:rPr>
          <w:sz w:val="28"/>
          <w:szCs w:val="28"/>
          <w:lang w:eastAsia="en-US"/>
        </w:rPr>
        <w:t>n</w:t>
      </w:r>
      <w:r w:rsidRPr="00D27255">
        <w:rPr>
          <w:sz w:val="28"/>
          <w:szCs w:val="28"/>
          <w:lang w:eastAsia="en-US"/>
        </w:rPr>
        <w:t>epieciešamās profesionālās apmācības specializētās tiesas tiesnešiem un darbiniekiem nodrošināt Eiropas Sociālā fonda projekta "Justīcija attīstībai" ietvaros. Ministru kabineta 2019</w:t>
      </w:r>
      <w:r w:rsidRPr="00D27255">
        <w:rPr>
          <w:sz w:val="28"/>
          <w:szCs w:val="28"/>
        </w:rPr>
        <w:t>. </w:t>
      </w:r>
      <w:r w:rsidRPr="00D27255">
        <w:rPr>
          <w:sz w:val="28"/>
          <w:szCs w:val="28"/>
          <w:lang w:eastAsia="en-US"/>
        </w:rPr>
        <w:t>gada 23</w:t>
      </w:r>
      <w:r w:rsidRPr="00D27255">
        <w:rPr>
          <w:sz w:val="28"/>
          <w:szCs w:val="28"/>
        </w:rPr>
        <w:t>. </w:t>
      </w:r>
      <w:r w:rsidRPr="00D27255">
        <w:rPr>
          <w:sz w:val="28"/>
          <w:szCs w:val="28"/>
          <w:lang w:eastAsia="en-US"/>
        </w:rPr>
        <w:t>aprīļa sēdē tika izskatīts Finanšu ministrijas sagatavotais informatīvais ziņojums "Par Kohēzijas politikas Eiropas Savienības fondu investīciju aktualitātēm līdz 2018</w:t>
      </w:r>
      <w:r w:rsidRPr="00D27255">
        <w:rPr>
          <w:sz w:val="28"/>
          <w:szCs w:val="28"/>
        </w:rPr>
        <w:t>. </w:t>
      </w:r>
      <w:r w:rsidRPr="00D27255">
        <w:rPr>
          <w:sz w:val="28"/>
          <w:szCs w:val="28"/>
          <w:lang w:eastAsia="en-US"/>
        </w:rPr>
        <w:t>gada 31</w:t>
      </w:r>
      <w:r w:rsidRPr="00D27255">
        <w:rPr>
          <w:sz w:val="28"/>
          <w:szCs w:val="28"/>
        </w:rPr>
        <w:t>. </w:t>
      </w:r>
      <w:r w:rsidRPr="00D27255">
        <w:rPr>
          <w:sz w:val="28"/>
          <w:szCs w:val="28"/>
          <w:lang w:eastAsia="en-US"/>
        </w:rPr>
        <w:t>decembrim un 2019</w:t>
      </w:r>
      <w:r w:rsidRPr="00D27255">
        <w:rPr>
          <w:sz w:val="28"/>
          <w:szCs w:val="28"/>
        </w:rPr>
        <w:t>. </w:t>
      </w:r>
      <w:r w:rsidRPr="00D27255">
        <w:rPr>
          <w:sz w:val="28"/>
          <w:szCs w:val="28"/>
          <w:lang w:eastAsia="en-US"/>
        </w:rPr>
        <w:t>gada februāra ikmēneša operatīvā informācija". Saskaņā ar ziņojuma 5</w:t>
      </w:r>
      <w:r w:rsidRPr="00D27255">
        <w:rPr>
          <w:sz w:val="28"/>
          <w:szCs w:val="28"/>
        </w:rPr>
        <w:t>. </w:t>
      </w:r>
      <w:r w:rsidRPr="00D27255">
        <w:rPr>
          <w:sz w:val="28"/>
          <w:szCs w:val="28"/>
          <w:lang w:eastAsia="en-US"/>
        </w:rPr>
        <w:t>pielikumu projektā "Justīcija attīstībai" (3</w:t>
      </w:r>
      <w:r w:rsidRPr="00D27255">
        <w:rPr>
          <w:sz w:val="28"/>
          <w:szCs w:val="28"/>
        </w:rPr>
        <w:t>. </w:t>
      </w:r>
      <w:r w:rsidRPr="00D27255">
        <w:rPr>
          <w:sz w:val="28"/>
          <w:szCs w:val="28"/>
          <w:lang w:eastAsia="en-US"/>
        </w:rPr>
        <w:t>prioritārais virziens) līdz 2018</w:t>
      </w:r>
      <w:r w:rsidRPr="00D27255">
        <w:rPr>
          <w:sz w:val="28"/>
          <w:szCs w:val="28"/>
        </w:rPr>
        <w:t>. </w:t>
      </w:r>
      <w:r w:rsidRPr="00D27255">
        <w:rPr>
          <w:sz w:val="28"/>
          <w:szCs w:val="28"/>
          <w:lang w:eastAsia="en-US"/>
        </w:rPr>
        <w:t>gada 31</w:t>
      </w:r>
      <w:r w:rsidRPr="00D27255">
        <w:rPr>
          <w:sz w:val="28"/>
          <w:szCs w:val="28"/>
        </w:rPr>
        <w:t>. </w:t>
      </w:r>
      <w:r w:rsidRPr="00D27255">
        <w:rPr>
          <w:sz w:val="28"/>
          <w:szCs w:val="28"/>
          <w:lang w:eastAsia="en-US"/>
        </w:rPr>
        <w:t xml:space="preserve">decembrim sasniegtie iznākuma, rezultāta un finanšu rādītāji </w:t>
      </w:r>
      <w:r w:rsidRPr="00D27255">
        <w:rPr>
          <w:sz w:val="28"/>
          <w:szCs w:val="28"/>
          <w:lang w:eastAsia="en-US"/>
        </w:rPr>
        <w:lastRenderedPageBreak/>
        <w:t>ir nodrošinājuši snieguma ietvara izpildi un saskaņā ar Ministru kabineta 2015</w:t>
      </w:r>
      <w:r w:rsidRPr="00D27255">
        <w:rPr>
          <w:sz w:val="28"/>
          <w:szCs w:val="28"/>
        </w:rPr>
        <w:t>. </w:t>
      </w:r>
      <w:r w:rsidRPr="00D27255">
        <w:rPr>
          <w:sz w:val="28"/>
          <w:szCs w:val="28"/>
          <w:lang w:eastAsia="en-US"/>
        </w:rPr>
        <w:t>gada 8</w:t>
      </w:r>
      <w:r w:rsidRPr="00D27255">
        <w:rPr>
          <w:sz w:val="28"/>
          <w:szCs w:val="28"/>
        </w:rPr>
        <w:t>. </w:t>
      </w:r>
      <w:r w:rsidRPr="00D27255">
        <w:rPr>
          <w:sz w:val="28"/>
          <w:szCs w:val="28"/>
          <w:lang w:eastAsia="en-US"/>
        </w:rPr>
        <w:t>decembra noteikumu Nr</w:t>
      </w:r>
      <w:r w:rsidRPr="00D27255">
        <w:rPr>
          <w:sz w:val="28"/>
          <w:szCs w:val="28"/>
        </w:rPr>
        <w:t>. </w:t>
      </w:r>
      <w:r w:rsidRPr="00D27255">
        <w:rPr>
          <w:sz w:val="28"/>
          <w:szCs w:val="28"/>
          <w:lang w:eastAsia="en-US"/>
        </w:rPr>
        <w:t>704 "Darbības programmas "Izaugsme un nodarbinātība" 3.4.1</w:t>
      </w:r>
      <w:r w:rsidRPr="00D27255">
        <w:rPr>
          <w:sz w:val="28"/>
          <w:szCs w:val="28"/>
        </w:rPr>
        <w:t>. </w:t>
      </w:r>
      <w:r w:rsidRPr="00D27255">
        <w:rPr>
          <w:sz w:val="28"/>
          <w:szCs w:val="28"/>
          <w:lang w:eastAsia="en-US"/>
        </w:rPr>
        <w:t>specifiskā atbalsta mērķa "Paaugstināt tiesu un tiesībsargājošo institūciju personāla kompetenci komercdarbības vides uzlabošanas sekmēšanai" 9. punktu Tieslietu ministrija kā Eiropas Sociālo fondu atbildīgā iestāde var lemt par projektā noteikto attiecināmo izmaksu kopsummu līdz 11 169 393 </w:t>
      </w:r>
      <w:proofErr w:type="spellStart"/>
      <w:r w:rsidRPr="00D27255">
        <w:rPr>
          <w:i/>
          <w:sz w:val="28"/>
          <w:szCs w:val="28"/>
          <w:lang w:eastAsia="en-US"/>
        </w:rPr>
        <w:t>euro</w:t>
      </w:r>
      <w:proofErr w:type="spellEnd"/>
      <w:r w:rsidRPr="00D27255">
        <w:rPr>
          <w:sz w:val="28"/>
          <w:szCs w:val="28"/>
          <w:lang w:eastAsia="en-US"/>
        </w:rPr>
        <w:t>. Saskaņā ar Ministru kabineta 2019</w:t>
      </w:r>
      <w:r w:rsidRPr="00D27255">
        <w:rPr>
          <w:sz w:val="28"/>
          <w:szCs w:val="28"/>
        </w:rPr>
        <w:t>. </w:t>
      </w:r>
      <w:r w:rsidRPr="00D27255">
        <w:rPr>
          <w:sz w:val="28"/>
          <w:szCs w:val="28"/>
          <w:lang w:eastAsia="en-US"/>
        </w:rPr>
        <w:t>gada 23</w:t>
      </w:r>
      <w:r w:rsidRPr="00D27255">
        <w:rPr>
          <w:sz w:val="28"/>
          <w:szCs w:val="28"/>
        </w:rPr>
        <w:t>. </w:t>
      </w:r>
      <w:r w:rsidRPr="00D27255">
        <w:rPr>
          <w:sz w:val="28"/>
          <w:szCs w:val="28"/>
          <w:lang w:eastAsia="en-US"/>
        </w:rPr>
        <w:t>aprīļa sēdes protokola Nr. 21 23</w:t>
      </w:r>
      <w:r w:rsidRPr="00D27255">
        <w:rPr>
          <w:sz w:val="28"/>
          <w:szCs w:val="28"/>
        </w:rPr>
        <w:t>. </w:t>
      </w:r>
      <w:r w:rsidRPr="00D27255">
        <w:rPr>
          <w:sz w:val="28"/>
          <w:szCs w:val="28"/>
          <w:lang w:eastAsia="en-US"/>
        </w:rPr>
        <w:t>§ 6</w:t>
      </w:r>
      <w:r w:rsidRPr="00D27255">
        <w:rPr>
          <w:sz w:val="28"/>
          <w:szCs w:val="28"/>
        </w:rPr>
        <w:t>. </w:t>
      </w:r>
      <w:r w:rsidRPr="00D27255">
        <w:rPr>
          <w:sz w:val="28"/>
          <w:szCs w:val="28"/>
          <w:lang w:eastAsia="en-US"/>
        </w:rPr>
        <w:t>punktu ministrijām jāsagatavo un līdz 2019</w:t>
      </w:r>
      <w:r w:rsidRPr="00D27255">
        <w:rPr>
          <w:sz w:val="28"/>
          <w:szCs w:val="28"/>
        </w:rPr>
        <w:t>. </w:t>
      </w:r>
      <w:r w:rsidRPr="00D27255">
        <w:rPr>
          <w:sz w:val="28"/>
          <w:szCs w:val="28"/>
          <w:lang w:eastAsia="en-US"/>
        </w:rPr>
        <w:t>gada 1</w:t>
      </w:r>
      <w:r w:rsidRPr="00D27255">
        <w:rPr>
          <w:sz w:val="28"/>
          <w:szCs w:val="28"/>
        </w:rPr>
        <w:t>. </w:t>
      </w:r>
      <w:r w:rsidRPr="00D27255">
        <w:rPr>
          <w:sz w:val="28"/>
          <w:szCs w:val="28"/>
          <w:lang w:eastAsia="en-US"/>
        </w:rPr>
        <w:t>jūlijam jāiesniedz Finanšu ministrijā priekšlikum</w:t>
      </w:r>
      <w:r>
        <w:rPr>
          <w:sz w:val="28"/>
          <w:szCs w:val="28"/>
          <w:lang w:eastAsia="en-US"/>
        </w:rPr>
        <w:t>i</w:t>
      </w:r>
      <w:r w:rsidRPr="00D27255">
        <w:rPr>
          <w:sz w:val="28"/>
          <w:szCs w:val="28"/>
          <w:lang w:eastAsia="en-US"/>
        </w:rPr>
        <w:t xml:space="preserve"> par prioritāro virzienu attiecīgo fondu snieguma rezerves finansējuma izmantošanu. Specializētās tiesas izveide un ar tās izveidošanu saistītās tiesnešu apmācības būtu iekļaujamas priekšlikumos minētā rezerves finansējuma izmantošanā</w:t>
      </w:r>
      <w:r w:rsidRPr="00D27255">
        <w:rPr>
          <w:rStyle w:val="FootnoteReference"/>
          <w:sz w:val="28"/>
          <w:szCs w:val="28"/>
          <w:lang w:eastAsia="en-US"/>
        </w:rPr>
        <w:footnoteReference w:id="33"/>
      </w:r>
      <w:r w:rsidRPr="00D27255">
        <w:rPr>
          <w:sz w:val="28"/>
          <w:szCs w:val="28"/>
          <w:lang w:eastAsia="en-US"/>
        </w:rPr>
        <w:t xml:space="preserve">. </w:t>
      </w:r>
      <w:r w:rsidRPr="00DE6003">
        <w:rPr>
          <w:sz w:val="28"/>
          <w:szCs w:val="28"/>
          <w:lang w:eastAsia="en-US"/>
        </w:rPr>
        <w:t xml:space="preserve">Jāatzīmē, ka Eiropas Sociālā fonda projekta "Justīcija attīstībai" ietvaros tiek nodrošinātas apmācības tiesībsargājošo institūciju darbiniekiem, tostarp, prokuroriem, tajā skaitā, tiek nodrošinātas arī starpdisciplināras apmācības. </w:t>
      </w:r>
    </w:p>
    <w:p w14:paraId="132D129E" w14:textId="5A1D2A1C" w:rsidR="000845E1" w:rsidRPr="00D27255" w:rsidRDefault="000845E1" w:rsidP="000845E1">
      <w:pPr>
        <w:ind w:firstLine="709"/>
        <w:jc w:val="both"/>
      </w:pPr>
      <w:r w:rsidRPr="00D27255">
        <w:rPr>
          <w:sz w:val="28"/>
          <w:lang w:eastAsia="en-US"/>
        </w:rPr>
        <w:tab/>
        <w:t xml:space="preserve">Līdz ar to papildus no valsts budžeta </w:t>
      </w:r>
      <w:r w:rsidRPr="00B26D7F">
        <w:rPr>
          <w:b/>
          <w:sz w:val="28"/>
          <w:lang w:eastAsia="en-US"/>
        </w:rPr>
        <w:t>2020. gadā</w:t>
      </w:r>
      <w:r w:rsidRPr="00B26D7F">
        <w:rPr>
          <w:sz w:val="28"/>
          <w:lang w:eastAsia="en-US"/>
        </w:rPr>
        <w:t xml:space="preserve"> </w:t>
      </w:r>
      <w:r w:rsidRPr="00B26D7F">
        <w:rPr>
          <w:b/>
          <w:sz w:val="28"/>
          <w:lang w:eastAsia="en-US"/>
        </w:rPr>
        <w:t>būtu</w:t>
      </w:r>
      <w:r w:rsidRPr="00B26D7F">
        <w:rPr>
          <w:sz w:val="28"/>
          <w:lang w:eastAsia="en-US"/>
        </w:rPr>
        <w:t xml:space="preserve"> </w:t>
      </w:r>
      <w:r w:rsidRPr="00B26D7F">
        <w:rPr>
          <w:b/>
          <w:sz w:val="28"/>
          <w:lang w:eastAsia="en-US"/>
        </w:rPr>
        <w:t>nepieciešami vienreizējie izdevumi aprīkojuma iegādei 136 245 </w:t>
      </w:r>
      <w:proofErr w:type="spellStart"/>
      <w:r w:rsidRPr="00B26D7F">
        <w:rPr>
          <w:b/>
          <w:i/>
          <w:sz w:val="28"/>
          <w:lang w:eastAsia="en-US"/>
        </w:rPr>
        <w:t>euro</w:t>
      </w:r>
      <w:proofErr w:type="spellEnd"/>
      <w:r w:rsidRPr="00B26D7F">
        <w:rPr>
          <w:rStyle w:val="FootnoteReference"/>
          <w:b/>
          <w:sz w:val="28"/>
          <w:lang w:eastAsia="en-US"/>
        </w:rPr>
        <w:footnoteReference w:id="34"/>
      </w:r>
      <w:r w:rsidRPr="00B26D7F">
        <w:rPr>
          <w:sz w:val="28"/>
          <w:lang w:eastAsia="en-US"/>
        </w:rPr>
        <w:t xml:space="preserve"> specializētās tiesas darbības uzsākšanai pirmajā un apelācijas instancē. No 2021. gada </w:t>
      </w:r>
      <w:r w:rsidRPr="00B26D7F">
        <w:rPr>
          <w:b/>
          <w:sz w:val="28"/>
          <w:lang w:eastAsia="en-US"/>
        </w:rPr>
        <w:t>un turpmākajos gados papildu finansējums no valsts budžeta nav nepieciešams.</w:t>
      </w:r>
      <w:r>
        <w:rPr>
          <w:b/>
          <w:sz w:val="28"/>
          <w:u w:val="single"/>
          <w:lang w:eastAsia="en-US"/>
        </w:rPr>
        <w:t xml:space="preserve"> </w:t>
      </w:r>
      <w:r w:rsidRPr="00D27255">
        <w:rPr>
          <w:sz w:val="20"/>
          <w:szCs w:val="20"/>
        </w:rPr>
        <w:t xml:space="preserve"> </w:t>
      </w:r>
      <w:r w:rsidRPr="00D27255">
        <w:rPr>
          <w:sz w:val="28"/>
          <w:lang w:eastAsia="en-US"/>
        </w:rPr>
        <w:t>Detalizēts aprēķins sniegts konceptuālā ziņojuma 2. pielikumā "Tāme specializēt</w:t>
      </w:r>
      <w:r>
        <w:rPr>
          <w:sz w:val="28"/>
          <w:lang w:eastAsia="en-US"/>
        </w:rPr>
        <w:t>a</w:t>
      </w:r>
      <w:r w:rsidRPr="00D27255">
        <w:rPr>
          <w:sz w:val="28"/>
          <w:lang w:eastAsia="en-US"/>
        </w:rPr>
        <w:t xml:space="preserve">s tiesas izveidei (pirmā instance)" un 3. pielikumā "Tāme papildu amatu izveidei apgabaltiesā". </w:t>
      </w:r>
    </w:p>
    <w:p w14:paraId="432FEC00" w14:textId="77777777" w:rsidR="000845E1" w:rsidRPr="00D27255" w:rsidRDefault="000845E1" w:rsidP="000845E1">
      <w:pPr>
        <w:ind w:firstLine="720"/>
        <w:jc w:val="both"/>
        <w:rPr>
          <w:sz w:val="28"/>
          <w:lang w:eastAsia="en-US"/>
        </w:rPr>
      </w:pPr>
      <w:r w:rsidRPr="00D27255">
        <w:rPr>
          <w:sz w:val="28"/>
          <w:lang w:eastAsia="en-US"/>
        </w:rPr>
        <w:t>Jānorāda, ka šis ir provizoriskais risinājuma ietekmes novērtējums uz valsts budžetu. Precīzs nepieciešamā finansējuma aprēķins tiks noteikts likumprojekta, kas noteiks specializētās tiesas institucionālo modeli, izstrādes gaitā un iekļauts likumprojekta sākotnējās ietekmes novērtējuma ziņojumā (anotācijā).</w:t>
      </w:r>
    </w:p>
    <w:p w14:paraId="207D831C" w14:textId="77777777" w:rsidR="000845E1" w:rsidRPr="00D27255" w:rsidRDefault="000845E1" w:rsidP="000845E1">
      <w:pPr>
        <w:ind w:firstLine="720"/>
        <w:jc w:val="both"/>
        <w:rPr>
          <w:sz w:val="28"/>
          <w:lang w:eastAsia="en-US"/>
        </w:rPr>
      </w:pPr>
      <w:r w:rsidRPr="00D27255">
        <w:rPr>
          <w:b/>
          <w:sz w:val="28"/>
          <w:lang w:eastAsia="en-US"/>
        </w:rPr>
        <w:t>Specializētā tiesa būtu ilgtermiņa ieguldījums ekonomiski attīstītas un tiesiski sakārtotas valsts izveidē, kas ilgtermiņā atmaksātos, padarot Latviju par uzņēmējdarbībai un investīcijām ekonomiski labvēlīgu valsti</w:t>
      </w:r>
      <w:r w:rsidRPr="00D27255">
        <w:rPr>
          <w:sz w:val="28"/>
          <w:lang w:eastAsia="en-US"/>
        </w:rPr>
        <w:t xml:space="preserve">. Tādējādi minētā risinājuma īstenošanai ilgtermiņā būtu pozitīva ietekme uz valsts budžeta ieņēmumiem, kas saistīti ar uzņēmējdarbības vides uzlabošanu un investīciju piesaisti. </w:t>
      </w:r>
    </w:p>
    <w:p w14:paraId="0A13C393" w14:textId="77777777" w:rsidR="00857589" w:rsidRPr="00D27255" w:rsidRDefault="00857589" w:rsidP="00735E39">
      <w:pPr>
        <w:jc w:val="both"/>
        <w:rPr>
          <w:sz w:val="28"/>
          <w:lang w:eastAsia="en-US"/>
        </w:rPr>
        <w:sectPr w:rsidR="00857589" w:rsidRPr="00D27255" w:rsidSect="000D0256">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pPr>
    </w:p>
    <w:p w14:paraId="288AE4CB" w14:textId="77777777" w:rsidR="000845E1" w:rsidRPr="00D27255" w:rsidRDefault="000845E1" w:rsidP="000845E1">
      <w:pPr>
        <w:jc w:val="center"/>
        <w:rPr>
          <w:b/>
        </w:rPr>
      </w:pPr>
      <w:bookmarkStart w:id="10" w:name="_Hlk11052032"/>
      <w:r w:rsidRPr="00D27255">
        <w:rPr>
          <w:b/>
        </w:rPr>
        <w:lastRenderedPageBreak/>
        <w:t>Kopsavilkums – specializēta</w:t>
      </w:r>
      <w:r>
        <w:rPr>
          <w:b/>
        </w:rPr>
        <w:t>s</w:t>
      </w:r>
      <w:r w:rsidRPr="00D27255">
        <w:rPr>
          <w:b/>
        </w:rPr>
        <w:t xml:space="preserve"> tiesas izveidei nepieciešamais valsts budžeta finansējums</w:t>
      </w:r>
    </w:p>
    <w:tbl>
      <w:tblPr>
        <w:tblW w:w="15346" w:type="dxa"/>
        <w:tblInd w:w="2" w:type="dxa"/>
        <w:tblCellMar>
          <w:left w:w="0" w:type="dxa"/>
          <w:right w:w="0" w:type="dxa"/>
        </w:tblCellMar>
        <w:tblLook w:val="04A0" w:firstRow="1" w:lastRow="0" w:firstColumn="1" w:lastColumn="0" w:noHBand="0" w:noVBand="1"/>
      </w:tblPr>
      <w:tblGrid>
        <w:gridCol w:w="1736"/>
        <w:gridCol w:w="1223"/>
        <w:gridCol w:w="2129"/>
        <w:gridCol w:w="1166"/>
        <w:gridCol w:w="1316"/>
        <w:gridCol w:w="1112"/>
        <w:gridCol w:w="1106"/>
        <w:gridCol w:w="1106"/>
        <w:gridCol w:w="1112"/>
        <w:gridCol w:w="1106"/>
        <w:gridCol w:w="1106"/>
        <w:gridCol w:w="1109"/>
        <w:gridCol w:w="19"/>
      </w:tblGrid>
      <w:tr w:rsidR="000845E1" w:rsidRPr="00D27255" w14:paraId="5D2702DC" w14:textId="77777777" w:rsidTr="00D7451D">
        <w:trPr>
          <w:trHeight w:val="517"/>
        </w:trPr>
        <w:tc>
          <w:tcPr>
            <w:tcW w:w="17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bookmarkEnd w:id="10"/>
          <w:p w14:paraId="73780FFE" w14:textId="77777777" w:rsidR="000845E1" w:rsidRPr="00D27255" w:rsidRDefault="000845E1" w:rsidP="00D7451D">
            <w:pPr>
              <w:jc w:val="both"/>
              <w:rPr>
                <w:b/>
                <w:bCs/>
                <w:sz w:val="20"/>
                <w:szCs w:val="20"/>
                <w:lang w:eastAsia="en-US"/>
              </w:rPr>
            </w:pPr>
            <w:r w:rsidRPr="00D27255">
              <w:rPr>
                <w:b/>
                <w:bCs/>
                <w:sz w:val="20"/>
                <w:szCs w:val="20"/>
                <w:lang w:eastAsia="en-US"/>
              </w:rPr>
              <w:t>Risinājums</w:t>
            </w:r>
          </w:p>
        </w:tc>
        <w:tc>
          <w:tcPr>
            <w:tcW w:w="12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00A71B7" w14:textId="77777777" w:rsidR="000845E1" w:rsidRPr="00D27255" w:rsidRDefault="000845E1" w:rsidP="00D7451D">
            <w:pPr>
              <w:jc w:val="both"/>
              <w:rPr>
                <w:b/>
                <w:bCs/>
                <w:sz w:val="20"/>
                <w:szCs w:val="20"/>
                <w:lang w:eastAsia="en-US"/>
              </w:rPr>
            </w:pPr>
            <w:r w:rsidRPr="00D27255">
              <w:rPr>
                <w:b/>
                <w:bCs/>
                <w:sz w:val="20"/>
                <w:szCs w:val="20"/>
                <w:lang w:eastAsia="en-US"/>
              </w:rPr>
              <w:t>Risinājums (risinājuma varianti)</w:t>
            </w:r>
          </w:p>
        </w:tc>
        <w:tc>
          <w:tcPr>
            <w:tcW w:w="21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B96FCC" w14:textId="77777777" w:rsidR="000845E1" w:rsidRPr="00D27255" w:rsidRDefault="000845E1" w:rsidP="00D7451D">
            <w:pPr>
              <w:jc w:val="both"/>
              <w:rPr>
                <w:b/>
                <w:bCs/>
                <w:sz w:val="20"/>
                <w:szCs w:val="20"/>
                <w:lang w:eastAsia="en-US"/>
              </w:rPr>
            </w:pPr>
            <w:r w:rsidRPr="00D27255">
              <w:rPr>
                <w:b/>
                <w:bCs/>
                <w:sz w:val="20"/>
                <w:szCs w:val="20"/>
                <w:lang w:eastAsia="en-US"/>
              </w:rPr>
              <w:t>Budžeta programmas (apakšprogrammas) kods un nosaukums</w:t>
            </w:r>
          </w:p>
        </w:tc>
        <w:tc>
          <w:tcPr>
            <w:tcW w:w="3594" w:type="dxa"/>
            <w:gridSpan w:val="3"/>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4029151" w14:textId="77777777" w:rsidR="000845E1" w:rsidRPr="00D27255" w:rsidRDefault="000845E1" w:rsidP="00D7451D">
            <w:pPr>
              <w:jc w:val="both"/>
              <w:rPr>
                <w:b/>
                <w:bCs/>
                <w:sz w:val="20"/>
                <w:szCs w:val="20"/>
                <w:lang w:eastAsia="en-US"/>
              </w:rPr>
            </w:pPr>
            <w:r w:rsidRPr="00D27255">
              <w:rPr>
                <w:b/>
                <w:bCs/>
                <w:sz w:val="20"/>
                <w:szCs w:val="20"/>
                <w:lang w:eastAsia="en-US"/>
              </w:rPr>
              <w:t>Specializētas tiesas izveidei nepieciešamais finansējums</w:t>
            </w:r>
          </w:p>
        </w:tc>
        <w:tc>
          <w:tcPr>
            <w:tcW w:w="3324" w:type="dxa"/>
            <w:gridSpan w:val="3"/>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18DB0B5" w14:textId="77777777" w:rsidR="000845E1" w:rsidRPr="00D27255" w:rsidRDefault="000845E1" w:rsidP="00D7451D">
            <w:pPr>
              <w:jc w:val="both"/>
              <w:rPr>
                <w:b/>
                <w:bCs/>
                <w:sz w:val="20"/>
                <w:szCs w:val="20"/>
                <w:lang w:eastAsia="en-US"/>
              </w:rPr>
            </w:pPr>
            <w:r w:rsidRPr="00D27255">
              <w:rPr>
                <w:b/>
                <w:bCs/>
                <w:sz w:val="20"/>
                <w:szCs w:val="20"/>
                <w:lang w:eastAsia="en-US"/>
              </w:rPr>
              <w:t>Valsts budžeta bāzē pieejamais finansējums</w:t>
            </w:r>
          </w:p>
        </w:tc>
        <w:tc>
          <w:tcPr>
            <w:tcW w:w="3340" w:type="dxa"/>
            <w:gridSpan w:val="4"/>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3C0F941" w14:textId="77777777" w:rsidR="000845E1" w:rsidRPr="00D27255" w:rsidRDefault="000845E1" w:rsidP="00D7451D">
            <w:pPr>
              <w:jc w:val="both"/>
              <w:rPr>
                <w:b/>
                <w:bCs/>
                <w:sz w:val="20"/>
                <w:szCs w:val="20"/>
                <w:lang w:eastAsia="en-US"/>
              </w:rPr>
            </w:pPr>
            <w:r w:rsidRPr="00D27255">
              <w:rPr>
                <w:b/>
                <w:bCs/>
                <w:sz w:val="20"/>
                <w:szCs w:val="20"/>
                <w:lang w:eastAsia="en-US"/>
              </w:rPr>
              <w:t xml:space="preserve">Nepieciešamais papildu finansējums </w:t>
            </w:r>
            <w:r w:rsidRPr="00D7451D">
              <w:rPr>
                <w:b/>
                <w:bCs/>
                <w:sz w:val="20"/>
                <w:szCs w:val="20"/>
                <w:lang w:eastAsia="en-US"/>
              </w:rPr>
              <w:t>Tieslietu ministrijai (Tiesu administrācijai)</w:t>
            </w:r>
          </w:p>
        </w:tc>
      </w:tr>
      <w:tr w:rsidR="000845E1" w:rsidRPr="00D27255" w14:paraId="512588D7" w14:textId="77777777" w:rsidTr="00D7451D">
        <w:trPr>
          <w:trHeight w:val="553"/>
        </w:trPr>
        <w:tc>
          <w:tcPr>
            <w:tcW w:w="1736" w:type="dxa"/>
            <w:vMerge/>
            <w:tcBorders>
              <w:top w:val="single" w:sz="8" w:space="0" w:color="000000"/>
              <w:left w:val="single" w:sz="8" w:space="0" w:color="000000"/>
              <w:bottom w:val="single" w:sz="8" w:space="0" w:color="000000"/>
              <w:right w:val="single" w:sz="8" w:space="0" w:color="000000"/>
            </w:tcBorders>
            <w:vAlign w:val="center"/>
            <w:hideMark/>
          </w:tcPr>
          <w:p w14:paraId="3CA5A05E" w14:textId="77777777" w:rsidR="000845E1" w:rsidRPr="00D27255" w:rsidRDefault="000845E1" w:rsidP="00D7451D">
            <w:pPr>
              <w:jc w:val="both"/>
              <w:rPr>
                <w:b/>
                <w:bCs/>
                <w:sz w:val="20"/>
                <w:szCs w:val="20"/>
                <w:lang w:eastAsia="en-US"/>
              </w:rPr>
            </w:pPr>
          </w:p>
        </w:tc>
        <w:tc>
          <w:tcPr>
            <w:tcW w:w="1223" w:type="dxa"/>
            <w:vMerge/>
            <w:tcBorders>
              <w:top w:val="single" w:sz="8" w:space="0" w:color="000000"/>
              <w:left w:val="nil"/>
              <w:bottom w:val="single" w:sz="8" w:space="0" w:color="000000"/>
              <w:right w:val="single" w:sz="8" w:space="0" w:color="000000"/>
            </w:tcBorders>
            <w:vAlign w:val="center"/>
            <w:hideMark/>
          </w:tcPr>
          <w:p w14:paraId="390605F3" w14:textId="77777777" w:rsidR="000845E1" w:rsidRPr="00D27255" w:rsidRDefault="000845E1" w:rsidP="00D7451D">
            <w:pPr>
              <w:jc w:val="both"/>
              <w:rPr>
                <w:b/>
                <w:bCs/>
                <w:sz w:val="20"/>
                <w:szCs w:val="20"/>
                <w:lang w:eastAsia="en-US"/>
              </w:rPr>
            </w:pPr>
          </w:p>
        </w:tc>
        <w:tc>
          <w:tcPr>
            <w:tcW w:w="2129" w:type="dxa"/>
            <w:vMerge/>
            <w:tcBorders>
              <w:top w:val="single" w:sz="8" w:space="0" w:color="000000"/>
              <w:left w:val="nil"/>
              <w:bottom w:val="single" w:sz="8" w:space="0" w:color="000000"/>
              <w:right w:val="single" w:sz="8" w:space="0" w:color="000000"/>
            </w:tcBorders>
            <w:vAlign w:val="center"/>
            <w:hideMark/>
          </w:tcPr>
          <w:p w14:paraId="371EFFEA" w14:textId="77777777" w:rsidR="000845E1" w:rsidRPr="00D27255" w:rsidRDefault="000845E1" w:rsidP="00D7451D">
            <w:pPr>
              <w:jc w:val="both"/>
              <w:rPr>
                <w:b/>
                <w:bCs/>
                <w:sz w:val="20"/>
                <w:szCs w:val="20"/>
                <w:lang w:eastAsia="en-US"/>
              </w:rPr>
            </w:pPr>
          </w:p>
        </w:tc>
        <w:tc>
          <w:tcPr>
            <w:tcW w:w="0" w:type="auto"/>
            <w:gridSpan w:val="3"/>
            <w:vMerge/>
            <w:tcBorders>
              <w:top w:val="single" w:sz="8" w:space="0" w:color="000000"/>
              <w:left w:val="nil"/>
              <w:bottom w:val="single" w:sz="8" w:space="0" w:color="000000"/>
              <w:right w:val="single" w:sz="8" w:space="0" w:color="000000"/>
            </w:tcBorders>
            <w:vAlign w:val="center"/>
            <w:hideMark/>
          </w:tcPr>
          <w:p w14:paraId="3B4C762C" w14:textId="77777777" w:rsidR="000845E1" w:rsidRPr="00D27255" w:rsidRDefault="000845E1" w:rsidP="00D7451D">
            <w:pPr>
              <w:jc w:val="both"/>
              <w:rPr>
                <w:b/>
                <w:bCs/>
                <w:sz w:val="20"/>
                <w:szCs w:val="20"/>
                <w:lang w:eastAsia="en-US"/>
              </w:rPr>
            </w:pPr>
          </w:p>
        </w:tc>
        <w:tc>
          <w:tcPr>
            <w:tcW w:w="0" w:type="auto"/>
            <w:gridSpan w:val="3"/>
            <w:vMerge/>
            <w:tcBorders>
              <w:top w:val="single" w:sz="8" w:space="0" w:color="000000"/>
              <w:left w:val="nil"/>
              <w:bottom w:val="single" w:sz="8" w:space="0" w:color="000000"/>
              <w:right w:val="single" w:sz="8" w:space="0" w:color="000000"/>
            </w:tcBorders>
            <w:vAlign w:val="center"/>
            <w:hideMark/>
          </w:tcPr>
          <w:p w14:paraId="7F5E385E" w14:textId="77777777" w:rsidR="000845E1" w:rsidRPr="00D27255" w:rsidRDefault="000845E1" w:rsidP="00D7451D">
            <w:pPr>
              <w:jc w:val="both"/>
              <w:rPr>
                <w:b/>
                <w:bCs/>
                <w:sz w:val="20"/>
                <w:szCs w:val="20"/>
                <w:lang w:eastAsia="en-US"/>
              </w:rPr>
            </w:pPr>
          </w:p>
        </w:tc>
        <w:tc>
          <w:tcPr>
            <w:tcW w:w="0" w:type="auto"/>
            <w:gridSpan w:val="4"/>
            <w:vMerge/>
            <w:tcBorders>
              <w:top w:val="single" w:sz="8" w:space="0" w:color="000000"/>
              <w:left w:val="nil"/>
              <w:bottom w:val="single" w:sz="8" w:space="0" w:color="000000"/>
              <w:right w:val="single" w:sz="8" w:space="0" w:color="000000"/>
            </w:tcBorders>
            <w:vAlign w:val="center"/>
            <w:hideMark/>
          </w:tcPr>
          <w:p w14:paraId="5CA56BCD" w14:textId="77777777" w:rsidR="000845E1" w:rsidRPr="00D27255" w:rsidRDefault="000845E1" w:rsidP="00D7451D">
            <w:pPr>
              <w:jc w:val="both"/>
              <w:rPr>
                <w:b/>
                <w:bCs/>
                <w:sz w:val="20"/>
                <w:szCs w:val="20"/>
                <w:lang w:eastAsia="en-US"/>
              </w:rPr>
            </w:pPr>
          </w:p>
        </w:tc>
      </w:tr>
      <w:tr w:rsidR="000845E1" w:rsidRPr="00D27255" w14:paraId="0B7CD36F" w14:textId="77777777" w:rsidTr="00D7451D">
        <w:trPr>
          <w:gridAfter w:val="1"/>
          <w:wAfter w:w="19" w:type="dxa"/>
          <w:trHeight w:val="553"/>
        </w:trPr>
        <w:tc>
          <w:tcPr>
            <w:tcW w:w="1736" w:type="dxa"/>
            <w:vMerge/>
            <w:tcBorders>
              <w:top w:val="single" w:sz="8" w:space="0" w:color="000000"/>
              <w:left w:val="single" w:sz="8" w:space="0" w:color="000000"/>
              <w:bottom w:val="single" w:sz="8" w:space="0" w:color="000000"/>
              <w:right w:val="single" w:sz="8" w:space="0" w:color="000000"/>
            </w:tcBorders>
            <w:vAlign w:val="center"/>
            <w:hideMark/>
          </w:tcPr>
          <w:p w14:paraId="27FF7321" w14:textId="77777777" w:rsidR="000845E1" w:rsidRPr="00D27255" w:rsidRDefault="000845E1" w:rsidP="00D7451D">
            <w:pPr>
              <w:jc w:val="both"/>
              <w:rPr>
                <w:b/>
                <w:bCs/>
                <w:sz w:val="20"/>
                <w:szCs w:val="20"/>
                <w:lang w:eastAsia="en-US"/>
              </w:rPr>
            </w:pPr>
          </w:p>
        </w:tc>
        <w:tc>
          <w:tcPr>
            <w:tcW w:w="1223" w:type="dxa"/>
            <w:vMerge/>
            <w:tcBorders>
              <w:top w:val="single" w:sz="8" w:space="0" w:color="000000"/>
              <w:left w:val="nil"/>
              <w:bottom w:val="single" w:sz="8" w:space="0" w:color="000000"/>
              <w:right w:val="single" w:sz="8" w:space="0" w:color="000000"/>
            </w:tcBorders>
            <w:vAlign w:val="center"/>
            <w:hideMark/>
          </w:tcPr>
          <w:p w14:paraId="0DF0765C" w14:textId="77777777" w:rsidR="000845E1" w:rsidRPr="00D27255" w:rsidRDefault="000845E1" w:rsidP="00D7451D">
            <w:pPr>
              <w:jc w:val="both"/>
              <w:rPr>
                <w:b/>
                <w:bCs/>
                <w:sz w:val="20"/>
                <w:szCs w:val="20"/>
                <w:lang w:eastAsia="en-US"/>
              </w:rPr>
            </w:pPr>
          </w:p>
        </w:tc>
        <w:tc>
          <w:tcPr>
            <w:tcW w:w="2129" w:type="dxa"/>
            <w:vMerge/>
            <w:tcBorders>
              <w:top w:val="single" w:sz="8" w:space="0" w:color="000000"/>
              <w:left w:val="nil"/>
              <w:bottom w:val="single" w:sz="8" w:space="0" w:color="000000"/>
              <w:right w:val="single" w:sz="8" w:space="0" w:color="000000"/>
            </w:tcBorders>
            <w:vAlign w:val="center"/>
            <w:hideMark/>
          </w:tcPr>
          <w:p w14:paraId="5CF951D4" w14:textId="77777777" w:rsidR="000845E1" w:rsidRPr="00D27255" w:rsidRDefault="000845E1" w:rsidP="00D7451D">
            <w:pPr>
              <w:jc w:val="both"/>
              <w:rPr>
                <w:b/>
                <w:bCs/>
                <w:sz w:val="20"/>
                <w:szCs w:val="20"/>
                <w:lang w:eastAsia="en-US"/>
              </w:rPr>
            </w:pPr>
          </w:p>
        </w:tc>
        <w:tc>
          <w:tcPr>
            <w:tcW w:w="116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C52AE0" w14:textId="77777777" w:rsidR="000845E1" w:rsidRPr="00D27255" w:rsidRDefault="000845E1" w:rsidP="00D7451D">
            <w:pPr>
              <w:jc w:val="both"/>
              <w:rPr>
                <w:b/>
                <w:bCs/>
                <w:sz w:val="20"/>
                <w:szCs w:val="20"/>
                <w:lang w:eastAsia="en-US"/>
              </w:rPr>
            </w:pPr>
            <w:r w:rsidRPr="00D27255">
              <w:rPr>
                <w:b/>
                <w:bCs/>
                <w:sz w:val="20"/>
                <w:szCs w:val="20"/>
                <w:lang w:eastAsia="en-US"/>
              </w:rPr>
              <w:t>2020.gads</w:t>
            </w:r>
          </w:p>
        </w:tc>
        <w:tc>
          <w:tcPr>
            <w:tcW w:w="131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0AACB1" w14:textId="77777777" w:rsidR="000845E1" w:rsidRPr="00D27255" w:rsidRDefault="000845E1" w:rsidP="00D7451D">
            <w:pPr>
              <w:jc w:val="both"/>
              <w:rPr>
                <w:b/>
                <w:bCs/>
                <w:sz w:val="20"/>
                <w:szCs w:val="20"/>
                <w:lang w:eastAsia="en-US"/>
              </w:rPr>
            </w:pPr>
            <w:r w:rsidRPr="00D27255">
              <w:rPr>
                <w:b/>
                <w:bCs/>
                <w:sz w:val="20"/>
                <w:szCs w:val="20"/>
                <w:lang w:eastAsia="en-US"/>
              </w:rPr>
              <w:t>2021.gads</w:t>
            </w:r>
          </w:p>
        </w:tc>
        <w:tc>
          <w:tcPr>
            <w:tcW w:w="11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8FC98F" w14:textId="77777777" w:rsidR="000845E1" w:rsidRPr="00D27255" w:rsidRDefault="000845E1" w:rsidP="00D7451D">
            <w:pPr>
              <w:jc w:val="both"/>
              <w:rPr>
                <w:b/>
                <w:bCs/>
                <w:sz w:val="20"/>
                <w:szCs w:val="20"/>
                <w:lang w:eastAsia="en-US"/>
              </w:rPr>
            </w:pPr>
            <w:r w:rsidRPr="00D27255">
              <w:rPr>
                <w:b/>
                <w:bCs/>
                <w:sz w:val="20"/>
                <w:szCs w:val="20"/>
                <w:lang w:eastAsia="en-US"/>
              </w:rPr>
              <w:t>2022.gads un turpmāk ik gadu</w:t>
            </w:r>
          </w:p>
        </w:tc>
        <w:tc>
          <w:tcPr>
            <w:tcW w:w="110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3442D3" w14:textId="77777777" w:rsidR="000845E1" w:rsidRPr="00D27255" w:rsidRDefault="000845E1" w:rsidP="00D7451D">
            <w:pPr>
              <w:jc w:val="both"/>
              <w:rPr>
                <w:b/>
                <w:bCs/>
                <w:sz w:val="20"/>
                <w:szCs w:val="20"/>
                <w:lang w:eastAsia="en-US"/>
              </w:rPr>
            </w:pPr>
            <w:r w:rsidRPr="00D27255">
              <w:rPr>
                <w:b/>
                <w:bCs/>
                <w:sz w:val="20"/>
                <w:szCs w:val="20"/>
                <w:lang w:eastAsia="en-US"/>
              </w:rPr>
              <w:t>2020.gads</w:t>
            </w:r>
          </w:p>
        </w:tc>
        <w:tc>
          <w:tcPr>
            <w:tcW w:w="110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F46442" w14:textId="77777777" w:rsidR="000845E1" w:rsidRPr="00D27255" w:rsidRDefault="000845E1" w:rsidP="00D7451D">
            <w:pPr>
              <w:jc w:val="both"/>
              <w:rPr>
                <w:b/>
                <w:bCs/>
                <w:sz w:val="20"/>
                <w:szCs w:val="20"/>
                <w:lang w:eastAsia="en-US"/>
              </w:rPr>
            </w:pPr>
            <w:r w:rsidRPr="00D27255">
              <w:rPr>
                <w:b/>
                <w:bCs/>
                <w:sz w:val="20"/>
                <w:szCs w:val="20"/>
                <w:lang w:eastAsia="en-US"/>
              </w:rPr>
              <w:t>2021.gads</w:t>
            </w:r>
          </w:p>
        </w:tc>
        <w:tc>
          <w:tcPr>
            <w:tcW w:w="11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B6F605" w14:textId="77777777" w:rsidR="000845E1" w:rsidRPr="00D27255" w:rsidRDefault="000845E1" w:rsidP="00D7451D">
            <w:pPr>
              <w:jc w:val="both"/>
              <w:rPr>
                <w:b/>
                <w:bCs/>
                <w:sz w:val="20"/>
                <w:szCs w:val="20"/>
                <w:lang w:eastAsia="en-US"/>
              </w:rPr>
            </w:pPr>
            <w:r w:rsidRPr="00D27255">
              <w:rPr>
                <w:b/>
                <w:bCs/>
                <w:sz w:val="20"/>
                <w:szCs w:val="20"/>
                <w:lang w:eastAsia="en-US"/>
              </w:rPr>
              <w:t>2022.gads un turpmāk ik gadu</w:t>
            </w:r>
          </w:p>
        </w:tc>
        <w:tc>
          <w:tcPr>
            <w:tcW w:w="110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08E094" w14:textId="77777777" w:rsidR="000845E1" w:rsidRPr="00D27255" w:rsidRDefault="000845E1" w:rsidP="00D7451D">
            <w:pPr>
              <w:jc w:val="both"/>
              <w:rPr>
                <w:b/>
                <w:bCs/>
                <w:sz w:val="20"/>
                <w:szCs w:val="20"/>
                <w:lang w:eastAsia="en-US"/>
              </w:rPr>
            </w:pPr>
            <w:r w:rsidRPr="00D27255">
              <w:rPr>
                <w:b/>
                <w:bCs/>
                <w:sz w:val="20"/>
                <w:szCs w:val="20"/>
                <w:lang w:eastAsia="en-US"/>
              </w:rPr>
              <w:t>2020.gads</w:t>
            </w:r>
          </w:p>
        </w:tc>
        <w:tc>
          <w:tcPr>
            <w:tcW w:w="110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9C6189" w14:textId="77777777" w:rsidR="000845E1" w:rsidRPr="00D27255" w:rsidRDefault="000845E1" w:rsidP="00D7451D">
            <w:pPr>
              <w:jc w:val="both"/>
              <w:rPr>
                <w:b/>
                <w:bCs/>
                <w:sz w:val="20"/>
                <w:szCs w:val="20"/>
                <w:lang w:eastAsia="en-US"/>
              </w:rPr>
            </w:pPr>
            <w:r w:rsidRPr="00D27255">
              <w:rPr>
                <w:b/>
                <w:bCs/>
                <w:sz w:val="20"/>
                <w:szCs w:val="20"/>
                <w:lang w:eastAsia="en-US"/>
              </w:rPr>
              <w:t>2021.gads</w:t>
            </w:r>
          </w:p>
        </w:tc>
        <w:tc>
          <w:tcPr>
            <w:tcW w:w="110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56A174" w14:textId="77777777" w:rsidR="000845E1" w:rsidRPr="00D27255" w:rsidRDefault="000845E1" w:rsidP="00D7451D">
            <w:pPr>
              <w:jc w:val="both"/>
              <w:rPr>
                <w:b/>
                <w:bCs/>
                <w:sz w:val="20"/>
                <w:szCs w:val="20"/>
                <w:lang w:eastAsia="en-US"/>
              </w:rPr>
            </w:pPr>
            <w:r w:rsidRPr="00D27255">
              <w:rPr>
                <w:b/>
                <w:bCs/>
                <w:sz w:val="20"/>
                <w:szCs w:val="20"/>
                <w:lang w:eastAsia="en-US"/>
              </w:rPr>
              <w:t>2022.gads un turpmāk ik gadu</w:t>
            </w:r>
          </w:p>
        </w:tc>
      </w:tr>
      <w:tr w:rsidR="000845E1" w:rsidRPr="00D27255" w14:paraId="2C09A497" w14:textId="77777777" w:rsidTr="00D7451D">
        <w:trPr>
          <w:gridAfter w:val="1"/>
          <w:wAfter w:w="19" w:type="dxa"/>
          <w:trHeight w:val="553"/>
        </w:trPr>
        <w:tc>
          <w:tcPr>
            <w:tcW w:w="1736" w:type="dxa"/>
            <w:vMerge/>
            <w:tcBorders>
              <w:top w:val="single" w:sz="8" w:space="0" w:color="000000"/>
              <w:left w:val="single" w:sz="8" w:space="0" w:color="000000"/>
              <w:bottom w:val="single" w:sz="8" w:space="0" w:color="000000"/>
              <w:right w:val="single" w:sz="8" w:space="0" w:color="000000"/>
            </w:tcBorders>
            <w:vAlign w:val="center"/>
            <w:hideMark/>
          </w:tcPr>
          <w:p w14:paraId="4EC7F934" w14:textId="77777777" w:rsidR="000845E1" w:rsidRPr="00D27255" w:rsidRDefault="000845E1" w:rsidP="00D7451D">
            <w:pPr>
              <w:jc w:val="both"/>
              <w:rPr>
                <w:b/>
                <w:bCs/>
                <w:sz w:val="20"/>
                <w:szCs w:val="20"/>
                <w:lang w:eastAsia="en-US"/>
              </w:rPr>
            </w:pPr>
          </w:p>
        </w:tc>
        <w:tc>
          <w:tcPr>
            <w:tcW w:w="1223" w:type="dxa"/>
            <w:vMerge/>
            <w:tcBorders>
              <w:top w:val="single" w:sz="8" w:space="0" w:color="000000"/>
              <w:left w:val="nil"/>
              <w:bottom w:val="single" w:sz="8" w:space="0" w:color="000000"/>
              <w:right w:val="single" w:sz="8" w:space="0" w:color="000000"/>
            </w:tcBorders>
            <w:vAlign w:val="center"/>
            <w:hideMark/>
          </w:tcPr>
          <w:p w14:paraId="68B01C5A" w14:textId="77777777" w:rsidR="000845E1" w:rsidRPr="00D27255" w:rsidRDefault="000845E1" w:rsidP="00D7451D">
            <w:pPr>
              <w:jc w:val="both"/>
              <w:rPr>
                <w:b/>
                <w:bCs/>
                <w:sz w:val="20"/>
                <w:szCs w:val="20"/>
                <w:lang w:eastAsia="en-US"/>
              </w:rPr>
            </w:pPr>
          </w:p>
        </w:tc>
        <w:tc>
          <w:tcPr>
            <w:tcW w:w="2129" w:type="dxa"/>
            <w:vMerge/>
            <w:tcBorders>
              <w:top w:val="single" w:sz="8" w:space="0" w:color="000000"/>
              <w:left w:val="nil"/>
              <w:bottom w:val="single" w:sz="8" w:space="0" w:color="000000"/>
              <w:right w:val="single" w:sz="8" w:space="0" w:color="000000"/>
            </w:tcBorders>
            <w:vAlign w:val="center"/>
            <w:hideMark/>
          </w:tcPr>
          <w:p w14:paraId="473C8814"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783D49DE"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6247CB59"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7750FF5A"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796120B8"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1E312AF5"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5F49B312"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2967B0FA"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09FD2ED4" w14:textId="77777777" w:rsidR="000845E1" w:rsidRPr="00D27255" w:rsidRDefault="000845E1" w:rsidP="00D7451D">
            <w:pPr>
              <w:jc w:val="both"/>
              <w:rPr>
                <w:b/>
                <w:bCs/>
                <w:sz w:val="20"/>
                <w:szCs w:val="20"/>
                <w:lang w:eastAsia="en-US"/>
              </w:rPr>
            </w:pPr>
          </w:p>
        </w:tc>
        <w:tc>
          <w:tcPr>
            <w:tcW w:w="0" w:type="auto"/>
            <w:vMerge/>
            <w:tcBorders>
              <w:top w:val="nil"/>
              <w:left w:val="nil"/>
              <w:bottom w:val="single" w:sz="8" w:space="0" w:color="000000"/>
              <w:right w:val="single" w:sz="8" w:space="0" w:color="000000"/>
            </w:tcBorders>
            <w:vAlign w:val="center"/>
            <w:hideMark/>
          </w:tcPr>
          <w:p w14:paraId="50FA43D8" w14:textId="77777777" w:rsidR="000845E1" w:rsidRPr="00D27255" w:rsidRDefault="000845E1" w:rsidP="00D7451D">
            <w:pPr>
              <w:jc w:val="both"/>
              <w:rPr>
                <w:b/>
                <w:bCs/>
                <w:sz w:val="20"/>
                <w:szCs w:val="20"/>
                <w:lang w:eastAsia="en-US"/>
              </w:rPr>
            </w:pPr>
          </w:p>
        </w:tc>
      </w:tr>
      <w:tr w:rsidR="000845E1" w:rsidRPr="00D27255" w14:paraId="5F73DF04" w14:textId="77777777" w:rsidTr="00D7451D">
        <w:trPr>
          <w:gridAfter w:val="1"/>
          <w:wAfter w:w="19" w:type="dxa"/>
          <w:trHeight w:val="73"/>
        </w:trPr>
        <w:tc>
          <w:tcPr>
            <w:tcW w:w="1736" w:type="dxa"/>
            <w:tcBorders>
              <w:top w:val="nil"/>
              <w:left w:val="single" w:sz="8" w:space="0" w:color="000000"/>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08FBF6A5" w14:textId="77777777" w:rsidR="000845E1" w:rsidRPr="00D27255" w:rsidRDefault="000845E1" w:rsidP="00D7451D">
            <w:pPr>
              <w:jc w:val="both"/>
              <w:rPr>
                <w:b/>
                <w:bCs/>
                <w:sz w:val="20"/>
                <w:szCs w:val="20"/>
                <w:lang w:eastAsia="en-US"/>
              </w:rPr>
            </w:pPr>
            <w:r w:rsidRPr="00D27255">
              <w:rPr>
                <w:b/>
                <w:bCs/>
                <w:sz w:val="20"/>
                <w:szCs w:val="20"/>
                <w:lang w:eastAsia="en-US"/>
              </w:rPr>
              <w:t>Finansējums konceptuālā ziņojuma īstenošanai kopā</w:t>
            </w:r>
          </w:p>
        </w:tc>
        <w:tc>
          <w:tcPr>
            <w:tcW w:w="1223"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4531DDD9" w14:textId="77777777" w:rsidR="000845E1" w:rsidRPr="00D27255" w:rsidRDefault="000845E1" w:rsidP="00D7451D">
            <w:pPr>
              <w:jc w:val="both"/>
              <w:rPr>
                <w:b/>
                <w:bCs/>
                <w:sz w:val="20"/>
                <w:szCs w:val="20"/>
                <w:lang w:eastAsia="en-US"/>
              </w:rPr>
            </w:pPr>
            <w:r w:rsidRPr="00D27255">
              <w:rPr>
                <w:b/>
                <w:bCs/>
                <w:sz w:val="20"/>
                <w:szCs w:val="20"/>
                <w:lang w:eastAsia="en-US"/>
              </w:rPr>
              <w:t> </w:t>
            </w:r>
          </w:p>
        </w:tc>
        <w:tc>
          <w:tcPr>
            <w:tcW w:w="2129"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2518B9BB" w14:textId="77777777" w:rsidR="000845E1" w:rsidRPr="00D27255" w:rsidRDefault="000845E1" w:rsidP="00D7451D">
            <w:pPr>
              <w:jc w:val="both"/>
              <w:rPr>
                <w:b/>
                <w:bCs/>
                <w:sz w:val="20"/>
                <w:szCs w:val="20"/>
                <w:lang w:eastAsia="en-US"/>
              </w:rPr>
            </w:pPr>
            <w:r w:rsidRPr="00D27255">
              <w:rPr>
                <w:b/>
                <w:bCs/>
                <w:sz w:val="20"/>
                <w:szCs w:val="20"/>
                <w:lang w:eastAsia="en-US"/>
              </w:rPr>
              <w:t> </w:t>
            </w:r>
          </w:p>
        </w:tc>
        <w:tc>
          <w:tcPr>
            <w:tcW w:w="116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409A03FD" w14:textId="77777777" w:rsidR="000845E1" w:rsidRPr="00D27255" w:rsidRDefault="000845E1" w:rsidP="00D7451D">
            <w:pPr>
              <w:jc w:val="both"/>
              <w:rPr>
                <w:b/>
                <w:bCs/>
                <w:sz w:val="20"/>
                <w:szCs w:val="20"/>
                <w:lang w:eastAsia="en-US"/>
              </w:rPr>
            </w:pPr>
            <w:r>
              <w:rPr>
                <w:b/>
                <w:bCs/>
                <w:sz w:val="20"/>
                <w:szCs w:val="20"/>
                <w:lang w:eastAsia="en-US"/>
              </w:rPr>
              <w:t>136 245</w:t>
            </w:r>
          </w:p>
        </w:tc>
        <w:tc>
          <w:tcPr>
            <w:tcW w:w="131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6F97DE91" w14:textId="77777777" w:rsidR="000845E1" w:rsidRPr="00D27255" w:rsidRDefault="000845E1" w:rsidP="00D7451D">
            <w:pPr>
              <w:jc w:val="both"/>
              <w:rPr>
                <w:b/>
                <w:bCs/>
                <w:sz w:val="20"/>
                <w:szCs w:val="20"/>
                <w:lang w:eastAsia="en-US"/>
              </w:rPr>
            </w:pPr>
            <w:r>
              <w:rPr>
                <w:b/>
                <w:bCs/>
                <w:sz w:val="20"/>
                <w:szCs w:val="20"/>
                <w:lang w:eastAsia="en-US"/>
              </w:rPr>
              <w:t>1 252 472</w:t>
            </w:r>
          </w:p>
        </w:tc>
        <w:tc>
          <w:tcPr>
            <w:tcW w:w="111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304262D4" w14:textId="77777777" w:rsidR="000845E1" w:rsidRPr="00D27255" w:rsidRDefault="000845E1" w:rsidP="00D7451D">
            <w:pPr>
              <w:jc w:val="both"/>
              <w:rPr>
                <w:b/>
                <w:bCs/>
                <w:sz w:val="20"/>
                <w:szCs w:val="20"/>
                <w:lang w:eastAsia="en-US"/>
              </w:rPr>
            </w:pPr>
            <w:r>
              <w:rPr>
                <w:b/>
                <w:bCs/>
                <w:sz w:val="20"/>
                <w:szCs w:val="20"/>
                <w:lang w:eastAsia="en-US"/>
              </w:rPr>
              <w:t>1 252 472</w:t>
            </w:r>
          </w:p>
        </w:tc>
        <w:tc>
          <w:tcPr>
            <w:tcW w:w="110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7DD6261E" w14:textId="77777777" w:rsidR="000845E1" w:rsidRPr="00D27255" w:rsidRDefault="000845E1" w:rsidP="00D7451D">
            <w:pPr>
              <w:jc w:val="both"/>
              <w:rPr>
                <w:b/>
                <w:bCs/>
                <w:sz w:val="20"/>
                <w:szCs w:val="20"/>
                <w:lang w:eastAsia="en-US"/>
              </w:rPr>
            </w:pPr>
            <w:r>
              <w:rPr>
                <w:b/>
                <w:bCs/>
                <w:sz w:val="20"/>
                <w:szCs w:val="20"/>
                <w:lang w:eastAsia="en-US"/>
              </w:rPr>
              <w:t>0</w:t>
            </w:r>
          </w:p>
        </w:tc>
        <w:tc>
          <w:tcPr>
            <w:tcW w:w="110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1B815B90" w14:textId="77777777" w:rsidR="000845E1" w:rsidRPr="00D27255" w:rsidRDefault="000845E1" w:rsidP="00D7451D">
            <w:pPr>
              <w:jc w:val="both"/>
              <w:rPr>
                <w:b/>
                <w:bCs/>
                <w:sz w:val="20"/>
                <w:szCs w:val="20"/>
                <w:lang w:eastAsia="en-US"/>
              </w:rPr>
            </w:pPr>
            <w:r>
              <w:rPr>
                <w:b/>
                <w:bCs/>
                <w:sz w:val="20"/>
                <w:szCs w:val="20"/>
                <w:lang w:eastAsia="en-US"/>
              </w:rPr>
              <w:t>1 252 472</w:t>
            </w:r>
          </w:p>
        </w:tc>
        <w:tc>
          <w:tcPr>
            <w:tcW w:w="1112"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4CA27728" w14:textId="77777777" w:rsidR="000845E1" w:rsidRPr="00D27255" w:rsidRDefault="000845E1" w:rsidP="00D7451D">
            <w:pPr>
              <w:jc w:val="both"/>
              <w:rPr>
                <w:b/>
                <w:bCs/>
                <w:sz w:val="20"/>
                <w:szCs w:val="20"/>
                <w:lang w:eastAsia="en-US"/>
              </w:rPr>
            </w:pPr>
            <w:r>
              <w:rPr>
                <w:b/>
                <w:bCs/>
                <w:sz w:val="20"/>
                <w:szCs w:val="20"/>
                <w:lang w:eastAsia="en-US"/>
              </w:rPr>
              <w:t>1 252 472</w:t>
            </w:r>
          </w:p>
        </w:tc>
        <w:tc>
          <w:tcPr>
            <w:tcW w:w="110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0FC21D30" w14:textId="77777777" w:rsidR="000845E1" w:rsidRPr="00D27255" w:rsidRDefault="000845E1" w:rsidP="00D7451D">
            <w:pPr>
              <w:jc w:val="both"/>
              <w:rPr>
                <w:b/>
                <w:bCs/>
                <w:sz w:val="20"/>
                <w:szCs w:val="20"/>
                <w:lang w:eastAsia="en-US"/>
              </w:rPr>
            </w:pPr>
            <w:r>
              <w:rPr>
                <w:b/>
                <w:bCs/>
                <w:sz w:val="20"/>
                <w:szCs w:val="20"/>
                <w:lang w:eastAsia="en-US"/>
              </w:rPr>
              <w:t>136 245</w:t>
            </w:r>
          </w:p>
        </w:tc>
        <w:tc>
          <w:tcPr>
            <w:tcW w:w="1106"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24E6843E" w14:textId="77777777" w:rsidR="000845E1" w:rsidRPr="00D27255" w:rsidRDefault="000845E1" w:rsidP="00D7451D">
            <w:pPr>
              <w:jc w:val="both"/>
              <w:rPr>
                <w:b/>
                <w:bCs/>
                <w:sz w:val="20"/>
                <w:szCs w:val="20"/>
                <w:lang w:eastAsia="en-US"/>
              </w:rPr>
            </w:pPr>
            <w:r>
              <w:rPr>
                <w:b/>
                <w:bCs/>
                <w:sz w:val="20"/>
                <w:szCs w:val="20"/>
                <w:lang w:eastAsia="en-US"/>
              </w:rPr>
              <w:t>0</w:t>
            </w:r>
          </w:p>
        </w:tc>
        <w:tc>
          <w:tcPr>
            <w:tcW w:w="1109" w:type="dxa"/>
            <w:tcBorders>
              <w:top w:val="nil"/>
              <w:left w:val="nil"/>
              <w:bottom w:val="single" w:sz="8" w:space="0" w:color="000000"/>
              <w:right w:val="single" w:sz="8" w:space="0" w:color="000000"/>
            </w:tcBorders>
            <w:shd w:val="clear" w:color="auto" w:fill="C4BC96"/>
            <w:tcMar>
              <w:top w:w="0" w:type="dxa"/>
              <w:left w:w="108" w:type="dxa"/>
              <w:bottom w:w="0" w:type="dxa"/>
              <w:right w:w="108" w:type="dxa"/>
            </w:tcMar>
            <w:vAlign w:val="center"/>
            <w:hideMark/>
          </w:tcPr>
          <w:p w14:paraId="3A6C1524" w14:textId="77777777" w:rsidR="000845E1" w:rsidRPr="00D27255" w:rsidRDefault="000845E1" w:rsidP="00D7451D">
            <w:pPr>
              <w:jc w:val="both"/>
              <w:rPr>
                <w:b/>
                <w:bCs/>
                <w:sz w:val="20"/>
                <w:szCs w:val="20"/>
                <w:lang w:eastAsia="en-US"/>
              </w:rPr>
            </w:pPr>
            <w:r>
              <w:rPr>
                <w:b/>
                <w:bCs/>
                <w:sz w:val="20"/>
                <w:szCs w:val="20"/>
                <w:lang w:eastAsia="en-US"/>
              </w:rPr>
              <w:t>0</w:t>
            </w:r>
          </w:p>
        </w:tc>
      </w:tr>
      <w:tr w:rsidR="000845E1" w:rsidRPr="00D27255" w14:paraId="17B9BB7C" w14:textId="77777777" w:rsidTr="00D7451D">
        <w:trPr>
          <w:gridAfter w:val="1"/>
          <w:wAfter w:w="19" w:type="dxa"/>
          <w:trHeight w:val="43"/>
        </w:trPr>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3F8D97" w14:textId="77777777" w:rsidR="000845E1" w:rsidRPr="00D27255" w:rsidRDefault="000845E1" w:rsidP="00D7451D">
            <w:pPr>
              <w:jc w:val="both"/>
              <w:rPr>
                <w:sz w:val="20"/>
                <w:szCs w:val="20"/>
                <w:lang w:eastAsia="en-US"/>
              </w:rPr>
            </w:pPr>
            <w:r w:rsidRPr="00D27255">
              <w:rPr>
                <w:sz w:val="20"/>
                <w:szCs w:val="20"/>
                <w:lang w:eastAsia="en-US"/>
              </w:rPr>
              <w:t>tajā skaitā</w:t>
            </w:r>
          </w:p>
        </w:tc>
        <w:tc>
          <w:tcPr>
            <w:tcW w:w="12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27E4B2"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21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7D70D5"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5E71FF"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3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481C94"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7D248A"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EFCCFA"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975CA0"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C93CBE"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C1DF6"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865782"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D7FAB5" w14:textId="77777777" w:rsidR="000845E1" w:rsidRPr="00D27255" w:rsidRDefault="000845E1" w:rsidP="00D7451D">
            <w:pPr>
              <w:jc w:val="both"/>
              <w:rPr>
                <w:i/>
                <w:iCs/>
                <w:sz w:val="20"/>
                <w:szCs w:val="20"/>
                <w:lang w:eastAsia="en-US"/>
              </w:rPr>
            </w:pPr>
            <w:r w:rsidRPr="00D27255">
              <w:rPr>
                <w:i/>
                <w:iCs/>
                <w:sz w:val="20"/>
                <w:szCs w:val="20"/>
                <w:lang w:eastAsia="en-US"/>
              </w:rPr>
              <w:t> </w:t>
            </w:r>
          </w:p>
        </w:tc>
      </w:tr>
      <w:tr w:rsidR="000845E1" w:rsidRPr="00D27255" w14:paraId="17A295DB" w14:textId="77777777" w:rsidTr="00D7451D">
        <w:trPr>
          <w:gridAfter w:val="1"/>
          <w:wAfter w:w="19" w:type="dxa"/>
          <w:trHeight w:val="43"/>
        </w:trPr>
        <w:tc>
          <w:tcPr>
            <w:tcW w:w="173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4B5A53B2" w14:textId="77777777" w:rsidR="000845E1" w:rsidRPr="00D27255" w:rsidRDefault="000845E1" w:rsidP="00D7451D">
            <w:pPr>
              <w:jc w:val="both"/>
              <w:rPr>
                <w:sz w:val="20"/>
                <w:szCs w:val="20"/>
                <w:lang w:eastAsia="en-US"/>
              </w:rPr>
            </w:pPr>
            <w:r w:rsidRPr="00D27255">
              <w:rPr>
                <w:sz w:val="20"/>
                <w:szCs w:val="20"/>
                <w:lang w:eastAsia="en-US"/>
              </w:rPr>
              <w:t>Valsts budžets</w:t>
            </w:r>
          </w:p>
        </w:tc>
        <w:tc>
          <w:tcPr>
            <w:tcW w:w="122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6349B0B9"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2129"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1D0D99FA"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6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2DD8CD75" w14:textId="77777777" w:rsidR="000845E1" w:rsidRPr="00D27255" w:rsidRDefault="000845E1" w:rsidP="00D7451D">
            <w:pPr>
              <w:jc w:val="both"/>
              <w:rPr>
                <w:i/>
                <w:iCs/>
                <w:sz w:val="20"/>
                <w:szCs w:val="20"/>
                <w:lang w:eastAsia="en-US"/>
              </w:rPr>
            </w:pPr>
            <w:r>
              <w:rPr>
                <w:i/>
                <w:iCs/>
                <w:sz w:val="20"/>
                <w:szCs w:val="20"/>
                <w:lang w:eastAsia="en-US"/>
              </w:rPr>
              <w:t>136 245</w:t>
            </w:r>
          </w:p>
        </w:tc>
        <w:tc>
          <w:tcPr>
            <w:tcW w:w="131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714EDFD6"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1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79EE08E1"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3BD78E8F" w14:textId="77777777" w:rsidR="000845E1" w:rsidRPr="00D27255" w:rsidRDefault="000845E1" w:rsidP="00D7451D">
            <w:pPr>
              <w:jc w:val="both"/>
              <w:rPr>
                <w:i/>
                <w:iCs/>
                <w:sz w:val="20"/>
                <w:szCs w:val="20"/>
                <w:lang w:eastAsia="en-US"/>
              </w:rPr>
            </w:pPr>
            <w:r>
              <w:rPr>
                <w:i/>
                <w:iCs/>
                <w:sz w:val="20"/>
                <w:szCs w:val="20"/>
                <w:lang w:eastAsia="en-US"/>
              </w:rPr>
              <w:t>0</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5784D04D"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1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1D37F756"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07185E29" w14:textId="77777777" w:rsidR="000845E1" w:rsidRPr="00D27255" w:rsidRDefault="000845E1" w:rsidP="00D7451D">
            <w:pPr>
              <w:jc w:val="both"/>
              <w:rPr>
                <w:i/>
                <w:iCs/>
                <w:sz w:val="20"/>
                <w:szCs w:val="20"/>
                <w:lang w:eastAsia="en-US"/>
              </w:rPr>
            </w:pPr>
            <w:r>
              <w:rPr>
                <w:i/>
                <w:iCs/>
                <w:sz w:val="20"/>
                <w:szCs w:val="20"/>
                <w:lang w:eastAsia="en-US"/>
              </w:rPr>
              <w:t>136 245</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4CE0FC0C" w14:textId="77777777" w:rsidR="000845E1" w:rsidRPr="00D27255" w:rsidRDefault="000845E1" w:rsidP="00D7451D">
            <w:pPr>
              <w:jc w:val="both"/>
              <w:rPr>
                <w:i/>
                <w:iCs/>
                <w:sz w:val="20"/>
                <w:szCs w:val="20"/>
                <w:lang w:eastAsia="en-US"/>
              </w:rPr>
            </w:pPr>
            <w:r>
              <w:rPr>
                <w:i/>
                <w:iCs/>
                <w:sz w:val="20"/>
                <w:szCs w:val="20"/>
                <w:lang w:eastAsia="en-US"/>
              </w:rPr>
              <w:t>0</w:t>
            </w:r>
          </w:p>
        </w:tc>
        <w:tc>
          <w:tcPr>
            <w:tcW w:w="1109"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6E323831" w14:textId="77777777" w:rsidR="000845E1" w:rsidRPr="00D27255" w:rsidRDefault="000845E1" w:rsidP="00D7451D">
            <w:pPr>
              <w:jc w:val="both"/>
              <w:rPr>
                <w:i/>
                <w:iCs/>
                <w:sz w:val="20"/>
                <w:szCs w:val="20"/>
                <w:lang w:eastAsia="en-US"/>
              </w:rPr>
            </w:pPr>
            <w:r>
              <w:rPr>
                <w:i/>
                <w:iCs/>
                <w:sz w:val="20"/>
                <w:szCs w:val="20"/>
                <w:lang w:eastAsia="en-US"/>
              </w:rPr>
              <w:t>0</w:t>
            </w:r>
          </w:p>
        </w:tc>
      </w:tr>
      <w:tr w:rsidR="000845E1" w:rsidRPr="00D27255" w14:paraId="36763BEC" w14:textId="77777777" w:rsidTr="00D7451D">
        <w:trPr>
          <w:gridAfter w:val="1"/>
          <w:wAfter w:w="19" w:type="dxa"/>
          <w:trHeight w:val="43"/>
        </w:trPr>
        <w:tc>
          <w:tcPr>
            <w:tcW w:w="173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535BB552" w14:textId="77777777" w:rsidR="000845E1" w:rsidRPr="00D27255" w:rsidRDefault="000845E1" w:rsidP="00D7451D">
            <w:pPr>
              <w:jc w:val="both"/>
              <w:rPr>
                <w:sz w:val="20"/>
                <w:szCs w:val="20"/>
                <w:lang w:eastAsia="en-US"/>
              </w:rPr>
            </w:pPr>
            <w:r w:rsidRPr="00D27255">
              <w:rPr>
                <w:sz w:val="20"/>
                <w:szCs w:val="20"/>
                <w:lang w:eastAsia="en-US"/>
              </w:rPr>
              <w:t>Pašvaldību budžets</w:t>
            </w:r>
          </w:p>
        </w:tc>
        <w:tc>
          <w:tcPr>
            <w:tcW w:w="1223"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0047DE90" w14:textId="77777777" w:rsidR="000845E1" w:rsidRPr="00D27255" w:rsidRDefault="000845E1" w:rsidP="00D7451D">
            <w:pPr>
              <w:jc w:val="both"/>
              <w:rPr>
                <w:sz w:val="20"/>
                <w:szCs w:val="20"/>
                <w:lang w:eastAsia="en-US"/>
              </w:rPr>
            </w:pPr>
            <w:r w:rsidRPr="00D27255">
              <w:rPr>
                <w:sz w:val="20"/>
                <w:szCs w:val="20"/>
                <w:lang w:eastAsia="en-US"/>
              </w:rPr>
              <w:t> </w:t>
            </w:r>
          </w:p>
        </w:tc>
        <w:tc>
          <w:tcPr>
            <w:tcW w:w="2129"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6031F0A2" w14:textId="77777777" w:rsidR="000845E1" w:rsidRPr="00D27255" w:rsidRDefault="000845E1" w:rsidP="00D7451D">
            <w:pPr>
              <w:jc w:val="both"/>
              <w:rPr>
                <w:sz w:val="20"/>
                <w:szCs w:val="20"/>
                <w:lang w:eastAsia="en-US"/>
              </w:rPr>
            </w:pPr>
            <w:r w:rsidRPr="00D27255">
              <w:rPr>
                <w:sz w:val="20"/>
                <w:szCs w:val="20"/>
                <w:lang w:eastAsia="en-US"/>
              </w:rPr>
              <w:t> </w:t>
            </w:r>
          </w:p>
        </w:tc>
        <w:tc>
          <w:tcPr>
            <w:tcW w:w="116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76E96B24" w14:textId="77777777" w:rsidR="000845E1" w:rsidRPr="00D27255" w:rsidRDefault="000845E1" w:rsidP="00D7451D">
            <w:pPr>
              <w:jc w:val="both"/>
              <w:rPr>
                <w:sz w:val="20"/>
                <w:szCs w:val="20"/>
                <w:lang w:eastAsia="en-US"/>
              </w:rPr>
            </w:pPr>
            <w:r w:rsidRPr="00D27255">
              <w:rPr>
                <w:sz w:val="20"/>
                <w:szCs w:val="20"/>
                <w:lang w:eastAsia="en-US"/>
              </w:rPr>
              <w:t>0</w:t>
            </w:r>
          </w:p>
        </w:tc>
        <w:tc>
          <w:tcPr>
            <w:tcW w:w="131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73C028B4" w14:textId="77777777" w:rsidR="000845E1" w:rsidRPr="00D27255" w:rsidRDefault="000845E1" w:rsidP="00D7451D">
            <w:pPr>
              <w:jc w:val="both"/>
              <w:rPr>
                <w:sz w:val="20"/>
                <w:szCs w:val="20"/>
                <w:lang w:eastAsia="en-US"/>
              </w:rPr>
            </w:pPr>
            <w:r w:rsidRPr="00D27255">
              <w:rPr>
                <w:sz w:val="20"/>
                <w:szCs w:val="20"/>
                <w:lang w:eastAsia="en-US"/>
              </w:rPr>
              <w:t>0</w:t>
            </w:r>
          </w:p>
        </w:tc>
        <w:tc>
          <w:tcPr>
            <w:tcW w:w="111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2DE67F7F" w14:textId="77777777" w:rsidR="000845E1" w:rsidRPr="00D27255" w:rsidRDefault="000845E1" w:rsidP="00D7451D">
            <w:pPr>
              <w:jc w:val="both"/>
              <w:rPr>
                <w:sz w:val="20"/>
                <w:szCs w:val="20"/>
                <w:lang w:eastAsia="en-US"/>
              </w:rPr>
            </w:pPr>
            <w:r w:rsidRPr="00D27255">
              <w:rPr>
                <w:sz w:val="20"/>
                <w:szCs w:val="20"/>
                <w:lang w:eastAsia="en-US"/>
              </w:rPr>
              <w:t>0</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7EB5F995" w14:textId="77777777" w:rsidR="000845E1" w:rsidRPr="00D27255" w:rsidRDefault="000845E1" w:rsidP="00D7451D">
            <w:pPr>
              <w:jc w:val="both"/>
              <w:rPr>
                <w:sz w:val="20"/>
                <w:szCs w:val="20"/>
                <w:lang w:eastAsia="en-US"/>
              </w:rPr>
            </w:pPr>
            <w:r w:rsidRPr="00D27255">
              <w:rPr>
                <w:sz w:val="20"/>
                <w:szCs w:val="20"/>
                <w:lang w:eastAsia="en-US"/>
              </w:rPr>
              <w:t>0</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2634D027" w14:textId="77777777" w:rsidR="000845E1" w:rsidRPr="00D27255" w:rsidRDefault="000845E1" w:rsidP="00D7451D">
            <w:pPr>
              <w:jc w:val="both"/>
              <w:rPr>
                <w:sz w:val="20"/>
                <w:szCs w:val="20"/>
                <w:lang w:eastAsia="en-US"/>
              </w:rPr>
            </w:pPr>
            <w:r w:rsidRPr="00D27255">
              <w:rPr>
                <w:sz w:val="20"/>
                <w:szCs w:val="20"/>
                <w:lang w:eastAsia="en-US"/>
              </w:rPr>
              <w:t>0</w:t>
            </w:r>
          </w:p>
        </w:tc>
        <w:tc>
          <w:tcPr>
            <w:tcW w:w="111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532227EE" w14:textId="77777777" w:rsidR="000845E1" w:rsidRPr="00D27255" w:rsidRDefault="000845E1" w:rsidP="00D7451D">
            <w:pPr>
              <w:jc w:val="both"/>
              <w:rPr>
                <w:sz w:val="20"/>
                <w:szCs w:val="20"/>
                <w:lang w:eastAsia="en-US"/>
              </w:rPr>
            </w:pPr>
            <w:r w:rsidRPr="00D27255">
              <w:rPr>
                <w:sz w:val="20"/>
                <w:szCs w:val="20"/>
                <w:lang w:eastAsia="en-US"/>
              </w:rPr>
              <w:t>0</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6062C567" w14:textId="77777777" w:rsidR="000845E1" w:rsidRPr="00D27255" w:rsidRDefault="000845E1" w:rsidP="00D7451D">
            <w:pPr>
              <w:jc w:val="both"/>
              <w:rPr>
                <w:sz w:val="20"/>
                <w:szCs w:val="20"/>
                <w:lang w:eastAsia="en-US"/>
              </w:rPr>
            </w:pPr>
            <w:r w:rsidRPr="00D27255">
              <w:rPr>
                <w:sz w:val="20"/>
                <w:szCs w:val="20"/>
                <w:lang w:eastAsia="en-US"/>
              </w:rPr>
              <w:t>0</w:t>
            </w:r>
          </w:p>
        </w:tc>
        <w:tc>
          <w:tcPr>
            <w:tcW w:w="1106"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483BE87E" w14:textId="77777777" w:rsidR="000845E1" w:rsidRPr="00D27255" w:rsidRDefault="000845E1" w:rsidP="00D7451D">
            <w:pPr>
              <w:jc w:val="both"/>
              <w:rPr>
                <w:sz w:val="20"/>
                <w:szCs w:val="20"/>
                <w:lang w:eastAsia="en-US"/>
              </w:rPr>
            </w:pPr>
            <w:r w:rsidRPr="00D27255">
              <w:rPr>
                <w:sz w:val="20"/>
                <w:szCs w:val="20"/>
                <w:lang w:eastAsia="en-US"/>
              </w:rPr>
              <w:t>0</w:t>
            </w:r>
          </w:p>
        </w:tc>
        <w:tc>
          <w:tcPr>
            <w:tcW w:w="1109"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vAlign w:val="center"/>
            <w:hideMark/>
          </w:tcPr>
          <w:p w14:paraId="3D530F14" w14:textId="77777777" w:rsidR="000845E1" w:rsidRPr="00D27255" w:rsidRDefault="000845E1" w:rsidP="00D7451D">
            <w:pPr>
              <w:jc w:val="both"/>
              <w:rPr>
                <w:sz w:val="20"/>
                <w:szCs w:val="20"/>
                <w:lang w:eastAsia="en-US"/>
              </w:rPr>
            </w:pPr>
            <w:r w:rsidRPr="00D27255">
              <w:rPr>
                <w:sz w:val="20"/>
                <w:szCs w:val="20"/>
                <w:lang w:eastAsia="en-US"/>
              </w:rPr>
              <w:t>0</w:t>
            </w:r>
          </w:p>
        </w:tc>
      </w:tr>
      <w:tr w:rsidR="000845E1" w:rsidRPr="00D27255" w14:paraId="4BAB2684" w14:textId="77777777" w:rsidTr="00D7451D">
        <w:trPr>
          <w:gridAfter w:val="1"/>
          <w:wAfter w:w="19" w:type="dxa"/>
          <w:trHeight w:val="148"/>
        </w:trPr>
        <w:tc>
          <w:tcPr>
            <w:tcW w:w="1736" w:type="dxa"/>
            <w:tcBorders>
              <w:top w:val="nil"/>
              <w:left w:val="single" w:sz="8" w:space="0" w:color="000000"/>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70E5956A" w14:textId="77777777" w:rsidR="000845E1" w:rsidRPr="00D27255" w:rsidRDefault="000845E1" w:rsidP="00D7451D">
            <w:pPr>
              <w:jc w:val="both"/>
              <w:rPr>
                <w:sz w:val="20"/>
                <w:szCs w:val="20"/>
                <w:lang w:eastAsia="en-US"/>
              </w:rPr>
            </w:pPr>
            <w:r w:rsidRPr="00D27255">
              <w:rPr>
                <w:sz w:val="20"/>
                <w:szCs w:val="20"/>
                <w:lang w:eastAsia="en-US"/>
              </w:rPr>
              <w:t> </w:t>
            </w:r>
          </w:p>
        </w:tc>
        <w:tc>
          <w:tcPr>
            <w:tcW w:w="1223"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32A1E4B1" w14:textId="77777777" w:rsidR="000845E1" w:rsidRPr="00D27255" w:rsidRDefault="000845E1" w:rsidP="00D7451D">
            <w:pPr>
              <w:jc w:val="both"/>
              <w:rPr>
                <w:sz w:val="20"/>
                <w:szCs w:val="20"/>
                <w:lang w:eastAsia="en-US"/>
              </w:rPr>
            </w:pPr>
            <w:r w:rsidRPr="00D27255">
              <w:rPr>
                <w:sz w:val="20"/>
                <w:szCs w:val="20"/>
                <w:lang w:eastAsia="en-US"/>
              </w:rPr>
              <w:t> </w:t>
            </w:r>
            <w:r w:rsidRPr="00D27255">
              <w:rPr>
                <w:b/>
                <w:bCs/>
                <w:sz w:val="20"/>
                <w:szCs w:val="20"/>
                <w:lang w:eastAsia="en-US"/>
              </w:rPr>
              <w:t>risinājums</w:t>
            </w:r>
          </w:p>
        </w:tc>
        <w:tc>
          <w:tcPr>
            <w:tcW w:w="2129"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07CF2469" w14:textId="77777777" w:rsidR="000845E1" w:rsidRPr="00D27255" w:rsidRDefault="000845E1" w:rsidP="00D7451D">
            <w:pPr>
              <w:jc w:val="both"/>
              <w:rPr>
                <w:sz w:val="20"/>
                <w:szCs w:val="20"/>
                <w:lang w:eastAsia="en-US"/>
              </w:rPr>
            </w:pPr>
            <w:r w:rsidRPr="00D27255">
              <w:rPr>
                <w:sz w:val="20"/>
                <w:szCs w:val="20"/>
                <w:lang w:eastAsia="en-US"/>
              </w:rPr>
              <w:t>03.02.00 "Apgabaltiesas un rajonu (pilsētu) tiesas"</w:t>
            </w:r>
          </w:p>
        </w:tc>
        <w:tc>
          <w:tcPr>
            <w:tcW w:w="116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30B475E9" w14:textId="77777777" w:rsidR="000845E1" w:rsidRPr="00D27255" w:rsidRDefault="000845E1" w:rsidP="00D7451D">
            <w:pPr>
              <w:jc w:val="both"/>
              <w:rPr>
                <w:sz w:val="20"/>
                <w:szCs w:val="20"/>
                <w:lang w:eastAsia="en-US"/>
              </w:rPr>
            </w:pPr>
            <w:r>
              <w:rPr>
                <w:sz w:val="20"/>
                <w:szCs w:val="20"/>
                <w:lang w:eastAsia="en-US"/>
              </w:rPr>
              <w:t>136 245</w:t>
            </w:r>
          </w:p>
        </w:tc>
        <w:tc>
          <w:tcPr>
            <w:tcW w:w="131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161C341A" w14:textId="77777777" w:rsidR="000845E1" w:rsidRPr="00D27255" w:rsidRDefault="000845E1" w:rsidP="00D7451D">
            <w:pPr>
              <w:jc w:val="both"/>
              <w:rPr>
                <w:sz w:val="20"/>
                <w:szCs w:val="20"/>
                <w:lang w:eastAsia="en-US"/>
              </w:rPr>
            </w:pPr>
            <w:r>
              <w:rPr>
                <w:sz w:val="20"/>
                <w:szCs w:val="20"/>
                <w:lang w:eastAsia="en-US"/>
              </w:rPr>
              <w:t>1 252 472</w:t>
            </w:r>
          </w:p>
        </w:tc>
        <w:tc>
          <w:tcPr>
            <w:tcW w:w="1112"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530795B9" w14:textId="77777777" w:rsidR="000845E1" w:rsidRPr="00D27255" w:rsidRDefault="000845E1" w:rsidP="00D7451D">
            <w:pPr>
              <w:jc w:val="both"/>
              <w:rPr>
                <w:sz w:val="20"/>
                <w:szCs w:val="20"/>
                <w:lang w:eastAsia="en-US"/>
              </w:rPr>
            </w:pPr>
            <w:r>
              <w:rPr>
                <w:sz w:val="20"/>
                <w:szCs w:val="20"/>
                <w:lang w:eastAsia="en-US"/>
              </w:rPr>
              <w:t>1 252 472</w:t>
            </w:r>
          </w:p>
        </w:tc>
        <w:tc>
          <w:tcPr>
            <w:tcW w:w="110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6507B099" w14:textId="77777777" w:rsidR="000845E1" w:rsidRPr="00D27255" w:rsidRDefault="000845E1" w:rsidP="00D7451D">
            <w:pPr>
              <w:jc w:val="both"/>
              <w:rPr>
                <w:sz w:val="20"/>
                <w:szCs w:val="20"/>
                <w:lang w:eastAsia="en-US"/>
              </w:rPr>
            </w:pPr>
            <w:r>
              <w:rPr>
                <w:sz w:val="20"/>
                <w:szCs w:val="20"/>
                <w:lang w:eastAsia="en-US"/>
              </w:rPr>
              <w:t>0</w:t>
            </w:r>
          </w:p>
        </w:tc>
        <w:tc>
          <w:tcPr>
            <w:tcW w:w="110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730EC7FA" w14:textId="77777777" w:rsidR="000845E1" w:rsidRPr="00D27255" w:rsidRDefault="000845E1" w:rsidP="00D7451D">
            <w:pPr>
              <w:jc w:val="both"/>
              <w:rPr>
                <w:sz w:val="20"/>
                <w:szCs w:val="20"/>
                <w:lang w:eastAsia="en-US"/>
              </w:rPr>
            </w:pPr>
            <w:r>
              <w:rPr>
                <w:sz w:val="20"/>
                <w:szCs w:val="20"/>
                <w:lang w:eastAsia="en-US"/>
              </w:rPr>
              <w:t>1 252 472</w:t>
            </w:r>
          </w:p>
        </w:tc>
        <w:tc>
          <w:tcPr>
            <w:tcW w:w="1112"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191ABF54" w14:textId="77777777" w:rsidR="000845E1" w:rsidRPr="00D27255" w:rsidRDefault="000845E1" w:rsidP="00D7451D">
            <w:pPr>
              <w:jc w:val="both"/>
              <w:rPr>
                <w:sz w:val="20"/>
                <w:szCs w:val="20"/>
                <w:lang w:eastAsia="en-US"/>
              </w:rPr>
            </w:pPr>
            <w:r>
              <w:rPr>
                <w:sz w:val="20"/>
                <w:szCs w:val="20"/>
                <w:lang w:eastAsia="en-US"/>
              </w:rPr>
              <w:t>1 252 472</w:t>
            </w:r>
          </w:p>
        </w:tc>
        <w:tc>
          <w:tcPr>
            <w:tcW w:w="110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322AB695" w14:textId="77777777" w:rsidR="000845E1" w:rsidRPr="00D27255" w:rsidRDefault="000845E1" w:rsidP="00D7451D">
            <w:pPr>
              <w:jc w:val="both"/>
              <w:rPr>
                <w:sz w:val="20"/>
                <w:szCs w:val="20"/>
                <w:lang w:eastAsia="en-US"/>
              </w:rPr>
            </w:pPr>
            <w:r>
              <w:rPr>
                <w:sz w:val="20"/>
                <w:szCs w:val="20"/>
                <w:lang w:eastAsia="en-US"/>
              </w:rPr>
              <w:t>136 245</w:t>
            </w:r>
          </w:p>
        </w:tc>
        <w:tc>
          <w:tcPr>
            <w:tcW w:w="1106"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2BAB4D65" w14:textId="77777777" w:rsidR="000845E1" w:rsidRPr="00D27255" w:rsidRDefault="000845E1" w:rsidP="00D7451D">
            <w:pPr>
              <w:jc w:val="both"/>
              <w:rPr>
                <w:sz w:val="20"/>
                <w:szCs w:val="20"/>
                <w:lang w:eastAsia="en-US"/>
              </w:rPr>
            </w:pPr>
            <w:r>
              <w:rPr>
                <w:sz w:val="20"/>
                <w:szCs w:val="20"/>
                <w:lang w:eastAsia="en-US"/>
              </w:rPr>
              <w:t>0</w:t>
            </w:r>
          </w:p>
        </w:tc>
        <w:tc>
          <w:tcPr>
            <w:tcW w:w="1109" w:type="dxa"/>
            <w:tcBorders>
              <w:top w:val="nil"/>
              <w:left w:val="nil"/>
              <w:bottom w:val="single" w:sz="8" w:space="0" w:color="auto"/>
              <w:right w:val="single" w:sz="8" w:space="0" w:color="000000"/>
            </w:tcBorders>
            <w:shd w:val="clear" w:color="auto" w:fill="EEECE1"/>
            <w:tcMar>
              <w:top w:w="0" w:type="dxa"/>
              <w:left w:w="108" w:type="dxa"/>
              <w:bottom w:w="0" w:type="dxa"/>
              <w:right w:w="108" w:type="dxa"/>
            </w:tcMar>
            <w:vAlign w:val="center"/>
            <w:hideMark/>
          </w:tcPr>
          <w:p w14:paraId="65C4D84E" w14:textId="77777777" w:rsidR="000845E1" w:rsidRPr="00D27255" w:rsidRDefault="000845E1" w:rsidP="00D7451D">
            <w:pPr>
              <w:jc w:val="both"/>
              <w:rPr>
                <w:sz w:val="20"/>
                <w:szCs w:val="20"/>
                <w:lang w:eastAsia="en-US"/>
              </w:rPr>
            </w:pPr>
            <w:r>
              <w:rPr>
                <w:sz w:val="20"/>
                <w:szCs w:val="20"/>
                <w:lang w:eastAsia="en-US"/>
              </w:rPr>
              <w:t>0</w:t>
            </w:r>
          </w:p>
        </w:tc>
      </w:tr>
      <w:tr w:rsidR="000845E1" w:rsidRPr="00D27255" w14:paraId="73F22C87" w14:textId="77777777" w:rsidTr="00D7451D">
        <w:trPr>
          <w:gridAfter w:val="1"/>
          <w:wAfter w:w="19" w:type="dxa"/>
          <w:trHeight w:val="73"/>
        </w:trPr>
        <w:tc>
          <w:tcPr>
            <w:tcW w:w="1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16B4B" w14:textId="77777777" w:rsidR="000845E1" w:rsidRPr="00D27255" w:rsidRDefault="000845E1" w:rsidP="00D7451D">
            <w:pPr>
              <w:jc w:val="both"/>
              <w:rPr>
                <w:sz w:val="20"/>
                <w:szCs w:val="20"/>
                <w:lang w:eastAsia="en-US"/>
              </w:rPr>
            </w:pPr>
            <w:r w:rsidRPr="00D27255">
              <w:rPr>
                <w:sz w:val="20"/>
                <w:szCs w:val="20"/>
                <w:lang w:eastAsia="en-US"/>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E182D" w14:textId="77777777" w:rsidR="000845E1" w:rsidRPr="00D27255" w:rsidRDefault="000845E1" w:rsidP="00D7451D">
            <w:pPr>
              <w:jc w:val="both"/>
              <w:rPr>
                <w:i/>
                <w:iCs/>
                <w:sz w:val="20"/>
                <w:szCs w:val="20"/>
                <w:lang w:eastAsia="en-US"/>
              </w:rPr>
            </w:pPr>
            <w:r w:rsidRPr="00D27255">
              <w:rPr>
                <w:i/>
                <w:iCs/>
                <w:sz w:val="20"/>
                <w:szCs w:val="20"/>
                <w:lang w:eastAsia="en-US"/>
              </w:rPr>
              <w:t>Valsts budžets</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260F9"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EF637" w14:textId="77777777" w:rsidR="000845E1" w:rsidRPr="00D27255" w:rsidRDefault="000845E1" w:rsidP="00D7451D">
            <w:pPr>
              <w:jc w:val="both"/>
              <w:rPr>
                <w:i/>
                <w:iCs/>
                <w:sz w:val="20"/>
                <w:szCs w:val="20"/>
                <w:lang w:eastAsia="en-US"/>
              </w:rPr>
            </w:pPr>
            <w:r>
              <w:rPr>
                <w:i/>
                <w:iCs/>
                <w:sz w:val="20"/>
                <w:szCs w:val="20"/>
                <w:lang w:eastAsia="en-US"/>
              </w:rPr>
              <w:t>136 245</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879F0"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AE3DA"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3D8D1" w14:textId="77777777" w:rsidR="000845E1" w:rsidRPr="00D27255" w:rsidRDefault="000845E1" w:rsidP="00D7451D">
            <w:pPr>
              <w:jc w:val="both"/>
              <w:rPr>
                <w:i/>
                <w:iCs/>
                <w:sz w:val="20"/>
                <w:szCs w:val="20"/>
                <w:lang w:eastAsia="en-US"/>
              </w:rPr>
            </w:pPr>
            <w:r>
              <w:rPr>
                <w:i/>
                <w:iCs/>
                <w:sz w:val="20"/>
                <w:szCs w:val="20"/>
                <w:lang w:eastAsia="en-US"/>
              </w:rPr>
              <w:t>0</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1B3BA"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8AC55" w14:textId="77777777" w:rsidR="000845E1" w:rsidRPr="00D27255" w:rsidRDefault="000845E1" w:rsidP="00D7451D">
            <w:pPr>
              <w:jc w:val="both"/>
              <w:rPr>
                <w:i/>
                <w:iCs/>
                <w:sz w:val="20"/>
                <w:szCs w:val="20"/>
                <w:lang w:eastAsia="en-US"/>
              </w:rPr>
            </w:pPr>
            <w:r>
              <w:rPr>
                <w:i/>
                <w:iCs/>
                <w:sz w:val="20"/>
                <w:szCs w:val="20"/>
                <w:lang w:eastAsia="en-US"/>
              </w:rPr>
              <w:t>1 252 472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7F07B" w14:textId="77777777" w:rsidR="000845E1" w:rsidRPr="00D27255" w:rsidRDefault="000845E1" w:rsidP="00D7451D">
            <w:pPr>
              <w:jc w:val="both"/>
              <w:rPr>
                <w:i/>
                <w:iCs/>
                <w:sz w:val="20"/>
                <w:szCs w:val="20"/>
                <w:lang w:eastAsia="en-US"/>
              </w:rPr>
            </w:pPr>
            <w:r>
              <w:rPr>
                <w:i/>
                <w:iCs/>
                <w:sz w:val="20"/>
                <w:szCs w:val="20"/>
                <w:lang w:eastAsia="en-US"/>
              </w:rPr>
              <w:t>136 245</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1499E" w14:textId="77777777" w:rsidR="000845E1" w:rsidRPr="00D27255" w:rsidRDefault="000845E1" w:rsidP="00D7451D">
            <w:pPr>
              <w:jc w:val="both"/>
              <w:rPr>
                <w:i/>
                <w:iCs/>
                <w:sz w:val="20"/>
                <w:szCs w:val="20"/>
                <w:lang w:eastAsia="en-US"/>
              </w:rPr>
            </w:pPr>
            <w:r>
              <w:rPr>
                <w:i/>
                <w:iCs/>
                <w:sz w:val="20"/>
                <w:szCs w:val="20"/>
                <w:lang w:eastAsia="en-US"/>
              </w:rPr>
              <w:t>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20F4F" w14:textId="77777777" w:rsidR="000845E1" w:rsidRPr="00D27255" w:rsidRDefault="000845E1" w:rsidP="00D7451D">
            <w:pPr>
              <w:jc w:val="both"/>
              <w:rPr>
                <w:i/>
                <w:iCs/>
                <w:sz w:val="20"/>
                <w:szCs w:val="20"/>
                <w:lang w:eastAsia="en-US"/>
              </w:rPr>
            </w:pPr>
            <w:r>
              <w:rPr>
                <w:i/>
                <w:iCs/>
                <w:sz w:val="20"/>
                <w:szCs w:val="20"/>
                <w:lang w:eastAsia="en-US"/>
              </w:rPr>
              <w:t>0</w:t>
            </w:r>
          </w:p>
        </w:tc>
      </w:tr>
      <w:tr w:rsidR="000845E1" w:rsidRPr="00D27255" w14:paraId="0AF5E226" w14:textId="77777777" w:rsidTr="00D7451D">
        <w:trPr>
          <w:gridAfter w:val="1"/>
          <w:wAfter w:w="19" w:type="dxa"/>
          <w:trHeight w:val="73"/>
        </w:trPr>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A32749" w14:textId="77777777" w:rsidR="000845E1" w:rsidRPr="00D27255" w:rsidRDefault="000845E1" w:rsidP="00D7451D">
            <w:pPr>
              <w:jc w:val="both"/>
              <w:rPr>
                <w:sz w:val="20"/>
                <w:szCs w:val="20"/>
                <w:lang w:eastAsia="en-US"/>
              </w:rPr>
            </w:pPr>
            <w:r w:rsidRPr="00D27255">
              <w:rPr>
                <w:sz w:val="20"/>
                <w:szCs w:val="20"/>
                <w:lang w:eastAsia="en-US"/>
              </w:rPr>
              <w:t> </w:t>
            </w:r>
          </w:p>
        </w:tc>
        <w:tc>
          <w:tcPr>
            <w:tcW w:w="12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26F942" w14:textId="77777777" w:rsidR="000845E1" w:rsidRPr="00D27255" w:rsidRDefault="000845E1" w:rsidP="00D7451D">
            <w:pPr>
              <w:jc w:val="both"/>
              <w:rPr>
                <w:i/>
                <w:iCs/>
                <w:sz w:val="20"/>
                <w:szCs w:val="20"/>
                <w:lang w:eastAsia="en-US"/>
              </w:rPr>
            </w:pPr>
            <w:r w:rsidRPr="00D27255">
              <w:rPr>
                <w:i/>
                <w:iCs/>
                <w:sz w:val="20"/>
                <w:szCs w:val="20"/>
                <w:lang w:eastAsia="en-US"/>
              </w:rPr>
              <w:t>Pašvaldību budžets</w:t>
            </w:r>
          </w:p>
        </w:tc>
        <w:tc>
          <w:tcPr>
            <w:tcW w:w="212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5155F" w14:textId="77777777" w:rsidR="000845E1" w:rsidRPr="00D27255" w:rsidRDefault="000845E1" w:rsidP="00D7451D">
            <w:pPr>
              <w:jc w:val="both"/>
              <w:rPr>
                <w:i/>
                <w:iCs/>
                <w:sz w:val="20"/>
                <w:szCs w:val="20"/>
                <w:lang w:eastAsia="en-US"/>
              </w:rPr>
            </w:pPr>
            <w:r w:rsidRPr="00D27255">
              <w:rPr>
                <w:i/>
                <w:iCs/>
                <w:sz w:val="20"/>
                <w:szCs w:val="20"/>
                <w:lang w:eastAsia="en-US"/>
              </w:rPr>
              <w:t> </w:t>
            </w:r>
          </w:p>
        </w:tc>
        <w:tc>
          <w:tcPr>
            <w:tcW w:w="11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81A06C"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3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F430F1"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0661FE"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EA4250"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FEC644"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08D1F4"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6B60C6"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6C4B52" w14:textId="77777777" w:rsidR="000845E1" w:rsidRPr="00D27255" w:rsidRDefault="000845E1" w:rsidP="00D7451D">
            <w:pPr>
              <w:jc w:val="both"/>
              <w:rPr>
                <w:i/>
                <w:iCs/>
                <w:sz w:val="20"/>
                <w:szCs w:val="20"/>
                <w:lang w:eastAsia="en-US"/>
              </w:rPr>
            </w:pPr>
            <w:r w:rsidRPr="00D27255">
              <w:rPr>
                <w:i/>
                <w:iCs/>
                <w:sz w:val="20"/>
                <w:szCs w:val="20"/>
                <w:lang w:eastAsia="en-US"/>
              </w:rPr>
              <w:t>0</w:t>
            </w:r>
          </w:p>
        </w:tc>
        <w:tc>
          <w:tcPr>
            <w:tcW w:w="11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9255E3" w14:textId="77777777" w:rsidR="000845E1" w:rsidRPr="00D27255" w:rsidRDefault="000845E1" w:rsidP="00D7451D">
            <w:pPr>
              <w:jc w:val="both"/>
              <w:rPr>
                <w:i/>
                <w:iCs/>
                <w:sz w:val="20"/>
                <w:szCs w:val="20"/>
                <w:lang w:eastAsia="en-US"/>
              </w:rPr>
            </w:pPr>
            <w:r w:rsidRPr="00D27255">
              <w:rPr>
                <w:i/>
                <w:iCs/>
                <w:sz w:val="20"/>
                <w:szCs w:val="20"/>
                <w:lang w:eastAsia="en-US"/>
              </w:rPr>
              <w:t>0</w:t>
            </w:r>
          </w:p>
        </w:tc>
      </w:tr>
    </w:tbl>
    <w:p w14:paraId="3B227EA3" w14:textId="77777777" w:rsidR="005D72F1" w:rsidRDefault="005D72F1" w:rsidP="006B101E">
      <w:pPr>
        <w:pStyle w:val="Body"/>
        <w:spacing w:after="0" w:line="240" w:lineRule="auto"/>
        <w:ind w:firstLine="709"/>
        <w:jc w:val="both"/>
        <w:rPr>
          <w:rFonts w:ascii="Times New Roman" w:hAnsi="Times New Roman"/>
          <w:color w:val="auto"/>
          <w:sz w:val="28"/>
          <w:lang w:val="de-DE"/>
        </w:rPr>
      </w:pPr>
    </w:p>
    <w:p w14:paraId="356113A6" w14:textId="77777777" w:rsidR="005D72F1" w:rsidRDefault="005D72F1" w:rsidP="006B101E">
      <w:pPr>
        <w:pStyle w:val="Body"/>
        <w:spacing w:after="0" w:line="240" w:lineRule="auto"/>
        <w:ind w:firstLine="709"/>
        <w:jc w:val="both"/>
        <w:rPr>
          <w:rFonts w:ascii="Times New Roman" w:hAnsi="Times New Roman"/>
          <w:color w:val="auto"/>
          <w:sz w:val="28"/>
          <w:lang w:val="de-DE"/>
        </w:rPr>
      </w:pPr>
    </w:p>
    <w:p w14:paraId="683B9860" w14:textId="77777777" w:rsidR="005D72F1" w:rsidRDefault="005D72F1" w:rsidP="006B101E">
      <w:pPr>
        <w:pStyle w:val="Body"/>
        <w:spacing w:after="0" w:line="240" w:lineRule="auto"/>
        <w:ind w:firstLine="709"/>
        <w:jc w:val="both"/>
        <w:rPr>
          <w:rFonts w:ascii="Times New Roman" w:hAnsi="Times New Roman"/>
          <w:color w:val="auto"/>
          <w:sz w:val="28"/>
          <w:lang w:val="de-DE"/>
        </w:rPr>
      </w:pPr>
    </w:p>
    <w:p w14:paraId="5151893E" w14:textId="77777777" w:rsidR="005D72F1" w:rsidRDefault="005D72F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00AFEB8" w14:textId="77777777" w:rsidR="005D72F1" w:rsidRPr="00DE283C" w:rsidRDefault="005D72F1" w:rsidP="005D72F1">
      <w:pPr>
        <w:pStyle w:val="Body"/>
        <w:tabs>
          <w:tab w:val="left" w:pos="9072"/>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5DD51209" w14:textId="06045067" w:rsidR="000845E1" w:rsidRPr="00D27255" w:rsidRDefault="000845E1" w:rsidP="000845E1">
      <w:pPr>
        <w:rPr>
          <w:sz w:val="20"/>
          <w:lang w:eastAsia="en-US"/>
        </w:rPr>
      </w:pPr>
    </w:p>
    <w:p w14:paraId="1C211D99" w14:textId="596C3DC7" w:rsidR="00DD06F9" w:rsidRDefault="00DD06F9" w:rsidP="000845E1">
      <w:pPr>
        <w:jc w:val="center"/>
        <w:rPr>
          <w:sz w:val="20"/>
          <w:szCs w:val="20"/>
          <w:lang w:eastAsia="en-US"/>
        </w:rPr>
      </w:pPr>
    </w:p>
    <w:sectPr w:rsidR="00DD06F9" w:rsidSect="00D13ACC">
      <w:headerReference w:type="first" r:id="rId14"/>
      <w:pgSz w:w="16838" w:h="11906" w:orient="landscape" w:code="9"/>
      <w:pgMar w:top="1701" w:right="1418"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6D85" w14:textId="77777777" w:rsidR="00D7451D" w:rsidRDefault="00D7451D" w:rsidP="00D9358E">
      <w:r>
        <w:separator/>
      </w:r>
    </w:p>
  </w:endnote>
  <w:endnote w:type="continuationSeparator" w:id="0">
    <w:p w14:paraId="5E27E7C9" w14:textId="77777777" w:rsidR="00D7451D" w:rsidRDefault="00D7451D" w:rsidP="00D9358E">
      <w:r>
        <w:continuationSeparator/>
      </w:r>
    </w:p>
  </w:endnote>
  <w:endnote w:type="continuationNotice" w:id="1">
    <w:p w14:paraId="1A368C89" w14:textId="77777777" w:rsidR="00D7451D" w:rsidRDefault="00D74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8281" w14:textId="31BFA8CD" w:rsidR="005D72F1" w:rsidRPr="005D72F1" w:rsidRDefault="005D72F1">
    <w:pPr>
      <w:pStyle w:val="Footer"/>
      <w:rPr>
        <w:sz w:val="16"/>
        <w:szCs w:val="16"/>
      </w:rPr>
    </w:pPr>
    <w:r w:rsidRPr="005D72F1">
      <w:rPr>
        <w:sz w:val="16"/>
        <w:szCs w:val="16"/>
      </w:rPr>
      <w:t>(TA-1067)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B700" w14:textId="71C51CB2" w:rsidR="005D72F1" w:rsidRPr="005D72F1" w:rsidRDefault="005D72F1">
    <w:pPr>
      <w:pStyle w:val="Footer"/>
      <w:rPr>
        <w:sz w:val="16"/>
        <w:szCs w:val="16"/>
      </w:rPr>
    </w:pPr>
    <w:r w:rsidRPr="005D72F1">
      <w:rPr>
        <w:sz w:val="16"/>
        <w:szCs w:val="16"/>
      </w:rPr>
      <w:t>(TA-1067)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26A3" w14:textId="77777777" w:rsidR="00D7451D" w:rsidRDefault="00D7451D" w:rsidP="00D9358E">
      <w:r>
        <w:separator/>
      </w:r>
    </w:p>
  </w:footnote>
  <w:footnote w:type="continuationSeparator" w:id="0">
    <w:p w14:paraId="542859ED" w14:textId="77777777" w:rsidR="00D7451D" w:rsidRDefault="00D7451D" w:rsidP="00D9358E">
      <w:r>
        <w:continuationSeparator/>
      </w:r>
    </w:p>
  </w:footnote>
  <w:footnote w:type="continuationNotice" w:id="1">
    <w:p w14:paraId="6FE4BC7C" w14:textId="77777777" w:rsidR="00D7451D" w:rsidRDefault="00D7451D"/>
  </w:footnote>
  <w:footnote w:id="2">
    <w:p w14:paraId="56D237FC" w14:textId="5FB1D93D" w:rsidR="00D7451D" w:rsidRDefault="00D7451D" w:rsidP="00B04E5D">
      <w:pPr>
        <w:pStyle w:val="FootnoteText"/>
        <w:jc w:val="both"/>
      </w:pPr>
      <w:r>
        <w:rPr>
          <w:rStyle w:val="FootnoteReference"/>
        </w:rPr>
        <w:footnoteRef/>
      </w:r>
      <w:r>
        <w:t xml:space="preserve"> </w:t>
      </w:r>
      <w:r w:rsidRPr="008D5315">
        <w:t>2018</w:t>
      </w:r>
      <w:r w:rsidRPr="005B2160">
        <w:t>. </w:t>
      </w:r>
      <w:r w:rsidRPr="008D5315">
        <w:t>gada 23</w:t>
      </w:r>
      <w:r w:rsidRPr="005B2160">
        <w:t>. </w:t>
      </w:r>
      <w:r w:rsidRPr="008D5315">
        <w:t xml:space="preserve">augustā oficiāli publicēts Eiropas Padomes </w:t>
      </w:r>
      <w:r w:rsidRPr="00B04E5D">
        <w:rPr>
          <w:i/>
        </w:rPr>
        <w:t>Moneyval</w:t>
      </w:r>
      <w:r w:rsidRPr="008D5315">
        <w:t xml:space="preserve"> komitejas savstarpējās novērtēšanas 5.</w:t>
      </w:r>
      <w:r>
        <w:t> </w:t>
      </w:r>
      <w:r w:rsidRPr="008D5315">
        <w:t>kārtas ziņojums par Latviju, kurā novērtēti valstī īstenotie pasākumi noziedzīgi iegūtu līdzekļu legalizācijas un terorisma finansēšanas novēršanā.</w:t>
      </w:r>
    </w:p>
  </w:footnote>
  <w:footnote w:id="3">
    <w:p w14:paraId="0D1BDA3E" w14:textId="77777777" w:rsidR="00D7451D" w:rsidRDefault="00D7451D">
      <w:pPr>
        <w:pStyle w:val="FootnoteText"/>
      </w:pPr>
      <w:r>
        <w:rPr>
          <w:rStyle w:val="FootnoteReference"/>
        </w:rPr>
        <w:footnoteRef/>
      </w:r>
      <w:r>
        <w:t xml:space="preserve"> </w:t>
      </w:r>
      <w:r w:rsidRPr="009C3BF1">
        <w:t>CEPEJ ziņojums par Latvijas tieslietu sistēmas novērtējumu</w:t>
      </w:r>
      <w:r>
        <w:t xml:space="preserve">: </w:t>
      </w:r>
      <w:hyperlink r:id="rId1" w:history="1">
        <w:r w:rsidRPr="006B4A03">
          <w:rPr>
            <w:rStyle w:val="Hyperlink"/>
          </w:rPr>
          <w:t>https://www.ta.gov.lv/UserFiles/Faili/CEPEJ_Evaluation_Report_Latvia_Final_LV.pdf</w:t>
        </w:r>
      </w:hyperlink>
      <w:r>
        <w:t>;</w:t>
      </w:r>
    </w:p>
    <w:p w14:paraId="240D9D75" w14:textId="4581C3EE" w:rsidR="00D7451D" w:rsidRDefault="00D7451D">
      <w:pPr>
        <w:pStyle w:val="FootnoteText"/>
      </w:pPr>
      <w:r w:rsidRPr="00654393">
        <w:t xml:space="preserve">OECD </w:t>
      </w:r>
      <w:r>
        <w:t>p</w:t>
      </w:r>
      <w:r w:rsidRPr="00654393">
        <w:t xml:space="preserve">ētījums </w:t>
      </w:r>
      <w:r>
        <w:t>"</w:t>
      </w:r>
      <w:r w:rsidRPr="00654393">
        <w:t>Tiesiskums komercdarbībai un iekļaujošai izaugsmei Latvijā</w:t>
      </w:r>
      <w:r>
        <w:t>"</w:t>
      </w:r>
      <w:r w:rsidRPr="00654393">
        <w:t xml:space="preserve">: </w:t>
      </w:r>
      <w:hyperlink r:id="rId2" w:history="1">
        <w:r w:rsidRPr="006B4A03">
          <w:rPr>
            <w:rStyle w:val="Hyperlink"/>
          </w:rPr>
          <w:t>https://www.ta.gov.lv/UserFiles/Faili/oecd.pdf</w:t>
        </w:r>
      </w:hyperlink>
      <w:r>
        <w:t>;</w:t>
      </w:r>
    </w:p>
    <w:p w14:paraId="481FD0C8" w14:textId="5EC3949C" w:rsidR="00D7451D" w:rsidRDefault="00D7451D">
      <w:pPr>
        <w:pStyle w:val="FootnoteText"/>
      </w:pPr>
      <w:r>
        <w:t xml:space="preserve">Valsts kontroles revīzijas ziņojums: </w:t>
      </w:r>
      <w:r w:rsidRPr="009C3BF1">
        <w:t>Vai tiesu iekārtas attīstības pasākumi ir veicinājuši tiesu darbības efektivitāti?</w:t>
      </w:r>
      <w:r>
        <w:t xml:space="preserve"> </w:t>
      </w:r>
      <w:hyperlink r:id="rId3" w:history="1">
        <w:r w:rsidRPr="0022306A">
          <w:rPr>
            <w:rStyle w:val="Hyperlink"/>
          </w:rPr>
          <w:t>http://www.lrvk.gov.lv/revizija/vai-tiesu-iekartas-attistibas-pasakumi-ir-veicinajusi-tiesu-darbibas-efektivitati/</w:t>
        </w:r>
      </w:hyperlink>
      <w:r w:rsidRPr="00B04E5D">
        <w:t xml:space="preserve"> </w:t>
      </w:r>
    </w:p>
    <w:p w14:paraId="076EA6CD" w14:textId="244C4B15" w:rsidR="00D7451D" w:rsidRDefault="00D7451D">
      <w:pPr>
        <w:pStyle w:val="FootnoteText"/>
      </w:pPr>
      <w:r>
        <w:t>SVF pētījuma projekts. Publiski pieejams būs tuvākajā laikā.</w:t>
      </w:r>
    </w:p>
    <w:p w14:paraId="6AFA6663" w14:textId="28705208" w:rsidR="00D7451D" w:rsidRDefault="00D7451D" w:rsidP="00FE6828">
      <w:pPr>
        <w:pStyle w:val="FootnoteText"/>
        <w:jc w:val="both"/>
      </w:pPr>
      <w:r>
        <w:t>Publikācijas par SVF novērtējumā ietverto</w:t>
      </w:r>
      <w:r w:rsidRPr="00FE6828">
        <w:t xml:space="preserve"> maksātnespējas regulējuma un komerctiesību regulējuma analīzi</w:t>
      </w:r>
      <w:r>
        <w:t xml:space="preserve">: </w:t>
      </w:r>
      <w:hyperlink r:id="rId4" w:history="1">
        <w:r w:rsidRPr="001A6B6E">
          <w:rPr>
            <w:rStyle w:val="Hyperlink"/>
          </w:rPr>
          <w:t>https://www.tm.gov.lv/lv/aktualitates/tm-informacija-presei/starptautiska-valutas-fonda-petijums-apliecina-ka-latvija-ir-uz-pareiza-cela-maksatnespejas-jomas-pi</w:t>
        </w:r>
      </w:hyperlink>
      <w:r>
        <w:t xml:space="preserve">; Brikmane E. </w:t>
      </w:r>
      <w:r w:rsidRPr="00FE6828">
        <w:t>"Maksātnespējas nozares pilnveide – stabilai un tiesiskai tautsaimniecības videi"</w:t>
      </w:r>
      <w:r>
        <w:t>, pieejams:</w:t>
      </w:r>
      <w:r w:rsidRPr="00FE6828">
        <w:t xml:space="preserve"> </w:t>
      </w:r>
      <w:hyperlink r:id="rId5" w:history="1">
        <w:r w:rsidRPr="00DD24D9">
          <w:rPr>
            <w:rStyle w:val="Hyperlink"/>
          </w:rPr>
          <w:t>https://lvportals.lv/norises/302066-maksatnespejas-nozares-pilnveide-stabilai-un-tiesiskai-tautsaimniecibas-videi-2019</w:t>
        </w:r>
      </w:hyperlink>
      <w:r>
        <w:t xml:space="preserve">; </w:t>
      </w:r>
      <w:r w:rsidRPr="00FE6828">
        <w:t>Prezentētas Starptautiskā Valūtas fonda rekomendācijas maksātnespējas regulējuma pilnveidošanai. Jurista Vārds, 26.02.2019., Nr.</w:t>
      </w:r>
      <w:r>
        <w:t> </w:t>
      </w:r>
      <w:r w:rsidRPr="00FE6828">
        <w:t>8 (1066), 5.</w:t>
      </w:r>
      <w:r>
        <w:t> </w:t>
      </w:r>
      <w:r w:rsidRPr="00FE6828">
        <w:t>lpp.</w:t>
      </w:r>
      <w:r>
        <w:t xml:space="preserve"> </w:t>
      </w:r>
    </w:p>
  </w:footnote>
  <w:footnote w:id="4">
    <w:p w14:paraId="3D996B2B" w14:textId="0D87BF8E" w:rsidR="00D7451D" w:rsidRDefault="00D7451D" w:rsidP="00B04E5D">
      <w:pPr>
        <w:pStyle w:val="FootnoteText"/>
        <w:jc w:val="both"/>
      </w:pPr>
      <w:r>
        <w:rPr>
          <w:rStyle w:val="FootnoteReference"/>
        </w:rPr>
        <w:footnoteRef/>
      </w:r>
      <w:r>
        <w:t xml:space="preserve"> LTRK 2019</w:t>
      </w:r>
      <w:r w:rsidRPr="005B2160">
        <w:t>. </w:t>
      </w:r>
      <w:r>
        <w:t>gada 22</w:t>
      </w:r>
      <w:r w:rsidRPr="005B2160">
        <w:t>. </w:t>
      </w:r>
      <w:r>
        <w:t>maija vēstule Tieslietu ministrijai Nr</w:t>
      </w:r>
      <w:r w:rsidRPr="005B2160">
        <w:t>. </w:t>
      </w:r>
      <w:r w:rsidRPr="00601E05">
        <w:t>2019/516</w:t>
      </w:r>
    </w:p>
  </w:footnote>
  <w:footnote w:id="5">
    <w:p w14:paraId="52CA4CB5" w14:textId="77CA4962" w:rsidR="00D7451D" w:rsidRDefault="00D7451D" w:rsidP="00B04E5D">
      <w:pPr>
        <w:pStyle w:val="FootnoteText"/>
        <w:jc w:val="both"/>
      </w:pPr>
      <w:r>
        <w:rPr>
          <w:rStyle w:val="FootnoteReference"/>
        </w:rPr>
        <w:footnoteRef/>
      </w:r>
      <w:r>
        <w:t xml:space="preserve"> FICIL nostāja attiecībā uz investīciju aizsardzības jautājumiem </w:t>
      </w:r>
      <w:hyperlink r:id="rId6" w:history="1">
        <w:r w:rsidRPr="0022306A">
          <w:rPr>
            <w:rStyle w:val="Hyperlink"/>
          </w:rPr>
          <w:t>https://www.ficil.lv/wp-content/uploads/2019/05/LAT_FICIL_Energy_PP_No8_2019.pdf</w:t>
        </w:r>
      </w:hyperlink>
    </w:p>
  </w:footnote>
  <w:footnote w:id="6">
    <w:p w14:paraId="31750FF4" w14:textId="77777777" w:rsidR="00D7451D" w:rsidRDefault="00D7451D" w:rsidP="006B2DE9">
      <w:pPr>
        <w:pStyle w:val="FootnoteText"/>
      </w:pPr>
      <w:r>
        <w:rPr>
          <w:rStyle w:val="FootnoteReference"/>
        </w:rPr>
        <w:footnoteRef/>
      </w:r>
      <w:r>
        <w:t xml:space="preserve"> </w:t>
      </w:r>
      <w:proofErr w:type="spellStart"/>
      <w:r w:rsidRPr="00B04E5D">
        <w:rPr>
          <w:i/>
        </w:rPr>
        <w:t>Country</w:t>
      </w:r>
      <w:proofErr w:type="spellEnd"/>
      <w:r w:rsidRPr="00B04E5D">
        <w:rPr>
          <w:i/>
        </w:rPr>
        <w:t xml:space="preserve"> </w:t>
      </w:r>
      <w:proofErr w:type="spellStart"/>
      <w:r w:rsidRPr="00B04E5D">
        <w:rPr>
          <w:i/>
        </w:rPr>
        <w:t>Report</w:t>
      </w:r>
      <w:proofErr w:type="spellEnd"/>
      <w:r w:rsidRPr="00B04E5D">
        <w:rPr>
          <w:i/>
        </w:rPr>
        <w:t xml:space="preserve"> </w:t>
      </w:r>
      <w:proofErr w:type="spellStart"/>
      <w:r w:rsidRPr="00B04E5D">
        <w:rPr>
          <w:i/>
        </w:rPr>
        <w:t>Latvia</w:t>
      </w:r>
      <w:proofErr w:type="spellEnd"/>
      <w:r w:rsidRPr="00995F23">
        <w:t xml:space="preserve"> 2019</w:t>
      </w:r>
      <w:r>
        <w:t xml:space="preserve">, </w:t>
      </w:r>
      <w:hyperlink r:id="rId7" w:history="1">
        <w:r w:rsidRPr="00C32D43">
          <w:rPr>
            <w:rStyle w:val="Hyperlink"/>
          </w:rPr>
          <w:t>https://ec.europa.eu/info/sites/info/files/file_import/2019-european-semester-country-report-latvia_en.pdf</w:t>
        </w:r>
      </w:hyperlink>
      <w:r>
        <w:t xml:space="preserve"> </w:t>
      </w:r>
    </w:p>
  </w:footnote>
  <w:footnote w:id="7">
    <w:p w14:paraId="72F1D9A8" w14:textId="77777777" w:rsidR="00D7451D" w:rsidRDefault="00D7451D" w:rsidP="006B2DE9">
      <w:pPr>
        <w:pStyle w:val="FootnoteText"/>
      </w:pPr>
      <w:r w:rsidRPr="0097367F">
        <w:rPr>
          <w:rStyle w:val="FootnoteReference"/>
        </w:rPr>
        <w:footnoteRef/>
      </w:r>
      <w:r>
        <w:t xml:space="preserve"> </w:t>
      </w:r>
      <w:proofErr w:type="spellStart"/>
      <w:r w:rsidRPr="00B04E5D">
        <w:rPr>
          <w:i/>
        </w:rPr>
        <w:t>The</w:t>
      </w:r>
      <w:proofErr w:type="spellEnd"/>
      <w:r w:rsidRPr="00B04E5D">
        <w:rPr>
          <w:i/>
        </w:rPr>
        <w:t xml:space="preserve"> 2019 EU </w:t>
      </w:r>
      <w:proofErr w:type="spellStart"/>
      <w:r w:rsidRPr="00B04E5D">
        <w:rPr>
          <w:i/>
        </w:rPr>
        <w:t>Justice</w:t>
      </w:r>
      <w:proofErr w:type="spellEnd"/>
      <w:r w:rsidRPr="00B04E5D">
        <w:rPr>
          <w:i/>
        </w:rPr>
        <w:t xml:space="preserve"> </w:t>
      </w:r>
      <w:proofErr w:type="spellStart"/>
      <w:r w:rsidRPr="00B04E5D">
        <w:rPr>
          <w:i/>
        </w:rPr>
        <w:t>scoreboard</w:t>
      </w:r>
      <w:proofErr w:type="spellEnd"/>
      <w:r>
        <w:t xml:space="preserve">: </w:t>
      </w:r>
      <w:hyperlink r:id="rId8" w:history="1">
        <w:r w:rsidRPr="00A556E8">
          <w:rPr>
            <w:rStyle w:val="Hyperlink"/>
          </w:rPr>
          <w:t>https://ec.europa.eu/info/sites/info/files/justice_scoreboard_2019_en.pdf 19.att. 21.lpp</w:t>
        </w:r>
      </w:hyperlink>
      <w:r>
        <w:t xml:space="preserve">. </w:t>
      </w:r>
    </w:p>
  </w:footnote>
  <w:footnote w:id="8">
    <w:p w14:paraId="2EDC9C14" w14:textId="4344131C" w:rsidR="00D7451D" w:rsidRDefault="00D7451D">
      <w:pPr>
        <w:pStyle w:val="FootnoteText"/>
      </w:pPr>
      <w:r>
        <w:rPr>
          <w:rStyle w:val="FootnoteReference"/>
        </w:rPr>
        <w:footnoteRef/>
      </w:r>
      <w:r>
        <w:t xml:space="preserve"> Turpat, 20.lpp.</w:t>
      </w:r>
    </w:p>
  </w:footnote>
  <w:footnote w:id="9">
    <w:p w14:paraId="36C69BA1" w14:textId="731AB311" w:rsidR="00D7451D" w:rsidRDefault="00D7451D" w:rsidP="00F95A35">
      <w:pPr>
        <w:pStyle w:val="FootnoteText"/>
      </w:pPr>
      <w:r>
        <w:rPr>
          <w:rStyle w:val="FootnoteReference"/>
        </w:rPr>
        <w:footnoteRef/>
      </w:r>
      <w:r>
        <w:t xml:space="preserve"> CEPEJ ziņojums "</w:t>
      </w:r>
      <w:r w:rsidRPr="005467DE">
        <w:t>Latvijas tieslietu sistēmas novērtējums</w:t>
      </w:r>
      <w:r>
        <w:t>", 2018. gada marts, 32. lpp.</w:t>
      </w:r>
    </w:p>
  </w:footnote>
  <w:footnote w:id="10">
    <w:p w14:paraId="52C93463" w14:textId="55725519" w:rsidR="00D7451D" w:rsidRDefault="00D7451D" w:rsidP="00B04E5D">
      <w:pPr>
        <w:pStyle w:val="FootnoteText"/>
        <w:jc w:val="both"/>
      </w:pPr>
      <w:r>
        <w:rPr>
          <w:rStyle w:val="FootnoteReference"/>
        </w:rPr>
        <w:footnoteRef/>
      </w:r>
      <w:r>
        <w:t xml:space="preserve"> FICIL nostāja attiecībā uz investīciju aizsardzības jautājumiem (apstiprināta 2019. gada 30. maijā).</w:t>
      </w:r>
    </w:p>
  </w:footnote>
  <w:footnote w:id="11">
    <w:p w14:paraId="59E9059C" w14:textId="62547DB9" w:rsidR="00D7451D" w:rsidRDefault="00D7451D" w:rsidP="00561649">
      <w:pPr>
        <w:pStyle w:val="FootnoteText"/>
      </w:pPr>
      <w:r>
        <w:rPr>
          <w:rStyle w:val="FootnoteReference"/>
        </w:rPr>
        <w:footnoteRef/>
      </w:r>
      <w:r>
        <w:t xml:space="preserve"> Sk. piemēram, 2014. gada 30. oktobra likuma "Grozījumi Civilprocesa likumā" anotāciju - </w:t>
      </w:r>
      <w:hyperlink r:id="rId9" w:history="1">
        <w:r w:rsidRPr="00C32D43">
          <w:rPr>
            <w:rStyle w:val="Hyperlink"/>
          </w:rPr>
          <w:t>http://titania.saeima.lv/LIVS11/SaeimaLIVS11.nsf/0/16A01597342B1C31C2257D6400464918?OpenDocument</w:t>
        </w:r>
      </w:hyperlink>
      <w:r>
        <w:t xml:space="preserve"> </w:t>
      </w:r>
    </w:p>
  </w:footnote>
  <w:footnote w:id="12">
    <w:p w14:paraId="10E13C4F" w14:textId="18C9FE23" w:rsidR="00D7451D" w:rsidRDefault="00D7451D" w:rsidP="002355B2">
      <w:pPr>
        <w:pStyle w:val="FootnoteText"/>
      </w:pPr>
      <w:r>
        <w:rPr>
          <w:rStyle w:val="FootnoteReference"/>
        </w:rPr>
        <w:footnoteRef/>
      </w:r>
      <w:r>
        <w:t xml:space="preserve"> </w:t>
      </w:r>
      <w:r w:rsidRPr="00606B60">
        <w:t xml:space="preserve">Skat. Pasaules </w:t>
      </w:r>
      <w:r>
        <w:t>B</w:t>
      </w:r>
      <w:r w:rsidRPr="00606B60">
        <w:t xml:space="preserve">ankas ziņojumu 2019, </w:t>
      </w:r>
      <w:r w:rsidRPr="00B04E5D">
        <w:rPr>
          <w:i/>
        </w:rPr>
        <w:t>A World Bank Group Flagship Report</w:t>
      </w:r>
      <w:r w:rsidRPr="00606B60">
        <w:t xml:space="preserve">, </w:t>
      </w:r>
      <w:r w:rsidRPr="00B04E5D">
        <w:rPr>
          <w:i/>
        </w:rPr>
        <w:t>16th edition, Doing Business 2019, Compairing business regulation for domestic firms in 190 economies</w:t>
      </w:r>
      <w:r w:rsidRPr="00362034">
        <w:t>,</w:t>
      </w:r>
      <w:r w:rsidRPr="00606B60">
        <w:t xml:space="preserve"> 54.</w:t>
      </w:r>
      <w:r>
        <w:t> </w:t>
      </w:r>
      <w:r w:rsidRPr="00606B60">
        <w:t>lpp</w:t>
      </w:r>
      <w:r>
        <w:t>.</w:t>
      </w:r>
      <w:r w:rsidRPr="00606B60">
        <w:t xml:space="preserve">, pieejams: </w:t>
      </w:r>
      <w:hyperlink r:id="rId10" w:history="1">
        <w:r w:rsidRPr="00C32D43">
          <w:rPr>
            <w:rStyle w:val="Hyperlink"/>
          </w:rPr>
          <w:t>http://www.worldbank.org/content/dam/doingBusiness/media/Annual-Reports/English/DB2019-report_web-version.pdf</w:t>
        </w:r>
      </w:hyperlink>
    </w:p>
  </w:footnote>
  <w:footnote w:id="13">
    <w:p w14:paraId="6776F27E" w14:textId="7998D5E4" w:rsidR="00D7451D" w:rsidRDefault="00D7451D" w:rsidP="00AE4165">
      <w:pPr>
        <w:pStyle w:val="FootnoteText"/>
        <w:jc w:val="both"/>
      </w:pPr>
      <w:r>
        <w:rPr>
          <w:rStyle w:val="FootnoteReference"/>
        </w:rPr>
        <w:footnoteRef/>
      </w:r>
      <w:r>
        <w:t xml:space="preserve"> </w:t>
      </w:r>
      <w:proofErr w:type="spellStart"/>
      <w:r w:rsidRPr="00B04E5D">
        <w:rPr>
          <w:i/>
        </w:rPr>
        <w:t>Ioana</w:t>
      </w:r>
      <w:proofErr w:type="spellEnd"/>
      <w:r w:rsidRPr="00B04E5D">
        <w:rPr>
          <w:i/>
        </w:rPr>
        <w:t xml:space="preserve"> </w:t>
      </w:r>
      <w:proofErr w:type="spellStart"/>
      <w:r w:rsidRPr="00B04E5D">
        <w:rPr>
          <w:i/>
        </w:rPr>
        <w:t>Knoll-Tudor</w:t>
      </w:r>
      <w:proofErr w:type="spellEnd"/>
      <w:r w:rsidRPr="00B04E5D">
        <w:rPr>
          <w:i/>
        </w:rPr>
        <w:t xml:space="preserve"> (</w:t>
      </w:r>
      <w:proofErr w:type="spellStart"/>
      <w:r w:rsidRPr="00B04E5D">
        <w:rPr>
          <w:i/>
        </w:rPr>
        <w:t>Jeantet</w:t>
      </w:r>
      <w:proofErr w:type="spellEnd"/>
      <w:r w:rsidRPr="00B04E5D">
        <w:rPr>
          <w:i/>
        </w:rPr>
        <w:t>)</w:t>
      </w:r>
      <w:r>
        <w:t xml:space="preserve"> "</w:t>
      </w:r>
      <w:proofErr w:type="spellStart"/>
      <w:r w:rsidRPr="00B04E5D">
        <w:rPr>
          <w:i/>
        </w:rPr>
        <w:t>The</w:t>
      </w:r>
      <w:proofErr w:type="spellEnd"/>
      <w:r w:rsidRPr="00B04E5D">
        <w:rPr>
          <w:i/>
        </w:rPr>
        <w:t xml:space="preserve"> </w:t>
      </w:r>
      <w:proofErr w:type="spellStart"/>
      <w:r w:rsidRPr="00B04E5D">
        <w:rPr>
          <w:i/>
        </w:rPr>
        <w:t>European</w:t>
      </w:r>
      <w:proofErr w:type="spellEnd"/>
      <w:r w:rsidRPr="00B04E5D">
        <w:rPr>
          <w:i/>
        </w:rPr>
        <w:t xml:space="preserve"> </w:t>
      </w:r>
      <w:proofErr w:type="spellStart"/>
      <w:r w:rsidRPr="00B04E5D">
        <w:rPr>
          <w:i/>
        </w:rPr>
        <w:t>and</w:t>
      </w:r>
      <w:proofErr w:type="spellEnd"/>
      <w:r w:rsidRPr="00B04E5D">
        <w:rPr>
          <w:i/>
        </w:rPr>
        <w:t xml:space="preserve"> </w:t>
      </w:r>
      <w:proofErr w:type="spellStart"/>
      <w:r w:rsidRPr="00B04E5D">
        <w:rPr>
          <w:i/>
        </w:rPr>
        <w:t>Singapore</w:t>
      </w:r>
      <w:proofErr w:type="spellEnd"/>
      <w:r w:rsidRPr="00B04E5D">
        <w:rPr>
          <w:i/>
        </w:rPr>
        <w:t xml:space="preserve"> </w:t>
      </w:r>
      <w:proofErr w:type="spellStart"/>
      <w:r w:rsidRPr="00B04E5D">
        <w:rPr>
          <w:i/>
        </w:rPr>
        <w:t>International</w:t>
      </w:r>
      <w:proofErr w:type="spellEnd"/>
      <w:r w:rsidRPr="00B04E5D">
        <w:rPr>
          <w:i/>
        </w:rPr>
        <w:t xml:space="preserve"> </w:t>
      </w:r>
      <w:proofErr w:type="spellStart"/>
      <w:r w:rsidRPr="00B04E5D">
        <w:rPr>
          <w:i/>
        </w:rPr>
        <w:t>Commercial</w:t>
      </w:r>
      <w:proofErr w:type="spellEnd"/>
      <w:r w:rsidRPr="00B04E5D">
        <w:rPr>
          <w:i/>
        </w:rPr>
        <w:t xml:space="preserve"> </w:t>
      </w:r>
      <w:proofErr w:type="spellStart"/>
      <w:r w:rsidRPr="00B04E5D">
        <w:rPr>
          <w:i/>
        </w:rPr>
        <w:t>Courts</w:t>
      </w:r>
      <w:proofErr w:type="spellEnd"/>
      <w:r w:rsidRPr="00B04E5D">
        <w:rPr>
          <w:i/>
        </w:rPr>
        <w:t xml:space="preserve">: </w:t>
      </w:r>
      <w:proofErr w:type="spellStart"/>
      <w:r w:rsidRPr="00B04E5D">
        <w:rPr>
          <w:i/>
        </w:rPr>
        <w:t>Several</w:t>
      </w:r>
      <w:proofErr w:type="spellEnd"/>
      <w:r w:rsidRPr="00B04E5D">
        <w:rPr>
          <w:i/>
        </w:rPr>
        <w:t xml:space="preserve"> </w:t>
      </w:r>
      <w:proofErr w:type="spellStart"/>
      <w:r w:rsidRPr="00B04E5D">
        <w:rPr>
          <w:i/>
        </w:rPr>
        <w:t>Movements</w:t>
      </w:r>
      <w:proofErr w:type="spellEnd"/>
      <w:r w:rsidRPr="00B04E5D">
        <w:rPr>
          <w:i/>
        </w:rPr>
        <w:t xml:space="preserve">, a </w:t>
      </w:r>
      <w:proofErr w:type="spellStart"/>
      <w:r w:rsidRPr="00B04E5D">
        <w:rPr>
          <w:i/>
        </w:rPr>
        <w:t>Single</w:t>
      </w:r>
      <w:proofErr w:type="spellEnd"/>
      <w:r w:rsidRPr="00B04E5D">
        <w:rPr>
          <w:i/>
        </w:rPr>
        <w:t xml:space="preserve"> </w:t>
      </w:r>
      <w:proofErr w:type="spellStart"/>
      <w:r w:rsidRPr="00B04E5D">
        <w:rPr>
          <w:i/>
        </w:rPr>
        <w:t>Symphony</w:t>
      </w:r>
      <w:proofErr w:type="spellEnd"/>
      <w:r>
        <w:t xml:space="preserve">", </w:t>
      </w:r>
      <w:proofErr w:type="spellStart"/>
      <w:r w:rsidRPr="00B04E5D">
        <w:rPr>
          <w:i/>
        </w:rPr>
        <w:t>March</w:t>
      </w:r>
      <w:proofErr w:type="spellEnd"/>
      <w:r>
        <w:t xml:space="preserve"> 6, 2019 : </w:t>
      </w:r>
      <w:hyperlink r:id="rId11" w:history="1">
        <w:r w:rsidRPr="00232262">
          <w:rPr>
            <w:rStyle w:val="Hyperlink"/>
          </w:rPr>
          <w:t>http://arbitrationblog.kluwerarbitration.com/2019/03/06/the-european-and-singapore-international-commercial-courts-several-movements-a-single-symphony/</w:t>
        </w:r>
      </w:hyperlink>
      <w:r>
        <w:t xml:space="preserve"> </w:t>
      </w:r>
    </w:p>
  </w:footnote>
  <w:footnote w:id="14">
    <w:p w14:paraId="5941AAA2" w14:textId="328E3AC7" w:rsidR="00D7451D" w:rsidRDefault="00D7451D" w:rsidP="00AE4165">
      <w:pPr>
        <w:pStyle w:val="FootnoteText"/>
        <w:jc w:val="both"/>
      </w:pPr>
      <w:r>
        <w:rPr>
          <w:rStyle w:val="FootnoteReference"/>
        </w:rPr>
        <w:footnoteRef/>
      </w:r>
      <w:r>
        <w:t xml:space="preserve"> </w:t>
      </w:r>
      <w:proofErr w:type="spellStart"/>
      <w:r w:rsidRPr="00B04E5D">
        <w:rPr>
          <w:i/>
        </w:rPr>
        <w:t>Xandra</w:t>
      </w:r>
      <w:proofErr w:type="spellEnd"/>
      <w:r w:rsidRPr="00B04E5D">
        <w:rPr>
          <w:i/>
        </w:rPr>
        <w:t xml:space="preserve"> </w:t>
      </w:r>
      <w:proofErr w:type="spellStart"/>
      <w:r w:rsidRPr="00B04E5D">
        <w:rPr>
          <w:i/>
        </w:rPr>
        <w:t>Kramer</w:t>
      </w:r>
      <w:proofErr w:type="spellEnd"/>
      <w:r>
        <w:t xml:space="preserve"> "</w:t>
      </w:r>
      <w:proofErr w:type="spellStart"/>
      <w:r w:rsidRPr="00B04E5D">
        <w:rPr>
          <w:i/>
        </w:rPr>
        <w:t>The</w:t>
      </w:r>
      <w:proofErr w:type="spellEnd"/>
      <w:r w:rsidRPr="00B04E5D">
        <w:rPr>
          <w:i/>
        </w:rPr>
        <w:t xml:space="preserve"> </w:t>
      </w:r>
      <w:proofErr w:type="spellStart"/>
      <w:r w:rsidRPr="00B04E5D">
        <w:rPr>
          <w:i/>
        </w:rPr>
        <w:t>Netherlands</w:t>
      </w:r>
      <w:proofErr w:type="spellEnd"/>
      <w:r w:rsidRPr="00B04E5D">
        <w:rPr>
          <w:i/>
        </w:rPr>
        <w:t xml:space="preserve"> </w:t>
      </w:r>
      <w:proofErr w:type="spellStart"/>
      <w:r w:rsidRPr="00B04E5D">
        <w:rPr>
          <w:i/>
        </w:rPr>
        <w:t>Commercial</w:t>
      </w:r>
      <w:proofErr w:type="spellEnd"/>
      <w:r w:rsidRPr="00B04E5D">
        <w:rPr>
          <w:i/>
        </w:rPr>
        <w:t xml:space="preserve"> </w:t>
      </w:r>
      <w:proofErr w:type="spellStart"/>
      <w:r w:rsidRPr="00B04E5D">
        <w:rPr>
          <w:i/>
        </w:rPr>
        <w:t>Court</w:t>
      </w:r>
      <w:proofErr w:type="spellEnd"/>
      <w:r w:rsidRPr="00B04E5D">
        <w:rPr>
          <w:i/>
        </w:rPr>
        <w:t xml:space="preserve"> </w:t>
      </w:r>
      <w:proofErr w:type="spellStart"/>
      <w:r w:rsidRPr="00B04E5D">
        <w:rPr>
          <w:i/>
        </w:rPr>
        <w:t>holds</w:t>
      </w:r>
      <w:proofErr w:type="spellEnd"/>
      <w:r w:rsidRPr="00B04E5D">
        <w:rPr>
          <w:i/>
        </w:rPr>
        <w:t xml:space="preserve"> </w:t>
      </w:r>
      <w:proofErr w:type="spellStart"/>
      <w:r w:rsidRPr="00B04E5D">
        <w:rPr>
          <w:i/>
        </w:rPr>
        <w:t>its</w:t>
      </w:r>
      <w:proofErr w:type="spellEnd"/>
      <w:r w:rsidRPr="00B04E5D">
        <w:rPr>
          <w:i/>
        </w:rPr>
        <w:t xml:space="preserve"> first </w:t>
      </w:r>
      <w:proofErr w:type="spellStart"/>
      <w:r w:rsidRPr="00B04E5D">
        <w:rPr>
          <w:i/>
        </w:rPr>
        <w:t>hearing</w:t>
      </w:r>
      <w:proofErr w:type="spellEnd"/>
      <w:r w:rsidRPr="00B04E5D">
        <w:rPr>
          <w:i/>
        </w:rPr>
        <w:t>!</w:t>
      </w:r>
      <w:r>
        <w:t xml:space="preserve">", </w:t>
      </w:r>
      <w:proofErr w:type="spellStart"/>
      <w:r w:rsidRPr="00B04E5D">
        <w:rPr>
          <w:i/>
        </w:rPr>
        <w:t>on</w:t>
      </w:r>
      <w:proofErr w:type="spellEnd"/>
      <w:r w:rsidRPr="00B04E5D">
        <w:rPr>
          <w:i/>
        </w:rPr>
        <w:t xml:space="preserve"> </w:t>
      </w:r>
      <w:proofErr w:type="spellStart"/>
      <w:r w:rsidRPr="00B04E5D">
        <w:rPr>
          <w:i/>
        </w:rPr>
        <w:t>February</w:t>
      </w:r>
      <w:proofErr w:type="spellEnd"/>
      <w:r w:rsidRPr="00D35584">
        <w:t xml:space="preserve"> 18, 2019</w:t>
      </w:r>
      <w:r>
        <w:t>: http://conflictoflaws.net/2019/the-netherlands-commercial-court-holds-its-first-hearing/</w:t>
      </w:r>
    </w:p>
  </w:footnote>
  <w:footnote w:id="15">
    <w:p w14:paraId="5C3989EE" w14:textId="49EDE0E7" w:rsidR="00D7451D" w:rsidRDefault="00D7451D" w:rsidP="00446409">
      <w:pPr>
        <w:pStyle w:val="FootnoteText"/>
      </w:pPr>
      <w:r>
        <w:rPr>
          <w:rStyle w:val="FootnoteReference"/>
        </w:rPr>
        <w:footnoteRef/>
      </w:r>
      <w:r>
        <w:t xml:space="preserve"> </w:t>
      </w:r>
      <w:r w:rsidRPr="00E642F0">
        <w:t>Eiropas e-tiesiskuma portāls</w:t>
      </w:r>
      <w:r>
        <w:t xml:space="preserve">: </w:t>
      </w:r>
      <w:hyperlink r:id="rId12" w:history="1">
        <w:r w:rsidRPr="001E6C86">
          <w:rPr>
            <w:rStyle w:val="Hyperlink"/>
          </w:rPr>
          <w:t>https://e-justice.europa.eu/content_specialised_courts-19-lv.do</w:t>
        </w:r>
      </w:hyperlink>
      <w:r>
        <w:t>; FICIL nostāja attiecībā uz investīciju aizsardzības jautājumiem (apstiprināta 2019. gada 30. maijā).</w:t>
      </w:r>
    </w:p>
    <w:p w14:paraId="59669051" w14:textId="777B9CC1" w:rsidR="00D7451D" w:rsidRDefault="00D7451D" w:rsidP="00E51353">
      <w:pPr>
        <w:pStyle w:val="FootnoteText"/>
        <w:jc w:val="both"/>
      </w:pPr>
    </w:p>
  </w:footnote>
  <w:footnote w:id="16">
    <w:p w14:paraId="4EBB659E" w14:textId="46DA388F" w:rsidR="00D7451D" w:rsidRDefault="00D7451D" w:rsidP="00B04E5D">
      <w:pPr>
        <w:pStyle w:val="FootnoteText"/>
        <w:jc w:val="both"/>
      </w:pPr>
      <w:r>
        <w:rPr>
          <w:rStyle w:val="FootnoteReference"/>
        </w:rPr>
        <w:footnoteRef/>
      </w:r>
      <w:r>
        <w:t xml:space="preserve"> </w:t>
      </w:r>
      <w:proofErr w:type="spellStart"/>
      <w:r w:rsidRPr="00B04E5D">
        <w:rPr>
          <w:i/>
        </w:rPr>
        <w:t>Yves</w:t>
      </w:r>
      <w:proofErr w:type="spellEnd"/>
      <w:r w:rsidRPr="00B04E5D">
        <w:rPr>
          <w:i/>
        </w:rPr>
        <w:t xml:space="preserve"> </w:t>
      </w:r>
      <w:proofErr w:type="spellStart"/>
      <w:r w:rsidRPr="00B04E5D">
        <w:rPr>
          <w:i/>
        </w:rPr>
        <w:t>Merlat</w:t>
      </w:r>
      <w:proofErr w:type="spellEnd"/>
      <w:r w:rsidRPr="00B04E5D">
        <w:rPr>
          <w:i/>
        </w:rPr>
        <w:t xml:space="preserve"> (</w:t>
      </w:r>
      <w:proofErr w:type="spellStart"/>
      <w:r w:rsidRPr="00B04E5D">
        <w:rPr>
          <w:i/>
        </w:rPr>
        <w:t>Judge</w:t>
      </w:r>
      <w:proofErr w:type="spellEnd"/>
      <w:r w:rsidRPr="00B04E5D">
        <w:rPr>
          <w:i/>
        </w:rPr>
        <w:t xml:space="preserve">, </w:t>
      </w:r>
      <w:proofErr w:type="spellStart"/>
      <w:r w:rsidRPr="00B04E5D">
        <w:rPr>
          <w:i/>
        </w:rPr>
        <w:t>Evry</w:t>
      </w:r>
      <w:proofErr w:type="spellEnd"/>
      <w:r w:rsidRPr="00B04E5D">
        <w:rPr>
          <w:i/>
        </w:rPr>
        <w:t xml:space="preserve"> </w:t>
      </w:r>
      <w:proofErr w:type="spellStart"/>
      <w:r w:rsidRPr="00B04E5D">
        <w:rPr>
          <w:i/>
        </w:rPr>
        <w:t>Commercial</w:t>
      </w:r>
      <w:proofErr w:type="spellEnd"/>
      <w:r w:rsidRPr="00B04E5D">
        <w:rPr>
          <w:i/>
        </w:rPr>
        <w:t xml:space="preserve"> </w:t>
      </w:r>
      <w:proofErr w:type="spellStart"/>
      <w:r w:rsidRPr="00B04E5D">
        <w:rPr>
          <w:i/>
        </w:rPr>
        <w:t>Court</w:t>
      </w:r>
      <w:proofErr w:type="spellEnd"/>
      <w:r w:rsidRPr="00B04E5D">
        <w:rPr>
          <w:i/>
        </w:rPr>
        <w:t>)</w:t>
      </w:r>
      <w:r>
        <w:t xml:space="preserve"> "</w:t>
      </w:r>
      <w:proofErr w:type="spellStart"/>
      <w:r w:rsidRPr="00B04E5D">
        <w:rPr>
          <w:i/>
        </w:rPr>
        <w:t>Commercial</w:t>
      </w:r>
      <w:proofErr w:type="spellEnd"/>
      <w:r w:rsidRPr="00B04E5D">
        <w:rPr>
          <w:i/>
        </w:rPr>
        <w:t xml:space="preserve"> </w:t>
      </w:r>
      <w:proofErr w:type="spellStart"/>
      <w:r w:rsidRPr="00B04E5D">
        <w:rPr>
          <w:i/>
        </w:rPr>
        <w:t>Courts</w:t>
      </w:r>
      <w:proofErr w:type="spellEnd"/>
      <w:r w:rsidRPr="00B04E5D">
        <w:rPr>
          <w:i/>
        </w:rPr>
        <w:t xml:space="preserve"> </w:t>
      </w:r>
      <w:proofErr w:type="spellStart"/>
      <w:r w:rsidRPr="00B04E5D">
        <w:rPr>
          <w:i/>
        </w:rPr>
        <w:t>of</w:t>
      </w:r>
      <w:proofErr w:type="spellEnd"/>
      <w:r w:rsidRPr="00B04E5D">
        <w:rPr>
          <w:i/>
        </w:rPr>
        <w:t xml:space="preserve"> </w:t>
      </w:r>
      <w:proofErr w:type="spellStart"/>
      <w:r w:rsidRPr="00B04E5D">
        <w:rPr>
          <w:i/>
        </w:rPr>
        <w:t>Justice</w:t>
      </w:r>
      <w:proofErr w:type="spellEnd"/>
      <w:r w:rsidRPr="00B04E5D">
        <w:rPr>
          <w:i/>
        </w:rPr>
        <w:t xml:space="preserve"> </w:t>
      </w:r>
      <w:proofErr w:type="spellStart"/>
      <w:r w:rsidRPr="00B04E5D">
        <w:rPr>
          <w:i/>
        </w:rPr>
        <w:t>in</w:t>
      </w:r>
      <w:proofErr w:type="spellEnd"/>
      <w:r w:rsidRPr="00B04E5D">
        <w:rPr>
          <w:i/>
        </w:rPr>
        <w:t xml:space="preserve"> </w:t>
      </w:r>
      <w:proofErr w:type="spellStart"/>
      <w:r w:rsidRPr="00B04E5D">
        <w:rPr>
          <w:i/>
        </w:rPr>
        <w:t>France</w:t>
      </w:r>
      <w:proofErr w:type="spellEnd"/>
      <w:r>
        <w:t xml:space="preserve">": </w:t>
      </w:r>
      <w:hyperlink r:id="rId13" w:history="1">
        <w:r w:rsidRPr="00262BF3">
          <w:rPr>
            <w:rStyle w:val="Hyperlink"/>
          </w:rPr>
          <w:t>https://www.iiiglobal.org/sites/default/files/media/2_Didier_Commercial.PDF</w:t>
        </w:r>
      </w:hyperlink>
      <w:r>
        <w:t xml:space="preserve"> </w:t>
      </w:r>
    </w:p>
  </w:footnote>
  <w:footnote w:id="17">
    <w:p w14:paraId="06363159" w14:textId="3C6AAD25" w:rsidR="00D7451D" w:rsidRDefault="00D7451D" w:rsidP="00E51353">
      <w:pPr>
        <w:pStyle w:val="FootnoteText"/>
        <w:jc w:val="both"/>
      </w:pPr>
      <w:r w:rsidRPr="0098654F">
        <w:rPr>
          <w:rStyle w:val="FootnoteReference"/>
        </w:rPr>
        <w:footnoteRef/>
      </w:r>
      <w:r w:rsidRPr="0098654F">
        <w:t xml:space="preserve"> </w:t>
      </w:r>
      <w:r w:rsidRPr="00B04E5D">
        <w:rPr>
          <w:i/>
          <w:lang w:val="en"/>
        </w:rPr>
        <w:t>Litigation &amp; Dispute Resolution 2018 | France</w:t>
      </w:r>
      <w:r w:rsidRPr="00423300">
        <w:rPr>
          <w:lang w:val="en"/>
        </w:rPr>
        <w:t xml:space="preserve"> :</w:t>
      </w:r>
      <w:r w:rsidRPr="0098654F">
        <w:t xml:space="preserve"> </w:t>
      </w:r>
      <w:hyperlink r:id="rId14" w:history="1">
        <w:r w:rsidRPr="00423300">
          <w:rPr>
            <w:rStyle w:val="Hyperlink"/>
          </w:rPr>
          <w:t>https://www.globallegalinsights.com/practice-areas/litigation-and-dispute-resolution-laws-and-regulations/france</w:t>
        </w:r>
      </w:hyperlink>
      <w:r>
        <w:rPr>
          <w:lang w:val="en"/>
        </w:rPr>
        <w:t xml:space="preserve"> </w:t>
      </w:r>
    </w:p>
  </w:footnote>
  <w:footnote w:id="18">
    <w:p w14:paraId="680FD9BA" w14:textId="1249D4E2" w:rsidR="00D7451D" w:rsidRDefault="00D7451D" w:rsidP="00E51353">
      <w:pPr>
        <w:pStyle w:val="FootnoteText"/>
        <w:jc w:val="both"/>
      </w:pPr>
      <w:r>
        <w:rPr>
          <w:rStyle w:val="FootnoteReference"/>
        </w:rPr>
        <w:footnoteRef/>
      </w:r>
      <w:r>
        <w:t xml:space="preserve"> </w:t>
      </w:r>
      <w:r w:rsidRPr="00B04E5D">
        <w:rPr>
          <w:i/>
        </w:rPr>
        <w:t xml:space="preserve">Mario </w:t>
      </w:r>
      <w:proofErr w:type="spellStart"/>
      <w:r w:rsidRPr="00B04E5D">
        <w:rPr>
          <w:i/>
        </w:rPr>
        <w:t>Vukelić</w:t>
      </w:r>
      <w:proofErr w:type="spellEnd"/>
      <w:r w:rsidRPr="00B04E5D">
        <w:rPr>
          <w:i/>
        </w:rPr>
        <w:t xml:space="preserve">, LLB,BA </w:t>
      </w:r>
      <w:proofErr w:type="spellStart"/>
      <w:r w:rsidRPr="00B04E5D">
        <w:rPr>
          <w:i/>
        </w:rPr>
        <w:t>in</w:t>
      </w:r>
      <w:proofErr w:type="spellEnd"/>
      <w:r w:rsidRPr="00B04E5D">
        <w:rPr>
          <w:i/>
        </w:rPr>
        <w:t xml:space="preserve"> </w:t>
      </w:r>
      <w:proofErr w:type="spellStart"/>
      <w:r w:rsidRPr="00B04E5D">
        <w:rPr>
          <w:i/>
        </w:rPr>
        <w:t>Economics</w:t>
      </w:r>
      <w:proofErr w:type="spellEnd"/>
      <w:r w:rsidRPr="00B04E5D">
        <w:rPr>
          <w:i/>
        </w:rPr>
        <w:t xml:space="preserve">, </w:t>
      </w:r>
      <w:proofErr w:type="spellStart"/>
      <w:r w:rsidRPr="00B04E5D">
        <w:rPr>
          <w:i/>
        </w:rPr>
        <w:t>President</w:t>
      </w:r>
      <w:proofErr w:type="spellEnd"/>
      <w:r w:rsidRPr="00B04E5D">
        <w:rPr>
          <w:i/>
        </w:rPr>
        <w:t xml:space="preserve"> </w:t>
      </w:r>
      <w:proofErr w:type="spellStart"/>
      <w:r w:rsidRPr="00B04E5D">
        <w:rPr>
          <w:i/>
        </w:rPr>
        <w:t>of</w:t>
      </w:r>
      <w:proofErr w:type="spellEnd"/>
      <w:r w:rsidRPr="00B04E5D">
        <w:rPr>
          <w:i/>
        </w:rPr>
        <w:t xml:space="preserve"> </w:t>
      </w:r>
      <w:proofErr w:type="spellStart"/>
      <w:r w:rsidRPr="00B04E5D">
        <w:rPr>
          <w:i/>
        </w:rPr>
        <w:t>the</w:t>
      </w:r>
      <w:proofErr w:type="spellEnd"/>
      <w:r w:rsidRPr="00B04E5D">
        <w:rPr>
          <w:i/>
        </w:rPr>
        <w:t xml:space="preserve"> </w:t>
      </w:r>
      <w:proofErr w:type="spellStart"/>
      <w:r w:rsidRPr="00B04E5D">
        <w:rPr>
          <w:i/>
        </w:rPr>
        <w:t>High</w:t>
      </w:r>
      <w:proofErr w:type="spellEnd"/>
      <w:r w:rsidRPr="00B04E5D">
        <w:rPr>
          <w:i/>
        </w:rPr>
        <w:t xml:space="preserve"> </w:t>
      </w:r>
      <w:proofErr w:type="spellStart"/>
      <w:r w:rsidRPr="00B04E5D">
        <w:rPr>
          <w:i/>
        </w:rPr>
        <w:t>Commercial</w:t>
      </w:r>
      <w:proofErr w:type="spellEnd"/>
      <w:r w:rsidRPr="00B04E5D">
        <w:rPr>
          <w:i/>
        </w:rPr>
        <w:t xml:space="preserve"> </w:t>
      </w:r>
      <w:proofErr w:type="spellStart"/>
      <w:r w:rsidRPr="00B04E5D">
        <w:rPr>
          <w:i/>
        </w:rPr>
        <w:t>Court</w:t>
      </w:r>
      <w:proofErr w:type="spellEnd"/>
      <w:r w:rsidRPr="00B04E5D">
        <w:rPr>
          <w:i/>
        </w:rPr>
        <w:t xml:space="preserve"> </w:t>
      </w:r>
      <w:proofErr w:type="spellStart"/>
      <w:r w:rsidRPr="00B04E5D">
        <w:rPr>
          <w:i/>
        </w:rPr>
        <w:t>of</w:t>
      </w:r>
      <w:proofErr w:type="spellEnd"/>
      <w:r w:rsidRPr="00B04E5D">
        <w:rPr>
          <w:i/>
        </w:rPr>
        <w:t xml:space="preserve"> </w:t>
      </w:r>
      <w:proofErr w:type="spellStart"/>
      <w:r w:rsidRPr="00B04E5D">
        <w:rPr>
          <w:i/>
        </w:rPr>
        <w:t>the</w:t>
      </w:r>
      <w:proofErr w:type="spellEnd"/>
      <w:r w:rsidRPr="00B04E5D">
        <w:rPr>
          <w:i/>
        </w:rPr>
        <w:t xml:space="preserve"> </w:t>
      </w:r>
      <w:proofErr w:type="spellStart"/>
      <w:r w:rsidRPr="00B04E5D">
        <w:rPr>
          <w:i/>
        </w:rPr>
        <w:t>Republic</w:t>
      </w:r>
      <w:proofErr w:type="spellEnd"/>
      <w:r w:rsidRPr="00B04E5D">
        <w:rPr>
          <w:i/>
        </w:rPr>
        <w:t xml:space="preserve"> </w:t>
      </w:r>
      <w:proofErr w:type="spellStart"/>
      <w:r w:rsidRPr="00B04E5D">
        <w:rPr>
          <w:i/>
        </w:rPr>
        <w:t>of</w:t>
      </w:r>
      <w:proofErr w:type="spellEnd"/>
      <w:r w:rsidRPr="00B04E5D">
        <w:rPr>
          <w:i/>
        </w:rPr>
        <w:t xml:space="preserve"> </w:t>
      </w:r>
      <w:proofErr w:type="spellStart"/>
      <w:r w:rsidRPr="00B04E5D">
        <w:rPr>
          <w:i/>
        </w:rPr>
        <w:t>Croatia</w:t>
      </w:r>
      <w:proofErr w:type="spellEnd"/>
      <w:r>
        <w:t xml:space="preserve"> "</w:t>
      </w:r>
      <w:r w:rsidRPr="00B04E5D">
        <w:rPr>
          <w:i/>
        </w:rPr>
        <w:t>COMMERCIAL COURTS IN CROATIA</w:t>
      </w:r>
      <w:r>
        <w:t xml:space="preserve">": </w:t>
      </w:r>
      <w:hyperlink r:id="rId15" w:history="1">
        <w:r w:rsidRPr="00262BF3">
          <w:rPr>
            <w:rStyle w:val="Hyperlink"/>
          </w:rPr>
          <w:t>https://www.vtsrh.hr/uploads/Dokumenti/strucni%20radovi/</w:t>
        </w:r>
      </w:hyperlink>
    </w:p>
    <w:p w14:paraId="4320AFD4" w14:textId="77777777" w:rsidR="00D7451D" w:rsidRDefault="00D7451D" w:rsidP="00E51353">
      <w:pPr>
        <w:pStyle w:val="FootnoteText"/>
        <w:jc w:val="both"/>
      </w:pPr>
      <w:r w:rsidRPr="00B96CBF">
        <w:t>COMMERCIAL_COURTS_IN_CROATIA_-_Mario_Vukeli%C4%87.pdf</w:t>
      </w:r>
    </w:p>
  </w:footnote>
  <w:footnote w:id="19">
    <w:p w14:paraId="58062A23" w14:textId="7F54572E" w:rsidR="00D7451D" w:rsidRDefault="00D7451D" w:rsidP="00E51353">
      <w:pPr>
        <w:pStyle w:val="FootnoteText"/>
        <w:jc w:val="both"/>
      </w:pPr>
      <w:r>
        <w:rPr>
          <w:rStyle w:val="FootnoteReference"/>
        </w:rPr>
        <w:footnoteRef/>
      </w:r>
      <w:r>
        <w:t xml:space="preserve"> Skatīt: </w:t>
      </w:r>
      <w:hyperlink r:id="rId16" w:history="1">
        <w:r w:rsidRPr="00B23920">
          <w:rPr>
            <w:rStyle w:val="Hyperlink"/>
          </w:rPr>
          <w:t>https://www.portugalresident.com/2019/04/30/new-commercial-court-opens-in-lagoa/</w:t>
        </w:r>
      </w:hyperlink>
      <w:r>
        <w:t xml:space="preserve"> </w:t>
      </w:r>
    </w:p>
  </w:footnote>
  <w:footnote w:id="20">
    <w:p w14:paraId="1113CABA" w14:textId="6B8FDEFA" w:rsidR="00D7451D" w:rsidRDefault="00D7451D">
      <w:pPr>
        <w:pStyle w:val="FootnoteText"/>
      </w:pPr>
      <w:r>
        <w:rPr>
          <w:rStyle w:val="FootnoteReference"/>
        </w:rPr>
        <w:footnoteRef/>
      </w:r>
      <w:r>
        <w:t xml:space="preserve"> </w:t>
      </w:r>
      <w:proofErr w:type="spellStart"/>
      <w:r w:rsidRPr="00B04E5D">
        <w:rPr>
          <w:i/>
        </w:rPr>
        <w:t>Maíra</w:t>
      </w:r>
      <w:proofErr w:type="spellEnd"/>
      <w:r w:rsidRPr="00B04E5D">
        <w:rPr>
          <w:i/>
        </w:rPr>
        <w:t xml:space="preserve"> Martini</w:t>
      </w:r>
      <w:r w:rsidRPr="00227B13">
        <w:t xml:space="preserve">, 28 </w:t>
      </w:r>
      <w:proofErr w:type="spellStart"/>
      <w:r w:rsidRPr="00B04E5D">
        <w:rPr>
          <w:i/>
        </w:rPr>
        <w:t>January</w:t>
      </w:r>
      <w:proofErr w:type="spellEnd"/>
      <w:r w:rsidRPr="00227B13">
        <w:t xml:space="preserve"> 2014, </w:t>
      </w:r>
      <w:r w:rsidRPr="00B04E5D">
        <w:rPr>
          <w:i/>
        </w:rPr>
        <w:t>ANTI-CORRUPTION SPECIALISATION: LAW ENFORCEMENT AND COURTS</w:t>
      </w:r>
      <w:r w:rsidRPr="00227B13">
        <w:t>:https://www.transparency.org/files/content/corruptionqas/Anticorruption_specialisation_Law_enforcment_and_courts_2014.pdf</w:t>
      </w:r>
    </w:p>
  </w:footnote>
  <w:footnote w:id="21">
    <w:p w14:paraId="2B06BB33" w14:textId="3578B01A" w:rsidR="00D7451D" w:rsidRDefault="00D7451D" w:rsidP="002355B2">
      <w:pPr>
        <w:pStyle w:val="FootnoteText"/>
      </w:pPr>
      <w:r>
        <w:rPr>
          <w:rStyle w:val="FootnoteReference"/>
        </w:rPr>
        <w:footnoteRef/>
      </w:r>
      <w:r>
        <w:t xml:space="preserve"> Zālīte M</w:t>
      </w:r>
      <w:r w:rsidRPr="00953068">
        <w:t xml:space="preserve">. </w:t>
      </w:r>
      <w:r w:rsidRPr="00D10498">
        <w:t>Jāveido komerctiesas godīgas komercprakses un ekonomikas attīstībai</w:t>
      </w:r>
      <w:r w:rsidRPr="00953068">
        <w:t xml:space="preserve">. Jurista Vārds, </w:t>
      </w:r>
      <w:r>
        <w:t>13.04.2010</w:t>
      </w:r>
      <w:r w:rsidRPr="00953068">
        <w:t>., Nr.</w:t>
      </w:r>
      <w:r>
        <w:t> 15</w:t>
      </w:r>
      <w:r w:rsidRPr="00953068">
        <w:t xml:space="preserve"> (</w:t>
      </w:r>
      <w:r>
        <w:t>610</w:t>
      </w:r>
      <w:r w:rsidRPr="00953068">
        <w:t>)</w:t>
      </w:r>
      <w:r>
        <w:t>.</w:t>
      </w:r>
    </w:p>
  </w:footnote>
  <w:footnote w:id="22">
    <w:p w14:paraId="232CEBF4" w14:textId="09188F41" w:rsidR="00D7451D" w:rsidRDefault="00D7451D">
      <w:pPr>
        <w:pStyle w:val="FootnoteText"/>
      </w:pPr>
    </w:p>
  </w:footnote>
  <w:footnote w:id="23">
    <w:p w14:paraId="554B750C" w14:textId="52BAAF5F" w:rsidR="00D7451D" w:rsidRDefault="00D7451D" w:rsidP="002355B2">
      <w:pPr>
        <w:pStyle w:val="FootnoteText"/>
        <w:jc w:val="both"/>
      </w:pPr>
      <w:r>
        <w:rPr>
          <w:rStyle w:val="FootnoteReference"/>
        </w:rPr>
        <w:footnoteRef/>
      </w:r>
      <w:r>
        <w:t xml:space="preserve"> </w:t>
      </w:r>
      <w:proofErr w:type="spellStart"/>
      <w:r w:rsidRPr="009C3147">
        <w:t>Stukān</w:t>
      </w:r>
      <w:r>
        <w:t>s</w:t>
      </w:r>
      <w:proofErr w:type="spellEnd"/>
      <w:r>
        <w:t xml:space="preserve"> J. "</w:t>
      </w:r>
      <w:r w:rsidRPr="009C3147">
        <w:t>Latvijā jādomā par tiesnešu specializāciju</w:t>
      </w:r>
      <w:r>
        <w:t>", pieejams:</w:t>
      </w:r>
      <w:r w:rsidRPr="006A17D5">
        <w:t xml:space="preserve"> https://www.diena.lv/raksts/uznemeja-diena/likumi/stukans-latvija-jadoma-par-tiesnesu-specializaciju-14165267</w:t>
      </w:r>
    </w:p>
  </w:footnote>
  <w:footnote w:id="24">
    <w:p w14:paraId="7AE6B9B5" w14:textId="77777777" w:rsidR="00D7451D" w:rsidRDefault="00D7451D" w:rsidP="00B04E5D">
      <w:pPr>
        <w:pStyle w:val="FootnoteText"/>
        <w:jc w:val="both"/>
      </w:pPr>
      <w:r>
        <w:rPr>
          <w:rStyle w:val="FootnoteReference"/>
        </w:rPr>
        <w:footnoteRef/>
      </w:r>
      <w:r>
        <w:t xml:space="preserve"> </w:t>
      </w:r>
      <w:r w:rsidRPr="00927692">
        <w:t>Nepieciešams</w:t>
      </w:r>
      <w:r>
        <w:t xml:space="preserve"> papildu</w:t>
      </w:r>
      <w:r w:rsidRPr="00927692">
        <w:t xml:space="preserve"> izvērtējums par liela apjoma </w:t>
      </w:r>
      <w:proofErr w:type="spellStart"/>
      <w:r w:rsidRPr="00927692">
        <w:t>komercstrīdu</w:t>
      </w:r>
      <w:proofErr w:type="spellEnd"/>
      <w:r w:rsidRPr="00927692">
        <w:t xml:space="preserve"> pazīmēm</w:t>
      </w:r>
    </w:p>
  </w:footnote>
  <w:footnote w:id="25">
    <w:p w14:paraId="254EC4D3" w14:textId="7BA09A5A" w:rsidR="00D7451D" w:rsidRDefault="00D7451D" w:rsidP="00B04E5D">
      <w:pPr>
        <w:pStyle w:val="FootnoteText"/>
        <w:jc w:val="both"/>
      </w:pPr>
      <w:r>
        <w:rPr>
          <w:rStyle w:val="FootnoteReference"/>
        </w:rPr>
        <w:footnoteRef/>
      </w:r>
      <w:r>
        <w:t xml:space="preserve"> </w:t>
      </w:r>
      <w:r w:rsidRPr="00927692">
        <w:t>Pēc tam, kad tiek pārskatīts Koncernu likums un sakārtots attiecīgās nozares regulējums, specializētās tiesas (vai atsevišķās specializācijas) kompetence būtu paplašināma arī attiecībā uz strīdiem, kas izriet vai kuri pamatoti ar Koncernu likumu.</w:t>
      </w:r>
    </w:p>
  </w:footnote>
  <w:footnote w:id="26">
    <w:p w14:paraId="40BE93DC" w14:textId="5407A1DB" w:rsidR="00D7451D" w:rsidRDefault="00D7451D" w:rsidP="00B04E5D">
      <w:pPr>
        <w:pStyle w:val="FootnoteText"/>
        <w:jc w:val="both"/>
      </w:pPr>
      <w:r>
        <w:rPr>
          <w:rStyle w:val="FootnoteReference"/>
        </w:rPr>
        <w:footnoteRef/>
      </w:r>
      <w:r>
        <w:t xml:space="preserve"> Lietu skaits nav matemātiski iekļauts kopējā noslodzes aprēķinā, jo šīs kategorijas lietas nebūtu pielīdzināmas slodzei, ko veido civilprocesa kārtībā celtas prasību lietas izskatīšana. Tomēr šo lietu īpatsvars ir ņemams vērā, vērtējot lietu izskatīšanai nepieciešamos resursus.</w:t>
      </w:r>
    </w:p>
  </w:footnote>
  <w:footnote w:id="27">
    <w:p w14:paraId="566870F9" w14:textId="3B0A1EEC" w:rsidR="00D7451D" w:rsidRDefault="00D7451D" w:rsidP="00B04E5D">
      <w:pPr>
        <w:pStyle w:val="FootnoteText"/>
        <w:jc w:val="both"/>
      </w:pPr>
      <w:r>
        <w:rPr>
          <w:rStyle w:val="FootnoteReference"/>
        </w:rPr>
        <w:footnoteRef/>
      </w:r>
      <w:r>
        <w:t xml:space="preserve"> </w:t>
      </w:r>
      <w:r w:rsidRPr="00446409">
        <w:t>Atbilstoši Ģenerālprokuratūras Darbības analīzes un vadības departamenta prokuroru personālā un profesionālās izaugsmes nodaļas sniegtajiem statistikas datiem no Prokuratūras informācijas sistēmas.</w:t>
      </w:r>
    </w:p>
  </w:footnote>
  <w:footnote w:id="28">
    <w:p w14:paraId="60E3FEC0" w14:textId="1A529C55" w:rsidR="00D7451D" w:rsidRDefault="00D7451D" w:rsidP="00B04E5D">
      <w:pPr>
        <w:pStyle w:val="FootnoteText"/>
        <w:jc w:val="both"/>
      </w:pPr>
      <w:r>
        <w:rPr>
          <w:rStyle w:val="FootnoteReference"/>
        </w:rPr>
        <w:footnoteRef/>
      </w:r>
      <w:r>
        <w:t xml:space="preserve"> Nav iespējams izgūt precīzus datus par pārsūdzēto reiderisma lietu skaitu. Prognozējams, ka apelācijas instancē tiek pārsūdzēta 1/3 no saņemto lietu skaita.</w:t>
      </w:r>
    </w:p>
  </w:footnote>
  <w:footnote w:id="29">
    <w:p w14:paraId="469B2ED1" w14:textId="77777777" w:rsidR="00D7451D" w:rsidRDefault="00D7451D" w:rsidP="00B04E5D">
      <w:pPr>
        <w:pStyle w:val="FootnoteText"/>
        <w:jc w:val="both"/>
      </w:pPr>
      <w:r>
        <w:rPr>
          <w:rStyle w:val="FootnoteReference"/>
        </w:rPr>
        <w:footnoteRef/>
      </w:r>
      <w:r>
        <w:t xml:space="preserve"> Lietu skaits nav matemātiski iekļauts kopējā noslodzes aprēķinā, jo šīs kategorijas lietas nebūtu pielīdzināmas slodzei, ko veido civilprocesa kārtībā celtas apelācijas sūdzības izskatīšana. Tomēr šo lietu īpatsvars ir ņemams vērā, vērtējot lietu izskatīšanai nepieciešamos resursus.</w:t>
      </w:r>
    </w:p>
  </w:footnote>
  <w:footnote w:id="30">
    <w:p w14:paraId="326808C9" w14:textId="52E1A905" w:rsidR="00D7451D" w:rsidRDefault="00D7451D" w:rsidP="00557668">
      <w:pPr>
        <w:pStyle w:val="FootnoteText"/>
        <w:jc w:val="both"/>
      </w:pPr>
      <w:r>
        <w:rPr>
          <w:rStyle w:val="FootnoteReference"/>
        </w:rPr>
        <w:footnoteRef/>
      </w:r>
      <w:r>
        <w:t xml:space="preserve"> </w:t>
      </w:r>
      <w:r w:rsidRPr="0046034A">
        <w:t>Tiesneša amata kandidāta atlases, stažēšanās un kvalifikācijas eksāmena kārtošanas kārtība</w:t>
      </w:r>
      <w:r>
        <w:t>, apstiprināta ar Tieslietu padomes 2018. gada 25. jūnija lēmumu Nr. 333, saskaņā ar likuma "Par tiesu varu" 54.</w:t>
      </w:r>
      <w:r w:rsidRPr="00B04E5D">
        <w:rPr>
          <w:vertAlign w:val="superscript"/>
        </w:rPr>
        <w:t>1</w:t>
      </w:r>
      <w:r>
        <w:t> panta pirmo daļu.</w:t>
      </w:r>
    </w:p>
  </w:footnote>
  <w:footnote w:id="31">
    <w:p w14:paraId="0B385857" w14:textId="77777777" w:rsidR="00D7451D" w:rsidRPr="009926BB" w:rsidRDefault="00D7451D" w:rsidP="006B0587">
      <w:pPr>
        <w:pStyle w:val="FootnoteText"/>
      </w:pPr>
      <w:r w:rsidRPr="009926BB">
        <w:rPr>
          <w:rStyle w:val="FootnoteReference"/>
        </w:rPr>
        <w:footnoteRef/>
      </w:r>
      <w:r w:rsidRPr="009926BB">
        <w:t xml:space="preserve"> </w:t>
      </w:r>
      <w:r w:rsidRPr="000949A6">
        <w:rPr>
          <w:rFonts w:eastAsiaTheme="majorEastAsia"/>
          <w:lang w:eastAsia="en-US"/>
        </w:rPr>
        <w:t>Tiesvedībā pieņemtās lietas nodošana citai tiesai lietas ātrākas izskatīšanas nodrošināšanai</w:t>
      </w:r>
      <w:r>
        <w:rPr>
          <w:rFonts w:eastAsiaTheme="majorEastAsia"/>
          <w:lang w:eastAsia="en-US"/>
        </w:rPr>
        <w:t>.</w:t>
      </w:r>
    </w:p>
  </w:footnote>
  <w:footnote w:id="32">
    <w:p w14:paraId="0BA1A859" w14:textId="77777777" w:rsidR="00D7451D" w:rsidRDefault="00D7451D" w:rsidP="006B0587">
      <w:pPr>
        <w:pStyle w:val="FootnoteText"/>
      </w:pPr>
      <w:r>
        <w:rPr>
          <w:rStyle w:val="FootnoteReference"/>
        </w:rPr>
        <w:footnoteRef/>
      </w:r>
      <w:r>
        <w:t xml:space="preserve"> </w:t>
      </w:r>
      <w:r w:rsidRPr="00AF0207">
        <w:t>Tiesai piekritīgas krimināllietas nodošana citai tiesai</w:t>
      </w:r>
      <w:r>
        <w:t>.</w:t>
      </w:r>
    </w:p>
  </w:footnote>
  <w:footnote w:id="33">
    <w:p w14:paraId="5DB48504" w14:textId="77777777" w:rsidR="00D7451D" w:rsidRDefault="00D7451D" w:rsidP="000845E1">
      <w:pPr>
        <w:pStyle w:val="FootnoteText"/>
        <w:jc w:val="both"/>
      </w:pPr>
      <w:r>
        <w:rPr>
          <w:rStyle w:val="FootnoteReference"/>
        </w:rPr>
        <w:footnoteRef/>
      </w:r>
      <w:r>
        <w:t xml:space="preserve"> </w:t>
      </w:r>
      <w:r w:rsidRPr="008A2BE1">
        <w:rPr>
          <w:lang w:eastAsia="en-US"/>
        </w:rPr>
        <w:t>Finanšu ministrija iesniegtos priekšlikumus apkopos un līdz 2019.</w:t>
      </w:r>
      <w:r>
        <w:rPr>
          <w:lang w:eastAsia="en-US"/>
        </w:rPr>
        <w:t> </w:t>
      </w:r>
      <w:r w:rsidRPr="008A2BE1">
        <w:rPr>
          <w:lang w:eastAsia="en-US"/>
        </w:rPr>
        <w:t>gada 30.</w:t>
      </w:r>
      <w:r>
        <w:rPr>
          <w:lang w:eastAsia="en-US"/>
        </w:rPr>
        <w:t> </w:t>
      </w:r>
      <w:r w:rsidRPr="008A2BE1">
        <w:rPr>
          <w:lang w:eastAsia="en-US"/>
        </w:rPr>
        <w:t>septembrim noteiktā kārtībā iesniegs Ministru kabinetā ziņojumu par darbības programmas snieguma ietvara rezerves finansējuma izlietojuma priekšlikumiem. Finansējums reāli būs pieejams tikai pēc Ministru kabineta lēmumu pieņemšanas un attiecīgo grozījumu veikšanas projekta līgumā.</w:t>
      </w:r>
    </w:p>
  </w:footnote>
  <w:footnote w:id="34">
    <w:p w14:paraId="715FCE1B" w14:textId="77777777" w:rsidR="00D7451D" w:rsidRDefault="00D7451D" w:rsidP="000845E1">
      <w:pPr>
        <w:pStyle w:val="FootnoteText"/>
      </w:pPr>
      <w:r>
        <w:rPr>
          <w:rStyle w:val="FootnoteReference"/>
        </w:rPr>
        <w:footnoteRef/>
      </w:r>
      <w:r>
        <w:t xml:space="preserve"> Maksimālā prognoze, ja pirmās instances specializētā tiesa tiktu veidota 10 tiesnešu sastāvā.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3AF1" w14:textId="3B9D866D" w:rsidR="00D7451D" w:rsidRDefault="00D7451D">
    <w:pPr>
      <w:pStyle w:val="Header"/>
      <w:jc w:val="center"/>
    </w:pPr>
    <w:r>
      <w:fldChar w:fldCharType="begin"/>
    </w:r>
    <w:r>
      <w:instrText xml:space="preserve"> PAGE   \* MERGEFORMAT </w:instrText>
    </w:r>
    <w:r>
      <w:fldChar w:fldCharType="separate"/>
    </w:r>
    <w:r w:rsidR="005D72F1">
      <w:rPr>
        <w:noProof/>
      </w:rPr>
      <w:t>24</w:t>
    </w:r>
    <w:r>
      <w:rPr>
        <w:noProof/>
      </w:rPr>
      <w:fldChar w:fldCharType="end"/>
    </w:r>
  </w:p>
  <w:p w14:paraId="1AAEF772" w14:textId="77777777" w:rsidR="00D7451D" w:rsidRDefault="00D74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58156"/>
      <w:docPartObj>
        <w:docPartGallery w:val="Page Numbers (Top of Page)"/>
        <w:docPartUnique/>
      </w:docPartObj>
    </w:sdtPr>
    <w:sdtEndPr>
      <w:rPr>
        <w:noProof/>
      </w:rPr>
    </w:sdtEndPr>
    <w:sdtContent>
      <w:p w14:paraId="0244A8E4" w14:textId="63899272" w:rsidR="005D72F1" w:rsidRDefault="005D72F1">
        <w:pPr>
          <w:pStyle w:val="Header"/>
          <w:jc w:val="center"/>
        </w:pPr>
        <w:r>
          <w:fldChar w:fldCharType="begin"/>
        </w:r>
        <w:r>
          <w:instrText xml:space="preserve"> PAGE   \* MERGEFORMAT </w:instrText>
        </w:r>
        <w:r>
          <w:fldChar w:fldCharType="separate"/>
        </w:r>
        <w:r>
          <w:rPr>
            <w:noProof/>
          </w:rPr>
          <w:t>25</w:t>
        </w:r>
        <w:r>
          <w:rPr>
            <w:noProof/>
          </w:rPr>
          <w:fldChar w:fldCharType="end"/>
        </w:r>
      </w:p>
    </w:sdtContent>
  </w:sdt>
  <w:p w14:paraId="155BC493" w14:textId="77777777" w:rsidR="005D72F1" w:rsidRDefault="005D7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680"/>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8E90D6B"/>
    <w:multiLevelType w:val="hybridMultilevel"/>
    <w:tmpl w:val="ED6CE9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A4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E3BA6"/>
    <w:multiLevelType w:val="hybridMultilevel"/>
    <w:tmpl w:val="642431FA"/>
    <w:lvl w:ilvl="0" w:tplc="04260011">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5751F"/>
    <w:multiLevelType w:val="hybridMultilevel"/>
    <w:tmpl w:val="DCF8A570"/>
    <w:lvl w:ilvl="0" w:tplc="04260011">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E01733A"/>
    <w:multiLevelType w:val="hybridMultilevel"/>
    <w:tmpl w:val="51B4D3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A40A78"/>
    <w:multiLevelType w:val="hybridMultilevel"/>
    <w:tmpl w:val="BE66D2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EE75DB"/>
    <w:multiLevelType w:val="hybridMultilevel"/>
    <w:tmpl w:val="2E525C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7669E7"/>
    <w:multiLevelType w:val="hybridMultilevel"/>
    <w:tmpl w:val="F4C27A3C"/>
    <w:lvl w:ilvl="0" w:tplc="09927F6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062FED"/>
    <w:multiLevelType w:val="hybridMultilevel"/>
    <w:tmpl w:val="26E4576C"/>
    <w:lvl w:ilvl="0" w:tplc="7840A3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594FD5"/>
    <w:multiLevelType w:val="hybridMultilevel"/>
    <w:tmpl w:val="49360776"/>
    <w:lvl w:ilvl="0" w:tplc="0BA63C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7048F0"/>
    <w:multiLevelType w:val="hybridMultilevel"/>
    <w:tmpl w:val="FFFFFFFF"/>
    <w:lvl w:ilvl="0" w:tplc="C234C2C6">
      <w:start w:val="1"/>
      <w:numFmt w:val="bullet"/>
      <w:lvlText w:val=""/>
      <w:lvlJc w:val="left"/>
      <w:pPr>
        <w:ind w:left="720" w:hanging="360"/>
      </w:pPr>
      <w:rPr>
        <w:rFonts w:ascii="Symbol" w:hAnsi="Symbol" w:hint="default"/>
      </w:rPr>
    </w:lvl>
    <w:lvl w:ilvl="1" w:tplc="B7C0DEC4">
      <w:start w:val="1"/>
      <w:numFmt w:val="bullet"/>
      <w:lvlText w:val="o"/>
      <w:lvlJc w:val="left"/>
      <w:pPr>
        <w:ind w:left="1440" w:hanging="360"/>
      </w:pPr>
      <w:rPr>
        <w:rFonts w:ascii="Courier New" w:hAnsi="Courier New" w:hint="default"/>
      </w:rPr>
    </w:lvl>
    <w:lvl w:ilvl="2" w:tplc="855828E2">
      <w:start w:val="1"/>
      <w:numFmt w:val="bullet"/>
      <w:lvlText w:val=""/>
      <w:lvlJc w:val="left"/>
      <w:pPr>
        <w:ind w:left="2160" w:hanging="360"/>
      </w:pPr>
      <w:rPr>
        <w:rFonts w:ascii="Wingdings" w:hAnsi="Wingdings" w:hint="default"/>
      </w:rPr>
    </w:lvl>
    <w:lvl w:ilvl="3" w:tplc="BC768462">
      <w:start w:val="1"/>
      <w:numFmt w:val="bullet"/>
      <w:lvlText w:val=""/>
      <w:lvlJc w:val="left"/>
      <w:pPr>
        <w:ind w:left="2880" w:hanging="360"/>
      </w:pPr>
      <w:rPr>
        <w:rFonts w:ascii="Symbol" w:hAnsi="Symbol" w:hint="default"/>
      </w:rPr>
    </w:lvl>
    <w:lvl w:ilvl="4" w:tplc="37D07334">
      <w:start w:val="1"/>
      <w:numFmt w:val="bullet"/>
      <w:lvlText w:val="o"/>
      <w:lvlJc w:val="left"/>
      <w:pPr>
        <w:ind w:left="3600" w:hanging="360"/>
      </w:pPr>
      <w:rPr>
        <w:rFonts w:ascii="Courier New" w:hAnsi="Courier New" w:hint="default"/>
      </w:rPr>
    </w:lvl>
    <w:lvl w:ilvl="5" w:tplc="F92EDD46">
      <w:start w:val="1"/>
      <w:numFmt w:val="bullet"/>
      <w:lvlText w:val=""/>
      <w:lvlJc w:val="left"/>
      <w:pPr>
        <w:ind w:left="4320" w:hanging="360"/>
      </w:pPr>
      <w:rPr>
        <w:rFonts w:ascii="Wingdings" w:hAnsi="Wingdings" w:hint="default"/>
      </w:rPr>
    </w:lvl>
    <w:lvl w:ilvl="6" w:tplc="797AD7D2">
      <w:start w:val="1"/>
      <w:numFmt w:val="bullet"/>
      <w:lvlText w:val=""/>
      <w:lvlJc w:val="left"/>
      <w:pPr>
        <w:ind w:left="5040" w:hanging="360"/>
      </w:pPr>
      <w:rPr>
        <w:rFonts w:ascii="Symbol" w:hAnsi="Symbol" w:hint="default"/>
      </w:rPr>
    </w:lvl>
    <w:lvl w:ilvl="7" w:tplc="50868584">
      <w:start w:val="1"/>
      <w:numFmt w:val="bullet"/>
      <w:lvlText w:val="o"/>
      <w:lvlJc w:val="left"/>
      <w:pPr>
        <w:ind w:left="5760" w:hanging="360"/>
      </w:pPr>
      <w:rPr>
        <w:rFonts w:ascii="Courier New" w:hAnsi="Courier New" w:hint="default"/>
      </w:rPr>
    </w:lvl>
    <w:lvl w:ilvl="8" w:tplc="C10207C8">
      <w:start w:val="1"/>
      <w:numFmt w:val="bullet"/>
      <w:lvlText w:val=""/>
      <w:lvlJc w:val="left"/>
      <w:pPr>
        <w:ind w:left="6480" w:hanging="360"/>
      </w:pPr>
      <w:rPr>
        <w:rFonts w:ascii="Wingdings" w:hAnsi="Wingdings" w:hint="default"/>
      </w:rPr>
    </w:lvl>
  </w:abstractNum>
  <w:abstractNum w:abstractNumId="12" w15:restartNumberingAfterBreak="0">
    <w:nsid w:val="268A2CB3"/>
    <w:multiLevelType w:val="hybridMultilevel"/>
    <w:tmpl w:val="642431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1F5863"/>
    <w:multiLevelType w:val="hybridMultilevel"/>
    <w:tmpl w:val="5D4E07B6"/>
    <w:lvl w:ilvl="0" w:tplc="3B86ECCC">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BB1578"/>
    <w:multiLevelType w:val="hybridMultilevel"/>
    <w:tmpl w:val="B108F8C8"/>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E12F6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090AFA"/>
    <w:multiLevelType w:val="hybridMultilevel"/>
    <w:tmpl w:val="7D580650"/>
    <w:lvl w:ilvl="0" w:tplc="04260011">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12515E4"/>
    <w:multiLevelType w:val="hybridMultilevel"/>
    <w:tmpl w:val="642431FA"/>
    <w:lvl w:ilvl="0" w:tplc="04260011">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BC32BF"/>
    <w:multiLevelType w:val="hybridMultilevel"/>
    <w:tmpl w:val="481A789E"/>
    <w:lvl w:ilvl="0" w:tplc="B9AA33BE">
      <w:start w:val="1"/>
      <w:numFmt w:val="decimal"/>
      <w:lvlText w:val="%1)"/>
      <w:lvlJc w:val="left"/>
      <w:pPr>
        <w:ind w:left="720" w:hanging="360"/>
      </w:pPr>
      <w:rPr>
        <w:rFonts w:ascii="Times New Roman" w:eastAsia="Times New Roman" w:hAnsi="Times New Roman" w:cs="Times New Roman"/>
      </w:rPr>
    </w:lvl>
    <w:lvl w:ilvl="1" w:tplc="FD9A857C">
      <w:start w:val="1"/>
      <w:numFmt w:val="lowerLetter"/>
      <w:lvlText w:val="%2."/>
      <w:lvlJc w:val="left"/>
      <w:pPr>
        <w:ind w:left="1440" w:hanging="360"/>
      </w:pPr>
    </w:lvl>
    <w:lvl w:ilvl="2" w:tplc="8666A1CA">
      <w:start w:val="1"/>
      <w:numFmt w:val="lowerRoman"/>
      <w:lvlText w:val="%3."/>
      <w:lvlJc w:val="right"/>
      <w:pPr>
        <w:ind w:left="2160" w:hanging="180"/>
      </w:pPr>
    </w:lvl>
    <w:lvl w:ilvl="3" w:tplc="4194374C">
      <w:start w:val="1"/>
      <w:numFmt w:val="decimal"/>
      <w:lvlText w:val="%4."/>
      <w:lvlJc w:val="left"/>
      <w:pPr>
        <w:ind w:left="2880" w:hanging="360"/>
      </w:pPr>
    </w:lvl>
    <w:lvl w:ilvl="4" w:tplc="A6103D64">
      <w:start w:val="1"/>
      <w:numFmt w:val="lowerLetter"/>
      <w:lvlText w:val="%5."/>
      <w:lvlJc w:val="left"/>
      <w:pPr>
        <w:ind w:left="3600" w:hanging="360"/>
      </w:pPr>
    </w:lvl>
    <w:lvl w:ilvl="5" w:tplc="72660C8A">
      <w:start w:val="1"/>
      <w:numFmt w:val="lowerRoman"/>
      <w:lvlText w:val="%6."/>
      <w:lvlJc w:val="right"/>
      <w:pPr>
        <w:ind w:left="4320" w:hanging="180"/>
      </w:pPr>
    </w:lvl>
    <w:lvl w:ilvl="6" w:tplc="4B0691EC">
      <w:start w:val="1"/>
      <w:numFmt w:val="decimal"/>
      <w:lvlText w:val="%7."/>
      <w:lvlJc w:val="left"/>
      <w:pPr>
        <w:ind w:left="5040" w:hanging="360"/>
      </w:pPr>
    </w:lvl>
    <w:lvl w:ilvl="7" w:tplc="A358E2EC">
      <w:start w:val="1"/>
      <w:numFmt w:val="lowerLetter"/>
      <w:lvlText w:val="%8."/>
      <w:lvlJc w:val="left"/>
      <w:pPr>
        <w:ind w:left="5760" w:hanging="360"/>
      </w:pPr>
    </w:lvl>
    <w:lvl w:ilvl="8" w:tplc="0B2A94A0">
      <w:start w:val="1"/>
      <w:numFmt w:val="lowerRoman"/>
      <w:lvlText w:val="%9."/>
      <w:lvlJc w:val="right"/>
      <w:pPr>
        <w:ind w:left="6480" w:hanging="180"/>
      </w:pPr>
    </w:lvl>
  </w:abstractNum>
  <w:abstractNum w:abstractNumId="19" w15:restartNumberingAfterBreak="0">
    <w:nsid w:val="3AD53F3B"/>
    <w:multiLevelType w:val="hybridMultilevel"/>
    <w:tmpl w:val="FC66753E"/>
    <w:lvl w:ilvl="0" w:tplc="0AC20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1C725E6"/>
    <w:multiLevelType w:val="hybridMultilevel"/>
    <w:tmpl w:val="3A9E1D2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2F74DC2"/>
    <w:multiLevelType w:val="hybridMultilevel"/>
    <w:tmpl w:val="CAAA72D4"/>
    <w:lvl w:ilvl="0" w:tplc="1628586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F24A51"/>
    <w:multiLevelType w:val="hybridMultilevel"/>
    <w:tmpl w:val="DDA8017A"/>
    <w:lvl w:ilvl="0" w:tplc="FF76FF0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C142F9"/>
    <w:multiLevelType w:val="hybridMultilevel"/>
    <w:tmpl w:val="FFFFFFFF"/>
    <w:lvl w:ilvl="0" w:tplc="08305F68">
      <w:start w:val="1"/>
      <w:numFmt w:val="decimal"/>
      <w:lvlText w:val="%1."/>
      <w:lvlJc w:val="left"/>
      <w:pPr>
        <w:ind w:left="720" w:hanging="360"/>
      </w:pPr>
    </w:lvl>
    <w:lvl w:ilvl="1" w:tplc="A25045E6">
      <w:start w:val="1"/>
      <w:numFmt w:val="decimal"/>
      <w:lvlText w:val="%2."/>
      <w:lvlJc w:val="left"/>
      <w:pPr>
        <w:ind w:left="1440" w:hanging="360"/>
      </w:pPr>
    </w:lvl>
    <w:lvl w:ilvl="2" w:tplc="E96C8E7E">
      <w:start w:val="1"/>
      <w:numFmt w:val="lowerRoman"/>
      <w:lvlText w:val="%3."/>
      <w:lvlJc w:val="right"/>
      <w:pPr>
        <w:ind w:left="2160" w:hanging="180"/>
      </w:pPr>
    </w:lvl>
    <w:lvl w:ilvl="3" w:tplc="1A8CB4BC">
      <w:start w:val="1"/>
      <w:numFmt w:val="decimal"/>
      <w:lvlText w:val="%4."/>
      <w:lvlJc w:val="left"/>
      <w:pPr>
        <w:ind w:left="2880" w:hanging="360"/>
      </w:pPr>
    </w:lvl>
    <w:lvl w:ilvl="4" w:tplc="1C2E53C2">
      <w:start w:val="1"/>
      <w:numFmt w:val="lowerLetter"/>
      <w:lvlText w:val="%5."/>
      <w:lvlJc w:val="left"/>
      <w:pPr>
        <w:ind w:left="3600" w:hanging="360"/>
      </w:pPr>
    </w:lvl>
    <w:lvl w:ilvl="5" w:tplc="C742DB4E">
      <w:start w:val="1"/>
      <w:numFmt w:val="lowerRoman"/>
      <w:lvlText w:val="%6."/>
      <w:lvlJc w:val="right"/>
      <w:pPr>
        <w:ind w:left="4320" w:hanging="180"/>
      </w:pPr>
    </w:lvl>
    <w:lvl w:ilvl="6" w:tplc="CA6C07B2">
      <w:start w:val="1"/>
      <w:numFmt w:val="decimal"/>
      <w:lvlText w:val="%7."/>
      <w:lvlJc w:val="left"/>
      <w:pPr>
        <w:ind w:left="5040" w:hanging="360"/>
      </w:pPr>
    </w:lvl>
    <w:lvl w:ilvl="7" w:tplc="970E8510">
      <w:start w:val="1"/>
      <w:numFmt w:val="lowerLetter"/>
      <w:lvlText w:val="%8."/>
      <w:lvlJc w:val="left"/>
      <w:pPr>
        <w:ind w:left="5760" w:hanging="360"/>
      </w:pPr>
    </w:lvl>
    <w:lvl w:ilvl="8" w:tplc="17BE4D02">
      <w:start w:val="1"/>
      <w:numFmt w:val="lowerRoman"/>
      <w:lvlText w:val="%9."/>
      <w:lvlJc w:val="right"/>
      <w:pPr>
        <w:ind w:left="6480" w:hanging="180"/>
      </w:pPr>
    </w:lvl>
  </w:abstractNum>
  <w:abstractNum w:abstractNumId="24" w15:restartNumberingAfterBreak="0">
    <w:nsid w:val="4F635EC6"/>
    <w:multiLevelType w:val="hybridMultilevel"/>
    <w:tmpl w:val="3A9E1D2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1B30309"/>
    <w:multiLevelType w:val="hybridMultilevel"/>
    <w:tmpl w:val="1E7832FA"/>
    <w:lvl w:ilvl="0" w:tplc="146E4430">
      <w:start w:val="1"/>
      <w:numFmt w:val="decimal"/>
      <w:lvlText w:val="%1."/>
      <w:lvlJc w:val="left"/>
      <w:pPr>
        <w:ind w:left="720" w:hanging="360"/>
      </w:pPr>
    </w:lvl>
    <w:lvl w:ilvl="1" w:tplc="52B69FDC">
      <w:start w:val="1"/>
      <w:numFmt w:val="lowerLetter"/>
      <w:lvlText w:val="%2."/>
      <w:lvlJc w:val="left"/>
      <w:pPr>
        <w:ind w:left="1440" w:hanging="360"/>
      </w:pPr>
    </w:lvl>
    <w:lvl w:ilvl="2" w:tplc="3D2876F0">
      <w:start w:val="1"/>
      <w:numFmt w:val="lowerRoman"/>
      <w:lvlText w:val="%3."/>
      <w:lvlJc w:val="right"/>
      <w:pPr>
        <w:ind w:left="2160" w:hanging="180"/>
      </w:pPr>
    </w:lvl>
    <w:lvl w:ilvl="3" w:tplc="726885FE">
      <w:start w:val="1"/>
      <w:numFmt w:val="decimal"/>
      <w:lvlText w:val="%4."/>
      <w:lvlJc w:val="left"/>
      <w:pPr>
        <w:ind w:left="2880" w:hanging="360"/>
      </w:pPr>
    </w:lvl>
    <w:lvl w:ilvl="4" w:tplc="F912AEE4">
      <w:start w:val="1"/>
      <w:numFmt w:val="lowerLetter"/>
      <w:lvlText w:val="%5."/>
      <w:lvlJc w:val="left"/>
      <w:pPr>
        <w:ind w:left="3600" w:hanging="360"/>
      </w:pPr>
    </w:lvl>
    <w:lvl w:ilvl="5" w:tplc="D742AD1C">
      <w:start w:val="1"/>
      <w:numFmt w:val="lowerRoman"/>
      <w:lvlText w:val="%6."/>
      <w:lvlJc w:val="right"/>
      <w:pPr>
        <w:ind w:left="4320" w:hanging="180"/>
      </w:pPr>
    </w:lvl>
    <w:lvl w:ilvl="6" w:tplc="A6521C58">
      <w:start w:val="1"/>
      <w:numFmt w:val="decimal"/>
      <w:lvlText w:val="%7."/>
      <w:lvlJc w:val="left"/>
      <w:pPr>
        <w:ind w:left="5040" w:hanging="360"/>
      </w:pPr>
    </w:lvl>
    <w:lvl w:ilvl="7" w:tplc="D152D5FC">
      <w:start w:val="1"/>
      <w:numFmt w:val="lowerLetter"/>
      <w:lvlText w:val="%8."/>
      <w:lvlJc w:val="left"/>
      <w:pPr>
        <w:ind w:left="5760" w:hanging="360"/>
      </w:pPr>
    </w:lvl>
    <w:lvl w:ilvl="8" w:tplc="C17C61C6">
      <w:start w:val="1"/>
      <w:numFmt w:val="lowerRoman"/>
      <w:lvlText w:val="%9."/>
      <w:lvlJc w:val="right"/>
      <w:pPr>
        <w:ind w:left="6480" w:hanging="180"/>
      </w:pPr>
    </w:lvl>
  </w:abstractNum>
  <w:abstractNum w:abstractNumId="26" w15:restartNumberingAfterBreak="0">
    <w:nsid w:val="53145FBD"/>
    <w:multiLevelType w:val="hybridMultilevel"/>
    <w:tmpl w:val="642431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5E2BDF"/>
    <w:multiLevelType w:val="hybridMultilevel"/>
    <w:tmpl w:val="A00EEB44"/>
    <w:lvl w:ilvl="0" w:tplc="94DA0A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7953144"/>
    <w:multiLevelType w:val="hybridMultilevel"/>
    <w:tmpl w:val="3CA4D6B8"/>
    <w:lvl w:ilvl="0" w:tplc="93C0D3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9E272EB"/>
    <w:multiLevelType w:val="multilevel"/>
    <w:tmpl w:val="BF78D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726DC5"/>
    <w:multiLevelType w:val="hybridMultilevel"/>
    <w:tmpl w:val="1D966C32"/>
    <w:lvl w:ilvl="0" w:tplc="302EA7F6">
      <w:start w:val="1"/>
      <w:numFmt w:val="decimal"/>
      <w:lvlText w:val="%1)"/>
      <w:lvlJc w:val="left"/>
      <w:pPr>
        <w:ind w:left="1159" w:hanging="4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FC55ADF"/>
    <w:multiLevelType w:val="hybridMultilevel"/>
    <w:tmpl w:val="AEACAF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633827"/>
    <w:multiLevelType w:val="hybridMultilevel"/>
    <w:tmpl w:val="B1BE61A2"/>
    <w:lvl w:ilvl="0" w:tplc="6860AB72">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3A641D"/>
    <w:multiLevelType w:val="hybridMultilevel"/>
    <w:tmpl w:val="E2965598"/>
    <w:lvl w:ilvl="0" w:tplc="7B5E348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92F71B7"/>
    <w:multiLevelType w:val="hybridMultilevel"/>
    <w:tmpl w:val="BB1EFFD2"/>
    <w:lvl w:ilvl="0" w:tplc="B5ACFF7A">
      <w:start w:val="1"/>
      <w:numFmt w:val="decimal"/>
      <w:lvlText w:val="%1."/>
      <w:lvlJc w:val="left"/>
      <w:pPr>
        <w:ind w:left="1080" w:hanging="360"/>
      </w:pPr>
      <w:rPr>
        <w:rFonts w:ascii="Times New Roman" w:hAnsi="Times New Roman"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020916"/>
    <w:multiLevelType w:val="hybridMultilevel"/>
    <w:tmpl w:val="542A4ACE"/>
    <w:lvl w:ilvl="0" w:tplc="F38E5326">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D0C01BE"/>
    <w:multiLevelType w:val="multilevel"/>
    <w:tmpl w:val="2890A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E4F7868"/>
    <w:multiLevelType w:val="hybridMultilevel"/>
    <w:tmpl w:val="E4C61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4"/>
  </w:num>
  <w:num w:numId="3">
    <w:abstractNumId w:val="5"/>
  </w:num>
  <w:num w:numId="4">
    <w:abstractNumId w:val="22"/>
  </w:num>
  <w:num w:numId="5">
    <w:abstractNumId w:val="21"/>
  </w:num>
  <w:num w:numId="6">
    <w:abstractNumId w:val="10"/>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9"/>
  </w:num>
  <w:num w:numId="19">
    <w:abstractNumId w:val="27"/>
  </w:num>
  <w:num w:numId="20">
    <w:abstractNumId w:val="16"/>
  </w:num>
  <w:num w:numId="21">
    <w:abstractNumId w:val="4"/>
  </w:num>
  <w:num w:numId="22">
    <w:abstractNumId w:val="1"/>
  </w:num>
  <w:num w:numId="23">
    <w:abstractNumId w:val="26"/>
  </w:num>
  <w:num w:numId="24">
    <w:abstractNumId w:val="17"/>
  </w:num>
  <w:num w:numId="25">
    <w:abstractNumId w:val="19"/>
  </w:num>
  <w:num w:numId="26">
    <w:abstractNumId w:val="32"/>
  </w:num>
  <w:num w:numId="27">
    <w:abstractNumId w:val="12"/>
  </w:num>
  <w:num w:numId="28">
    <w:abstractNumId w:val="3"/>
  </w:num>
  <w:num w:numId="29">
    <w:abstractNumId w:val="11"/>
  </w:num>
  <w:num w:numId="30">
    <w:abstractNumId w:val="23"/>
  </w:num>
  <w:num w:numId="31">
    <w:abstractNumId w:val="2"/>
  </w:num>
  <w:num w:numId="32">
    <w:abstractNumId w:val="25"/>
  </w:num>
  <w:num w:numId="33">
    <w:abstractNumId w:val="18"/>
  </w:num>
  <w:num w:numId="34">
    <w:abstractNumId w:val="28"/>
  </w:num>
  <w:num w:numId="35">
    <w:abstractNumId w:val="0"/>
  </w:num>
  <w:num w:numId="36">
    <w:abstractNumId w:val="13"/>
  </w:num>
  <w:num w:numId="37">
    <w:abstractNumId w:val="6"/>
  </w:num>
  <w:num w:numId="38">
    <w:abstractNumId w:val="14"/>
  </w:num>
  <w:num w:numId="39">
    <w:abstractNumId w:val="33"/>
  </w:num>
  <w:num w:numId="40">
    <w:abstractNumId w:val="35"/>
  </w:num>
  <w:num w:numId="41">
    <w:abstractNumId w:val="7"/>
  </w:num>
  <w:num w:numId="42">
    <w:abstractNumId w:val="30"/>
  </w:num>
  <w:num w:numId="43">
    <w:abstractNumId w:val="24"/>
  </w:num>
  <w:num w:numId="44">
    <w:abstractNumId w:val="20"/>
  </w:num>
  <w:num w:numId="4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8E"/>
    <w:rsid w:val="000002FD"/>
    <w:rsid w:val="00001C27"/>
    <w:rsid w:val="000021B6"/>
    <w:rsid w:val="00003617"/>
    <w:rsid w:val="000036CC"/>
    <w:rsid w:val="00003F3E"/>
    <w:rsid w:val="000043B5"/>
    <w:rsid w:val="00005393"/>
    <w:rsid w:val="000069AA"/>
    <w:rsid w:val="0000703C"/>
    <w:rsid w:val="00010FE3"/>
    <w:rsid w:val="000112E1"/>
    <w:rsid w:val="00012AA1"/>
    <w:rsid w:val="0001391A"/>
    <w:rsid w:val="00013B19"/>
    <w:rsid w:val="00013FFF"/>
    <w:rsid w:val="000140F6"/>
    <w:rsid w:val="00015F3F"/>
    <w:rsid w:val="00017317"/>
    <w:rsid w:val="000178E8"/>
    <w:rsid w:val="00017DE8"/>
    <w:rsid w:val="00017F35"/>
    <w:rsid w:val="00021A29"/>
    <w:rsid w:val="00022BCF"/>
    <w:rsid w:val="00022FA7"/>
    <w:rsid w:val="0002540C"/>
    <w:rsid w:val="00025935"/>
    <w:rsid w:val="0002604E"/>
    <w:rsid w:val="00026826"/>
    <w:rsid w:val="000268C2"/>
    <w:rsid w:val="00026C44"/>
    <w:rsid w:val="0002703E"/>
    <w:rsid w:val="00027327"/>
    <w:rsid w:val="0003027D"/>
    <w:rsid w:val="000316C8"/>
    <w:rsid w:val="00032252"/>
    <w:rsid w:val="00033A44"/>
    <w:rsid w:val="00033C24"/>
    <w:rsid w:val="00033E83"/>
    <w:rsid w:val="00034302"/>
    <w:rsid w:val="00034355"/>
    <w:rsid w:val="00037305"/>
    <w:rsid w:val="000374E3"/>
    <w:rsid w:val="00037DEB"/>
    <w:rsid w:val="00040972"/>
    <w:rsid w:val="00041CA8"/>
    <w:rsid w:val="00042AD8"/>
    <w:rsid w:val="0004370E"/>
    <w:rsid w:val="000446B0"/>
    <w:rsid w:val="000449D5"/>
    <w:rsid w:val="00044A42"/>
    <w:rsid w:val="00045CDE"/>
    <w:rsid w:val="00046733"/>
    <w:rsid w:val="00046B9B"/>
    <w:rsid w:val="00046CB2"/>
    <w:rsid w:val="00046D01"/>
    <w:rsid w:val="00046DFA"/>
    <w:rsid w:val="0004769B"/>
    <w:rsid w:val="000476E7"/>
    <w:rsid w:val="00047FF2"/>
    <w:rsid w:val="00050EC8"/>
    <w:rsid w:val="000517C6"/>
    <w:rsid w:val="00051D1D"/>
    <w:rsid w:val="00051FE4"/>
    <w:rsid w:val="000523D5"/>
    <w:rsid w:val="000527E6"/>
    <w:rsid w:val="00052A1D"/>
    <w:rsid w:val="00053386"/>
    <w:rsid w:val="00053916"/>
    <w:rsid w:val="00053D87"/>
    <w:rsid w:val="00054101"/>
    <w:rsid w:val="0005456E"/>
    <w:rsid w:val="00054D54"/>
    <w:rsid w:val="000554BB"/>
    <w:rsid w:val="0005592A"/>
    <w:rsid w:val="00055F8D"/>
    <w:rsid w:val="000564FD"/>
    <w:rsid w:val="00057F51"/>
    <w:rsid w:val="0006031E"/>
    <w:rsid w:val="00061CBA"/>
    <w:rsid w:val="00061D66"/>
    <w:rsid w:val="00063468"/>
    <w:rsid w:val="000636D4"/>
    <w:rsid w:val="00065232"/>
    <w:rsid w:val="000652EE"/>
    <w:rsid w:val="00065B24"/>
    <w:rsid w:val="000665EA"/>
    <w:rsid w:val="00066AF0"/>
    <w:rsid w:val="00067CF2"/>
    <w:rsid w:val="00067E6B"/>
    <w:rsid w:val="00067EE5"/>
    <w:rsid w:val="00070363"/>
    <w:rsid w:val="00071233"/>
    <w:rsid w:val="00071499"/>
    <w:rsid w:val="000720F4"/>
    <w:rsid w:val="000723BC"/>
    <w:rsid w:val="0007276A"/>
    <w:rsid w:val="0007405D"/>
    <w:rsid w:val="000742FC"/>
    <w:rsid w:val="000753F4"/>
    <w:rsid w:val="0007576E"/>
    <w:rsid w:val="000757DF"/>
    <w:rsid w:val="000762A8"/>
    <w:rsid w:val="00076833"/>
    <w:rsid w:val="00077292"/>
    <w:rsid w:val="000800B1"/>
    <w:rsid w:val="00082ADD"/>
    <w:rsid w:val="00082C8D"/>
    <w:rsid w:val="00082CB2"/>
    <w:rsid w:val="00083017"/>
    <w:rsid w:val="000832A2"/>
    <w:rsid w:val="000837A2"/>
    <w:rsid w:val="00083D04"/>
    <w:rsid w:val="000845E1"/>
    <w:rsid w:val="0008566D"/>
    <w:rsid w:val="000871B8"/>
    <w:rsid w:val="0008720E"/>
    <w:rsid w:val="00087393"/>
    <w:rsid w:val="00087632"/>
    <w:rsid w:val="0008798F"/>
    <w:rsid w:val="000901B4"/>
    <w:rsid w:val="000907A6"/>
    <w:rsid w:val="000914A9"/>
    <w:rsid w:val="000916B7"/>
    <w:rsid w:val="000943CF"/>
    <w:rsid w:val="000949A6"/>
    <w:rsid w:val="000953BC"/>
    <w:rsid w:val="00095549"/>
    <w:rsid w:val="00095861"/>
    <w:rsid w:val="0009652E"/>
    <w:rsid w:val="00096551"/>
    <w:rsid w:val="00096838"/>
    <w:rsid w:val="00097199"/>
    <w:rsid w:val="00097470"/>
    <w:rsid w:val="000979D1"/>
    <w:rsid w:val="00097B4A"/>
    <w:rsid w:val="00097BB3"/>
    <w:rsid w:val="00097F2B"/>
    <w:rsid w:val="000A0368"/>
    <w:rsid w:val="000A0445"/>
    <w:rsid w:val="000A0697"/>
    <w:rsid w:val="000A06BC"/>
    <w:rsid w:val="000A12E8"/>
    <w:rsid w:val="000A1DB6"/>
    <w:rsid w:val="000A244F"/>
    <w:rsid w:val="000A2871"/>
    <w:rsid w:val="000A2B3A"/>
    <w:rsid w:val="000A3A5D"/>
    <w:rsid w:val="000A3C01"/>
    <w:rsid w:val="000A3C26"/>
    <w:rsid w:val="000A5AAD"/>
    <w:rsid w:val="000A7261"/>
    <w:rsid w:val="000A72F3"/>
    <w:rsid w:val="000A7485"/>
    <w:rsid w:val="000B01B8"/>
    <w:rsid w:val="000B0FD8"/>
    <w:rsid w:val="000B25D6"/>
    <w:rsid w:val="000B3948"/>
    <w:rsid w:val="000B394A"/>
    <w:rsid w:val="000B45CB"/>
    <w:rsid w:val="000B4E3D"/>
    <w:rsid w:val="000B501E"/>
    <w:rsid w:val="000B5806"/>
    <w:rsid w:val="000B6B1F"/>
    <w:rsid w:val="000B7E32"/>
    <w:rsid w:val="000C0AC5"/>
    <w:rsid w:val="000C0BA6"/>
    <w:rsid w:val="000C0F92"/>
    <w:rsid w:val="000C172A"/>
    <w:rsid w:val="000C1D01"/>
    <w:rsid w:val="000C25FB"/>
    <w:rsid w:val="000C2FB1"/>
    <w:rsid w:val="000C334E"/>
    <w:rsid w:val="000C3496"/>
    <w:rsid w:val="000C3FB2"/>
    <w:rsid w:val="000C406D"/>
    <w:rsid w:val="000C48AE"/>
    <w:rsid w:val="000C4B84"/>
    <w:rsid w:val="000C6BC7"/>
    <w:rsid w:val="000C7F09"/>
    <w:rsid w:val="000D0256"/>
    <w:rsid w:val="000D02AC"/>
    <w:rsid w:val="000D0596"/>
    <w:rsid w:val="000D11DD"/>
    <w:rsid w:val="000D1C8C"/>
    <w:rsid w:val="000D2217"/>
    <w:rsid w:val="000D362B"/>
    <w:rsid w:val="000D3D30"/>
    <w:rsid w:val="000D3F09"/>
    <w:rsid w:val="000D4ADA"/>
    <w:rsid w:val="000D4BCC"/>
    <w:rsid w:val="000D5668"/>
    <w:rsid w:val="000D5D04"/>
    <w:rsid w:val="000E0931"/>
    <w:rsid w:val="000E186D"/>
    <w:rsid w:val="000E1EC0"/>
    <w:rsid w:val="000E21E0"/>
    <w:rsid w:val="000E2C0F"/>
    <w:rsid w:val="000E3F77"/>
    <w:rsid w:val="000E4087"/>
    <w:rsid w:val="000E4432"/>
    <w:rsid w:val="000E488B"/>
    <w:rsid w:val="000E4D38"/>
    <w:rsid w:val="000E543C"/>
    <w:rsid w:val="000E5605"/>
    <w:rsid w:val="000E5D52"/>
    <w:rsid w:val="000E71EF"/>
    <w:rsid w:val="000E769F"/>
    <w:rsid w:val="000E78BF"/>
    <w:rsid w:val="000F0175"/>
    <w:rsid w:val="000F01C2"/>
    <w:rsid w:val="000F0356"/>
    <w:rsid w:val="000F0698"/>
    <w:rsid w:val="000F1292"/>
    <w:rsid w:val="000F14C6"/>
    <w:rsid w:val="000F1BBC"/>
    <w:rsid w:val="000F24F4"/>
    <w:rsid w:val="000F30DB"/>
    <w:rsid w:val="000F3511"/>
    <w:rsid w:val="000F39FE"/>
    <w:rsid w:val="000F4181"/>
    <w:rsid w:val="000F420E"/>
    <w:rsid w:val="000F4453"/>
    <w:rsid w:val="000F45C4"/>
    <w:rsid w:val="000F67E8"/>
    <w:rsid w:val="000F756B"/>
    <w:rsid w:val="001001C2"/>
    <w:rsid w:val="0010055E"/>
    <w:rsid w:val="00100C34"/>
    <w:rsid w:val="00101A07"/>
    <w:rsid w:val="00101A8B"/>
    <w:rsid w:val="00101A8F"/>
    <w:rsid w:val="0010268E"/>
    <w:rsid w:val="00102997"/>
    <w:rsid w:val="0010436E"/>
    <w:rsid w:val="00104679"/>
    <w:rsid w:val="00104A1B"/>
    <w:rsid w:val="001065F2"/>
    <w:rsid w:val="00106758"/>
    <w:rsid w:val="00106E51"/>
    <w:rsid w:val="00106E64"/>
    <w:rsid w:val="0010728F"/>
    <w:rsid w:val="001078B1"/>
    <w:rsid w:val="00110627"/>
    <w:rsid w:val="00111100"/>
    <w:rsid w:val="00111270"/>
    <w:rsid w:val="00111820"/>
    <w:rsid w:val="00111972"/>
    <w:rsid w:val="001119C2"/>
    <w:rsid w:val="00111B6E"/>
    <w:rsid w:val="00111BBC"/>
    <w:rsid w:val="00111BF3"/>
    <w:rsid w:val="00112492"/>
    <w:rsid w:val="00112A54"/>
    <w:rsid w:val="00113FAD"/>
    <w:rsid w:val="00115207"/>
    <w:rsid w:val="00115A34"/>
    <w:rsid w:val="00116461"/>
    <w:rsid w:val="001167A3"/>
    <w:rsid w:val="00116D64"/>
    <w:rsid w:val="001170F5"/>
    <w:rsid w:val="0012006D"/>
    <w:rsid w:val="0012050F"/>
    <w:rsid w:val="00121EB1"/>
    <w:rsid w:val="00122058"/>
    <w:rsid w:val="0012298C"/>
    <w:rsid w:val="00122AEE"/>
    <w:rsid w:val="00123538"/>
    <w:rsid w:val="001237B3"/>
    <w:rsid w:val="00123978"/>
    <w:rsid w:val="00124164"/>
    <w:rsid w:val="0012427D"/>
    <w:rsid w:val="001248CA"/>
    <w:rsid w:val="00124A7B"/>
    <w:rsid w:val="0012573C"/>
    <w:rsid w:val="00125816"/>
    <w:rsid w:val="00126149"/>
    <w:rsid w:val="001272BA"/>
    <w:rsid w:val="001277F3"/>
    <w:rsid w:val="001277F8"/>
    <w:rsid w:val="00127AB8"/>
    <w:rsid w:val="00127FFC"/>
    <w:rsid w:val="00130678"/>
    <w:rsid w:val="001311C8"/>
    <w:rsid w:val="00131598"/>
    <w:rsid w:val="0013224C"/>
    <w:rsid w:val="0013255E"/>
    <w:rsid w:val="0013319B"/>
    <w:rsid w:val="00133221"/>
    <w:rsid w:val="00133388"/>
    <w:rsid w:val="00133723"/>
    <w:rsid w:val="00133CF0"/>
    <w:rsid w:val="001349C1"/>
    <w:rsid w:val="00134EAC"/>
    <w:rsid w:val="001356C1"/>
    <w:rsid w:val="00135FFF"/>
    <w:rsid w:val="00136532"/>
    <w:rsid w:val="0013733D"/>
    <w:rsid w:val="001377C6"/>
    <w:rsid w:val="00137A0A"/>
    <w:rsid w:val="00137AC0"/>
    <w:rsid w:val="00137BD7"/>
    <w:rsid w:val="00140DF2"/>
    <w:rsid w:val="0014154E"/>
    <w:rsid w:val="001415D3"/>
    <w:rsid w:val="00141D95"/>
    <w:rsid w:val="0014201B"/>
    <w:rsid w:val="00143A3C"/>
    <w:rsid w:val="0014406B"/>
    <w:rsid w:val="00144321"/>
    <w:rsid w:val="00145DED"/>
    <w:rsid w:val="0014618B"/>
    <w:rsid w:val="00146738"/>
    <w:rsid w:val="00147B85"/>
    <w:rsid w:val="001512F1"/>
    <w:rsid w:val="00151360"/>
    <w:rsid w:val="00151B80"/>
    <w:rsid w:val="0015278B"/>
    <w:rsid w:val="00153755"/>
    <w:rsid w:val="00153840"/>
    <w:rsid w:val="00153C2B"/>
    <w:rsid w:val="00153EEB"/>
    <w:rsid w:val="001547D8"/>
    <w:rsid w:val="0015616C"/>
    <w:rsid w:val="00156267"/>
    <w:rsid w:val="00156523"/>
    <w:rsid w:val="0015677F"/>
    <w:rsid w:val="00156895"/>
    <w:rsid w:val="00156EE5"/>
    <w:rsid w:val="00157177"/>
    <w:rsid w:val="00157F86"/>
    <w:rsid w:val="0016098B"/>
    <w:rsid w:val="00160A03"/>
    <w:rsid w:val="00162151"/>
    <w:rsid w:val="0016294D"/>
    <w:rsid w:val="00162CCB"/>
    <w:rsid w:val="00162E24"/>
    <w:rsid w:val="001635CE"/>
    <w:rsid w:val="0016369B"/>
    <w:rsid w:val="00164801"/>
    <w:rsid w:val="0016582C"/>
    <w:rsid w:val="001659F4"/>
    <w:rsid w:val="00165F79"/>
    <w:rsid w:val="001661B9"/>
    <w:rsid w:val="00166312"/>
    <w:rsid w:val="001671DD"/>
    <w:rsid w:val="00167A46"/>
    <w:rsid w:val="00167E8F"/>
    <w:rsid w:val="00167FE1"/>
    <w:rsid w:val="00170C12"/>
    <w:rsid w:val="00170DA3"/>
    <w:rsid w:val="00170E74"/>
    <w:rsid w:val="00171483"/>
    <w:rsid w:val="00171C97"/>
    <w:rsid w:val="00172E3B"/>
    <w:rsid w:val="001734D5"/>
    <w:rsid w:val="00174248"/>
    <w:rsid w:val="001745F5"/>
    <w:rsid w:val="00175898"/>
    <w:rsid w:val="00175980"/>
    <w:rsid w:val="00176096"/>
    <w:rsid w:val="001777ED"/>
    <w:rsid w:val="00180B76"/>
    <w:rsid w:val="001811CE"/>
    <w:rsid w:val="00181675"/>
    <w:rsid w:val="001830E7"/>
    <w:rsid w:val="001837D7"/>
    <w:rsid w:val="00183C06"/>
    <w:rsid w:val="00183ECF"/>
    <w:rsid w:val="00184012"/>
    <w:rsid w:val="00184487"/>
    <w:rsid w:val="00184C83"/>
    <w:rsid w:val="00184E00"/>
    <w:rsid w:val="00186BC9"/>
    <w:rsid w:val="00190272"/>
    <w:rsid w:val="00190391"/>
    <w:rsid w:val="00191065"/>
    <w:rsid w:val="001915EE"/>
    <w:rsid w:val="00191CC8"/>
    <w:rsid w:val="0019216B"/>
    <w:rsid w:val="00192621"/>
    <w:rsid w:val="00192B43"/>
    <w:rsid w:val="00192FCF"/>
    <w:rsid w:val="00193248"/>
    <w:rsid w:val="001936B1"/>
    <w:rsid w:val="00193820"/>
    <w:rsid w:val="00193E1B"/>
    <w:rsid w:val="001951EE"/>
    <w:rsid w:val="00195275"/>
    <w:rsid w:val="001954D7"/>
    <w:rsid w:val="001955B0"/>
    <w:rsid w:val="00195923"/>
    <w:rsid w:val="00195DFF"/>
    <w:rsid w:val="001964E8"/>
    <w:rsid w:val="001A02D6"/>
    <w:rsid w:val="001A0565"/>
    <w:rsid w:val="001A0E08"/>
    <w:rsid w:val="001A1A8B"/>
    <w:rsid w:val="001A1EC2"/>
    <w:rsid w:val="001A2240"/>
    <w:rsid w:val="001A255F"/>
    <w:rsid w:val="001A4443"/>
    <w:rsid w:val="001A4A82"/>
    <w:rsid w:val="001A5326"/>
    <w:rsid w:val="001A61B8"/>
    <w:rsid w:val="001A6497"/>
    <w:rsid w:val="001A68FC"/>
    <w:rsid w:val="001A6AB8"/>
    <w:rsid w:val="001A6B6E"/>
    <w:rsid w:val="001A6EA0"/>
    <w:rsid w:val="001B1D6C"/>
    <w:rsid w:val="001B260D"/>
    <w:rsid w:val="001B2A04"/>
    <w:rsid w:val="001B3D1C"/>
    <w:rsid w:val="001B4606"/>
    <w:rsid w:val="001B4818"/>
    <w:rsid w:val="001B49BE"/>
    <w:rsid w:val="001B4E82"/>
    <w:rsid w:val="001B58DB"/>
    <w:rsid w:val="001B6972"/>
    <w:rsid w:val="001B74B7"/>
    <w:rsid w:val="001B77A1"/>
    <w:rsid w:val="001B7C5D"/>
    <w:rsid w:val="001C1415"/>
    <w:rsid w:val="001C1BAA"/>
    <w:rsid w:val="001C296B"/>
    <w:rsid w:val="001C2D77"/>
    <w:rsid w:val="001C33EC"/>
    <w:rsid w:val="001C4057"/>
    <w:rsid w:val="001C4CDD"/>
    <w:rsid w:val="001C4F04"/>
    <w:rsid w:val="001C57C1"/>
    <w:rsid w:val="001C5801"/>
    <w:rsid w:val="001C5D3B"/>
    <w:rsid w:val="001C5DAC"/>
    <w:rsid w:val="001C6DCD"/>
    <w:rsid w:val="001C756A"/>
    <w:rsid w:val="001C776E"/>
    <w:rsid w:val="001D022C"/>
    <w:rsid w:val="001D0FA6"/>
    <w:rsid w:val="001D20A0"/>
    <w:rsid w:val="001D25F9"/>
    <w:rsid w:val="001D3244"/>
    <w:rsid w:val="001D39DB"/>
    <w:rsid w:val="001D3DAB"/>
    <w:rsid w:val="001D3E06"/>
    <w:rsid w:val="001D3EC0"/>
    <w:rsid w:val="001D4117"/>
    <w:rsid w:val="001D55F9"/>
    <w:rsid w:val="001D5815"/>
    <w:rsid w:val="001D5BA4"/>
    <w:rsid w:val="001D6046"/>
    <w:rsid w:val="001D6304"/>
    <w:rsid w:val="001D6558"/>
    <w:rsid w:val="001D66DB"/>
    <w:rsid w:val="001D6827"/>
    <w:rsid w:val="001D6ABC"/>
    <w:rsid w:val="001D6BA4"/>
    <w:rsid w:val="001D6C0B"/>
    <w:rsid w:val="001D6E0F"/>
    <w:rsid w:val="001D7B0D"/>
    <w:rsid w:val="001E01C1"/>
    <w:rsid w:val="001E155B"/>
    <w:rsid w:val="001E19F8"/>
    <w:rsid w:val="001E1DA4"/>
    <w:rsid w:val="001E2144"/>
    <w:rsid w:val="001E2181"/>
    <w:rsid w:val="001E22BB"/>
    <w:rsid w:val="001E2453"/>
    <w:rsid w:val="001E25A3"/>
    <w:rsid w:val="001E2E3E"/>
    <w:rsid w:val="001E38B8"/>
    <w:rsid w:val="001E4017"/>
    <w:rsid w:val="001E47E1"/>
    <w:rsid w:val="001E4B79"/>
    <w:rsid w:val="001E58E3"/>
    <w:rsid w:val="001E631F"/>
    <w:rsid w:val="001E6F6F"/>
    <w:rsid w:val="001F087F"/>
    <w:rsid w:val="001F15F1"/>
    <w:rsid w:val="001F2313"/>
    <w:rsid w:val="001F3553"/>
    <w:rsid w:val="001F3DB4"/>
    <w:rsid w:val="001F4703"/>
    <w:rsid w:val="001F5593"/>
    <w:rsid w:val="001F5A34"/>
    <w:rsid w:val="001F5ECD"/>
    <w:rsid w:val="001F62D7"/>
    <w:rsid w:val="001F6920"/>
    <w:rsid w:val="001F6A09"/>
    <w:rsid w:val="001F6DAE"/>
    <w:rsid w:val="001F7504"/>
    <w:rsid w:val="001F7A0C"/>
    <w:rsid w:val="001F7D08"/>
    <w:rsid w:val="00200183"/>
    <w:rsid w:val="002011B5"/>
    <w:rsid w:val="00201615"/>
    <w:rsid w:val="00202598"/>
    <w:rsid w:val="00203390"/>
    <w:rsid w:val="00203869"/>
    <w:rsid w:val="00203AFC"/>
    <w:rsid w:val="00203B85"/>
    <w:rsid w:val="00203E98"/>
    <w:rsid w:val="0020583F"/>
    <w:rsid w:val="002059B8"/>
    <w:rsid w:val="00205C62"/>
    <w:rsid w:val="00206FA3"/>
    <w:rsid w:val="0020715D"/>
    <w:rsid w:val="00210629"/>
    <w:rsid w:val="00210F44"/>
    <w:rsid w:val="002111B7"/>
    <w:rsid w:val="00211785"/>
    <w:rsid w:val="002119CF"/>
    <w:rsid w:val="00211B94"/>
    <w:rsid w:val="00211CCB"/>
    <w:rsid w:val="0021239C"/>
    <w:rsid w:val="002128F3"/>
    <w:rsid w:val="002128FF"/>
    <w:rsid w:val="00212B8F"/>
    <w:rsid w:val="00213066"/>
    <w:rsid w:val="002159B0"/>
    <w:rsid w:val="00215B22"/>
    <w:rsid w:val="00220263"/>
    <w:rsid w:val="00220DC8"/>
    <w:rsid w:val="00220DD8"/>
    <w:rsid w:val="002214E5"/>
    <w:rsid w:val="002221E0"/>
    <w:rsid w:val="00223394"/>
    <w:rsid w:val="00223440"/>
    <w:rsid w:val="00223984"/>
    <w:rsid w:val="00224C0E"/>
    <w:rsid w:val="00224C10"/>
    <w:rsid w:val="00225123"/>
    <w:rsid w:val="002251A9"/>
    <w:rsid w:val="00225A22"/>
    <w:rsid w:val="0022638D"/>
    <w:rsid w:val="002266D6"/>
    <w:rsid w:val="002278FC"/>
    <w:rsid w:val="00227B13"/>
    <w:rsid w:val="0023026C"/>
    <w:rsid w:val="00230B43"/>
    <w:rsid w:val="002314FF"/>
    <w:rsid w:val="0023249A"/>
    <w:rsid w:val="00232CA6"/>
    <w:rsid w:val="00232F16"/>
    <w:rsid w:val="00232FAA"/>
    <w:rsid w:val="0023371C"/>
    <w:rsid w:val="002338C2"/>
    <w:rsid w:val="00233BD6"/>
    <w:rsid w:val="002355B2"/>
    <w:rsid w:val="00235636"/>
    <w:rsid w:val="002359CA"/>
    <w:rsid w:val="00235CE3"/>
    <w:rsid w:val="00235ECD"/>
    <w:rsid w:val="002360F5"/>
    <w:rsid w:val="002362D2"/>
    <w:rsid w:val="0023646F"/>
    <w:rsid w:val="0023679C"/>
    <w:rsid w:val="002370EB"/>
    <w:rsid w:val="002371D7"/>
    <w:rsid w:val="00237316"/>
    <w:rsid w:val="0023758D"/>
    <w:rsid w:val="00237F7F"/>
    <w:rsid w:val="00240017"/>
    <w:rsid w:val="00240914"/>
    <w:rsid w:val="0024106B"/>
    <w:rsid w:val="002419C6"/>
    <w:rsid w:val="00241E01"/>
    <w:rsid w:val="00242D77"/>
    <w:rsid w:val="00242D7D"/>
    <w:rsid w:val="002433BE"/>
    <w:rsid w:val="00243ED4"/>
    <w:rsid w:val="002441D2"/>
    <w:rsid w:val="00245375"/>
    <w:rsid w:val="002453FD"/>
    <w:rsid w:val="0024587E"/>
    <w:rsid w:val="002465BA"/>
    <w:rsid w:val="00246D4E"/>
    <w:rsid w:val="00247156"/>
    <w:rsid w:val="0024729D"/>
    <w:rsid w:val="002503FE"/>
    <w:rsid w:val="00250CFE"/>
    <w:rsid w:val="00250D2E"/>
    <w:rsid w:val="00251091"/>
    <w:rsid w:val="0025121E"/>
    <w:rsid w:val="00251B0B"/>
    <w:rsid w:val="00252A27"/>
    <w:rsid w:val="00252A93"/>
    <w:rsid w:val="00252C3A"/>
    <w:rsid w:val="00252D7D"/>
    <w:rsid w:val="002545FB"/>
    <w:rsid w:val="00254D82"/>
    <w:rsid w:val="00254DD0"/>
    <w:rsid w:val="00254F29"/>
    <w:rsid w:val="00254FBD"/>
    <w:rsid w:val="002550A4"/>
    <w:rsid w:val="002552A4"/>
    <w:rsid w:val="00255CC3"/>
    <w:rsid w:val="00255F8A"/>
    <w:rsid w:val="00256388"/>
    <w:rsid w:val="00256427"/>
    <w:rsid w:val="00256647"/>
    <w:rsid w:val="002573B4"/>
    <w:rsid w:val="00260536"/>
    <w:rsid w:val="00260C23"/>
    <w:rsid w:val="002617C6"/>
    <w:rsid w:val="0026257F"/>
    <w:rsid w:val="00262838"/>
    <w:rsid w:val="00262A79"/>
    <w:rsid w:val="00262A98"/>
    <w:rsid w:val="00262F1F"/>
    <w:rsid w:val="00262F23"/>
    <w:rsid w:val="0026346D"/>
    <w:rsid w:val="002647F9"/>
    <w:rsid w:val="00264B21"/>
    <w:rsid w:val="002655FF"/>
    <w:rsid w:val="00265E12"/>
    <w:rsid w:val="00266B4C"/>
    <w:rsid w:val="00270647"/>
    <w:rsid w:val="002709DA"/>
    <w:rsid w:val="00270C52"/>
    <w:rsid w:val="00271964"/>
    <w:rsid w:val="002720BB"/>
    <w:rsid w:val="002727D6"/>
    <w:rsid w:val="00272AE1"/>
    <w:rsid w:val="00272F82"/>
    <w:rsid w:val="00273212"/>
    <w:rsid w:val="00273BED"/>
    <w:rsid w:val="0027436F"/>
    <w:rsid w:val="0027439B"/>
    <w:rsid w:val="00274ABD"/>
    <w:rsid w:val="00274DF4"/>
    <w:rsid w:val="002755AA"/>
    <w:rsid w:val="0027609D"/>
    <w:rsid w:val="00276678"/>
    <w:rsid w:val="00276A5C"/>
    <w:rsid w:val="00276C97"/>
    <w:rsid w:val="00277DC7"/>
    <w:rsid w:val="00280551"/>
    <w:rsid w:val="00280A18"/>
    <w:rsid w:val="00280C53"/>
    <w:rsid w:val="0028160A"/>
    <w:rsid w:val="0028170C"/>
    <w:rsid w:val="002818FF"/>
    <w:rsid w:val="00281943"/>
    <w:rsid w:val="002823E5"/>
    <w:rsid w:val="00282594"/>
    <w:rsid w:val="00282FD7"/>
    <w:rsid w:val="00283171"/>
    <w:rsid w:val="00283293"/>
    <w:rsid w:val="002837D3"/>
    <w:rsid w:val="00283997"/>
    <w:rsid w:val="00283C25"/>
    <w:rsid w:val="00283CFC"/>
    <w:rsid w:val="00283EBF"/>
    <w:rsid w:val="00284964"/>
    <w:rsid w:val="00284BE9"/>
    <w:rsid w:val="00285274"/>
    <w:rsid w:val="0028534D"/>
    <w:rsid w:val="00285903"/>
    <w:rsid w:val="00285D27"/>
    <w:rsid w:val="00286A2D"/>
    <w:rsid w:val="00286E0C"/>
    <w:rsid w:val="002875BF"/>
    <w:rsid w:val="002908BD"/>
    <w:rsid w:val="00290F31"/>
    <w:rsid w:val="00291F58"/>
    <w:rsid w:val="002920A7"/>
    <w:rsid w:val="002921D8"/>
    <w:rsid w:val="00292357"/>
    <w:rsid w:val="00292471"/>
    <w:rsid w:val="00292B01"/>
    <w:rsid w:val="00293520"/>
    <w:rsid w:val="00294B45"/>
    <w:rsid w:val="00294EC2"/>
    <w:rsid w:val="00295A97"/>
    <w:rsid w:val="00295FF3"/>
    <w:rsid w:val="00296047"/>
    <w:rsid w:val="0029726A"/>
    <w:rsid w:val="00297501"/>
    <w:rsid w:val="002A018F"/>
    <w:rsid w:val="002A12FA"/>
    <w:rsid w:val="002A1AE5"/>
    <w:rsid w:val="002A3AD7"/>
    <w:rsid w:val="002A3C7C"/>
    <w:rsid w:val="002A428F"/>
    <w:rsid w:val="002A4661"/>
    <w:rsid w:val="002A48CE"/>
    <w:rsid w:val="002A4F56"/>
    <w:rsid w:val="002A506D"/>
    <w:rsid w:val="002A50BA"/>
    <w:rsid w:val="002A52B6"/>
    <w:rsid w:val="002A5E36"/>
    <w:rsid w:val="002A5EC7"/>
    <w:rsid w:val="002A6C00"/>
    <w:rsid w:val="002A719E"/>
    <w:rsid w:val="002A74AC"/>
    <w:rsid w:val="002A74C9"/>
    <w:rsid w:val="002A7EC4"/>
    <w:rsid w:val="002B0C78"/>
    <w:rsid w:val="002B10EA"/>
    <w:rsid w:val="002B11E2"/>
    <w:rsid w:val="002B1308"/>
    <w:rsid w:val="002B1ACD"/>
    <w:rsid w:val="002B1BA7"/>
    <w:rsid w:val="002B261D"/>
    <w:rsid w:val="002B4056"/>
    <w:rsid w:val="002B4439"/>
    <w:rsid w:val="002B6021"/>
    <w:rsid w:val="002B60CD"/>
    <w:rsid w:val="002B679A"/>
    <w:rsid w:val="002B69DA"/>
    <w:rsid w:val="002B6D5E"/>
    <w:rsid w:val="002B7092"/>
    <w:rsid w:val="002B7184"/>
    <w:rsid w:val="002B7290"/>
    <w:rsid w:val="002B779F"/>
    <w:rsid w:val="002B7FD1"/>
    <w:rsid w:val="002C1255"/>
    <w:rsid w:val="002C1772"/>
    <w:rsid w:val="002C26A4"/>
    <w:rsid w:val="002C2AD9"/>
    <w:rsid w:val="002C31CB"/>
    <w:rsid w:val="002C3254"/>
    <w:rsid w:val="002C3FD8"/>
    <w:rsid w:val="002C49AD"/>
    <w:rsid w:val="002C4A49"/>
    <w:rsid w:val="002C4B3D"/>
    <w:rsid w:val="002C5336"/>
    <w:rsid w:val="002C540D"/>
    <w:rsid w:val="002C5473"/>
    <w:rsid w:val="002C5D21"/>
    <w:rsid w:val="002C6650"/>
    <w:rsid w:val="002D26D1"/>
    <w:rsid w:val="002D4899"/>
    <w:rsid w:val="002D4F3F"/>
    <w:rsid w:val="002D5671"/>
    <w:rsid w:val="002D5776"/>
    <w:rsid w:val="002D5AA8"/>
    <w:rsid w:val="002D6160"/>
    <w:rsid w:val="002D675D"/>
    <w:rsid w:val="002D6910"/>
    <w:rsid w:val="002D6C96"/>
    <w:rsid w:val="002D6E0B"/>
    <w:rsid w:val="002D784E"/>
    <w:rsid w:val="002E01BF"/>
    <w:rsid w:val="002E2326"/>
    <w:rsid w:val="002E29C8"/>
    <w:rsid w:val="002E3B4B"/>
    <w:rsid w:val="002E4417"/>
    <w:rsid w:val="002E45C0"/>
    <w:rsid w:val="002E60B3"/>
    <w:rsid w:val="002E6290"/>
    <w:rsid w:val="002E6406"/>
    <w:rsid w:val="002E66CB"/>
    <w:rsid w:val="002E7798"/>
    <w:rsid w:val="002E78CC"/>
    <w:rsid w:val="002E7E1D"/>
    <w:rsid w:val="002E7E79"/>
    <w:rsid w:val="002F043C"/>
    <w:rsid w:val="002F06C3"/>
    <w:rsid w:val="002F0EDC"/>
    <w:rsid w:val="002F1707"/>
    <w:rsid w:val="002F1B85"/>
    <w:rsid w:val="002F1C82"/>
    <w:rsid w:val="002F2DD5"/>
    <w:rsid w:val="002F2ECC"/>
    <w:rsid w:val="002F3143"/>
    <w:rsid w:val="002F47FD"/>
    <w:rsid w:val="002F4A82"/>
    <w:rsid w:val="002F50BB"/>
    <w:rsid w:val="002F645C"/>
    <w:rsid w:val="002F675C"/>
    <w:rsid w:val="002F6947"/>
    <w:rsid w:val="002F7BB0"/>
    <w:rsid w:val="002F7BBE"/>
    <w:rsid w:val="002F7CAA"/>
    <w:rsid w:val="0030026D"/>
    <w:rsid w:val="00300746"/>
    <w:rsid w:val="00300E63"/>
    <w:rsid w:val="0030116C"/>
    <w:rsid w:val="0030117B"/>
    <w:rsid w:val="00301309"/>
    <w:rsid w:val="0030242F"/>
    <w:rsid w:val="00303021"/>
    <w:rsid w:val="003031E0"/>
    <w:rsid w:val="0030335C"/>
    <w:rsid w:val="00303A05"/>
    <w:rsid w:val="00303CC1"/>
    <w:rsid w:val="003041E8"/>
    <w:rsid w:val="0030451F"/>
    <w:rsid w:val="0030531E"/>
    <w:rsid w:val="0030532E"/>
    <w:rsid w:val="0030548D"/>
    <w:rsid w:val="003063A4"/>
    <w:rsid w:val="00306E50"/>
    <w:rsid w:val="003073B4"/>
    <w:rsid w:val="003076FA"/>
    <w:rsid w:val="00307775"/>
    <w:rsid w:val="00307AB8"/>
    <w:rsid w:val="00307AFA"/>
    <w:rsid w:val="0031018A"/>
    <w:rsid w:val="0031029D"/>
    <w:rsid w:val="003105EB"/>
    <w:rsid w:val="0031124C"/>
    <w:rsid w:val="003125CC"/>
    <w:rsid w:val="00312D9C"/>
    <w:rsid w:val="003147AD"/>
    <w:rsid w:val="003148FE"/>
    <w:rsid w:val="00314B44"/>
    <w:rsid w:val="00314C95"/>
    <w:rsid w:val="00315CA4"/>
    <w:rsid w:val="00315DCB"/>
    <w:rsid w:val="003165E5"/>
    <w:rsid w:val="00316DCF"/>
    <w:rsid w:val="00317CEA"/>
    <w:rsid w:val="003218EA"/>
    <w:rsid w:val="00321A7E"/>
    <w:rsid w:val="00322CD3"/>
    <w:rsid w:val="00323000"/>
    <w:rsid w:val="0032365F"/>
    <w:rsid w:val="003240DB"/>
    <w:rsid w:val="003241BB"/>
    <w:rsid w:val="003244FF"/>
    <w:rsid w:val="00324897"/>
    <w:rsid w:val="00324DAA"/>
    <w:rsid w:val="00325234"/>
    <w:rsid w:val="0032651A"/>
    <w:rsid w:val="00326740"/>
    <w:rsid w:val="00327091"/>
    <w:rsid w:val="00327707"/>
    <w:rsid w:val="00327D1F"/>
    <w:rsid w:val="00327EB4"/>
    <w:rsid w:val="00330048"/>
    <w:rsid w:val="003312A4"/>
    <w:rsid w:val="00331883"/>
    <w:rsid w:val="00333088"/>
    <w:rsid w:val="0033370D"/>
    <w:rsid w:val="0033382B"/>
    <w:rsid w:val="003339AE"/>
    <w:rsid w:val="00333F40"/>
    <w:rsid w:val="00334CC4"/>
    <w:rsid w:val="00335A45"/>
    <w:rsid w:val="00336C81"/>
    <w:rsid w:val="003370BB"/>
    <w:rsid w:val="003370F4"/>
    <w:rsid w:val="00337BF3"/>
    <w:rsid w:val="00341066"/>
    <w:rsid w:val="003410F1"/>
    <w:rsid w:val="00341A9B"/>
    <w:rsid w:val="00342167"/>
    <w:rsid w:val="003427BA"/>
    <w:rsid w:val="00343F6E"/>
    <w:rsid w:val="00344194"/>
    <w:rsid w:val="003448DD"/>
    <w:rsid w:val="0034566D"/>
    <w:rsid w:val="00345BCB"/>
    <w:rsid w:val="00346A14"/>
    <w:rsid w:val="00347251"/>
    <w:rsid w:val="00347342"/>
    <w:rsid w:val="003475B1"/>
    <w:rsid w:val="00347D76"/>
    <w:rsid w:val="00350194"/>
    <w:rsid w:val="00350E29"/>
    <w:rsid w:val="00353002"/>
    <w:rsid w:val="00353868"/>
    <w:rsid w:val="00353DD7"/>
    <w:rsid w:val="00354672"/>
    <w:rsid w:val="00355902"/>
    <w:rsid w:val="0035645B"/>
    <w:rsid w:val="00356A4A"/>
    <w:rsid w:val="0035737D"/>
    <w:rsid w:val="00357812"/>
    <w:rsid w:val="00357B47"/>
    <w:rsid w:val="00357B83"/>
    <w:rsid w:val="00357EA2"/>
    <w:rsid w:val="003607AD"/>
    <w:rsid w:val="00361C1E"/>
    <w:rsid w:val="00361F8E"/>
    <w:rsid w:val="00362034"/>
    <w:rsid w:val="00362956"/>
    <w:rsid w:val="00362971"/>
    <w:rsid w:val="00363101"/>
    <w:rsid w:val="00363396"/>
    <w:rsid w:val="00363C23"/>
    <w:rsid w:val="00364177"/>
    <w:rsid w:val="0036435A"/>
    <w:rsid w:val="00364A4E"/>
    <w:rsid w:val="003652E1"/>
    <w:rsid w:val="0036553D"/>
    <w:rsid w:val="00366A5B"/>
    <w:rsid w:val="003673A2"/>
    <w:rsid w:val="0036771B"/>
    <w:rsid w:val="00367B62"/>
    <w:rsid w:val="00367C8E"/>
    <w:rsid w:val="00371A13"/>
    <w:rsid w:val="003734EC"/>
    <w:rsid w:val="00373CE8"/>
    <w:rsid w:val="00373DBC"/>
    <w:rsid w:val="00374C98"/>
    <w:rsid w:val="00375209"/>
    <w:rsid w:val="003756A4"/>
    <w:rsid w:val="003758F0"/>
    <w:rsid w:val="00376407"/>
    <w:rsid w:val="00376899"/>
    <w:rsid w:val="003774F5"/>
    <w:rsid w:val="003807AA"/>
    <w:rsid w:val="003815B5"/>
    <w:rsid w:val="00381EAC"/>
    <w:rsid w:val="00382F4D"/>
    <w:rsid w:val="003835F4"/>
    <w:rsid w:val="003841BB"/>
    <w:rsid w:val="003847A3"/>
    <w:rsid w:val="003855AC"/>
    <w:rsid w:val="00386280"/>
    <w:rsid w:val="00387633"/>
    <w:rsid w:val="00387C0C"/>
    <w:rsid w:val="003915E5"/>
    <w:rsid w:val="0039167D"/>
    <w:rsid w:val="00391BD6"/>
    <w:rsid w:val="00391F11"/>
    <w:rsid w:val="003938A2"/>
    <w:rsid w:val="00393C3B"/>
    <w:rsid w:val="003963C9"/>
    <w:rsid w:val="00396A72"/>
    <w:rsid w:val="00397594"/>
    <w:rsid w:val="003977AE"/>
    <w:rsid w:val="003A058E"/>
    <w:rsid w:val="003A0FFB"/>
    <w:rsid w:val="003A1C98"/>
    <w:rsid w:val="003A374D"/>
    <w:rsid w:val="003A50F9"/>
    <w:rsid w:val="003A5237"/>
    <w:rsid w:val="003A6B89"/>
    <w:rsid w:val="003A740D"/>
    <w:rsid w:val="003A7CDB"/>
    <w:rsid w:val="003A7E2A"/>
    <w:rsid w:val="003B0198"/>
    <w:rsid w:val="003B03D5"/>
    <w:rsid w:val="003B07AC"/>
    <w:rsid w:val="003B0843"/>
    <w:rsid w:val="003B0C84"/>
    <w:rsid w:val="003B1401"/>
    <w:rsid w:val="003B186C"/>
    <w:rsid w:val="003B2D1F"/>
    <w:rsid w:val="003B3827"/>
    <w:rsid w:val="003B3F2C"/>
    <w:rsid w:val="003B40E1"/>
    <w:rsid w:val="003B4FCE"/>
    <w:rsid w:val="003B571B"/>
    <w:rsid w:val="003B6FCD"/>
    <w:rsid w:val="003B7516"/>
    <w:rsid w:val="003B7DD1"/>
    <w:rsid w:val="003B7FDB"/>
    <w:rsid w:val="003C032C"/>
    <w:rsid w:val="003C059F"/>
    <w:rsid w:val="003C088E"/>
    <w:rsid w:val="003C08CB"/>
    <w:rsid w:val="003C1B25"/>
    <w:rsid w:val="003C32D0"/>
    <w:rsid w:val="003C337E"/>
    <w:rsid w:val="003C3CA9"/>
    <w:rsid w:val="003C4C0A"/>
    <w:rsid w:val="003C5429"/>
    <w:rsid w:val="003C58B9"/>
    <w:rsid w:val="003C5FBB"/>
    <w:rsid w:val="003D07AD"/>
    <w:rsid w:val="003D0F83"/>
    <w:rsid w:val="003D11EA"/>
    <w:rsid w:val="003D128A"/>
    <w:rsid w:val="003D1BB8"/>
    <w:rsid w:val="003D1CFB"/>
    <w:rsid w:val="003D2396"/>
    <w:rsid w:val="003D401E"/>
    <w:rsid w:val="003D45A9"/>
    <w:rsid w:val="003D5CDC"/>
    <w:rsid w:val="003D627B"/>
    <w:rsid w:val="003D6A48"/>
    <w:rsid w:val="003D7646"/>
    <w:rsid w:val="003D78A3"/>
    <w:rsid w:val="003D79AB"/>
    <w:rsid w:val="003E0529"/>
    <w:rsid w:val="003E1A41"/>
    <w:rsid w:val="003E27D0"/>
    <w:rsid w:val="003E285F"/>
    <w:rsid w:val="003E36BA"/>
    <w:rsid w:val="003E3E1F"/>
    <w:rsid w:val="003E49E2"/>
    <w:rsid w:val="003E4D98"/>
    <w:rsid w:val="003E700D"/>
    <w:rsid w:val="003F0103"/>
    <w:rsid w:val="003F2A04"/>
    <w:rsid w:val="003F2A0B"/>
    <w:rsid w:val="003F31D4"/>
    <w:rsid w:val="003F323A"/>
    <w:rsid w:val="003F340C"/>
    <w:rsid w:val="003F3764"/>
    <w:rsid w:val="003F38FE"/>
    <w:rsid w:val="003F3DA4"/>
    <w:rsid w:val="003F3DDA"/>
    <w:rsid w:val="003F3E60"/>
    <w:rsid w:val="003F4215"/>
    <w:rsid w:val="003F4241"/>
    <w:rsid w:val="003F53C2"/>
    <w:rsid w:val="003F54B3"/>
    <w:rsid w:val="003F57DE"/>
    <w:rsid w:val="003F5ABE"/>
    <w:rsid w:val="003F5D81"/>
    <w:rsid w:val="003F641A"/>
    <w:rsid w:val="003F6A40"/>
    <w:rsid w:val="003F78E4"/>
    <w:rsid w:val="004022EB"/>
    <w:rsid w:val="004025D9"/>
    <w:rsid w:val="00403BC1"/>
    <w:rsid w:val="00403FA4"/>
    <w:rsid w:val="00404347"/>
    <w:rsid w:val="0040468B"/>
    <w:rsid w:val="00404EBA"/>
    <w:rsid w:val="0040618D"/>
    <w:rsid w:val="00407030"/>
    <w:rsid w:val="0040723A"/>
    <w:rsid w:val="004075A2"/>
    <w:rsid w:val="00407C59"/>
    <w:rsid w:val="004104B9"/>
    <w:rsid w:val="00410ADA"/>
    <w:rsid w:val="00411463"/>
    <w:rsid w:val="00411C3A"/>
    <w:rsid w:val="00413480"/>
    <w:rsid w:val="0041358B"/>
    <w:rsid w:val="004138D3"/>
    <w:rsid w:val="004140BF"/>
    <w:rsid w:val="004143DE"/>
    <w:rsid w:val="00415624"/>
    <w:rsid w:val="00416541"/>
    <w:rsid w:val="0041684A"/>
    <w:rsid w:val="0041720B"/>
    <w:rsid w:val="00417945"/>
    <w:rsid w:val="00420368"/>
    <w:rsid w:val="00420BC8"/>
    <w:rsid w:val="00421531"/>
    <w:rsid w:val="0042164B"/>
    <w:rsid w:val="00422085"/>
    <w:rsid w:val="00423300"/>
    <w:rsid w:val="00423BA6"/>
    <w:rsid w:val="00423F1F"/>
    <w:rsid w:val="004241A1"/>
    <w:rsid w:val="00425862"/>
    <w:rsid w:val="004258C7"/>
    <w:rsid w:val="0042612F"/>
    <w:rsid w:val="00426E4F"/>
    <w:rsid w:val="00426F7B"/>
    <w:rsid w:val="004306AB"/>
    <w:rsid w:val="00430A81"/>
    <w:rsid w:val="00430D00"/>
    <w:rsid w:val="00430D30"/>
    <w:rsid w:val="004321F6"/>
    <w:rsid w:val="004326BB"/>
    <w:rsid w:val="00432756"/>
    <w:rsid w:val="00432D61"/>
    <w:rsid w:val="00434AD8"/>
    <w:rsid w:val="00434D60"/>
    <w:rsid w:val="00434FEF"/>
    <w:rsid w:val="004353E0"/>
    <w:rsid w:val="00435BF6"/>
    <w:rsid w:val="00436766"/>
    <w:rsid w:val="00436814"/>
    <w:rsid w:val="004376B5"/>
    <w:rsid w:val="00440FC5"/>
    <w:rsid w:val="004410D7"/>
    <w:rsid w:val="00441A4D"/>
    <w:rsid w:val="00441EC1"/>
    <w:rsid w:val="00442D37"/>
    <w:rsid w:val="00443596"/>
    <w:rsid w:val="004444E0"/>
    <w:rsid w:val="004445A5"/>
    <w:rsid w:val="00444E34"/>
    <w:rsid w:val="00444E94"/>
    <w:rsid w:val="00444F62"/>
    <w:rsid w:val="004450FF"/>
    <w:rsid w:val="0044582A"/>
    <w:rsid w:val="004461B8"/>
    <w:rsid w:val="00446409"/>
    <w:rsid w:val="00446C75"/>
    <w:rsid w:val="00446DEB"/>
    <w:rsid w:val="004472F9"/>
    <w:rsid w:val="00447908"/>
    <w:rsid w:val="00451556"/>
    <w:rsid w:val="0045210B"/>
    <w:rsid w:val="00453323"/>
    <w:rsid w:val="004554BA"/>
    <w:rsid w:val="00456979"/>
    <w:rsid w:val="00456BC2"/>
    <w:rsid w:val="0045750F"/>
    <w:rsid w:val="00457C57"/>
    <w:rsid w:val="00457D77"/>
    <w:rsid w:val="00457F71"/>
    <w:rsid w:val="0046034A"/>
    <w:rsid w:val="00460ED4"/>
    <w:rsid w:val="00460F8C"/>
    <w:rsid w:val="00461120"/>
    <w:rsid w:val="004612DE"/>
    <w:rsid w:val="00461A5E"/>
    <w:rsid w:val="004627F7"/>
    <w:rsid w:val="00462A29"/>
    <w:rsid w:val="004635B0"/>
    <w:rsid w:val="00464725"/>
    <w:rsid w:val="0046575C"/>
    <w:rsid w:val="00465A33"/>
    <w:rsid w:val="00470021"/>
    <w:rsid w:val="00470D11"/>
    <w:rsid w:val="004712A7"/>
    <w:rsid w:val="004717BF"/>
    <w:rsid w:val="004722BA"/>
    <w:rsid w:val="00472800"/>
    <w:rsid w:val="004730DB"/>
    <w:rsid w:val="00474566"/>
    <w:rsid w:val="004745C9"/>
    <w:rsid w:val="00474826"/>
    <w:rsid w:val="00474952"/>
    <w:rsid w:val="00474E82"/>
    <w:rsid w:val="004752F1"/>
    <w:rsid w:val="004760C5"/>
    <w:rsid w:val="004770C7"/>
    <w:rsid w:val="004775B0"/>
    <w:rsid w:val="00477753"/>
    <w:rsid w:val="00477789"/>
    <w:rsid w:val="004805B1"/>
    <w:rsid w:val="00480830"/>
    <w:rsid w:val="00480D26"/>
    <w:rsid w:val="00481AAB"/>
    <w:rsid w:val="00481BF1"/>
    <w:rsid w:val="00481CD8"/>
    <w:rsid w:val="00482532"/>
    <w:rsid w:val="004825FD"/>
    <w:rsid w:val="0048289D"/>
    <w:rsid w:val="00482B76"/>
    <w:rsid w:val="00483FDC"/>
    <w:rsid w:val="0048481F"/>
    <w:rsid w:val="00484BAC"/>
    <w:rsid w:val="00484F10"/>
    <w:rsid w:val="00485DF7"/>
    <w:rsid w:val="00485ED3"/>
    <w:rsid w:val="00486A2F"/>
    <w:rsid w:val="004875FD"/>
    <w:rsid w:val="0049002A"/>
    <w:rsid w:val="0049026E"/>
    <w:rsid w:val="0049153C"/>
    <w:rsid w:val="004915A8"/>
    <w:rsid w:val="00491CF0"/>
    <w:rsid w:val="00492E4D"/>
    <w:rsid w:val="00492F06"/>
    <w:rsid w:val="004935DC"/>
    <w:rsid w:val="004936CF"/>
    <w:rsid w:val="00493CBF"/>
    <w:rsid w:val="00493E2F"/>
    <w:rsid w:val="0049431F"/>
    <w:rsid w:val="00494777"/>
    <w:rsid w:val="0049573D"/>
    <w:rsid w:val="00495842"/>
    <w:rsid w:val="00497396"/>
    <w:rsid w:val="00497E78"/>
    <w:rsid w:val="004A0B2E"/>
    <w:rsid w:val="004A1F57"/>
    <w:rsid w:val="004A2218"/>
    <w:rsid w:val="004A273C"/>
    <w:rsid w:val="004A282F"/>
    <w:rsid w:val="004A2A4A"/>
    <w:rsid w:val="004A2C0C"/>
    <w:rsid w:val="004A339C"/>
    <w:rsid w:val="004A3812"/>
    <w:rsid w:val="004A3F18"/>
    <w:rsid w:val="004A4307"/>
    <w:rsid w:val="004A4A00"/>
    <w:rsid w:val="004A5422"/>
    <w:rsid w:val="004A5CCB"/>
    <w:rsid w:val="004A6DAC"/>
    <w:rsid w:val="004A6FE2"/>
    <w:rsid w:val="004A7104"/>
    <w:rsid w:val="004A7562"/>
    <w:rsid w:val="004B04C5"/>
    <w:rsid w:val="004B1911"/>
    <w:rsid w:val="004B22E0"/>
    <w:rsid w:val="004B22E9"/>
    <w:rsid w:val="004B2317"/>
    <w:rsid w:val="004B3220"/>
    <w:rsid w:val="004B36F3"/>
    <w:rsid w:val="004B41C5"/>
    <w:rsid w:val="004B472C"/>
    <w:rsid w:val="004B4DB5"/>
    <w:rsid w:val="004B537D"/>
    <w:rsid w:val="004B5760"/>
    <w:rsid w:val="004B58B3"/>
    <w:rsid w:val="004B69CE"/>
    <w:rsid w:val="004B723E"/>
    <w:rsid w:val="004B72FC"/>
    <w:rsid w:val="004B7384"/>
    <w:rsid w:val="004B7AFF"/>
    <w:rsid w:val="004C0AC1"/>
    <w:rsid w:val="004C0F55"/>
    <w:rsid w:val="004C1201"/>
    <w:rsid w:val="004C18B5"/>
    <w:rsid w:val="004C2473"/>
    <w:rsid w:val="004C3438"/>
    <w:rsid w:val="004C3AC4"/>
    <w:rsid w:val="004C3D40"/>
    <w:rsid w:val="004C44D2"/>
    <w:rsid w:val="004C4711"/>
    <w:rsid w:val="004C4E1E"/>
    <w:rsid w:val="004C58E8"/>
    <w:rsid w:val="004C6B0B"/>
    <w:rsid w:val="004C7181"/>
    <w:rsid w:val="004C72D2"/>
    <w:rsid w:val="004C7A65"/>
    <w:rsid w:val="004D0787"/>
    <w:rsid w:val="004D0DF9"/>
    <w:rsid w:val="004D2694"/>
    <w:rsid w:val="004D2947"/>
    <w:rsid w:val="004D2FD0"/>
    <w:rsid w:val="004D36DE"/>
    <w:rsid w:val="004D3864"/>
    <w:rsid w:val="004D3BAB"/>
    <w:rsid w:val="004D4241"/>
    <w:rsid w:val="004D5213"/>
    <w:rsid w:val="004D60FC"/>
    <w:rsid w:val="004D66FD"/>
    <w:rsid w:val="004D6F4D"/>
    <w:rsid w:val="004D797D"/>
    <w:rsid w:val="004D7C73"/>
    <w:rsid w:val="004E0106"/>
    <w:rsid w:val="004E2553"/>
    <w:rsid w:val="004E3791"/>
    <w:rsid w:val="004E3868"/>
    <w:rsid w:val="004E3A66"/>
    <w:rsid w:val="004E3DAE"/>
    <w:rsid w:val="004E44B6"/>
    <w:rsid w:val="004E46B5"/>
    <w:rsid w:val="004E4BEE"/>
    <w:rsid w:val="004E4DA5"/>
    <w:rsid w:val="004E5210"/>
    <w:rsid w:val="004E53CD"/>
    <w:rsid w:val="004E58A2"/>
    <w:rsid w:val="004E5BC0"/>
    <w:rsid w:val="004E5DE6"/>
    <w:rsid w:val="004E62B9"/>
    <w:rsid w:val="004E6318"/>
    <w:rsid w:val="004E6592"/>
    <w:rsid w:val="004E65DD"/>
    <w:rsid w:val="004E72FB"/>
    <w:rsid w:val="004F0348"/>
    <w:rsid w:val="004F04A0"/>
    <w:rsid w:val="004F0921"/>
    <w:rsid w:val="004F1C0B"/>
    <w:rsid w:val="004F1C4B"/>
    <w:rsid w:val="004F1CA5"/>
    <w:rsid w:val="004F2F23"/>
    <w:rsid w:val="004F377B"/>
    <w:rsid w:val="004F4867"/>
    <w:rsid w:val="004F4CCC"/>
    <w:rsid w:val="004F6538"/>
    <w:rsid w:val="004F691C"/>
    <w:rsid w:val="004F6D5D"/>
    <w:rsid w:val="004F6D5E"/>
    <w:rsid w:val="004F77CB"/>
    <w:rsid w:val="004F7A48"/>
    <w:rsid w:val="004F7B35"/>
    <w:rsid w:val="00500D6F"/>
    <w:rsid w:val="00501084"/>
    <w:rsid w:val="005010BA"/>
    <w:rsid w:val="00501253"/>
    <w:rsid w:val="005022C5"/>
    <w:rsid w:val="0050273C"/>
    <w:rsid w:val="00502CEB"/>
    <w:rsid w:val="00502D06"/>
    <w:rsid w:val="00503705"/>
    <w:rsid w:val="005039C1"/>
    <w:rsid w:val="00503E7D"/>
    <w:rsid w:val="00505779"/>
    <w:rsid w:val="0050621C"/>
    <w:rsid w:val="0050698E"/>
    <w:rsid w:val="00507490"/>
    <w:rsid w:val="00507A1D"/>
    <w:rsid w:val="005101C0"/>
    <w:rsid w:val="0051080D"/>
    <w:rsid w:val="00510EDD"/>
    <w:rsid w:val="0051126E"/>
    <w:rsid w:val="00511462"/>
    <w:rsid w:val="005118A5"/>
    <w:rsid w:val="00511CF4"/>
    <w:rsid w:val="00511ED1"/>
    <w:rsid w:val="0051258A"/>
    <w:rsid w:val="005131FA"/>
    <w:rsid w:val="00513799"/>
    <w:rsid w:val="00513B84"/>
    <w:rsid w:val="00514436"/>
    <w:rsid w:val="0051458D"/>
    <w:rsid w:val="00515172"/>
    <w:rsid w:val="005160B1"/>
    <w:rsid w:val="005164E9"/>
    <w:rsid w:val="005166F7"/>
    <w:rsid w:val="00517065"/>
    <w:rsid w:val="00517489"/>
    <w:rsid w:val="00517FC2"/>
    <w:rsid w:val="00520103"/>
    <w:rsid w:val="00520BD3"/>
    <w:rsid w:val="005217CC"/>
    <w:rsid w:val="00522D7D"/>
    <w:rsid w:val="00522FF0"/>
    <w:rsid w:val="00523F31"/>
    <w:rsid w:val="00524189"/>
    <w:rsid w:val="005245E8"/>
    <w:rsid w:val="00524CB8"/>
    <w:rsid w:val="005260E1"/>
    <w:rsid w:val="005275DB"/>
    <w:rsid w:val="00527824"/>
    <w:rsid w:val="00527859"/>
    <w:rsid w:val="00527E73"/>
    <w:rsid w:val="00527F4F"/>
    <w:rsid w:val="00530707"/>
    <w:rsid w:val="00530988"/>
    <w:rsid w:val="00530992"/>
    <w:rsid w:val="00530FB9"/>
    <w:rsid w:val="00531522"/>
    <w:rsid w:val="0053166F"/>
    <w:rsid w:val="00531A08"/>
    <w:rsid w:val="005332F8"/>
    <w:rsid w:val="005336A0"/>
    <w:rsid w:val="00535001"/>
    <w:rsid w:val="00535FB1"/>
    <w:rsid w:val="00536893"/>
    <w:rsid w:val="00536A24"/>
    <w:rsid w:val="00537346"/>
    <w:rsid w:val="00537B34"/>
    <w:rsid w:val="00540BA4"/>
    <w:rsid w:val="00540C8C"/>
    <w:rsid w:val="00540CDB"/>
    <w:rsid w:val="00540D06"/>
    <w:rsid w:val="00541705"/>
    <w:rsid w:val="00541EFD"/>
    <w:rsid w:val="00542D61"/>
    <w:rsid w:val="0054327B"/>
    <w:rsid w:val="005434B1"/>
    <w:rsid w:val="0054360D"/>
    <w:rsid w:val="00543A80"/>
    <w:rsid w:val="005444CD"/>
    <w:rsid w:val="005458FF"/>
    <w:rsid w:val="00545E42"/>
    <w:rsid w:val="005467DE"/>
    <w:rsid w:val="005468DD"/>
    <w:rsid w:val="00546A06"/>
    <w:rsid w:val="00547284"/>
    <w:rsid w:val="00547B81"/>
    <w:rsid w:val="00547FF1"/>
    <w:rsid w:val="00550E9E"/>
    <w:rsid w:val="00551DB9"/>
    <w:rsid w:val="00552333"/>
    <w:rsid w:val="00552C45"/>
    <w:rsid w:val="0055305D"/>
    <w:rsid w:val="00553293"/>
    <w:rsid w:val="00553D41"/>
    <w:rsid w:val="00553E00"/>
    <w:rsid w:val="0055410D"/>
    <w:rsid w:val="005543A4"/>
    <w:rsid w:val="00555066"/>
    <w:rsid w:val="005558A8"/>
    <w:rsid w:val="00555DC7"/>
    <w:rsid w:val="005564C0"/>
    <w:rsid w:val="005566EE"/>
    <w:rsid w:val="00556E2C"/>
    <w:rsid w:val="00557201"/>
    <w:rsid w:val="0055762A"/>
    <w:rsid w:val="00557668"/>
    <w:rsid w:val="00557795"/>
    <w:rsid w:val="00560522"/>
    <w:rsid w:val="0056058D"/>
    <w:rsid w:val="005605A9"/>
    <w:rsid w:val="00560784"/>
    <w:rsid w:val="00561649"/>
    <w:rsid w:val="005619B3"/>
    <w:rsid w:val="00561AB7"/>
    <w:rsid w:val="00561DAC"/>
    <w:rsid w:val="00562C35"/>
    <w:rsid w:val="00562CC3"/>
    <w:rsid w:val="0056412F"/>
    <w:rsid w:val="00564EB4"/>
    <w:rsid w:val="00565250"/>
    <w:rsid w:val="005665A6"/>
    <w:rsid w:val="00566D5D"/>
    <w:rsid w:val="0056794B"/>
    <w:rsid w:val="00567F6A"/>
    <w:rsid w:val="0057013F"/>
    <w:rsid w:val="0057022A"/>
    <w:rsid w:val="005707D6"/>
    <w:rsid w:val="0057182F"/>
    <w:rsid w:val="00571D24"/>
    <w:rsid w:val="005720E0"/>
    <w:rsid w:val="0057255B"/>
    <w:rsid w:val="00572731"/>
    <w:rsid w:val="00572BA5"/>
    <w:rsid w:val="00572D1D"/>
    <w:rsid w:val="00573332"/>
    <w:rsid w:val="00573560"/>
    <w:rsid w:val="00573BE7"/>
    <w:rsid w:val="0057415F"/>
    <w:rsid w:val="00574C33"/>
    <w:rsid w:val="00574F42"/>
    <w:rsid w:val="005758CB"/>
    <w:rsid w:val="00575ABE"/>
    <w:rsid w:val="00577765"/>
    <w:rsid w:val="0058036E"/>
    <w:rsid w:val="0058046E"/>
    <w:rsid w:val="00581BF9"/>
    <w:rsid w:val="00581E91"/>
    <w:rsid w:val="00582C59"/>
    <w:rsid w:val="00582DE1"/>
    <w:rsid w:val="00582F5E"/>
    <w:rsid w:val="005831B4"/>
    <w:rsid w:val="0058438F"/>
    <w:rsid w:val="00584DB9"/>
    <w:rsid w:val="00585E1E"/>
    <w:rsid w:val="00586169"/>
    <w:rsid w:val="005864CB"/>
    <w:rsid w:val="005867D8"/>
    <w:rsid w:val="00587A07"/>
    <w:rsid w:val="0059014E"/>
    <w:rsid w:val="0059120B"/>
    <w:rsid w:val="00591762"/>
    <w:rsid w:val="00591B40"/>
    <w:rsid w:val="005932D5"/>
    <w:rsid w:val="00593ACC"/>
    <w:rsid w:val="0059416B"/>
    <w:rsid w:val="00594A1F"/>
    <w:rsid w:val="00594B93"/>
    <w:rsid w:val="00595377"/>
    <w:rsid w:val="00595D2D"/>
    <w:rsid w:val="0059676C"/>
    <w:rsid w:val="005968C2"/>
    <w:rsid w:val="00597157"/>
    <w:rsid w:val="0059779D"/>
    <w:rsid w:val="00597A48"/>
    <w:rsid w:val="005A095C"/>
    <w:rsid w:val="005A0D3B"/>
    <w:rsid w:val="005A194A"/>
    <w:rsid w:val="005A1A89"/>
    <w:rsid w:val="005A1B26"/>
    <w:rsid w:val="005A231B"/>
    <w:rsid w:val="005A2C67"/>
    <w:rsid w:val="005A2F3F"/>
    <w:rsid w:val="005A43FE"/>
    <w:rsid w:val="005A44AA"/>
    <w:rsid w:val="005A453B"/>
    <w:rsid w:val="005A4AB6"/>
    <w:rsid w:val="005A530F"/>
    <w:rsid w:val="005A6BB0"/>
    <w:rsid w:val="005A74B4"/>
    <w:rsid w:val="005A7A9E"/>
    <w:rsid w:val="005A7FBD"/>
    <w:rsid w:val="005AED66"/>
    <w:rsid w:val="005AF27B"/>
    <w:rsid w:val="005B04EC"/>
    <w:rsid w:val="005B0D29"/>
    <w:rsid w:val="005B108E"/>
    <w:rsid w:val="005B1CF2"/>
    <w:rsid w:val="005B2160"/>
    <w:rsid w:val="005B2397"/>
    <w:rsid w:val="005B2A28"/>
    <w:rsid w:val="005B3417"/>
    <w:rsid w:val="005B412D"/>
    <w:rsid w:val="005B485F"/>
    <w:rsid w:val="005B4F7A"/>
    <w:rsid w:val="005B5059"/>
    <w:rsid w:val="005B564B"/>
    <w:rsid w:val="005B5F79"/>
    <w:rsid w:val="005B63BC"/>
    <w:rsid w:val="005B69DC"/>
    <w:rsid w:val="005B6A72"/>
    <w:rsid w:val="005B6FA5"/>
    <w:rsid w:val="005B79ED"/>
    <w:rsid w:val="005B7D8E"/>
    <w:rsid w:val="005B7FEA"/>
    <w:rsid w:val="005C13D7"/>
    <w:rsid w:val="005C23A5"/>
    <w:rsid w:val="005C25EA"/>
    <w:rsid w:val="005C30CA"/>
    <w:rsid w:val="005C32A1"/>
    <w:rsid w:val="005C351E"/>
    <w:rsid w:val="005C4975"/>
    <w:rsid w:val="005C4E6C"/>
    <w:rsid w:val="005C523C"/>
    <w:rsid w:val="005C574B"/>
    <w:rsid w:val="005C5F98"/>
    <w:rsid w:val="005C6B32"/>
    <w:rsid w:val="005D09E8"/>
    <w:rsid w:val="005D0E25"/>
    <w:rsid w:val="005D1171"/>
    <w:rsid w:val="005D1244"/>
    <w:rsid w:val="005D1A3A"/>
    <w:rsid w:val="005D1A7B"/>
    <w:rsid w:val="005D1AA7"/>
    <w:rsid w:val="005D20A2"/>
    <w:rsid w:val="005D390B"/>
    <w:rsid w:val="005D4752"/>
    <w:rsid w:val="005D482B"/>
    <w:rsid w:val="005D4FBA"/>
    <w:rsid w:val="005D531C"/>
    <w:rsid w:val="005D6658"/>
    <w:rsid w:val="005D6684"/>
    <w:rsid w:val="005D6AE8"/>
    <w:rsid w:val="005D6C07"/>
    <w:rsid w:val="005D6DD4"/>
    <w:rsid w:val="005D72F1"/>
    <w:rsid w:val="005D7435"/>
    <w:rsid w:val="005D7586"/>
    <w:rsid w:val="005D7E01"/>
    <w:rsid w:val="005D7E9A"/>
    <w:rsid w:val="005E05AF"/>
    <w:rsid w:val="005E05BA"/>
    <w:rsid w:val="005E0A73"/>
    <w:rsid w:val="005E1251"/>
    <w:rsid w:val="005E12F7"/>
    <w:rsid w:val="005E1592"/>
    <w:rsid w:val="005E1ED5"/>
    <w:rsid w:val="005E2463"/>
    <w:rsid w:val="005E3055"/>
    <w:rsid w:val="005E30E2"/>
    <w:rsid w:val="005E4964"/>
    <w:rsid w:val="005E608F"/>
    <w:rsid w:val="005E631B"/>
    <w:rsid w:val="005E68F8"/>
    <w:rsid w:val="005E6DF8"/>
    <w:rsid w:val="005E70E3"/>
    <w:rsid w:val="005E71F0"/>
    <w:rsid w:val="005E7CCD"/>
    <w:rsid w:val="005F02CD"/>
    <w:rsid w:val="005F1F51"/>
    <w:rsid w:val="005F2127"/>
    <w:rsid w:val="005F24D7"/>
    <w:rsid w:val="005F2B33"/>
    <w:rsid w:val="005F2C80"/>
    <w:rsid w:val="005F2CE3"/>
    <w:rsid w:val="005F35A4"/>
    <w:rsid w:val="005F38C0"/>
    <w:rsid w:val="005F41B5"/>
    <w:rsid w:val="005F4275"/>
    <w:rsid w:val="005F473D"/>
    <w:rsid w:val="005F4742"/>
    <w:rsid w:val="005F4C98"/>
    <w:rsid w:val="005F55FA"/>
    <w:rsid w:val="005F5B34"/>
    <w:rsid w:val="005F5DC1"/>
    <w:rsid w:val="005F5FAA"/>
    <w:rsid w:val="005F6039"/>
    <w:rsid w:val="005F62DF"/>
    <w:rsid w:val="005F6C20"/>
    <w:rsid w:val="005F73FE"/>
    <w:rsid w:val="005F7B48"/>
    <w:rsid w:val="00600050"/>
    <w:rsid w:val="00600094"/>
    <w:rsid w:val="006000B6"/>
    <w:rsid w:val="006006D3"/>
    <w:rsid w:val="00600B0B"/>
    <w:rsid w:val="00600BC3"/>
    <w:rsid w:val="006017E3"/>
    <w:rsid w:val="00601E05"/>
    <w:rsid w:val="00602778"/>
    <w:rsid w:val="00602DE7"/>
    <w:rsid w:val="00603456"/>
    <w:rsid w:val="006035B0"/>
    <w:rsid w:val="0060414C"/>
    <w:rsid w:val="00604DE9"/>
    <w:rsid w:val="00605434"/>
    <w:rsid w:val="00605ECB"/>
    <w:rsid w:val="00606B60"/>
    <w:rsid w:val="00607129"/>
    <w:rsid w:val="00607960"/>
    <w:rsid w:val="00607C4B"/>
    <w:rsid w:val="00607F6D"/>
    <w:rsid w:val="006108E8"/>
    <w:rsid w:val="006109F5"/>
    <w:rsid w:val="00610F01"/>
    <w:rsid w:val="0061170A"/>
    <w:rsid w:val="006117DB"/>
    <w:rsid w:val="00611A93"/>
    <w:rsid w:val="006128AA"/>
    <w:rsid w:val="006130A1"/>
    <w:rsid w:val="006133E4"/>
    <w:rsid w:val="006135E3"/>
    <w:rsid w:val="00613BC2"/>
    <w:rsid w:val="00613DE7"/>
    <w:rsid w:val="00614632"/>
    <w:rsid w:val="00614C7B"/>
    <w:rsid w:val="00614FA6"/>
    <w:rsid w:val="00615AA4"/>
    <w:rsid w:val="0061606A"/>
    <w:rsid w:val="00616FB9"/>
    <w:rsid w:val="0061784B"/>
    <w:rsid w:val="00620C2D"/>
    <w:rsid w:val="00621FAD"/>
    <w:rsid w:val="006227AD"/>
    <w:rsid w:val="00622B31"/>
    <w:rsid w:val="00624393"/>
    <w:rsid w:val="0062471A"/>
    <w:rsid w:val="006249BB"/>
    <w:rsid w:val="00625B32"/>
    <w:rsid w:val="006261A8"/>
    <w:rsid w:val="0062702D"/>
    <w:rsid w:val="006273F2"/>
    <w:rsid w:val="006301F4"/>
    <w:rsid w:val="006308CD"/>
    <w:rsid w:val="00630E64"/>
    <w:rsid w:val="006325E3"/>
    <w:rsid w:val="00632708"/>
    <w:rsid w:val="00632AED"/>
    <w:rsid w:val="0063363D"/>
    <w:rsid w:val="00633804"/>
    <w:rsid w:val="00633F61"/>
    <w:rsid w:val="00634E53"/>
    <w:rsid w:val="00635ABD"/>
    <w:rsid w:val="00635CAE"/>
    <w:rsid w:val="0063624C"/>
    <w:rsid w:val="0063645E"/>
    <w:rsid w:val="00637B67"/>
    <w:rsid w:val="006404F2"/>
    <w:rsid w:val="0064069A"/>
    <w:rsid w:val="00640AE6"/>
    <w:rsid w:val="0064104D"/>
    <w:rsid w:val="006421CD"/>
    <w:rsid w:val="00642C94"/>
    <w:rsid w:val="00643325"/>
    <w:rsid w:val="00643692"/>
    <w:rsid w:val="00644831"/>
    <w:rsid w:val="00644F6D"/>
    <w:rsid w:val="0064500E"/>
    <w:rsid w:val="00645C4C"/>
    <w:rsid w:val="00645D75"/>
    <w:rsid w:val="00646C06"/>
    <w:rsid w:val="0064716F"/>
    <w:rsid w:val="006477F4"/>
    <w:rsid w:val="00650E13"/>
    <w:rsid w:val="00650FD0"/>
    <w:rsid w:val="00651075"/>
    <w:rsid w:val="006512CE"/>
    <w:rsid w:val="00651893"/>
    <w:rsid w:val="00652554"/>
    <w:rsid w:val="00652B17"/>
    <w:rsid w:val="00653756"/>
    <w:rsid w:val="006538AB"/>
    <w:rsid w:val="006539EB"/>
    <w:rsid w:val="00654393"/>
    <w:rsid w:val="006547E6"/>
    <w:rsid w:val="00655233"/>
    <w:rsid w:val="006554FB"/>
    <w:rsid w:val="00655A56"/>
    <w:rsid w:val="00657D1D"/>
    <w:rsid w:val="00657DBD"/>
    <w:rsid w:val="006608F9"/>
    <w:rsid w:val="00660B2F"/>
    <w:rsid w:val="006623F2"/>
    <w:rsid w:val="00662ACC"/>
    <w:rsid w:val="00664920"/>
    <w:rsid w:val="00665C47"/>
    <w:rsid w:val="00665E22"/>
    <w:rsid w:val="006670D8"/>
    <w:rsid w:val="0067031E"/>
    <w:rsid w:val="00670336"/>
    <w:rsid w:val="00671B01"/>
    <w:rsid w:val="006728CE"/>
    <w:rsid w:val="006729A3"/>
    <w:rsid w:val="00672B7F"/>
    <w:rsid w:val="00672C4D"/>
    <w:rsid w:val="0067317F"/>
    <w:rsid w:val="006734FB"/>
    <w:rsid w:val="0067396E"/>
    <w:rsid w:val="00673A3B"/>
    <w:rsid w:val="00674B90"/>
    <w:rsid w:val="006755AD"/>
    <w:rsid w:val="00676216"/>
    <w:rsid w:val="00676DD3"/>
    <w:rsid w:val="00676EC2"/>
    <w:rsid w:val="00677263"/>
    <w:rsid w:val="0067787D"/>
    <w:rsid w:val="006778ED"/>
    <w:rsid w:val="00680117"/>
    <w:rsid w:val="00681324"/>
    <w:rsid w:val="00681D6A"/>
    <w:rsid w:val="006825BF"/>
    <w:rsid w:val="006830B1"/>
    <w:rsid w:val="0068342F"/>
    <w:rsid w:val="006855A1"/>
    <w:rsid w:val="00685773"/>
    <w:rsid w:val="0068640D"/>
    <w:rsid w:val="006865FE"/>
    <w:rsid w:val="0068711E"/>
    <w:rsid w:val="00687908"/>
    <w:rsid w:val="00687984"/>
    <w:rsid w:val="00687D0F"/>
    <w:rsid w:val="00687D4D"/>
    <w:rsid w:val="00687FF6"/>
    <w:rsid w:val="006928B8"/>
    <w:rsid w:val="00692CD2"/>
    <w:rsid w:val="00693C20"/>
    <w:rsid w:val="0069414B"/>
    <w:rsid w:val="00694C24"/>
    <w:rsid w:val="00694C50"/>
    <w:rsid w:val="006954FF"/>
    <w:rsid w:val="00695B96"/>
    <w:rsid w:val="00696A38"/>
    <w:rsid w:val="00696C61"/>
    <w:rsid w:val="0069704B"/>
    <w:rsid w:val="006971D5"/>
    <w:rsid w:val="00697CA5"/>
    <w:rsid w:val="006A028B"/>
    <w:rsid w:val="006A07AA"/>
    <w:rsid w:val="006A0B2C"/>
    <w:rsid w:val="006A17D5"/>
    <w:rsid w:val="006A3AB7"/>
    <w:rsid w:val="006A3E65"/>
    <w:rsid w:val="006A42B4"/>
    <w:rsid w:val="006A5B3D"/>
    <w:rsid w:val="006A5C51"/>
    <w:rsid w:val="006A5D06"/>
    <w:rsid w:val="006A5E1D"/>
    <w:rsid w:val="006A5FB7"/>
    <w:rsid w:val="006A6815"/>
    <w:rsid w:val="006A6A4B"/>
    <w:rsid w:val="006A6F6A"/>
    <w:rsid w:val="006A71FF"/>
    <w:rsid w:val="006A73B2"/>
    <w:rsid w:val="006A78C7"/>
    <w:rsid w:val="006A798F"/>
    <w:rsid w:val="006B0468"/>
    <w:rsid w:val="006B0587"/>
    <w:rsid w:val="006B07D6"/>
    <w:rsid w:val="006B1233"/>
    <w:rsid w:val="006B1719"/>
    <w:rsid w:val="006B19B2"/>
    <w:rsid w:val="006B2DE9"/>
    <w:rsid w:val="006B3A3C"/>
    <w:rsid w:val="006B3D18"/>
    <w:rsid w:val="006B43BF"/>
    <w:rsid w:val="006B64CE"/>
    <w:rsid w:val="006B6BFB"/>
    <w:rsid w:val="006B754D"/>
    <w:rsid w:val="006B7FBE"/>
    <w:rsid w:val="006C026E"/>
    <w:rsid w:val="006C11CB"/>
    <w:rsid w:val="006C17E1"/>
    <w:rsid w:val="006C1E72"/>
    <w:rsid w:val="006C31A2"/>
    <w:rsid w:val="006C325C"/>
    <w:rsid w:val="006C4B0B"/>
    <w:rsid w:val="006C5271"/>
    <w:rsid w:val="006C6C0A"/>
    <w:rsid w:val="006C726C"/>
    <w:rsid w:val="006D0190"/>
    <w:rsid w:val="006D0283"/>
    <w:rsid w:val="006D080A"/>
    <w:rsid w:val="006D0FC0"/>
    <w:rsid w:val="006D1A5A"/>
    <w:rsid w:val="006D1C23"/>
    <w:rsid w:val="006D22EC"/>
    <w:rsid w:val="006D331F"/>
    <w:rsid w:val="006D3715"/>
    <w:rsid w:val="006D3999"/>
    <w:rsid w:val="006D4B10"/>
    <w:rsid w:val="006D6A2E"/>
    <w:rsid w:val="006D6E46"/>
    <w:rsid w:val="006D714A"/>
    <w:rsid w:val="006D7604"/>
    <w:rsid w:val="006D7D35"/>
    <w:rsid w:val="006E00E3"/>
    <w:rsid w:val="006E034B"/>
    <w:rsid w:val="006E06EF"/>
    <w:rsid w:val="006E10E4"/>
    <w:rsid w:val="006E11B9"/>
    <w:rsid w:val="006E1252"/>
    <w:rsid w:val="006E1254"/>
    <w:rsid w:val="006E2489"/>
    <w:rsid w:val="006E283D"/>
    <w:rsid w:val="006E295E"/>
    <w:rsid w:val="006E4412"/>
    <w:rsid w:val="006E59A8"/>
    <w:rsid w:val="006E6483"/>
    <w:rsid w:val="006E6E91"/>
    <w:rsid w:val="006E72F6"/>
    <w:rsid w:val="006E73A1"/>
    <w:rsid w:val="006E7E05"/>
    <w:rsid w:val="006E7E9B"/>
    <w:rsid w:val="006F01A7"/>
    <w:rsid w:val="006F0589"/>
    <w:rsid w:val="006F2153"/>
    <w:rsid w:val="006F233F"/>
    <w:rsid w:val="006F341C"/>
    <w:rsid w:val="006F3A43"/>
    <w:rsid w:val="006F3F3A"/>
    <w:rsid w:val="006F4A9C"/>
    <w:rsid w:val="006F5676"/>
    <w:rsid w:val="006F5708"/>
    <w:rsid w:val="006F5A07"/>
    <w:rsid w:val="006F5FE9"/>
    <w:rsid w:val="006F60B0"/>
    <w:rsid w:val="006F7073"/>
    <w:rsid w:val="006F7B1B"/>
    <w:rsid w:val="006F7D6D"/>
    <w:rsid w:val="007006AF"/>
    <w:rsid w:val="00700D83"/>
    <w:rsid w:val="007015E8"/>
    <w:rsid w:val="00701BE4"/>
    <w:rsid w:val="0070242B"/>
    <w:rsid w:val="007025CB"/>
    <w:rsid w:val="00702A3A"/>
    <w:rsid w:val="00703136"/>
    <w:rsid w:val="00704850"/>
    <w:rsid w:val="00705044"/>
    <w:rsid w:val="00705B7E"/>
    <w:rsid w:val="00705C02"/>
    <w:rsid w:val="00705CF4"/>
    <w:rsid w:val="00705EDA"/>
    <w:rsid w:val="00706002"/>
    <w:rsid w:val="007060EC"/>
    <w:rsid w:val="0070671C"/>
    <w:rsid w:val="00706A75"/>
    <w:rsid w:val="007100EE"/>
    <w:rsid w:val="0071019A"/>
    <w:rsid w:val="0071082B"/>
    <w:rsid w:val="007108BF"/>
    <w:rsid w:val="00711500"/>
    <w:rsid w:val="0071190A"/>
    <w:rsid w:val="00711AAA"/>
    <w:rsid w:val="00712F03"/>
    <w:rsid w:val="00714067"/>
    <w:rsid w:val="00714536"/>
    <w:rsid w:val="00714802"/>
    <w:rsid w:val="00714962"/>
    <w:rsid w:val="00714A3B"/>
    <w:rsid w:val="00714E50"/>
    <w:rsid w:val="007155A8"/>
    <w:rsid w:val="00715FA0"/>
    <w:rsid w:val="0071608A"/>
    <w:rsid w:val="007164D8"/>
    <w:rsid w:val="00716BAF"/>
    <w:rsid w:val="00720152"/>
    <w:rsid w:val="007206C2"/>
    <w:rsid w:val="007207E3"/>
    <w:rsid w:val="00721903"/>
    <w:rsid w:val="00721B9E"/>
    <w:rsid w:val="00721D6B"/>
    <w:rsid w:val="00722646"/>
    <w:rsid w:val="0072285F"/>
    <w:rsid w:val="007229BE"/>
    <w:rsid w:val="00722B69"/>
    <w:rsid w:val="00722BAF"/>
    <w:rsid w:val="00722DE5"/>
    <w:rsid w:val="00722E5D"/>
    <w:rsid w:val="007234C9"/>
    <w:rsid w:val="00724D5E"/>
    <w:rsid w:val="0072534A"/>
    <w:rsid w:val="007256F9"/>
    <w:rsid w:val="00726154"/>
    <w:rsid w:val="00726549"/>
    <w:rsid w:val="00726595"/>
    <w:rsid w:val="00726C56"/>
    <w:rsid w:val="00726CF7"/>
    <w:rsid w:val="00727DE2"/>
    <w:rsid w:val="00727F24"/>
    <w:rsid w:val="00730E86"/>
    <w:rsid w:val="00731AFD"/>
    <w:rsid w:val="00731E63"/>
    <w:rsid w:val="00732949"/>
    <w:rsid w:val="00732BDA"/>
    <w:rsid w:val="00732DA0"/>
    <w:rsid w:val="007334CD"/>
    <w:rsid w:val="00733560"/>
    <w:rsid w:val="007336E7"/>
    <w:rsid w:val="00733AE2"/>
    <w:rsid w:val="00733EA4"/>
    <w:rsid w:val="007340E1"/>
    <w:rsid w:val="007341F4"/>
    <w:rsid w:val="00734DA2"/>
    <w:rsid w:val="00735E39"/>
    <w:rsid w:val="00736773"/>
    <w:rsid w:val="00737215"/>
    <w:rsid w:val="00737857"/>
    <w:rsid w:val="00737AE3"/>
    <w:rsid w:val="0074035C"/>
    <w:rsid w:val="00740790"/>
    <w:rsid w:val="0074085E"/>
    <w:rsid w:val="00740918"/>
    <w:rsid w:val="00740EB1"/>
    <w:rsid w:val="007412CB"/>
    <w:rsid w:val="0074144D"/>
    <w:rsid w:val="00741FAE"/>
    <w:rsid w:val="007427C1"/>
    <w:rsid w:val="00742BD2"/>
    <w:rsid w:val="00743294"/>
    <w:rsid w:val="007478EE"/>
    <w:rsid w:val="00747AB8"/>
    <w:rsid w:val="007503B4"/>
    <w:rsid w:val="0075086B"/>
    <w:rsid w:val="00750A06"/>
    <w:rsid w:val="00750FAE"/>
    <w:rsid w:val="00751C99"/>
    <w:rsid w:val="0075237E"/>
    <w:rsid w:val="00752A9F"/>
    <w:rsid w:val="007531C3"/>
    <w:rsid w:val="00753D3E"/>
    <w:rsid w:val="00753E17"/>
    <w:rsid w:val="00754D54"/>
    <w:rsid w:val="00755675"/>
    <w:rsid w:val="00755B59"/>
    <w:rsid w:val="00756D27"/>
    <w:rsid w:val="00756F20"/>
    <w:rsid w:val="007574D0"/>
    <w:rsid w:val="00757B2C"/>
    <w:rsid w:val="007604FD"/>
    <w:rsid w:val="00760882"/>
    <w:rsid w:val="00760F43"/>
    <w:rsid w:val="00761952"/>
    <w:rsid w:val="00763E7D"/>
    <w:rsid w:val="00763EB0"/>
    <w:rsid w:val="00764625"/>
    <w:rsid w:val="00764EB4"/>
    <w:rsid w:val="0076506A"/>
    <w:rsid w:val="00765191"/>
    <w:rsid w:val="007653C0"/>
    <w:rsid w:val="007655F3"/>
    <w:rsid w:val="00765B29"/>
    <w:rsid w:val="00765E14"/>
    <w:rsid w:val="00766959"/>
    <w:rsid w:val="00766CCC"/>
    <w:rsid w:val="00767A96"/>
    <w:rsid w:val="00767B72"/>
    <w:rsid w:val="007707E2"/>
    <w:rsid w:val="00770860"/>
    <w:rsid w:val="00771688"/>
    <w:rsid w:val="00771D6F"/>
    <w:rsid w:val="007743CD"/>
    <w:rsid w:val="00775038"/>
    <w:rsid w:val="00775A55"/>
    <w:rsid w:val="00775A9E"/>
    <w:rsid w:val="00777215"/>
    <w:rsid w:val="00777A37"/>
    <w:rsid w:val="00777F5C"/>
    <w:rsid w:val="00777FB7"/>
    <w:rsid w:val="00779BA0"/>
    <w:rsid w:val="007808A6"/>
    <w:rsid w:val="00780C9D"/>
    <w:rsid w:val="00781320"/>
    <w:rsid w:val="00781FDE"/>
    <w:rsid w:val="00782154"/>
    <w:rsid w:val="00782911"/>
    <w:rsid w:val="00782E31"/>
    <w:rsid w:val="00783334"/>
    <w:rsid w:val="00783799"/>
    <w:rsid w:val="007843E6"/>
    <w:rsid w:val="0078448F"/>
    <w:rsid w:val="007846C6"/>
    <w:rsid w:val="00784AFA"/>
    <w:rsid w:val="00785313"/>
    <w:rsid w:val="00787692"/>
    <w:rsid w:val="00790045"/>
    <w:rsid w:val="00790381"/>
    <w:rsid w:val="00792A38"/>
    <w:rsid w:val="007933B1"/>
    <w:rsid w:val="00797E49"/>
    <w:rsid w:val="007A0048"/>
    <w:rsid w:val="007A0F91"/>
    <w:rsid w:val="007A1B60"/>
    <w:rsid w:val="007A1B79"/>
    <w:rsid w:val="007A1CCC"/>
    <w:rsid w:val="007A2508"/>
    <w:rsid w:val="007A2789"/>
    <w:rsid w:val="007A3A05"/>
    <w:rsid w:val="007A41F7"/>
    <w:rsid w:val="007A4C6C"/>
    <w:rsid w:val="007A5FF9"/>
    <w:rsid w:val="007A6712"/>
    <w:rsid w:val="007A7729"/>
    <w:rsid w:val="007B0043"/>
    <w:rsid w:val="007B07D9"/>
    <w:rsid w:val="007B11F5"/>
    <w:rsid w:val="007B1401"/>
    <w:rsid w:val="007B149F"/>
    <w:rsid w:val="007B1D2F"/>
    <w:rsid w:val="007B1F40"/>
    <w:rsid w:val="007B20B2"/>
    <w:rsid w:val="007B2274"/>
    <w:rsid w:val="007B2A7A"/>
    <w:rsid w:val="007B2AAC"/>
    <w:rsid w:val="007B2BF3"/>
    <w:rsid w:val="007B2F9F"/>
    <w:rsid w:val="007B3053"/>
    <w:rsid w:val="007B35F1"/>
    <w:rsid w:val="007B3944"/>
    <w:rsid w:val="007B4341"/>
    <w:rsid w:val="007B4494"/>
    <w:rsid w:val="007B4997"/>
    <w:rsid w:val="007B4B46"/>
    <w:rsid w:val="007B51E4"/>
    <w:rsid w:val="007B5792"/>
    <w:rsid w:val="007B5D02"/>
    <w:rsid w:val="007B63DB"/>
    <w:rsid w:val="007B6B36"/>
    <w:rsid w:val="007B702C"/>
    <w:rsid w:val="007B772B"/>
    <w:rsid w:val="007C0086"/>
    <w:rsid w:val="007C0360"/>
    <w:rsid w:val="007C0602"/>
    <w:rsid w:val="007C0EBF"/>
    <w:rsid w:val="007C17DF"/>
    <w:rsid w:val="007C19BF"/>
    <w:rsid w:val="007C1C9C"/>
    <w:rsid w:val="007C20F3"/>
    <w:rsid w:val="007C2140"/>
    <w:rsid w:val="007C2D86"/>
    <w:rsid w:val="007C3F4B"/>
    <w:rsid w:val="007C4393"/>
    <w:rsid w:val="007C49E9"/>
    <w:rsid w:val="007C55DA"/>
    <w:rsid w:val="007C5EE2"/>
    <w:rsid w:val="007C627C"/>
    <w:rsid w:val="007C719F"/>
    <w:rsid w:val="007C7729"/>
    <w:rsid w:val="007C7D60"/>
    <w:rsid w:val="007D08F5"/>
    <w:rsid w:val="007D0EF7"/>
    <w:rsid w:val="007D1072"/>
    <w:rsid w:val="007D112A"/>
    <w:rsid w:val="007D1482"/>
    <w:rsid w:val="007D1D43"/>
    <w:rsid w:val="007D2298"/>
    <w:rsid w:val="007D23C7"/>
    <w:rsid w:val="007D24C5"/>
    <w:rsid w:val="007D3409"/>
    <w:rsid w:val="007D34CE"/>
    <w:rsid w:val="007D3878"/>
    <w:rsid w:val="007D3E64"/>
    <w:rsid w:val="007D4377"/>
    <w:rsid w:val="007D4877"/>
    <w:rsid w:val="007D4916"/>
    <w:rsid w:val="007D4946"/>
    <w:rsid w:val="007D4953"/>
    <w:rsid w:val="007D4AFE"/>
    <w:rsid w:val="007D4DAB"/>
    <w:rsid w:val="007D5983"/>
    <w:rsid w:val="007D5B2D"/>
    <w:rsid w:val="007D5DBB"/>
    <w:rsid w:val="007D68FA"/>
    <w:rsid w:val="007D6D43"/>
    <w:rsid w:val="007D70AD"/>
    <w:rsid w:val="007D761D"/>
    <w:rsid w:val="007D7897"/>
    <w:rsid w:val="007D7B8A"/>
    <w:rsid w:val="007E0D3B"/>
    <w:rsid w:val="007E1381"/>
    <w:rsid w:val="007E1C52"/>
    <w:rsid w:val="007E1EEC"/>
    <w:rsid w:val="007E239A"/>
    <w:rsid w:val="007E2735"/>
    <w:rsid w:val="007E331A"/>
    <w:rsid w:val="007E46E2"/>
    <w:rsid w:val="007E5176"/>
    <w:rsid w:val="007E5900"/>
    <w:rsid w:val="007E5A42"/>
    <w:rsid w:val="007E6438"/>
    <w:rsid w:val="007E66E5"/>
    <w:rsid w:val="007E7502"/>
    <w:rsid w:val="007E76A7"/>
    <w:rsid w:val="007E783D"/>
    <w:rsid w:val="007F0064"/>
    <w:rsid w:val="007F0C89"/>
    <w:rsid w:val="007F0E8F"/>
    <w:rsid w:val="007F1509"/>
    <w:rsid w:val="007F2425"/>
    <w:rsid w:val="007F2A22"/>
    <w:rsid w:val="007F2AAF"/>
    <w:rsid w:val="007F33AD"/>
    <w:rsid w:val="007F34CD"/>
    <w:rsid w:val="007F372A"/>
    <w:rsid w:val="007F4593"/>
    <w:rsid w:val="007F4B9A"/>
    <w:rsid w:val="007F4D0E"/>
    <w:rsid w:val="007F50C9"/>
    <w:rsid w:val="007F53E1"/>
    <w:rsid w:val="007F59FF"/>
    <w:rsid w:val="007F7153"/>
    <w:rsid w:val="007F71C8"/>
    <w:rsid w:val="007F76CD"/>
    <w:rsid w:val="00801E7E"/>
    <w:rsid w:val="00801EFF"/>
    <w:rsid w:val="008022A2"/>
    <w:rsid w:val="008035D4"/>
    <w:rsid w:val="00803A5C"/>
    <w:rsid w:val="0080413C"/>
    <w:rsid w:val="00804917"/>
    <w:rsid w:val="00804C7D"/>
    <w:rsid w:val="00804CB0"/>
    <w:rsid w:val="0080507C"/>
    <w:rsid w:val="00805814"/>
    <w:rsid w:val="0080632B"/>
    <w:rsid w:val="0080676A"/>
    <w:rsid w:val="008072AC"/>
    <w:rsid w:val="0081010B"/>
    <w:rsid w:val="00810979"/>
    <w:rsid w:val="00810F93"/>
    <w:rsid w:val="008111F2"/>
    <w:rsid w:val="00811EEA"/>
    <w:rsid w:val="00812152"/>
    <w:rsid w:val="008123A8"/>
    <w:rsid w:val="008126A3"/>
    <w:rsid w:val="008126C3"/>
    <w:rsid w:val="00812F76"/>
    <w:rsid w:val="00814182"/>
    <w:rsid w:val="00814197"/>
    <w:rsid w:val="00816655"/>
    <w:rsid w:val="00816D34"/>
    <w:rsid w:val="00816E57"/>
    <w:rsid w:val="008171F0"/>
    <w:rsid w:val="00817409"/>
    <w:rsid w:val="008176FE"/>
    <w:rsid w:val="00817BA4"/>
    <w:rsid w:val="00820374"/>
    <w:rsid w:val="00820DFA"/>
    <w:rsid w:val="00821146"/>
    <w:rsid w:val="00821BB8"/>
    <w:rsid w:val="00821E6B"/>
    <w:rsid w:val="00822017"/>
    <w:rsid w:val="008224B7"/>
    <w:rsid w:val="00822735"/>
    <w:rsid w:val="00822AF9"/>
    <w:rsid w:val="00822C9D"/>
    <w:rsid w:val="00823115"/>
    <w:rsid w:val="008232E0"/>
    <w:rsid w:val="00824565"/>
    <w:rsid w:val="0082479E"/>
    <w:rsid w:val="008252A4"/>
    <w:rsid w:val="008252C3"/>
    <w:rsid w:val="00826022"/>
    <w:rsid w:val="00826A7A"/>
    <w:rsid w:val="00826E83"/>
    <w:rsid w:val="00827885"/>
    <w:rsid w:val="00827B5D"/>
    <w:rsid w:val="00827E04"/>
    <w:rsid w:val="00830CBC"/>
    <w:rsid w:val="00830D21"/>
    <w:rsid w:val="00831E1D"/>
    <w:rsid w:val="00831E6F"/>
    <w:rsid w:val="00832220"/>
    <w:rsid w:val="00832633"/>
    <w:rsid w:val="0083322D"/>
    <w:rsid w:val="008334AD"/>
    <w:rsid w:val="00833D27"/>
    <w:rsid w:val="00833D2D"/>
    <w:rsid w:val="00833DBA"/>
    <w:rsid w:val="00834906"/>
    <w:rsid w:val="00834A0F"/>
    <w:rsid w:val="00835279"/>
    <w:rsid w:val="008355CB"/>
    <w:rsid w:val="00835D69"/>
    <w:rsid w:val="00835DCB"/>
    <w:rsid w:val="0083621A"/>
    <w:rsid w:val="0083638E"/>
    <w:rsid w:val="008364AA"/>
    <w:rsid w:val="008364F4"/>
    <w:rsid w:val="00836BEA"/>
    <w:rsid w:val="00836DF3"/>
    <w:rsid w:val="00836F9A"/>
    <w:rsid w:val="00837BE3"/>
    <w:rsid w:val="0084082A"/>
    <w:rsid w:val="0084094B"/>
    <w:rsid w:val="00841A77"/>
    <w:rsid w:val="00841F9F"/>
    <w:rsid w:val="008436D4"/>
    <w:rsid w:val="008438CA"/>
    <w:rsid w:val="00843CCB"/>
    <w:rsid w:val="00843D05"/>
    <w:rsid w:val="008443FA"/>
    <w:rsid w:val="008444C1"/>
    <w:rsid w:val="0084463C"/>
    <w:rsid w:val="00846A01"/>
    <w:rsid w:val="00846C8C"/>
    <w:rsid w:val="00847638"/>
    <w:rsid w:val="008477EC"/>
    <w:rsid w:val="00847B81"/>
    <w:rsid w:val="00847D2B"/>
    <w:rsid w:val="008500FA"/>
    <w:rsid w:val="00850467"/>
    <w:rsid w:val="00850752"/>
    <w:rsid w:val="00850A43"/>
    <w:rsid w:val="00850B70"/>
    <w:rsid w:val="00851046"/>
    <w:rsid w:val="008513E7"/>
    <w:rsid w:val="00851745"/>
    <w:rsid w:val="00851B1F"/>
    <w:rsid w:val="00852AF3"/>
    <w:rsid w:val="008532FC"/>
    <w:rsid w:val="00853345"/>
    <w:rsid w:val="00853F1A"/>
    <w:rsid w:val="00853FFF"/>
    <w:rsid w:val="00854286"/>
    <w:rsid w:val="00854BB9"/>
    <w:rsid w:val="00855627"/>
    <w:rsid w:val="00856C74"/>
    <w:rsid w:val="00857543"/>
    <w:rsid w:val="00857589"/>
    <w:rsid w:val="00860384"/>
    <w:rsid w:val="0086046E"/>
    <w:rsid w:val="008607F1"/>
    <w:rsid w:val="00860F10"/>
    <w:rsid w:val="00861450"/>
    <w:rsid w:val="008631F0"/>
    <w:rsid w:val="00863341"/>
    <w:rsid w:val="0086369D"/>
    <w:rsid w:val="00863705"/>
    <w:rsid w:val="0086422F"/>
    <w:rsid w:val="008654A4"/>
    <w:rsid w:val="00865785"/>
    <w:rsid w:val="00865794"/>
    <w:rsid w:val="008658E5"/>
    <w:rsid w:val="00865CEE"/>
    <w:rsid w:val="00865DBC"/>
    <w:rsid w:val="00866310"/>
    <w:rsid w:val="008667E9"/>
    <w:rsid w:val="0086697E"/>
    <w:rsid w:val="00866CD7"/>
    <w:rsid w:val="00866E0F"/>
    <w:rsid w:val="00866E31"/>
    <w:rsid w:val="00867D57"/>
    <w:rsid w:val="00870239"/>
    <w:rsid w:val="00870614"/>
    <w:rsid w:val="00870E9C"/>
    <w:rsid w:val="00871FBC"/>
    <w:rsid w:val="008732EA"/>
    <w:rsid w:val="00873827"/>
    <w:rsid w:val="00873B05"/>
    <w:rsid w:val="00873EC0"/>
    <w:rsid w:val="008742C1"/>
    <w:rsid w:val="008761F1"/>
    <w:rsid w:val="00876FD1"/>
    <w:rsid w:val="008774CB"/>
    <w:rsid w:val="008800DF"/>
    <w:rsid w:val="008800F6"/>
    <w:rsid w:val="00881AF7"/>
    <w:rsid w:val="00881C7C"/>
    <w:rsid w:val="008829B5"/>
    <w:rsid w:val="008829B7"/>
    <w:rsid w:val="008830C6"/>
    <w:rsid w:val="008837E8"/>
    <w:rsid w:val="00884104"/>
    <w:rsid w:val="00884984"/>
    <w:rsid w:val="008850E4"/>
    <w:rsid w:val="00885176"/>
    <w:rsid w:val="00886285"/>
    <w:rsid w:val="008864F2"/>
    <w:rsid w:val="00886901"/>
    <w:rsid w:val="00886A45"/>
    <w:rsid w:val="00887CA2"/>
    <w:rsid w:val="00891649"/>
    <w:rsid w:val="00891EB6"/>
    <w:rsid w:val="00892EEF"/>
    <w:rsid w:val="0089359D"/>
    <w:rsid w:val="00893E85"/>
    <w:rsid w:val="0089409A"/>
    <w:rsid w:val="00894E01"/>
    <w:rsid w:val="00894F08"/>
    <w:rsid w:val="00895BC4"/>
    <w:rsid w:val="00896727"/>
    <w:rsid w:val="008971EE"/>
    <w:rsid w:val="008A00FD"/>
    <w:rsid w:val="008A046D"/>
    <w:rsid w:val="008A1FE2"/>
    <w:rsid w:val="008A2874"/>
    <w:rsid w:val="008A2BE1"/>
    <w:rsid w:val="008A3325"/>
    <w:rsid w:val="008A3467"/>
    <w:rsid w:val="008A39D3"/>
    <w:rsid w:val="008A3F5B"/>
    <w:rsid w:val="008A443C"/>
    <w:rsid w:val="008A4DAD"/>
    <w:rsid w:val="008A6660"/>
    <w:rsid w:val="008A6A55"/>
    <w:rsid w:val="008A7ACA"/>
    <w:rsid w:val="008A7D0E"/>
    <w:rsid w:val="008A7E93"/>
    <w:rsid w:val="008B02C6"/>
    <w:rsid w:val="008B030F"/>
    <w:rsid w:val="008B0B6A"/>
    <w:rsid w:val="008B14A0"/>
    <w:rsid w:val="008B19CE"/>
    <w:rsid w:val="008B1F63"/>
    <w:rsid w:val="008B2423"/>
    <w:rsid w:val="008B2651"/>
    <w:rsid w:val="008B5AB2"/>
    <w:rsid w:val="008B6094"/>
    <w:rsid w:val="008B6C8B"/>
    <w:rsid w:val="008B78A2"/>
    <w:rsid w:val="008C0034"/>
    <w:rsid w:val="008C0F2F"/>
    <w:rsid w:val="008C1640"/>
    <w:rsid w:val="008C1795"/>
    <w:rsid w:val="008C186F"/>
    <w:rsid w:val="008C1F14"/>
    <w:rsid w:val="008C2B1A"/>
    <w:rsid w:val="008C2C03"/>
    <w:rsid w:val="008C30D8"/>
    <w:rsid w:val="008C38B1"/>
    <w:rsid w:val="008C3913"/>
    <w:rsid w:val="008C3E0E"/>
    <w:rsid w:val="008C47EF"/>
    <w:rsid w:val="008C4E5D"/>
    <w:rsid w:val="008C5CD9"/>
    <w:rsid w:val="008C6DE2"/>
    <w:rsid w:val="008D0257"/>
    <w:rsid w:val="008D0BE6"/>
    <w:rsid w:val="008D148A"/>
    <w:rsid w:val="008D148D"/>
    <w:rsid w:val="008D2071"/>
    <w:rsid w:val="008D4470"/>
    <w:rsid w:val="008D4D20"/>
    <w:rsid w:val="008D4E49"/>
    <w:rsid w:val="008D4F17"/>
    <w:rsid w:val="008D5315"/>
    <w:rsid w:val="008D6981"/>
    <w:rsid w:val="008D6F12"/>
    <w:rsid w:val="008D7228"/>
    <w:rsid w:val="008D72E8"/>
    <w:rsid w:val="008D7410"/>
    <w:rsid w:val="008D7787"/>
    <w:rsid w:val="008D7AC0"/>
    <w:rsid w:val="008D7CCF"/>
    <w:rsid w:val="008E0459"/>
    <w:rsid w:val="008E0C64"/>
    <w:rsid w:val="008E0CED"/>
    <w:rsid w:val="008E0DC9"/>
    <w:rsid w:val="008E0FBC"/>
    <w:rsid w:val="008E1242"/>
    <w:rsid w:val="008E1DCE"/>
    <w:rsid w:val="008E3118"/>
    <w:rsid w:val="008E365E"/>
    <w:rsid w:val="008E3904"/>
    <w:rsid w:val="008E3C40"/>
    <w:rsid w:val="008E3E48"/>
    <w:rsid w:val="008E4EC6"/>
    <w:rsid w:val="008E5FD7"/>
    <w:rsid w:val="008E629B"/>
    <w:rsid w:val="008E6C9B"/>
    <w:rsid w:val="008E6CCF"/>
    <w:rsid w:val="008E7E0A"/>
    <w:rsid w:val="008F0377"/>
    <w:rsid w:val="008F05EF"/>
    <w:rsid w:val="008F117E"/>
    <w:rsid w:val="008F1C47"/>
    <w:rsid w:val="008F2185"/>
    <w:rsid w:val="008F22D4"/>
    <w:rsid w:val="008F243B"/>
    <w:rsid w:val="008F3602"/>
    <w:rsid w:val="008F518A"/>
    <w:rsid w:val="008F6834"/>
    <w:rsid w:val="008F70E3"/>
    <w:rsid w:val="00900708"/>
    <w:rsid w:val="009008EF"/>
    <w:rsid w:val="00900E13"/>
    <w:rsid w:val="00902039"/>
    <w:rsid w:val="009024B0"/>
    <w:rsid w:val="00902CB1"/>
    <w:rsid w:val="00904543"/>
    <w:rsid w:val="009050AE"/>
    <w:rsid w:val="00905CA6"/>
    <w:rsid w:val="00906D64"/>
    <w:rsid w:val="00906F78"/>
    <w:rsid w:val="0090741F"/>
    <w:rsid w:val="00911531"/>
    <w:rsid w:val="00912AF4"/>
    <w:rsid w:val="00913870"/>
    <w:rsid w:val="0091422A"/>
    <w:rsid w:val="00914322"/>
    <w:rsid w:val="00914C81"/>
    <w:rsid w:val="00914E65"/>
    <w:rsid w:val="0091555F"/>
    <w:rsid w:val="00915A52"/>
    <w:rsid w:val="009160EC"/>
    <w:rsid w:val="00916DC2"/>
    <w:rsid w:val="00920C2F"/>
    <w:rsid w:val="00920F73"/>
    <w:rsid w:val="00921882"/>
    <w:rsid w:val="009228B7"/>
    <w:rsid w:val="009233E1"/>
    <w:rsid w:val="00923733"/>
    <w:rsid w:val="00923864"/>
    <w:rsid w:val="009242A1"/>
    <w:rsid w:val="00924EC8"/>
    <w:rsid w:val="00924FC0"/>
    <w:rsid w:val="00926E8B"/>
    <w:rsid w:val="00926F5D"/>
    <w:rsid w:val="00927692"/>
    <w:rsid w:val="00930569"/>
    <w:rsid w:val="00930822"/>
    <w:rsid w:val="00930ADC"/>
    <w:rsid w:val="00930DC0"/>
    <w:rsid w:val="009311B7"/>
    <w:rsid w:val="009313E2"/>
    <w:rsid w:val="00931804"/>
    <w:rsid w:val="0093185B"/>
    <w:rsid w:val="009321EF"/>
    <w:rsid w:val="009325D9"/>
    <w:rsid w:val="009326BF"/>
    <w:rsid w:val="0093281D"/>
    <w:rsid w:val="0093296E"/>
    <w:rsid w:val="00932A6C"/>
    <w:rsid w:val="00932EAF"/>
    <w:rsid w:val="009345D9"/>
    <w:rsid w:val="00934725"/>
    <w:rsid w:val="00934B78"/>
    <w:rsid w:val="00935926"/>
    <w:rsid w:val="00935BAC"/>
    <w:rsid w:val="00936156"/>
    <w:rsid w:val="009361FE"/>
    <w:rsid w:val="00936607"/>
    <w:rsid w:val="00937AD0"/>
    <w:rsid w:val="009407A5"/>
    <w:rsid w:val="009407F6"/>
    <w:rsid w:val="00940836"/>
    <w:rsid w:val="00941D75"/>
    <w:rsid w:val="009425CB"/>
    <w:rsid w:val="009428C7"/>
    <w:rsid w:val="0094297F"/>
    <w:rsid w:val="00942DB7"/>
    <w:rsid w:val="00943007"/>
    <w:rsid w:val="009438B1"/>
    <w:rsid w:val="00944DB2"/>
    <w:rsid w:val="00945433"/>
    <w:rsid w:val="00946120"/>
    <w:rsid w:val="009462FD"/>
    <w:rsid w:val="0094678A"/>
    <w:rsid w:val="00946985"/>
    <w:rsid w:val="00946E20"/>
    <w:rsid w:val="00946E26"/>
    <w:rsid w:val="009503AC"/>
    <w:rsid w:val="0095041C"/>
    <w:rsid w:val="00950677"/>
    <w:rsid w:val="00951A7F"/>
    <w:rsid w:val="0095225C"/>
    <w:rsid w:val="0095226B"/>
    <w:rsid w:val="00952AB1"/>
    <w:rsid w:val="00952C9E"/>
    <w:rsid w:val="00953068"/>
    <w:rsid w:val="00953427"/>
    <w:rsid w:val="00954B63"/>
    <w:rsid w:val="009553A2"/>
    <w:rsid w:val="00955D99"/>
    <w:rsid w:val="009565FF"/>
    <w:rsid w:val="00956A82"/>
    <w:rsid w:val="00957737"/>
    <w:rsid w:val="00960352"/>
    <w:rsid w:val="00960B48"/>
    <w:rsid w:val="00960E29"/>
    <w:rsid w:val="0096137B"/>
    <w:rsid w:val="00961931"/>
    <w:rsid w:val="00962297"/>
    <w:rsid w:val="00962301"/>
    <w:rsid w:val="00962AB2"/>
    <w:rsid w:val="00962C24"/>
    <w:rsid w:val="00962E1C"/>
    <w:rsid w:val="0096342B"/>
    <w:rsid w:val="009644C0"/>
    <w:rsid w:val="0096457C"/>
    <w:rsid w:val="00964631"/>
    <w:rsid w:val="00965625"/>
    <w:rsid w:val="00965C7C"/>
    <w:rsid w:val="00965CE9"/>
    <w:rsid w:val="00966637"/>
    <w:rsid w:val="00970195"/>
    <w:rsid w:val="0097028F"/>
    <w:rsid w:val="009702E2"/>
    <w:rsid w:val="0097081B"/>
    <w:rsid w:val="009712FC"/>
    <w:rsid w:val="00971356"/>
    <w:rsid w:val="00971AB2"/>
    <w:rsid w:val="00971F6C"/>
    <w:rsid w:val="00972209"/>
    <w:rsid w:val="009731CA"/>
    <w:rsid w:val="0097367F"/>
    <w:rsid w:val="0097368F"/>
    <w:rsid w:val="0097402C"/>
    <w:rsid w:val="00974149"/>
    <w:rsid w:val="00974A15"/>
    <w:rsid w:val="009757E2"/>
    <w:rsid w:val="00975DA0"/>
    <w:rsid w:val="009763D4"/>
    <w:rsid w:val="0097723A"/>
    <w:rsid w:val="00977845"/>
    <w:rsid w:val="00977D9D"/>
    <w:rsid w:val="009801F5"/>
    <w:rsid w:val="009802E0"/>
    <w:rsid w:val="00980F8C"/>
    <w:rsid w:val="00981316"/>
    <w:rsid w:val="00981FE5"/>
    <w:rsid w:val="00983260"/>
    <w:rsid w:val="00983988"/>
    <w:rsid w:val="00985664"/>
    <w:rsid w:val="009858CB"/>
    <w:rsid w:val="00985DF9"/>
    <w:rsid w:val="0098654F"/>
    <w:rsid w:val="009868CB"/>
    <w:rsid w:val="00987346"/>
    <w:rsid w:val="00987904"/>
    <w:rsid w:val="0099031C"/>
    <w:rsid w:val="009904DD"/>
    <w:rsid w:val="00992002"/>
    <w:rsid w:val="00992298"/>
    <w:rsid w:val="009926BB"/>
    <w:rsid w:val="009935A6"/>
    <w:rsid w:val="009939F4"/>
    <w:rsid w:val="0099404F"/>
    <w:rsid w:val="009940F2"/>
    <w:rsid w:val="0099436C"/>
    <w:rsid w:val="0099467F"/>
    <w:rsid w:val="00994DB1"/>
    <w:rsid w:val="00995DFE"/>
    <w:rsid w:val="00995F23"/>
    <w:rsid w:val="0099630E"/>
    <w:rsid w:val="0099635D"/>
    <w:rsid w:val="00997885"/>
    <w:rsid w:val="009A0387"/>
    <w:rsid w:val="009A0D3A"/>
    <w:rsid w:val="009A21F3"/>
    <w:rsid w:val="009A4CB5"/>
    <w:rsid w:val="009A4D2A"/>
    <w:rsid w:val="009A5F63"/>
    <w:rsid w:val="009A69A2"/>
    <w:rsid w:val="009A6C5A"/>
    <w:rsid w:val="009A7C46"/>
    <w:rsid w:val="009B0BEA"/>
    <w:rsid w:val="009B0CDA"/>
    <w:rsid w:val="009B0D67"/>
    <w:rsid w:val="009B17B4"/>
    <w:rsid w:val="009B1AE6"/>
    <w:rsid w:val="009B1CC9"/>
    <w:rsid w:val="009B1F56"/>
    <w:rsid w:val="009B24C0"/>
    <w:rsid w:val="009B25AE"/>
    <w:rsid w:val="009B359E"/>
    <w:rsid w:val="009B428C"/>
    <w:rsid w:val="009B4411"/>
    <w:rsid w:val="009B4DC0"/>
    <w:rsid w:val="009B52CB"/>
    <w:rsid w:val="009B5702"/>
    <w:rsid w:val="009B5758"/>
    <w:rsid w:val="009B599B"/>
    <w:rsid w:val="009B6074"/>
    <w:rsid w:val="009B6144"/>
    <w:rsid w:val="009B6B20"/>
    <w:rsid w:val="009B737A"/>
    <w:rsid w:val="009B7CFF"/>
    <w:rsid w:val="009C1175"/>
    <w:rsid w:val="009C11E5"/>
    <w:rsid w:val="009C1911"/>
    <w:rsid w:val="009C2F8F"/>
    <w:rsid w:val="009C3147"/>
    <w:rsid w:val="009C37D5"/>
    <w:rsid w:val="009C3805"/>
    <w:rsid w:val="009C3959"/>
    <w:rsid w:val="009C3BF1"/>
    <w:rsid w:val="009C4654"/>
    <w:rsid w:val="009C4F6D"/>
    <w:rsid w:val="009C6EEB"/>
    <w:rsid w:val="009C7E0B"/>
    <w:rsid w:val="009C7FA9"/>
    <w:rsid w:val="009D02B5"/>
    <w:rsid w:val="009D0C84"/>
    <w:rsid w:val="009D0CF0"/>
    <w:rsid w:val="009D2179"/>
    <w:rsid w:val="009D2A1D"/>
    <w:rsid w:val="009D377C"/>
    <w:rsid w:val="009D3C53"/>
    <w:rsid w:val="009D4133"/>
    <w:rsid w:val="009D44BB"/>
    <w:rsid w:val="009D4C97"/>
    <w:rsid w:val="009D515E"/>
    <w:rsid w:val="009D5610"/>
    <w:rsid w:val="009D5B3C"/>
    <w:rsid w:val="009D5CCE"/>
    <w:rsid w:val="009D685E"/>
    <w:rsid w:val="009D7302"/>
    <w:rsid w:val="009E08B5"/>
    <w:rsid w:val="009E0DDB"/>
    <w:rsid w:val="009E1ACA"/>
    <w:rsid w:val="009E1BD7"/>
    <w:rsid w:val="009E247B"/>
    <w:rsid w:val="009E368D"/>
    <w:rsid w:val="009E3FC1"/>
    <w:rsid w:val="009E4A92"/>
    <w:rsid w:val="009E60EE"/>
    <w:rsid w:val="009E7031"/>
    <w:rsid w:val="009F0663"/>
    <w:rsid w:val="009F1C1E"/>
    <w:rsid w:val="009F22A7"/>
    <w:rsid w:val="009F2FDD"/>
    <w:rsid w:val="009F360F"/>
    <w:rsid w:val="009F3E99"/>
    <w:rsid w:val="009F4CD2"/>
    <w:rsid w:val="009F4FF0"/>
    <w:rsid w:val="009F525A"/>
    <w:rsid w:val="009F56AA"/>
    <w:rsid w:val="009F574A"/>
    <w:rsid w:val="009F799D"/>
    <w:rsid w:val="009F7A56"/>
    <w:rsid w:val="00A0027E"/>
    <w:rsid w:val="00A00598"/>
    <w:rsid w:val="00A00DA7"/>
    <w:rsid w:val="00A01508"/>
    <w:rsid w:val="00A01974"/>
    <w:rsid w:val="00A01C97"/>
    <w:rsid w:val="00A01D7D"/>
    <w:rsid w:val="00A01EF2"/>
    <w:rsid w:val="00A02D5F"/>
    <w:rsid w:val="00A03E9F"/>
    <w:rsid w:val="00A057C3"/>
    <w:rsid w:val="00A05892"/>
    <w:rsid w:val="00A05E2A"/>
    <w:rsid w:val="00A064A8"/>
    <w:rsid w:val="00A06D28"/>
    <w:rsid w:val="00A116BF"/>
    <w:rsid w:val="00A117CE"/>
    <w:rsid w:val="00A12509"/>
    <w:rsid w:val="00A12C9B"/>
    <w:rsid w:val="00A130F6"/>
    <w:rsid w:val="00A13DA4"/>
    <w:rsid w:val="00A13F07"/>
    <w:rsid w:val="00A14734"/>
    <w:rsid w:val="00A1580D"/>
    <w:rsid w:val="00A15FE1"/>
    <w:rsid w:val="00A16C7C"/>
    <w:rsid w:val="00A16E21"/>
    <w:rsid w:val="00A16EF4"/>
    <w:rsid w:val="00A17541"/>
    <w:rsid w:val="00A1781E"/>
    <w:rsid w:val="00A17DBE"/>
    <w:rsid w:val="00A20258"/>
    <w:rsid w:val="00A20353"/>
    <w:rsid w:val="00A20B1A"/>
    <w:rsid w:val="00A21521"/>
    <w:rsid w:val="00A21E86"/>
    <w:rsid w:val="00A21FAD"/>
    <w:rsid w:val="00A2282A"/>
    <w:rsid w:val="00A22A40"/>
    <w:rsid w:val="00A22B28"/>
    <w:rsid w:val="00A234CD"/>
    <w:rsid w:val="00A237B9"/>
    <w:rsid w:val="00A24B9F"/>
    <w:rsid w:val="00A24C05"/>
    <w:rsid w:val="00A26768"/>
    <w:rsid w:val="00A30054"/>
    <w:rsid w:val="00A300AA"/>
    <w:rsid w:val="00A30386"/>
    <w:rsid w:val="00A303CC"/>
    <w:rsid w:val="00A30DB6"/>
    <w:rsid w:val="00A31E52"/>
    <w:rsid w:val="00A32382"/>
    <w:rsid w:val="00A32657"/>
    <w:rsid w:val="00A327C7"/>
    <w:rsid w:val="00A328D4"/>
    <w:rsid w:val="00A333A8"/>
    <w:rsid w:val="00A33EAF"/>
    <w:rsid w:val="00A35295"/>
    <w:rsid w:val="00A355EB"/>
    <w:rsid w:val="00A3593F"/>
    <w:rsid w:val="00A35EBE"/>
    <w:rsid w:val="00A36B44"/>
    <w:rsid w:val="00A37128"/>
    <w:rsid w:val="00A3720D"/>
    <w:rsid w:val="00A37648"/>
    <w:rsid w:val="00A377B4"/>
    <w:rsid w:val="00A3783C"/>
    <w:rsid w:val="00A37B82"/>
    <w:rsid w:val="00A37CFC"/>
    <w:rsid w:val="00A4041C"/>
    <w:rsid w:val="00A416AD"/>
    <w:rsid w:val="00A41F24"/>
    <w:rsid w:val="00A4217E"/>
    <w:rsid w:val="00A42579"/>
    <w:rsid w:val="00A431B8"/>
    <w:rsid w:val="00A437E0"/>
    <w:rsid w:val="00A43B7B"/>
    <w:rsid w:val="00A44024"/>
    <w:rsid w:val="00A441B8"/>
    <w:rsid w:val="00A443AC"/>
    <w:rsid w:val="00A44937"/>
    <w:rsid w:val="00A454DD"/>
    <w:rsid w:val="00A460F3"/>
    <w:rsid w:val="00A4667D"/>
    <w:rsid w:val="00A46CDF"/>
    <w:rsid w:val="00A47206"/>
    <w:rsid w:val="00A47581"/>
    <w:rsid w:val="00A47698"/>
    <w:rsid w:val="00A47A8A"/>
    <w:rsid w:val="00A505FC"/>
    <w:rsid w:val="00A50A70"/>
    <w:rsid w:val="00A50C5D"/>
    <w:rsid w:val="00A51283"/>
    <w:rsid w:val="00A5140D"/>
    <w:rsid w:val="00A51F5E"/>
    <w:rsid w:val="00A5212A"/>
    <w:rsid w:val="00A5254A"/>
    <w:rsid w:val="00A53166"/>
    <w:rsid w:val="00A5403E"/>
    <w:rsid w:val="00A542C2"/>
    <w:rsid w:val="00A5466D"/>
    <w:rsid w:val="00A55101"/>
    <w:rsid w:val="00A558A2"/>
    <w:rsid w:val="00A56266"/>
    <w:rsid w:val="00A56BDE"/>
    <w:rsid w:val="00A56F64"/>
    <w:rsid w:val="00A61894"/>
    <w:rsid w:val="00A62C53"/>
    <w:rsid w:val="00A63ED4"/>
    <w:rsid w:val="00A64838"/>
    <w:rsid w:val="00A66141"/>
    <w:rsid w:val="00A662D1"/>
    <w:rsid w:val="00A66E1E"/>
    <w:rsid w:val="00A67484"/>
    <w:rsid w:val="00A7060D"/>
    <w:rsid w:val="00A71220"/>
    <w:rsid w:val="00A716C4"/>
    <w:rsid w:val="00A740A0"/>
    <w:rsid w:val="00A741EE"/>
    <w:rsid w:val="00A7449B"/>
    <w:rsid w:val="00A744FC"/>
    <w:rsid w:val="00A74F71"/>
    <w:rsid w:val="00A7649B"/>
    <w:rsid w:val="00A76A4F"/>
    <w:rsid w:val="00A77082"/>
    <w:rsid w:val="00A77B66"/>
    <w:rsid w:val="00A77CEF"/>
    <w:rsid w:val="00A819EC"/>
    <w:rsid w:val="00A8286B"/>
    <w:rsid w:val="00A837BE"/>
    <w:rsid w:val="00A83880"/>
    <w:rsid w:val="00A843EE"/>
    <w:rsid w:val="00A84895"/>
    <w:rsid w:val="00A85074"/>
    <w:rsid w:val="00A85863"/>
    <w:rsid w:val="00A85D66"/>
    <w:rsid w:val="00A8638B"/>
    <w:rsid w:val="00A8638D"/>
    <w:rsid w:val="00A86E37"/>
    <w:rsid w:val="00A874C1"/>
    <w:rsid w:val="00A879D2"/>
    <w:rsid w:val="00A87B5B"/>
    <w:rsid w:val="00A87FA8"/>
    <w:rsid w:val="00A907C4"/>
    <w:rsid w:val="00A9135E"/>
    <w:rsid w:val="00A91734"/>
    <w:rsid w:val="00A92BA3"/>
    <w:rsid w:val="00A92FA9"/>
    <w:rsid w:val="00A93194"/>
    <w:rsid w:val="00A934EB"/>
    <w:rsid w:val="00A93B6F"/>
    <w:rsid w:val="00A93EB7"/>
    <w:rsid w:val="00A94AB2"/>
    <w:rsid w:val="00A95135"/>
    <w:rsid w:val="00A96839"/>
    <w:rsid w:val="00A96880"/>
    <w:rsid w:val="00A96FC2"/>
    <w:rsid w:val="00A9737D"/>
    <w:rsid w:val="00AA0A6B"/>
    <w:rsid w:val="00AA0ED9"/>
    <w:rsid w:val="00AA1059"/>
    <w:rsid w:val="00AA1208"/>
    <w:rsid w:val="00AA207A"/>
    <w:rsid w:val="00AA2DDF"/>
    <w:rsid w:val="00AA3419"/>
    <w:rsid w:val="00AA3A9F"/>
    <w:rsid w:val="00AA3C7C"/>
    <w:rsid w:val="00AA419D"/>
    <w:rsid w:val="00AA4874"/>
    <w:rsid w:val="00AA5398"/>
    <w:rsid w:val="00AA55FD"/>
    <w:rsid w:val="00AA5F34"/>
    <w:rsid w:val="00AA6071"/>
    <w:rsid w:val="00AA72FE"/>
    <w:rsid w:val="00AB0453"/>
    <w:rsid w:val="00AB0A53"/>
    <w:rsid w:val="00AB0E3C"/>
    <w:rsid w:val="00AB2717"/>
    <w:rsid w:val="00AB28D0"/>
    <w:rsid w:val="00AB2F04"/>
    <w:rsid w:val="00AB3A8F"/>
    <w:rsid w:val="00AB45CB"/>
    <w:rsid w:val="00AB54F0"/>
    <w:rsid w:val="00AB5838"/>
    <w:rsid w:val="00AB602C"/>
    <w:rsid w:val="00AB6824"/>
    <w:rsid w:val="00AB6C83"/>
    <w:rsid w:val="00AB718C"/>
    <w:rsid w:val="00AB7CBA"/>
    <w:rsid w:val="00AB7F58"/>
    <w:rsid w:val="00AC1AD4"/>
    <w:rsid w:val="00AC1C47"/>
    <w:rsid w:val="00AC280B"/>
    <w:rsid w:val="00AC2830"/>
    <w:rsid w:val="00AC29AF"/>
    <w:rsid w:val="00AC2E55"/>
    <w:rsid w:val="00AC2F4B"/>
    <w:rsid w:val="00AC31C3"/>
    <w:rsid w:val="00AC327A"/>
    <w:rsid w:val="00AC350C"/>
    <w:rsid w:val="00AC3BFE"/>
    <w:rsid w:val="00AC493B"/>
    <w:rsid w:val="00AC51DE"/>
    <w:rsid w:val="00AC5EA1"/>
    <w:rsid w:val="00AC729F"/>
    <w:rsid w:val="00AC789E"/>
    <w:rsid w:val="00AC7DF7"/>
    <w:rsid w:val="00AD015C"/>
    <w:rsid w:val="00AD0FAF"/>
    <w:rsid w:val="00AD1343"/>
    <w:rsid w:val="00AD1680"/>
    <w:rsid w:val="00AD1CBF"/>
    <w:rsid w:val="00AD200E"/>
    <w:rsid w:val="00AD2DF8"/>
    <w:rsid w:val="00AD320A"/>
    <w:rsid w:val="00AD3B22"/>
    <w:rsid w:val="00AD3BE7"/>
    <w:rsid w:val="00AD50A8"/>
    <w:rsid w:val="00AD5BE3"/>
    <w:rsid w:val="00AD69D7"/>
    <w:rsid w:val="00AD7102"/>
    <w:rsid w:val="00AD74FD"/>
    <w:rsid w:val="00AD75C4"/>
    <w:rsid w:val="00AD7B1E"/>
    <w:rsid w:val="00AD7B23"/>
    <w:rsid w:val="00AE0774"/>
    <w:rsid w:val="00AE108B"/>
    <w:rsid w:val="00AE1600"/>
    <w:rsid w:val="00AE262A"/>
    <w:rsid w:val="00AE262B"/>
    <w:rsid w:val="00AE2C70"/>
    <w:rsid w:val="00AE3038"/>
    <w:rsid w:val="00AE3B2B"/>
    <w:rsid w:val="00AE3C20"/>
    <w:rsid w:val="00AE40EE"/>
    <w:rsid w:val="00AE4165"/>
    <w:rsid w:val="00AE481A"/>
    <w:rsid w:val="00AE4B73"/>
    <w:rsid w:val="00AE546A"/>
    <w:rsid w:val="00AE57FB"/>
    <w:rsid w:val="00AE5FB3"/>
    <w:rsid w:val="00AE6D48"/>
    <w:rsid w:val="00AE72AA"/>
    <w:rsid w:val="00AF0207"/>
    <w:rsid w:val="00AF0274"/>
    <w:rsid w:val="00AF1755"/>
    <w:rsid w:val="00AF1787"/>
    <w:rsid w:val="00AF1BC0"/>
    <w:rsid w:val="00AF2132"/>
    <w:rsid w:val="00AF223F"/>
    <w:rsid w:val="00AF2C05"/>
    <w:rsid w:val="00AF2DAA"/>
    <w:rsid w:val="00AF303A"/>
    <w:rsid w:val="00AF39E0"/>
    <w:rsid w:val="00AF3B22"/>
    <w:rsid w:val="00AF3F7D"/>
    <w:rsid w:val="00AF414C"/>
    <w:rsid w:val="00AF422A"/>
    <w:rsid w:val="00AF4629"/>
    <w:rsid w:val="00AF4926"/>
    <w:rsid w:val="00AF4E21"/>
    <w:rsid w:val="00AF50F4"/>
    <w:rsid w:val="00AF5F07"/>
    <w:rsid w:val="00AF5F7B"/>
    <w:rsid w:val="00AF6333"/>
    <w:rsid w:val="00AF69CA"/>
    <w:rsid w:val="00AF6A2F"/>
    <w:rsid w:val="00AF72DF"/>
    <w:rsid w:val="00B00F05"/>
    <w:rsid w:val="00B01A9B"/>
    <w:rsid w:val="00B01CA7"/>
    <w:rsid w:val="00B02117"/>
    <w:rsid w:val="00B02171"/>
    <w:rsid w:val="00B022C8"/>
    <w:rsid w:val="00B02BD1"/>
    <w:rsid w:val="00B02E7A"/>
    <w:rsid w:val="00B02E86"/>
    <w:rsid w:val="00B03011"/>
    <w:rsid w:val="00B031F9"/>
    <w:rsid w:val="00B03E3D"/>
    <w:rsid w:val="00B04111"/>
    <w:rsid w:val="00B045CA"/>
    <w:rsid w:val="00B04E5D"/>
    <w:rsid w:val="00B05373"/>
    <w:rsid w:val="00B05490"/>
    <w:rsid w:val="00B069B6"/>
    <w:rsid w:val="00B07409"/>
    <w:rsid w:val="00B0749D"/>
    <w:rsid w:val="00B079AD"/>
    <w:rsid w:val="00B07AF9"/>
    <w:rsid w:val="00B07D51"/>
    <w:rsid w:val="00B07F60"/>
    <w:rsid w:val="00B10915"/>
    <w:rsid w:val="00B1101E"/>
    <w:rsid w:val="00B13604"/>
    <w:rsid w:val="00B15F22"/>
    <w:rsid w:val="00B160C9"/>
    <w:rsid w:val="00B161D5"/>
    <w:rsid w:val="00B16577"/>
    <w:rsid w:val="00B16CA3"/>
    <w:rsid w:val="00B173C9"/>
    <w:rsid w:val="00B177DB"/>
    <w:rsid w:val="00B17A14"/>
    <w:rsid w:val="00B17CC1"/>
    <w:rsid w:val="00B17F65"/>
    <w:rsid w:val="00B209FD"/>
    <w:rsid w:val="00B20C44"/>
    <w:rsid w:val="00B21195"/>
    <w:rsid w:val="00B212E7"/>
    <w:rsid w:val="00B21355"/>
    <w:rsid w:val="00B22532"/>
    <w:rsid w:val="00B23920"/>
    <w:rsid w:val="00B2434F"/>
    <w:rsid w:val="00B247A9"/>
    <w:rsid w:val="00B24C3F"/>
    <w:rsid w:val="00B24D90"/>
    <w:rsid w:val="00B25BAB"/>
    <w:rsid w:val="00B25DC7"/>
    <w:rsid w:val="00B25EC3"/>
    <w:rsid w:val="00B26061"/>
    <w:rsid w:val="00B2667D"/>
    <w:rsid w:val="00B26836"/>
    <w:rsid w:val="00B26D7F"/>
    <w:rsid w:val="00B27B30"/>
    <w:rsid w:val="00B27E97"/>
    <w:rsid w:val="00B301E4"/>
    <w:rsid w:val="00B30AF7"/>
    <w:rsid w:val="00B31CCA"/>
    <w:rsid w:val="00B3267C"/>
    <w:rsid w:val="00B326FE"/>
    <w:rsid w:val="00B329F9"/>
    <w:rsid w:val="00B32B4C"/>
    <w:rsid w:val="00B33408"/>
    <w:rsid w:val="00B33581"/>
    <w:rsid w:val="00B33DF2"/>
    <w:rsid w:val="00B34472"/>
    <w:rsid w:val="00B350E7"/>
    <w:rsid w:val="00B351B6"/>
    <w:rsid w:val="00B359DD"/>
    <w:rsid w:val="00B35CAF"/>
    <w:rsid w:val="00B36AED"/>
    <w:rsid w:val="00B37C78"/>
    <w:rsid w:val="00B37FD8"/>
    <w:rsid w:val="00B40454"/>
    <w:rsid w:val="00B406FD"/>
    <w:rsid w:val="00B40831"/>
    <w:rsid w:val="00B408BE"/>
    <w:rsid w:val="00B40AB7"/>
    <w:rsid w:val="00B40E17"/>
    <w:rsid w:val="00B40E4B"/>
    <w:rsid w:val="00B41072"/>
    <w:rsid w:val="00B413DB"/>
    <w:rsid w:val="00B41F33"/>
    <w:rsid w:val="00B42401"/>
    <w:rsid w:val="00B427D0"/>
    <w:rsid w:val="00B43ACB"/>
    <w:rsid w:val="00B44A8D"/>
    <w:rsid w:val="00B44DDF"/>
    <w:rsid w:val="00B44E6D"/>
    <w:rsid w:val="00B45A1F"/>
    <w:rsid w:val="00B46769"/>
    <w:rsid w:val="00B46FF7"/>
    <w:rsid w:val="00B50559"/>
    <w:rsid w:val="00B51FED"/>
    <w:rsid w:val="00B52775"/>
    <w:rsid w:val="00B52B52"/>
    <w:rsid w:val="00B52D72"/>
    <w:rsid w:val="00B52E65"/>
    <w:rsid w:val="00B52F06"/>
    <w:rsid w:val="00B53B25"/>
    <w:rsid w:val="00B542CA"/>
    <w:rsid w:val="00B54926"/>
    <w:rsid w:val="00B54DC7"/>
    <w:rsid w:val="00B54E8C"/>
    <w:rsid w:val="00B55556"/>
    <w:rsid w:val="00B5662F"/>
    <w:rsid w:val="00B56AD8"/>
    <w:rsid w:val="00B56D46"/>
    <w:rsid w:val="00B5725F"/>
    <w:rsid w:val="00B576CB"/>
    <w:rsid w:val="00B6055C"/>
    <w:rsid w:val="00B60965"/>
    <w:rsid w:val="00B60D1F"/>
    <w:rsid w:val="00B618B3"/>
    <w:rsid w:val="00B629DE"/>
    <w:rsid w:val="00B63D6A"/>
    <w:rsid w:val="00B641A7"/>
    <w:rsid w:val="00B645C6"/>
    <w:rsid w:val="00B65886"/>
    <w:rsid w:val="00B7156F"/>
    <w:rsid w:val="00B720F7"/>
    <w:rsid w:val="00B7252E"/>
    <w:rsid w:val="00B7271B"/>
    <w:rsid w:val="00B72B88"/>
    <w:rsid w:val="00B73386"/>
    <w:rsid w:val="00B739B5"/>
    <w:rsid w:val="00B73A7F"/>
    <w:rsid w:val="00B7475C"/>
    <w:rsid w:val="00B74BC0"/>
    <w:rsid w:val="00B74C70"/>
    <w:rsid w:val="00B74DEE"/>
    <w:rsid w:val="00B75096"/>
    <w:rsid w:val="00B75EA9"/>
    <w:rsid w:val="00B75F46"/>
    <w:rsid w:val="00B76C1B"/>
    <w:rsid w:val="00B772CB"/>
    <w:rsid w:val="00B77B25"/>
    <w:rsid w:val="00B77E45"/>
    <w:rsid w:val="00B80544"/>
    <w:rsid w:val="00B806EF"/>
    <w:rsid w:val="00B80E18"/>
    <w:rsid w:val="00B81804"/>
    <w:rsid w:val="00B81E4B"/>
    <w:rsid w:val="00B836CB"/>
    <w:rsid w:val="00B837D0"/>
    <w:rsid w:val="00B848A3"/>
    <w:rsid w:val="00B84B8E"/>
    <w:rsid w:val="00B84D2D"/>
    <w:rsid w:val="00B84E13"/>
    <w:rsid w:val="00B85F38"/>
    <w:rsid w:val="00B860FC"/>
    <w:rsid w:val="00B86275"/>
    <w:rsid w:val="00B86346"/>
    <w:rsid w:val="00B86AA6"/>
    <w:rsid w:val="00B8732B"/>
    <w:rsid w:val="00B876CD"/>
    <w:rsid w:val="00B8796A"/>
    <w:rsid w:val="00B9072D"/>
    <w:rsid w:val="00B907FC"/>
    <w:rsid w:val="00B91071"/>
    <w:rsid w:val="00B91A08"/>
    <w:rsid w:val="00B921E7"/>
    <w:rsid w:val="00B93357"/>
    <w:rsid w:val="00B93C79"/>
    <w:rsid w:val="00B9412E"/>
    <w:rsid w:val="00B9413C"/>
    <w:rsid w:val="00B94369"/>
    <w:rsid w:val="00B944D3"/>
    <w:rsid w:val="00B9483E"/>
    <w:rsid w:val="00B95078"/>
    <w:rsid w:val="00B9518B"/>
    <w:rsid w:val="00B95CFE"/>
    <w:rsid w:val="00B95E19"/>
    <w:rsid w:val="00B9616B"/>
    <w:rsid w:val="00B969B1"/>
    <w:rsid w:val="00B96AFC"/>
    <w:rsid w:val="00B96CBF"/>
    <w:rsid w:val="00B97732"/>
    <w:rsid w:val="00BA0934"/>
    <w:rsid w:val="00BA14E8"/>
    <w:rsid w:val="00BA236D"/>
    <w:rsid w:val="00BA264A"/>
    <w:rsid w:val="00BA26DB"/>
    <w:rsid w:val="00BA3011"/>
    <w:rsid w:val="00BA3132"/>
    <w:rsid w:val="00BA43C2"/>
    <w:rsid w:val="00BA4C16"/>
    <w:rsid w:val="00BA5110"/>
    <w:rsid w:val="00BA53C7"/>
    <w:rsid w:val="00BA5697"/>
    <w:rsid w:val="00BA6498"/>
    <w:rsid w:val="00BA6960"/>
    <w:rsid w:val="00BA6B79"/>
    <w:rsid w:val="00BA6DA8"/>
    <w:rsid w:val="00BA70CB"/>
    <w:rsid w:val="00BA76A6"/>
    <w:rsid w:val="00BA7DFC"/>
    <w:rsid w:val="00BB036C"/>
    <w:rsid w:val="00BB09AB"/>
    <w:rsid w:val="00BB0C2C"/>
    <w:rsid w:val="00BB136D"/>
    <w:rsid w:val="00BB14EF"/>
    <w:rsid w:val="00BB199D"/>
    <w:rsid w:val="00BB2C4C"/>
    <w:rsid w:val="00BB2FBE"/>
    <w:rsid w:val="00BB48BC"/>
    <w:rsid w:val="00BB51CD"/>
    <w:rsid w:val="00BB5675"/>
    <w:rsid w:val="00BB650E"/>
    <w:rsid w:val="00BB6517"/>
    <w:rsid w:val="00BB6E2C"/>
    <w:rsid w:val="00BB707E"/>
    <w:rsid w:val="00BB7489"/>
    <w:rsid w:val="00BB7957"/>
    <w:rsid w:val="00BC0D08"/>
    <w:rsid w:val="00BC1A51"/>
    <w:rsid w:val="00BC1ACC"/>
    <w:rsid w:val="00BC2964"/>
    <w:rsid w:val="00BC2C4B"/>
    <w:rsid w:val="00BC2FC6"/>
    <w:rsid w:val="00BC2FD2"/>
    <w:rsid w:val="00BC3134"/>
    <w:rsid w:val="00BC3434"/>
    <w:rsid w:val="00BC49FD"/>
    <w:rsid w:val="00BC4DAA"/>
    <w:rsid w:val="00BC4E75"/>
    <w:rsid w:val="00BC6400"/>
    <w:rsid w:val="00BC6B96"/>
    <w:rsid w:val="00BC6FAB"/>
    <w:rsid w:val="00BC7897"/>
    <w:rsid w:val="00BD0211"/>
    <w:rsid w:val="00BD022B"/>
    <w:rsid w:val="00BD0573"/>
    <w:rsid w:val="00BD0C48"/>
    <w:rsid w:val="00BD0FBE"/>
    <w:rsid w:val="00BD13CE"/>
    <w:rsid w:val="00BD142A"/>
    <w:rsid w:val="00BD23E7"/>
    <w:rsid w:val="00BD361B"/>
    <w:rsid w:val="00BD3E2E"/>
    <w:rsid w:val="00BD3E56"/>
    <w:rsid w:val="00BD4A31"/>
    <w:rsid w:val="00BD4D97"/>
    <w:rsid w:val="00BD5779"/>
    <w:rsid w:val="00BD5ACC"/>
    <w:rsid w:val="00BD61B5"/>
    <w:rsid w:val="00BD67C8"/>
    <w:rsid w:val="00BD6B5D"/>
    <w:rsid w:val="00BD7451"/>
    <w:rsid w:val="00BD761F"/>
    <w:rsid w:val="00BD79B0"/>
    <w:rsid w:val="00BE053A"/>
    <w:rsid w:val="00BE095D"/>
    <w:rsid w:val="00BE1231"/>
    <w:rsid w:val="00BE149D"/>
    <w:rsid w:val="00BE24C3"/>
    <w:rsid w:val="00BE2AAD"/>
    <w:rsid w:val="00BE3018"/>
    <w:rsid w:val="00BE37ED"/>
    <w:rsid w:val="00BE40D0"/>
    <w:rsid w:val="00BE42D4"/>
    <w:rsid w:val="00BE4512"/>
    <w:rsid w:val="00BE4C07"/>
    <w:rsid w:val="00BE5707"/>
    <w:rsid w:val="00BE5A2B"/>
    <w:rsid w:val="00BE5BF8"/>
    <w:rsid w:val="00BE5ECF"/>
    <w:rsid w:val="00BE5FCA"/>
    <w:rsid w:val="00BE7100"/>
    <w:rsid w:val="00BE7A6A"/>
    <w:rsid w:val="00BF0CE3"/>
    <w:rsid w:val="00BF1779"/>
    <w:rsid w:val="00BF279E"/>
    <w:rsid w:val="00BF2C7A"/>
    <w:rsid w:val="00BF3A43"/>
    <w:rsid w:val="00BF3D0A"/>
    <w:rsid w:val="00BF480A"/>
    <w:rsid w:val="00BF4B90"/>
    <w:rsid w:val="00BF52B2"/>
    <w:rsid w:val="00BF52D8"/>
    <w:rsid w:val="00BF5472"/>
    <w:rsid w:val="00BF5D1F"/>
    <w:rsid w:val="00BF62C8"/>
    <w:rsid w:val="00BF684B"/>
    <w:rsid w:val="00BF7418"/>
    <w:rsid w:val="00BF79AE"/>
    <w:rsid w:val="00C00823"/>
    <w:rsid w:val="00C00A77"/>
    <w:rsid w:val="00C00D1D"/>
    <w:rsid w:val="00C00D7F"/>
    <w:rsid w:val="00C025EB"/>
    <w:rsid w:val="00C02C27"/>
    <w:rsid w:val="00C02D24"/>
    <w:rsid w:val="00C030D4"/>
    <w:rsid w:val="00C04468"/>
    <w:rsid w:val="00C04711"/>
    <w:rsid w:val="00C04A55"/>
    <w:rsid w:val="00C04A8E"/>
    <w:rsid w:val="00C052A7"/>
    <w:rsid w:val="00C05F92"/>
    <w:rsid w:val="00C05FCD"/>
    <w:rsid w:val="00C06728"/>
    <w:rsid w:val="00C075DD"/>
    <w:rsid w:val="00C10088"/>
    <w:rsid w:val="00C10BE8"/>
    <w:rsid w:val="00C10DBF"/>
    <w:rsid w:val="00C110B0"/>
    <w:rsid w:val="00C11245"/>
    <w:rsid w:val="00C13A2D"/>
    <w:rsid w:val="00C13E78"/>
    <w:rsid w:val="00C14551"/>
    <w:rsid w:val="00C145B2"/>
    <w:rsid w:val="00C14F35"/>
    <w:rsid w:val="00C152B6"/>
    <w:rsid w:val="00C16E4F"/>
    <w:rsid w:val="00C17656"/>
    <w:rsid w:val="00C17CAE"/>
    <w:rsid w:val="00C2056F"/>
    <w:rsid w:val="00C2073F"/>
    <w:rsid w:val="00C219F3"/>
    <w:rsid w:val="00C21C19"/>
    <w:rsid w:val="00C227D5"/>
    <w:rsid w:val="00C22FFF"/>
    <w:rsid w:val="00C233C1"/>
    <w:rsid w:val="00C2368C"/>
    <w:rsid w:val="00C23813"/>
    <w:rsid w:val="00C24E8B"/>
    <w:rsid w:val="00C25281"/>
    <w:rsid w:val="00C25B34"/>
    <w:rsid w:val="00C26007"/>
    <w:rsid w:val="00C2624B"/>
    <w:rsid w:val="00C26299"/>
    <w:rsid w:val="00C262A3"/>
    <w:rsid w:val="00C2675D"/>
    <w:rsid w:val="00C2687D"/>
    <w:rsid w:val="00C26AB3"/>
    <w:rsid w:val="00C27778"/>
    <w:rsid w:val="00C27899"/>
    <w:rsid w:val="00C27997"/>
    <w:rsid w:val="00C300CF"/>
    <w:rsid w:val="00C30496"/>
    <w:rsid w:val="00C31F24"/>
    <w:rsid w:val="00C32323"/>
    <w:rsid w:val="00C3303C"/>
    <w:rsid w:val="00C332D0"/>
    <w:rsid w:val="00C340A1"/>
    <w:rsid w:val="00C340DA"/>
    <w:rsid w:val="00C35036"/>
    <w:rsid w:val="00C35EF2"/>
    <w:rsid w:val="00C3642C"/>
    <w:rsid w:val="00C374CC"/>
    <w:rsid w:val="00C37638"/>
    <w:rsid w:val="00C40012"/>
    <w:rsid w:val="00C40541"/>
    <w:rsid w:val="00C409EC"/>
    <w:rsid w:val="00C4112B"/>
    <w:rsid w:val="00C42199"/>
    <w:rsid w:val="00C42238"/>
    <w:rsid w:val="00C4243D"/>
    <w:rsid w:val="00C43349"/>
    <w:rsid w:val="00C43492"/>
    <w:rsid w:val="00C43B92"/>
    <w:rsid w:val="00C43D09"/>
    <w:rsid w:val="00C43D67"/>
    <w:rsid w:val="00C43E23"/>
    <w:rsid w:val="00C4448A"/>
    <w:rsid w:val="00C44BD4"/>
    <w:rsid w:val="00C44FC5"/>
    <w:rsid w:val="00C45143"/>
    <w:rsid w:val="00C454F4"/>
    <w:rsid w:val="00C45BB1"/>
    <w:rsid w:val="00C45ECA"/>
    <w:rsid w:val="00C45FA3"/>
    <w:rsid w:val="00C46096"/>
    <w:rsid w:val="00C461F1"/>
    <w:rsid w:val="00C47ECA"/>
    <w:rsid w:val="00C50C27"/>
    <w:rsid w:val="00C51B0B"/>
    <w:rsid w:val="00C525C3"/>
    <w:rsid w:val="00C52E30"/>
    <w:rsid w:val="00C53881"/>
    <w:rsid w:val="00C53D13"/>
    <w:rsid w:val="00C5448C"/>
    <w:rsid w:val="00C54B09"/>
    <w:rsid w:val="00C55A90"/>
    <w:rsid w:val="00C55E47"/>
    <w:rsid w:val="00C55EC6"/>
    <w:rsid w:val="00C57522"/>
    <w:rsid w:val="00C575A3"/>
    <w:rsid w:val="00C57679"/>
    <w:rsid w:val="00C57A08"/>
    <w:rsid w:val="00C609D3"/>
    <w:rsid w:val="00C621AE"/>
    <w:rsid w:val="00C627E1"/>
    <w:rsid w:val="00C62E27"/>
    <w:rsid w:val="00C63218"/>
    <w:rsid w:val="00C6481C"/>
    <w:rsid w:val="00C654D8"/>
    <w:rsid w:val="00C65B62"/>
    <w:rsid w:val="00C65DB1"/>
    <w:rsid w:val="00C665C6"/>
    <w:rsid w:val="00C6687C"/>
    <w:rsid w:val="00C6697C"/>
    <w:rsid w:val="00C67BBD"/>
    <w:rsid w:val="00C70B39"/>
    <w:rsid w:val="00C71CB8"/>
    <w:rsid w:val="00C71E4F"/>
    <w:rsid w:val="00C728EE"/>
    <w:rsid w:val="00C74696"/>
    <w:rsid w:val="00C74BB8"/>
    <w:rsid w:val="00C75626"/>
    <w:rsid w:val="00C75A6F"/>
    <w:rsid w:val="00C75A8A"/>
    <w:rsid w:val="00C75B82"/>
    <w:rsid w:val="00C75E01"/>
    <w:rsid w:val="00C75F21"/>
    <w:rsid w:val="00C76BCF"/>
    <w:rsid w:val="00C76C90"/>
    <w:rsid w:val="00C77302"/>
    <w:rsid w:val="00C77887"/>
    <w:rsid w:val="00C814B1"/>
    <w:rsid w:val="00C82318"/>
    <w:rsid w:val="00C832F8"/>
    <w:rsid w:val="00C83C82"/>
    <w:rsid w:val="00C83E1A"/>
    <w:rsid w:val="00C8492B"/>
    <w:rsid w:val="00C84AB3"/>
    <w:rsid w:val="00C85917"/>
    <w:rsid w:val="00C86957"/>
    <w:rsid w:val="00C86DFF"/>
    <w:rsid w:val="00C86E26"/>
    <w:rsid w:val="00C872D7"/>
    <w:rsid w:val="00C8780E"/>
    <w:rsid w:val="00C87EB9"/>
    <w:rsid w:val="00C909E7"/>
    <w:rsid w:val="00C91D73"/>
    <w:rsid w:val="00C9316F"/>
    <w:rsid w:val="00C93760"/>
    <w:rsid w:val="00C94432"/>
    <w:rsid w:val="00C944C1"/>
    <w:rsid w:val="00C94662"/>
    <w:rsid w:val="00C94B38"/>
    <w:rsid w:val="00C95E59"/>
    <w:rsid w:val="00C96064"/>
    <w:rsid w:val="00C96067"/>
    <w:rsid w:val="00C96248"/>
    <w:rsid w:val="00C973D6"/>
    <w:rsid w:val="00C97BB4"/>
    <w:rsid w:val="00CA0AE7"/>
    <w:rsid w:val="00CA0DEC"/>
    <w:rsid w:val="00CA118D"/>
    <w:rsid w:val="00CA17C7"/>
    <w:rsid w:val="00CA1920"/>
    <w:rsid w:val="00CA1D62"/>
    <w:rsid w:val="00CA1E90"/>
    <w:rsid w:val="00CA39C0"/>
    <w:rsid w:val="00CA4331"/>
    <w:rsid w:val="00CA46EA"/>
    <w:rsid w:val="00CA4C2B"/>
    <w:rsid w:val="00CA507B"/>
    <w:rsid w:val="00CA5B7C"/>
    <w:rsid w:val="00CA5CB4"/>
    <w:rsid w:val="00CA5F92"/>
    <w:rsid w:val="00CA628B"/>
    <w:rsid w:val="00CA6AC6"/>
    <w:rsid w:val="00CA6FA6"/>
    <w:rsid w:val="00CB088C"/>
    <w:rsid w:val="00CB1206"/>
    <w:rsid w:val="00CB14B6"/>
    <w:rsid w:val="00CB1B98"/>
    <w:rsid w:val="00CB1F6B"/>
    <w:rsid w:val="00CB21C5"/>
    <w:rsid w:val="00CB27C0"/>
    <w:rsid w:val="00CB2DF1"/>
    <w:rsid w:val="00CB4ED7"/>
    <w:rsid w:val="00CB5E33"/>
    <w:rsid w:val="00CB6BD0"/>
    <w:rsid w:val="00CC0D1B"/>
    <w:rsid w:val="00CC0F8A"/>
    <w:rsid w:val="00CC2DE0"/>
    <w:rsid w:val="00CC3542"/>
    <w:rsid w:val="00CC4326"/>
    <w:rsid w:val="00CC5329"/>
    <w:rsid w:val="00CC5644"/>
    <w:rsid w:val="00CC59BA"/>
    <w:rsid w:val="00CC5A1C"/>
    <w:rsid w:val="00CC703B"/>
    <w:rsid w:val="00CC7170"/>
    <w:rsid w:val="00CC7F96"/>
    <w:rsid w:val="00CD02DB"/>
    <w:rsid w:val="00CD032D"/>
    <w:rsid w:val="00CD0E60"/>
    <w:rsid w:val="00CD1008"/>
    <w:rsid w:val="00CD1AC3"/>
    <w:rsid w:val="00CD1F57"/>
    <w:rsid w:val="00CD319D"/>
    <w:rsid w:val="00CD45D1"/>
    <w:rsid w:val="00CD4A58"/>
    <w:rsid w:val="00CD4F8D"/>
    <w:rsid w:val="00CD517E"/>
    <w:rsid w:val="00CD651A"/>
    <w:rsid w:val="00CD698D"/>
    <w:rsid w:val="00CD6CEA"/>
    <w:rsid w:val="00CD76E2"/>
    <w:rsid w:val="00CE0852"/>
    <w:rsid w:val="00CE0965"/>
    <w:rsid w:val="00CE10A9"/>
    <w:rsid w:val="00CE15DE"/>
    <w:rsid w:val="00CE1CD7"/>
    <w:rsid w:val="00CE23BE"/>
    <w:rsid w:val="00CE2976"/>
    <w:rsid w:val="00CE2EFF"/>
    <w:rsid w:val="00CE314E"/>
    <w:rsid w:val="00CE316E"/>
    <w:rsid w:val="00CE3EDB"/>
    <w:rsid w:val="00CE42C3"/>
    <w:rsid w:val="00CE448D"/>
    <w:rsid w:val="00CE4DA3"/>
    <w:rsid w:val="00CE693B"/>
    <w:rsid w:val="00CE6CD8"/>
    <w:rsid w:val="00CE6F38"/>
    <w:rsid w:val="00CE7182"/>
    <w:rsid w:val="00CF0131"/>
    <w:rsid w:val="00CF05F5"/>
    <w:rsid w:val="00CF088D"/>
    <w:rsid w:val="00CF0E43"/>
    <w:rsid w:val="00CF1FFD"/>
    <w:rsid w:val="00CF2414"/>
    <w:rsid w:val="00CF2CA5"/>
    <w:rsid w:val="00CF35F0"/>
    <w:rsid w:val="00CF4B39"/>
    <w:rsid w:val="00CF5341"/>
    <w:rsid w:val="00CF5CCD"/>
    <w:rsid w:val="00CF663C"/>
    <w:rsid w:val="00CF77D5"/>
    <w:rsid w:val="00CF7CFA"/>
    <w:rsid w:val="00D0060E"/>
    <w:rsid w:val="00D010D6"/>
    <w:rsid w:val="00D01AD2"/>
    <w:rsid w:val="00D01E31"/>
    <w:rsid w:val="00D02306"/>
    <w:rsid w:val="00D02C39"/>
    <w:rsid w:val="00D02D67"/>
    <w:rsid w:val="00D03314"/>
    <w:rsid w:val="00D03936"/>
    <w:rsid w:val="00D04BA3"/>
    <w:rsid w:val="00D05131"/>
    <w:rsid w:val="00D05C30"/>
    <w:rsid w:val="00D06746"/>
    <w:rsid w:val="00D0689C"/>
    <w:rsid w:val="00D07231"/>
    <w:rsid w:val="00D07A72"/>
    <w:rsid w:val="00D10258"/>
    <w:rsid w:val="00D10498"/>
    <w:rsid w:val="00D105C0"/>
    <w:rsid w:val="00D10700"/>
    <w:rsid w:val="00D107D1"/>
    <w:rsid w:val="00D117E9"/>
    <w:rsid w:val="00D11FB9"/>
    <w:rsid w:val="00D123C3"/>
    <w:rsid w:val="00D12B73"/>
    <w:rsid w:val="00D130F3"/>
    <w:rsid w:val="00D13A26"/>
    <w:rsid w:val="00D13ACC"/>
    <w:rsid w:val="00D13B73"/>
    <w:rsid w:val="00D14D5F"/>
    <w:rsid w:val="00D1539B"/>
    <w:rsid w:val="00D1575E"/>
    <w:rsid w:val="00D1585C"/>
    <w:rsid w:val="00D162B8"/>
    <w:rsid w:val="00D16851"/>
    <w:rsid w:val="00D173B8"/>
    <w:rsid w:val="00D177B8"/>
    <w:rsid w:val="00D17983"/>
    <w:rsid w:val="00D20A82"/>
    <w:rsid w:val="00D21691"/>
    <w:rsid w:val="00D22AE9"/>
    <w:rsid w:val="00D22E25"/>
    <w:rsid w:val="00D239E5"/>
    <w:rsid w:val="00D24C40"/>
    <w:rsid w:val="00D25D59"/>
    <w:rsid w:val="00D25F21"/>
    <w:rsid w:val="00D26E21"/>
    <w:rsid w:val="00D2710D"/>
    <w:rsid w:val="00D27255"/>
    <w:rsid w:val="00D27DEB"/>
    <w:rsid w:val="00D3137D"/>
    <w:rsid w:val="00D32AE1"/>
    <w:rsid w:val="00D32B62"/>
    <w:rsid w:val="00D32FAE"/>
    <w:rsid w:val="00D33612"/>
    <w:rsid w:val="00D339A4"/>
    <w:rsid w:val="00D33C1A"/>
    <w:rsid w:val="00D33F6E"/>
    <w:rsid w:val="00D346C4"/>
    <w:rsid w:val="00D34AE9"/>
    <w:rsid w:val="00D34B4D"/>
    <w:rsid w:val="00D35218"/>
    <w:rsid w:val="00D35265"/>
    <w:rsid w:val="00D35584"/>
    <w:rsid w:val="00D368E6"/>
    <w:rsid w:val="00D36D6B"/>
    <w:rsid w:val="00D37397"/>
    <w:rsid w:val="00D3747F"/>
    <w:rsid w:val="00D40C1E"/>
    <w:rsid w:val="00D40C8B"/>
    <w:rsid w:val="00D40E25"/>
    <w:rsid w:val="00D41381"/>
    <w:rsid w:val="00D42525"/>
    <w:rsid w:val="00D42680"/>
    <w:rsid w:val="00D426A8"/>
    <w:rsid w:val="00D43C9C"/>
    <w:rsid w:val="00D450F6"/>
    <w:rsid w:val="00D45265"/>
    <w:rsid w:val="00D45700"/>
    <w:rsid w:val="00D4574E"/>
    <w:rsid w:val="00D45B44"/>
    <w:rsid w:val="00D45E13"/>
    <w:rsid w:val="00D467B1"/>
    <w:rsid w:val="00D4682C"/>
    <w:rsid w:val="00D46CDE"/>
    <w:rsid w:val="00D478CF"/>
    <w:rsid w:val="00D50099"/>
    <w:rsid w:val="00D50769"/>
    <w:rsid w:val="00D5090D"/>
    <w:rsid w:val="00D50CA7"/>
    <w:rsid w:val="00D513BD"/>
    <w:rsid w:val="00D51499"/>
    <w:rsid w:val="00D51F9F"/>
    <w:rsid w:val="00D522D2"/>
    <w:rsid w:val="00D52704"/>
    <w:rsid w:val="00D52BC2"/>
    <w:rsid w:val="00D52D47"/>
    <w:rsid w:val="00D531CF"/>
    <w:rsid w:val="00D53424"/>
    <w:rsid w:val="00D537BB"/>
    <w:rsid w:val="00D539BC"/>
    <w:rsid w:val="00D54108"/>
    <w:rsid w:val="00D547F8"/>
    <w:rsid w:val="00D54A9F"/>
    <w:rsid w:val="00D5622F"/>
    <w:rsid w:val="00D566EF"/>
    <w:rsid w:val="00D5698E"/>
    <w:rsid w:val="00D56B84"/>
    <w:rsid w:val="00D576CB"/>
    <w:rsid w:val="00D57B1A"/>
    <w:rsid w:val="00D57B70"/>
    <w:rsid w:val="00D612AE"/>
    <w:rsid w:val="00D613E1"/>
    <w:rsid w:val="00D616B2"/>
    <w:rsid w:val="00D618D8"/>
    <w:rsid w:val="00D61BEF"/>
    <w:rsid w:val="00D620D8"/>
    <w:rsid w:val="00D625F2"/>
    <w:rsid w:val="00D62783"/>
    <w:rsid w:val="00D63544"/>
    <w:rsid w:val="00D64E2D"/>
    <w:rsid w:val="00D65630"/>
    <w:rsid w:val="00D65767"/>
    <w:rsid w:val="00D65F22"/>
    <w:rsid w:val="00D6637F"/>
    <w:rsid w:val="00D669D6"/>
    <w:rsid w:val="00D7244C"/>
    <w:rsid w:val="00D72529"/>
    <w:rsid w:val="00D72F04"/>
    <w:rsid w:val="00D72F5E"/>
    <w:rsid w:val="00D731E6"/>
    <w:rsid w:val="00D73D6C"/>
    <w:rsid w:val="00D74117"/>
    <w:rsid w:val="00D74441"/>
    <w:rsid w:val="00D7451D"/>
    <w:rsid w:val="00D758CB"/>
    <w:rsid w:val="00D75DD8"/>
    <w:rsid w:val="00D762BC"/>
    <w:rsid w:val="00D76DA4"/>
    <w:rsid w:val="00D76E51"/>
    <w:rsid w:val="00D80182"/>
    <w:rsid w:val="00D8182D"/>
    <w:rsid w:val="00D81FCB"/>
    <w:rsid w:val="00D8231E"/>
    <w:rsid w:val="00D8269E"/>
    <w:rsid w:val="00D82EF4"/>
    <w:rsid w:val="00D82F4E"/>
    <w:rsid w:val="00D8364E"/>
    <w:rsid w:val="00D84CE5"/>
    <w:rsid w:val="00D850D3"/>
    <w:rsid w:val="00D851F8"/>
    <w:rsid w:val="00D852AF"/>
    <w:rsid w:val="00D859A8"/>
    <w:rsid w:val="00D85A3C"/>
    <w:rsid w:val="00D861E5"/>
    <w:rsid w:val="00D8686D"/>
    <w:rsid w:val="00D917CB"/>
    <w:rsid w:val="00D91997"/>
    <w:rsid w:val="00D9296C"/>
    <w:rsid w:val="00D92B42"/>
    <w:rsid w:val="00D92FC4"/>
    <w:rsid w:val="00D9358E"/>
    <w:rsid w:val="00D93AAC"/>
    <w:rsid w:val="00D93FA5"/>
    <w:rsid w:val="00D94261"/>
    <w:rsid w:val="00D94C31"/>
    <w:rsid w:val="00D953B7"/>
    <w:rsid w:val="00D96B89"/>
    <w:rsid w:val="00D9708C"/>
    <w:rsid w:val="00D97814"/>
    <w:rsid w:val="00D97884"/>
    <w:rsid w:val="00DA169C"/>
    <w:rsid w:val="00DA1AA9"/>
    <w:rsid w:val="00DA1F95"/>
    <w:rsid w:val="00DA27B5"/>
    <w:rsid w:val="00DA459C"/>
    <w:rsid w:val="00DA603C"/>
    <w:rsid w:val="00DA63A0"/>
    <w:rsid w:val="00DA663B"/>
    <w:rsid w:val="00DA7164"/>
    <w:rsid w:val="00DA78AB"/>
    <w:rsid w:val="00DA7E07"/>
    <w:rsid w:val="00DB0361"/>
    <w:rsid w:val="00DB0D85"/>
    <w:rsid w:val="00DB1093"/>
    <w:rsid w:val="00DB1589"/>
    <w:rsid w:val="00DB1C38"/>
    <w:rsid w:val="00DB1C47"/>
    <w:rsid w:val="00DB232E"/>
    <w:rsid w:val="00DB3748"/>
    <w:rsid w:val="00DB37C0"/>
    <w:rsid w:val="00DB39D9"/>
    <w:rsid w:val="00DB422E"/>
    <w:rsid w:val="00DB4362"/>
    <w:rsid w:val="00DB4953"/>
    <w:rsid w:val="00DB4B7A"/>
    <w:rsid w:val="00DB509C"/>
    <w:rsid w:val="00DB50A6"/>
    <w:rsid w:val="00DB5380"/>
    <w:rsid w:val="00DB55F3"/>
    <w:rsid w:val="00DB57A4"/>
    <w:rsid w:val="00DB6C73"/>
    <w:rsid w:val="00DB7522"/>
    <w:rsid w:val="00DB7A38"/>
    <w:rsid w:val="00DC0865"/>
    <w:rsid w:val="00DC0D61"/>
    <w:rsid w:val="00DC1460"/>
    <w:rsid w:val="00DC2953"/>
    <w:rsid w:val="00DC2C25"/>
    <w:rsid w:val="00DC2C43"/>
    <w:rsid w:val="00DC2D6F"/>
    <w:rsid w:val="00DC2D9B"/>
    <w:rsid w:val="00DC362A"/>
    <w:rsid w:val="00DC4A4F"/>
    <w:rsid w:val="00DC511F"/>
    <w:rsid w:val="00DC5B77"/>
    <w:rsid w:val="00DC6396"/>
    <w:rsid w:val="00DC7F63"/>
    <w:rsid w:val="00DC7F96"/>
    <w:rsid w:val="00DD00F0"/>
    <w:rsid w:val="00DD06F9"/>
    <w:rsid w:val="00DD1242"/>
    <w:rsid w:val="00DD1315"/>
    <w:rsid w:val="00DD2B80"/>
    <w:rsid w:val="00DD3140"/>
    <w:rsid w:val="00DD343A"/>
    <w:rsid w:val="00DD3532"/>
    <w:rsid w:val="00DD3CA3"/>
    <w:rsid w:val="00DD42B8"/>
    <w:rsid w:val="00DD4546"/>
    <w:rsid w:val="00DD487F"/>
    <w:rsid w:val="00DD4F34"/>
    <w:rsid w:val="00DD5A2E"/>
    <w:rsid w:val="00DD5FF6"/>
    <w:rsid w:val="00DD6717"/>
    <w:rsid w:val="00DD6EC2"/>
    <w:rsid w:val="00DD728C"/>
    <w:rsid w:val="00DE01FF"/>
    <w:rsid w:val="00DE0759"/>
    <w:rsid w:val="00DE07DD"/>
    <w:rsid w:val="00DE0AD7"/>
    <w:rsid w:val="00DE0E94"/>
    <w:rsid w:val="00DE1B87"/>
    <w:rsid w:val="00DE42EF"/>
    <w:rsid w:val="00DE4581"/>
    <w:rsid w:val="00DE472D"/>
    <w:rsid w:val="00DE4F82"/>
    <w:rsid w:val="00DE52CE"/>
    <w:rsid w:val="00DE54D7"/>
    <w:rsid w:val="00DE5A6F"/>
    <w:rsid w:val="00DE6003"/>
    <w:rsid w:val="00DE6739"/>
    <w:rsid w:val="00DE6749"/>
    <w:rsid w:val="00DE6806"/>
    <w:rsid w:val="00DE6884"/>
    <w:rsid w:val="00DE6BCB"/>
    <w:rsid w:val="00DF15A0"/>
    <w:rsid w:val="00DF18D3"/>
    <w:rsid w:val="00DF20CC"/>
    <w:rsid w:val="00DF2625"/>
    <w:rsid w:val="00DF366B"/>
    <w:rsid w:val="00DF38E9"/>
    <w:rsid w:val="00DF3D16"/>
    <w:rsid w:val="00DF47CA"/>
    <w:rsid w:val="00DF5292"/>
    <w:rsid w:val="00DF535E"/>
    <w:rsid w:val="00DF60AC"/>
    <w:rsid w:val="00DF6410"/>
    <w:rsid w:val="00DF6669"/>
    <w:rsid w:val="00DF6D17"/>
    <w:rsid w:val="00DF6E4C"/>
    <w:rsid w:val="00DF723B"/>
    <w:rsid w:val="00DF7535"/>
    <w:rsid w:val="00E017AA"/>
    <w:rsid w:val="00E019A8"/>
    <w:rsid w:val="00E019E8"/>
    <w:rsid w:val="00E01EC8"/>
    <w:rsid w:val="00E02018"/>
    <w:rsid w:val="00E022F0"/>
    <w:rsid w:val="00E023C3"/>
    <w:rsid w:val="00E029A6"/>
    <w:rsid w:val="00E02B0B"/>
    <w:rsid w:val="00E031F7"/>
    <w:rsid w:val="00E04877"/>
    <w:rsid w:val="00E052C4"/>
    <w:rsid w:val="00E056B3"/>
    <w:rsid w:val="00E05BF1"/>
    <w:rsid w:val="00E05EF9"/>
    <w:rsid w:val="00E05FA5"/>
    <w:rsid w:val="00E0647B"/>
    <w:rsid w:val="00E06A2F"/>
    <w:rsid w:val="00E07509"/>
    <w:rsid w:val="00E0798E"/>
    <w:rsid w:val="00E10122"/>
    <w:rsid w:val="00E10850"/>
    <w:rsid w:val="00E108EF"/>
    <w:rsid w:val="00E10948"/>
    <w:rsid w:val="00E11206"/>
    <w:rsid w:val="00E1179A"/>
    <w:rsid w:val="00E11971"/>
    <w:rsid w:val="00E11E9C"/>
    <w:rsid w:val="00E12829"/>
    <w:rsid w:val="00E128AF"/>
    <w:rsid w:val="00E13221"/>
    <w:rsid w:val="00E1418B"/>
    <w:rsid w:val="00E1423D"/>
    <w:rsid w:val="00E14485"/>
    <w:rsid w:val="00E145CF"/>
    <w:rsid w:val="00E14A29"/>
    <w:rsid w:val="00E1528C"/>
    <w:rsid w:val="00E15377"/>
    <w:rsid w:val="00E15809"/>
    <w:rsid w:val="00E1614D"/>
    <w:rsid w:val="00E164FC"/>
    <w:rsid w:val="00E17B77"/>
    <w:rsid w:val="00E20587"/>
    <w:rsid w:val="00E20D74"/>
    <w:rsid w:val="00E20FAD"/>
    <w:rsid w:val="00E2244B"/>
    <w:rsid w:val="00E228F5"/>
    <w:rsid w:val="00E23A54"/>
    <w:rsid w:val="00E23CA6"/>
    <w:rsid w:val="00E23D46"/>
    <w:rsid w:val="00E254D4"/>
    <w:rsid w:val="00E254E3"/>
    <w:rsid w:val="00E2578C"/>
    <w:rsid w:val="00E2582E"/>
    <w:rsid w:val="00E25A4E"/>
    <w:rsid w:val="00E25D89"/>
    <w:rsid w:val="00E2629D"/>
    <w:rsid w:val="00E26A75"/>
    <w:rsid w:val="00E26ED8"/>
    <w:rsid w:val="00E27C78"/>
    <w:rsid w:val="00E27CAB"/>
    <w:rsid w:val="00E307DD"/>
    <w:rsid w:val="00E30B1A"/>
    <w:rsid w:val="00E30CAF"/>
    <w:rsid w:val="00E3158A"/>
    <w:rsid w:val="00E3165F"/>
    <w:rsid w:val="00E33B58"/>
    <w:rsid w:val="00E33B59"/>
    <w:rsid w:val="00E34051"/>
    <w:rsid w:val="00E34762"/>
    <w:rsid w:val="00E34AA8"/>
    <w:rsid w:val="00E353FA"/>
    <w:rsid w:val="00E355C4"/>
    <w:rsid w:val="00E35E4C"/>
    <w:rsid w:val="00E35E69"/>
    <w:rsid w:val="00E3616A"/>
    <w:rsid w:val="00E36AB7"/>
    <w:rsid w:val="00E36C52"/>
    <w:rsid w:val="00E37DF8"/>
    <w:rsid w:val="00E402D3"/>
    <w:rsid w:val="00E402F3"/>
    <w:rsid w:val="00E40935"/>
    <w:rsid w:val="00E40CA9"/>
    <w:rsid w:val="00E415E8"/>
    <w:rsid w:val="00E41611"/>
    <w:rsid w:val="00E42BFF"/>
    <w:rsid w:val="00E42C4A"/>
    <w:rsid w:val="00E4424B"/>
    <w:rsid w:val="00E44710"/>
    <w:rsid w:val="00E4473A"/>
    <w:rsid w:val="00E44F9F"/>
    <w:rsid w:val="00E47E8D"/>
    <w:rsid w:val="00E50B19"/>
    <w:rsid w:val="00E50E36"/>
    <w:rsid w:val="00E51353"/>
    <w:rsid w:val="00E521D4"/>
    <w:rsid w:val="00E522F8"/>
    <w:rsid w:val="00E5262B"/>
    <w:rsid w:val="00E52A58"/>
    <w:rsid w:val="00E52CBE"/>
    <w:rsid w:val="00E530EE"/>
    <w:rsid w:val="00E5346D"/>
    <w:rsid w:val="00E53827"/>
    <w:rsid w:val="00E543BA"/>
    <w:rsid w:val="00E55118"/>
    <w:rsid w:val="00E55241"/>
    <w:rsid w:val="00E5577D"/>
    <w:rsid w:val="00E557E8"/>
    <w:rsid w:val="00E5682B"/>
    <w:rsid w:val="00E56BF1"/>
    <w:rsid w:val="00E570D8"/>
    <w:rsid w:val="00E577FD"/>
    <w:rsid w:val="00E57E6A"/>
    <w:rsid w:val="00E609E4"/>
    <w:rsid w:val="00E60A7B"/>
    <w:rsid w:val="00E624A1"/>
    <w:rsid w:val="00E62B3D"/>
    <w:rsid w:val="00E62E97"/>
    <w:rsid w:val="00E62FB7"/>
    <w:rsid w:val="00E630A2"/>
    <w:rsid w:val="00E63981"/>
    <w:rsid w:val="00E63D69"/>
    <w:rsid w:val="00E640AE"/>
    <w:rsid w:val="00E642F0"/>
    <w:rsid w:val="00E64749"/>
    <w:rsid w:val="00E64AE4"/>
    <w:rsid w:val="00E65EED"/>
    <w:rsid w:val="00E6626F"/>
    <w:rsid w:val="00E66BF8"/>
    <w:rsid w:val="00E67061"/>
    <w:rsid w:val="00E677DB"/>
    <w:rsid w:val="00E67BFB"/>
    <w:rsid w:val="00E67D90"/>
    <w:rsid w:val="00E7165A"/>
    <w:rsid w:val="00E71E00"/>
    <w:rsid w:val="00E72489"/>
    <w:rsid w:val="00E72A8E"/>
    <w:rsid w:val="00E72AF8"/>
    <w:rsid w:val="00E72B4B"/>
    <w:rsid w:val="00E734A0"/>
    <w:rsid w:val="00E73610"/>
    <w:rsid w:val="00E7448A"/>
    <w:rsid w:val="00E759C6"/>
    <w:rsid w:val="00E761EC"/>
    <w:rsid w:val="00E7660C"/>
    <w:rsid w:val="00E7686B"/>
    <w:rsid w:val="00E76974"/>
    <w:rsid w:val="00E76A51"/>
    <w:rsid w:val="00E76F93"/>
    <w:rsid w:val="00E80173"/>
    <w:rsid w:val="00E80351"/>
    <w:rsid w:val="00E8041E"/>
    <w:rsid w:val="00E805CD"/>
    <w:rsid w:val="00E80770"/>
    <w:rsid w:val="00E809D3"/>
    <w:rsid w:val="00E80B6D"/>
    <w:rsid w:val="00E80E2D"/>
    <w:rsid w:val="00E829C5"/>
    <w:rsid w:val="00E84519"/>
    <w:rsid w:val="00E84DD6"/>
    <w:rsid w:val="00E85138"/>
    <w:rsid w:val="00E85598"/>
    <w:rsid w:val="00E858F8"/>
    <w:rsid w:val="00E86282"/>
    <w:rsid w:val="00E86472"/>
    <w:rsid w:val="00E8671B"/>
    <w:rsid w:val="00E86FD5"/>
    <w:rsid w:val="00E87637"/>
    <w:rsid w:val="00E87922"/>
    <w:rsid w:val="00E90604"/>
    <w:rsid w:val="00E9213E"/>
    <w:rsid w:val="00E92403"/>
    <w:rsid w:val="00E92F32"/>
    <w:rsid w:val="00E930EB"/>
    <w:rsid w:val="00E939F4"/>
    <w:rsid w:val="00E95A0C"/>
    <w:rsid w:val="00E95B4C"/>
    <w:rsid w:val="00E969CA"/>
    <w:rsid w:val="00E97B63"/>
    <w:rsid w:val="00E97CA2"/>
    <w:rsid w:val="00E97CF3"/>
    <w:rsid w:val="00EA07EF"/>
    <w:rsid w:val="00EA0A76"/>
    <w:rsid w:val="00EA0F87"/>
    <w:rsid w:val="00EA101B"/>
    <w:rsid w:val="00EA14F2"/>
    <w:rsid w:val="00EA1599"/>
    <w:rsid w:val="00EA1922"/>
    <w:rsid w:val="00EA2624"/>
    <w:rsid w:val="00EA39DB"/>
    <w:rsid w:val="00EA42A5"/>
    <w:rsid w:val="00EA4BC0"/>
    <w:rsid w:val="00EA5177"/>
    <w:rsid w:val="00EA51B5"/>
    <w:rsid w:val="00EA55AF"/>
    <w:rsid w:val="00EA6560"/>
    <w:rsid w:val="00EA6AE6"/>
    <w:rsid w:val="00EA7303"/>
    <w:rsid w:val="00EA7EFD"/>
    <w:rsid w:val="00EB02BA"/>
    <w:rsid w:val="00EB11DD"/>
    <w:rsid w:val="00EB147C"/>
    <w:rsid w:val="00EB14FF"/>
    <w:rsid w:val="00EB1544"/>
    <w:rsid w:val="00EB1F02"/>
    <w:rsid w:val="00EB2209"/>
    <w:rsid w:val="00EB26A8"/>
    <w:rsid w:val="00EB34A0"/>
    <w:rsid w:val="00EB3E42"/>
    <w:rsid w:val="00EB4083"/>
    <w:rsid w:val="00EB4767"/>
    <w:rsid w:val="00EB4F55"/>
    <w:rsid w:val="00EB4FAE"/>
    <w:rsid w:val="00EB565C"/>
    <w:rsid w:val="00EB5B38"/>
    <w:rsid w:val="00EB6BC2"/>
    <w:rsid w:val="00EB6E05"/>
    <w:rsid w:val="00EB72B6"/>
    <w:rsid w:val="00EB76AA"/>
    <w:rsid w:val="00EC03C0"/>
    <w:rsid w:val="00EC09D8"/>
    <w:rsid w:val="00EC0E41"/>
    <w:rsid w:val="00EC2A3E"/>
    <w:rsid w:val="00EC2FF3"/>
    <w:rsid w:val="00EC3260"/>
    <w:rsid w:val="00EC3823"/>
    <w:rsid w:val="00EC45B8"/>
    <w:rsid w:val="00EC4704"/>
    <w:rsid w:val="00EC4E65"/>
    <w:rsid w:val="00EC66BD"/>
    <w:rsid w:val="00EC67FB"/>
    <w:rsid w:val="00EC7AFF"/>
    <w:rsid w:val="00EC7DBB"/>
    <w:rsid w:val="00ED01EA"/>
    <w:rsid w:val="00ED06F9"/>
    <w:rsid w:val="00ED0A73"/>
    <w:rsid w:val="00ED0D99"/>
    <w:rsid w:val="00ED1236"/>
    <w:rsid w:val="00ED1BC7"/>
    <w:rsid w:val="00ED24B7"/>
    <w:rsid w:val="00ED3C11"/>
    <w:rsid w:val="00ED41DD"/>
    <w:rsid w:val="00ED48BD"/>
    <w:rsid w:val="00ED55B2"/>
    <w:rsid w:val="00ED64E7"/>
    <w:rsid w:val="00ED6E2B"/>
    <w:rsid w:val="00ED6FE5"/>
    <w:rsid w:val="00ED7074"/>
    <w:rsid w:val="00ED76E5"/>
    <w:rsid w:val="00ED7B27"/>
    <w:rsid w:val="00EE0160"/>
    <w:rsid w:val="00EE085E"/>
    <w:rsid w:val="00EE0B9F"/>
    <w:rsid w:val="00EE1213"/>
    <w:rsid w:val="00EE1894"/>
    <w:rsid w:val="00EE1E93"/>
    <w:rsid w:val="00EE2068"/>
    <w:rsid w:val="00EE24BC"/>
    <w:rsid w:val="00EE2AAC"/>
    <w:rsid w:val="00EE3C18"/>
    <w:rsid w:val="00EE3EE4"/>
    <w:rsid w:val="00EE4098"/>
    <w:rsid w:val="00EE5786"/>
    <w:rsid w:val="00EE66A2"/>
    <w:rsid w:val="00EE6C28"/>
    <w:rsid w:val="00EE7992"/>
    <w:rsid w:val="00EE7A05"/>
    <w:rsid w:val="00EE7B43"/>
    <w:rsid w:val="00EE7BAB"/>
    <w:rsid w:val="00EE7D43"/>
    <w:rsid w:val="00EF0BF5"/>
    <w:rsid w:val="00EF1C5E"/>
    <w:rsid w:val="00EF1D6D"/>
    <w:rsid w:val="00EF2792"/>
    <w:rsid w:val="00EF2D2D"/>
    <w:rsid w:val="00EF31DA"/>
    <w:rsid w:val="00EF516B"/>
    <w:rsid w:val="00EF5281"/>
    <w:rsid w:val="00EF5493"/>
    <w:rsid w:val="00EF5C24"/>
    <w:rsid w:val="00EF6C92"/>
    <w:rsid w:val="00EF7343"/>
    <w:rsid w:val="00F007CF"/>
    <w:rsid w:val="00F01C8D"/>
    <w:rsid w:val="00F02289"/>
    <w:rsid w:val="00F022F4"/>
    <w:rsid w:val="00F027D0"/>
    <w:rsid w:val="00F02995"/>
    <w:rsid w:val="00F02AAC"/>
    <w:rsid w:val="00F02FF2"/>
    <w:rsid w:val="00F04D03"/>
    <w:rsid w:val="00F04DA3"/>
    <w:rsid w:val="00F052FC"/>
    <w:rsid w:val="00F0599F"/>
    <w:rsid w:val="00F0756F"/>
    <w:rsid w:val="00F07D91"/>
    <w:rsid w:val="00F10C8B"/>
    <w:rsid w:val="00F11071"/>
    <w:rsid w:val="00F11ADD"/>
    <w:rsid w:val="00F12057"/>
    <w:rsid w:val="00F1207E"/>
    <w:rsid w:val="00F120F1"/>
    <w:rsid w:val="00F12293"/>
    <w:rsid w:val="00F128BF"/>
    <w:rsid w:val="00F1347A"/>
    <w:rsid w:val="00F13D52"/>
    <w:rsid w:val="00F13FE8"/>
    <w:rsid w:val="00F14141"/>
    <w:rsid w:val="00F15643"/>
    <w:rsid w:val="00F15EF4"/>
    <w:rsid w:val="00F15FE5"/>
    <w:rsid w:val="00F166AF"/>
    <w:rsid w:val="00F20412"/>
    <w:rsid w:val="00F2078E"/>
    <w:rsid w:val="00F207FD"/>
    <w:rsid w:val="00F20B10"/>
    <w:rsid w:val="00F20C96"/>
    <w:rsid w:val="00F20D31"/>
    <w:rsid w:val="00F2121C"/>
    <w:rsid w:val="00F21D1E"/>
    <w:rsid w:val="00F22DC8"/>
    <w:rsid w:val="00F235AB"/>
    <w:rsid w:val="00F23B5D"/>
    <w:rsid w:val="00F23C02"/>
    <w:rsid w:val="00F24384"/>
    <w:rsid w:val="00F252E5"/>
    <w:rsid w:val="00F261F8"/>
    <w:rsid w:val="00F266B1"/>
    <w:rsid w:val="00F26D80"/>
    <w:rsid w:val="00F27FC0"/>
    <w:rsid w:val="00F3026F"/>
    <w:rsid w:val="00F3095B"/>
    <w:rsid w:val="00F30A7E"/>
    <w:rsid w:val="00F317C2"/>
    <w:rsid w:val="00F32404"/>
    <w:rsid w:val="00F325F0"/>
    <w:rsid w:val="00F32B54"/>
    <w:rsid w:val="00F33160"/>
    <w:rsid w:val="00F35187"/>
    <w:rsid w:val="00F35BD8"/>
    <w:rsid w:val="00F36EF2"/>
    <w:rsid w:val="00F37A4F"/>
    <w:rsid w:val="00F37BA2"/>
    <w:rsid w:val="00F37E82"/>
    <w:rsid w:val="00F40449"/>
    <w:rsid w:val="00F410B1"/>
    <w:rsid w:val="00F4157C"/>
    <w:rsid w:val="00F41F74"/>
    <w:rsid w:val="00F426D6"/>
    <w:rsid w:val="00F42787"/>
    <w:rsid w:val="00F4317F"/>
    <w:rsid w:val="00F438A1"/>
    <w:rsid w:val="00F43CB5"/>
    <w:rsid w:val="00F4454C"/>
    <w:rsid w:val="00F4498C"/>
    <w:rsid w:val="00F44F15"/>
    <w:rsid w:val="00F45254"/>
    <w:rsid w:val="00F45E52"/>
    <w:rsid w:val="00F4666A"/>
    <w:rsid w:val="00F46FC4"/>
    <w:rsid w:val="00F47E27"/>
    <w:rsid w:val="00F50DD1"/>
    <w:rsid w:val="00F50F14"/>
    <w:rsid w:val="00F51C52"/>
    <w:rsid w:val="00F52455"/>
    <w:rsid w:val="00F52ADA"/>
    <w:rsid w:val="00F53249"/>
    <w:rsid w:val="00F534D0"/>
    <w:rsid w:val="00F537B9"/>
    <w:rsid w:val="00F5431E"/>
    <w:rsid w:val="00F54E73"/>
    <w:rsid w:val="00F553AA"/>
    <w:rsid w:val="00F55A35"/>
    <w:rsid w:val="00F55A43"/>
    <w:rsid w:val="00F5632B"/>
    <w:rsid w:val="00F57D52"/>
    <w:rsid w:val="00F57D9C"/>
    <w:rsid w:val="00F6104A"/>
    <w:rsid w:val="00F619A8"/>
    <w:rsid w:val="00F61C3A"/>
    <w:rsid w:val="00F61FC9"/>
    <w:rsid w:val="00F6297E"/>
    <w:rsid w:val="00F62C70"/>
    <w:rsid w:val="00F6383D"/>
    <w:rsid w:val="00F64A08"/>
    <w:rsid w:val="00F67CAB"/>
    <w:rsid w:val="00F70D06"/>
    <w:rsid w:val="00F70EB1"/>
    <w:rsid w:val="00F711C9"/>
    <w:rsid w:val="00F7123C"/>
    <w:rsid w:val="00F713E0"/>
    <w:rsid w:val="00F72615"/>
    <w:rsid w:val="00F73B9B"/>
    <w:rsid w:val="00F7434F"/>
    <w:rsid w:val="00F753DD"/>
    <w:rsid w:val="00F75467"/>
    <w:rsid w:val="00F76053"/>
    <w:rsid w:val="00F768F7"/>
    <w:rsid w:val="00F76BE6"/>
    <w:rsid w:val="00F77439"/>
    <w:rsid w:val="00F8001E"/>
    <w:rsid w:val="00F800F3"/>
    <w:rsid w:val="00F80803"/>
    <w:rsid w:val="00F808C9"/>
    <w:rsid w:val="00F8117F"/>
    <w:rsid w:val="00F8158A"/>
    <w:rsid w:val="00F81BC1"/>
    <w:rsid w:val="00F82D92"/>
    <w:rsid w:val="00F836BE"/>
    <w:rsid w:val="00F83879"/>
    <w:rsid w:val="00F83C5D"/>
    <w:rsid w:val="00F844D2"/>
    <w:rsid w:val="00F84A5D"/>
    <w:rsid w:val="00F84D32"/>
    <w:rsid w:val="00F860F5"/>
    <w:rsid w:val="00F8655C"/>
    <w:rsid w:val="00F86A0F"/>
    <w:rsid w:val="00F86CF0"/>
    <w:rsid w:val="00F873A3"/>
    <w:rsid w:val="00F90077"/>
    <w:rsid w:val="00F912FF"/>
    <w:rsid w:val="00F9173E"/>
    <w:rsid w:val="00F91974"/>
    <w:rsid w:val="00F9224D"/>
    <w:rsid w:val="00F92723"/>
    <w:rsid w:val="00F92A8E"/>
    <w:rsid w:val="00F9397F"/>
    <w:rsid w:val="00F941CD"/>
    <w:rsid w:val="00F94BAB"/>
    <w:rsid w:val="00F95031"/>
    <w:rsid w:val="00F95A35"/>
    <w:rsid w:val="00F96569"/>
    <w:rsid w:val="00F9685E"/>
    <w:rsid w:val="00F96A75"/>
    <w:rsid w:val="00F97316"/>
    <w:rsid w:val="00F97D31"/>
    <w:rsid w:val="00FA0209"/>
    <w:rsid w:val="00FA0386"/>
    <w:rsid w:val="00FA043C"/>
    <w:rsid w:val="00FA09D9"/>
    <w:rsid w:val="00FA0DC0"/>
    <w:rsid w:val="00FA0E90"/>
    <w:rsid w:val="00FA14B1"/>
    <w:rsid w:val="00FA27BE"/>
    <w:rsid w:val="00FA2A42"/>
    <w:rsid w:val="00FA2EA0"/>
    <w:rsid w:val="00FA30E7"/>
    <w:rsid w:val="00FA3FC1"/>
    <w:rsid w:val="00FA55CA"/>
    <w:rsid w:val="00FA6AB0"/>
    <w:rsid w:val="00FA6E4D"/>
    <w:rsid w:val="00FA6FEB"/>
    <w:rsid w:val="00FA77C2"/>
    <w:rsid w:val="00FA7B0F"/>
    <w:rsid w:val="00FB068D"/>
    <w:rsid w:val="00FB0E2A"/>
    <w:rsid w:val="00FB132C"/>
    <w:rsid w:val="00FB37F8"/>
    <w:rsid w:val="00FB3FBB"/>
    <w:rsid w:val="00FB48C9"/>
    <w:rsid w:val="00FB4A59"/>
    <w:rsid w:val="00FB5492"/>
    <w:rsid w:val="00FB5DAB"/>
    <w:rsid w:val="00FB6A11"/>
    <w:rsid w:val="00FB783D"/>
    <w:rsid w:val="00FB7DB4"/>
    <w:rsid w:val="00FC032F"/>
    <w:rsid w:val="00FC06A4"/>
    <w:rsid w:val="00FC10CB"/>
    <w:rsid w:val="00FC1312"/>
    <w:rsid w:val="00FC1B52"/>
    <w:rsid w:val="00FC34FC"/>
    <w:rsid w:val="00FC3ABF"/>
    <w:rsid w:val="00FC433E"/>
    <w:rsid w:val="00FC6FEC"/>
    <w:rsid w:val="00FC703C"/>
    <w:rsid w:val="00FC7681"/>
    <w:rsid w:val="00FC7E29"/>
    <w:rsid w:val="00FD02C9"/>
    <w:rsid w:val="00FD088E"/>
    <w:rsid w:val="00FD1595"/>
    <w:rsid w:val="00FD1C57"/>
    <w:rsid w:val="00FD2527"/>
    <w:rsid w:val="00FD2FFA"/>
    <w:rsid w:val="00FD325A"/>
    <w:rsid w:val="00FD4D95"/>
    <w:rsid w:val="00FD55A6"/>
    <w:rsid w:val="00FD70EE"/>
    <w:rsid w:val="00FD7707"/>
    <w:rsid w:val="00FD77CD"/>
    <w:rsid w:val="00FE0261"/>
    <w:rsid w:val="00FE031F"/>
    <w:rsid w:val="00FE08EB"/>
    <w:rsid w:val="00FE0908"/>
    <w:rsid w:val="00FE0A25"/>
    <w:rsid w:val="00FE0BCD"/>
    <w:rsid w:val="00FE0F99"/>
    <w:rsid w:val="00FE11C1"/>
    <w:rsid w:val="00FE147F"/>
    <w:rsid w:val="00FE32CB"/>
    <w:rsid w:val="00FE3335"/>
    <w:rsid w:val="00FE381A"/>
    <w:rsid w:val="00FE4606"/>
    <w:rsid w:val="00FE4983"/>
    <w:rsid w:val="00FE5589"/>
    <w:rsid w:val="00FE6289"/>
    <w:rsid w:val="00FE6358"/>
    <w:rsid w:val="00FE6828"/>
    <w:rsid w:val="00FE68A4"/>
    <w:rsid w:val="00FE69E5"/>
    <w:rsid w:val="00FE732F"/>
    <w:rsid w:val="00FE7919"/>
    <w:rsid w:val="00FF02AF"/>
    <w:rsid w:val="00FF14AC"/>
    <w:rsid w:val="00FF22A1"/>
    <w:rsid w:val="00FF369B"/>
    <w:rsid w:val="00FF378F"/>
    <w:rsid w:val="00FF40F2"/>
    <w:rsid w:val="00FF4315"/>
    <w:rsid w:val="00FF58E7"/>
    <w:rsid w:val="00FF593A"/>
    <w:rsid w:val="00FF661E"/>
    <w:rsid w:val="00FF6661"/>
    <w:rsid w:val="00FF6677"/>
    <w:rsid w:val="00FF6A0B"/>
    <w:rsid w:val="00FF6A90"/>
    <w:rsid w:val="00FF71FE"/>
    <w:rsid w:val="00FF746A"/>
    <w:rsid w:val="00FF7BA6"/>
    <w:rsid w:val="018EB23E"/>
    <w:rsid w:val="028234CE"/>
    <w:rsid w:val="02DDBCD7"/>
    <w:rsid w:val="031377D8"/>
    <w:rsid w:val="032E4C7C"/>
    <w:rsid w:val="03450154"/>
    <w:rsid w:val="03E191EC"/>
    <w:rsid w:val="043072B9"/>
    <w:rsid w:val="04D7E8DF"/>
    <w:rsid w:val="059EF05C"/>
    <w:rsid w:val="05F39532"/>
    <w:rsid w:val="05F81DD9"/>
    <w:rsid w:val="065BA234"/>
    <w:rsid w:val="076F8C3B"/>
    <w:rsid w:val="07743720"/>
    <w:rsid w:val="080667BE"/>
    <w:rsid w:val="082EEB3B"/>
    <w:rsid w:val="0852DC53"/>
    <w:rsid w:val="08C71CAF"/>
    <w:rsid w:val="0936CD15"/>
    <w:rsid w:val="09DE5A2C"/>
    <w:rsid w:val="0A08CD3A"/>
    <w:rsid w:val="0A2AC0D5"/>
    <w:rsid w:val="0A3B2F34"/>
    <w:rsid w:val="0A498C03"/>
    <w:rsid w:val="0A579620"/>
    <w:rsid w:val="0B74DA2B"/>
    <w:rsid w:val="0C704B20"/>
    <w:rsid w:val="0C84C985"/>
    <w:rsid w:val="0D67102C"/>
    <w:rsid w:val="0E18AF5D"/>
    <w:rsid w:val="0E46F7BD"/>
    <w:rsid w:val="0E669A73"/>
    <w:rsid w:val="0E88FABC"/>
    <w:rsid w:val="0F4F337F"/>
    <w:rsid w:val="1001B630"/>
    <w:rsid w:val="10791766"/>
    <w:rsid w:val="10F69ABE"/>
    <w:rsid w:val="11DC56BB"/>
    <w:rsid w:val="11ED70F9"/>
    <w:rsid w:val="1255CB86"/>
    <w:rsid w:val="1361F444"/>
    <w:rsid w:val="136732B1"/>
    <w:rsid w:val="13AC1E6C"/>
    <w:rsid w:val="13CF441B"/>
    <w:rsid w:val="14721EA9"/>
    <w:rsid w:val="14D225A1"/>
    <w:rsid w:val="14FB3466"/>
    <w:rsid w:val="15DA1973"/>
    <w:rsid w:val="15FEDED0"/>
    <w:rsid w:val="170FEB7F"/>
    <w:rsid w:val="170FFB59"/>
    <w:rsid w:val="17BB1D20"/>
    <w:rsid w:val="17F88A80"/>
    <w:rsid w:val="183C66BC"/>
    <w:rsid w:val="18493767"/>
    <w:rsid w:val="18C92146"/>
    <w:rsid w:val="1921D39E"/>
    <w:rsid w:val="199F6C95"/>
    <w:rsid w:val="19B82396"/>
    <w:rsid w:val="19D3D664"/>
    <w:rsid w:val="1A5F20EE"/>
    <w:rsid w:val="1ACDB79F"/>
    <w:rsid w:val="1B74B6B0"/>
    <w:rsid w:val="1C3DDFDD"/>
    <w:rsid w:val="1CB39D8C"/>
    <w:rsid w:val="1D39FA3A"/>
    <w:rsid w:val="1E812326"/>
    <w:rsid w:val="1ED18AEB"/>
    <w:rsid w:val="1EF9CCE2"/>
    <w:rsid w:val="1FEF0EEF"/>
    <w:rsid w:val="1FFBF101"/>
    <w:rsid w:val="203F766E"/>
    <w:rsid w:val="20ABAF9B"/>
    <w:rsid w:val="2198ACDE"/>
    <w:rsid w:val="21C9D34B"/>
    <w:rsid w:val="2227B17E"/>
    <w:rsid w:val="2255DB7F"/>
    <w:rsid w:val="226A120D"/>
    <w:rsid w:val="22A01148"/>
    <w:rsid w:val="22BA4492"/>
    <w:rsid w:val="22C51358"/>
    <w:rsid w:val="22F3F474"/>
    <w:rsid w:val="234A6F60"/>
    <w:rsid w:val="23A66559"/>
    <w:rsid w:val="23AF14A3"/>
    <w:rsid w:val="23B04DE8"/>
    <w:rsid w:val="23CF25F9"/>
    <w:rsid w:val="2462E47C"/>
    <w:rsid w:val="24D83845"/>
    <w:rsid w:val="268C7582"/>
    <w:rsid w:val="26CCC42A"/>
    <w:rsid w:val="2778CB65"/>
    <w:rsid w:val="27BF9596"/>
    <w:rsid w:val="27F6409F"/>
    <w:rsid w:val="284D7C59"/>
    <w:rsid w:val="285EF07C"/>
    <w:rsid w:val="28618760"/>
    <w:rsid w:val="288C25E2"/>
    <w:rsid w:val="2992E059"/>
    <w:rsid w:val="29E8AC0D"/>
    <w:rsid w:val="2A008352"/>
    <w:rsid w:val="2A2618BA"/>
    <w:rsid w:val="2A71103C"/>
    <w:rsid w:val="2AF71029"/>
    <w:rsid w:val="2B86B79D"/>
    <w:rsid w:val="2C51AFAF"/>
    <w:rsid w:val="2C55D494"/>
    <w:rsid w:val="2C68311C"/>
    <w:rsid w:val="2CB21AB7"/>
    <w:rsid w:val="2D1B3116"/>
    <w:rsid w:val="2D392065"/>
    <w:rsid w:val="2D6167DB"/>
    <w:rsid w:val="2D7DDEFB"/>
    <w:rsid w:val="2DEA4290"/>
    <w:rsid w:val="2DEB1A52"/>
    <w:rsid w:val="2E573C72"/>
    <w:rsid w:val="2EEBEDF8"/>
    <w:rsid w:val="2F0B651E"/>
    <w:rsid w:val="308E374A"/>
    <w:rsid w:val="30BFA8B2"/>
    <w:rsid w:val="311347F2"/>
    <w:rsid w:val="319348F7"/>
    <w:rsid w:val="3220143B"/>
    <w:rsid w:val="3249326D"/>
    <w:rsid w:val="3277D413"/>
    <w:rsid w:val="32792908"/>
    <w:rsid w:val="32A40414"/>
    <w:rsid w:val="33574AA3"/>
    <w:rsid w:val="33D8FF4D"/>
    <w:rsid w:val="345E92DA"/>
    <w:rsid w:val="3476B1ED"/>
    <w:rsid w:val="34F72B50"/>
    <w:rsid w:val="359467DA"/>
    <w:rsid w:val="35AE09FD"/>
    <w:rsid w:val="360C5F23"/>
    <w:rsid w:val="37168131"/>
    <w:rsid w:val="37207349"/>
    <w:rsid w:val="37BBDF46"/>
    <w:rsid w:val="37CF7AE1"/>
    <w:rsid w:val="38036644"/>
    <w:rsid w:val="384F03C6"/>
    <w:rsid w:val="389373B6"/>
    <w:rsid w:val="389F158B"/>
    <w:rsid w:val="38D2F47E"/>
    <w:rsid w:val="38EA6DBE"/>
    <w:rsid w:val="3900C5E9"/>
    <w:rsid w:val="3996F1E6"/>
    <w:rsid w:val="3997243F"/>
    <w:rsid w:val="399D086C"/>
    <w:rsid w:val="39BCE35F"/>
    <w:rsid w:val="3A3DBB5B"/>
    <w:rsid w:val="3AF8332F"/>
    <w:rsid w:val="3AF8638C"/>
    <w:rsid w:val="3B9CFC86"/>
    <w:rsid w:val="3C39B7F3"/>
    <w:rsid w:val="3CB693C9"/>
    <w:rsid w:val="3CD49B6F"/>
    <w:rsid w:val="3D979045"/>
    <w:rsid w:val="3DDA44A8"/>
    <w:rsid w:val="3DDFF745"/>
    <w:rsid w:val="3E63CF74"/>
    <w:rsid w:val="3ECA12EF"/>
    <w:rsid w:val="3EDC2E8E"/>
    <w:rsid w:val="3FA7EB05"/>
    <w:rsid w:val="40235692"/>
    <w:rsid w:val="403013A0"/>
    <w:rsid w:val="413DCF6F"/>
    <w:rsid w:val="42994BE6"/>
    <w:rsid w:val="42E28E9B"/>
    <w:rsid w:val="42EF75B2"/>
    <w:rsid w:val="42FFBE0C"/>
    <w:rsid w:val="431A8171"/>
    <w:rsid w:val="43ADC9F5"/>
    <w:rsid w:val="43ED0151"/>
    <w:rsid w:val="43F51764"/>
    <w:rsid w:val="44E40C4E"/>
    <w:rsid w:val="45919C93"/>
    <w:rsid w:val="45C1F725"/>
    <w:rsid w:val="4631CAF8"/>
    <w:rsid w:val="4673A1BA"/>
    <w:rsid w:val="46C3F24A"/>
    <w:rsid w:val="47382191"/>
    <w:rsid w:val="476C7505"/>
    <w:rsid w:val="482B5450"/>
    <w:rsid w:val="48396151"/>
    <w:rsid w:val="48E98D0F"/>
    <w:rsid w:val="48F74EB6"/>
    <w:rsid w:val="48F887D4"/>
    <w:rsid w:val="49407A7A"/>
    <w:rsid w:val="49C4D182"/>
    <w:rsid w:val="4AD68E13"/>
    <w:rsid w:val="4B5097B8"/>
    <w:rsid w:val="4B640276"/>
    <w:rsid w:val="4B946162"/>
    <w:rsid w:val="4BBF6D7D"/>
    <w:rsid w:val="4C0BBFFA"/>
    <w:rsid w:val="4C459DEE"/>
    <w:rsid w:val="4C47E659"/>
    <w:rsid w:val="4CC36395"/>
    <w:rsid w:val="4D4228CB"/>
    <w:rsid w:val="4E8F511F"/>
    <w:rsid w:val="4EC2B98A"/>
    <w:rsid w:val="4F229A42"/>
    <w:rsid w:val="4F6CDCD7"/>
    <w:rsid w:val="4F7A1B75"/>
    <w:rsid w:val="51F0ACDE"/>
    <w:rsid w:val="5200EF03"/>
    <w:rsid w:val="52161FDB"/>
    <w:rsid w:val="5222EEE1"/>
    <w:rsid w:val="522BA638"/>
    <w:rsid w:val="5252E956"/>
    <w:rsid w:val="52B76E1F"/>
    <w:rsid w:val="52F8A83A"/>
    <w:rsid w:val="5358EE76"/>
    <w:rsid w:val="54C10993"/>
    <w:rsid w:val="54D94132"/>
    <w:rsid w:val="550EC2B7"/>
    <w:rsid w:val="55539E55"/>
    <w:rsid w:val="5575E214"/>
    <w:rsid w:val="558CE713"/>
    <w:rsid w:val="564A76C1"/>
    <w:rsid w:val="56A7960F"/>
    <w:rsid w:val="56EA94C3"/>
    <w:rsid w:val="575B202C"/>
    <w:rsid w:val="5836A545"/>
    <w:rsid w:val="59325483"/>
    <w:rsid w:val="5965959F"/>
    <w:rsid w:val="59AAEA2E"/>
    <w:rsid w:val="59F86999"/>
    <w:rsid w:val="5A1B9540"/>
    <w:rsid w:val="5AB0E8BD"/>
    <w:rsid w:val="5AC7080E"/>
    <w:rsid w:val="5ADA3B20"/>
    <w:rsid w:val="5B03D7BB"/>
    <w:rsid w:val="5B44A069"/>
    <w:rsid w:val="5BF4103F"/>
    <w:rsid w:val="5CB29D9E"/>
    <w:rsid w:val="5D273A78"/>
    <w:rsid w:val="5D2FC449"/>
    <w:rsid w:val="5D8C1D54"/>
    <w:rsid w:val="5DEA16C5"/>
    <w:rsid w:val="5E63D59B"/>
    <w:rsid w:val="5FA4A93B"/>
    <w:rsid w:val="60539EAE"/>
    <w:rsid w:val="6053B67F"/>
    <w:rsid w:val="60BF2860"/>
    <w:rsid w:val="622C9B2C"/>
    <w:rsid w:val="6260F9C1"/>
    <w:rsid w:val="6265BD7B"/>
    <w:rsid w:val="62BB970A"/>
    <w:rsid w:val="62C6662C"/>
    <w:rsid w:val="6338627E"/>
    <w:rsid w:val="635C2137"/>
    <w:rsid w:val="640032C5"/>
    <w:rsid w:val="6465E79B"/>
    <w:rsid w:val="64E64EF3"/>
    <w:rsid w:val="64F194DB"/>
    <w:rsid w:val="6723C0CA"/>
    <w:rsid w:val="673C30BD"/>
    <w:rsid w:val="6758FD5C"/>
    <w:rsid w:val="67A3F8FB"/>
    <w:rsid w:val="67E21940"/>
    <w:rsid w:val="6860EF9F"/>
    <w:rsid w:val="68A69147"/>
    <w:rsid w:val="68E4187F"/>
    <w:rsid w:val="695CC889"/>
    <w:rsid w:val="6AAB1A91"/>
    <w:rsid w:val="6AB65A5A"/>
    <w:rsid w:val="6AED7CAF"/>
    <w:rsid w:val="6B279716"/>
    <w:rsid w:val="6B99C636"/>
    <w:rsid w:val="6BB6B615"/>
    <w:rsid w:val="6BF4DA74"/>
    <w:rsid w:val="6C1AA7D7"/>
    <w:rsid w:val="6C35CD5B"/>
    <w:rsid w:val="6C497910"/>
    <w:rsid w:val="6C5DA090"/>
    <w:rsid w:val="6C712CC1"/>
    <w:rsid w:val="6D3453CC"/>
    <w:rsid w:val="6DEDDFC8"/>
    <w:rsid w:val="6DFA4D89"/>
    <w:rsid w:val="6DFDBA89"/>
    <w:rsid w:val="6E2901DC"/>
    <w:rsid w:val="6E972D0C"/>
    <w:rsid w:val="6ED9F29B"/>
    <w:rsid w:val="6F570B14"/>
    <w:rsid w:val="705104E9"/>
    <w:rsid w:val="705B9418"/>
    <w:rsid w:val="709C46CA"/>
    <w:rsid w:val="70D7CF5A"/>
    <w:rsid w:val="7220BC61"/>
    <w:rsid w:val="727DE0F4"/>
    <w:rsid w:val="72E6C8A4"/>
    <w:rsid w:val="731C1D23"/>
    <w:rsid w:val="731FFC19"/>
    <w:rsid w:val="7398C450"/>
    <w:rsid w:val="745D5054"/>
    <w:rsid w:val="746442DE"/>
    <w:rsid w:val="749B8F6B"/>
    <w:rsid w:val="75B388C2"/>
    <w:rsid w:val="76050079"/>
    <w:rsid w:val="767956A1"/>
    <w:rsid w:val="76ED2BEC"/>
    <w:rsid w:val="7721ABFC"/>
    <w:rsid w:val="7741BAC7"/>
    <w:rsid w:val="777774E5"/>
    <w:rsid w:val="77816438"/>
    <w:rsid w:val="781706E6"/>
    <w:rsid w:val="782A11F4"/>
    <w:rsid w:val="78DF751E"/>
    <w:rsid w:val="78FA3F01"/>
    <w:rsid w:val="7914EA92"/>
    <w:rsid w:val="7991DAE8"/>
    <w:rsid w:val="799285BE"/>
    <w:rsid w:val="7A173F11"/>
    <w:rsid w:val="7A3B0955"/>
    <w:rsid w:val="7A4AAD17"/>
    <w:rsid w:val="7A57315F"/>
    <w:rsid w:val="7A5CAD0C"/>
    <w:rsid w:val="7AA62A70"/>
    <w:rsid w:val="7B0C5FE6"/>
    <w:rsid w:val="7BC32408"/>
    <w:rsid w:val="7BE7A3E9"/>
    <w:rsid w:val="7C20C245"/>
    <w:rsid w:val="7C6801AF"/>
    <w:rsid w:val="7C8EA89B"/>
    <w:rsid w:val="7CA5CB95"/>
    <w:rsid w:val="7D96E77F"/>
    <w:rsid w:val="7DC012D1"/>
    <w:rsid w:val="7DF33A98"/>
    <w:rsid w:val="7F61A3FE"/>
    <w:rsid w:val="7F67270A"/>
    <w:rsid w:val="7F875EA5"/>
    <w:rsid w:val="7FA751EF"/>
    <w:rsid w:val="7FB9AA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B6C9906"/>
  <w15:docId w15:val="{8B2788D6-F7AD-4FE2-B7C2-8A5579F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7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87D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7F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9358E"/>
    <w:pPr>
      <w:jc w:val="center"/>
    </w:pPr>
    <w:rPr>
      <w:b/>
      <w:sz w:val="28"/>
    </w:rPr>
  </w:style>
  <w:style w:type="character" w:customStyle="1" w:styleId="TitleChar">
    <w:name w:val="Title Char"/>
    <w:basedOn w:val="DefaultParagraphFont"/>
    <w:link w:val="Title"/>
    <w:uiPriority w:val="99"/>
    <w:rsid w:val="00D9358E"/>
    <w:rPr>
      <w:rFonts w:ascii="Times New Roman" w:eastAsia="Times New Roman" w:hAnsi="Times New Roman" w:cs="Times New Roman"/>
      <w:b/>
      <w:sz w:val="28"/>
      <w:szCs w:val="24"/>
      <w:lang w:eastAsia="lv-LV"/>
    </w:rPr>
  </w:style>
  <w:style w:type="paragraph" w:customStyle="1" w:styleId="Sarakstarindkopa1">
    <w:name w:val="Saraksta rindkopa1"/>
    <w:basedOn w:val="Normal"/>
    <w:uiPriority w:val="34"/>
    <w:qFormat/>
    <w:rsid w:val="00D9358E"/>
    <w:pPr>
      <w:ind w:left="720"/>
      <w:contextualSpacing/>
    </w:pPr>
  </w:style>
  <w:style w:type="paragraph" w:styleId="BodyText">
    <w:name w:val="Body Text"/>
    <w:basedOn w:val="Normal"/>
    <w:link w:val="BodyTextChar"/>
    <w:rsid w:val="00D9358E"/>
    <w:pPr>
      <w:jc w:val="both"/>
    </w:pPr>
    <w:rPr>
      <w:bCs/>
    </w:rPr>
  </w:style>
  <w:style w:type="character" w:customStyle="1" w:styleId="BodyTextChar">
    <w:name w:val="Body Text Char"/>
    <w:basedOn w:val="DefaultParagraphFont"/>
    <w:link w:val="BodyText"/>
    <w:rsid w:val="00D9358E"/>
    <w:rPr>
      <w:rFonts w:ascii="Times New Roman" w:eastAsia="Times New Roman" w:hAnsi="Times New Roman" w:cs="Times New Roman"/>
      <w:bCs/>
      <w:sz w:val="24"/>
      <w:szCs w:val="24"/>
      <w:lang w:eastAsia="lv-LV"/>
    </w:rPr>
  </w:style>
  <w:style w:type="paragraph" w:styleId="Header">
    <w:name w:val="header"/>
    <w:basedOn w:val="Normal"/>
    <w:link w:val="HeaderChar"/>
    <w:uiPriority w:val="99"/>
    <w:unhideWhenUsed/>
    <w:rsid w:val="00D9358E"/>
    <w:pPr>
      <w:tabs>
        <w:tab w:val="center" w:pos="4153"/>
        <w:tab w:val="right" w:pos="8306"/>
      </w:tabs>
    </w:pPr>
  </w:style>
  <w:style w:type="character" w:customStyle="1" w:styleId="HeaderChar">
    <w:name w:val="Header Char"/>
    <w:basedOn w:val="DefaultParagraphFont"/>
    <w:link w:val="Header"/>
    <w:uiPriority w:val="99"/>
    <w:rsid w:val="00D9358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9358E"/>
    <w:pPr>
      <w:ind w:left="720"/>
    </w:pPr>
    <w:rPr>
      <w:rFonts w:ascii="Calibri" w:eastAsia="Calibri" w:hAnsi="Calibri"/>
      <w:sz w:val="22"/>
      <w:szCs w:val="22"/>
    </w:rPr>
  </w:style>
  <w:style w:type="character" w:styleId="Strong">
    <w:name w:val="Strong"/>
    <w:uiPriority w:val="22"/>
    <w:qFormat/>
    <w:rsid w:val="00D9358E"/>
    <w:rPr>
      <w:b/>
      <w:bCs/>
    </w:rPr>
  </w:style>
  <w:style w:type="paragraph" w:styleId="Footer">
    <w:name w:val="footer"/>
    <w:basedOn w:val="Normal"/>
    <w:link w:val="FooterChar"/>
    <w:uiPriority w:val="99"/>
    <w:unhideWhenUsed/>
    <w:rsid w:val="00D9358E"/>
    <w:pPr>
      <w:tabs>
        <w:tab w:val="center" w:pos="4153"/>
        <w:tab w:val="right" w:pos="8306"/>
      </w:tabs>
    </w:pPr>
  </w:style>
  <w:style w:type="character" w:customStyle="1" w:styleId="FooterChar">
    <w:name w:val="Footer Char"/>
    <w:basedOn w:val="DefaultParagraphFont"/>
    <w:link w:val="Footer"/>
    <w:uiPriority w:val="99"/>
    <w:rsid w:val="00D9358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03936"/>
    <w:rPr>
      <w:rFonts w:ascii="Tahoma" w:hAnsi="Tahoma" w:cs="Tahoma"/>
      <w:sz w:val="16"/>
      <w:szCs w:val="16"/>
    </w:rPr>
  </w:style>
  <w:style w:type="character" w:customStyle="1" w:styleId="BalloonTextChar">
    <w:name w:val="Balloon Text Char"/>
    <w:basedOn w:val="DefaultParagraphFont"/>
    <w:link w:val="BalloonText"/>
    <w:uiPriority w:val="99"/>
    <w:semiHidden/>
    <w:rsid w:val="00D0393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453FD"/>
    <w:rPr>
      <w:sz w:val="16"/>
      <w:szCs w:val="16"/>
    </w:rPr>
  </w:style>
  <w:style w:type="paragraph" w:styleId="CommentText">
    <w:name w:val="annotation text"/>
    <w:basedOn w:val="Normal"/>
    <w:link w:val="CommentTextChar"/>
    <w:uiPriority w:val="99"/>
    <w:semiHidden/>
    <w:unhideWhenUsed/>
    <w:rsid w:val="002453FD"/>
    <w:rPr>
      <w:sz w:val="20"/>
      <w:szCs w:val="20"/>
    </w:rPr>
  </w:style>
  <w:style w:type="character" w:customStyle="1" w:styleId="CommentTextChar">
    <w:name w:val="Comment Text Char"/>
    <w:basedOn w:val="DefaultParagraphFont"/>
    <w:link w:val="CommentText"/>
    <w:uiPriority w:val="99"/>
    <w:semiHidden/>
    <w:rsid w:val="002453F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453FD"/>
    <w:rPr>
      <w:b/>
      <w:bCs/>
    </w:rPr>
  </w:style>
  <w:style w:type="character" w:customStyle="1" w:styleId="CommentSubjectChar">
    <w:name w:val="Comment Subject Char"/>
    <w:basedOn w:val="CommentTextChar"/>
    <w:link w:val="CommentSubject"/>
    <w:uiPriority w:val="99"/>
    <w:semiHidden/>
    <w:rsid w:val="002453FD"/>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2453FD"/>
    <w:rPr>
      <w:color w:val="0000FF" w:themeColor="hyperlink"/>
      <w:u w:val="single"/>
    </w:rPr>
  </w:style>
  <w:style w:type="paragraph" w:styleId="FootnoteText">
    <w:name w:val="footnote text"/>
    <w:basedOn w:val="Normal"/>
    <w:link w:val="FootnoteTextChar"/>
    <w:uiPriority w:val="99"/>
    <w:semiHidden/>
    <w:rsid w:val="003C3CA9"/>
    <w:rPr>
      <w:sz w:val="20"/>
      <w:szCs w:val="20"/>
    </w:rPr>
  </w:style>
  <w:style w:type="character" w:customStyle="1" w:styleId="FootnoteTextChar">
    <w:name w:val="Footnote Text Char"/>
    <w:basedOn w:val="DefaultParagraphFont"/>
    <w:link w:val="FootnoteText"/>
    <w:uiPriority w:val="99"/>
    <w:semiHidden/>
    <w:rsid w:val="003C3CA9"/>
    <w:rPr>
      <w:rFonts w:ascii="Times New Roman" w:eastAsia="Times New Roman" w:hAnsi="Times New Roman" w:cs="Times New Roman"/>
      <w:sz w:val="20"/>
      <w:szCs w:val="20"/>
      <w:lang w:eastAsia="lv-LV"/>
    </w:rPr>
  </w:style>
  <w:style w:type="character" w:styleId="FootnoteReference">
    <w:name w:val="footnote reference"/>
    <w:uiPriority w:val="99"/>
    <w:rsid w:val="003C3CA9"/>
    <w:rPr>
      <w:vertAlign w:val="superscript"/>
    </w:rPr>
  </w:style>
  <w:style w:type="paragraph" w:styleId="NormalWeb">
    <w:name w:val="Normal (Web)"/>
    <w:basedOn w:val="Normal"/>
    <w:uiPriority w:val="99"/>
    <w:semiHidden/>
    <w:unhideWhenUsed/>
    <w:rsid w:val="00D02C39"/>
  </w:style>
  <w:style w:type="paragraph" w:customStyle="1" w:styleId="tv2132">
    <w:name w:val="tv2132"/>
    <w:basedOn w:val="Normal"/>
    <w:rsid w:val="00E11206"/>
    <w:pPr>
      <w:spacing w:line="360" w:lineRule="auto"/>
      <w:ind w:firstLine="300"/>
    </w:pPr>
    <w:rPr>
      <w:color w:val="414142"/>
      <w:sz w:val="20"/>
      <w:szCs w:val="20"/>
    </w:rPr>
  </w:style>
  <w:style w:type="paragraph" w:styleId="EndnoteText">
    <w:name w:val="endnote text"/>
    <w:basedOn w:val="Normal"/>
    <w:link w:val="EndnoteTextChar"/>
    <w:uiPriority w:val="99"/>
    <w:semiHidden/>
    <w:unhideWhenUsed/>
    <w:rsid w:val="00220263"/>
    <w:rPr>
      <w:sz w:val="20"/>
      <w:szCs w:val="20"/>
    </w:rPr>
  </w:style>
  <w:style w:type="character" w:customStyle="1" w:styleId="EndnoteTextChar">
    <w:name w:val="Endnote Text Char"/>
    <w:basedOn w:val="DefaultParagraphFont"/>
    <w:link w:val="EndnoteText"/>
    <w:uiPriority w:val="99"/>
    <w:semiHidden/>
    <w:rsid w:val="00220263"/>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20263"/>
    <w:rPr>
      <w:vertAlign w:val="superscript"/>
    </w:rPr>
  </w:style>
  <w:style w:type="character" w:styleId="FollowedHyperlink">
    <w:name w:val="FollowedHyperlink"/>
    <w:basedOn w:val="DefaultParagraphFont"/>
    <w:uiPriority w:val="99"/>
    <w:semiHidden/>
    <w:unhideWhenUsed/>
    <w:rsid w:val="005F4C98"/>
    <w:rPr>
      <w:color w:val="800080" w:themeColor="followedHyperlink"/>
      <w:u w:val="single"/>
    </w:rPr>
  </w:style>
  <w:style w:type="character" w:styleId="Emphasis">
    <w:name w:val="Emphasis"/>
    <w:basedOn w:val="DefaultParagraphFont"/>
    <w:uiPriority w:val="20"/>
    <w:qFormat/>
    <w:rsid w:val="0074085E"/>
    <w:rPr>
      <w:i/>
      <w:iCs/>
    </w:rPr>
  </w:style>
  <w:style w:type="character" w:customStyle="1" w:styleId="Neatrisintapieminana1">
    <w:name w:val="Neatrisināta pieminēšana1"/>
    <w:basedOn w:val="DefaultParagraphFont"/>
    <w:uiPriority w:val="99"/>
    <w:semiHidden/>
    <w:unhideWhenUsed/>
    <w:rsid w:val="00AA4874"/>
    <w:rPr>
      <w:color w:val="605E5C"/>
      <w:shd w:val="clear" w:color="auto" w:fill="E1DFDD"/>
    </w:rPr>
  </w:style>
  <w:style w:type="character" w:customStyle="1" w:styleId="Heading1Char">
    <w:name w:val="Heading 1 Char"/>
    <w:basedOn w:val="DefaultParagraphFont"/>
    <w:link w:val="Heading1"/>
    <w:uiPriority w:val="9"/>
    <w:rsid w:val="00687D0F"/>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5B7FEA"/>
    <w:rPr>
      <w:rFonts w:asciiTheme="majorHAnsi" w:eastAsiaTheme="majorEastAsia" w:hAnsiTheme="majorHAnsi" w:cstheme="majorBidi"/>
      <w:color w:val="365F91" w:themeColor="accent1" w:themeShade="BF"/>
      <w:sz w:val="26"/>
      <w:szCs w:val="26"/>
      <w:lang w:eastAsia="lv-LV"/>
    </w:rPr>
  </w:style>
  <w:style w:type="paragraph" w:styleId="TOCHeading">
    <w:name w:val="TOC Heading"/>
    <w:basedOn w:val="Heading1"/>
    <w:next w:val="Normal"/>
    <w:uiPriority w:val="39"/>
    <w:unhideWhenUsed/>
    <w:qFormat/>
    <w:rsid w:val="005B7FEA"/>
    <w:pPr>
      <w:spacing w:line="259" w:lineRule="auto"/>
      <w:outlineLvl w:val="9"/>
    </w:pPr>
  </w:style>
  <w:style w:type="paragraph" w:styleId="TOC1">
    <w:name w:val="toc 1"/>
    <w:basedOn w:val="Normal"/>
    <w:next w:val="Normal"/>
    <w:autoRedefine/>
    <w:uiPriority w:val="39"/>
    <w:unhideWhenUsed/>
    <w:rsid w:val="0083322D"/>
    <w:pPr>
      <w:tabs>
        <w:tab w:val="right" w:leader="dot" w:pos="9344"/>
      </w:tabs>
      <w:spacing w:after="100"/>
    </w:pPr>
  </w:style>
  <w:style w:type="paragraph" w:styleId="TOC2">
    <w:name w:val="toc 2"/>
    <w:basedOn w:val="Normal"/>
    <w:next w:val="Normal"/>
    <w:autoRedefine/>
    <w:uiPriority w:val="39"/>
    <w:unhideWhenUsed/>
    <w:rsid w:val="0083322D"/>
    <w:pPr>
      <w:tabs>
        <w:tab w:val="right" w:leader="dot" w:pos="9344"/>
      </w:tabs>
      <w:spacing w:after="100"/>
    </w:pPr>
  </w:style>
  <w:style w:type="paragraph" w:styleId="Revision">
    <w:name w:val="Revision"/>
    <w:hidden/>
    <w:uiPriority w:val="99"/>
    <w:semiHidden/>
    <w:rsid w:val="00A416AD"/>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F7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91CF0"/>
  </w:style>
  <w:style w:type="paragraph" w:customStyle="1" w:styleId="Default">
    <w:name w:val="Default"/>
    <w:rsid w:val="005B1CF2"/>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semiHidden/>
    <w:unhideWhenUsed/>
    <w:rsid w:val="008352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35279"/>
    <w:rPr>
      <w:rFonts w:ascii="Calibri" w:hAnsi="Calibri"/>
      <w:szCs w:val="21"/>
    </w:rPr>
  </w:style>
  <w:style w:type="paragraph" w:customStyle="1" w:styleId="xmsonormal">
    <w:name w:val="x_msonormal"/>
    <w:basedOn w:val="Normal"/>
    <w:rsid w:val="00835279"/>
    <w:pPr>
      <w:spacing w:before="100" w:beforeAutospacing="1" w:after="100" w:afterAutospacing="1"/>
    </w:pPr>
    <w:rPr>
      <w:rFonts w:eastAsiaTheme="minorHAnsi"/>
      <w:lang w:eastAsia="en-US"/>
    </w:rPr>
  </w:style>
  <w:style w:type="paragraph" w:styleId="NoSpacing">
    <w:name w:val="No Spacing"/>
    <w:uiPriority w:val="1"/>
    <w:qFormat/>
    <w:rsid w:val="00921882"/>
    <w:pPr>
      <w:spacing w:after="0" w:line="240" w:lineRule="auto"/>
    </w:pPr>
    <w:rPr>
      <w:rFonts w:ascii="Calibri" w:eastAsia="Calibri" w:hAnsi="Calibri" w:cs="Times New Roman"/>
    </w:rPr>
  </w:style>
  <w:style w:type="character" w:customStyle="1" w:styleId="sharetitle1">
    <w:name w:val="share_title1"/>
    <w:basedOn w:val="DefaultParagraphFont"/>
    <w:rsid w:val="000762A8"/>
    <w:rPr>
      <w:b/>
      <w:bCs/>
    </w:rPr>
  </w:style>
  <w:style w:type="paragraph" w:customStyle="1" w:styleId="naisf">
    <w:name w:val="naisf"/>
    <w:basedOn w:val="Normal"/>
    <w:rsid w:val="00571D24"/>
    <w:pPr>
      <w:spacing w:before="75" w:after="75"/>
      <w:ind w:firstLine="375"/>
      <w:jc w:val="both"/>
    </w:pPr>
  </w:style>
  <w:style w:type="paragraph" w:customStyle="1" w:styleId="Body">
    <w:name w:val="Body"/>
    <w:rsid w:val="005D72F1"/>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8373">
      <w:bodyDiv w:val="1"/>
      <w:marLeft w:val="0"/>
      <w:marRight w:val="0"/>
      <w:marTop w:val="0"/>
      <w:marBottom w:val="0"/>
      <w:divBdr>
        <w:top w:val="none" w:sz="0" w:space="0" w:color="auto"/>
        <w:left w:val="none" w:sz="0" w:space="0" w:color="auto"/>
        <w:bottom w:val="none" w:sz="0" w:space="0" w:color="auto"/>
        <w:right w:val="none" w:sz="0" w:space="0" w:color="auto"/>
      </w:divBdr>
    </w:div>
    <w:div w:id="95832223">
      <w:bodyDiv w:val="1"/>
      <w:marLeft w:val="0"/>
      <w:marRight w:val="0"/>
      <w:marTop w:val="0"/>
      <w:marBottom w:val="0"/>
      <w:divBdr>
        <w:top w:val="none" w:sz="0" w:space="0" w:color="auto"/>
        <w:left w:val="none" w:sz="0" w:space="0" w:color="auto"/>
        <w:bottom w:val="none" w:sz="0" w:space="0" w:color="auto"/>
        <w:right w:val="none" w:sz="0" w:space="0" w:color="auto"/>
      </w:divBdr>
    </w:div>
    <w:div w:id="116069304">
      <w:bodyDiv w:val="1"/>
      <w:marLeft w:val="0"/>
      <w:marRight w:val="0"/>
      <w:marTop w:val="0"/>
      <w:marBottom w:val="0"/>
      <w:divBdr>
        <w:top w:val="none" w:sz="0" w:space="0" w:color="auto"/>
        <w:left w:val="none" w:sz="0" w:space="0" w:color="auto"/>
        <w:bottom w:val="none" w:sz="0" w:space="0" w:color="auto"/>
        <w:right w:val="none" w:sz="0" w:space="0" w:color="auto"/>
      </w:divBdr>
    </w:div>
    <w:div w:id="124860886">
      <w:bodyDiv w:val="1"/>
      <w:marLeft w:val="0"/>
      <w:marRight w:val="0"/>
      <w:marTop w:val="0"/>
      <w:marBottom w:val="0"/>
      <w:divBdr>
        <w:top w:val="none" w:sz="0" w:space="0" w:color="auto"/>
        <w:left w:val="none" w:sz="0" w:space="0" w:color="auto"/>
        <w:bottom w:val="none" w:sz="0" w:space="0" w:color="auto"/>
        <w:right w:val="none" w:sz="0" w:space="0" w:color="auto"/>
      </w:divBdr>
    </w:div>
    <w:div w:id="154690796">
      <w:bodyDiv w:val="1"/>
      <w:marLeft w:val="0"/>
      <w:marRight w:val="0"/>
      <w:marTop w:val="0"/>
      <w:marBottom w:val="0"/>
      <w:divBdr>
        <w:top w:val="none" w:sz="0" w:space="0" w:color="auto"/>
        <w:left w:val="none" w:sz="0" w:space="0" w:color="auto"/>
        <w:bottom w:val="none" w:sz="0" w:space="0" w:color="auto"/>
        <w:right w:val="none" w:sz="0" w:space="0" w:color="auto"/>
      </w:divBdr>
    </w:div>
    <w:div w:id="221256611">
      <w:bodyDiv w:val="1"/>
      <w:marLeft w:val="0"/>
      <w:marRight w:val="0"/>
      <w:marTop w:val="0"/>
      <w:marBottom w:val="0"/>
      <w:divBdr>
        <w:top w:val="none" w:sz="0" w:space="0" w:color="auto"/>
        <w:left w:val="none" w:sz="0" w:space="0" w:color="auto"/>
        <w:bottom w:val="none" w:sz="0" w:space="0" w:color="auto"/>
        <w:right w:val="none" w:sz="0" w:space="0" w:color="auto"/>
      </w:divBdr>
    </w:div>
    <w:div w:id="252670101">
      <w:bodyDiv w:val="1"/>
      <w:marLeft w:val="0"/>
      <w:marRight w:val="0"/>
      <w:marTop w:val="0"/>
      <w:marBottom w:val="0"/>
      <w:divBdr>
        <w:top w:val="none" w:sz="0" w:space="0" w:color="auto"/>
        <w:left w:val="none" w:sz="0" w:space="0" w:color="auto"/>
        <w:bottom w:val="none" w:sz="0" w:space="0" w:color="auto"/>
        <w:right w:val="none" w:sz="0" w:space="0" w:color="auto"/>
      </w:divBdr>
    </w:div>
    <w:div w:id="295599971">
      <w:bodyDiv w:val="1"/>
      <w:marLeft w:val="0"/>
      <w:marRight w:val="0"/>
      <w:marTop w:val="0"/>
      <w:marBottom w:val="0"/>
      <w:divBdr>
        <w:top w:val="none" w:sz="0" w:space="0" w:color="auto"/>
        <w:left w:val="none" w:sz="0" w:space="0" w:color="auto"/>
        <w:bottom w:val="none" w:sz="0" w:space="0" w:color="auto"/>
        <w:right w:val="none" w:sz="0" w:space="0" w:color="auto"/>
      </w:divBdr>
    </w:div>
    <w:div w:id="313795622">
      <w:bodyDiv w:val="1"/>
      <w:marLeft w:val="0"/>
      <w:marRight w:val="0"/>
      <w:marTop w:val="0"/>
      <w:marBottom w:val="0"/>
      <w:divBdr>
        <w:top w:val="none" w:sz="0" w:space="0" w:color="auto"/>
        <w:left w:val="none" w:sz="0" w:space="0" w:color="auto"/>
        <w:bottom w:val="none" w:sz="0" w:space="0" w:color="auto"/>
        <w:right w:val="none" w:sz="0" w:space="0" w:color="auto"/>
      </w:divBdr>
      <w:divsChild>
        <w:div w:id="1382830323">
          <w:marLeft w:val="0"/>
          <w:marRight w:val="0"/>
          <w:marTop w:val="0"/>
          <w:marBottom w:val="0"/>
          <w:divBdr>
            <w:top w:val="none" w:sz="0" w:space="0" w:color="auto"/>
            <w:left w:val="none" w:sz="0" w:space="0" w:color="auto"/>
            <w:bottom w:val="none" w:sz="0" w:space="0" w:color="auto"/>
            <w:right w:val="none" w:sz="0" w:space="0" w:color="auto"/>
          </w:divBdr>
          <w:divsChild>
            <w:div w:id="1120536522">
              <w:marLeft w:val="0"/>
              <w:marRight w:val="0"/>
              <w:marTop w:val="0"/>
              <w:marBottom w:val="0"/>
              <w:divBdr>
                <w:top w:val="none" w:sz="0" w:space="0" w:color="auto"/>
                <w:left w:val="none" w:sz="0" w:space="0" w:color="auto"/>
                <w:bottom w:val="none" w:sz="0" w:space="0" w:color="auto"/>
                <w:right w:val="none" w:sz="0" w:space="0" w:color="auto"/>
              </w:divBdr>
              <w:divsChild>
                <w:div w:id="984894684">
                  <w:marLeft w:val="0"/>
                  <w:marRight w:val="0"/>
                  <w:marTop w:val="0"/>
                  <w:marBottom w:val="0"/>
                  <w:divBdr>
                    <w:top w:val="none" w:sz="0" w:space="0" w:color="auto"/>
                    <w:left w:val="none" w:sz="0" w:space="0" w:color="auto"/>
                    <w:bottom w:val="none" w:sz="0" w:space="0" w:color="auto"/>
                    <w:right w:val="none" w:sz="0" w:space="0" w:color="auto"/>
                  </w:divBdr>
                  <w:divsChild>
                    <w:div w:id="322397419">
                      <w:marLeft w:val="0"/>
                      <w:marRight w:val="0"/>
                      <w:marTop w:val="0"/>
                      <w:marBottom w:val="0"/>
                      <w:divBdr>
                        <w:top w:val="none" w:sz="0" w:space="0" w:color="auto"/>
                        <w:left w:val="none" w:sz="0" w:space="0" w:color="auto"/>
                        <w:bottom w:val="none" w:sz="0" w:space="0" w:color="auto"/>
                        <w:right w:val="none" w:sz="0" w:space="0" w:color="auto"/>
                      </w:divBdr>
                      <w:divsChild>
                        <w:div w:id="595554264">
                          <w:marLeft w:val="0"/>
                          <w:marRight w:val="0"/>
                          <w:marTop w:val="0"/>
                          <w:marBottom w:val="0"/>
                          <w:divBdr>
                            <w:top w:val="none" w:sz="0" w:space="0" w:color="auto"/>
                            <w:left w:val="none" w:sz="0" w:space="0" w:color="auto"/>
                            <w:bottom w:val="none" w:sz="0" w:space="0" w:color="auto"/>
                            <w:right w:val="none" w:sz="0" w:space="0" w:color="auto"/>
                          </w:divBdr>
                          <w:divsChild>
                            <w:div w:id="1274021506">
                              <w:marLeft w:val="0"/>
                              <w:marRight w:val="0"/>
                              <w:marTop w:val="0"/>
                              <w:marBottom w:val="0"/>
                              <w:divBdr>
                                <w:top w:val="none" w:sz="0" w:space="0" w:color="auto"/>
                                <w:left w:val="none" w:sz="0" w:space="0" w:color="auto"/>
                                <w:bottom w:val="none" w:sz="0" w:space="0" w:color="auto"/>
                                <w:right w:val="none" w:sz="0" w:space="0" w:color="auto"/>
                              </w:divBdr>
                              <w:divsChild>
                                <w:div w:id="1919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49998">
      <w:bodyDiv w:val="1"/>
      <w:marLeft w:val="0"/>
      <w:marRight w:val="0"/>
      <w:marTop w:val="0"/>
      <w:marBottom w:val="0"/>
      <w:divBdr>
        <w:top w:val="none" w:sz="0" w:space="0" w:color="auto"/>
        <w:left w:val="none" w:sz="0" w:space="0" w:color="auto"/>
        <w:bottom w:val="none" w:sz="0" w:space="0" w:color="auto"/>
        <w:right w:val="none" w:sz="0" w:space="0" w:color="auto"/>
      </w:divBdr>
      <w:divsChild>
        <w:div w:id="1016233306">
          <w:marLeft w:val="547"/>
          <w:marRight w:val="0"/>
          <w:marTop w:val="86"/>
          <w:marBottom w:val="0"/>
          <w:divBdr>
            <w:top w:val="none" w:sz="0" w:space="0" w:color="auto"/>
            <w:left w:val="none" w:sz="0" w:space="0" w:color="auto"/>
            <w:bottom w:val="none" w:sz="0" w:space="0" w:color="auto"/>
            <w:right w:val="none" w:sz="0" w:space="0" w:color="auto"/>
          </w:divBdr>
        </w:div>
      </w:divsChild>
    </w:div>
    <w:div w:id="398021213">
      <w:bodyDiv w:val="1"/>
      <w:marLeft w:val="0"/>
      <w:marRight w:val="0"/>
      <w:marTop w:val="0"/>
      <w:marBottom w:val="0"/>
      <w:divBdr>
        <w:top w:val="none" w:sz="0" w:space="0" w:color="auto"/>
        <w:left w:val="none" w:sz="0" w:space="0" w:color="auto"/>
        <w:bottom w:val="none" w:sz="0" w:space="0" w:color="auto"/>
        <w:right w:val="none" w:sz="0" w:space="0" w:color="auto"/>
      </w:divBdr>
    </w:div>
    <w:div w:id="442697843">
      <w:bodyDiv w:val="1"/>
      <w:marLeft w:val="0"/>
      <w:marRight w:val="0"/>
      <w:marTop w:val="0"/>
      <w:marBottom w:val="0"/>
      <w:divBdr>
        <w:top w:val="none" w:sz="0" w:space="0" w:color="auto"/>
        <w:left w:val="none" w:sz="0" w:space="0" w:color="auto"/>
        <w:bottom w:val="none" w:sz="0" w:space="0" w:color="auto"/>
        <w:right w:val="none" w:sz="0" w:space="0" w:color="auto"/>
      </w:divBdr>
    </w:div>
    <w:div w:id="445972696">
      <w:bodyDiv w:val="1"/>
      <w:marLeft w:val="0"/>
      <w:marRight w:val="0"/>
      <w:marTop w:val="0"/>
      <w:marBottom w:val="0"/>
      <w:divBdr>
        <w:top w:val="none" w:sz="0" w:space="0" w:color="auto"/>
        <w:left w:val="none" w:sz="0" w:space="0" w:color="auto"/>
        <w:bottom w:val="none" w:sz="0" w:space="0" w:color="auto"/>
        <w:right w:val="none" w:sz="0" w:space="0" w:color="auto"/>
      </w:divBdr>
      <w:divsChild>
        <w:div w:id="613556751">
          <w:marLeft w:val="547"/>
          <w:marRight w:val="0"/>
          <w:marTop w:val="96"/>
          <w:marBottom w:val="0"/>
          <w:divBdr>
            <w:top w:val="none" w:sz="0" w:space="0" w:color="auto"/>
            <w:left w:val="none" w:sz="0" w:space="0" w:color="auto"/>
            <w:bottom w:val="none" w:sz="0" w:space="0" w:color="auto"/>
            <w:right w:val="none" w:sz="0" w:space="0" w:color="auto"/>
          </w:divBdr>
        </w:div>
      </w:divsChild>
    </w:div>
    <w:div w:id="481780007">
      <w:bodyDiv w:val="1"/>
      <w:marLeft w:val="0"/>
      <w:marRight w:val="0"/>
      <w:marTop w:val="0"/>
      <w:marBottom w:val="0"/>
      <w:divBdr>
        <w:top w:val="none" w:sz="0" w:space="0" w:color="auto"/>
        <w:left w:val="none" w:sz="0" w:space="0" w:color="auto"/>
        <w:bottom w:val="none" w:sz="0" w:space="0" w:color="auto"/>
        <w:right w:val="none" w:sz="0" w:space="0" w:color="auto"/>
      </w:divBdr>
      <w:divsChild>
        <w:div w:id="1685130869">
          <w:marLeft w:val="0"/>
          <w:marRight w:val="0"/>
          <w:marTop w:val="0"/>
          <w:marBottom w:val="0"/>
          <w:divBdr>
            <w:top w:val="none" w:sz="0" w:space="0" w:color="auto"/>
            <w:left w:val="none" w:sz="0" w:space="0" w:color="auto"/>
            <w:bottom w:val="none" w:sz="0" w:space="0" w:color="auto"/>
            <w:right w:val="none" w:sz="0" w:space="0" w:color="auto"/>
          </w:divBdr>
          <w:divsChild>
            <w:div w:id="1009917239">
              <w:marLeft w:val="-225"/>
              <w:marRight w:val="-225"/>
              <w:marTop w:val="0"/>
              <w:marBottom w:val="0"/>
              <w:divBdr>
                <w:top w:val="none" w:sz="0" w:space="0" w:color="auto"/>
                <w:left w:val="none" w:sz="0" w:space="0" w:color="auto"/>
                <w:bottom w:val="none" w:sz="0" w:space="0" w:color="auto"/>
                <w:right w:val="none" w:sz="0" w:space="0" w:color="auto"/>
              </w:divBdr>
              <w:divsChild>
                <w:div w:id="2110738349">
                  <w:marLeft w:val="0"/>
                  <w:marRight w:val="0"/>
                  <w:marTop w:val="0"/>
                  <w:marBottom w:val="0"/>
                  <w:divBdr>
                    <w:top w:val="none" w:sz="0" w:space="0" w:color="auto"/>
                    <w:left w:val="none" w:sz="0" w:space="0" w:color="auto"/>
                    <w:bottom w:val="none" w:sz="0" w:space="0" w:color="auto"/>
                    <w:right w:val="none" w:sz="0" w:space="0" w:color="auto"/>
                  </w:divBdr>
                  <w:divsChild>
                    <w:div w:id="195191912">
                      <w:marLeft w:val="0"/>
                      <w:marRight w:val="0"/>
                      <w:marTop w:val="0"/>
                      <w:marBottom w:val="0"/>
                      <w:divBdr>
                        <w:top w:val="none" w:sz="0" w:space="0" w:color="auto"/>
                        <w:left w:val="none" w:sz="0" w:space="0" w:color="auto"/>
                        <w:bottom w:val="none" w:sz="0" w:space="0" w:color="auto"/>
                        <w:right w:val="none" w:sz="0" w:space="0" w:color="auto"/>
                      </w:divBdr>
                      <w:divsChild>
                        <w:div w:id="1365207264">
                          <w:marLeft w:val="-225"/>
                          <w:marRight w:val="-225"/>
                          <w:marTop w:val="0"/>
                          <w:marBottom w:val="0"/>
                          <w:divBdr>
                            <w:top w:val="none" w:sz="0" w:space="0" w:color="auto"/>
                            <w:left w:val="none" w:sz="0" w:space="0" w:color="auto"/>
                            <w:bottom w:val="none" w:sz="0" w:space="0" w:color="auto"/>
                            <w:right w:val="none" w:sz="0" w:space="0" w:color="auto"/>
                          </w:divBdr>
                          <w:divsChild>
                            <w:div w:id="726270835">
                              <w:marLeft w:val="0"/>
                              <w:marRight w:val="0"/>
                              <w:marTop w:val="0"/>
                              <w:marBottom w:val="0"/>
                              <w:divBdr>
                                <w:top w:val="none" w:sz="0" w:space="0" w:color="auto"/>
                                <w:left w:val="none" w:sz="0" w:space="0" w:color="auto"/>
                                <w:bottom w:val="none" w:sz="0" w:space="0" w:color="auto"/>
                                <w:right w:val="none" w:sz="0" w:space="0" w:color="auto"/>
                              </w:divBdr>
                              <w:divsChild>
                                <w:div w:id="19286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488753">
      <w:bodyDiv w:val="1"/>
      <w:marLeft w:val="0"/>
      <w:marRight w:val="0"/>
      <w:marTop w:val="0"/>
      <w:marBottom w:val="0"/>
      <w:divBdr>
        <w:top w:val="none" w:sz="0" w:space="0" w:color="auto"/>
        <w:left w:val="none" w:sz="0" w:space="0" w:color="auto"/>
        <w:bottom w:val="none" w:sz="0" w:space="0" w:color="auto"/>
        <w:right w:val="none" w:sz="0" w:space="0" w:color="auto"/>
      </w:divBdr>
    </w:div>
    <w:div w:id="518128280">
      <w:bodyDiv w:val="1"/>
      <w:marLeft w:val="0"/>
      <w:marRight w:val="0"/>
      <w:marTop w:val="0"/>
      <w:marBottom w:val="0"/>
      <w:divBdr>
        <w:top w:val="none" w:sz="0" w:space="0" w:color="auto"/>
        <w:left w:val="none" w:sz="0" w:space="0" w:color="auto"/>
        <w:bottom w:val="none" w:sz="0" w:space="0" w:color="auto"/>
        <w:right w:val="none" w:sz="0" w:space="0" w:color="auto"/>
      </w:divBdr>
    </w:div>
    <w:div w:id="530653028">
      <w:bodyDiv w:val="1"/>
      <w:marLeft w:val="0"/>
      <w:marRight w:val="0"/>
      <w:marTop w:val="0"/>
      <w:marBottom w:val="0"/>
      <w:divBdr>
        <w:top w:val="none" w:sz="0" w:space="0" w:color="auto"/>
        <w:left w:val="none" w:sz="0" w:space="0" w:color="auto"/>
        <w:bottom w:val="none" w:sz="0" w:space="0" w:color="auto"/>
        <w:right w:val="none" w:sz="0" w:space="0" w:color="auto"/>
      </w:divBdr>
    </w:div>
    <w:div w:id="571432208">
      <w:bodyDiv w:val="1"/>
      <w:marLeft w:val="0"/>
      <w:marRight w:val="0"/>
      <w:marTop w:val="0"/>
      <w:marBottom w:val="0"/>
      <w:divBdr>
        <w:top w:val="none" w:sz="0" w:space="0" w:color="auto"/>
        <w:left w:val="none" w:sz="0" w:space="0" w:color="auto"/>
        <w:bottom w:val="none" w:sz="0" w:space="0" w:color="auto"/>
        <w:right w:val="none" w:sz="0" w:space="0" w:color="auto"/>
      </w:divBdr>
    </w:div>
    <w:div w:id="578684799">
      <w:bodyDiv w:val="1"/>
      <w:marLeft w:val="0"/>
      <w:marRight w:val="0"/>
      <w:marTop w:val="0"/>
      <w:marBottom w:val="0"/>
      <w:divBdr>
        <w:top w:val="none" w:sz="0" w:space="0" w:color="auto"/>
        <w:left w:val="none" w:sz="0" w:space="0" w:color="auto"/>
        <w:bottom w:val="none" w:sz="0" w:space="0" w:color="auto"/>
        <w:right w:val="none" w:sz="0" w:space="0" w:color="auto"/>
      </w:divBdr>
    </w:div>
    <w:div w:id="601646999">
      <w:bodyDiv w:val="1"/>
      <w:marLeft w:val="0"/>
      <w:marRight w:val="0"/>
      <w:marTop w:val="0"/>
      <w:marBottom w:val="0"/>
      <w:divBdr>
        <w:top w:val="none" w:sz="0" w:space="0" w:color="auto"/>
        <w:left w:val="none" w:sz="0" w:space="0" w:color="auto"/>
        <w:bottom w:val="none" w:sz="0" w:space="0" w:color="auto"/>
        <w:right w:val="none" w:sz="0" w:space="0" w:color="auto"/>
      </w:divBdr>
    </w:div>
    <w:div w:id="674185330">
      <w:bodyDiv w:val="1"/>
      <w:marLeft w:val="0"/>
      <w:marRight w:val="0"/>
      <w:marTop w:val="0"/>
      <w:marBottom w:val="0"/>
      <w:divBdr>
        <w:top w:val="none" w:sz="0" w:space="0" w:color="auto"/>
        <w:left w:val="none" w:sz="0" w:space="0" w:color="auto"/>
        <w:bottom w:val="none" w:sz="0" w:space="0" w:color="auto"/>
        <w:right w:val="none" w:sz="0" w:space="0" w:color="auto"/>
      </w:divBdr>
    </w:div>
    <w:div w:id="680356119">
      <w:bodyDiv w:val="1"/>
      <w:marLeft w:val="0"/>
      <w:marRight w:val="0"/>
      <w:marTop w:val="0"/>
      <w:marBottom w:val="0"/>
      <w:divBdr>
        <w:top w:val="none" w:sz="0" w:space="0" w:color="auto"/>
        <w:left w:val="none" w:sz="0" w:space="0" w:color="auto"/>
        <w:bottom w:val="none" w:sz="0" w:space="0" w:color="auto"/>
        <w:right w:val="none" w:sz="0" w:space="0" w:color="auto"/>
      </w:divBdr>
    </w:div>
    <w:div w:id="753862333">
      <w:bodyDiv w:val="1"/>
      <w:marLeft w:val="0"/>
      <w:marRight w:val="0"/>
      <w:marTop w:val="0"/>
      <w:marBottom w:val="0"/>
      <w:divBdr>
        <w:top w:val="none" w:sz="0" w:space="0" w:color="auto"/>
        <w:left w:val="none" w:sz="0" w:space="0" w:color="auto"/>
        <w:bottom w:val="none" w:sz="0" w:space="0" w:color="auto"/>
        <w:right w:val="none" w:sz="0" w:space="0" w:color="auto"/>
      </w:divBdr>
    </w:div>
    <w:div w:id="782580747">
      <w:bodyDiv w:val="1"/>
      <w:marLeft w:val="0"/>
      <w:marRight w:val="0"/>
      <w:marTop w:val="0"/>
      <w:marBottom w:val="0"/>
      <w:divBdr>
        <w:top w:val="none" w:sz="0" w:space="0" w:color="auto"/>
        <w:left w:val="none" w:sz="0" w:space="0" w:color="auto"/>
        <w:bottom w:val="none" w:sz="0" w:space="0" w:color="auto"/>
        <w:right w:val="none" w:sz="0" w:space="0" w:color="auto"/>
      </w:divBdr>
    </w:div>
    <w:div w:id="791095905">
      <w:bodyDiv w:val="1"/>
      <w:marLeft w:val="0"/>
      <w:marRight w:val="0"/>
      <w:marTop w:val="0"/>
      <w:marBottom w:val="0"/>
      <w:divBdr>
        <w:top w:val="none" w:sz="0" w:space="0" w:color="auto"/>
        <w:left w:val="none" w:sz="0" w:space="0" w:color="auto"/>
        <w:bottom w:val="none" w:sz="0" w:space="0" w:color="auto"/>
        <w:right w:val="none" w:sz="0" w:space="0" w:color="auto"/>
      </w:divBdr>
    </w:div>
    <w:div w:id="819537834">
      <w:bodyDiv w:val="1"/>
      <w:marLeft w:val="0"/>
      <w:marRight w:val="0"/>
      <w:marTop w:val="0"/>
      <w:marBottom w:val="0"/>
      <w:divBdr>
        <w:top w:val="none" w:sz="0" w:space="0" w:color="auto"/>
        <w:left w:val="none" w:sz="0" w:space="0" w:color="auto"/>
        <w:bottom w:val="none" w:sz="0" w:space="0" w:color="auto"/>
        <w:right w:val="none" w:sz="0" w:space="0" w:color="auto"/>
      </w:divBdr>
      <w:divsChild>
        <w:div w:id="616765032">
          <w:marLeft w:val="0"/>
          <w:marRight w:val="0"/>
          <w:marTop w:val="0"/>
          <w:marBottom w:val="0"/>
          <w:divBdr>
            <w:top w:val="none" w:sz="0" w:space="0" w:color="auto"/>
            <w:left w:val="none" w:sz="0" w:space="0" w:color="auto"/>
            <w:bottom w:val="none" w:sz="0" w:space="0" w:color="auto"/>
            <w:right w:val="none" w:sz="0" w:space="0" w:color="auto"/>
          </w:divBdr>
          <w:divsChild>
            <w:div w:id="1121921118">
              <w:marLeft w:val="0"/>
              <w:marRight w:val="0"/>
              <w:marTop w:val="0"/>
              <w:marBottom w:val="0"/>
              <w:divBdr>
                <w:top w:val="none" w:sz="0" w:space="0" w:color="auto"/>
                <w:left w:val="none" w:sz="0" w:space="0" w:color="auto"/>
                <w:bottom w:val="none" w:sz="0" w:space="0" w:color="auto"/>
                <w:right w:val="none" w:sz="0" w:space="0" w:color="auto"/>
              </w:divBdr>
              <w:divsChild>
                <w:div w:id="1035353150">
                  <w:marLeft w:val="0"/>
                  <w:marRight w:val="0"/>
                  <w:marTop w:val="0"/>
                  <w:marBottom w:val="0"/>
                  <w:divBdr>
                    <w:top w:val="none" w:sz="0" w:space="0" w:color="auto"/>
                    <w:left w:val="none" w:sz="0" w:space="0" w:color="auto"/>
                    <w:bottom w:val="none" w:sz="0" w:space="0" w:color="auto"/>
                    <w:right w:val="none" w:sz="0" w:space="0" w:color="auto"/>
                  </w:divBdr>
                  <w:divsChild>
                    <w:div w:id="1484615589">
                      <w:marLeft w:val="0"/>
                      <w:marRight w:val="0"/>
                      <w:marTop w:val="0"/>
                      <w:marBottom w:val="0"/>
                      <w:divBdr>
                        <w:top w:val="none" w:sz="0" w:space="0" w:color="auto"/>
                        <w:left w:val="none" w:sz="0" w:space="0" w:color="auto"/>
                        <w:bottom w:val="none" w:sz="0" w:space="0" w:color="auto"/>
                        <w:right w:val="none" w:sz="0" w:space="0" w:color="auto"/>
                      </w:divBdr>
                      <w:divsChild>
                        <w:div w:id="915019223">
                          <w:marLeft w:val="0"/>
                          <w:marRight w:val="0"/>
                          <w:marTop w:val="0"/>
                          <w:marBottom w:val="0"/>
                          <w:divBdr>
                            <w:top w:val="none" w:sz="0" w:space="0" w:color="auto"/>
                            <w:left w:val="none" w:sz="0" w:space="0" w:color="auto"/>
                            <w:bottom w:val="none" w:sz="0" w:space="0" w:color="auto"/>
                            <w:right w:val="none" w:sz="0" w:space="0" w:color="auto"/>
                          </w:divBdr>
                          <w:divsChild>
                            <w:div w:id="5894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31828">
      <w:bodyDiv w:val="1"/>
      <w:marLeft w:val="0"/>
      <w:marRight w:val="0"/>
      <w:marTop w:val="0"/>
      <w:marBottom w:val="0"/>
      <w:divBdr>
        <w:top w:val="none" w:sz="0" w:space="0" w:color="auto"/>
        <w:left w:val="none" w:sz="0" w:space="0" w:color="auto"/>
        <w:bottom w:val="none" w:sz="0" w:space="0" w:color="auto"/>
        <w:right w:val="none" w:sz="0" w:space="0" w:color="auto"/>
      </w:divBdr>
    </w:div>
    <w:div w:id="886453261">
      <w:bodyDiv w:val="1"/>
      <w:marLeft w:val="0"/>
      <w:marRight w:val="0"/>
      <w:marTop w:val="0"/>
      <w:marBottom w:val="0"/>
      <w:divBdr>
        <w:top w:val="none" w:sz="0" w:space="0" w:color="auto"/>
        <w:left w:val="none" w:sz="0" w:space="0" w:color="auto"/>
        <w:bottom w:val="none" w:sz="0" w:space="0" w:color="auto"/>
        <w:right w:val="none" w:sz="0" w:space="0" w:color="auto"/>
      </w:divBdr>
    </w:div>
    <w:div w:id="962149995">
      <w:bodyDiv w:val="1"/>
      <w:marLeft w:val="0"/>
      <w:marRight w:val="0"/>
      <w:marTop w:val="0"/>
      <w:marBottom w:val="0"/>
      <w:divBdr>
        <w:top w:val="none" w:sz="0" w:space="0" w:color="auto"/>
        <w:left w:val="none" w:sz="0" w:space="0" w:color="auto"/>
        <w:bottom w:val="none" w:sz="0" w:space="0" w:color="auto"/>
        <w:right w:val="none" w:sz="0" w:space="0" w:color="auto"/>
      </w:divBdr>
      <w:divsChild>
        <w:div w:id="388724232">
          <w:marLeft w:val="0"/>
          <w:marRight w:val="0"/>
          <w:marTop w:val="100"/>
          <w:marBottom w:val="100"/>
          <w:divBdr>
            <w:top w:val="none" w:sz="0" w:space="0" w:color="auto"/>
            <w:left w:val="none" w:sz="0" w:space="0" w:color="auto"/>
            <w:bottom w:val="none" w:sz="0" w:space="0" w:color="auto"/>
            <w:right w:val="none" w:sz="0" w:space="0" w:color="auto"/>
          </w:divBdr>
          <w:divsChild>
            <w:div w:id="1639460481">
              <w:marLeft w:val="0"/>
              <w:marRight w:val="0"/>
              <w:marTop w:val="0"/>
              <w:marBottom w:val="0"/>
              <w:divBdr>
                <w:top w:val="none" w:sz="0" w:space="0" w:color="auto"/>
                <w:left w:val="none" w:sz="0" w:space="0" w:color="auto"/>
                <w:bottom w:val="none" w:sz="0" w:space="0" w:color="auto"/>
                <w:right w:val="none" w:sz="0" w:space="0" w:color="auto"/>
              </w:divBdr>
              <w:divsChild>
                <w:div w:id="416098079">
                  <w:marLeft w:val="0"/>
                  <w:marRight w:val="0"/>
                  <w:marTop w:val="0"/>
                  <w:marBottom w:val="0"/>
                  <w:divBdr>
                    <w:top w:val="none" w:sz="0" w:space="0" w:color="auto"/>
                    <w:left w:val="none" w:sz="0" w:space="0" w:color="auto"/>
                    <w:bottom w:val="none" w:sz="0" w:space="0" w:color="auto"/>
                    <w:right w:val="none" w:sz="0" w:space="0" w:color="auto"/>
                  </w:divBdr>
                  <w:divsChild>
                    <w:div w:id="1720201163">
                      <w:marLeft w:val="0"/>
                      <w:marRight w:val="0"/>
                      <w:marTop w:val="0"/>
                      <w:marBottom w:val="0"/>
                      <w:divBdr>
                        <w:top w:val="none" w:sz="0" w:space="0" w:color="auto"/>
                        <w:left w:val="none" w:sz="0" w:space="0" w:color="auto"/>
                        <w:bottom w:val="none" w:sz="0" w:space="0" w:color="auto"/>
                        <w:right w:val="none" w:sz="0" w:space="0" w:color="auto"/>
                      </w:divBdr>
                      <w:divsChild>
                        <w:div w:id="683748408">
                          <w:marLeft w:val="0"/>
                          <w:marRight w:val="0"/>
                          <w:marTop w:val="0"/>
                          <w:marBottom w:val="0"/>
                          <w:divBdr>
                            <w:top w:val="none" w:sz="0" w:space="0" w:color="auto"/>
                            <w:left w:val="none" w:sz="0" w:space="0" w:color="auto"/>
                            <w:bottom w:val="none" w:sz="0" w:space="0" w:color="auto"/>
                            <w:right w:val="none" w:sz="0" w:space="0" w:color="auto"/>
                          </w:divBdr>
                          <w:divsChild>
                            <w:div w:id="1485245128">
                              <w:marLeft w:val="0"/>
                              <w:marRight w:val="0"/>
                              <w:marTop w:val="0"/>
                              <w:marBottom w:val="0"/>
                              <w:divBdr>
                                <w:top w:val="none" w:sz="0" w:space="0" w:color="auto"/>
                                <w:left w:val="none" w:sz="0" w:space="0" w:color="auto"/>
                                <w:bottom w:val="none" w:sz="0" w:space="0" w:color="auto"/>
                                <w:right w:val="none" w:sz="0" w:space="0" w:color="auto"/>
                              </w:divBdr>
                              <w:divsChild>
                                <w:div w:id="1740909176">
                                  <w:marLeft w:val="0"/>
                                  <w:marRight w:val="0"/>
                                  <w:marTop w:val="0"/>
                                  <w:marBottom w:val="0"/>
                                  <w:divBdr>
                                    <w:top w:val="none" w:sz="0" w:space="0" w:color="auto"/>
                                    <w:left w:val="none" w:sz="0" w:space="0" w:color="auto"/>
                                    <w:bottom w:val="none" w:sz="0" w:space="0" w:color="auto"/>
                                    <w:right w:val="none" w:sz="0" w:space="0" w:color="auto"/>
                                  </w:divBdr>
                                  <w:divsChild>
                                    <w:div w:id="630984087">
                                      <w:marLeft w:val="0"/>
                                      <w:marRight w:val="0"/>
                                      <w:marTop w:val="0"/>
                                      <w:marBottom w:val="150"/>
                                      <w:divBdr>
                                        <w:top w:val="none" w:sz="0" w:space="0" w:color="auto"/>
                                        <w:left w:val="none" w:sz="0" w:space="0" w:color="auto"/>
                                        <w:bottom w:val="none" w:sz="0" w:space="0" w:color="auto"/>
                                        <w:right w:val="none" w:sz="0" w:space="0" w:color="auto"/>
                                      </w:divBdr>
                                      <w:divsChild>
                                        <w:div w:id="714162845">
                                          <w:marLeft w:val="0"/>
                                          <w:marRight w:val="0"/>
                                          <w:marTop w:val="0"/>
                                          <w:marBottom w:val="0"/>
                                          <w:divBdr>
                                            <w:top w:val="none" w:sz="0" w:space="0" w:color="auto"/>
                                            <w:left w:val="none" w:sz="0" w:space="0" w:color="auto"/>
                                            <w:bottom w:val="none" w:sz="0" w:space="0" w:color="auto"/>
                                            <w:right w:val="none" w:sz="0" w:space="0" w:color="auto"/>
                                          </w:divBdr>
                                          <w:divsChild>
                                            <w:div w:id="341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655939">
      <w:bodyDiv w:val="1"/>
      <w:marLeft w:val="0"/>
      <w:marRight w:val="0"/>
      <w:marTop w:val="0"/>
      <w:marBottom w:val="0"/>
      <w:divBdr>
        <w:top w:val="none" w:sz="0" w:space="0" w:color="auto"/>
        <w:left w:val="none" w:sz="0" w:space="0" w:color="auto"/>
        <w:bottom w:val="none" w:sz="0" w:space="0" w:color="auto"/>
        <w:right w:val="none" w:sz="0" w:space="0" w:color="auto"/>
      </w:divBdr>
    </w:div>
    <w:div w:id="1042248857">
      <w:bodyDiv w:val="1"/>
      <w:marLeft w:val="0"/>
      <w:marRight w:val="0"/>
      <w:marTop w:val="0"/>
      <w:marBottom w:val="0"/>
      <w:divBdr>
        <w:top w:val="none" w:sz="0" w:space="0" w:color="auto"/>
        <w:left w:val="none" w:sz="0" w:space="0" w:color="auto"/>
        <w:bottom w:val="none" w:sz="0" w:space="0" w:color="auto"/>
        <w:right w:val="none" w:sz="0" w:space="0" w:color="auto"/>
      </w:divBdr>
    </w:div>
    <w:div w:id="1060595814">
      <w:bodyDiv w:val="1"/>
      <w:marLeft w:val="0"/>
      <w:marRight w:val="0"/>
      <w:marTop w:val="0"/>
      <w:marBottom w:val="0"/>
      <w:divBdr>
        <w:top w:val="none" w:sz="0" w:space="0" w:color="auto"/>
        <w:left w:val="none" w:sz="0" w:space="0" w:color="auto"/>
        <w:bottom w:val="none" w:sz="0" w:space="0" w:color="auto"/>
        <w:right w:val="none" w:sz="0" w:space="0" w:color="auto"/>
      </w:divBdr>
    </w:div>
    <w:div w:id="1083456610">
      <w:bodyDiv w:val="1"/>
      <w:marLeft w:val="0"/>
      <w:marRight w:val="0"/>
      <w:marTop w:val="0"/>
      <w:marBottom w:val="0"/>
      <w:divBdr>
        <w:top w:val="none" w:sz="0" w:space="0" w:color="auto"/>
        <w:left w:val="none" w:sz="0" w:space="0" w:color="auto"/>
        <w:bottom w:val="none" w:sz="0" w:space="0" w:color="auto"/>
        <w:right w:val="none" w:sz="0" w:space="0" w:color="auto"/>
      </w:divBdr>
    </w:div>
    <w:div w:id="1128746027">
      <w:bodyDiv w:val="1"/>
      <w:marLeft w:val="0"/>
      <w:marRight w:val="0"/>
      <w:marTop w:val="0"/>
      <w:marBottom w:val="0"/>
      <w:divBdr>
        <w:top w:val="none" w:sz="0" w:space="0" w:color="auto"/>
        <w:left w:val="none" w:sz="0" w:space="0" w:color="auto"/>
        <w:bottom w:val="none" w:sz="0" w:space="0" w:color="auto"/>
        <w:right w:val="none" w:sz="0" w:space="0" w:color="auto"/>
      </w:divBdr>
    </w:div>
    <w:div w:id="1167482394">
      <w:bodyDiv w:val="1"/>
      <w:marLeft w:val="0"/>
      <w:marRight w:val="0"/>
      <w:marTop w:val="0"/>
      <w:marBottom w:val="0"/>
      <w:divBdr>
        <w:top w:val="none" w:sz="0" w:space="0" w:color="auto"/>
        <w:left w:val="none" w:sz="0" w:space="0" w:color="auto"/>
        <w:bottom w:val="none" w:sz="0" w:space="0" w:color="auto"/>
        <w:right w:val="none" w:sz="0" w:space="0" w:color="auto"/>
      </w:divBdr>
    </w:div>
    <w:div w:id="1239901517">
      <w:bodyDiv w:val="1"/>
      <w:marLeft w:val="0"/>
      <w:marRight w:val="0"/>
      <w:marTop w:val="0"/>
      <w:marBottom w:val="0"/>
      <w:divBdr>
        <w:top w:val="none" w:sz="0" w:space="0" w:color="auto"/>
        <w:left w:val="none" w:sz="0" w:space="0" w:color="auto"/>
        <w:bottom w:val="none" w:sz="0" w:space="0" w:color="auto"/>
        <w:right w:val="none" w:sz="0" w:space="0" w:color="auto"/>
      </w:divBdr>
    </w:div>
    <w:div w:id="1323511873">
      <w:bodyDiv w:val="1"/>
      <w:marLeft w:val="0"/>
      <w:marRight w:val="0"/>
      <w:marTop w:val="0"/>
      <w:marBottom w:val="0"/>
      <w:divBdr>
        <w:top w:val="none" w:sz="0" w:space="0" w:color="auto"/>
        <w:left w:val="none" w:sz="0" w:space="0" w:color="auto"/>
        <w:bottom w:val="none" w:sz="0" w:space="0" w:color="auto"/>
        <w:right w:val="none" w:sz="0" w:space="0" w:color="auto"/>
      </w:divBdr>
    </w:div>
    <w:div w:id="1350907782">
      <w:bodyDiv w:val="1"/>
      <w:marLeft w:val="0"/>
      <w:marRight w:val="0"/>
      <w:marTop w:val="0"/>
      <w:marBottom w:val="0"/>
      <w:divBdr>
        <w:top w:val="none" w:sz="0" w:space="0" w:color="auto"/>
        <w:left w:val="none" w:sz="0" w:space="0" w:color="auto"/>
        <w:bottom w:val="none" w:sz="0" w:space="0" w:color="auto"/>
        <w:right w:val="none" w:sz="0" w:space="0" w:color="auto"/>
      </w:divBdr>
    </w:div>
    <w:div w:id="1393196298">
      <w:bodyDiv w:val="1"/>
      <w:marLeft w:val="0"/>
      <w:marRight w:val="0"/>
      <w:marTop w:val="0"/>
      <w:marBottom w:val="0"/>
      <w:divBdr>
        <w:top w:val="none" w:sz="0" w:space="0" w:color="auto"/>
        <w:left w:val="none" w:sz="0" w:space="0" w:color="auto"/>
        <w:bottom w:val="none" w:sz="0" w:space="0" w:color="auto"/>
        <w:right w:val="none" w:sz="0" w:space="0" w:color="auto"/>
      </w:divBdr>
    </w:div>
    <w:div w:id="1395466753">
      <w:bodyDiv w:val="1"/>
      <w:marLeft w:val="0"/>
      <w:marRight w:val="0"/>
      <w:marTop w:val="0"/>
      <w:marBottom w:val="0"/>
      <w:divBdr>
        <w:top w:val="none" w:sz="0" w:space="0" w:color="auto"/>
        <w:left w:val="none" w:sz="0" w:space="0" w:color="auto"/>
        <w:bottom w:val="none" w:sz="0" w:space="0" w:color="auto"/>
        <w:right w:val="none" w:sz="0" w:space="0" w:color="auto"/>
      </w:divBdr>
      <w:divsChild>
        <w:div w:id="557982391">
          <w:marLeft w:val="0"/>
          <w:marRight w:val="0"/>
          <w:marTop w:val="0"/>
          <w:marBottom w:val="0"/>
          <w:divBdr>
            <w:top w:val="none" w:sz="0" w:space="0" w:color="auto"/>
            <w:left w:val="none" w:sz="0" w:space="0" w:color="auto"/>
            <w:bottom w:val="none" w:sz="0" w:space="0" w:color="auto"/>
            <w:right w:val="none" w:sz="0" w:space="0" w:color="auto"/>
          </w:divBdr>
          <w:divsChild>
            <w:div w:id="1088112382">
              <w:marLeft w:val="0"/>
              <w:marRight w:val="0"/>
              <w:marTop w:val="0"/>
              <w:marBottom w:val="0"/>
              <w:divBdr>
                <w:top w:val="none" w:sz="0" w:space="0" w:color="auto"/>
                <w:left w:val="none" w:sz="0" w:space="0" w:color="auto"/>
                <w:bottom w:val="none" w:sz="0" w:space="0" w:color="auto"/>
                <w:right w:val="none" w:sz="0" w:space="0" w:color="auto"/>
              </w:divBdr>
              <w:divsChild>
                <w:div w:id="1919367801">
                  <w:marLeft w:val="0"/>
                  <w:marRight w:val="0"/>
                  <w:marTop w:val="0"/>
                  <w:marBottom w:val="0"/>
                  <w:divBdr>
                    <w:top w:val="none" w:sz="0" w:space="0" w:color="auto"/>
                    <w:left w:val="none" w:sz="0" w:space="0" w:color="auto"/>
                    <w:bottom w:val="none" w:sz="0" w:space="0" w:color="auto"/>
                    <w:right w:val="none" w:sz="0" w:space="0" w:color="auto"/>
                  </w:divBdr>
                  <w:divsChild>
                    <w:div w:id="325208155">
                      <w:marLeft w:val="0"/>
                      <w:marRight w:val="0"/>
                      <w:marTop w:val="0"/>
                      <w:marBottom w:val="0"/>
                      <w:divBdr>
                        <w:top w:val="none" w:sz="0" w:space="0" w:color="auto"/>
                        <w:left w:val="none" w:sz="0" w:space="0" w:color="auto"/>
                        <w:bottom w:val="none" w:sz="0" w:space="0" w:color="auto"/>
                        <w:right w:val="none" w:sz="0" w:space="0" w:color="auto"/>
                      </w:divBdr>
                      <w:divsChild>
                        <w:div w:id="1663897912">
                          <w:marLeft w:val="0"/>
                          <w:marRight w:val="0"/>
                          <w:marTop w:val="0"/>
                          <w:marBottom w:val="0"/>
                          <w:divBdr>
                            <w:top w:val="none" w:sz="0" w:space="0" w:color="auto"/>
                            <w:left w:val="none" w:sz="0" w:space="0" w:color="auto"/>
                            <w:bottom w:val="none" w:sz="0" w:space="0" w:color="auto"/>
                            <w:right w:val="none" w:sz="0" w:space="0" w:color="auto"/>
                          </w:divBdr>
                          <w:divsChild>
                            <w:div w:id="1594820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86208">
      <w:bodyDiv w:val="1"/>
      <w:marLeft w:val="0"/>
      <w:marRight w:val="0"/>
      <w:marTop w:val="0"/>
      <w:marBottom w:val="0"/>
      <w:divBdr>
        <w:top w:val="none" w:sz="0" w:space="0" w:color="auto"/>
        <w:left w:val="none" w:sz="0" w:space="0" w:color="auto"/>
        <w:bottom w:val="none" w:sz="0" w:space="0" w:color="auto"/>
        <w:right w:val="none" w:sz="0" w:space="0" w:color="auto"/>
      </w:divBdr>
    </w:div>
    <w:div w:id="1423067686">
      <w:bodyDiv w:val="1"/>
      <w:marLeft w:val="0"/>
      <w:marRight w:val="0"/>
      <w:marTop w:val="0"/>
      <w:marBottom w:val="0"/>
      <w:divBdr>
        <w:top w:val="none" w:sz="0" w:space="0" w:color="auto"/>
        <w:left w:val="none" w:sz="0" w:space="0" w:color="auto"/>
        <w:bottom w:val="none" w:sz="0" w:space="0" w:color="auto"/>
        <w:right w:val="none" w:sz="0" w:space="0" w:color="auto"/>
      </w:divBdr>
    </w:div>
    <w:div w:id="1452358671">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8087360">
      <w:bodyDiv w:val="1"/>
      <w:marLeft w:val="0"/>
      <w:marRight w:val="0"/>
      <w:marTop w:val="0"/>
      <w:marBottom w:val="0"/>
      <w:divBdr>
        <w:top w:val="none" w:sz="0" w:space="0" w:color="auto"/>
        <w:left w:val="none" w:sz="0" w:space="0" w:color="auto"/>
        <w:bottom w:val="none" w:sz="0" w:space="0" w:color="auto"/>
        <w:right w:val="none" w:sz="0" w:space="0" w:color="auto"/>
      </w:divBdr>
    </w:div>
    <w:div w:id="1476527069">
      <w:bodyDiv w:val="1"/>
      <w:marLeft w:val="0"/>
      <w:marRight w:val="0"/>
      <w:marTop w:val="0"/>
      <w:marBottom w:val="0"/>
      <w:divBdr>
        <w:top w:val="none" w:sz="0" w:space="0" w:color="auto"/>
        <w:left w:val="none" w:sz="0" w:space="0" w:color="auto"/>
        <w:bottom w:val="none" w:sz="0" w:space="0" w:color="auto"/>
        <w:right w:val="none" w:sz="0" w:space="0" w:color="auto"/>
      </w:divBdr>
      <w:divsChild>
        <w:div w:id="1018698656">
          <w:marLeft w:val="0"/>
          <w:marRight w:val="0"/>
          <w:marTop w:val="0"/>
          <w:marBottom w:val="0"/>
          <w:divBdr>
            <w:top w:val="none" w:sz="0" w:space="0" w:color="auto"/>
            <w:left w:val="none" w:sz="0" w:space="0" w:color="auto"/>
            <w:bottom w:val="none" w:sz="0" w:space="0" w:color="auto"/>
            <w:right w:val="none" w:sz="0" w:space="0" w:color="auto"/>
          </w:divBdr>
          <w:divsChild>
            <w:div w:id="1299065964">
              <w:marLeft w:val="0"/>
              <w:marRight w:val="0"/>
              <w:marTop w:val="0"/>
              <w:marBottom w:val="0"/>
              <w:divBdr>
                <w:top w:val="none" w:sz="0" w:space="0" w:color="auto"/>
                <w:left w:val="none" w:sz="0" w:space="0" w:color="auto"/>
                <w:bottom w:val="none" w:sz="0" w:space="0" w:color="auto"/>
                <w:right w:val="none" w:sz="0" w:space="0" w:color="auto"/>
              </w:divBdr>
              <w:divsChild>
                <w:div w:id="540554326">
                  <w:marLeft w:val="0"/>
                  <w:marRight w:val="0"/>
                  <w:marTop w:val="0"/>
                  <w:marBottom w:val="0"/>
                  <w:divBdr>
                    <w:top w:val="none" w:sz="0" w:space="0" w:color="auto"/>
                    <w:left w:val="none" w:sz="0" w:space="0" w:color="auto"/>
                    <w:bottom w:val="none" w:sz="0" w:space="0" w:color="auto"/>
                    <w:right w:val="none" w:sz="0" w:space="0" w:color="auto"/>
                  </w:divBdr>
                  <w:divsChild>
                    <w:div w:id="1041058765">
                      <w:marLeft w:val="0"/>
                      <w:marRight w:val="0"/>
                      <w:marTop w:val="0"/>
                      <w:marBottom w:val="0"/>
                      <w:divBdr>
                        <w:top w:val="none" w:sz="0" w:space="0" w:color="auto"/>
                        <w:left w:val="none" w:sz="0" w:space="0" w:color="auto"/>
                        <w:bottom w:val="none" w:sz="0" w:space="0" w:color="auto"/>
                        <w:right w:val="none" w:sz="0" w:space="0" w:color="auto"/>
                      </w:divBdr>
                      <w:divsChild>
                        <w:div w:id="1742554307">
                          <w:marLeft w:val="0"/>
                          <w:marRight w:val="0"/>
                          <w:marTop w:val="0"/>
                          <w:marBottom w:val="0"/>
                          <w:divBdr>
                            <w:top w:val="none" w:sz="0" w:space="0" w:color="auto"/>
                            <w:left w:val="none" w:sz="0" w:space="0" w:color="auto"/>
                            <w:bottom w:val="none" w:sz="0" w:space="0" w:color="auto"/>
                            <w:right w:val="none" w:sz="0" w:space="0" w:color="auto"/>
                          </w:divBdr>
                          <w:divsChild>
                            <w:div w:id="1044644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759231">
      <w:bodyDiv w:val="1"/>
      <w:marLeft w:val="0"/>
      <w:marRight w:val="0"/>
      <w:marTop w:val="0"/>
      <w:marBottom w:val="0"/>
      <w:divBdr>
        <w:top w:val="none" w:sz="0" w:space="0" w:color="auto"/>
        <w:left w:val="none" w:sz="0" w:space="0" w:color="auto"/>
        <w:bottom w:val="none" w:sz="0" w:space="0" w:color="auto"/>
        <w:right w:val="none" w:sz="0" w:space="0" w:color="auto"/>
      </w:divBdr>
    </w:div>
    <w:div w:id="1525361187">
      <w:bodyDiv w:val="1"/>
      <w:marLeft w:val="0"/>
      <w:marRight w:val="0"/>
      <w:marTop w:val="0"/>
      <w:marBottom w:val="0"/>
      <w:divBdr>
        <w:top w:val="none" w:sz="0" w:space="0" w:color="auto"/>
        <w:left w:val="none" w:sz="0" w:space="0" w:color="auto"/>
        <w:bottom w:val="none" w:sz="0" w:space="0" w:color="auto"/>
        <w:right w:val="none" w:sz="0" w:space="0" w:color="auto"/>
      </w:divBdr>
      <w:divsChild>
        <w:div w:id="749040453">
          <w:marLeft w:val="547"/>
          <w:marRight w:val="0"/>
          <w:marTop w:val="96"/>
          <w:marBottom w:val="0"/>
          <w:divBdr>
            <w:top w:val="none" w:sz="0" w:space="0" w:color="auto"/>
            <w:left w:val="none" w:sz="0" w:space="0" w:color="auto"/>
            <w:bottom w:val="none" w:sz="0" w:space="0" w:color="auto"/>
            <w:right w:val="none" w:sz="0" w:space="0" w:color="auto"/>
          </w:divBdr>
        </w:div>
        <w:div w:id="1707868549">
          <w:marLeft w:val="547"/>
          <w:marRight w:val="0"/>
          <w:marTop w:val="96"/>
          <w:marBottom w:val="0"/>
          <w:divBdr>
            <w:top w:val="none" w:sz="0" w:space="0" w:color="auto"/>
            <w:left w:val="none" w:sz="0" w:space="0" w:color="auto"/>
            <w:bottom w:val="none" w:sz="0" w:space="0" w:color="auto"/>
            <w:right w:val="none" w:sz="0" w:space="0" w:color="auto"/>
          </w:divBdr>
        </w:div>
      </w:divsChild>
    </w:div>
    <w:div w:id="1548105866">
      <w:bodyDiv w:val="1"/>
      <w:marLeft w:val="0"/>
      <w:marRight w:val="0"/>
      <w:marTop w:val="0"/>
      <w:marBottom w:val="0"/>
      <w:divBdr>
        <w:top w:val="none" w:sz="0" w:space="0" w:color="auto"/>
        <w:left w:val="none" w:sz="0" w:space="0" w:color="auto"/>
        <w:bottom w:val="none" w:sz="0" w:space="0" w:color="auto"/>
        <w:right w:val="none" w:sz="0" w:space="0" w:color="auto"/>
      </w:divBdr>
    </w:div>
    <w:div w:id="1616599846">
      <w:bodyDiv w:val="1"/>
      <w:marLeft w:val="0"/>
      <w:marRight w:val="0"/>
      <w:marTop w:val="0"/>
      <w:marBottom w:val="0"/>
      <w:divBdr>
        <w:top w:val="none" w:sz="0" w:space="0" w:color="auto"/>
        <w:left w:val="none" w:sz="0" w:space="0" w:color="auto"/>
        <w:bottom w:val="none" w:sz="0" w:space="0" w:color="auto"/>
        <w:right w:val="none" w:sz="0" w:space="0" w:color="auto"/>
      </w:divBdr>
    </w:div>
    <w:div w:id="1713964488">
      <w:bodyDiv w:val="1"/>
      <w:marLeft w:val="0"/>
      <w:marRight w:val="0"/>
      <w:marTop w:val="0"/>
      <w:marBottom w:val="0"/>
      <w:divBdr>
        <w:top w:val="none" w:sz="0" w:space="0" w:color="auto"/>
        <w:left w:val="none" w:sz="0" w:space="0" w:color="auto"/>
        <w:bottom w:val="none" w:sz="0" w:space="0" w:color="auto"/>
        <w:right w:val="none" w:sz="0" w:space="0" w:color="auto"/>
      </w:divBdr>
    </w:div>
    <w:div w:id="1720937151">
      <w:bodyDiv w:val="1"/>
      <w:marLeft w:val="0"/>
      <w:marRight w:val="0"/>
      <w:marTop w:val="0"/>
      <w:marBottom w:val="0"/>
      <w:divBdr>
        <w:top w:val="none" w:sz="0" w:space="0" w:color="auto"/>
        <w:left w:val="none" w:sz="0" w:space="0" w:color="auto"/>
        <w:bottom w:val="none" w:sz="0" w:space="0" w:color="auto"/>
        <w:right w:val="none" w:sz="0" w:space="0" w:color="auto"/>
      </w:divBdr>
    </w:div>
    <w:div w:id="1739472563">
      <w:bodyDiv w:val="1"/>
      <w:marLeft w:val="0"/>
      <w:marRight w:val="0"/>
      <w:marTop w:val="0"/>
      <w:marBottom w:val="0"/>
      <w:divBdr>
        <w:top w:val="none" w:sz="0" w:space="0" w:color="auto"/>
        <w:left w:val="none" w:sz="0" w:space="0" w:color="auto"/>
        <w:bottom w:val="none" w:sz="0" w:space="0" w:color="auto"/>
        <w:right w:val="none" w:sz="0" w:space="0" w:color="auto"/>
      </w:divBdr>
      <w:divsChild>
        <w:div w:id="705526008">
          <w:marLeft w:val="547"/>
          <w:marRight w:val="0"/>
          <w:marTop w:val="96"/>
          <w:marBottom w:val="0"/>
          <w:divBdr>
            <w:top w:val="none" w:sz="0" w:space="0" w:color="auto"/>
            <w:left w:val="none" w:sz="0" w:space="0" w:color="auto"/>
            <w:bottom w:val="none" w:sz="0" w:space="0" w:color="auto"/>
            <w:right w:val="none" w:sz="0" w:space="0" w:color="auto"/>
          </w:divBdr>
        </w:div>
        <w:div w:id="758987223">
          <w:marLeft w:val="1742"/>
          <w:marRight w:val="0"/>
          <w:marTop w:val="96"/>
          <w:marBottom w:val="0"/>
          <w:divBdr>
            <w:top w:val="none" w:sz="0" w:space="0" w:color="auto"/>
            <w:left w:val="none" w:sz="0" w:space="0" w:color="auto"/>
            <w:bottom w:val="none" w:sz="0" w:space="0" w:color="auto"/>
            <w:right w:val="none" w:sz="0" w:space="0" w:color="auto"/>
          </w:divBdr>
        </w:div>
        <w:div w:id="961378137">
          <w:marLeft w:val="1742"/>
          <w:marRight w:val="0"/>
          <w:marTop w:val="96"/>
          <w:marBottom w:val="0"/>
          <w:divBdr>
            <w:top w:val="none" w:sz="0" w:space="0" w:color="auto"/>
            <w:left w:val="none" w:sz="0" w:space="0" w:color="auto"/>
            <w:bottom w:val="none" w:sz="0" w:space="0" w:color="auto"/>
            <w:right w:val="none" w:sz="0" w:space="0" w:color="auto"/>
          </w:divBdr>
        </w:div>
        <w:div w:id="1449355494">
          <w:marLeft w:val="547"/>
          <w:marRight w:val="0"/>
          <w:marTop w:val="96"/>
          <w:marBottom w:val="0"/>
          <w:divBdr>
            <w:top w:val="none" w:sz="0" w:space="0" w:color="auto"/>
            <w:left w:val="none" w:sz="0" w:space="0" w:color="auto"/>
            <w:bottom w:val="none" w:sz="0" w:space="0" w:color="auto"/>
            <w:right w:val="none" w:sz="0" w:space="0" w:color="auto"/>
          </w:divBdr>
        </w:div>
      </w:divsChild>
    </w:div>
    <w:div w:id="1762480869">
      <w:bodyDiv w:val="1"/>
      <w:marLeft w:val="0"/>
      <w:marRight w:val="0"/>
      <w:marTop w:val="0"/>
      <w:marBottom w:val="0"/>
      <w:divBdr>
        <w:top w:val="none" w:sz="0" w:space="0" w:color="auto"/>
        <w:left w:val="none" w:sz="0" w:space="0" w:color="auto"/>
        <w:bottom w:val="none" w:sz="0" w:space="0" w:color="auto"/>
        <w:right w:val="none" w:sz="0" w:space="0" w:color="auto"/>
      </w:divBdr>
    </w:div>
    <w:div w:id="1771076374">
      <w:bodyDiv w:val="1"/>
      <w:marLeft w:val="0"/>
      <w:marRight w:val="0"/>
      <w:marTop w:val="0"/>
      <w:marBottom w:val="0"/>
      <w:divBdr>
        <w:top w:val="none" w:sz="0" w:space="0" w:color="auto"/>
        <w:left w:val="none" w:sz="0" w:space="0" w:color="auto"/>
        <w:bottom w:val="none" w:sz="0" w:space="0" w:color="auto"/>
        <w:right w:val="none" w:sz="0" w:space="0" w:color="auto"/>
      </w:divBdr>
    </w:div>
    <w:div w:id="1856118432">
      <w:bodyDiv w:val="1"/>
      <w:marLeft w:val="0"/>
      <w:marRight w:val="0"/>
      <w:marTop w:val="0"/>
      <w:marBottom w:val="0"/>
      <w:divBdr>
        <w:top w:val="none" w:sz="0" w:space="0" w:color="auto"/>
        <w:left w:val="none" w:sz="0" w:space="0" w:color="auto"/>
        <w:bottom w:val="none" w:sz="0" w:space="0" w:color="auto"/>
        <w:right w:val="none" w:sz="0" w:space="0" w:color="auto"/>
      </w:divBdr>
    </w:div>
    <w:div w:id="1896350413">
      <w:bodyDiv w:val="1"/>
      <w:marLeft w:val="0"/>
      <w:marRight w:val="0"/>
      <w:marTop w:val="0"/>
      <w:marBottom w:val="0"/>
      <w:divBdr>
        <w:top w:val="none" w:sz="0" w:space="0" w:color="auto"/>
        <w:left w:val="none" w:sz="0" w:space="0" w:color="auto"/>
        <w:bottom w:val="none" w:sz="0" w:space="0" w:color="auto"/>
        <w:right w:val="none" w:sz="0" w:space="0" w:color="auto"/>
      </w:divBdr>
    </w:div>
    <w:div w:id="1910916478">
      <w:bodyDiv w:val="1"/>
      <w:marLeft w:val="0"/>
      <w:marRight w:val="0"/>
      <w:marTop w:val="0"/>
      <w:marBottom w:val="0"/>
      <w:divBdr>
        <w:top w:val="none" w:sz="0" w:space="0" w:color="auto"/>
        <w:left w:val="none" w:sz="0" w:space="0" w:color="auto"/>
        <w:bottom w:val="none" w:sz="0" w:space="0" w:color="auto"/>
        <w:right w:val="none" w:sz="0" w:space="0" w:color="auto"/>
      </w:divBdr>
    </w:div>
    <w:div w:id="1941450672">
      <w:bodyDiv w:val="1"/>
      <w:marLeft w:val="0"/>
      <w:marRight w:val="0"/>
      <w:marTop w:val="0"/>
      <w:marBottom w:val="0"/>
      <w:divBdr>
        <w:top w:val="none" w:sz="0" w:space="0" w:color="auto"/>
        <w:left w:val="none" w:sz="0" w:space="0" w:color="auto"/>
        <w:bottom w:val="none" w:sz="0" w:space="0" w:color="auto"/>
        <w:right w:val="none" w:sz="0" w:space="0" w:color="auto"/>
      </w:divBdr>
    </w:div>
    <w:div w:id="1985112289">
      <w:bodyDiv w:val="1"/>
      <w:marLeft w:val="0"/>
      <w:marRight w:val="0"/>
      <w:marTop w:val="0"/>
      <w:marBottom w:val="0"/>
      <w:divBdr>
        <w:top w:val="none" w:sz="0" w:space="0" w:color="auto"/>
        <w:left w:val="none" w:sz="0" w:space="0" w:color="auto"/>
        <w:bottom w:val="none" w:sz="0" w:space="0" w:color="auto"/>
        <w:right w:val="none" w:sz="0" w:space="0" w:color="auto"/>
      </w:divBdr>
    </w:div>
    <w:div w:id="2022319055">
      <w:bodyDiv w:val="1"/>
      <w:marLeft w:val="0"/>
      <w:marRight w:val="0"/>
      <w:marTop w:val="0"/>
      <w:marBottom w:val="0"/>
      <w:divBdr>
        <w:top w:val="none" w:sz="0" w:space="0" w:color="auto"/>
        <w:left w:val="none" w:sz="0" w:space="0" w:color="auto"/>
        <w:bottom w:val="none" w:sz="0" w:space="0" w:color="auto"/>
        <w:right w:val="none" w:sz="0" w:space="0" w:color="auto"/>
      </w:divBdr>
      <w:divsChild>
        <w:div w:id="196741566">
          <w:marLeft w:val="1742"/>
          <w:marRight w:val="0"/>
          <w:marTop w:val="91"/>
          <w:marBottom w:val="0"/>
          <w:divBdr>
            <w:top w:val="none" w:sz="0" w:space="0" w:color="auto"/>
            <w:left w:val="none" w:sz="0" w:space="0" w:color="auto"/>
            <w:bottom w:val="none" w:sz="0" w:space="0" w:color="auto"/>
            <w:right w:val="none" w:sz="0" w:space="0" w:color="auto"/>
          </w:divBdr>
        </w:div>
        <w:div w:id="312682842">
          <w:marLeft w:val="1742"/>
          <w:marRight w:val="0"/>
          <w:marTop w:val="91"/>
          <w:marBottom w:val="0"/>
          <w:divBdr>
            <w:top w:val="none" w:sz="0" w:space="0" w:color="auto"/>
            <w:left w:val="none" w:sz="0" w:space="0" w:color="auto"/>
            <w:bottom w:val="none" w:sz="0" w:space="0" w:color="auto"/>
            <w:right w:val="none" w:sz="0" w:space="0" w:color="auto"/>
          </w:divBdr>
        </w:div>
        <w:div w:id="932007602">
          <w:marLeft w:val="1742"/>
          <w:marRight w:val="0"/>
          <w:marTop w:val="91"/>
          <w:marBottom w:val="0"/>
          <w:divBdr>
            <w:top w:val="none" w:sz="0" w:space="0" w:color="auto"/>
            <w:left w:val="none" w:sz="0" w:space="0" w:color="auto"/>
            <w:bottom w:val="none" w:sz="0" w:space="0" w:color="auto"/>
            <w:right w:val="none" w:sz="0" w:space="0" w:color="auto"/>
          </w:divBdr>
        </w:div>
        <w:div w:id="977226714">
          <w:marLeft w:val="1742"/>
          <w:marRight w:val="0"/>
          <w:marTop w:val="91"/>
          <w:marBottom w:val="0"/>
          <w:divBdr>
            <w:top w:val="none" w:sz="0" w:space="0" w:color="auto"/>
            <w:left w:val="none" w:sz="0" w:space="0" w:color="auto"/>
            <w:bottom w:val="none" w:sz="0" w:space="0" w:color="auto"/>
            <w:right w:val="none" w:sz="0" w:space="0" w:color="auto"/>
          </w:divBdr>
        </w:div>
        <w:div w:id="1519465505">
          <w:marLeft w:val="1742"/>
          <w:marRight w:val="0"/>
          <w:marTop w:val="91"/>
          <w:marBottom w:val="0"/>
          <w:divBdr>
            <w:top w:val="none" w:sz="0" w:space="0" w:color="auto"/>
            <w:left w:val="none" w:sz="0" w:space="0" w:color="auto"/>
            <w:bottom w:val="none" w:sz="0" w:space="0" w:color="auto"/>
            <w:right w:val="none" w:sz="0" w:space="0" w:color="auto"/>
          </w:divBdr>
        </w:div>
        <w:div w:id="1925842837">
          <w:marLeft w:val="1742"/>
          <w:marRight w:val="0"/>
          <w:marTop w:val="91"/>
          <w:marBottom w:val="0"/>
          <w:divBdr>
            <w:top w:val="none" w:sz="0" w:space="0" w:color="auto"/>
            <w:left w:val="none" w:sz="0" w:space="0" w:color="auto"/>
            <w:bottom w:val="none" w:sz="0" w:space="0" w:color="auto"/>
            <w:right w:val="none" w:sz="0" w:space="0" w:color="auto"/>
          </w:divBdr>
        </w:div>
        <w:div w:id="2052654254">
          <w:marLeft w:val="1742"/>
          <w:marRight w:val="0"/>
          <w:marTop w:val="91"/>
          <w:marBottom w:val="0"/>
          <w:divBdr>
            <w:top w:val="none" w:sz="0" w:space="0" w:color="auto"/>
            <w:left w:val="none" w:sz="0" w:space="0" w:color="auto"/>
            <w:bottom w:val="none" w:sz="0" w:space="0" w:color="auto"/>
            <w:right w:val="none" w:sz="0" w:space="0" w:color="auto"/>
          </w:divBdr>
        </w:div>
        <w:div w:id="2141455333">
          <w:marLeft w:val="1742"/>
          <w:marRight w:val="0"/>
          <w:marTop w:val="91"/>
          <w:marBottom w:val="0"/>
          <w:divBdr>
            <w:top w:val="none" w:sz="0" w:space="0" w:color="auto"/>
            <w:left w:val="none" w:sz="0" w:space="0" w:color="auto"/>
            <w:bottom w:val="none" w:sz="0" w:space="0" w:color="auto"/>
            <w:right w:val="none" w:sz="0" w:space="0" w:color="auto"/>
          </w:divBdr>
        </w:div>
      </w:divsChild>
    </w:div>
    <w:div w:id="2109890344">
      <w:bodyDiv w:val="1"/>
      <w:marLeft w:val="0"/>
      <w:marRight w:val="0"/>
      <w:marTop w:val="0"/>
      <w:marBottom w:val="0"/>
      <w:divBdr>
        <w:top w:val="none" w:sz="0" w:space="0" w:color="auto"/>
        <w:left w:val="none" w:sz="0" w:space="0" w:color="auto"/>
        <w:bottom w:val="none" w:sz="0" w:space="0" w:color="auto"/>
        <w:right w:val="none" w:sz="0" w:space="0" w:color="auto"/>
      </w:divBdr>
    </w:div>
    <w:div w:id="21349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justice_scoreboard_2019_en.pdf%2019.att.%2021.lpp" TargetMode="External"/><Relationship Id="rId13" Type="http://schemas.openxmlformats.org/officeDocument/2006/relationships/hyperlink" Target="https://www.iiiglobal.org/sites/default/files/media/2_Didier_Commercial.PDF" TargetMode="External"/><Relationship Id="rId3" Type="http://schemas.openxmlformats.org/officeDocument/2006/relationships/hyperlink" Target="http://www.lrvk.gov.lv/revizija/vai-tiesu-iekartas-attistibas-pasakumi-ir-veicinajusi-tiesu-darbibas-efektivitati/" TargetMode="External"/><Relationship Id="rId7" Type="http://schemas.openxmlformats.org/officeDocument/2006/relationships/hyperlink" Target="https://ec.europa.eu/info/sites/info/files/file_import/2019-european-semester-country-report-latvia_en.pdf" TargetMode="External"/><Relationship Id="rId12" Type="http://schemas.openxmlformats.org/officeDocument/2006/relationships/hyperlink" Target="https://e-justice.europa.eu/content_specialised_courts-19-lv.do" TargetMode="External"/><Relationship Id="rId2" Type="http://schemas.openxmlformats.org/officeDocument/2006/relationships/hyperlink" Target="https://www.ta.gov.lv/UserFiles/Faili/oecd.pdf" TargetMode="External"/><Relationship Id="rId16" Type="http://schemas.openxmlformats.org/officeDocument/2006/relationships/hyperlink" Target="https://www.portugalresident.com/2019/04/30/new-commercial-court-opens-in-lagoa/" TargetMode="External"/><Relationship Id="rId1" Type="http://schemas.openxmlformats.org/officeDocument/2006/relationships/hyperlink" Target="https://www.ta.gov.lv/UserFiles/Faili/CEPEJ_Evaluation_Report_Latvia_Final_LV.pdf" TargetMode="External"/><Relationship Id="rId6" Type="http://schemas.openxmlformats.org/officeDocument/2006/relationships/hyperlink" Target="https://www.ficil.lv/wp-content/uploads/2019/05/LAT_FICIL_Energy_PP_No8_2019.pdf" TargetMode="External"/><Relationship Id="rId11" Type="http://schemas.openxmlformats.org/officeDocument/2006/relationships/hyperlink" Target="http://arbitrationblog.kluwerarbitration.com/2019/03/06/the-european-and-singapore-international-commercial-courts-several-movements-a-single-symphony/" TargetMode="External"/><Relationship Id="rId5" Type="http://schemas.openxmlformats.org/officeDocument/2006/relationships/hyperlink" Target="https://lvportals.lv/norises/302066-maksatnespejas-nozares-pilnveide-stabilai-un-tiesiskai-tautsaimniecibas-videi-2019" TargetMode="External"/><Relationship Id="rId15" Type="http://schemas.openxmlformats.org/officeDocument/2006/relationships/hyperlink" Target="https://www.vtsrh.hr/uploads/Dokumenti/strucni%20radovi/" TargetMode="External"/><Relationship Id="rId10" Type="http://schemas.openxmlformats.org/officeDocument/2006/relationships/hyperlink" Target="http://www.worldbank.org/content/dam/doingBusiness/media/Annual-Reports/English/DB2019-report_web-version.pdf" TargetMode="External"/><Relationship Id="rId4" Type="http://schemas.openxmlformats.org/officeDocument/2006/relationships/hyperlink" Target="https://www.tm.gov.lv/lv/aktualitates/tm-informacija-presei/starptautiska-valutas-fonda-petijums-apliecina-ka-latvija-ir-uz-pareiza-cela-maksatnespejas-jomas-pi" TargetMode="External"/><Relationship Id="rId9" Type="http://schemas.openxmlformats.org/officeDocument/2006/relationships/hyperlink" Target="http://titania.saeima.lv/LIVS11/SaeimaLIVS11.nsf/0/16A01597342B1C31C2257D6400464918?OpenDocument" TargetMode="External"/><Relationship Id="rId14" Type="http://schemas.openxmlformats.org/officeDocument/2006/relationships/hyperlink" Target="https://www.globallegalinsights.com/practice-areas/litigation-and-dispute-resolution-laws-and-regulations/fra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s.gov.lv\tmdfs\BB\km1801\My%20Documents\VSV_tiesu_jaut&#257;jumos\NA%20izstrade\ZGR_reforma\EK_FIN_noziegumu_lieta\diagramm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lv-LV" sz="1400" b="1" i="0" u="none" strike="noStrike" kern="1200" cap="none" spc="20" baseline="0">
                <a:solidFill>
                  <a:sysClr val="windowText" lastClr="000000"/>
                </a:solidFill>
                <a:latin typeface="+mn-lt"/>
                <a:ea typeface="+mn-ea"/>
                <a:cs typeface="+mn-cs"/>
              </a:defRPr>
            </a:pPr>
            <a:r>
              <a:rPr lang="lv-LV" sz="1400" b="1" i="0" u="none" strike="noStrike" kern="1200" cap="none" spc="20" baseline="0">
                <a:solidFill>
                  <a:sysClr val="windowText" lastClr="000000"/>
                </a:solidFill>
                <a:latin typeface="+mn-lt"/>
                <a:ea typeface="+mn-ea"/>
                <a:cs typeface="+mn-cs"/>
              </a:rPr>
              <a:t>Neizskatīto civillietu dinamika 2015-2018 (uz pārskata perioda beigām)</a:t>
            </a:r>
          </a:p>
        </c:rich>
      </c:tx>
      <c:overlay val="0"/>
      <c:spPr>
        <a:noFill/>
        <a:ln>
          <a:noFill/>
        </a:ln>
        <a:effectLst/>
      </c:spPr>
      <c:txPr>
        <a:bodyPr rot="0" spcFirstLastPara="1" vertOverflow="ellipsis" vert="horz" wrap="square" anchor="ctr" anchorCtr="1"/>
        <a:lstStyle/>
        <a:p>
          <a:pPr algn="ctr" rtl="0">
            <a:defRPr lang="lv-LV" sz="1400" b="1" i="0" u="none" strike="noStrike" kern="1200" cap="none" spc="20" baseline="0">
              <a:solidFill>
                <a:sysClr val="windowText" lastClr="000000"/>
              </a:solidFill>
              <a:latin typeface="+mn-lt"/>
              <a:ea typeface="+mn-ea"/>
              <a:cs typeface="+mn-cs"/>
            </a:defRPr>
          </a:pPr>
          <a:endParaRPr lang="lv-LV"/>
        </a:p>
      </c:txPr>
    </c:title>
    <c:autoTitleDeleted val="0"/>
    <c:plotArea>
      <c:layout/>
      <c:barChart>
        <c:barDir val="bar"/>
        <c:grouping val="stacked"/>
        <c:varyColors val="0"/>
        <c:ser>
          <c:idx val="0"/>
          <c:order val="0"/>
          <c:tx>
            <c:strRef>
              <c:f>Lapa1!$A$12:$B$12</c:f>
              <c:strCache>
                <c:ptCount val="2"/>
                <c:pt idx="0">
                  <c:v>Kurzemes tiesu apgabals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Lapa1!$C$10:$J$11</c:f>
              <c:multiLvlStrCache>
                <c:ptCount val="4"/>
                <c:lvl>
                  <c:pt idx="0">
                    <c:v>2018</c:v>
                  </c:pt>
                  <c:pt idx="1">
                    <c:v>2017</c:v>
                  </c:pt>
                  <c:pt idx="2">
                    <c:v>2016</c:v>
                  </c:pt>
                  <c:pt idx="3">
                    <c:v>2015</c:v>
                  </c:pt>
                </c:lvl>
                <c:lvl>
                  <c:pt idx="0">
                    <c:v>Civillietas</c:v>
                  </c:pt>
                </c:lvl>
              </c:multiLvlStrCache>
            </c:multiLvlStrRef>
          </c:cat>
          <c:val>
            <c:numRef>
              <c:f>Lapa1!$C$12:$J$12</c:f>
              <c:numCache>
                <c:formatCode>#,##0</c:formatCode>
                <c:ptCount val="4"/>
                <c:pt idx="0">
                  <c:v>1367</c:v>
                </c:pt>
                <c:pt idx="1">
                  <c:v>1619</c:v>
                </c:pt>
                <c:pt idx="2">
                  <c:v>2098</c:v>
                </c:pt>
                <c:pt idx="3" formatCode="General">
                  <c:v>2295</c:v>
                </c:pt>
              </c:numCache>
            </c:numRef>
          </c:val>
          <c:extLst>
            <c:ext xmlns:c16="http://schemas.microsoft.com/office/drawing/2014/chart" uri="{C3380CC4-5D6E-409C-BE32-E72D297353CC}">
              <c16:uniqueId val="{00000000-4EA5-4401-BB96-71AC4B45E69C}"/>
            </c:ext>
          </c:extLst>
        </c:ser>
        <c:ser>
          <c:idx val="1"/>
          <c:order val="1"/>
          <c:tx>
            <c:strRef>
              <c:f>Lapa1!$A$13:$B$13</c:f>
              <c:strCache>
                <c:ptCount val="2"/>
                <c:pt idx="0">
                  <c:v>Vidzemes tiesu apgabals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Lapa1!$C$10:$J$11</c:f>
              <c:multiLvlStrCache>
                <c:ptCount val="4"/>
                <c:lvl>
                  <c:pt idx="0">
                    <c:v>2018</c:v>
                  </c:pt>
                  <c:pt idx="1">
                    <c:v>2017</c:v>
                  </c:pt>
                  <c:pt idx="2">
                    <c:v>2016</c:v>
                  </c:pt>
                  <c:pt idx="3">
                    <c:v>2015</c:v>
                  </c:pt>
                </c:lvl>
                <c:lvl>
                  <c:pt idx="0">
                    <c:v>Civillietas</c:v>
                  </c:pt>
                </c:lvl>
              </c:multiLvlStrCache>
            </c:multiLvlStrRef>
          </c:cat>
          <c:val>
            <c:numRef>
              <c:f>Lapa1!$C$13:$J$13</c:f>
              <c:numCache>
                <c:formatCode>#,##0</c:formatCode>
                <c:ptCount val="4"/>
                <c:pt idx="0">
                  <c:v>1300</c:v>
                </c:pt>
                <c:pt idx="1">
                  <c:v>1423</c:v>
                </c:pt>
                <c:pt idx="2">
                  <c:v>1875</c:v>
                </c:pt>
                <c:pt idx="3" formatCode="General">
                  <c:v>1831</c:v>
                </c:pt>
              </c:numCache>
            </c:numRef>
          </c:val>
          <c:extLst>
            <c:ext xmlns:c16="http://schemas.microsoft.com/office/drawing/2014/chart" uri="{C3380CC4-5D6E-409C-BE32-E72D297353CC}">
              <c16:uniqueId val="{00000001-4EA5-4401-BB96-71AC4B45E69C}"/>
            </c:ext>
          </c:extLst>
        </c:ser>
        <c:ser>
          <c:idx val="2"/>
          <c:order val="2"/>
          <c:tx>
            <c:strRef>
              <c:f>Lapa1!$A$14:$B$14</c:f>
              <c:strCache>
                <c:ptCount val="2"/>
                <c:pt idx="0">
                  <c:v>Zemgales tiesu apgabals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Lapa1!$C$10:$J$11</c:f>
              <c:multiLvlStrCache>
                <c:ptCount val="4"/>
                <c:lvl>
                  <c:pt idx="0">
                    <c:v>2018</c:v>
                  </c:pt>
                  <c:pt idx="1">
                    <c:v>2017</c:v>
                  </c:pt>
                  <c:pt idx="2">
                    <c:v>2016</c:v>
                  </c:pt>
                  <c:pt idx="3">
                    <c:v>2015</c:v>
                  </c:pt>
                </c:lvl>
                <c:lvl>
                  <c:pt idx="0">
                    <c:v>Civillietas</c:v>
                  </c:pt>
                </c:lvl>
              </c:multiLvlStrCache>
            </c:multiLvlStrRef>
          </c:cat>
          <c:val>
            <c:numRef>
              <c:f>Lapa1!$C$14:$J$14</c:f>
              <c:numCache>
                <c:formatCode>#,##0</c:formatCode>
                <c:ptCount val="4"/>
                <c:pt idx="0">
                  <c:v>2477</c:v>
                </c:pt>
                <c:pt idx="1">
                  <c:v>2901</c:v>
                </c:pt>
                <c:pt idx="2">
                  <c:v>3733</c:v>
                </c:pt>
                <c:pt idx="3" formatCode="General">
                  <c:v>4065</c:v>
                </c:pt>
              </c:numCache>
            </c:numRef>
          </c:val>
          <c:extLst>
            <c:ext xmlns:c16="http://schemas.microsoft.com/office/drawing/2014/chart" uri="{C3380CC4-5D6E-409C-BE32-E72D297353CC}">
              <c16:uniqueId val="{00000002-4EA5-4401-BB96-71AC4B45E69C}"/>
            </c:ext>
          </c:extLst>
        </c:ser>
        <c:ser>
          <c:idx val="3"/>
          <c:order val="3"/>
          <c:tx>
            <c:strRef>
              <c:f>Lapa1!$A$15:$B$15</c:f>
              <c:strCache>
                <c:ptCount val="2"/>
                <c:pt idx="0">
                  <c:v>Latgales tiesu apgabals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Lapa1!$C$10:$J$11</c:f>
              <c:multiLvlStrCache>
                <c:ptCount val="4"/>
                <c:lvl>
                  <c:pt idx="0">
                    <c:v>2018</c:v>
                  </c:pt>
                  <c:pt idx="1">
                    <c:v>2017</c:v>
                  </c:pt>
                  <c:pt idx="2">
                    <c:v>2016</c:v>
                  </c:pt>
                  <c:pt idx="3">
                    <c:v>2015</c:v>
                  </c:pt>
                </c:lvl>
                <c:lvl>
                  <c:pt idx="0">
                    <c:v>Civillietas</c:v>
                  </c:pt>
                </c:lvl>
              </c:multiLvlStrCache>
            </c:multiLvlStrRef>
          </c:cat>
          <c:val>
            <c:numRef>
              <c:f>Lapa1!$C$15:$J$15</c:f>
              <c:numCache>
                <c:formatCode>#,##0</c:formatCode>
                <c:ptCount val="4"/>
                <c:pt idx="0">
                  <c:v>1536</c:v>
                </c:pt>
                <c:pt idx="1">
                  <c:v>1776</c:v>
                </c:pt>
                <c:pt idx="2">
                  <c:v>2138</c:v>
                </c:pt>
                <c:pt idx="3" formatCode="General">
                  <c:v>3115</c:v>
                </c:pt>
              </c:numCache>
            </c:numRef>
          </c:val>
          <c:extLst>
            <c:ext xmlns:c16="http://schemas.microsoft.com/office/drawing/2014/chart" uri="{C3380CC4-5D6E-409C-BE32-E72D297353CC}">
              <c16:uniqueId val="{00000003-4EA5-4401-BB96-71AC4B45E69C}"/>
            </c:ext>
          </c:extLst>
        </c:ser>
        <c:ser>
          <c:idx val="4"/>
          <c:order val="4"/>
          <c:tx>
            <c:strRef>
              <c:f>Lapa1!$A$16:$B$16</c:f>
              <c:strCache>
                <c:ptCount val="2"/>
                <c:pt idx="0">
                  <c:v>Rīgas tiesu apgabals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Lapa1!$C$10:$J$11</c:f>
              <c:multiLvlStrCache>
                <c:ptCount val="4"/>
                <c:lvl>
                  <c:pt idx="0">
                    <c:v>2018</c:v>
                  </c:pt>
                  <c:pt idx="1">
                    <c:v>2017</c:v>
                  </c:pt>
                  <c:pt idx="2">
                    <c:v>2016</c:v>
                  </c:pt>
                  <c:pt idx="3">
                    <c:v>2015</c:v>
                  </c:pt>
                </c:lvl>
                <c:lvl>
                  <c:pt idx="0">
                    <c:v>Civillietas</c:v>
                  </c:pt>
                </c:lvl>
              </c:multiLvlStrCache>
            </c:multiLvlStrRef>
          </c:cat>
          <c:val>
            <c:numRef>
              <c:f>Lapa1!$C$16:$J$16</c:f>
              <c:numCache>
                <c:formatCode>#,##0</c:formatCode>
                <c:ptCount val="4"/>
                <c:pt idx="0">
                  <c:v>13305</c:v>
                </c:pt>
                <c:pt idx="1">
                  <c:v>15039</c:v>
                </c:pt>
                <c:pt idx="2">
                  <c:v>13707</c:v>
                </c:pt>
                <c:pt idx="3" formatCode="General">
                  <c:v>16204</c:v>
                </c:pt>
              </c:numCache>
            </c:numRef>
          </c:val>
          <c:extLst>
            <c:ext xmlns:c16="http://schemas.microsoft.com/office/drawing/2014/chart" uri="{C3380CC4-5D6E-409C-BE32-E72D297353CC}">
              <c16:uniqueId val="{00000004-4EA5-4401-BB96-71AC4B45E69C}"/>
            </c:ext>
          </c:extLst>
        </c:ser>
        <c:dLbls>
          <c:showLegendKey val="0"/>
          <c:showVal val="0"/>
          <c:showCatName val="0"/>
          <c:showSerName val="0"/>
          <c:showPercent val="0"/>
          <c:showBubbleSize val="0"/>
        </c:dLbls>
        <c:gapWidth val="150"/>
        <c:overlap val="100"/>
        <c:axId val="-1542781776"/>
        <c:axId val="-1542781232"/>
      </c:barChart>
      <c:catAx>
        <c:axId val="-1542781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42781232"/>
        <c:crosses val="autoZero"/>
        <c:auto val="1"/>
        <c:lblAlgn val="ctr"/>
        <c:lblOffset val="100"/>
        <c:noMultiLvlLbl val="0"/>
      </c:catAx>
      <c:valAx>
        <c:axId val="-1542781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4278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B5EC-5764-4574-9370-5B17D027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37564</Words>
  <Characters>21413</Characters>
  <Application>Microsoft Office Word</Application>
  <DocSecurity>0</DocSecurity>
  <Lines>178</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ekonomisko lietu tiesas izveidi</vt:lpstr>
      <vt:lpstr>Par ekonomisko lietu tiesas izveidi</vt:lpstr>
    </vt:vector>
  </TitlesOfParts>
  <Company>Tieslietu ministrija</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ekonomisko lietu tiesas izveidi</dc:title>
  <dc:subject>Konceptuāls ziņojums</dc:subject>
  <dc:creator>Lelde Šlisere, Kristīne Miļevska</dc:creator>
  <cp:keywords/>
  <dc:description/>
  <cp:lastModifiedBy>Leontine Babkina</cp:lastModifiedBy>
  <cp:revision>8</cp:revision>
  <cp:lastPrinted>2019-07-01T08:05:00Z</cp:lastPrinted>
  <dcterms:created xsi:type="dcterms:W3CDTF">2019-07-01T08:31:00Z</dcterms:created>
  <dcterms:modified xsi:type="dcterms:W3CDTF">2019-08-22T08:26:00Z</dcterms:modified>
</cp:coreProperties>
</file>