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53559" w14:textId="77777777" w:rsidR="007333EF" w:rsidRPr="00C90FB9" w:rsidRDefault="007333EF" w:rsidP="00C90FB9">
      <w:pPr>
        <w:spacing w:after="0"/>
        <w:ind w:firstLine="720"/>
        <w:jc w:val="center"/>
        <w:rPr>
          <w:rFonts w:ascii="Times New Roman" w:eastAsia="Times New Roman" w:hAnsi="Times New Roman" w:cs="Times New Roman"/>
          <w:b/>
          <w:bCs/>
          <w:lang w:eastAsia="lv-LV"/>
        </w:rPr>
      </w:pPr>
      <w:r w:rsidRPr="00C90FB9">
        <w:rPr>
          <w:rFonts w:ascii="Times New Roman" w:eastAsia="Times New Roman" w:hAnsi="Times New Roman" w:cs="Times New Roman"/>
          <w:b/>
          <w:bCs/>
          <w:lang w:eastAsia="lv-LV"/>
        </w:rPr>
        <w:t>Izziņa par atzinumos sniegtajiem iebildumiem</w:t>
      </w:r>
    </w:p>
    <w:p w14:paraId="26FC8B66" w14:textId="5747BCE9" w:rsidR="007333EF" w:rsidRPr="00C90FB9" w:rsidRDefault="00E84FB3" w:rsidP="00C90FB9">
      <w:pPr>
        <w:spacing w:after="0"/>
        <w:jc w:val="center"/>
        <w:rPr>
          <w:rFonts w:ascii="Times New Roman" w:hAnsi="Times New Roman" w:cs="Times New Roman"/>
          <w:b/>
        </w:rPr>
      </w:pPr>
      <w:r w:rsidRPr="00C90FB9">
        <w:rPr>
          <w:rFonts w:ascii="Times New Roman" w:eastAsia="Times New Roman" w:hAnsi="Times New Roman" w:cs="Times New Roman"/>
          <w:lang w:eastAsia="lv-LV"/>
        </w:rPr>
        <w:t>Ministru k</w:t>
      </w:r>
      <w:r w:rsidR="007333EF" w:rsidRPr="00C90FB9">
        <w:rPr>
          <w:rFonts w:ascii="Times New Roman" w:eastAsia="Times New Roman" w:hAnsi="Times New Roman" w:cs="Times New Roman"/>
          <w:lang w:eastAsia="lv-LV"/>
        </w:rPr>
        <w:t xml:space="preserve">abineta </w:t>
      </w:r>
      <w:r w:rsidR="006A4892">
        <w:rPr>
          <w:rFonts w:ascii="Times New Roman" w:eastAsia="Times New Roman" w:hAnsi="Times New Roman" w:cs="Times New Roman"/>
          <w:lang w:eastAsia="lv-LV"/>
        </w:rPr>
        <w:t>informatīvajam ziņojumam “</w:t>
      </w:r>
      <w:r w:rsidR="006A6717">
        <w:rPr>
          <w:rFonts w:ascii="Times New Roman" w:eastAsia="Times New Roman" w:hAnsi="Times New Roman" w:cs="Times New Roman"/>
          <w:lang w:eastAsia="lv-LV"/>
        </w:rPr>
        <w:t>Latvijas a</w:t>
      </w:r>
      <w:r w:rsidR="008A1441">
        <w:rPr>
          <w:rFonts w:ascii="Times New Roman" w:eastAsia="Times New Roman" w:hAnsi="Times New Roman" w:cs="Times New Roman"/>
          <w:lang w:eastAsia="lv-LV"/>
        </w:rPr>
        <w:t>tvērto datu stratēģija</w:t>
      </w:r>
      <w:r w:rsidR="006A4892" w:rsidRPr="00670A98">
        <w:rPr>
          <w:rFonts w:ascii="Times New Roman" w:eastAsia="Times New Roman" w:hAnsi="Times New Roman" w:cs="Times New Roman"/>
          <w:lang w:eastAsia="lv-LV"/>
        </w:rPr>
        <w:t>”</w:t>
      </w:r>
    </w:p>
    <w:p w14:paraId="417C8964" w14:textId="77777777" w:rsidR="00990B53" w:rsidRPr="00C90FB9" w:rsidRDefault="00990B53" w:rsidP="00C90FB9">
      <w:pPr>
        <w:pStyle w:val="naisf"/>
        <w:spacing w:before="0" w:after="0"/>
        <w:ind w:firstLine="720"/>
        <w:rPr>
          <w:sz w:val="22"/>
          <w:szCs w:val="22"/>
        </w:rPr>
      </w:pPr>
    </w:p>
    <w:p w14:paraId="61AFAA27" w14:textId="77777777" w:rsidR="00990B53" w:rsidRPr="00C90FB9" w:rsidRDefault="00990B53" w:rsidP="00C90FB9">
      <w:pPr>
        <w:pStyle w:val="naisf"/>
        <w:spacing w:before="0" w:after="0"/>
        <w:ind w:firstLine="0"/>
        <w:rPr>
          <w:b/>
          <w:sz w:val="22"/>
          <w:szCs w:val="22"/>
        </w:rPr>
      </w:pPr>
      <w:r w:rsidRPr="00C90FB9">
        <w:rPr>
          <w:b/>
          <w:sz w:val="22"/>
          <w:szCs w:val="22"/>
        </w:rPr>
        <w:t>I. Jautājumi, par kuriem saskaņošanā vienošanās nav panākta</w:t>
      </w:r>
    </w:p>
    <w:tbl>
      <w:tblPr>
        <w:tblW w:w="15165" w:type="dxa"/>
        <w:tblInd w:w="-8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4"/>
        <w:gridCol w:w="1985"/>
        <w:gridCol w:w="4393"/>
        <w:gridCol w:w="4678"/>
        <w:gridCol w:w="1844"/>
        <w:gridCol w:w="1841"/>
      </w:tblGrid>
      <w:tr w:rsidR="00990B53" w:rsidRPr="00352F2B" w14:paraId="193FAF72" w14:textId="77777777" w:rsidTr="002D6795">
        <w:trPr>
          <w:trHeight w:val="2238"/>
        </w:trPr>
        <w:tc>
          <w:tcPr>
            <w:tcW w:w="4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1F786E" w14:textId="77777777" w:rsidR="00990B53" w:rsidRPr="00352F2B" w:rsidRDefault="00990B53" w:rsidP="00C90FB9">
            <w:pPr>
              <w:pStyle w:val="naisc"/>
              <w:spacing w:before="0" w:after="0"/>
              <w:jc w:val="both"/>
              <w:rPr>
                <w:sz w:val="22"/>
                <w:szCs w:val="22"/>
              </w:rPr>
            </w:pPr>
            <w:r w:rsidRPr="00352F2B">
              <w:rPr>
                <w:sz w:val="22"/>
                <w:szCs w:val="22"/>
              </w:rPr>
              <w:t>Nr. p.k.</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5BDAC4" w14:textId="77777777" w:rsidR="00990B53" w:rsidRPr="00352F2B" w:rsidRDefault="00990B53" w:rsidP="00C90FB9">
            <w:pPr>
              <w:pStyle w:val="naisc"/>
              <w:spacing w:before="0" w:after="0"/>
              <w:ind w:firstLine="12"/>
              <w:jc w:val="both"/>
              <w:rPr>
                <w:sz w:val="22"/>
                <w:szCs w:val="22"/>
              </w:rPr>
            </w:pPr>
            <w:r w:rsidRPr="00352F2B">
              <w:rPr>
                <w:sz w:val="22"/>
                <w:szCs w:val="22"/>
              </w:rPr>
              <w:t>Saskaņošanai nosūtītā projekta redakcija (konkrēta punkta (panta) redakcija)</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E483FE" w14:textId="77777777" w:rsidR="00990B53" w:rsidRPr="00E33A06" w:rsidRDefault="00990B53" w:rsidP="00C90FB9">
            <w:pPr>
              <w:pStyle w:val="naisc"/>
              <w:spacing w:before="0" w:after="0"/>
              <w:jc w:val="both"/>
              <w:rPr>
                <w:sz w:val="22"/>
                <w:szCs w:val="22"/>
              </w:rPr>
            </w:pPr>
            <w:r w:rsidRPr="00E33A06">
              <w:rPr>
                <w:sz w:val="22"/>
                <w:szCs w:val="22"/>
              </w:rPr>
              <w:t>Atzinumā norādītais ministrijas (citas institūcijas) iebildums, kā arī saskaņošanā papildus izteiktais iebildums par projekta konkrēto punktu (pantu)</w:t>
            </w:r>
          </w:p>
        </w:tc>
        <w:tc>
          <w:tcPr>
            <w:tcW w:w="46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A88B9A" w14:textId="77777777" w:rsidR="00990B53" w:rsidRPr="00352F2B" w:rsidRDefault="00990B53" w:rsidP="00C90FB9">
            <w:pPr>
              <w:pStyle w:val="naisc"/>
              <w:spacing w:before="0" w:after="0"/>
              <w:ind w:firstLine="21"/>
              <w:jc w:val="both"/>
              <w:rPr>
                <w:sz w:val="22"/>
                <w:szCs w:val="22"/>
              </w:rPr>
            </w:pPr>
            <w:r w:rsidRPr="00352F2B">
              <w:rPr>
                <w:sz w:val="22"/>
                <w:szCs w:val="22"/>
              </w:rPr>
              <w:t>Atbildīgās ministrijas pamatojums iebilduma noraidījumam</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500752D" w14:textId="77777777" w:rsidR="00990B53" w:rsidRPr="00352F2B" w:rsidRDefault="00990B53" w:rsidP="00C90FB9">
            <w:pPr>
              <w:spacing w:after="0"/>
              <w:rPr>
                <w:rFonts w:ascii="Times New Roman" w:hAnsi="Times New Roman" w:cs="Times New Roman"/>
              </w:rPr>
            </w:pPr>
            <w:r w:rsidRPr="00352F2B">
              <w:rPr>
                <w:rFonts w:ascii="Times New Roman" w:hAnsi="Times New Roman" w:cs="Times New Roman"/>
              </w:rPr>
              <w:t>Atzinuma sniedzēja uzturētais iebildums, ja tas atšķiras no atzinumā norādītā iebilduma pamatojuma</w:t>
            </w:r>
          </w:p>
        </w:tc>
        <w:tc>
          <w:tcPr>
            <w:tcW w:w="1841" w:type="dxa"/>
            <w:tcBorders>
              <w:top w:val="single" w:sz="4" w:space="0" w:color="auto"/>
              <w:left w:val="single" w:sz="4" w:space="0" w:color="auto"/>
              <w:bottom w:val="single" w:sz="4" w:space="0" w:color="auto"/>
            </w:tcBorders>
            <w:shd w:val="clear" w:color="auto" w:fill="auto"/>
            <w:vAlign w:val="center"/>
          </w:tcPr>
          <w:p w14:paraId="6D9C1E34" w14:textId="77777777" w:rsidR="00990B53" w:rsidRPr="00352F2B" w:rsidRDefault="00990B53" w:rsidP="00C90FB9">
            <w:pPr>
              <w:spacing w:after="0"/>
              <w:rPr>
                <w:rFonts w:ascii="Times New Roman" w:hAnsi="Times New Roman" w:cs="Times New Roman"/>
              </w:rPr>
            </w:pPr>
            <w:r w:rsidRPr="00352F2B">
              <w:rPr>
                <w:rFonts w:ascii="Times New Roman" w:hAnsi="Times New Roman" w:cs="Times New Roman"/>
              </w:rPr>
              <w:t>Projekta attiecīgā punkta (panta) galīgā redakcija</w:t>
            </w:r>
          </w:p>
        </w:tc>
      </w:tr>
      <w:tr w:rsidR="002D6795" w:rsidRPr="00352F2B" w14:paraId="35B394E3" w14:textId="77777777" w:rsidTr="00846588">
        <w:tc>
          <w:tcPr>
            <w:tcW w:w="4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8BDDA" w14:textId="2EB53FC8" w:rsidR="002D6795" w:rsidRPr="00352F2B" w:rsidRDefault="002D6795" w:rsidP="002D6795">
            <w:pPr>
              <w:pStyle w:val="naisc"/>
              <w:spacing w:before="0" w:after="0"/>
              <w:rPr>
                <w:sz w:val="22"/>
                <w:szCs w:val="22"/>
              </w:rPr>
            </w:pPr>
            <w:r>
              <w:rPr>
                <w:sz w:val="22"/>
                <w:szCs w:val="22"/>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88359A" w14:textId="7A5CAB60" w:rsidR="002D6795" w:rsidRPr="00352F2B" w:rsidRDefault="002D6795" w:rsidP="002D6795">
            <w:pPr>
              <w:pStyle w:val="naisc"/>
              <w:spacing w:before="0" w:after="0"/>
              <w:ind w:firstLine="12"/>
              <w:rPr>
                <w:sz w:val="22"/>
                <w:szCs w:val="22"/>
              </w:rPr>
            </w:pPr>
            <w:r>
              <w:rPr>
                <w:sz w:val="22"/>
                <w:szCs w:val="22"/>
              </w:rPr>
              <w:t>2.</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7D33E2" w14:textId="50278C44" w:rsidR="002D6795" w:rsidRPr="00E33A06" w:rsidRDefault="002D6795" w:rsidP="002D6795">
            <w:pPr>
              <w:pStyle w:val="naisc"/>
              <w:spacing w:before="0" w:after="0"/>
              <w:rPr>
                <w:sz w:val="22"/>
                <w:szCs w:val="22"/>
              </w:rPr>
            </w:pPr>
            <w:r>
              <w:rPr>
                <w:sz w:val="22"/>
                <w:szCs w:val="22"/>
              </w:rPr>
              <w:t>3.</w:t>
            </w:r>
          </w:p>
        </w:tc>
        <w:tc>
          <w:tcPr>
            <w:tcW w:w="46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3C1DE6" w14:textId="183CF96D" w:rsidR="002D6795" w:rsidRPr="00352F2B" w:rsidRDefault="002D6795" w:rsidP="002D6795">
            <w:pPr>
              <w:pStyle w:val="naisc"/>
              <w:spacing w:before="0" w:after="0"/>
              <w:ind w:firstLine="21"/>
              <w:rPr>
                <w:sz w:val="22"/>
                <w:szCs w:val="22"/>
              </w:rPr>
            </w:pPr>
            <w:r>
              <w:rPr>
                <w:sz w:val="22"/>
                <w:szCs w:val="22"/>
              </w:rPr>
              <w:t>4.</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453CE41" w14:textId="76399393" w:rsidR="002D6795" w:rsidRPr="00352F2B" w:rsidRDefault="002D6795" w:rsidP="002D6795">
            <w:pPr>
              <w:spacing w:after="0"/>
              <w:jc w:val="center"/>
              <w:rPr>
                <w:rFonts w:ascii="Times New Roman" w:hAnsi="Times New Roman" w:cs="Times New Roman"/>
              </w:rPr>
            </w:pPr>
            <w:r>
              <w:rPr>
                <w:rFonts w:ascii="Times New Roman" w:hAnsi="Times New Roman" w:cs="Times New Roman"/>
              </w:rPr>
              <w:t>5.</w:t>
            </w:r>
          </w:p>
        </w:tc>
        <w:tc>
          <w:tcPr>
            <w:tcW w:w="1841" w:type="dxa"/>
            <w:tcBorders>
              <w:top w:val="single" w:sz="4" w:space="0" w:color="auto"/>
              <w:left w:val="single" w:sz="4" w:space="0" w:color="auto"/>
              <w:bottom w:val="single" w:sz="4" w:space="0" w:color="auto"/>
            </w:tcBorders>
            <w:shd w:val="clear" w:color="auto" w:fill="auto"/>
            <w:vAlign w:val="center"/>
          </w:tcPr>
          <w:p w14:paraId="4E1C7B50" w14:textId="19DF6B76" w:rsidR="002D6795" w:rsidRPr="00352F2B" w:rsidRDefault="002D6795" w:rsidP="002D6795">
            <w:pPr>
              <w:spacing w:after="0"/>
              <w:jc w:val="center"/>
              <w:rPr>
                <w:rFonts w:ascii="Times New Roman" w:hAnsi="Times New Roman" w:cs="Times New Roman"/>
              </w:rPr>
            </w:pPr>
            <w:r>
              <w:rPr>
                <w:rFonts w:ascii="Times New Roman" w:hAnsi="Times New Roman" w:cs="Times New Roman"/>
              </w:rPr>
              <w:t>6.</w:t>
            </w:r>
          </w:p>
        </w:tc>
      </w:tr>
      <w:tr w:rsidR="002D6795" w:rsidRPr="00352F2B" w14:paraId="39313F6C" w14:textId="77777777" w:rsidTr="00846588">
        <w:tc>
          <w:tcPr>
            <w:tcW w:w="4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F0B3D2" w14:textId="77777777" w:rsidR="002D6795" w:rsidRPr="00352F2B" w:rsidRDefault="002D6795" w:rsidP="00C90FB9">
            <w:pPr>
              <w:pStyle w:val="naisc"/>
              <w:spacing w:before="0" w:after="0"/>
              <w:jc w:val="both"/>
              <w:rPr>
                <w:sz w:val="22"/>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2F4E31" w14:textId="77777777" w:rsidR="002D6795" w:rsidRPr="00352F2B" w:rsidRDefault="002D6795" w:rsidP="00C90FB9">
            <w:pPr>
              <w:pStyle w:val="naisc"/>
              <w:spacing w:before="0" w:after="0"/>
              <w:ind w:firstLine="12"/>
              <w:jc w:val="both"/>
              <w:rPr>
                <w:sz w:val="22"/>
                <w:szCs w:val="22"/>
              </w:rPr>
            </w:pP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D7770C" w14:textId="77777777" w:rsidR="002D6795" w:rsidRPr="00E33A06" w:rsidRDefault="002D6795" w:rsidP="00C90FB9">
            <w:pPr>
              <w:pStyle w:val="naisc"/>
              <w:spacing w:before="0" w:after="0"/>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FEBCE5" w14:textId="77777777" w:rsidR="002D6795" w:rsidRPr="00352F2B" w:rsidRDefault="002D6795" w:rsidP="00C90FB9">
            <w:pPr>
              <w:pStyle w:val="naisc"/>
              <w:spacing w:before="0" w:after="0"/>
              <w:ind w:firstLine="21"/>
              <w:jc w:val="both"/>
              <w:rPr>
                <w:sz w:val="22"/>
                <w:szCs w:val="22"/>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AA181DC" w14:textId="77777777" w:rsidR="002D6795" w:rsidRPr="00352F2B" w:rsidRDefault="002D6795" w:rsidP="00C90FB9">
            <w:pPr>
              <w:spacing w:after="0"/>
              <w:rPr>
                <w:rFonts w:ascii="Times New Roman" w:hAnsi="Times New Roman" w:cs="Times New Roman"/>
              </w:rPr>
            </w:pPr>
          </w:p>
        </w:tc>
        <w:tc>
          <w:tcPr>
            <w:tcW w:w="1841" w:type="dxa"/>
            <w:tcBorders>
              <w:top w:val="single" w:sz="4" w:space="0" w:color="auto"/>
              <w:left w:val="single" w:sz="4" w:space="0" w:color="auto"/>
              <w:bottom w:val="single" w:sz="4" w:space="0" w:color="auto"/>
            </w:tcBorders>
            <w:shd w:val="clear" w:color="auto" w:fill="auto"/>
            <w:vAlign w:val="center"/>
          </w:tcPr>
          <w:p w14:paraId="10FF9CDB" w14:textId="77777777" w:rsidR="002D6795" w:rsidRPr="00352F2B" w:rsidRDefault="002D6795" w:rsidP="00C90FB9">
            <w:pPr>
              <w:spacing w:after="0"/>
              <w:rPr>
                <w:rFonts w:ascii="Times New Roman" w:hAnsi="Times New Roman" w:cs="Times New Roman"/>
              </w:rPr>
            </w:pPr>
          </w:p>
        </w:tc>
      </w:tr>
      <w:tr w:rsidR="002D6795" w:rsidRPr="00352F2B" w14:paraId="748CFCF6" w14:textId="77777777" w:rsidTr="00846588">
        <w:tc>
          <w:tcPr>
            <w:tcW w:w="4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F05771" w14:textId="77777777" w:rsidR="002D6795" w:rsidRPr="00352F2B" w:rsidRDefault="002D6795" w:rsidP="00C90FB9">
            <w:pPr>
              <w:pStyle w:val="naisc"/>
              <w:spacing w:before="0" w:after="0"/>
              <w:jc w:val="both"/>
              <w:rPr>
                <w:sz w:val="22"/>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574D90" w14:textId="77777777" w:rsidR="002D6795" w:rsidRPr="00352F2B" w:rsidRDefault="002D6795" w:rsidP="00C90FB9">
            <w:pPr>
              <w:pStyle w:val="naisc"/>
              <w:spacing w:before="0" w:after="0"/>
              <w:ind w:firstLine="12"/>
              <w:jc w:val="both"/>
              <w:rPr>
                <w:sz w:val="22"/>
                <w:szCs w:val="22"/>
              </w:rPr>
            </w:pP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475A0B" w14:textId="77777777" w:rsidR="002D6795" w:rsidRPr="00E33A06" w:rsidRDefault="002D6795" w:rsidP="00C90FB9">
            <w:pPr>
              <w:pStyle w:val="naisc"/>
              <w:spacing w:before="0" w:after="0"/>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560B79" w14:textId="77777777" w:rsidR="002D6795" w:rsidRPr="00352F2B" w:rsidRDefault="002D6795" w:rsidP="00C90FB9">
            <w:pPr>
              <w:pStyle w:val="naisc"/>
              <w:spacing w:before="0" w:after="0"/>
              <w:ind w:firstLine="21"/>
              <w:jc w:val="both"/>
              <w:rPr>
                <w:sz w:val="22"/>
                <w:szCs w:val="22"/>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B02F2A1" w14:textId="77777777" w:rsidR="002D6795" w:rsidRPr="00352F2B" w:rsidRDefault="002D6795" w:rsidP="00C90FB9">
            <w:pPr>
              <w:spacing w:after="0"/>
              <w:rPr>
                <w:rFonts w:ascii="Times New Roman" w:hAnsi="Times New Roman" w:cs="Times New Roman"/>
              </w:rPr>
            </w:pPr>
          </w:p>
        </w:tc>
        <w:tc>
          <w:tcPr>
            <w:tcW w:w="1841" w:type="dxa"/>
            <w:tcBorders>
              <w:top w:val="single" w:sz="4" w:space="0" w:color="auto"/>
              <w:left w:val="single" w:sz="4" w:space="0" w:color="auto"/>
              <w:bottom w:val="single" w:sz="4" w:space="0" w:color="auto"/>
            </w:tcBorders>
            <w:shd w:val="clear" w:color="auto" w:fill="auto"/>
            <w:vAlign w:val="center"/>
          </w:tcPr>
          <w:p w14:paraId="2B22E3E1" w14:textId="77777777" w:rsidR="002D6795" w:rsidRPr="00352F2B" w:rsidRDefault="002D6795" w:rsidP="00C90FB9">
            <w:pPr>
              <w:spacing w:after="0"/>
              <w:rPr>
                <w:rFonts w:ascii="Times New Roman" w:hAnsi="Times New Roman" w:cs="Times New Roman"/>
              </w:rPr>
            </w:pPr>
          </w:p>
        </w:tc>
      </w:tr>
    </w:tbl>
    <w:p w14:paraId="29AEEF59" w14:textId="118AF9AE" w:rsidR="00840E34" w:rsidRPr="00C90FB9" w:rsidRDefault="00840E34" w:rsidP="00C90FB9">
      <w:pPr>
        <w:pStyle w:val="naisf"/>
        <w:spacing w:before="0" w:after="0"/>
        <w:ind w:firstLine="0"/>
        <w:rPr>
          <w:b/>
          <w:sz w:val="22"/>
          <w:szCs w:val="22"/>
        </w:rPr>
      </w:pPr>
    </w:p>
    <w:p w14:paraId="3720F6A9" w14:textId="77777777" w:rsidR="00990B53" w:rsidRPr="00C90FB9" w:rsidRDefault="00990B53" w:rsidP="00C90FB9">
      <w:pPr>
        <w:pStyle w:val="naisf"/>
        <w:spacing w:before="0" w:after="0"/>
        <w:ind w:firstLine="0"/>
        <w:jc w:val="center"/>
        <w:rPr>
          <w:b/>
          <w:sz w:val="22"/>
          <w:szCs w:val="22"/>
        </w:rPr>
      </w:pPr>
      <w:r w:rsidRPr="00C90FB9">
        <w:rPr>
          <w:b/>
          <w:sz w:val="22"/>
          <w:szCs w:val="22"/>
        </w:rPr>
        <w:t>Informācija par starpministriju (starpinstitūciju) sanāksmi vai elektronisko saskaņošanu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6"/>
        <w:gridCol w:w="9018"/>
      </w:tblGrid>
      <w:tr w:rsidR="00990B53" w:rsidRPr="00C90FB9" w14:paraId="33221B00" w14:textId="77777777" w:rsidTr="00E00F6F">
        <w:tc>
          <w:tcPr>
            <w:tcW w:w="4436" w:type="dxa"/>
          </w:tcPr>
          <w:p w14:paraId="06A37642" w14:textId="77777777" w:rsidR="00990B53" w:rsidRPr="00C90FB9" w:rsidRDefault="00990B53" w:rsidP="00C90FB9">
            <w:pPr>
              <w:pStyle w:val="naisf"/>
              <w:spacing w:before="0" w:after="0"/>
              <w:ind w:firstLine="0"/>
              <w:rPr>
                <w:b/>
                <w:sz w:val="22"/>
                <w:szCs w:val="22"/>
              </w:rPr>
            </w:pPr>
            <w:r w:rsidRPr="00C90FB9">
              <w:rPr>
                <w:sz w:val="22"/>
                <w:szCs w:val="22"/>
              </w:rPr>
              <w:t>Datums:</w:t>
            </w:r>
          </w:p>
        </w:tc>
        <w:tc>
          <w:tcPr>
            <w:tcW w:w="9018" w:type="dxa"/>
          </w:tcPr>
          <w:p w14:paraId="3AC85999" w14:textId="60276EEF" w:rsidR="001D593E" w:rsidRPr="00C90FB9" w:rsidRDefault="00A076B2" w:rsidP="00D624F5">
            <w:pPr>
              <w:pStyle w:val="naisf"/>
              <w:spacing w:before="0" w:after="0"/>
              <w:ind w:firstLine="0"/>
              <w:rPr>
                <w:sz w:val="22"/>
                <w:szCs w:val="22"/>
              </w:rPr>
            </w:pPr>
            <w:r>
              <w:rPr>
                <w:sz w:val="22"/>
                <w:szCs w:val="22"/>
              </w:rPr>
              <w:t>04.06.2019.</w:t>
            </w:r>
          </w:p>
        </w:tc>
      </w:tr>
      <w:tr w:rsidR="00990B53" w:rsidRPr="00C90FB9" w14:paraId="4C052F4D" w14:textId="77777777" w:rsidTr="006E43B7">
        <w:trPr>
          <w:trHeight w:val="968"/>
        </w:trPr>
        <w:tc>
          <w:tcPr>
            <w:tcW w:w="4436" w:type="dxa"/>
          </w:tcPr>
          <w:p w14:paraId="3E728F5D" w14:textId="77777777" w:rsidR="00E84FB3" w:rsidRPr="00C90FB9" w:rsidRDefault="00990B53" w:rsidP="00C90FB9">
            <w:pPr>
              <w:pStyle w:val="naisf"/>
              <w:spacing w:before="0" w:after="0"/>
              <w:ind w:firstLine="0"/>
              <w:rPr>
                <w:b/>
                <w:sz w:val="22"/>
                <w:szCs w:val="22"/>
              </w:rPr>
            </w:pPr>
            <w:r w:rsidRPr="00C90FB9">
              <w:rPr>
                <w:sz w:val="22"/>
                <w:szCs w:val="22"/>
              </w:rPr>
              <w:t>Saskaņošanas dalībnieki:</w:t>
            </w:r>
          </w:p>
          <w:p w14:paraId="4BF2BDBF" w14:textId="77777777" w:rsidR="00E84FB3" w:rsidRPr="00C90FB9" w:rsidRDefault="00E84FB3" w:rsidP="00C90FB9">
            <w:pPr>
              <w:spacing w:after="0"/>
              <w:rPr>
                <w:rFonts w:ascii="Times New Roman" w:hAnsi="Times New Roman" w:cs="Times New Roman"/>
                <w:lang w:eastAsia="lv-LV"/>
              </w:rPr>
            </w:pPr>
          </w:p>
          <w:p w14:paraId="3A6635DC" w14:textId="77777777" w:rsidR="00E84FB3" w:rsidRPr="00C90FB9" w:rsidRDefault="00E84FB3" w:rsidP="00C90FB9">
            <w:pPr>
              <w:spacing w:after="0"/>
              <w:rPr>
                <w:rFonts w:ascii="Times New Roman" w:hAnsi="Times New Roman" w:cs="Times New Roman"/>
                <w:lang w:eastAsia="lv-LV"/>
              </w:rPr>
            </w:pPr>
          </w:p>
          <w:p w14:paraId="025AE09A" w14:textId="77777777" w:rsidR="00E84FB3" w:rsidRPr="00C90FB9" w:rsidRDefault="00E84FB3" w:rsidP="00C90FB9">
            <w:pPr>
              <w:spacing w:after="0"/>
              <w:rPr>
                <w:rFonts w:ascii="Times New Roman" w:hAnsi="Times New Roman" w:cs="Times New Roman"/>
                <w:vanish/>
                <w:lang w:eastAsia="lv-LV"/>
                <w:specVanish/>
              </w:rPr>
            </w:pPr>
          </w:p>
          <w:p w14:paraId="6CE1A5AF" w14:textId="77777777" w:rsidR="00990B53" w:rsidRPr="00C90FB9" w:rsidRDefault="00990B53" w:rsidP="00C90FB9">
            <w:pPr>
              <w:spacing w:after="0"/>
              <w:rPr>
                <w:rFonts w:ascii="Times New Roman" w:hAnsi="Times New Roman" w:cs="Times New Roman"/>
                <w:lang w:eastAsia="lv-LV"/>
              </w:rPr>
            </w:pPr>
          </w:p>
        </w:tc>
        <w:tc>
          <w:tcPr>
            <w:tcW w:w="9018" w:type="dxa"/>
          </w:tcPr>
          <w:p w14:paraId="171998BC" w14:textId="2359CFE3" w:rsidR="00C05DCC" w:rsidRPr="006E43B7" w:rsidRDefault="006E43B7" w:rsidP="008620D5">
            <w:pPr>
              <w:spacing w:after="0"/>
              <w:rPr>
                <w:rFonts w:ascii="Times New Roman" w:hAnsi="Times New Roman" w:cs="Times New Roman"/>
              </w:rPr>
            </w:pPr>
            <w:r w:rsidRPr="006E43B7">
              <w:rPr>
                <w:rFonts w:ascii="Times New Roman" w:hAnsi="Times New Roman" w:cs="Times New Roman"/>
              </w:rPr>
              <w:t>Tieslietu ministrija, Satiksmes ministr</w:t>
            </w:r>
            <w:r w:rsidR="00DE0A2C">
              <w:rPr>
                <w:rFonts w:ascii="Times New Roman" w:hAnsi="Times New Roman" w:cs="Times New Roman"/>
              </w:rPr>
              <w:t xml:space="preserve">ija, Aizsardzības ministrija, </w:t>
            </w:r>
            <w:r w:rsidRPr="006E43B7">
              <w:rPr>
                <w:rFonts w:ascii="Times New Roman" w:hAnsi="Times New Roman" w:cs="Times New Roman"/>
              </w:rPr>
              <w:t xml:space="preserve">Iekšlietu ministrija, </w:t>
            </w:r>
            <w:r w:rsidR="00D14BE7" w:rsidRPr="006E43B7">
              <w:rPr>
                <w:rFonts w:ascii="Times New Roman" w:hAnsi="Times New Roman" w:cs="Times New Roman"/>
              </w:rPr>
              <w:t>Finanšu ministrija</w:t>
            </w:r>
            <w:r w:rsidR="00DE0A2C">
              <w:rPr>
                <w:rFonts w:ascii="Times New Roman" w:hAnsi="Times New Roman" w:cs="Times New Roman"/>
              </w:rPr>
              <w:t>, Latvijas Lielo pilsētu asociācija, Latvijas Pašvaldību savienība, Finanšu nozares asociācija, Labklājības ministrija, Veselības ministrija</w:t>
            </w:r>
            <w:r w:rsidR="008620D5">
              <w:rPr>
                <w:rFonts w:ascii="Times New Roman" w:hAnsi="Times New Roman" w:cs="Times New Roman"/>
              </w:rPr>
              <w:t>, Latvijas Brīvo arodbiedrību savienība</w:t>
            </w:r>
            <w:r w:rsidR="000235AD">
              <w:rPr>
                <w:rFonts w:ascii="Times New Roman" w:hAnsi="Times New Roman" w:cs="Times New Roman"/>
              </w:rPr>
              <w:t>,</w:t>
            </w:r>
            <w:r w:rsidR="000235AD" w:rsidRPr="002D6795">
              <w:rPr>
                <w:rFonts w:ascii="Times New Roman" w:hAnsi="Times New Roman" w:cs="Times New Roman"/>
                <w:bCs/>
              </w:rPr>
              <w:t xml:space="preserve"> </w:t>
            </w:r>
            <w:r w:rsidR="000235AD">
              <w:rPr>
                <w:rFonts w:ascii="Times New Roman" w:hAnsi="Times New Roman" w:cs="Times New Roman"/>
                <w:bCs/>
              </w:rPr>
              <w:t>Satiksmes ministrija.</w:t>
            </w:r>
          </w:p>
        </w:tc>
      </w:tr>
      <w:tr w:rsidR="00990B53" w:rsidRPr="00C90FB9" w14:paraId="38A5C236" w14:textId="77777777" w:rsidTr="00E00F6F">
        <w:tc>
          <w:tcPr>
            <w:tcW w:w="4436" w:type="dxa"/>
          </w:tcPr>
          <w:p w14:paraId="7DF46FFD" w14:textId="77777777" w:rsidR="00990B53" w:rsidRPr="00C90FB9" w:rsidRDefault="00990B53" w:rsidP="00C90FB9">
            <w:pPr>
              <w:pStyle w:val="naisf"/>
              <w:spacing w:before="0" w:after="0"/>
              <w:ind w:firstLine="0"/>
              <w:rPr>
                <w:sz w:val="22"/>
                <w:szCs w:val="22"/>
              </w:rPr>
            </w:pPr>
            <w:r w:rsidRPr="00C90FB9">
              <w:rPr>
                <w:sz w:val="22"/>
                <w:szCs w:val="22"/>
              </w:rPr>
              <w:t>Saskaņošanas dalībnieki izskatīja šādu ministriju (citu institūciju) iebildumus:</w:t>
            </w:r>
          </w:p>
        </w:tc>
        <w:tc>
          <w:tcPr>
            <w:tcW w:w="9018" w:type="dxa"/>
          </w:tcPr>
          <w:p w14:paraId="25794701" w14:textId="7844F34F" w:rsidR="00990B53" w:rsidRPr="002D6795" w:rsidRDefault="008620D5" w:rsidP="00A076B2">
            <w:pPr>
              <w:spacing w:after="0"/>
              <w:rPr>
                <w:rFonts w:ascii="Times New Roman" w:hAnsi="Times New Roman" w:cs="Times New Roman"/>
              </w:rPr>
            </w:pPr>
            <w:r w:rsidRPr="002D6795">
              <w:rPr>
                <w:rFonts w:ascii="Times New Roman" w:hAnsi="Times New Roman" w:cs="Times New Roman"/>
              </w:rPr>
              <w:t>Tieslietu ministrija, Finanšu ministrija, Latvijas Pašvaldību savienība, Latvijas Lielo pilsētu asociācija</w:t>
            </w:r>
            <w:r w:rsidR="00A076B2" w:rsidRPr="002D6795">
              <w:rPr>
                <w:rFonts w:ascii="Times New Roman" w:hAnsi="Times New Roman" w:cs="Times New Roman"/>
              </w:rPr>
              <w:t>, Latvijas Tirdzniecības un rūpniecības kamera, Latvijas Informācijas un komunikācijas tehnoloģijas asociācija</w:t>
            </w:r>
            <w:r w:rsidR="007B4C49">
              <w:rPr>
                <w:rFonts w:ascii="Times New Roman" w:hAnsi="Times New Roman" w:cs="Times New Roman"/>
              </w:rPr>
              <w:t>.</w:t>
            </w:r>
          </w:p>
        </w:tc>
      </w:tr>
      <w:tr w:rsidR="00990B53" w:rsidRPr="00C90FB9" w14:paraId="58413B48" w14:textId="77777777" w:rsidTr="00E00F6F">
        <w:tc>
          <w:tcPr>
            <w:tcW w:w="4436" w:type="dxa"/>
          </w:tcPr>
          <w:p w14:paraId="4A186B15" w14:textId="77777777" w:rsidR="00990B53" w:rsidRPr="00C90FB9" w:rsidRDefault="00990B53" w:rsidP="00C90FB9">
            <w:pPr>
              <w:pStyle w:val="naisf"/>
              <w:spacing w:before="0" w:after="0"/>
              <w:ind w:firstLine="0"/>
              <w:rPr>
                <w:sz w:val="22"/>
                <w:szCs w:val="22"/>
              </w:rPr>
            </w:pPr>
            <w:r w:rsidRPr="00C90FB9">
              <w:rPr>
                <w:sz w:val="22"/>
                <w:szCs w:val="22"/>
              </w:rPr>
              <w:t>Ministrijas (citas institūcijas), kuras nav ieradušās uz sanāksmi vai kuras nav atbildējušas uz uzaicinājumu piedalīties elektroniskajā saskaņošanā:</w:t>
            </w:r>
          </w:p>
        </w:tc>
        <w:tc>
          <w:tcPr>
            <w:tcW w:w="9018" w:type="dxa"/>
          </w:tcPr>
          <w:p w14:paraId="25D0D9D3" w14:textId="54111575" w:rsidR="00990B53" w:rsidRPr="002D6795" w:rsidRDefault="002D6795" w:rsidP="00C90FB9">
            <w:pPr>
              <w:spacing w:after="0"/>
              <w:rPr>
                <w:rFonts w:ascii="Times New Roman" w:hAnsi="Times New Roman" w:cs="Times New Roman"/>
                <w:bCs/>
              </w:rPr>
            </w:pPr>
            <w:r w:rsidRPr="002D6795">
              <w:rPr>
                <w:rFonts w:ascii="Times New Roman" w:hAnsi="Times New Roman" w:cs="Times New Roman"/>
                <w:bCs/>
              </w:rPr>
              <w:t>Ekonomikas ministrija</w:t>
            </w:r>
            <w:r w:rsidR="007B4C49">
              <w:rPr>
                <w:rFonts w:ascii="Times New Roman" w:hAnsi="Times New Roman" w:cs="Times New Roman"/>
                <w:bCs/>
              </w:rPr>
              <w:t>, Latvijas Atvērto tehnoloģiju asociācija.</w:t>
            </w:r>
          </w:p>
        </w:tc>
      </w:tr>
    </w:tbl>
    <w:p w14:paraId="598C2BDF" w14:textId="77777777" w:rsidR="00990B53" w:rsidRDefault="00990B53" w:rsidP="00C90FB9">
      <w:pPr>
        <w:spacing w:after="0"/>
        <w:rPr>
          <w:rFonts w:ascii="Times New Roman" w:hAnsi="Times New Roman" w:cs="Times New Roman"/>
        </w:rPr>
      </w:pPr>
    </w:p>
    <w:p w14:paraId="4CCDD03C" w14:textId="77777777" w:rsidR="00226505" w:rsidRDefault="00226505" w:rsidP="00C90FB9">
      <w:pPr>
        <w:spacing w:after="0"/>
        <w:rPr>
          <w:rFonts w:ascii="Times New Roman" w:hAnsi="Times New Roman" w:cs="Times New Roman"/>
        </w:rPr>
      </w:pPr>
    </w:p>
    <w:p w14:paraId="65CCCE12" w14:textId="77777777" w:rsidR="002D6795" w:rsidRDefault="002D6795" w:rsidP="00C90FB9">
      <w:pPr>
        <w:spacing w:after="0"/>
        <w:rPr>
          <w:rFonts w:ascii="Times New Roman" w:hAnsi="Times New Roman" w:cs="Times New Roman"/>
        </w:rPr>
      </w:pPr>
    </w:p>
    <w:p w14:paraId="7D0A77F4" w14:textId="77777777" w:rsidR="002D6795" w:rsidRDefault="002D6795" w:rsidP="00C90FB9">
      <w:pPr>
        <w:spacing w:after="0"/>
        <w:rPr>
          <w:rFonts w:ascii="Times New Roman" w:hAnsi="Times New Roman" w:cs="Times New Roman"/>
        </w:rPr>
      </w:pPr>
    </w:p>
    <w:p w14:paraId="15A8CFAB" w14:textId="77777777" w:rsidR="002D6795" w:rsidRDefault="002D6795" w:rsidP="00C90FB9">
      <w:pPr>
        <w:spacing w:after="0"/>
        <w:rPr>
          <w:rFonts w:ascii="Times New Roman" w:hAnsi="Times New Roman" w:cs="Times New Roman"/>
        </w:rPr>
      </w:pPr>
    </w:p>
    <w:p w14:paraId="083388B3" w14:textId="77777777" w:rsidR="002D6795" w:rsidRDefault="002D6795" w:rsidP="00C90FB9">
      <w:pPr>
        <w:spacing w:after="0"/>
        <w:rPr>
          <w:rFonts w:ascii="Times New Roman" w:hAnsi="Times New Roman" w:cs="Times New Roman"/>
        </w:rPr>
      </w:pPr>
    </w:p>
    <w:p w14:paraId="0EBA7D25" w14:textId="77777777" w:rsidR="00226505" w:rsidRPr="00C90FB9" w:rsidRDefault="00226505" w:rsidP="00C90FB9">
      <w:pPr>
        <w:spacing w:after="0"/>
        <w:rPr>
          <w:rFonts w:ascii="Times New Roman" w:hAnsi="Times New Roman" w:cs="Times New Roman"/>
        </w:rPr>
      </w:pPr>
    </w:p>
    <w:p w14:paraId="717BE75F" w14:textId="77777777" w:rsidR="00990B53" w:rsidRPr="00C90FB9" w:rsidRDefault="00990B53" w:rsidP="00C90FB9">
      <w:pPr>
        <w:pStyle w:val="naisf"/>
        <w:spacing w:before="0" w:after="0"/>
        <w:ind w:firstLine="0"/>
        <w:jc w:val="center"/>
        <w:rPr>
          <w:b/>
          <w:sz w:val="22"/>
          <w:szCs w:val="22"/>
        </w:rPr>
      </w:pPr>
      <w:r w:rsidRPr="00C90FB9">
        <w:rPr>
          <w:b/>
          <w:sz w:val="22"/>
          <w:szCs w:val="22"/>
        </w:rPr>
        <w:lastRenderedPageBreak/>
        <w:t>II. Jautājumi, par kuriem saskaņošanā vienošanās ir panākta</w:t>
      </w:r>
    </w:p>
    <w:p w14:paraId="39680DCA" w14:textId="77777777" w:rsidR="00990B53" w:rsidRPr="00C90FB9" w:rsidRDefault="00990B53" w:rsidP="00C90FB9">
      <w:pPr>
        <w:pStyle w:val="naisf"/>
        <w:spacing w:before="0" w:after="0"/>
        <w:ind w:firstLine="720"/>
        <w:rPr>
          <w:sz w:val="22"/>
          <w:szCs w:val="22"/>
        </w:rPr>
      </w:pPr>
    </w:p>
    <w:tbl>
      <w:tblPr>
        <w:tblW w:w="15577" w:type="dxa"/>
        <w:tblInd w:w="-1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51"/>
        <w:gridCol w:w="2767"/>
        <w:gridCol w:w="417"/>
        <w:gridCol w:w="3776"/>
        <w:gridCol w:w="4355"/>
        <w:gridCol w:w="3709"/>
        <w:gridCol w:w="102"/>
      </w:tblGrid>
      <w:tr w:rsidR="00990B53" w:rsidRPr="00E9266E" w14:paraId="6974011F" w14:textId="77777777" w:rsidTr="00334155">
        <w:tc>
          <w:tcPr>
            <w:tcW w:w="451" w:type="dxa"/>
            <w:tcBorders>
              <w:top w:val="single" w:sz="6" w:space="0" w:color="000000"/>
              <w:left w:val="single" w:sz="6" w:space="0" w:color="000000"/>
              <w:bottom w:val="single" w:sz="6" w:space="0" w:color="000000"/>
              <w:right w:val="single" w:sz="6" w:space="0" w:color="000000"/>
            </w:tcBorders>
            <w:vAlign w:val="center"/>
          </w:tcPr>
          <w:p w14:paraId="67E5D5F9" w14:textId="77777777" w:rsidR="00990B53" w:rsidRPr="00E9266E" w:rsidRDefault="00990B53" w:rsidP="00497020">
            <w:pPr>
              <w:pStyle w:val="naisc"/>
              <w:spacing w:before="0" w:after="0"/>
              <w:rPr>
                <w:sz w:val="22"/>
                <w:szCs w:val="22"/>
              </w:rPr>
            </w:pPr>
            <w:r w:rsidRPr="00E9266E">
              <w:rPr>
                <w:sz w:val="22"/>
                <w:szCs w:val="22"/>
              </w:rPr>
              <w:t>Nr. p.k.</w:t>
            </w:r>
          </w:p>
        </w:tc>
        <w:tc>
          <w:tcPr>
            <w:tcW w:w="3184" w:type="dxa"/>
            <w:gridSpan w:val="2"/>
            <w:tcBorders>
              <w:top w:val="single" w:sz="6" w:space="0" w:color="000000"/>
              <w:left w:val="single" w:sz="6" w:space="0" w:color="000000"/>
              <w:bottom w:val="single" w:sz="6" w:space="0" w:color="000000"/>
              <w:right w:val="single" w:sz="6" w:space="0" w:color="000000"/>
            </w:tcBorders>
            <w:vAlign w:val="center"/>
          </w:tcPr>
          <w:p w14:paraId="774E9841" w14:textId="77777777" w:rsidR="00990B53" w:rsidRPr="00E9266E" w:rsidRDefault="00990B53" w:rsidP="00C90FB9">
            <w:pPr>
              <w:pStyle w:val="naisc"/>
              <w:spacing w:before="0" w:after="0"/>
              <w:ind w:firstLine="12"/>
              <w:jc w:val="both"/>
              <w:rPr>
                <w:sz w:val="22"/>
                <w:szCs w:val="22"/>
              </w:rPr>
            </w:pPr>
            <w:r w:rsidRPr="00E9266E">
              <w:rPr>
                <w:sz w:val="22"/>
                <w:szCs w:val="22"/>
              </w:rPr>
              <w:t>Saskaņošanai nosūtītā projekta redakcija (konkrēta punkta (panta) redakcija)</w:t>
            </w:r>
          </w:p>
        </w:tc>
        <w:tc>
          <w:tcPr>
            <w:tcW w:w="3776" w:type="dxa"/>
            <w:tcBorders>
              <w:top w:val="single" w:sz="6" w:space="0" w:color="000000"/>
              <w:left w:val="single" w:sz="6" w:space="0" w:color="000000"/>
              <w:bottom w:val="single" w:sz="6" w:space="0" w:color="000000"/>
              <w:right w:val="single" w:sz="6" w:space="0" w:color="000000"/>
            </w:tcBorders>
            <w:vAlign w:val="center"/>
          </w:tcPr>
          <w:p w14:paraId="1D33FDE9" w14:textId="77777777" w:rsidR="00990B53" w:rsidRPr="00E33A06" w:rsidRDefault="00990B53" w:rsidP="00C90FB9">
            <w:pPr>
              <w:pStyle w:val="naisc"/>
              <w:spacing w:before="0" w:after="0"/>
              <w:jc w:val="both"/>
              <w:rPr>
                <w:sz w:val="22"/>
                <w:szCs w:val="22"/>
              </w:rPr>
            </w:pPr>
            <w:r w:rsidRPr="00E33A06">
              <w:rPr>
                <w:sz w:val="22"/>
                <w:szCs w:val="22"/>
              </w:rPr>
              <w:t>Atzinumā norādītais ministrijas (citas institūcijas) iebildums, kā arī saskaņošanā papildus izteiktais iebildums par projekta konkrēto punktu (pantu)</w:t>
            </w:r>
          </w:p>
          <w:p w14:paraId="6EA096B4" w14:textId="77777777" w:rsidR="00385DBE" w:rsidRPr="00E33A06" w:rsidRDefault="00385DBE" w:rsidP="00C90FB9">
            <w:pPr>
              <w:pStyle w:val="naisc"/>
              <w:spacing w:before="0" w:after="0"/>
              <w:jc w:val="both"/>
              <w:rPr>
                <w:sz w:val="22"/>
                <w:szCs w:val="22"/>
              </w:rPr>
            </w:pPr>
          </w:p>
        </w:tc>
        <w:tc>
          <w:tcPr>
            <w:tcW w:w="4355" w:type="dxa"/>
            <w:tcBorders>
              <w:top w:val="single" w:sz="6" w:space="0" w:color="000000"/>
              <w:left w:val="single" w:sz="6" w:space="0" w:color="000000"/>
              <w:bottom w:val="single" w:sz="6" w:space="0" w:color="000000"/>
              <w:right w:val="single" w:sz="6" w:space="0" w:color="000000"/>
            </w:tcBorders>
            <w:vAlign w:val="center"/>
          </w:tcPr>
          <w:p w14:paraId="21C26709" w14:textId="77777777" w:rsidR="00990B53" w:rsidRPr="00E33A06" w:rsidRDefault="00990B53" w:rsidP="00C90FB9">
            <w:pPr>
              <w:pStyle w:val="naisc"/>
              <w:spacing w:before="0" w:after="0"/>
              <w:ind w:firstLine="21"/>
              <w:jc w:val="both"/>
              <w:rPr>
                <w:sz w:val="22"/>
                <w:szCs w:val="22"/>
              </w:rPr>
            </w:pPr>
            <w:r w:rsidRPr="00E33A06">
              <w:rPr>
                <w:sz w:val="22"/>
                <w:szCs w:val="22"/>
              </w:rPr>
              <w:t>Atbildīgās ministrijas norāde par to, ka iebildums ir ņemts vērā, vai informācija par saskaņošanā panākto alternatīvo risinājumu</w:t>
            </w:r>
          </w:p>
        </w:tc>
        <w:tc>
          <w:tcPr>
            <w:tcW w:w="3811" w:type="dxa"/>
            <w:gridSpan w:val="2"/>
            <w:tcBorders>
              <w:top w:val="single" w:sz="4" w:space="0" w:color="auto"/>
              <w:left w:val="single" w:sz="4" w:space="0" w:color="auto"/>
              <w:bottom w:val="single" w:sz="4" w:space="0" w:color="auto"/>
            </w:tcBorders>
            <w:vAlign w:val="center"/>
          </w:tcPr>
          <w:p w14:paraId="39F7909F" w14:textId="77777777" w:rsidR="00990B53" w:rsidRPr="00E9266E" w:rsidRDefault="00990B53" w:rsidP="00C90FB9">
            <w:pPr>
              <w:spacing w:after="0"/>
              <w:rPr>
                <w:rFonts w:ascii="Times New Roman" w:hAnsi="Times New Roman" w:cs="Times New Roman"/>
              </w:rPr>
            </w:pPr>
            <w:r w:rsidRPr="00E9266E">
              <w:rPr>
                <w:rFonts w:ascii="Times New Roman" w:hAnsi="Times New Roman" w:cs="Times New Roman"/>
              </w:rPr>
              <w:t>Projekta attiecīgā punkta (panta) galīgā redakcija</w:t>
            </w:r>
          </w:p>
        </w:tc>
      </w:tr>
      <w:tr w:rsidR="00990B53" w:rsidRPr="00E9266E" w14:paraId="4805338B" w14:textId="77777777" w:rsidTr="00334155">
        <w:tc>
          <w:tcPr>
            <w:tcW w:w="451" w:type="dxa"/>
            <w:tcBorders>
              <w:top w:val="single" w:sz="6" w:space="0" w:color="000000"/>
              <w:left w:val="single" w:sz="6" w:space="0" w:color="000000"/>
              <w:bottom w:val="single" w:sz="6" w:space="0" w:color="000000"/>
              <w:right w:val="single" w:sz="6" w:space="0" w:color="000000"/>
            </w:tcBorders>
          </w:tcPr>
          <w:p w14:paraId="225BE88A" w14:textId="77777777" w:rsidR="00990B53" w:rsidRPr="00E9266E" w:rsidRDefault="00990B53" w:rsidP="00497020">
            <w:pPr>
              <w:pStyle w:val="naisc"/>
              <w:spacing w:before="0" w:after="0"/>
              <w:rPr>
                <w:sz w:val="22"/>
                <w:szCs w:val="22"/>
              </w:rPr>
            </w:pPr>
            <w:r w:rsidRPr="00E9266E">
              <w:rPr>
                <w:sz w:val="22"/>
                <w:szCs w:val="22"/>
              </w:rPr>
              <w:t>1</w:t>
            </w:r>
          </w:p>
        </w:tc>
        <w:tc>
          <w:tcPr>
            <w:tcW w:w="3184" w:type="dxa"/>
            <w:gridSpan w:val="2"/>
            <w:tcBorders>
              <w:top w:val="single" w:sz="6" w:space="0" w:color="000000"/>
              <w:left w:val="single" w:sz="6" w:space="0" w:color="000000"/>
              <w:bottom w:val="single" w:sz="6" w:space="0" w:color="000000"/>
              <w:right w:val="single" w:sz="6" w:space="0" w:color="000000"/>
            </w:tcBorders>
          </w:tcPr>
          <w:p w14:paraId="3AF4CDA6" w14:textId="77777777" w:rsidR="00990B53" w:rsidRPr="00E9266E" w:rsidRDefault="00990B53" w:rsidP="00C90FB9">
            <w:pPr>
              <w:pStyle w:val="naisc"/>
              <w:spacing w:before="0" w:after="0"/>
              <w:ind w:firstLine="12"/>
              <w:jc w:val="both"/>
              <w:rPr>
                <w:sz w:val="22"/>
                <w:szCs w:val="22"/>
              </w:rPr>
            </w:pPr>
            <w:r w:rsidRPr="00E9266E">
              <w:rPr>
                <w:sz w:val="22"/>
                <w:szCs w:val="22"/>
              </w:rPr>
              <w:t>2</w:t>
            </w:r>
          </w:p>
        </w:tc>
        <w:tc>
          <w:tcPr>
            <w:tcW w:w="3776" w:type="dxa"/>
            <w:tcBorders>
              <w:top w:val="single" w:sz="6" w:space="0" w:color="000000"/>
              <w:left w:val="single" w:sz="6" w:space="0" w:color="000000"/>
              <w:bottom w:val="single" w:sz="6" w:space="0" w:color="000000"/>
              <w:right w:val="single" w:sz="6" w:space="0" w:color="000000"/>
            </w:tcBorders>
          </w:tcPr>
          <w:p w14:paraId="5C823923" w14:textId="77777777" w:rsidR="00385DBE" w:rsidRPr="00E33A06" w:rsidRDefault="00054DDF" w:rsidP="00C90FB9">
            <w:pPr>
              <w:pStyle w:val="naisc"/>
              <w:spacing w:before="0" w:after="0"/>
              <w:jc w:val="both"/>
              <w:rPr>
                <w:sz w:val="22"/>
                <w:szCs w:val="22"/>
              </w:rPr>
            </w:pPr>
            <w:r w:rsidRPr="00E33A06">
              <w:rPr>
                <w:sz w:val="22"/>
                <w:szCs w:val="22"/>
              </w:rPr>
              <w:t>3</w:t>
            </w:r>
          </w:p>
        </w:tc>
        <w:tc>
          <w:tcPr>
            <w:tcW w:w="4355" w:type="dxa"/>
            <w:tcBorders>
              <w:top w:val="single" w:sz="6" w:space="0" w:color="000000"/>
              <w:left w:val="single" w:sz="6" w:space="0" w:color="000000"/>
              <w:bottom w:val="single" w:sz="6" w:space="0" w:color="000000"/>
              <w:right w:val="single" w:sz="6" w:space="0" w:color="000000"/>
            </w:tcBorders>
          </w:tcPr>
          <w:p w14:paraId="0AD6D9C5" w14:textId="77777777" w:rsidR="00990B53" w:rsidRPr="00E33A06" w:rsidRDefault="00990B53" w:rsidP="00C90FB9">
            <w:pPr>
              <w:pStyle w:val="naisc"/>
              <w:spacing w:before="0" w:after="0"/>
              <w:ind w:firstLine="720"/>
              <w:jc w:val="both"/>
              <w:rPr>
                <w:sz w:val="22"/>
                <w:szCs w:val="22"/>
              </w:rPr>
            </w:pPr>
            <w:r w:rsidRPr="00E33A06">
              <w:rPr>
                <w:sz w:val="22"/>
                <w:szCs w:val="22"/>
              </w:rPr>
              <w:t>4</w:t>
            </w:r>
          </w:p>
        </w:tc>
        <w:tc>
          <w:tcPr>
            <w:tcW w:w="3811" w:type="dxa"/>
            <w:gridSpan w:val="2"/>
            <w:tcBorders>
              <w:top w:val="single" w:sz="4" w:space="0" w:color="auto"/>
              <w:left w:val="single" w:sz="4" w:space="0" w:color="auto"/>
              <w:bottom w:val="single" w:sz="4" w:space="0" w:color="auto"/>
            </w:tcBorders>
          </w:tcPr>
          <w:p w14:paraId="6F6D1D2D" w14:textId="77777777" w:rsidR="00990B53" w:rsidRPr="00E9266E" w:rsidRDefault="00990B53" w:rsidP="00C90FB9">
            <w:pPr>
              <w:spacing w:after="0"/>
              <w:rPr>
                <w:rFonts w:ascii="Times New Roman" w:hAnsi="Times New Roman" w:cs="Times New Roman"/>
              </w:rPr>
            </w:pPr>
            <w:r w:rsidRPr="00E9266E">
              <w:rPr>
                <w:rFonts w:ascii="Times New Roman" w:hAnsi="Times New Roman" w:cs="Times New Roman"/>
              </w:rPr>
              <w:t>5</w:t>
            </w:r>
          </w:p>
        </w:tc>
      </w:tr>
      <w:tr w:rsidR="002D6795" w:rsidRPr="00E9266E" w14:paraId="24A39BE7" w14:textId="77777777" w:rsidTr="00334155">
        <w:tc>
          <w:tcPr>
            <w:tcW w:w="451" w:type="dxa"/>
            <w:tcBorders>
              <w:top w:val="single" w:sz="6" w:space="0" w:color="000000"/>
              <w:left w:val="single" w:sz="6" w:space="0" w:color="000000"/>
              <w:bottom w:val="single" w:sz="6" w:space="0" w:color="000000"/>
              <w:right w:val="single" w:sz="6" w:space="0" w:color="000000"/>
            </w:tcBorders>
          </w:tcPr>
          <w:p w14:paraId="607CCC60" w14:textId="77777777" w:rsidR="002D6795" w:rsidRPr="00E9266E" w:rsidRDefault="002D6795" w:rsidP="002D6795">
            <w:pPr>
              <w:pStyle w:val="naisc"/>
              <w:spacing w:before="0" w:after="0"/>
              <w:rPr>
                <w:sz w:val="22"/>
                <w:szCs w:val="22"/>
              </w:rPr>
            </w:pPr>
          </w:p>
        </w:tc>
        <w:tc>
          <w:tcPr>
            <w:tcW w:w="3184" w:type="dxa"/>
            <w:gridSpan w:val="2"/>
            <w:tcBorders>
              <w:top w:val="single" w:sz="6" w:space="0" w:color="000000"/>
              <w:left w:val="single" w:sz="6" w:space="0" w:color="000000"/>
              <w:bottom w:val="single" w:sz="6" w:space="0" w:color="000000"/>
              <w:right w:val="single" w:sz="6" w:space="0" w:color="000000"/>
            </w:tcBorders>
          </w:tcPr>
          <w:p w14:paraId="2EB97C02" w14:textId="77777777" w:rsidR="002D6795" w:rsidRPr="00E9266E" w:rsidRDefault="002D6795" w:rsidP="002D6795">
            <w:pPr>
              <w:pStyle w:val="naisc"/>
              <w:spacing w:before="0" w:after="0"/>
              <w:ind w:firstLine="12"/>
              <w:jc w:val="both"/>
              <w:rPr>
                <w:sz w:val="22"/>
                <w:szCs w:val="22"/>
              </w:rPr>
            </w:pPr>
          </w:p>
        </w:tc>
        <w:tc>
          <w:tcPr>
            <w:tcW w:w="3776" w:type="dxa"/>
            <w:tcBorders>
              <w:top w:val="single" w:sz="6" w:space="0" w:color="000000"/>
              <w:left w:val="single" w:sz="6" w:space="0" w:color="000000"/>
              <w:bottom w:val="single" w:sz="6" w:space="0" w:color="000000"/>
              <w:right w:val="single" w:sz="6" w:space="0" w:color="000000"/>
            </w:tcBorders>
          </w:tcPr>
          <w:p w14:paraId="1A5DEF88" w14:textId="77777777" w:rsidR="002D6795" w:rsidRPr="00E33A06" w:rsidRDefault="002D6795" w:rsidP="002D6795">
            <w:pPr>
              <w:spacing w:after="0"/>
              <w:rPr>
                <w:rFonts w:ascii="Times New Roman" w:hAnsi="Times New Roman" w:cs="Times New Roman"/>
              </w:rPr>
            </w:pPr>
            <w:r w:rsidRPr="00E33A06">
              <w:rPr>
                <w:rFonts w:ascii="Times New Roman" w:hAnsi="Times New Roman" w:cs="Times New Roman"/>
                <w:b/>
              </w:rPr>
              <w:t>Tieslietu ministrija</w:t>
            </w:r>
          </w:p>
          <w:p w14:paraId="1CD7193E" w14:textId="20BAE842" w:rsidR="002D6795" w:rsidRPr="00E33A06" w:rsidRDefault="002D6795" w:rsidP="002D6795">
            <w:pPr>
              <w:pStyle w:val="naisc"/>
              <w:spacing w:before="0" w:after="0"/>
              <w:jc w:val="both"/>
              <w:rPr>
                <w:sz w:val="22"/>
                <w:szCs w:val="22"/>
              </w:rPr>
            </w:pPr>
            <w:r w:rsidRPr="00E33A06">
              <w:t>Projekta 6. nodaļā iekļautā rīcības plāna "Latvijas atvērto datu stratēģijas" īstenošanai 3. pasākumā kā atbildīgo iestādi lūdzam norādīt arī Finanšu ministriju. Piemēram, izpildot Ministru kabineta 2018. gada 6. februāra sēdē (prot. Nr. 7, 30. §, 2. punkts) doto uzdevumu par Valsts adrešu reģistra un administratīvo robežu datu atvēršanu Valsts zemes dienests ir izvērtējis savu budžetu un iespējas nepieciešamo finansējumu gūt no iekšējo resursu ekonomijas, taču minēto datu atvēršana nav iespējama esošā Valsts zemes dienesta budžeta ietvaros. Datu publicēšana Latvijas Atvērto datu portālā (</w:t>
            </w:r>
            <w:hyperlink r:id="rId8" w:history="1">
              <w:r w:rsidRPr="00E33A06">
                <w:rPr>
                  <w:rStyle w:val="Hyperlink"/>
                </w:rPr>
                <w:t>https://data.gov.lv</w:t>
              </w:r>
            </w:hyperlink>
            <w:r w:rsidRPr="00E33A06">
              <w:t xml:space="preserve">) (turpmāk – portāls) radītu tiešu un ilgtermiņa ietekmi uz Valsts zemes dienesta budžetu, jo vairs netiktu saņemti ienākumi, kurus Valsts zemes dienests saņem par šiem datiem </w:t>
            </w:r>
            <w:r w:rsidRPr="00E33A06">
              <w:lastRenderedPageBreak/>
              <w:t>maksas pakalpojumu veidā. Attiecīgi būtu nepieciešams nodrošināt, ka Valsts zemes dienesta ieņēmumos nesaņemtais tiks kompensēts ar Valsts zemes dienesta budžeta palielināšanu. Finansējums aktivitātei netika rasts arī, izskatot likumprojektu "Par valsts budžetu 2019. gadam". Līdz ar to izveidojusies situācija, ka Vides aizsardzības un reģionālās attīstības ministrija kā par e-pārvaldi atbildīgā iestāde ievieš atvērto datu politiku, ierosinot uzdevumus un izmaiņas normatīvajos aktos, bet konkrēto aktivitāšu īstenošanai netiek piešķirts atbilstošs finansējums. Lai nodrošinātu e-pakalpojumu attīstību un datu atvēršanu, Vides aizsardzības un reģionālās attīstības ministrijas priekšlikumi e-pārvaldes attīstībai un datu atvēršanai būtu jāatbalsta tikai tad, ja Finanšu ministrija ir atbalstījusi atbilstoša finansējuma piešķiršanu konkrētajai aktivitātei.</w:t>
            </w:r>
          </w:p>
        </w:tc>
        <w:tc>
          <w:tcPr>
            <w:tcW w:w="4355" w:type="dxa"/>
            <w:tcBorders>
              <w:top w:val="single" w:sz="6" w:space="0" w:color="000000"/>
              <w:left w:val="single" w:sz="6" w:space="0" w:color="000000"/>
              <w:bottom w:val="single" w:sz="6" w:space="0" w:color="000000"/>
              <w:right w:val="single" w:sz="6" w:space="0" w:color="000000"/>
            </w:tcBorders>
          </w:tcPr>
          <w:p w14:paraId="02F02210" w14:textId="5449E7C3" w:rsidR="002D6795" w:rsidRPr="00E33A06" w:rsidRDefault="002D6795" w:rsidP="002D6795">
            <w:pPr>
              <w:pStyle w:val="naisc"/>
              <w:spacing w:before="0" w:after="0"/>
              <w:jc w:val="both"/>
              <w:rPr>
                <w:sz w:val="22"/>
                <w:szCs w:val="22"/>
              </w:rPr>
            </w:pPr>
            <w:r w:rsidRPr="00A64FD4">
              <w:rPr>
                <w:b/>
              </w:rPr>
              <w:lastRenderedPageBreak/>
              <w:t xml:space="preserve">Starpinstitūciju </w:t>
            </w:r>
            <w:r>
              <w:rPr>
                <w:b/>
              </w:rPr>
              <w:t>saskaņošanas sanāksmē 04.06.2019</w:t>
            </w:r>
            <w:r w:rsidRPr="00A64FD4">
              <w:rPr>
                <w:b/>
              </w:rPr>
              <w:t>.  panākta vienošanās</w:t>
            </w:r>
          </w:p>
        </w:tc>
        <w:tc>
          <w:tcPr>
            <w:tcW w:w="3811" w:type="dxa"/>
            <w:gridSpan w:val="2"/>
            <w:tcBorders>
              <w:top w:val="single" w:sz="4" w:space="0" w:color="auto"/>
              <w:left w:val="single" w:sz="4" w:space="0" w:color="auto"/>
              <w:bottom w:val="single" w:sz="4" w:space="0" w:color="auto"/>
            </w:tcBorders>
          </w:tcPr>
          <w:p w14:paraId="51577EAD" w14:textId="3C0FE9A2" w:rsidR="002D6795" w:rsidRPr="00E9266E" w:rsidRDefault="002D6795" w:rsidP="002D6795">
            <w:pPr>
              <w:spacing w:after="0"/>
              <w:rPr>
                <w:rFonts w:ascii="Times New Roman" w:hAnsi="Times New Roman" w:cs="Times New Roman"/>
              </w:rPr>
            </w:pPr>
            <w:r>
              <w:rPr>
                <w:rFonts w:ascii="Times New Roman" w:hAnsi="Times New Roman" w:cs="Times New Roman"/>
              </w:rPr>
              <w:t>Lūdzu skatīt informatīvā ziņojuma 6.nodaļas 6.punktu. Tas papildināts precizējot sadarbības padomes funkcijas un nosakot optimālo tās sastāvu.</w:t>
            </w:r>
          </w:p>
        </w:tc>
      </w:tr>
      <w:tr w:rsidR="002D6795" w:rsidRPr="00E9266E" w14:paraId="26E8586A" w14:textId="77777777" w:rsidTr="00334155">
        <w:tc>
          <w:tcPr>
            <w:tcW w:w="451" w:type="dxa"/>
            <w:tcBorders>
              <w:top w:val="single" w:sz="6" w:space="0" w:color="000000"/>
              <w:left w:val="single" w:sz="6" w:space="0" w:color="000000"/>
              <w:bottom w:val="single" w:sz="6" w:space="0" w:color="000000"/>
              <w:right w:val="single" w:sz="6" w:space="0" w:color="000000"/>
            </w:tcBorders>
          </w:tcPr>
          <w:p w14:paraId="643E3036" w14:textId="77777777" w:rsidR="002D6795" w:rsidRPr="00E9266E" w:rsidRDefault="002D6795" w:rsidP="002D6795">
            <w:pPr>
              <w:pStyle w:val="naisc"/>
              <w:spacing w:before="0" w:after="0"/>
              <w:rPr>
                <w:sz w:val="22"/>
                <w:szCs w:val="22"/>
              </w:rPr>
            </w:pPr>
          </w:p>
        </w:tc>
        <w:tc>
          <w:tcPr>
            <w:tcW w:w="3184" w:type="dxa"/>
            <w:gridSpan w:val="2"/>
            <w:tcBorders>
              <w:top w:val="single" w:sz="6" w:space="0" w:color="000000"/>
              <w:left w:val="single" w:sz="6" w:space="0" w:color="000000"/>
              <w:bottom w:val="single" w:sz="6" w:space="0" w:color="000000"/>
              <w:right w:val="single" w:sz="6" w:space="0" w:color="000000"/>
            </w:tcBorders>
          </w:tcPr>
          <w:p w14:paraId="40CC6D12" w14:textId="77777777" w:rsidR="002D6795" w:rsidRPr="00E9266E" w:rsidRDefault="002D6795" w:rsidP="002D6795">
            <w:pPr>
              <w:pStyle w:val="naisc"/>
              <w:spacing w:before="0" w:after="0"/>
              <w:ind w:firstLine="12"/>
              <w:jc w:val="both"/>
              <w:rPr>
                <w:sz w:val="22"/>
                <w:szCs w:val="22"/>
              </w:rPr>
            </w:pPr>
          </w:p>
        </w:tc>
        <w:tc>
          <w:tcPr>
            <w:tcW w:w="3776" w:type="dxa"/>
            <w:tcBorders>
              <w:top w:val="single" w:sz="6" w:space="0" w:color="000000"/>
              <w:left w:val="single" w:sz="6" w:space="0" w:color="000000"/>
              <w:bottom w:val="single" w:sz="6" w:space="0" w:color="000000"/>
              <w:right w:val="single" w:sz="6" w:space="0" w:color="000000"/>
            </w:tcBorders>
          </w:tcPr>
          <w:p w14:paraId="36A6105D" w14:textId="77777777" w:rsidR="002D6795" w:rsidRPr="00E33A06" w:rsidRDefault="002D6795" w:rsidP="002D6795">
            <w:pPr>
              <w:spacing w:after="0"/>
              <w:rPr>
                <w:rFonts w:ascii="Times New Roman" w:hAnsi="Times New Roman" w:cs="Times New Roman"/>
                <w:b/>
              </w:rPr>
            </w:pPr>
            <w:r w:rsidRPr="00E33A06">
              <w:rPr>
                <w:rFonts w:ascii="Times New Roman" w:hAnsi="Times New Roman" w:cs="Times New Roman"/>
                <w:b/>
              </w:rPr>
              <w:t>Tieslietu ministrija</w:t>
            </w:r>
          </w:p>
          <w:p w14:paraId="7D812320" w14:textId="1BCEA0D2" w:rsidR="002D6795" w:rsidRPr="00E33A06" w:rsidRDefault="002D6795" w:rsidP="002D6795">
            <w:pPr>
              <w:spacing w:after="0"/>
              <w:rPr>
                <w:rFonts w:ascii="Times New Roman" w:hAnsi="Times New Roman" w:cs="Times New Roman"/>
                <w:b/>
              </w:rPr>
            </w:pPr>
            <w:r w:rsidRPr="00E33A06">
              <w:rPr>
                <w:rFonts w:ascii="Times New Roman" w:hAnsi="Times New Roman" w:cs="Times New Roman"/>
              </w:rPr>
              <w:t xml:space="preserve">Projektā vairākkārt norādīts, ka valsts pārvaldes iestādēm ir ierobežots finansējuma apjoms, ko varētu ieguldīt datu atvēršanas risinājumu izstrādei (9., 16., 27., 29.lpp.). Vienlaikus sniegta atsauce uz Ministru kabineta 2018.gada 6.februāra protokollēmumā Nr.7, 40.§ Tieslietu ministrijai dotu uzdevumu - </w:t>
            </w:r>
            <w:r w:rsidRPr="00E33A06">
              <w:rPr>
                <w:rFonts w:ascii="Times New Roman" w:hAnsi="Times New Roman" w:cs="Times New Roman"/>
              </w:rPr>
              <w:lastRenderedPageBreak/>
              <w:t xml:space="preserve">rast finansējumu ģeotelpisko datu kopas publicēšanai Latvijas Atvērto datu portālā. Vēršam uzmanību, ka izstrādājot Ministru kabineta noteikumu projektu “Adresācijas noteikumi” (izskatīts MKK 18.02.2019. TA-175) anotācijā ir iekļauta informācija par Valsts adrešu reģistra datu atvēršanas izmaksām ne vien Valsts zemes dienestam, bet arī Vides aizsardzības un reģionālās attīstības ministrijai (VARAM). Valsts zemes dienestam 2020. gadā nepieciešami 222 080 euro, bet 2021. gadā un turpmāk 152 848 euro, savukārt VARAM valsts budžeta finansējums tīmekļa pakalpes izstrādei 2020.gadā nepieciešams 121 003 euro. Ņemot vērā minēto, projekta 16.lpp.norādītais, ka iestādes nevēlas investēt jaunos tehnoloģiskos risinājumos, nav uzskatāms par objektīvu. Projektā ir atzīts, ka datu atvēršana rada izmaksas, tādējādi datu atvēršanas jautājumi finansējuma aspektā būtu skatāmi kompleksi valstiskā mērogā. Papildus minētajam attiecībā uz Valsts adrešu reģistra datu atvēršanu jānorāda, ka Ministru kabineta noteikumu projekta “Adresācijas noteikumi”  izstrādes laikā, vērtējot datu atvēršanas iespējas, tika konstatēts, ka nododot datus Latvijas Atvērto datu portālam, lai iestādes spētu saņemt no tā tām nepieciešamos datus, tām nepieciešams pielāgot savas informācijas sistēmas, kas tomēr rada </w:t>
            </w:r>
            <w:r w:rsidRPr="00E33A06">
              <w:rPr>
                <w:rFonts w:ascii="Times New Roman" w:hAnsi="Times New Roman" w:cs="Times New Roman"/>
              </w:rPr>
              <w:lastRenderedPageBreak/>
              <w:t>izmaksas, tāpēc Valsts zemes dienestam jāturpina uzturēt esošie datu apmaiņas servisi, kas arī rada izmaksas. Jāuzver, ka Valsts zemes dienests ir šobrīd vienīgā iestāde, kuras budžetu ap 60% veido ieņēmumi no sniegtajiem maksas pakalpojumiem un no minētajiem ieņēmumiem tiek uzturētas esošās informācijas sistēmas un nodrošināta to darbība. Ņemot vērā minēto, secināms, ka VARAM nav veicis pilnvērtīgu un daudzpusīgu datu atvēršanas izmaksu analīzi un projekts būtu papildināms ar plašāku situācijas aprakstu finansējuma jomā. Iespējams, ka jautājums par izmaksu samazināšanu būtu skatāms kopsakarā ar Valsts informācijas sistēmu savietotāju, kas bija veidota kā platforma datu apmaiņai valsts pārvaldes iestādēm.</w:t>
            </w:r>
          </w:p>
        </w:tc>
        <w:tc>
          <w:tcPr>
            <w:tcW w:w="4355" w:type="dxa"/>
            <w:tcBorders>
              <w:top w:val="single" w:sz="6" w:space="0" w:color="000000"/>
              <w:left w:val="single" w:sz="6" w:space="0" w:color="000000"/>
              <w:bottom w:val="single" w:sz="6" w:space="0" w:color="000000"/>
              <w:right w:val="single" w:sz="6" w:space="0" w:color="000000"/>
            </w:tcBorders>
          </w:tcPr>
          <w:p w14:paraId="5E2D8FCA" w14:textId="37B91CA9" w:rsidR="002D6795" w:rsidRPr="00A64FD4" w:rsidRDefault="002D6795" w:rsidP="002D6795">
            <w:pPr>
              <w:pStyle w:val="naisc"/>
              <w:spacing w:before="0" w:after="0"/>
              <w:jc w:val="both"/>
              <w:rPr>
                <w:b/>
              </w:rPr>
            </w:pPr>
            <w:r w:rsidRPr="00A64FD4">
              <w:rPr>
                <w:b/>
              </w:rPr>
              <w:lastRenderedPageBreak/>
              <w:t xml:space="preserve">Starpinstitūciju </w:t>
            </w:r>
            <w:r>
              <w:rPr>
                <w:b/>
              </w:rPr>
              <w:t>saskaņošanas sanāksmē 04.06.2019</w:t>
            </w:r>
            <w:r w:rsidRPr="00A64FD4">
              <w:rPr>
                <w:b/>
              </w:rPr>
              <w:t>.  panākta vienošanās</w:t>
            </w:r>
          </w:p>
        </w:tc>
        <w:tc>
          <w:tcPr>
            <w:tcW w:w="3811" w:type="dxa"/>
            <w:gridSpan w:val="2"/>
            <w:tcBorders>
              <w:top w:val="single" w:sz="4" w:space="0" w:color="auto"/>
              <w:left w:val="single" w:sz="4" w:space="0" w:color="auto"/>
              <w:bottom w:val="single" w:sz="4" w:space="0" w:color="auto"/>
            </w:tcBorders>
          </w:tcPr>
          <w:p w14:paraId="14F21A51" w14:textId="049B626D" w:rsidR="002D6795" w:rsidRDefault="002D6795" w:rsidP="002D6795">
            <w:pPr>
              <w:spacing w:after="0"/>
              <w:rPr>
                <w:rFonts w:ascii="Times New Roman" w:hAnsi="Times New Roman" w:cs="Times New Roman"/>
              </w:rPr>
            </w:pPr>
            <w:r>
              <w:rPr>
                <w:rFonts w:ascii="Times New Roman" w:hAnsi="Times New Roman" w:cs="Times New Roman"/>
              </w:rPr>
              <w:t>Svītrota Informatīvā ziņojuma redakcija par iestāžu nevēlēšanos investēt jaunos tehnoloģiskos risinājumos. Papildu precizēts Informatīvā ziņojuma 6.nodaļas 2.</w:t>
            </w:r>
            <w:r w:rsidRPr="001A0CFC">
              <w:rPr>
                <w:rFonts w:ascii="Times New Roman" w:hAnsi="Times New Roman" w:cs="Times New Roman"/>
                <w:sz w:val="24"/>
                <w:szCs w:val="24"/>
              </w:rPr>
              <w:t xml:space="preserve">punkts par instrukcijas par </w:t>
            </w:r>
            <w:r w:rsidRPr="001A0CFC">
              <w:rPr>
                <w:rFonts w:ascii="Times New Roman" w:eastAsia="Calibri" w:hAnsi="Times New Roman" w:cs="Times New Roman"/>
                <w:sz w:val="24"/>
                <w:szCs w:val="24"/>
              </w:rPr>
              <w:t xml:space="preserve">prioritāri atveramo datu identificēšanai, klasificēšanai  un </w:t>
            </w:r>
            <w:r w:rsidRPr="001A0CFC">
              <w:rPr>
                <w:rFonts w:ascii="Times New Roman" w:eastAsia="Calibri" w:hAnsi="Times New Roman" w:cs="Times New Roman"/>
                <w:sz w:val="24"/>
                <w:szCs w:val="24"/>
              </w:rPr>
              <w:lastRenderedPageBreak/>
              <w:t xml:space="preserve">atvēršanai </w:t>
            </w:r>
            <w:r w:rsidRPr="001A0CFC">
              <w:rPr>
                <w:rFonts w:ascii="Times New Roman" w:hAnsi="Times New Roman" w:cs="Times New Roman"/>
                <w:sz w:val="24"/>
                <w:szCs w:val="24"/>
              </w:rPr>
              <w:t>un 6.punkts par sadarbības padomes kompetenci</w:t>
            </w:r>
            <w:r>
              <w:rPr>
                <w:rFonts w:ascii="Times New Roman" w:hAnsi="Times New Roman" w:cs="Times New Roman"/>
              </w:rPr>
              <w:t xml:space="preserve">.   </w:t>
            </w:r>
          </w:p>
        </w:tc>
      </w:tr>
      <w:tr w:rsidR="002D6795" w:rsidRPr="00E9266E" w14:paraId="585F61ED" w14:textId="77777777" w:rsidTr="000409EA">
        <w:tc>
          <w:tcPr>
            <w:tcW w:w="451" w:type="dxa"/>
            <w:tcBorders>
              <w:top w:val="single" w:sz="6" w:space="0" w:color="000000"/>
              <w:left w:val="single" w:sz="6" w:space="0" w:color="000000"/>
              <w:bottom w:val="single" w:sz="6" w:space="0" w:color="000000"/>
              <w:right w:val="single" w:sz="6" w:space="0" w:color="000000"/>
            </w:tcBorders>
          </w:tcPr>
          <w:p w14:paraId="0A97406E" w14:textId="0CFB767E" w:rsidR="002D6795" w:rsidRPr="00E9266E" w:rsidRDefault="002D6795" w:rsidP="002D6795">
            <w:pPr>
              <w:pStyle w:val="naisc"/>
              <w:numPr>
                <w:ilvl w:val="0"/>
                <w:numId w:val="17"/>
              </w:numPr>
              <w:tabs>
                <w:tab w:val="left" w:pos="360"/>
              </w:tabs>
              <w:spacing w:before="0" w:after="0"/>
              <w:ind w:left="0" w:firstLine="0"/>
              <w:jc w:val="both"/>
              <w:rPr>
                <w:sz w:val="22"/>
                <w:szCs w:val="22"/>
              </w:rPr>
            </w:pPr>
          </w:p>
        </w:tc>
        <w:tc>
          <w:tcPr>
            <w:tcW w:w="3184" w:type="dxa"/>
            <w:gridSpan w:val="2"/>
            <w:tcBorders>
              <w:top w:val="single" w:sz="6" w:space="0" w:color="000000"/>
              <w:left w:val="single" w:sz="6" w:space="0" w:color="000000"/>
              <w:right w:val="single" w:sz="6" w:space="0" w:color="000000"/>
            </w:tcBorders>
          </w:tcPr>
          <w:p w14:paraId="28010546" w14:textId="458395A8" w:rsidR="002D6795" w:rsidRPr="00E9266E" w:rsidRDefault="002D6795" w:rsidP="002D6795">
            <w:pPr>
              <w:spacing w:after="0"/>
              <w:rPr>
                <w:rFonts w:ascii="Times New Roman" w:hAnsi="Times New Roman" w:cs="Times New Roman"/>
                <w:lang w:eastAsia="lv-LV"/>
              </w:rPr>
            </w:pPr>
          </w:p>
        </w:tc>
        <w:tc>
          <w:tcPr>
            <w:tcW w:w="3776" w:type="dxa"/>
            <w:tcBorders>
              <w:top w:val="single" w:sz="6" w:space="0" w:color="000000"/>
              <w:left w:val="single" w:sz="6" w:space="0" w:color="000000"/>
              <w:bottom w:val="single" w:sz="6" w:space="0" w:color="000000"/>
              <w:right w:val="single" w:sz="6" w:space="0" w:color="000000"/>
            </w:tcBorders>
          </w:tcPr>
          <w:p w14:paraId="44A535A1" w14:textId="77777777" w:rsidR="002D6795" w:rsidRPr="00E33A06" w:rsidRDefault="002D6795" w:rsidP="002D6795">
            <w:pPr>
              <w:spacing w:after="0"/>
              <w:rPr>
                <w:rFonts w:ascii="Times New Roman" w:hAnsi="Times New Roman" w:cs="Times New Roman"/>
              </w:rPr>
            </w:pPr>
            <w:r w:rsidRPr="00E33A06">
              <w:rPr>
                <w:rFonts w:ascii="Times New Roman" w:hAnsi="Times New Roman" w:cs="Times New Roman"/>
                <w:b/>
              </w:rPr>
              <w:t>Tieslietu ministrija</w:t>
            </w:r>
          </w:p>
          <w:p w14:paraId="12CCD44B" w14:textId="5FBF3440" w:rsidR="002D6795" w:rsidRPr="00E33A06" w:rsidRDefault="002D6795" w:rsidP="002D6795">
            <w:pPr>
              <w:spacing w:after="0"/>
              <w:rPr>
                <w:rFonts w:ascii="Times New Roman" w:hAnsi="Times New Roman" w:cs="Times New Roman"/>
              </w:rPr>
            </w:pPr>
            <w:r w:rsidRPr="00E33A06">
              <w:rPr>
                <w:rFonts w:ascii="Times New Roman" w:hAnsi="Times New Roman" w:cs="Times New Roman"/>
              </w:rPr>
              <w:t xml:space="preserve">Projekta teksts satur atsauces uz to, ka iestāžu datu atvēršanas un datu publicēšanas nodrošināšana saistāma ar noteiktu papildus finanšu resursu ieguldījumu. Tāpat arī ir paredzēts, ka atbilstoši Vides aizsardzības un reģionālās attīstības ministrijas izstrādātai metodikai visām ministrijām būs jāveic savu informācijas resursu izvērtēšana, identificējot atveramās datu kopas. Šajā kontekstā norādām, ka projektu būtu nepieciešams papildināt ar izvērstu analīzi un iespējamajiem rīcības virzieniem, kā paredzēts risināt situācijas, kur nereti piekļuve iestādes rīcībā esošajai informācijai, kas ir </w:t>
            </w:r>
            <w:r w:rsidRPr="00E33A06">
              <w:rPr>
                <w:rFonts w:ascii="Times New Roman" w:hAnsi="Times New Roman" w:cs="Times New Roman"/>
              </w:rPr>
              <w:lastRenderedPageBreak/>
              <w:t>potenciālais atvērto datu objekts, ir noteikta kā maksas pakalpojums. Padarot pieejamu šāda veida informāciju kā atvērtos datus, šādu pozīciju esība cenrāžos ir bezjēdzīga un tās būtu jāsvītro. Šādā gadījumā būtu jābūt radītai sistēmiskai pieejai, lai datu atvēršanas rezultātā kompensētu attiecīgo ieņēmumu zudumu. Ņemot vērā minēto, nepieciešams precizēt ziņojuma 7. sadaļu par ietekmi uz budžetu. Šai politikai būtu jābūt atspoguļotai arī Vides aizsardzības un reģionālās attīstības ministrijas metodikā par informācijas resursu vērtēšanu un atveramo datu kopu identificēšanas.</w:t>
            </w:r>
          </w:p>
        </w:tc>
        <w:tc>
          <w:tcPr>
            <w:tcW w:w="4355" w:type="dxa"/>
            <w:tcBorders>
              <w:top w:val="single" w:sz="6" w:space="0" w:color="000000"/>
              <w:left w:val="single" w:sz="6" w:space="0" w:color="000000"/>
              <w:right w:val="single" w:sz="6" w:space="0" w:color="000000"/>
            </w:tcBorders>
            <w:shd w:val="clear" w:color="auto" w:fill="auto"/>
          </w:tcPr>
          <w:p w14:paraId="56F8F685" w14:textId="2136C237" w:rsidR="002D6795" w:rsidRPr="00E33A06" w:rsidRDefault="002D6795" w:rsidP="002D6795">
            <w:pPr>
              <w:pStyle w:val="naisc"/>
              <w:spacing w:before="0" w:after="0"/>
              <w:jc w:val="both"/>
              <w:rPr>
                <w:b/>
                <w:sz w:val="22"/>
                <w:szCs w:val="22"/>
              </w:rPr>
            </w:pPr>
            <w:r w:rsidRPr="00E33A06">
              <w:rPr>
                <w:b/>
                <w:sz w:val="22"/>
                <w:szCs w:val="22"/>
              </w:rPr>
              <w:lastRenderedPageBreak/>
              <w:t>Ņemts vērā</w:t>
            </w:r>
          </w:p>
          <w:p w14:paraId="32CF68E8" w14:textId="6C3CA0D8" w:rsidR="002D6795" w:rsidRPr="00E33A06" w:rsidRDefault="002D6795" w:rsidP="002D6795">
            <w:pPr>
              <w:spacing w:after="0"/>
              <w:rPr>
                <w:rFonts w:ascii="Times New Roman" w:hAnsi="Times New Roman" w:cs="Times New Roman"/>
              </w:rPr>
            </w:pPr>
            <w:r w:rsidRPr="00E33A06">
              <w:rPr>
                <w:rFonts w:ascii="Times New Roman" w:hAnsi="Times New Roman" w:cs="Times New Roman"/>
              </w:rPr>
              <w:t>Sk. precizēto Informatīvo ziņojumu</w:t>
            </w:r>
          </w:p>
          <w:p w14:paraId="45178829" w14:textId="77777777" w:rsidR="002D6795" w:rsidRPr="00E33A06" w:rsidRDefault="002D6795" w:rsidP="002D6795">
            <w:pPr>
              <w:pStyle w:val="naisc"/>
              <w:spacing w:before="0" w:after="0"/>
              <w:jc w:val="both"/>
              <w:rPr>
                <w:b/>
                <w:sz w:val="22"/>
                <w:szCs w:val="22"/>
              </w:rPr>
            </w:pPr>
          </w:p>
          <w:p w14:paraId="764E0C83" w14:textId="2CAFFF07" w:rsidR="002D6795" w:rsidRPr="00E33A06" w:rsidRDefault="002D6795" w:rsidP="002D6795">
            <w:pPr>
              <w:pStyle w:val="naisc"/>
              <w:spacing w:before="0" w:after="0"/>
              <w:jc w:val="both"/>
              <w:rPr>
                <w:sz w:val="22"/>
                <w:szCs w:val="22"/>
              </w:rPr>
            </w:pPr>
          </w:p>
        </w:tc>
        <w:tc>
          <w:tcPr>
            <w:tcW w:w="3811" w:type="dxa"/>
            <w:gridSpan w:val="2"/>
            <w:tcBorders>
              <w:top w:val="single" w:sz="4" w:space="0" w:color="auto"/>
              <w:left w:val="single" w:sz="4" w:space="0" w:color="auto"/>
              <w:bottom w:val="single" w:sz="4" w:space="0" w:color="auto"/>
            </w:tcBorders>
          </w:tcPr>
          <w:p w14:paraId="7CB5753B" w14:textId="61527900" w:rsidR="002D6795" w:rsidRPr="00E9266E" w:rsidRDefault="002D6795" w:rsidP="002D6795">
            <w:pPr>
              <w:ind w:firstLine="709"/>
              <w:rPr>
                <w:rFonts w:ascii="Times New Roman" w:hAnsi="Times New Roman"/>
              </w:rPr>
            </w:pPr>
          </w:p>
        </w:tc>
      </w:tr>
      <w:tr w:rsidR="002D6795" w:rsidRPr="00E9266E" w14:paraId="78B429B3" w14:textId="77777777" w:rsidTr="000409EA">
        <w:tc>
          <w:tcPr>
            <w:tcW w:w="451" w:type="dxa"/>
            <w:tcBorders>
              <w:top w:val="single" w:sz="6" w:space="0" w:color="000000"/>
              <w:left w:val="single" w:sz="6" w:space="0" w:color="000000"/>
              <w:bottom w:val="single" w:sz="6" w:space="0" w:color="000000"/>
              <w:right w:val="single" w:sz="6" w:space="0" w:color="000000"/>
            </w:tcBorders>
          </w:tcPr>
          <w:p w14:paraId="63B38AAE" w14:textId="77777777" w:rsidR="002D6795" w:rsidRPr="00E9266E" w:rsidRDefault="002D6795" w:rsidP="002D6795">
            <w:pPr>
              <w:pStyle w:val="naisc"/>
              <w:numPr>
                <w:ilvl w:val="0"/>
                <w:numId w:val="17"/>
              </w:numPr>
              <w:tabs>
                <w:tab w:val="left" w:pos="360"/>
              </w:tabs>
              <w:spacing w:before="0" w:after="0"/>
              <w:ind w:left="0" w:firstLine="0"/>
              <w:jc w:val="both"/>
              <w:rPr>
                <w:sz w:val="22"/>
                <w:szCs w:val="22"/>
              </w:rPr>
            </w:pPr>
          </w:p>
        </w:tc>
        <w:tc>
          <w:tcPr>
            <w:tcW w:w="3184" w:type="dxa"/>
            <w:gridSpan w:val="2"/>
            <w:tcBorders>
              <w:top w:val="single" w:sz="6" w:space="0" w:color="000000"/>
              <w:left w:val="single" w:sz="6" w:space="0" w:color="000000"/>
              <w:right w:val="single" w:sz="6" w:space="0" w:color="000000"/>
            </w:tcBorders>
          </w:tcPr>
          <w:p w14:paraId="79DC1A23" w14:textId="77777777" w:rsidR="002D6795" w:rsidRPr="00E9266E" w:rsidRDefault="002D6795" w:rsidP="002D6795">
            <w:pPr>
              <w:spacing w:after="0"/>
              <w:rPr>
                <w:rFonts w:ascii="Times New Roman" w:hAnsi="Times New Roman" w:cs="Times New Roman"/>
                <w:lang w:eastAsia="lv-LV"/>
              </w:rPr>
            </w:pPr>
          </w:p>
        </w:tc>
        <w:tc>
          <w:tcPr>
            <w:tcW w:w="3776" w:type="dxa"/>
            <w:tcBorders>
              <w:top w:val="single" w:sz="6" w:space="0" w:color="000000"/>
              <w:left w:val="single" w:sz="6" w:space="0" w:color="000000"/>
              <w:bottom w:val="single" w:sz="6" w:space="0" w:color="000000"/>
              <w:right w:val="single" w:sz="6" w:space="0" w:color="000000"/>
            </w:tcBorders>
          </w:tcPr>
          <w:p w14:paraId="7D01F63A" w14:textId="77777777" w:rsidR="002D6795" w:rsidRPr="00E33A06" w:rsidRDefault="002D6795" w:rsidP="002D6795">
            <w:pPr>
              <w:spacing w:after="0"/>
              <w:rPr>
                <w:rFonts w:ascii="Times New Roman" w:hAnsi="Times New Roman" w:cs="Times New Roman"/>
              </w:rPr>
            </w:pPr>
            <w:r w:rsidRPr="00E33A06">
              <w:rPr>
                <w:rFonts w:ascii="Times New Roman" w:hAnsi="Times New Roman" w:cs="Times New Roman"/>
                <w:b/>
              </w:rPr>
              <w:t>Tieslietu ministrija</w:t>
            </w:r>
          </w:p>
          <w:p w14:paraId="0BE3A442" w14:textId="4F500EAC" w:rsidR="002D6795" w:rsidRPr="00E33A06" w:rsidRDefault="002D6795" w:rsidP="002D6795">
            <w:pPr>
              <w:spacing w:after="0"/>
              <w:rPr>
                <w:rFonts w:ascii="Times New Roman" w:hAnsi="Times New Roman" w:cs="Times New Roman"/>
                <w:b/>
              </w:rPr>
            </w:pPr>
            <w:r w:rsidRPr="00E33A06">
              <w:rPr>
                <w:rFonts w:ascii="Times New Roman" w:hAnsi="Times New Roman" w:cs="Times New Roman"/>
              </w:rPr>
              <w:t>Projekta 2.nodaļas 2.1. apakšnodaļā “Atvērto datu koncepts un tā sastāvdaļas” ietverta informatīva rindkopa par “lielajiem datiem”. Ņemot vērā projekta saturu, nav saprotama konkrētās rindkopas iekļaušana projektā, kā arī “lielo datu” jēdziens atvērto datu kontekstā. Ievērojot minēto, lūdzam papildināt projektu vai svītrot attiecīgo rindkopu.</w:t>
            </w:r>
          </w:p>
        </w:tc>
        <w:tc>
          <w:tcPr>
            <w:tcW w:w="4355" w:type="dxa"/>
            <w:tcBorders>
              <w:top w:val="single" w:sz="6" w:space="0" w:color="000000"/>
              <w:left w:val="single" w:sz="6" w:space="0" w:color="000000"/>
              <w:right w:val="single" w:sz="6" w:space="0" w:color="000000"/>
            </w:tcBorders>
            <w:shd w:val="clear" w:color="auto" w:fill="auto"/>
          </w:tcPr>
          <w:p w14:paraId="1E2BA7C1" w14:textId="52E7807D" w:rsidR="002D6795" w:rsidRPr="00E33A06" w:rsidRDefault="002D6795" w:rsidP="002D6795">
            <w:pPr>
              <w:pStyle w:val="naisc"/>
              <w:spacing w:before="0" w:after="0"/>
              <w:jc w:val="both"/>
              <w:rPr>
                <w:b/>
                <w:sz w:val="22"/>
                <w:szCs w:val="22"/>
              </w:rPr>
            </w:pPr>
            <w:r w:rsidRPr="00E33A06">
              <w:rPr>
                <w:b/>
                <w:sz w:val="22"/>
                <w:szCs w:val="22"/>
              </w:rPr>
              <w:t>Ņemts vērā</w:t>
            </w:r>
          </w:p>
          <w:p w14:paraId="37212F0D" w14:textId="0BCF6C6C" w:rsidR="002D6795" w:rsidRPr="00E33A06" w:rsidRDefault="002D6795" w:rsidP="002D6795">
            <w:pPr>
              <w:pStyle w:val="naisc"/>
              <w:spacing w:before="0" w:after="0"/>
              <w:jc w:val="both"/>
              <w:rPr>
                <w:b/>
                <w:sz w:val="22"/>
                <w:szCs w:val="22"/>
              </w:rPr>
            </w:pPr>
            <w:r w:rsidRPr="00E33A06">
              <w:rPr>
                <w:sz w:val="22"/>
                <w:szCs w:val="22"/>
              </w:rPr>
              <w:t>Sk. Informatīvā ziņojuma precizēto versiju</w:t>
            </w:r>
          </w:p>
        </w:tc>
        <w:tc>
          <w:tcPr>
            <w:tcW w:w="3811" w:type="dxa"/>
            <w:gridSpan w:val="2"/>
            <w:tcBorders>
              <w:top w:val="single" w:sz="4" w:space="0" w:color="auto"/>
              <w:left w:val="single" w:sz="4" w:space="0" w:color="auto"/>
              <w:bottom w:val="single" w:sz="4" w:space="0" w:color="auto"/>
            </w:tcBorders>
          </w:tcPr>
          <w:p w14:paraId="0F16CC9C" w14:textId="77777777" w:rsidR="002D6795" w:rsidRPr="00E9266E" w:rsidRDefault="002D6795" w:rsidP="002D6795">
            <w:pPr>
              <w:ind w:firstLine="709"/>
              <w:rPr>
                <w:rFonts w:ascii="Times New Roman" w:hAnsi="Times New Roman"/>
              </w:rPr>
            </w:pPr>
          </w:p>
        </w:tc>
      </w:tr>
      <w:tr w:rsidR="002D6795" w:rsidRPr="00E9266E" w14:paraId="141AD2F9" w14:textId="77777777" w:rsidTr="000409EA">
        <w:tc>
          <w:tcPr>
            <w:tcW w:w="451" w:type="dxa"/>
            <w:tcBorders>
              <w:top w:val="single" w:sz="6" w:space="0" w:color="000000"/>
              <w:left w:val="single" w:sz="6" w:space="0" w:color="000000"/>
              <w:bottom w:val="single" w:sz="6" w:space="0" w:color="000000"/>
              <w:right w:val="single" w:sz="6" w:space="0" w:color="000000"/>
            </w:tcBorders>
          </w:tcPr>
          <w:p w14:paraId="46D543C8" w14:textId="77777777" w:rsidR="002D6795" w:rsidRPr="00E9266E" w:rsidRDefault="002D6795" w:rsidP="002D6795">
            <w:pPr>
              <w:pStyle w:val="naisc"/>
              <w:numPr>
                <w:ilvl w:val="0"/>
                <w:numId w:val="17"/>
              </w:numPr>
              <w:tabs>
                <w:tab w:val="left" w:pos="360"/>
              </w:tabs>
              <w:spacing w:before="0" w:after="0"/>
              <w:ind w:left="0" w:firstLine="0"/>
              <w:jc w:val="both"/>
              <w:rPr>
                <w:sz w:val="22"/>
                <w:szCs w:val="22"/>
              </w:rPr>
            </w:pPr>
          </w:p>
        </w:tc>
        <w:tc>
          <w:tcPr>
            <w:tcW w:w="3184" w:type="dxa"/>
            <w:gridSpan w:val="2"/>
            <w:tcBorders>
              <w:top w:val="single" w:sz="6" w:space="0" w:color="000000"/>
              <w:left w:val="single" w:sz="6" w:space="0" w:color="000000"/>
              <w:right w:val="single" w:sz="6" w:space="0" w:color="000000"/>
            </w:tcBorders>
          </w:tcPr>
          <w:p w14:paraId="7E9631BC" w14:textId="77777777" w:rsidR="002D6795" w:rsidRPr="00E9266E" w:rsidRDefault="002D6795" w:rsidP="002D6795">
            <w:pPr>
              <w:spacing w:after="0"/>
              <w:rPr>
                <w:rFonts w:ascii="Times New Roman" w:hAnsi="Times New Roman" w:cs="Times New Roman"/>
                <w:lang w:eastAsia="lv-LV"/>
              </w:rPr>
            </w:pPr>
          </w:p>
        </w:tc>
        <w:tc>
          <w:tcPr>
            <w:tcW w:w="3776" w:type="dxa"/>
            <w:tcBorders>
              <w:top w:val="single" w:sz="6" w:space="0" w:color="000000"/>
              <w:left w:val="single" w:sz="6" w:space="0" w:color="000000"/>
              <w:bottom w:val="single" w:sz="6" w:space="0" w:color="000000"/>
              <w:right w:val="single" w:sz="6" w:space="0" w:color="000000"/>
            </w:tcBorders>
          </w:tcPr>
          <w:p w14:paraId="3D3ADBFC" w14:textId="77777777" w:rsidR="002D6795" w:rsidRPr="00E33A06" w:rsidRDefault="002D6795" w:rsidP="002D6795">
            <w:pPr>
              <w:spacing w:after="0"/>
              <w:rPr>
                <w:rFonts w:ascii="Times New Roman" w:hAnsi="Times New Roman" w:cs="Times New Roman"/>
                <w:b/>
              </w:rPr>
            </w:pPr>
            <w:r w:rsidRPr="00E33A06">
              <w:rPr>
                <w:rFonts w:ascii="Times New Roman" w:hAnsi="Times New Roman" w:cs="Times New Roman"/>
                <w:b/>
              </w:rPr>
              <w:t>Tieslietu ministrija</w:t>
            </w:r>
          </w:p>
          <w:p w14:paraId="62FEF095" w14:textId="16161B9B" w:rsidR="002D6795" w:rsidRPr="00E33A06" w:rsidRDefault="002D6795" w:rsidP="002D6795">
            <w:pPr>
              <w:spacing w:after="0"/>
              <w:rPr>
                <w:rFonts w:ascii="Times New Roman" w:hAnsi="Times New Roman" w:cs="Times New Roman"/>
                <w:b/>
              </w:rPr>
            </w:pPr>
            <w:r w:rsidRPr="00E33A06">
              <w:rPr>
                <w:rFonts w:ascii="Times New Roman" w:hAnsi="Times New Roman" w:cs="Times New Roman"/>
              </w:rPr>
              <w:t xml:space="preserve">Projekta 2.1. apakšnodaļā ir ietverta atsauce uz Informācijas atklātības likumā ietverto atvērto datu definīciju, kas noteic, ka tie ir brīvi pieejama bezmaksas informācija bez atkalizmantošanas ierobežojumiem, kuru var rediģēt un automatizēti apstrādāt ar brīvi pieejamām </w:t>
            </w:r>
            <w:r w:rsidRPr="00E33A06">
              <w:rPr>
                <w:rFonts w:ascii="Times New Roman" w:hAnsi="Times New Roman" w:cs="Times New Roman"/>
              </w:rPr>
              <w:lastRenderedPageBreak/>
              <w:t>lietojumprogrammām. Vienlaikus projektā ir vairākkārt uzsvērti ieguvumi sabiedrībai no datu atvēršanas, akcentējot, ka, padarot valsts pārvaldes datus publiski pieejamus, iedzīvotājiem nebūs jāsaskaras ar birokrātiju, lai iegūtu datus no iestādēm. Iedzīvotājiem būs iespēja novērtēt valsts pārvaldes darbību, rezultatīvos rādītājus u.c. (5.2.2 apakšnodaļa). Tieslietu ministrijas ieskatā sabiedrība varēs iesaistīties šajā procesā tikai tiktāl, ciktāl tai būs pieejamas specifikas zināšanas, lai izmantotu brīvi pieejamās lietojumprogrammas un spētu tās pielāgot nepieciešamo datu atlasīšanai.  Apgalvojums, ka personai nebūs jāsaskaras ar birokrātiju, būtu papildināms ar uzskatāmu piemēru, ņemot vērā, ka atvērtie dati ir anonimizēti, bet persona valsts pārvaldes iestādē vēršas, lai saņemtu konkrētu pakalpojumu.</w:t>
            </w:r>
          </w:p>
        </w:tc>
        <w:tc>
          <w:tcPr>
            <w:tcW w:w="4355" w:type="dxa"/>
            <w:tcBorders>
              <w:top w:val="single" w:sz="6" w:space="0" w:color="000000"/>
              <w:left w:val="single" w:sz="6" w:space="0" w:color="000000"/>
              <w:right w:val="single" w:sz="6" w:space="0" w:color="000000"/>
            </w:tcBorders>
            <w:shd w:val="clear" w:color="auto" w:fill="auto"/>
          </w:tcPr>
          <w:p w14:paraId="6E1C441D" w14:textId="77777777" w:rsidR="002D6795" w:rsidRPr="00E33A06" w:rsidRDefault="002D6795" w:rsidP="002D6795">
            <w:pPr>
              <w:pStyle w:val="naisc"/>
              <w:spacing w:before="0" w:after="0"/>
              <w:jc w:val="both"/>
              <w:rPr>
                <w:b/>
                <w:sz w:val="22"/>
                <w:szCs w:val="22"/>
              </w:rPr>
            </w:pPr>
            <w:r w:rsidRPr="00E33A06">
              <w:rPr>
                <w:b/>
                <w:sz w:val="22"/>
                <w:szCs w:val="22"/>
              </w:rPr>
              <w:lastRenderedPageBreak/>
              <w:t>Ņemts vērā</w:t>
            </w:r>
          </w:p>
          <w:p w14:paraId="6960648F" w14:textId="4D6DEDDE" w:rsidR="002D6795" w:rsidRPr="00E33A06" w:rsidRDefault="002D6795" w:rsidP="002D6795">
            <w:pPr>
              <w:pStyle w:val="naisc"/>
              <w:spacing w:before="0" w:after="0"/>
              <w:jc w:val="both"/>
              <w:rPr>
                <w:b/>
                <w:sz w:val="22"/>
                <w:szCs w:val="22"/>
              </w:rPr>
            </w:pPr>
            <w:r w:rsidRPr="00E33A06">
              <w:rPr>
                <w:sz w:val="22"/>
                <w:szCs w:val="22"/>
              </w:rPr>
              <w:t>Sk. Informatīvā ziņojuma precizēto versiju</w:t>
            </w:r>
          </w:p>
        </w:tc>
        <w:tc>
          <w:tcPr>
            <w:tcW w:w="3811" w:type="dxa"/>
            <w:gridSpan w:val="2"/>
            <w:tcBorders>
              <w:top w:val="single" w:sz="4" w:space="0" w:color="auto"/>
              <w:left w:val="single" w:sz="4" w:space="0" w:color="auto"/>
              <w:bottom w:val="single" w:sz="4" w:space="0" w:color="auto"/>
            </w:tcBorders>
          </w:tcPr>
          <w:p w14:paraId="31FEB963" w14:textId="77777777" w:rsidR="002D6795" w:rsidRPr="00E9266E" w:rsidRDefault="002D6795" w:rsidP="002D6795">
            <w:pPr>
              <w:ind w:firstLine="709"/>
              <w:rPr>
                <w:rFonts w:ascii="Times New Roman" w:hAnsi="Times New Roman"/>
              </w:rPr>
            </w:pPr>
          </w:p>
        </w:tc>
      </w:tr>
      <w:tr w:rsidR="002D6795" w:rsidRPr="00E9266E" w14:paraId="1246405C" w14:textId="77777777" w:rsidTr="000409EA">
        <w:tc>
          <w:tcPr>
            <w:tcW w:w="451" w:type="dxa"/>
            <w:tcBorders>
              <w:top w:val="single" w:sz="6" w:space="0" w:color="000000"/>
              <w:left w:val="single" w:sz="6" w:space="0" w:color="000000"/>
              <w:bottom w:val="single" w:sz="6" w:space="0" w:color="000000"/>
              <w:right w:val="single" w:sz="6" w:space="0" w:color="000000"/>
            </w:tcBorders>
          </w:tcPr>
          <w:p w14:paraId="57432F27" w14:textId="77777777" w:rsidR="002D6795" w:rsidRPr="00E9266E" w:rsidRDefault="002D6795" w:rsidP="002D6795">
            <w:pPr>
              <w:pStyle w:val="naisc"/>
              <w:numPr>
                <w:ilvl w:val="0"/>
                <w:numId w:val="17"/>
              </w:numPr>
              <w:tabs>
                <w:tab w:val="left" w:pos="360"/>
              </w:tabs>
              <w:spacing w:before="0" w:after="0"/>
              <w:ind w:left="0" w:firstLine="0"/>
              <w:jc w:val="both"/>
              <w:rPr>
                <w:sz w:val="22"/>
                <w:szCs w:val="22"/>
              </w:rPr>
            </w:pPr>
          </w:p>
        </w:tc>
        <w:tc>
          <w:tcPr>
            <w:tcW w:w="3184" w:type="dxa"/>
            <w:gridSpan w:val="2"/>
            <w:tcBorders>
              <w:top w:val="single" w:sz="6" w:space="0" w:color="000000"/>
              <w:left w:val="single" w:sz="6" w:space="0" w:color="000000"/>
              <w:right w:val="single" w:sz="6" w:space="0" w:color="000000"/>
            </w:tcBorders>
          </w:tcPr>
          <w:p w14:paraId="4774C18F" w14:textId="77777777" w:rsidR="002D6795" w:rsidRPr="00E9266E" w:rsidRDefault="002D6795" w:rsidP="002D6795">
            <w:pPr>
              <w:spacing w:after="0"/>
              <w:rPr>
                <w:rFonts w:ascii="Times New Roman" w:hAnsi="Times New Roman" w:cs="Times New Roman"/>
                <w:lang w:eastAsia="lv-LV"/>
              </w:rPr>
            </w:pPr>
          </w:p>
        </w:tc>
        <w:tc>
          <w:tcPr>
            <w:tcW w:w="3776" w:type="dxa"/>
            <w:tcBorders>
              <w:top w:val="single" w:sz="6" w:space="0" w:color="000000"/>
              <w:left w:val="single" w:sz="6" w:space="0" w:color="000000"/>
              <w:bottom w:val="single" w:sz="6" w:space="0" w:color="000000"/>
              <w:right w:val="single" w:sz="6" w:space="0" w:color="000000"/>
            </w:tcBorders>
          </w:tcPr>
          <w:p w14:paraId="2032F8C9" w14:textId="77777777" w:rsidR="002D6795" w:rsidRPr="00E33A06" w:rsidRDefault="002D6795" w:rsidP="002D6795">
            <w:pPr>
              <w:spacing w:after="0"/>
              <w:rPr>
                <w:rFonts w:ascii="Times New Roman" w:hAnsi="Times New Roman" w:cs="Times New Roman"/>
                <w:b/>
              </w:rPr>
            </w:pPr>
            <w:r w:rsidRPr="00E33A06">
              <w:rPr>
                <w:rFonts w:ascii="Times New Roman" w:hAnsi="Times New Roman" w:cs="Times New Roman"/>
                <w:b/>
              </w:rPr>
              <w:t>Tieslietu ministrija</w:t>
            </w:r>
          </w:p>
          <w:p w14:paraId="65327558" w14:textId="5E7F005F" w:rsidR="002D6795" w:rsidRPr="00E33A06" w:rsidRDefault="002D6795" w:rsidP="002D6795">
            <w:pPr>
              <w:spacing w:after="0"/>
              <w:rPr>
                <w:rFonts w:ascii="Times New Roman" w:hAnsi="Times New Roman" w:cs="Times New Roman"/>
                <w:b/>
              </w:rPr>
            </w:pPr>
            <w:r w:rsidRPr="00E33A06">
              <w:rPr>
                <w:rFonts w:ascii="Times New Roman" w:hAnsi="Times New Roman" w:cs="Times New Roman"/>
              </w:rPr>
              <w:t xml:space="preserve">Projekta 5.3.1. apakšnodaļā ir pausts apgalvojums, ka valsts pārvalde pati par sevi ir datu lietotājs, tādēļ viena publiskā sektora iestādes ienākumu daļa rada izmaksas citai iestādei, kā arī nepietiekamu datu izmantošanu sabiedrības labā. Vēršam uzmanību, ka Valsts pārvaldes iekārtas likuma VII nodaļā ir noteikts, ka iestāžu sadarbība notiek bez maksas, ja ārējā normatīvajā aktā nav noteikts citādi. Tādējādi projektā iekļautais apgalvojums ir </w:t>
            </w:r>
            <w:r w:rsidRPr="00E33A06">
              <w:rPr>
                <w:rFonts w:ascii="Times New Roman" w:hAnsi="Times New Roman" w:cs="Times New Roman"/>
              </w:rPr>
              <w:lastRenderedPageBreak/>
              <w:t>uzskatāms par tendenciozu, ja tas nesatur atsauci uz konkrētiem dokumentiem vai aprēķiniem, kas pierāda šādu apgalvojumu. Ņemot vērā, ka šobrīd valsts pārvaldes iestādes aktīvi apmainās ar to pārziņā esošo informāciju, kā arī vienas iestādes informācijas sistēma dažkārt, bez otras iestādes datiem būtībā nav izmantojama, būtu nepieciešams detalizētāks skaidrojums, cik lielā mērā Valsts informācijas sistēmu likumā noteiktais attiecībā uz valsts informācijas sistēmas turētāja atbildību par  datu vākšanu, reģistrēšanu, ievadīšanu, apstrādi, glabāšanu, izmantošanu, pārraidīšanu, publicēšanu, atbilstību iesniegtajiem datiem, aktualizēšanu, labošanu, kā arī datu kvalitāti valsts informācijas sistēmā ir attiecināms uz datu atvēršanu. Šobrīd konstatējami gadījumi, kad viena iestāde atver citas iestādes datus.</w:t>
            </w:r>
          </w:p>
        </w:tc>
        <w:tc>
          <w:tcPr>
            <w:tcW w:w="4355" w:type="dxa"/>
            <w:tcBorders>
              <w:top w:val="single" w:sz="6" w:space="0" w:color="000000"/>
              <w:left w:val="single" w:sz="6" w:space="0" w:color="000000"/>
              <w:right w:val="single" w:sz="6" w:space="0" w:color="000000"/>
            </w:tcBorders>
            <w:shd w:val="clear" w:color="auto" w:fill="auto"/>
          </w:tcPr>
          <w:p w14:paraId="5393834A" w14:textId="2F6A1FC7" w:rsidR="002D6795" w:rsidRPr="00E33A06" w:rsidRDefault="002D6795" w:rsidP="002D6795">
            <w:pPr>
              <w:pStyle w:val="naisc"/>
              <w:spacing w:before="0" w:after="0"/>
              <w:jc w:val="both"/>
              <w:rPr>
                <w:b/>
                <w:sz w:val="22"/>
                <w:szCs w:val="22"/>
              </w:rPr>
            </w:pPr>
            <w:r w:rsidRPr="00E33A06">
              <w:rPr>
                <w:b/>
                <w:sz w:val="22"/>
                <w:szCs w:val="22"/>
              </w:rPr>
              <w:lastRenderedPageBreak/>
              <w:t>Ņemts vērā</w:t>
            </w:r>
          </w:p>
          <w:p w14:paraId="5BCCAE79" w14:textId="5D208120" w:rsidR="002D6795" w:rsidRPr="00E33A06" w:rsidRDefault="002D6795" w:rsidP="002D6795">
            <w:pPr>
              <w:pStyle w:val="naisc"/>
              <w:spacing w:before="0" w:after="0"/>
              <w:jc w:val="both"/>
              <w:rPr>
                <w:b/>
                <w:sz w:val="22"/>
                <w:szCs w:val="22"/>
              </w:rPr>
            </w:pPr>
            <w:r w:rsidRPr="00E33A06">
              <w:rPr>
                <w:sz w:val="22"/>
                <w:szCs w:val="22"/>
              </w:rPr>
              <w:t>Sk. Informatīvā ziņojuma precizēto versiju</w:t>
            </w:r>
          </w:p>
        </w:tc>
        <w:tc>
          <w:tcPr>
            <w:tcW w:w="3811" w:type="dxa"/>
            <w:gridSpan w:val="2"/>
            <w:tcBorders>
              <w:top w:val="single" w:sz="4" w:space="0" w:color="auto"/>
              <w:left w:val="single" w:sz="4" w:space="0" w:color="auto"/>
              <w:bottom w:val="single" w:sz="4" w:space="0" w:color="auto"/>
            </w:tcBorders>
          </w:tcPr>
          <w:p w14:paraId="564E3B50" w14:textId="77777777" w:rsidR="002D6795" w:rsidRPr="00E9266E" w:rsidRDefault="002D6795" w:rsidP="002D6795">
            <w:pPr>
              <w:ind w:firstLine="709"/>
              <w:rPr>
                <w:rFonts w:ascii="Times New Roman" w:hAnsi="Times New Roman"/>
              </w:rPr>
            </w:pPr>
          </w:p>
        </w:tc>
      </w:tr>
      <w:tr w:rsidR="002D6795" w:rsidRPr="00E9266E" w14:paraId="639E93E2" w14:textId="77777777" w:rsidTr="000409EA">
        <w:tc>
          <w:tcPr>
            <w:tcW w:w="451" w:type="dxa"/>
            <w:tcBorders>
              <w:top w:val="single" w:sz="6" w:space="0" w:color="000000"/>
              <w:left w:val="single" w:sz="6" w:space="0" w:color="000000"/>
              <w:bottom w:val="single" w:sz="6" w:space="0" w:color="000000"/>
              <w:right w:val="single" w:sz="6" w:space="0" w:color="000000"/>
            </w:tcBorders>
          </w:tcPr>
          <w:p w14:paraId="329E7349" w14:textId="77777777" w:rsidR="002D6795" w:rsidRPr="00E9266E" w:rsidRDefault="002D6795" w:rsidP="002D6795">
            <w:pPr>
              <w:pStyle w:val="naisc"/>
              <w:numPr>
                <w:ilvl w:val="0"/>
                <w:numId w:val="17"/>
              </w:numPr>
              <w:tabs>
                <w:tab w:val="left" w:pos="360"/>
              </w:tabs>
              <w:spacing w:before="0" w:after="0"/>
              <w:ind w:left="0" w:firstLine="0"/>
              <w:jc w:val="both"/>
              <w:rPr>
                <w:sz w:val="22"/>
                <w:szCs w:val="22"/>
              </w:rPr>
            </w:pPr>
          </w:p>
        </w:tc>
        <w:tc>
          <w:tcPr>
            <w:tcW w:w="3184" w:type="dxa"/>
            <w:gridSpan w:val="2"/>
            <w:tcBorders>
              <w:top w:val="single" w:sz="6" w:space="0" w:color="000000"/>
              <w:left w:val="single" w:sz="6" w:space="0" w:color="000000"/>
              <w:right w:val="single" w:sz="6" w:space="0" w:color="000000"/>
            </w:tcBorders>
          </w:tcPr>
          <w:p w14:paraId="03B97903" w14:textId="77777777" w:rsidR="002D6795" w:rsidRPr="00E9266E" w:rsidRDefault="002D6795" w:rsidP="002D6795">
            <w:pPr>
              <w:spacing w:after="0"/>
              <w:rPr>
                <w:rFonts w:ascii="Times New Roman" w:hAnsi="Times New Roman" w:cs="Times New Roman"/>
                <w:lang w:eastAsia="lv-LV"/>
              </w:rPr>
            </w:pPr>
          </w:p>
        </w:tc>
        <w:tc>
          <w:tcPr>
            <w:tcW w:w="3776" w:type="dxa"/>
            <w:tcBorders>
              <w:top w:val="single" w:sz="6" w:space="0" w:color="000000"/>
              <w:left w:val="single" w:sz="6" w:space="0" w:color="000000"/>
              <w:bottom w:val="single" w:sz="6" w:space="0" w:color="000000"/>
              <w:right w:val="single" w:sz="6" w:space="0" w:color="000000"/>
            </w:tcBorders>
          </w:tcPr>
          <w:p w14:paraId="559C3D96" w14:textId="77777777" w:rsidR="002D6795" w:rsidRPr="00E33A06" w:rsidRDefault="002D6795" w:rsidP="002D6795">
            <w:pPr>
              <w:spacing w:after="0"/>
              <w:rPr>
                <w:rFonts w:ascii="Times New Roman" w:hAnsi="Times New Roman" w:cs="Times New Roman"/>
                <w:b/>
              </w:rPr>
            </w:pPr>
            <w:r w:rsidRPr="00E33A06">
              <w:rPr>
                <w:rFonts w:ascii="Times New Roman" w:hAnsi="Times New Roman" w:cs="Times New Roman"/>
                <w:b/>
              </w:rPr>
              <w:t>Tieslietu ministrija</w:t>
            </w:r>
          </w:p>
          <w:p w14:paraId="7D64121F" w14:textId="498EF261" w:rsidR="002D6795" w:rsidRPr="00E33A06" w:rsidRDefault="002D6795" w:rsidP="002D6795">
            <w:pPr>
              <w:spacing w:after="0"/>
              <w:rPr>
                <w:rFonts w:ascii="Times New Roman" w:hAnsi="Times New Roman" w:cs="Times New Roman"/>
                <w:b/>
              </w:rPr>
            </w:pPr>
            <w:r w:rsidRPr="00E33A06">
              <w:rPr>
                <w:rFonts w:ascii="Times New Roman" w:hAnsi="Times New Roman" w:cs="Times New Roman"/>
              </w:rPr>
              <w:t>Projekta 11.lpp. lietots saīsinājums Direktīva, bet ņemot vērā, ka projektā pieminētas vairākas direktīvas, nav saprotams, uz kuru direktīvu attiecas konkrētais saīsinājums. Lūdzam atrunāt saīsinājumu, ievērojot, ka projekta 12.lpp. ir atrunāts Publikā sektora direktīvas saīsinājums.</w:t>
            </w:r>
          </w:p>
        </w:tc>
        <w:tc>
          <w:tcPr>
            <w:tcW w:w="4355" w:type="dxa"/>
            <w:tcBorders>
              <w:top w:val="single" w:sz="6" w:space="0" w:color="000000"/>
              <w:left w:val="single" w:sz="6" w:space="0" w:color="000000"/>
              <w:right w:val="single" w:sz="6" w:space="0" w:color="000000"/>
            </w:tcBorders>
            <w:shd w:val="clear" w:color="auto" w:fill="auto"/>
          </w:tcPr>
          <w:p w14:paraId="00DB861A" w14:textId="005AAB62" w:rsidR="002D6795" w:rsidRPr="00E33A06" w:rsidRDefault="002D6795" w:rsidP="002D6795">
            <w:pPr>
              <w:pStyle w:val="naisc"/>
              <w:spacing w:before="0" w:after="0"/>
              <w:jc w:val="both"/>
              <w:rPr>
                <w:b/>
                <w:sz w:val="22"/>
                <w:szCs w:val="22"/>
              </w:rPr>
            </w:pPr>
            <w:r w:rsidRPr="00E33A06">
              <w:rPr>
                <w:b/>
                <w:sz w:val="22"/>
                <w:szCs w:val="22"/>
              </w:rPr>
              <w:t>Ņemts vērā</w:t>
            </w:r>
          </w:p>
          <w:p w14:paraId="03182BA6" w14:textId="00B440EE" w:rsidR="002D6795" w:rsidRPr="00E33A06" w:rsidRDefault="002D6795" w:rsidP="002D6795">
            <w:pPr>
              <w:pStyle w:val="naisc"/>
              <w:spacing w:before="0" w:after="0"/>
              <w:jc w:val="both"/>
              <w:rPr>
                <w:b/>
                <w:sz w:val="22"/>
                <w:szCs w:val="22"/>
              </w:rPr>
            </w:pPr>
            <w:r w:rsidRPr="00E33A06">
              <w:rPr>
                <w:sz w:val="22"/>
                <w:szCs w:val="22"/>
              </w:rPr>
              <w:t>Sk. Informatīvā ziņojuma precizēto versiju</w:t>
            </w:r>
          </w:p>
        </w:tc>
        <w:tc>
          <w:tcPr>
            <w:tcW w:w="3811" w:type="dxa"/>
            <w:gridSpan w:val="2"/>
            <w:tcBorders>
              <w:top w:val="single" w:sz="4" w:space="0" w:color="auto"/>
              <w:left w:val="single" w:sz="4" w:space="0" w:color="auto"/>
              <w:bottom w:val="single" w:sz="4" w:space="0" w:color="auto"/>
            </w:tcBorders>
          </w:tcPr>
          <w:p w14:paraId="514F207F" w14:textId="77777777" w:rsidR="002D6795" w:rsidRPr="00E9266E" w:rsidRDefault="002D6795" w:rsidP="002D6795">
            <w:pPr>
              <w:ind w:firstLine="709"/>
              <w:rPr>
                <w:rFonts w:ascii="Times New Roman" w:hAnsi="Times New Roman"/>
              </w:rPr>
            </w:pPr>
          </w:p>
        </w:tc>
      </w:tr>
      <w:tr w:rsidR="002D6795" w:rsidRPr="00E9266E" w14:paraId="1E5FE08A" w14:textId="77777777" w:rsidTr="000409EA">
        <w:tc>
          <w:tcPr>
            <w:tcW w:w="451" w:type="dxa"/>
            <w:tcBorders>
              <w:top w:val="single" w:sz="6" w:space="0" w:color="000000"/>
              <w:left w:val="single" w:sz="6" w:space="0" w:color="000000"/>
              <w:bottom w:val="single" w:sz="6" w:space="0" w:color="000000"/>
              <w:right w:val="single" w:sz="6" w:space="0" w:color="000000"/>
            </w:tcBorders>
          </w:tcPr>
          <w:p w14:paraId="42A17FEF" w14:textId="77777777" w:rsidR="002D6795" w:rsidRPr="00E9266E" w:rsidRDefault="002D6795" w:rsidP="002D6795">
            <w:pPr>
              <w:pStyle w:val="naisc"/>
              <w:numPr>
                <w:ilvl w:val="0"/>
                <w:numId w:val="17"/>
              </w:numPr>
              <w:tabs>
                <w:tab w:val="left" w:pos="360"/>
              </w:tabs>
              <w:spacing w:before="0" w:after="0"/>
              <w:ind w:left="0" w:firstLine="0"/>
              <w:jc w:val="both"/>
              <w:rPr>
                <w:sz w:val="22"/>
                <w:szCs w:val="22"/>
              </w:rPr>
            </w:pPr>
          </w:p>
        </w:tc>
        <w:tc>
          <w:tcPr>
            <w:tcW w:w="3184" w:type="dxa"/>
            <w:gridSpan w:val="2"/>
            <w:tcBorders>
              <w:top w:val="single" w:sz="6" w:space="0" w:color="000000"/>
              <w:left w:val="single" w:sz="6" w:space="0" w:color="000000"/>
              <w:right w:val="single" w:sz="6" w:space="0" w:color="000000"/>
            </w:tcBorders>
          </w:tcPr>
          <w:p w14:paraId="48B5C7E5" w14:textId="77777777" w:rsidR="002D6795" w:rsidRPr="00E9266E" w:rsidRDefault="002D6795" w:rsidP="002D6795">
            <w:pPr>
              <w:spacing w:after="0"/>
              <w:rPr>
                <w:rFonts w:ascii="Times New Roman" w:hAnsi="Times New Roman" w:cs="Times New Roman"/>
                <w:lang w:eastAsia="lv-LV"/>
              </w:rPr>
            </w:pPr>
          </w:p>
        </w:tc>
        <w:tc>
          <w:tcPr>
            <w:tcW w:w="3776" w:type="dxa"/>
            <w:tcBorders>
              <w:top w:val="single" w:sz="6" w:space="0" w:color="000000"/>
              <w:left w:val="single" w:sz="6" w:space="0" w:color="000000"/>
              <w:bottom w:val="single" w:sz="6" w:space="0" w:color="000000"/>
              <w:right w:val="single" w:sz="6" w:space="0" w:color="000000"/>
            </w:tcBorders>
          </w:tcPr>
          <w:p w14:paraId="4632255D" w14:textId="77777777" w:rsidR="002D6795" w:rsidRPr="00E33A06" w:rsidRDefault="002D6795" w:rsidP="002D6795">
            <w:pPr>
              <w:rPr>
                <w:rFonts w:ascii="Times New Roman" w:hAnsi="Times New Roman" w:cs="Times New Roman"/>
                <w:b/>
              </w:rPr>
            </w:pPr>
            <w:r w:rsidRPr="00E33A06">
              <w:rPr>
                <w:rFonts w:ascii="Times New Roman" w:hAnsi="Times New Roman" w:cs="Times New Roman"/>
                <w:b/>
              </w:rPr>
              <w:t>Finanšu ministrija</w:t>
            </w:r>
          </w:p>
          <w:p w14:paraId="00C26E64" w14:textId="0CD02CC4" w:rsidR="002D6795" w:rsidRPr="00E33A06" w:rsidRDefault="002D6795" w:rsidP="002D6795">
            <w:pPr>
              <w:spacing w:after="0"/>
              <w:rPr>
                <w:rFonts w:ascii="Times New Roman" w:hAnsi="Times New Roman" w:cs="Times New Roman"/>
                <w:b/>
              </w:rPr>
            </w:pPr>
            <w:r w:rsidRPr="00E33A06">
              <w:rPr>
                <w:rFonts w:ascii="Times New Roman" w:hAnsi="Times New Roman" w:cs="Times New Roman"/>
              </w:rPr>
              <w:t xml:space="preserve">Vienlaikus norādām, ka pastāv virkne normatīvo dokumentu, kas korelē ar atvērto datu konceptu, piemēram, veicot </w:t>
            </w:r>
            <w:r w:rsidRPr="00E33A06">
              <w:rPr>
                <w:rFonts w:ascii="Times New Roman" w:hAnsi="Times New Roman" w:cs="Times New Roman"/>
              </w:rPr>
              <w:lastRenderedPageBreak/>
              <w:t xml:space="preserve">obligāciju emisiju, ko būtiski norādīt, sagatavojot šāda veida dokumentu. Stratēģijas subjekts un tvērums nav skaidrs. Atvērto datu apjomam pēc mērķa un jēgas jābūt ļoti skaidri un nepārprotamo norādītam, kritēriji atvērto datu klasificēšanai nav definēti. Uzskatām, ka ziņojuma projektā nav veikts izvērtējums, vai datu subjekti ir tiesīgi visus datus nodrošināt ar neaizsargātām autortiesībām vai tā saucamo “atvērto licenci”, tāpat, kādi resursi nepieciešami šī ziņojuma projekta un tam sekojošo pakārtoto dokumentu mērķu īstenošanai.  </w:t>
            </w:r>
          </w:p>
        </w:tc>
        <w:tc>
          <w:tcPr>
            <w:tcW w:w="4355" w:type="dxa"/>
            <w:tcBorders>
              <w:top w:val="single" w:sz="6" w:space="0" w:color="000000"/>
              <w:left w:val="single" w:sz="6" w:space="0" w:color="000000"/>
              <w:right w:val="single" w:sz="6" w:space="0" w:color="000000"/>
            </w:tcBorders>
            <w:shd w:val="clear" w:color="auto" w:fill="auto"/>
          </w:tcPr>
          <w:p w14:paraId="3E11AFC5" w14:textId="33C56B37" w:rsidR="002D6795" w:rsidRPr="00E33A06" w:rsidRDefault="002D6795" w:rsidP="002D6795">
            <w:pPr>
              <w:pStyle w:val="naisc"/>
              <w:spacing w:before="0" w:after="0"/>
              <w:jc w:val="both"/>
              <w:rPr>
                <w:b/>
                <w:sz w:val="22"/>
                <w:szCs w:val="22"/>
              </w:rPr>
            </w:pPr>
            <w:r w:rsidRPr="00A64FD4">
              <w:rPr>
                <w:b/>
              </w:rPr>
              <w:lastRenderedPageBreak/>
              <w:t xml:space="preserve">Starpinstitūciju </w:t>
            </w:r>
            <w:r>
              <w:rPr>
                <w:b/>
              </w:rPr>
              <w:t>saskaņošanas sanāksmē 04.06.2019</w:t>
            </w:r>
            <w:r w:rsidRPr="00A64FD4">
              <w:rPr>
                <w:b/>
              </w:rPr>
              <w:t>.  panākta vienošanās</w:t>
            </w:r>
          </w:p>
        </w:tc>
        <w:tc>
          <w:tcPr>
            <w:tcW w:w="3811" w:type="dxa"/>
            <w:gridSpan w:val="2"/>
            <w:tcBorders>
              <w:top w:val="single" w:sz="4" w:space="0" w:color="auto"/>
              <w:left w:val="single" w:sz="4" w:space="0" w:color="auto"/>
              <w:bottom w:val="single" w:sz="4" w:space="0" w:color="auto"/>
            </w:tcBorders>
          </w:tcPr>
          <w:p w14:paraId="4790F04F" w14:textId="1EEBE54C" w:rsidR="002D6795" w:rsidRPr="00E9266E" w:rsidRDefault="002D6795" w:rsidP="002D6795">
            <w:pPr>
              <w:rPr>
                <w:rFonts w:ascii="Times New Roman" w:hAnsi="Times New Roman"/>
              </w:rPr>
            </w:pPr>
            <w:r w:rsidRPr="00793638">
              <w:rPr>
                <w:rFonts w:ascii="Times New Roman" w:hAnsi="Times New Roman" w:cs="Times New Roman"/>
              </w:rPr>
              <w:t xml:space="preserve">Precizēta Informatīvā ziņojuma 2.nodaļa “Tvērums” aprakstot datu publicēšanas apsvērumus, kā arī papildināts 6.nodaļas 2.punkts par instrukcijas par </w:t>
            </w:r>
            <w:r w:rsidRPr="00793638">
              <w:rPr>
                <w:rFonts w:ascii="Times New Roman" w:eastAsia="Calibri" w:hAnsi="Times New Roman" w:cs="Times New Roman"/>
              </w:rPr>
              <w:t xml:space="preserve">prioritāri atveramo datu identificēšanai, </w:t>
            </w:r>
            <w:r w:rsidRPr="00793638">
              <w:rPr>
                <w:rFonts w:ascii="Times New Roman" w:eastAsia="Calibri" w:hAnsi="Times New Roman" w:cs="Times New Roman"/>
              </w:rPr>
              <w:lastRenderedPageBreak/>
              <w:t xml:space="preserve">klasificēšanai  un atvēršanai </w:t>
            </w:r>
            <w:r w:rsidRPr="00793638">
              <w:rPr>
                <w:rFonts w:ascii="Times New Roman" w:hAnsi="Times New Roman" w:cs="Times New Roman"/>
              </w:rPr>
              <w:t xml:space="preserve">un 6.punkts par sadarbības padomes kompetenci.   </w:t>
            </w:r>
          </w:p>
        </w:tc>
      </w:tr>
      <w:tr w:rsidR="002D6795" w:rsidRPr="00E9266E" w14:paraId="1A8AC689" w14:textId="77777777" w:rsidTr="00FA7B43">
        <w:tc>
          <w:tcPr>
            <w:tcW w:w="451" w:type="dxa"/>
            <w:tcBorders>
              <w:top w:val="single" w:sz="6" w:space="0" w:color="000000"/>
              <w:left w:val="single" w:sz="6" w:space="0" w:color="000000"/>
              <w:bottom w:val="single" w:sz="4" w:space="0" w:color="auto"/>
              <w:right w:val="single" w:sz="6" w:space="0" w:color="000000"/>
            </w:tcBorders>
          </w:tcPr>
          <w:p w14:paraId="5E3CA6EC" w14:textId="2BC3A4F8" w:rsidR="002D6795" w:rsidRPr="00E9266E" w:rsidRDefault="002D6795" w:rsidP="002D6795">
            <w:pPr>
              <w:pStyle w:val="naisc"/>
              <w:numPr>
                <w:ilvl w:val="0"/>
                <w:numId w:val="17"/>
              </w:numPr>
              <w:spacing w:before="0" w:after="0"/>
              <w:ind w:left="0" w:firstLine="0"/>
              <w:rPr>
                <w:sz w:val="22"/>
                <w:szCs w:val="22"/>
              </w:rPr>
            </w:pPr>
          </w:p>
        </w:tc>
        <w:tc>
          <w:tcPr>
            <w:tcW w:w="3184" w:type="dxa"/>
            <w:gridSpan w:val="2"/>
            <w:tcBorders>
              <w:top w:val="single" w:sz="6" w:space="0" w:color="000000"/>
              <w:left w:val="single" w:sz="6" w:space="0" w:color="000000"/>
              <w:bottom w:val="single" w:sz="4" w:space="0" w:color="auto"/>
              <w:right w:val="single" w:sz="6" w:space="0" w:color="000000"/>
            </w:tcBorders>
          </w:tcPr>
          <w:p w14:paraId="57DCA62B" w14:textId="597E1BA8" w:rsidR="002D6795" w:rsidRPr="00E9266E" w:rsidRDefault="002D6795" w:rsidP="002D6795"/>
        </w:tc>
        <w:tc>
          <w:tcPr>
            <w:tcW w:w="3776" w:type="dxa"/>
            <w:tcBorders>
              <w:top w:val="single" w:sz="6" w:space="0" w:color="000000"/>
              <w:left w:val="single" w:sz="6" w:space="0" w:color="000000"/>
              <w:bottom w:val="single" w:sz="4" w:space="0" w:color="auto"/>
              <w:right w:val="single" w:sz="6" w:space="0" w:color="000000"/>
            </w:tcBorders>
          </w:tcPr>
          <w:p w14:paraId="46DF91D1" w14:textId="4427C7C8" w:rsidR="002D6795" w:rsidRPr="00E33A06" w:rsidRDefault="002D6795" w:rsidP="002D6795">
            <w:pPr>
              <w:pStyle w:val="naisc"/>
              <w:spacing w:before="0" w:after="0"/>
              <w:jc w:val="both"/>
              <w:rPr>
                <w:color w:val="000000" w:themeColor="text1"/>
                <w:sz w:val="22"/>
                <w:szCs w:val="22"/>
              </w:rPr>
            </w:pPr>
            <w:r w:rsidRPr="00E33A06">
              <w:rPr>
                <w:b/>
                <w:sz w:val="22"/>
                <w:szCs w:val="22"/>
              </w:rPr>
              <w:t>Finanšu ministrija</w:t>
            </w:r>
          </w:p>
          <w:p w14:paraId="09E9E2BC" w14:textId="45282CC8" w:rsidR="002D6795" w:rsidRPr="00E33A06" w:rsidRDefault="002D6795" w:rsidP="002D6795">
            <w:pPr>
              <w:widowControl w:val="0"/>
              <w:spacing w:after="0"/>
              <w:rPr>
                <w:rFonts w:ascii="Times New Roman" w:eastAsia="Calibri" w:hAnsi="Times New Roman" w:cs="Times New Roman"/>
              </w:rPr>
            </w:pPr>
            <w:r w:rsidRPr="00E33A06">
              <w:rPr>
                <w:rFonts w:ascii="Times New Roman" w:eastAsia="Calibri" w:hAnsi="Times New Roman" w:cs="Times New Roman"/>
              </w:rPr>
              <w:t xml:space="preserve"> </w:t>
            </w:r>
            <w:r w:rsidRPr="00E33A06">
              <w:rPr>
                <w:rFonts w:ascii="Times New Roman" w:hAnsi="Times New Roman" w:cs="Times New Roman"/>
              </w:rPr>
              <w:t>Nepieciešams precīzi definēt atvērto datu koncepcijas tvērumu, kas ziņojuma projektā nav skaidri un nepārprotami norādīts. Ziņojuma projekta 1.sadaļā minēts, ka tā attiecas uz privāto tiesību juridiskajām un fiziskajām personām, kurām deleģēta valsts pārvaldes uzdevumu izpilde. Lūdzam skaidri nodalīt datus attiecībā uz privāto tiesību subjektiem, proti, izdalāmi attiecināmie dati tikai uz tiem privāto tiesību subjektu datiem, kas tiešā veidā saistīti ar konkrētajiem deleģētajiem valsts pārvaldes uzdevumiem</w:t>
            </w:r>
          </w:p>
        </w:tc>
        <w:tc>
          <w:tcPr>
            <w:tcW w:w="4355" w:type="dxa"/>
            <w:tcBorders>
              <w:top w:val="single" w:sz="6" w:space="0" w:color="000000"/>
              <w:left w:val="single" w:sz="6" w:space="0" w:color="000000"/>
              <w:bottom w:val="single" w:sz="6" w:space="0" w:color="000000"/>
              <w:right w:val="single" w:sz="6" w:space="0" w:color="000000"/>
            </w:tcBorders>
            <w:shd w:val="clear" w:color="auto" w:fill="auto"/>
          </w:tcPr>
          <w:p w14:paraId="6CABF7AC" w14:textId="62391279" w:rsidR="002D6795" w:rsidRPr="00E33A06" w:rsidRDefault="002D6795" w:rsidP="002D6795">
            <w:pPr>
              <w:pStyle w:val="naisc"/>
              <w:spacing w:before="0" w:after="0"/>
              <w:jc w:val="both"/>
              <w:rPr>
                <w:b/>
                <w:sz w:val="22"/>
                <w:szCs w:val="22"/>
              </w:rPr>
            </w:pPr>
            <w:r w:rsidRPr="00E33A06">
              <w:rPr>
                <w:b/>
                <w:sz w:val="22"/>
                <w:szCs w:val="22"/>
              </w:rPr>
              <w:t>Ņemts vērā</w:t>
            </w:r>
          </w:p>
          <w:p w14:paraId="1C49763A" w14:textId="71835650" w:rsidR="002D6795" w:rsidRPr="00E33A06" w:rsidRDefault="002D6795" w:rsidP="002D6795">
            <w:pPr>
              <w:pStyle w:val="naisc"/>
              <w:spacing w:before="0" w:after="0"/>
              <w:jc w:val="both"/>
              <w:rPr>
                <w:sz w:val="22"/>
                <w:szCs w:val="22"/>
              </w:rPr>
            </w:pPr>
            <w:r w:rsidRPr="00E33A06">
              <w:rPr>
                <w:sz w:val="22"/>
                <w:szCs w:val="22"/>
              </w:rPr>
              <w:t>Sk. Informatīvā ziņojuma precizēto versiju</w:t>
            </w:r>
          </w:p>
        </w:tc>
        <w:tc>
          <w:tcPr>
            <w:tcW w:w="3811" w:type="dxa"/>
            <w:gridSpan w:val="2"/>
            <w:tcBorders>
              <w:top w:val="single" w:sz="4" w:space="0" w:color="auto"/>
              <w:left w:val="single" w:sz="4" w:space="0" w:color="auto"/>
              <w:bottom w:val="single" w:sz="4" w:space="0" w:color="auto"/>
            </w:tcBorders>
          </w:tcPr>
          <w:p w14:paraId="4949428C" w14:textId="5693424F" w:rsidR="002D6795" w:rsidRPr="00E9266E" w:rsidRDefault="002D6795" w:rsidP="002D6795">
            <w:pPr>
              <w:spacing w:after="0"/>
              <w:rPr>
                <w:rFonts w:ascii="Times New Roman" w:hAnsi="Times New Roman" w:cs="Times New Roman"/>
              </w:rPr>
            </w:pPr>
          </w:p>
        </w:tc>
      </w:tr>
      <w:tr w:rsidR="00F428A8" w:rsidRPr="00E9266E" w14:paraId="7A9C3309" w14:textId="77777777" w:rsidTr="00FA7B43">
        <w:tc>
          <w:tcPr>
            <w:tcW w:w="451" w:type="dxa"/>
            <w:tcBorders>
              <w:top w:val="single" w:sz="6" w:space="0" w:color="000000"/>
              <w:left w:val="single" w:sz="6" w:space="0" w:color="000000"/>
              <w:bottom w:val="single" w:sz="4" w:space="0" w:color="auto"/>
              <w:right w:val="single" w:sz="6" w:space="0" w:color="000000"/>
            </w:tcBorders>
          </w:tcPr>
          <w:p w14:paraId="075892BB" w14:textId="77777777" w:rsidR="00F428A8" w:rsidRPr="00E9266E" w:rsidRDefault="00F428A8" w:rsidP="002D6795">
            <w:pPr>
              <w:pStyle w:val="naisc"/>
              <w:numPr>
                <w:ilvl w:val="0"/>
                <w:numId w:val="17"/>
              </w:numPr>
              <w:spacing w:before="0" w:after="0"/>
              <w:ind w:left="0" w:firstLine="0"/>
              <w:rPr>
                <w:sz w:val="22"/>
                <w:szCs w:val="22"/>
              </w:rPr>
            </w:pPr>
          </w:p>
        </w:tc>
        <w:tc>
          <w:tcPr>
            <w:tcW w:w="3184" w:type="dxa"/>
            <w:gridSpan w:val="2"/>
            <w:tcBorders>
              <w:top w:val="single" w:sz="6" w:space="0" w:color="000000"/>
              <w:left w:val="single" w:sz="6" w:space="0" w:color="000000"/>
              <w:bottom w:val="single" w:sz="4" w:space="0" w:color="auto"/>
              <w:right w:val="single" w:sz="6" w:space="0" w:color="000000"/>
            </w:tcBorders>
          </w:tcPr>
          <w:p w14:paraId="6C01C222" w14:textId="77777777" w:rsidR="00F428A8" w:rsidRPr="00E9266E" w:rsidRDefault="00F428A8" w:rsidP="002D6795"/>
        </w:tc>
        <w:tc>
          <w:tcPr>
            <w:tcW w:w="3776" w:type="dxa"/>
            <w:tcBorders>
              <w:top w:val="single" w:sz="6" w:space="0" w:color="000000"/>
              <w:left w:val="single" w:sz="6" w:space="0" w:color="000000"/>
              <w:bottom w:val="single" w:sz="4" w:space="0" w:color="auto"/>
              <w:right w:val="single" w:sz="6" w:space="0" w:color="000000"/>
            </w:tcBorders>
          </w:tcPr>
          <w:p w14:paraId="32918265" w14:textId="77777777" w:rsidR="00F428A8" w:rsidRPr="00E33A06" w:rsidRDefault="00F428A8" w:rsidP="00F428A8">
            <w:pPr>
              <w:pStyle w:val="naisc"/>
              <w:spacing w:before="0" w:after="0"/>
              <w:jc w:val="both"/>
              <w:rPr>
                <w:color w:val="000000" w:themeColor="text1"/>
                <w:sz w:val="22"/>
                <w:szCs w:val="22"/>
              </w:rPr>
            </w:pPr>
            <w:r w:rsidRPr="00E33A06">
              <w:rPr>
                <w:b/>
                <w:sz w:val="22"/>
                <w:szCs w:val="22"/>
              </w:rPr>
              <w:t>Finanšu ministrija</w:t>
            </w:r>
          </w:p>
          <w:p w14:paraId="1A818704" w14:textId="3250B2F5" w:rsidR="00F428A8" w:rsidRPr="00F428A8" w:rsidRDefault="00F428A8" w:rsidP="00F428A8">
            <w:pPr>
              <w:rPr>
                <w:rFonts w:ascii="Times New Roman" w:hAnsi="Times New Roman" w:cs="Times New Roman"/>
              </w:rPr>
            </w:pPr>
            <w:r w:rsidRPr="00F428A8">
              <w:rPr>
                <w:rFonts w:ascii="Times New Roman" w:hAnsi="Times New Roman" w:cs="Times New Roman"/>
              </w:rPr>
              <w:t xml:space="preserve">Atkārtoti vēršam uzmanību, ka nav saprotams, kāda loma paredzēta Finanšu ministrijas pārstāvim Sadarbības padomes atvērto datu jomas koordinēšanai ietvaros, kas tiks </w:t>
            </w:r>
            <w:r w:rsidRPr="00F428A8">
              <w:rPr>
                <w:rFonts w:ascii="Times New Roman" w:hAnsi="Times New Roman" w:cs="Times New Roman"/>
              </w:rPr>
              <w:lastRenderedPageBreak/>
              <w:t>izveidota datu pieejamības un atkalizmantošanas apjomu paaugstināšanai. Kā norādījām iepriekš, uzskatām, ka Finanšu ministrijas pārstāvim nebūtu regulāri jāpiedalās Sadarbības padomes sastāvā, jo tās ietvaros izskatītie jautājumi var neskart Finanšu ministrijas kompetenci, bet sadarbības padomes izstrādātos priekšlikumus, par kuriem nepieciešams Finanšu ministrijas viedoklis, var nosūtīt Finanšu ministrijai izvērtēšanai (piemēram, par datu publicēšanas izmaksu finansēšanas avotiem). Attiecīgi lūdzam veikt precizējumus informatīvā ziņojuma 6.sadaļas 6.punktā, svītrojot vārdus “Finanšu ministrijas”.</w:t>
            </w:r>
          </w:p>
        </w:tc>
        <w:tc>
          <w:tcPr>
            <w:tcW w:w="4355" w:type="dxa"/>
            <w:tcBorders>
              <w:top w:val="single" w:sz="6" w:space="0" w:color="000000"/>
              <w:left w:val="single" w:sz="6" w:space="0" w:color="000000"/>
              <w:bottom w:val="single" w:sz="6" w:space="0" w:color="000000"/>
              <w:right w:val="single" w:sz="6" w:space="0" w:color="000000"/>
            </w:tcBorders>
            <w:shd w:val="clear" w:color="auto" w:fill="auto"/>
          </w:tcPr>
          <w:p w14:paraId="20CF6BA4" w14:textId="77777777" w:rsidR="00F428A8" w:rsidRDefault="00F428A8" w:rsidP="002D6795">
            <w:pPr>
              <w:pStyle w:val="naisc"/>
              <w:spacing w:before="0" w:after="0"/>
              <w:jc w:val="both"/>
              <w:rPr>
                <w:b/>
                <w:sz w:val="22"/>
                <w:szCs w:val="22"/>
              </w:rPr>
            </w:pPr>
            <w:r>
              <w:rPr>
                <w:b/>
                <w:sz w:val="22"/>
                <w:szCs w:val="22"/>
              </w:rPr>
              <w:lastRenderedPageBreak/>
              <w:t xml:space="preserve">Daļēji ņemts vērā. Vienošanās panākta elektroniskās saskaņošanas laikā. </w:t>
            </w:r>
          </w:p>
          <w:p w14:paraId="7625773F" w14:textId="2B43984A" w:rsidR="00F428A8" w:rsidRPr="00F428A8" w:rsidRDefault="00F428A8" w:rsidP="002D6795">
            <w:pPr>
              <w:pStyle w:val="naisc"/>
              <w:spacing w:before="0" w:after="0"/>
              <w:jc w:val="both"/>
              <w:rPr>
                <w:sz w:val="22"/>
                <w:szCs w:val="22"/>
              </w:rPr>
            </w:pPr>
            <w:r>
              <w:rPr>
                <w:sz w:val="22"/>
                <w:szCs w:val="22"/>
              </w:rPr>
              <w:t>Skatīt informatīvā ziņojuma 6.sadaļas 6.punktu.</w:t>
            </w:r>
            <w:bookmarkStart w:id="0" w:name="_GoBack"/>
            <w:bookmarkEnd w:id="0"/>
          </w:p>
        </w:tc>
        <w:tc>
          <w:tcPr>
            <w:tcW w:w="3811" w:type="dxa"/>
            <w:gridSpan w:val="2"/>
            <w:tcBorders>
              <w:top w:val="single" w:sz="4" w:space="0" w:color="auto"/>
              <w:left w:val="single" w:sz="4" w:space="0" w:color="auto"/>
              <w:bottom w:val="single" w:sz="4" w:space="0" w:color="auto"/>
            </w:tcBorders>
          </w:tcPr>
          <w:p w14:paraId="165CA114" w14:textId="77777777" w:rsidR="00F428A8" w:rsidRPr="00E9266E" w:rsidRDefault="00F428A8" w:rsidP="002D6795">
            <w:pPr>
              <w:spacing w:after="0"/>
              <w:rPr>
                <w:rFonts w:ascii="Times New Roman" w:hAnsi="Times New Roman" w:cs="Times New Roman"/>
              </w:rPr>
            </w:pPr>
          </w:p>
        </w:tc>
      </w:tr>
      <w:tr w:rsidR="002D6795" w:rsidRPr="00E9266E" w14:paraId="58244434" w14:textId="77777777" w:rsidTr="00FA7B43">
        <w:tc>
          <w:tcPr>
            <w:tcW w:w="451" w:type="dxa"/>
            <w:tcBorders>
              <w:top w:val="single" w:sz="4" w:space="0" w:color="auto"/>
              <w:left w:val="single" w:sz="4" w:space="0" w:color="auto"/>
              <w:bottom w:val="single" w:sz="4" w:space="0" w:color="auto"/>
              <w:right w:val="single" w:sz="4" w:space="0" w:color="auto"/>
            </w:tcBorders>
          </w:tcPr>
          <w:p w14:paraId="4696DE8A" w14:textId="50614287" w:rsidR="002D6795" w:rsidRPr="00E9266E" w:rsidRDefault="002D6795" w:rsidP="002D6795">
            <w:pPr>
              <w:pStyle w:val="naisc"/>
              <w:numPr>
                <w:ilvl w:val="0"/>
                <w:numId w:val="17"/>
              </w:numPr>
              <w:spacing w:before="0" w:after="0"/>
              <w:ind w:left="0" w:firstLine="0"/>
              <w:rPr>
                <w:sz w:val="22"/>
                <w:szCs w:val="22"/>
              </w:rPr>
            </w:pPr>
          </w:p>
        </w:tc>
        <w:tc>
          <w:tcPr>
            <w:tcW w:w="3184" w:type="dxa"/>
            <w:gridSpan w:val="2"/>
            <w:tcBorders>
              <w:top w:val="single" w:sz="4" w:space="0" w:color="auto"/>
              <w:left w:val="single" w:sz="4" w:space="0" w:color="auto"/>
              <w:bottom w:val="single" w:sz="4" w:space="0" w:color="auto"/>
              <w:right w:val="single" w:sz="4" w:space="0" w:color="auto"/>
            </w:tcBorders>
          </w:tcPr>
          <w:p w14:paraId="24E43385" w14:textId="77777777" w:rsidR="002D6795" w:rsidRPr="00E9266E" w:rsidRDefault="002D6795" w:rsidP="002D6795">
            <w:pPr>
              <w:pStyle w:val="ColorfulList-Accent11"/>
              <w:spacing w:before="0" w:line="240" w:lineRule="auto"/>
              <w:ind w:left="12"/>
              <w:jc w:val="both"/>
              <w:rPr>
                <w:rFonts w:ascii="Times New Roman" w:hAnsi="Times New Roman"/>
                <w:sz w:val="22"/>
                <w:szCs w:val="22"/>
              </w:rPr>
            </w:pPr>
          </w:p>
        </w:tc>
        <w:tc>
          <w:tcPr>
            <w:tcW w:w="3776" w:type="dxa"/>
            <w:tcBorders>
              <w:top w:val="single" w:sz="4" w:space="0" w:color="auto"/>
              <w:left w:val="single" w:sz="4" w:space="0" w:color="auto"/>
              <w:bottom w:val="single" w:sz="4" w:space="0" w:color="auto"/>
              <w:right w:val="single" w:sz="4" w:space="0" w:color="auto"/>
            </w:tcBorders>
          </w:tcPr>
          <w:p w14:paraId="5C544EB2" w14:textId="77777777" w:rsidR="002D6795" w:rsidRPr="00E33A06" w:rsidRDefault="002D6795" w:rsidP="002D6795">
            <w:pPr>
              <w:rPr>
                <w:rFonts w:ascii="Times New Roman" w:hAnsi="Times New Roman" w:cs="Times New Roman"/>
                <w:b/>
              </w:rPr>
            </w:pPr>
            <w:r w:rsidRPr="00E33A06">
              <w:rPr>
                <w:rFonts w:ascii="Times New Roman" w:hAnsi="Times New Roman" w:cs="Times New Roman"/>
                <w:b/>
              </w:rPr>
              <w:t>Finanšu ministrija</w:t>
            </w:r>
          </w:p>
          <w:p w14:paraId="7CBF4D0B" w14:textId="11B7F0DD" w:rsidR="002D6795" w:rsidRPr="00E33A06" w:rsidRDefault="002D6795" w:rsidP="002D6795">
            <w:pPr>
              <w:spacing w:after="0"/>
              <w:rPr>
                <w:rFonts w:ascii="Times New Roman" w:hAnsi="Times New Roman" w:cs="Times New Roman"/>
              </w:rPr>
            </w:pPr>
            <w:r w:rsidRPr="00E33A06">
              <w:rPr>
                <w:rFonts w:ascii="Times New Roman" w:hAnsi="Times New Roman" w:cs="Times New Roman"/>
              </w:rPr>
              <w:t>Ziņojuma projekta 7.sadaļas “Ietekme uz valsts un pašvaldību budžetiem” 2.rinkdopā norādīts, ka atveramo datu kopu publicēšana atvērto datu portālā jānodrošina esošā budžeta ietvaros, vienlaikus šīs sadaļas 5.rindkopā minēts, ka atsevišķu augstvērtīgo datu kopu publicēšana atvērto datu portālā var radīt īstermiņa papildu budžeta izdevumus, tādējādi sniedzot pretrunīgu informāciju. Ņemot vērā minēto, lūdzam precizēt šīs sadaļas 5.rindkopā sniegto informāciju.</w:t>
            </w:r>
          </w:p>
        </w:tc>
        <w:tc>
          <w:tcPr>
            <w:tcW w:w="4355" w:type="dxa"/>
            <w:tcBorders>
              <w:top w:val="single" w:sz="6" w:space="0" w:color="000000"/>
              <w:left w:val="single" w:sz="4" w:space="0" w:color="auto"/>
              <w:bottom w:val="single" w:sz="6" w:space="0" w:color="000000"/>
              <w:right w:val="single" w:sz="6" w:space="0" w:color="000000"/>
            </w:tcBorders>
            <w:shd w:val="clear" w:color="auto" w:fill="auto"/>
          </w:tcPr>
          <w:p w14:paraId="4EE1B458" w14:textId="77777777" w:rsidR="002D6795" w:rsidRPr="00E33A06" w:rsidRDefault="002D6795" w:rsidP="002D6795">
            <w:pPr>
              <w:pStyle w:val="naisc"/>
              <w:spacing w:before="0" w:after="0"/>
              <w:jc w:val="both"/>
              <w:rPr>
                <w:b/>
                <w:sz w:val="22"/>
                <w:szCs w:val="22"/>
              </w:rPr>
            </w:pPr>
            <w:r w:rsidRPr="00E33A06">
              <w:rPr>
                <w:b/>
                <w:sz w:val="22"/>
                <w:szCs w:val="22"/>
              </w:rPr>
              <w:t>Daļēji ņemts vērā</w:t>
            </w:r>
          </w:p>
          <w:p w14:paraId="645B7739" w14:textId="43D07A2C" w:rsidR="002D6795" w:rsidRPr="00E33A06" w:rsidRDefault="002D6795" w:rsidP="002D6795">
            <w:pPr>
              <w:spacing w:after="0"/>
              <w:rPr>
                <w:rFonts w:ascii="Times New Roman" w:hAnsi="Times New Roman" w:cs="Times New Roman"/>
              </w:rPr>
            </w:pPr>
            <w:r w:rsidRPr="00E33A06">
              <w:rPr>
                <w:rFonts w:ascii="Times New Roman" w:hAnsi="Times New Roman" w:cs="Times New Roman"/>
              </w:rPr>
              <w:t>Sk. Informatīvā ziņojuma precizēto versiju</w:t>
            </w:r>
          </w:p>
        </w:tc>
        <w:tc>
          <w:tcPr>
            <w:tcW w:w="3811" w:type="dxa"/>
            <w:gridSpan w:val="2"/>
            <w:tcBorders>
              <w:top w:val="single" w:sz="4" w:space="0" w:color="auto"/>
              <w:left w:val="single" w:sz="4" w:space="0" w:color="auto"/>
              <w:bottom w:val="single" w:sz="4" w:space="0" w:color="auto"/>
            </w:tcBorders>
          </w:tcPr>
          <w:p w14:paraId="091A7C6E" w14:textId="30376AF2" w:rsidR="002D6795" w:rsidRPr="00780699" w:rsidRDefault="002D6795" w:rsidP="002D6795">
            <w:pPr>
              <w:spacing w:after="0"/>
              <w:rPr>
                <w:rFonts w:ascii="Times New Roman" w:hAnsi="Times New Roman" w:cs="Times New Roman"/>
              </w:rPr>
            </w:pPr>
          </w:p>
        </w:tc>
      </w:tr>
      <w:tr w:rsidR="002D6795" w:rsidRPr="00E9266E" w14:paraId="1AA75B63" w14:textId="77777777" w:rsidTr="000E154C">
        <w:tc>
          <w:tcPr>
            <w:tcW w:w="451" w:type="dxa"/>
            <w:tcBorders>
              <w:top w:val="single" w:sz="4" w:space="0" w:color="auto"/>
              <w:left w:val="single" w:sz="4" w:space="0" w:color="auto"/>
              <w:bottom w:val="single" w:sz="4" w:space="0" w:color="auto"/>
              <w:right w:val="single" w:sz="4" w:space="0" w:color="auto"/>
            </w:tcBorders>
          </w:tcPr>
          <w:p w14:paraId="56503BC2" w14:textId="77777777" w:rsidR="002D6795" w:rsidRPr="00E9266E" w:rsidRDefault="002D6795" w:rsidP="002D6795">
            <w:pPr>
              <w:pStyle w:val="naisc"/>
              <w:numPr>
                <w:ilvl w:val="0"/>
                <w:numId w:val="17"/>
              </w:numPr>
              <w:spacing w:before="0" w:after="0"/>
              <w:ind w:left="0" w:firstLine="0"/>
              <w:rPr>
                <w:sz w:val="22"/>
                <w:szCs w:val="22"/>
              </w:rPr>
            </w:pPr>
          </w:p>
        </w:tc>
        <w:tc>
          <w:tcPr>
            <w:tcW w:w="3184" w:type="dxa"/>
            <w:gridSpan w:val="2"/>
            <w:tcBorders>
              <w:top w:val="single" w:sz="4" w:space="0" w:color="auto"/>
              <w:left w:val="single" w:sz="4" w:space="0" w:color="auto"/>
              <w:bottom w:val="single" w:sz="4" w:space="0" w:color="auto"/>
              <w:right w:val="single" w:sz="4" w:space="0" w:color="auto"/>
            </w:tcBorders>
          </w:tcPr>
          <w:p w14:paraId="5F116D4C" w14:textId="77777777" w:rsidR="002D6795" w:rsidRPr="00E9266E" w:rsidRDefault="002D6795" w:rsidP="002D6795">
            <w:pPr>
              <w:pStyle w:val="ColorfulList-Accent11"/>
              <w:spacing w:before="0" w:line="240" w:lineRule="auto"/>
              <w:ind w:left="12"/>
              <w:jc w:val="both"/>
              <w:rPr>
                <w:rFonts w:ascii="Times New Roman" w:hAnsi="Times New Roman"/>
                <w:sz w:val="22"/>
                <w:szCs w:val="22"/>
              </w:rPr>
            </w:pPr>
          </w:p>
        </w:tc>
        <w:tc>
          <w:tcPr>
            <w:tcW w:w="3776" w:type="dxa"/>
            <w:tcBorders>
              <w:top w:val="single" w:sz="4" w:space="0" w:color="auto"/>
              <w:left w:val="single" w:sz="4" w:space="0" w:color="auto"/>
              <w:bottom w:val="single" w:sz="4" w:space="0" w:color="auto"/>
              <w:right w:val="single" w:sz="4" w:space="0" w:color="auto"/>
            </w:tcBorders>
          </w:tcPr>
          <w:p w14:paraId="788DF4F1" w14:textId="77777777" w:rsidR="002D6795" w:rsidRPr="00E33A06" w:rsidRDefault="002D6795" w:rsidP="002D6795">
            <w:pPr>
              <w:rPr>
                <w:rFonts w:ascii="Times New Roman" w:hAnsi="Times New Roman" w:cs="Times New Roman"/>
                <w:b/>
              </w:rPr>
            </w:pPr>
            <w:r w:rsidRPr="00E33A06">
              <w:rPr>
                <w:rFonts w:ascii="Times New Roman" w:hAnsi="Times New Roman" w:cs="Times New Roman"/>
                <w:b/>
              </w:rPr>
              <w:t>Finanšu ministrija</w:t>
            </w:r>
          </w:p>
          <w:p w14:paraId="3A9AE50F" w14:textId="4794531A" w:rsidR="002D6795" w:rsidRPr="00E33A06" w:rsidRDefault="002D6795" w:rsidP="002D6795">
            <w:pPr>
              <w:widowControl w:val="0"/>
              <w:spacing w:after="0"/>
              <w:rPr>
                <w:rFonts w:ascii="Times New Roman" w:eastAsia="Times New Roman" w:hAnsi="Times New Roman" w:cs="Times New Roman"/>
                <w:bCs/>
                <w:lang w:eastAsia="lv-LV"/>
              </w:rPr>
            </w:pPr>
            <w:r w:rsidRPr="00E33A06">
              <w:rPr>
                <w:rFonts w:ascii="Times New Roman" w:hAnsi="Times New Roman" w:cs="Times New Roman"/>
              </w:rPr>
              <w:t xml:space="preserve">Papildus lūdzam skaidrot ziņojuma projekta 7.sadaļas “Ietekme uz valsts un pašvaldību budžetiem” 4.rindkopā </w:t>
            </w:r>
            <w:r w:rsidRPr="00E33A06">
              <w:rPr>
                <w:rFonts w:ascii="Times New Roman" w:hAnsi="Times New Roman" w:cs="Times New Roman"/>
              </w:rPr>
              <w:lastRenderedPageBreak/>
              <w:t>norādīto informāciju par iespējamo nepieciešamību pēc papildu investīcijām atvērto datu publicēšanas saskarņu izveidei un datu eksportēšanai no iestāžu esošajiem IKT risinājumiem, norādot plānoto investīciju apmēru un to finansēšanas avotu. Vienlaikus uzskatām, ka, ja šobrīd nav iespējams noteikt, vai un cik lielā apmērā būs nepieciešami papildu izdevumi/investīcijas, kā arī nav zināms to finansēšanas avots, tad jautājums par to nepieciešamību jārisina atsevišķi.</w:t>
            </w:r>
          </w:p>
        </w:tc>
        <w:tc>
          <w:tcPr>
            <w:tcW w:w="4355" w:type="dxa"/>
            <w:tcBorders>
              <w:top w:val="single" w:sz="6" w:space="0" w:color="000000"/>
              <w:left w:val="single" w:sz="4" w:space="0" w:color="auto"/>
              <w:bottom w:val="single" w:sz="4" w:space="0" w:color="auto"/>
              <w:right w:val="single" w:sz="6" w:space="0" w:color="000000"/>
            </w:tcBorders>
            <w:shd w:val="clear" w:color="auto" w:fill="auto"/>
          </w:tcPr>
          <w:p w14:paraId="1190CCAC" w14:textId="4FD8E414" w:rsidR="002D6795" w:rsidRPr="00E33A06" w:rsidRDefault="002D6795" w:rsidP="002D6795">
            <w:pPr>
              <w:pStyle w:val="naisc"/>
              <w:spacing w:before="0" w:after="0"/>
              <w:jc w:val="both"/>
              <w:rPr>
                <w:b/>
                <w:sz w:val="22"/>
                <w:szCs w:val="22"/>
              </w:rPr>
            </w:pPr>
            <w:r w:rsidRPr="00E33A06">
              <w:rPr>
                <w:b/>
                <w:sz w:val="22"/>
                <w:szCs w:val="22"/>
              </w:rPr>
              <w:lastRenderedPageBreak/>
              <w:t>Ņemts vērā</w:t>
            </w:r>
          </w:p>
          <w:p w14:paraId="6352523B" w14:textId="7B089728" w:rsidR="002D6795" w:rsidRPr="00E33A06" w:rsidRDefault="002D6795" w:rsidP="002D6795">
            <w:pPr>
              <w:pStyle w:val="naisc"/>
              <w:spacing w:before="0" w:after="0"/>
              <w:jc w:val="both"/>
              <w:rPr>
                <w:b/>
                <w:sz w:val="22"/>
                <w:szCs w:val="22"/>
              </w:rPr>
            </w:pPr>
            <w:r w:rsidRPr="00E33A06">
              <w:rPr>
                <w:sz w:val="22"/>
                <w:szCs w:val="22"/>
              </w:rPr>
              <w:t>Sk. Informatīvā ziņojuma precizēto versiju</w:t>
            </w:r>
          </w:p>
        </w:tc>
        <w:tc>
          <w:tcPr>
            <w:tcW w:w="3811" w:type="dxa"/>
            <w:gridSpan w:val="2"/>
            <w:tcBorders>
              <w:top w:val="single" w:sz="4" w:space="0" w:color="auto"/>
              <w:left w:val="single" w:sz="4" w:space="0" w:color="auto"/>
              <w:bottom w:val="single" w:sz="4" w:space="0" w:color="auto"/>
            </w:tcBorders>
          </w:tcPr>
          <w:p w14:paraId="68297CD8" w14:textId="39CA920F" w:rsidR="002D6795" w:rsidRPr="00780699" w:rsidRDefault="002D6795" w:rsidP="002D6795">
            <w:pPr>
              <w:spacing w:after="0"/>
              <w:rPr>
                <w:rFonts w:ascii="Times New Roman" w:hAnsi="Times New Roman" w:cs="Times New Roman"/>
              </w:rPr>
            </w:pPr>
          </w:p>
        </w:tc>
      </w:tr>
      <w:tr w:rsidR="002D6795" w:rsidRPr="00E9266E" w14:paraId="75676C12" w14:textId="77777777" w:rsidTr="000E154C">
        <w:tc>
          <w:tcPr>
            <w:tcW w:w="451" w:type="dxa"/>
            <w:tcBorders>
              <w:top w:val="single" w:sz="4" w:space="0" w:color="auto"/>
              <w:left w:val="single" w:sz="4" w:space="0" w:color="auto"/>
              <w:bottom w:val="single" w:sz="4" w:space="0" w:color="auto"/>
              <w:right w:val="single" w:sz="4" w:space="0" w:color="auto"/>
            </w:tcBorders>
          </w:tcPr>
          <w:p w14:paraId="530385C4" w14:textId="77777777" w:rsidR="002D6795" w:rsidRPr="00E9266E" w:rsidRDefault="002D6795" w:rsidP="002D6795">
            <w:pPr>
              <w:pStyle w:val="naisc"/>
              <w:numPr>
                <w:ilvl w:val="0"/>
                <w:numId w:val="17"/>
              </w:numPr>
              <w:spacing w:before="0" w:after="0"/>
              <w:ind w:left="0" w:firstLine="0"/>
              <w:rPr>
                <w:sz w:val="22"/>
                <w:szCs w:val="22"/>
              </w:rPr>
            </w:pPr>
          </w:p>
        </w:tc>
        <w:tc>
          <w:tcPr>
            <w:tcW w:w="3184" w:type="dxa"/>
            <w:gridSpan w:val="2"/>
            <w:tcBorders>
              <w:top w:val="single" w:sz="4" w:space="0" w:color="auto"/>
              <w:left w:val="single" w:sz="4" w:space="0" w:color="auto"/>
              <w:bottom w:val="single" w:sz="4" w:space="0" w:color="auto"/>
              <w:right w:val="single" w:sz="4" w:space="0" w:color="auto"/>
            </w:tcBorders>
          </w:tcPr>
          <w:p w14:paraId="492FA311" w14:textId="77777777" w:rsidR="002D6795" w:rsidRPr="00E9266E" w:rsidRDefault="002D6795" w:rsidP="002D6795">
            <w:pPr>
              <w:pStyle w:val="ColorfulList-Accent11"/>
              <w:spacing w:before="0" w:line="240" w:lineRule="auto"/>
              <w:ind w:left="12"/>
              <w:jc w:val="both"/>
              <w:rPr>
                <w:rFonts w:ascii="Times New Roman" w:hAnsi="Times New Roman"/>
                <w:sz w:val="22"/>
                <w:szCs w:val="22"/>
              </w:rPr>
            </w:pPr>
          </w:p>
        </w:tc>
        <w:tc>
          <w:tcPr>
            <w:tcW w:w="3776" w:type="dxa"/>
            <w:tcBorders>
              <w:top w:val="single" w:sz="4" w:space="0" w:color="auto"/>
              <w:left w:val="single" w:sz="4" w:space="0" w:color="auto"/>
              <w:bottom w:val="single" w:sz="4" w:space="0" w:color="auto"/>
              <w:right w:val="single" w:sz="4" w:space="0" w:color="auto"/>
            </w:tcBorders>
          </w:tcPr>
          <w:p w14:paraId="34CA1793" w14:textId="77777777"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eastAsia="Times New Roman" w:hAnsi="Times New Roman" w:cs="Times New Roman"/>
                <w:b/>
                <w:bCs/>
                <w:lang w:eastAsia="lv-LV"/>
              </w:rPr>
              <w:t>Finanšu ministrija</w:t>
            </w:r>
          </w:p>
          <w:p w14:paraId="438FAE79" w14:textId="702886B7"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hAnsi="Times New Roman" w:cs="Times New Roman"/>
              </w:rPr>
              <w:t>Ziņojuma projekta 32. lapaspusē nepieciešams aizstāt vārdus “Latvijas Komercbanku asociācija” ar “Latvijas Finanšu nozares asociācija”.</w:t>
            </w:r>
          </w:p>
        </w:tc>
        <w:tc>
          <w:tcPr>
            <w:tcW w:w="4355" w:type="dxa"/>
            <w:tcBorders>
              <w:top w:val="single" w:sz="4" w:space="0" w:color="auto"/>
              <w:left w:val="single" w:sz="4" w:space="0" w:color="auto"/>
              <w:bottom w:val="single" w:sz="4" w:space="0" w:color="auto"/>
              <w:right w:val="single" w:sz="4" w:space="0" w:color="auto"/>
            </w:tcBorders>
            <w:shd w:val="clear" w:color="auto" w:fill="auto"/>
          </w:tcPr>
          <w:p w14:paraId="1288B3CB" w14:textId="719AFA42" w:rsidR="002D6795" w:rsidRPr="00E33A06" w:rsidRDefault="002D6795" w:rsidP="002D6795">
            <w:pPr>
              <w:pStyle w:val="naisc"/>
              <w:spacing w:before="0" w:after="0"/>
              <w:jc w:val="both"/>
              <w:rPr>
                <w:b/>
                <w:sz w:val="22"/>
                <w:szCs w:val="22"/>
              </w:rPr>
            </w:pPr>
            <w:r w:rsidRPr="00E33A06">
              <w:rPr>
                <w:b/>
                <w:sz w:val="22"/>
                <w:szCs w:val="22"/>
              </w:rPr>
              <w:t>Ņemts vērā</w:t>
            </w:r>
          </w:p>
          <w:p w14:paraId="7A2535FD" w14:textId="21663C1A" w:rsidR="002D6795" w:rsidRPr="00E33A06" w:rsidRDefault="002D6795" w:rsidP="002D6795">
            <w:pPr>
              <w:pStyle w:val="naisc"/>
              <w:spacing w:before="0" w:after="0"/>
              <w:jc w:val="both"/>
              <w:rPr>
                <w:b/>
                <w:sz w:val="22"/>
                <w:szCs w:val="22"/>
              </w:rPr>
            </w:pPr>
            <w:r w:rsidRPr="00E33A06">
              <w:rPr>
                <w:sz w:val="22"/>
                <w:szCs w:val="22"/>
              </w:rPr>
              <w:t>Sk. Informatīvā ziņojuma precizēto versiju</w:t>
            </w:r>
          </w:p>
        </w:tc>
        <w:tc>
          <w:tcPr>
            <w:tcW w:w="3811" w:type="dxa"/>
            <w:gridSpan w:val="2"/>
            <w:tcBorders>
              <w:top w:val="single" w:sz="4" w:space="0" w:color="auto"/>
              <w:left w:val="single" w:sz="4" w:space="0" w:color="auto"/>
              <w:bottom w:val="single" w:sz="4" w:space="0" w:color="auto"/>
            </w:tcBorders>
          </w:tcPr>
          <w:p w14:paraId="0095298B" w14:textId="77777777" w:rsidR="002D6795" w:rsidRDefault="002D6795" w:rsidP="002D6795">
            <w:pPr>
              <w:spacing w:after="0"/>
              <w:rPr>
                <w:rFonts w:ascii="Times New Roman" w:hAnsi="Times New Roman" w:cs="Times New Roman"/>
              </w:rPr>
            </w:pPr>
          </w:p>
        </w:tc>
      </w:tr>
      <w:tr w:rsidR="002D6795" w:rsidRPr="00E9266E" w14:paraId="2116DC1A" w14:textId="77777777" w:rsidTr="000E154C">
        <w:tc>
          <w:tcPr>
            <w:tcW w:w="451" w:type="dxa"/>
            <w:tcBorders>
              <w:top w:val="single" w:sz="4" w:space="0" w:color="auto"/>
              <w:left w:val="single" w:sz="4" w:space="0" w:color="auto"/>
              <w:bottom w:val="single" w:sz="4" w:space="0" w:color="auto"/>
              <w:right w:val="single" w:sz="4" w:space="0" w:color="auto"/>
            </w:tcBorders>
          </w:tcPr>
          <w:p w14:paraId="386D92EA" w14:textId="77777777" w:rsidR="002D6795" w:rsidRPr="00E9266E" w:rsidRDefault="002D6795" w:rsidP="002D6795">
            <w:pPr>
              <w:pStyle w:val="naisc"/>
              <w:numPr>
                <w:ilvl w:val="0"/>
                <w:numId w:val="17"/>
              </w:numPr>
              <w:spacing w:before="0" w:after="0"/>
              <w:ind w:left="0" w:firstLine="0"/>
              <w:rPr>
                <w:sz w:val="22"/>
                <w:szCs w:val="22"/>
              </w:rPr>
            </w:pPr>
          </w:p>
        </w:tc>
        <w:tc>
          <w:tcPr>
            <w:tcW w:w="3184" w:type="dxa"/>
            <w:gridSpan w:val="2"/>
            <w:tcBorders>
              <w:top w:val="single" w:sz="4" w:space="0" w:color="auto"/>
              <w:left w:val="single" w:sz="4" w:space="0" w:color="auto"/>
              <w:bottom w:val="single" w:sz="4" w:space="0" w:color="auto"/>
              <w:right w:val="single" w:sz="4" w:space="0" w:color="auto"/>
            </w:tcBorders>
          </w:tcPr>
          <w:p w14:paraId="5EA9F1D9" w14:textId="77777777" w:rsidR="002D6795" w:rsidRPr="00E9266E" w:rsidRDefault="002D6795" w:rsidP="002D6795">
            <w:pPr>
              <w:pStyle w:val="ColorfulList-Accent11"/>
              <w:spacing w:before="0" w:line="240" w:lineRule="auto"/>
              <w:ind w:left="12"/>
              <w:jc w:val="both"/>
              <w:rPr>
                <w:rFonts w:ascii="Times New Roman" w:hAnsi="Times New Roman"/>
                <w:sz w:val="22"/>
                <w:szCs w:val="22"/>
              </w:rPr>
            </w:pPr>
          </w:p>
        </w:tc>
        <w:tc>
          <w:tcPr>
            <w:tcW w:w="3776" w:type="dxa"/>
            <w:tcBorders>
              <w:top w:val="single" w:sz="4" w:space="0" w:color="auto"/>
              <w:left w:val="single" w:sz="4" w:space="0" w:color="auto"/>
              <w:bottom w:val="single" w:sz="4" w:space="0" w:color="auto"/>
              <w:right w:val="single" w:sz="4" w:space="0" w:color="auto"/>
            </w:tcBorders>
          </w:tcPr>
          <w:p w14:paraId="35D79EFD" w14:textId="77777777"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eastAsia="Times New Roman" w:hAnsi="Times New Roman" w:cs="Times New Roman"/>
                <w:b/>
                <w:bCs/>
                <w:lang w:eastAsia="lv-LV"/>
              </w:rPr>
              <w:t>Finanšu ministrija</w:t>
            </w:r>
          </w:p>
          <w:p w14:paraId="38AFFFAD" w14:textId="2BFB0D94"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hAnsi="Times New Roman" w:cs="Times New Roman"/>
              </w:rPr>
              <w:t xml:space="preserve">Tiesiskās skaidrības nodrošināšanai lūdzam skaidrot, vai ziņojuma projekta 6.sadaļā noteiktajā rīcības plānā minētie uzdevumi un pasākumi attiecināmi arī uz valsts kapitālsabiedrībām un citām privātpersonām, kurām deleģēti valsts pārvaldes uzdevumi, attiecīgi precizējot informāciju ziņojuma projektā. Piemēram, valsts akciju sabiedrībai “Valsts nekustamie īpašumi” Publiskas personas mantas atsavināšanas likumā noteikts deleģējums organizēt valsts mantas atsavināšanas procesu un atsavināt apbūvēto valsts zemi personām, kurām saskaņā ar Publiskas personas mantas atsavināšanas likuma </w:t>
            </w:r>
            <w:r w:rsidRPr="00E33A06">
              <w:rPr>
                <w:rFonts w:ascii="Times New Roman" w:hAnsi="Times New Roman" w:cs="Times New Roman"/>
              </w:rPr>
              <w:lastRenderedPageBreak/>
              <w:t>4.panta ceturto daļu ir tiesības ierosināt to atsavināšanu.</w:t>
            </w:r>
          </w:p>
        </w:tc>
        <w:tc>
          <w:tcPr>
            <w:tcW w:w="4355" w:type="dxa"/>
            <w:tcBorders>
              <w:top w:val="single" w:sz="4" w:space="0" w:color="auto"/>
              <w:left w:val="single" w:sz="4" w:space="0" w:color="auto"/>
              <w:bottom w:val="single" w:sz="4" w:space="0" w:color="auto"/>
              <w:right w:val="single" w:sz="4" w:space="0" w:color="auto"/>
            </w:tcBorders>
            <w:shd w:val="clear" w:color="auto" w:fill="auto"/>
          </w:tcPr>
          <w:p w14:paraId="51D85702" w14:textId="77777777" w:rsidR="002D6795" w:rsidRPr="00E33A06" w:rsidRDefault="002D6795" w:rsidP="002D6795">
            <w:pPr>
              <w:pStyle w:val="naisc"/>
              <w:spacing w:before="0" w:after="0"/>
              <w:jc w:val="both"/>
              <w:rPr>
                <w:b/>
                <w:sz w:val="22"/>
                <w:szCs w:val="22"/>
              </w:rPr>
            </w:pPr>
            <w:r w:rsidRPr="00E33A06">
              <w:rPr>
                <w:b/>
                <w:sz w:val="22"/>
                <w:szCs w:val="22"/>
              </w:rPr>
              <w:lastRenderedPageBreak/>
              <w:t>Ņemts vērā</w:t>
            </w:r>
          </w:p>
          <w:p w14:paraId="52F074A0" w14:textId="46B028D5" w:rsidR="002D6795" w:rsidRPr="00E33A06" w:rsidRDefault="002D6795" w:rsidP="002D6795">
            <w:pPr>
              <w:pStyle w:val="naisc"/>
              <w:spacing w:before="0" w:after="0"/>
              <w:jc w:val="both"/>
              <w:rPr>
                <w:b/>
                <w:sz w:val="22"/>
                <w:szCs w:val="22"/>
              </w:rPr>
            </w:pPr>
            <w:r w:rsidRPr="00E33A06">
              <w:rPr>
                <w:sz w:val="22"/>
                <w:szCs w:val="22"/>
              </w:rPr>
              <w:t>Sk. Informatīvā ziņojuma precizēto versiju</w:t>
            </w:r>
            <w:r w:rsidRPr="00E33A06">
              <w:rPr>
                <w:b/>
                <w:sz w:val="22"/>
                <w:szCs w:val="22"/>
              </w:rPr>
              <w:t xml:space="preserve"> </w:t>
            </w:r>
          </w:p>
        </w:tc>
        <w:tc>
          <w:tcPr>
            <w:tcW w:w="3811" w:type="dxa"/>
            <w:gridSpan w:val="2"/>
            <w:tcBorders>
              <w:top w:val="single" w:sz="4" w:space="0" w:color="auto"/>
              <w:left w:val="single" w:sz="4" w:space="0" w:color="auto"/>
              <w:bottom w:val="single" w:sz="4" w:space="0" w:color="auto"/>
            </w:tcBorders>
          </w:tcPr>
          <w:p w14:paraId="6DB703BA" w14:textId="77777777" w:rsidR="002D6795" w:rsidRDefault="002D6795" w:rsidP="002D6795">
            <w:pPr>
              <w:spacing w:after="0"/>
              <w:rPr>
                <w:rFonts w:ascii="Times New Roman" w:hAnsi="Times New Roman" w:cs="Times New Roman"/>
              </w:rPr>
            </w:pPr>
          </w:p>
        </w:tc>
      </w:tr>
      <w:tr w:rsidR="002D6795" w:rsidRPr="00E9266E" w14:paraId="4D38D875" w14:textId="77777777" w:rsidTr="000E154C">
        <w:tc>
          <w:tcPr>
            <w:tcW w:w="451" w:type="dxa"/>
            <w:tcBorders>
              <w:top w:val="single" w:sz="4" w:space="0" w:color="auto"/>
              <w:left w:val="single" w:sz="4" w:space="0" w:color="auto"/>
              <w:bottom w:val="single" w:sz="4" w:space="0" w:color="auto"/>
              <w:right w:val="single" w:sz="4" w:space="0" w:color="auto"/>
            </w:tcBorders>
          </w:tcPr>
          <w:p w14:paraId="6C2C2233" w14:textId="77777777" w:rsidR="002D6795" w:rsidRPr="00E9266E" w:rsidRDefault="002D6795" w:rsidP="002D6795">
            <w:pPr>
              <w:pStyle w:val="naisc"/>
              <w:numPr>
                <w:ilvl w:val="0"/>
                <w:numId w:val="17"/>
              </w:numPr>
              <w:spacing w:before="0" w:after="0"/>
              <w:ind w:left="0" w:firstLine="0"/>
              <w:rPr>
                <w:sz w:val="22"/>
                <w:szCs w:val="22"/>
              </w:rPr>
            </w:pPr>
          </w:p>
        </w:tc>
        <w:tc>
          <w:tcPr>
            <w:tcW w:w="3184" w:type="dxa"/>
            <w:gridSpan w:val="2"/>
            <w:tcBorders>
              <w:top w:val="single" w:sz="4" w:space="0" w:color="auto"/>
              <w:left w:val="single" w:sz="4" w:space="0" w:color="auto"/>
              <w:bottom w:val="single" w:sz="4" w:space="0" w:color="auto"/>
              <w:right w:val="single" w:sz="4" w:space="0" w:color="auto"/>
            </w:tcBorders>
          </w:tcPr>
          <w:p w14:paraId="7428E3AD" w14:textId="77777777" w:rsidR="002D6795" w:rsidRPr="00E9266E" w:rsidRDefault="002D6795" w:rsidP="002D6795">
            <w:pPr>
              <w:pStyle w:val="ColorfulList-Accent11"/>
              <w:spacing w:before="0" w:line="240" w:lineRule="auto"/>
              <w:ind w:left="12"/>
              <w:jc w:val="both"/>
              <w:rPr>
                <w:rFonts w:ascii="Times New Roman" w:hAnsi="Times New Roman"/>
                <w:sz w:val="22"/>
                <w:szCs w:val="22"/>
              </w:rPr>
            </w:pPr>
          </w:p>
        </w:tc>
        <w:tc>
          <w:tcPr>
            <w:tcW w:w="3776" w:type="dxa"/>
            <w:tcBorders>
              <w:top w:val="single" w:sz="4" w:space="0" w:color="auto"/>
              <w:left w:val="single" w:sz="4" w:space="0" w:color="auto"/>
              <w:bottom w:val="single" w:sz="4" w:space="0" w:color="auto"/>
              <w:right w:val="single" w:sz="4" w:space="0" w:color="auto"/>
            </w:tcBorders>
          </w:tcPr>
          <w:p w14:paraId="18D4CD58" w14:textId="77777777" w:rsidR="002D6795" w:rsidRPr="00E33A06" w:rsidRDefault="002D6795" w:rsidP="002D6795">
            <w:pPr>
              <w:spacing w:after="0"/>
              <w:rPr>
                <w:rFonts w:ascii="Times New Roman" w:hAnsi="Times New Roman" w:cs="Times New Roman"/>
                <w:b/>
              </w:rPr>
            </w:pPr>
            <w:r w:rsidRPr="00E33A06">
              <w:rPr>
                <w:rFonts w:ascii="Times New Roman" w:hAnsi="Times New Roman" w:cs="Times New Roman"/>
                <w:b/>
              </w:rPr>
              <w:t>Latvijas Pašvaldību savienība, Latvijas Lielo pilsētu asociācija</w:t>
            </w:r>
          </w:p>
          <w:p w14:paraId="5FB36C71" w14:textId="5D14C000"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hAnsi="Times New Roman" w:cs="Times New Roman"/>
              </w:rPr>
              <w:t>Nepieciešamo datu apzināšana, atlase un ievade ir papildu administratīvais slogs, tādēļ ir saskatāmi riski minētā pienākuma izpildei (nav budžeta jaunā mērķa sasniegšanai). Norādāms, ka datu atlasi un ievadi var veikt manuāli, tad iestādei būs jāsedz cilvēkresursu izmaksas, lai var nodrošināt datu daļu automatizēto atlasi vai nodošanu, tad iestādei ir nepieciešami finanšu līdzekļi attiecīgo sistēmu pārstrādei. Vienlaikus norādāms, ka publicējamo datu identificēšana ir saistītā ne vien ar datu apzināšanu un atlasi, bet arī ar izvērtējumu par publicēšanas pieļaujamību (piemēram, fizisko personu dati)</w:t>
            </w:r>
            <w:r>
              <w:rPr>
                <w:rFonts w:ascii="Times New Roman" w:hAnsi="Times New Roman" w:cs="Times New Roman"/>
              </w:rPr>
              <w:t>.</w:t>
            </w:r>
          </w:p>
        </w:tc>
        <w:tc>
          <w:tcPr>
            <w:tcW w:w="4355" w:type="dxa"/>
            <w:tcBorders>
              <w:top w:val="single" w:sz="4" w:space="0" w:color="auto"/>
              <w:left w:val="single" w:sz="4" w:space="0" w:color="auto"/>
              <w:bottom w:val="single" w:sz="4" w:space="0" w:color="auto"/>
              <w:right w:val="single" w:sz="4" w:space="0" w:color="auto"/>
            </w:tcBorders>
            <w:shd w:val="clear" w:color="auto" w:fill="auto"/>
          </w:tcPr>
          <w:p w14:paraId="015409FD" w14:textId="55F3F486" w:rsidR="002D6795" w:rsidRPr="00E33A06" w:rsidRDefault="002D6795" w:rsidP="002D6795">
            <w:pPr>
              <w:pStyle w:val="naisc"/>
              <w:spacing w:before="0" w:after="0"/>
              <w:jc w:val="both"/>
              <w:rPr>
                <w:b/>
                <w:sz w:val="22"/>
                <w:szCs w:val="22"/>
              </w:rPr>
            </w:pPr>
            <w:r w:rsidRPr="00A64FD4">
              <w:rPr>
                <w:b/>
              </w:rPr>
              <w:t xml:space="preserve">Starpinstitūciju </w:t>
            </w:r>
            <w:r>
              <w:rPr>
                <w:b/>
              </w:rPr>
              <w:t>saskaņošanas sanāksmē 04.06.2019</w:t>
            </w:r>
            <w:r w:rsidRPr="00A64FD4">
              <w:rPr>
                <w:b/>
              </w:rPr>
              <w:t>.  panākta vienošanās</w:t>
            </w:r>
          </w:p>
        </w:tc>
        <w:tc>
          <w:tcPr>
            <w:tcW w:w="3811" w:type="dxa"/>
            <w:gridSpan w:val="2"/>
            <w:tcBorders>
              <w:top w:val="single" w:sz="4" w:space="0" w:color="auto"/>
              <w:left w:val="single" w:sz="4" w:space="0" w:color="auto"/>
              <w:bottom w:val="single" w:sz="4" w:space="0" w:color="auto"/>
            </w:tcBorders>
          </w:tcPr>
          <w:p w14:paraId="100FE7B6" w14:textId="5C1BF304" w:rsidR="002D6795" w:rsidRDefault="002D6795" w:rsidP="002D6795">
            <w:pPr>
              <w:spacing w:after="0"/>
              <w:rPr>
                <w:rFonts w:ascii="Times New Roman" w:hAnsi="Times New Roman" w:cs="Times New Roman"/>
              </w:rPr>
            </w:pPr>
            <w:r w:rsidRPr="005B70EB">
              <w:rPr>
                <w:rFonts w:ascii="Times New Roman" w:hAnsi="Times New Roman" w:cs="Times New Roman"/>
              </w:rPr>
              <w:t xml:space="preserve">Svītrota Informatīvā ziņojuma redakcija par iestāžu nevēlēšanos investēt jaunos tehnoloģiskos risinājumos. Papildu precizēts Informatīvā ziņojuma 6.nodaļas 2.punkts par instrukcijas par </w:t>
            </w:r>
            <w:r w:rsidRPr="005B70EB">
              <w:rPr>
                <w:rFonts w:ascii="Times New Roman" w:eastAsia="Calibri" w:hAnsi="Times New Roman" w:cs="Times New Roman"/>
              </w:rPr>
              <w:t xml:space="preserve">prioritāri atveramo datu identificēšanai, klasificēšanai  un atvēršanai </w:t>
            </w:r>
            <w:r w:rsidRPr="005B70EB">
              <w:rPr>
                <w:rFonts w:ascii="Times New Roman" w:hAnsi="Times New Roman" w:cs="Times New Roman"/>
              </w:rPr>
              <w:t xml:space="preserve">un 6.punkts par sadarbības padomes kompetenci.   </w:t>
            </w:r>
          </w:p>
        </w:tc>
      </w:tr>
      <w:tr w:rsidR="002D6795" w:rsidRPr="00E9266E" w14:paraId="1ACEFD89" w14:textId="77777777" w:rsidTr="000E154C">
        <w:tc>
          <w:tcPr>
            <w:tcW w:w="451" w:type="dxa"/>
            <w:tcBorders>
              <w:top w:val="single" w:sz="4" w:space="0" w:color="auto"/>
              <w:left w:val="single" w:sz="4" w:space="0" w:color="auto"/>
              <w:bottom w:val="single" w:sz="4" w:space="0" w:color="auto"/>
              <w:right w:val="single" w:sz="4" w:space="0" w:color="auto"/>
            </w:tcBorders>
          </w:tcPr>
          <w:p w14:paraId="675D85D0" w14:textId="77777777" w:rsidR="002D6795" w:rsidRPr="00E9266E" w:rsidRDefault="002D6795" w:rsidP="002D6795">
            <w:pPr>
              <w:pStyle w:val="naisc"/>
              <w:numPr>
                <w:ilvl w:val="0"/>
                <w:numId w:val="17"/>
              </w:numPr>
              <w:spacing w:before="0" w:after="0"/>
              <w:ind w:left="0" w:firstLine="0"/>
              <w:rPr>
                <w:sz w:val="22"/>
                <w:szCs w:val="22"/>
              </w:rPr>
            </w:pPr>
          </w:p>
        </w:tc>
        <w:tc>
          <w:tcPr>
            <w:tcW w:w="3184" w:type="dxa"/>
            <w:gridSpan w:val="2"/>
            <w:tcBorders>
              <w:top w:val="single" w:sz="4" w:space="0" w:color="auto"/>
              <w:left w:val="single" w:sz="4" w:space="0" w:color="auto"/>
              <w:bottom w:val="single" w:sz="4" w:space="0" w:color="auto"/>
              <w:right w:val="single" w:sz="4" w:space="0" w:color="auto"/>
            </w:tcBorders>
          </w:tcPr>
          <w:p w14:paraId="09E36158" w14:textId="77777777" w:rsidR="002D6795" w:rsidRPr="00E9266E" w:rsidRDefault="002D6795" w:rsidP="002D6795">
            <w:pPr>
              <w:pStyle w:val="ColorfulList-Accent11"/>
              <w:spacing w:before="0" w:line="240" w:lineRule="auto"/>
              <w:ind w:left="12"/>
              <w:jc w:val="both"/>
              <w:rPr>
                <w:rFonts w:ascii="Times New Roman" w:hAnsi="Times New Roman"/>
                <w:sz w:val="22"/>
                <w:szCs w:val="22"/>
              </w:rPr>
            </w:pPr>
          </w:p>
        </w:tc>
        <w:tc>
          <w:tcPr>
            <w:tcW w:w="3776" w:type="dxa"/>
            <w:tcBorders>
              <w:top w:val="single" w:sz="4" w:space="0" w:color="auto"/>
              <w:left w:val="single" w:sz="4" w:space="0" w:color="auto"/>
              <w:bottom w:val="single" w:sz="4" w:space="0" w:color="auto"/>
              <w:right w:val="single" w:sz="4" w:space="0" w:color="auto"/>
            </w:tcBorders>
          </w:tcPr>
          <w:p w14:paraId="595182FF" w14:textId="77777777" w:rsidR="002D6795" w:rsidRPr="00E33A06" w:rsidRDefault="002D6795" w:rsidP="002D6795">
            <w:pPr>
              <w:spacing w:after="0"/>
              <w:rPr>
                <w:rFonts w:ascii="Times New Roman" w:hAnsi="Times New Roman" w:cs="Times New Roman"/>
                <w:b/>
              </w:rPr>
            </w:pPr>
            <w:r w:rsidRPr="00E33A06">
              <w:rPr>
                <w:rFonts w:ascii="Times New Roman" w:hAnsi="Times New Roman" w:cs="Times New Roman"/>
                <w:b/>
              </w:rPr>
              <w:t>Latvijas Pašvaldību savienība, Latvijas Lielo pilsētu asociācija</w:t>
            </w:r>
          </w:p>
          <w:p w14:paraId="731A2C35" w14:textId="5E890A88" w:rsidR="002D6795" w:rsidRPr="002D6795" w:rsidRDefault="002D6795" w:rsidP="002D6795">
            <w:pPr>
              <w:spacing w:after="0"/>
              <w:rPr>
                <w:rFonts w:ascii="Times New Roman" w:hAnsi="Times New Roman" w:cs="Times New Roman"/>
              </w:rPr>
            </w:pPr>
            <w:r w:rsidRPr="00E33A06">
              <w:rPr>
                <w:rFonts w:ascii="Times New Roman" w:hAnsi="Times New Roman" w:cs="Times New Roman"/>
              </w:rPr>
              <w:t>Ņemot vērā minēto un apstākli, ka daļa no pašvaldības rīcībā esošiem datiem ir pieejama valsts informācijas sistēmās, kā arī, lai mazinātu administratīvo slogu pašvaldībai saistībā ar atvērto datu stratēģijas īstenošanu, būtu izvērtējama iespēja stratēģijas realizāciju sākt ar valsts informācijās sistēmās pieejamo datu apzināšanu un publicēšanu atvērto datu portālā, nodrošinot visu valsts informācijas sistēmu sasaisti ar portālu un nepieciešamo datu automatizēto nodošanu.</w:t>
            </w:r>
          </w:p>
        </w:tc>
        <w:tc>
          <w:tcPr>
            <w:tcW w:w="4355" w:type="dxa"/>
            <w:tcBorders>
              <w:top w:val="single" w:sz="4" w:space="0" w:color="auto"/>
              <w:left w:val="single" w:sz="4" w:space="0" w:color="auto"/>
              <w:bottom w:val="single" w:sz="4" w:space="0" w:color="auto"/>
              <w:right w:val="single" w:sz="4" w:space="0" w:color="auto"/>
            </w:tcBorders>
            <w:shd w:val="clear" w:color="auto" w:fill="auto"/>
          </w:tcPr>
          <w:p w14:paraId="43B14B5B" w14:textId="77777777" w:rsidR="002D6795" w:rsidRDefault="002D6795" w:rsidP="002D6795">
            <w:pPr>
              <w:pStyle w:val="naisc"/>
              <w:spacing w:before="0" w:after="0"/>
              <w:jc w:val="both"/>
              <w:rPr>
                <w:b/>
                <w:sz w:val="22"/>
                <w:szCs w:val="22"/>
              </w:rPr>
            </w:pPr>
            <w:r w:rsidRPr="00A64FD4">
              <w:rPr>
                <w:b/>
              </w:rPr>
              <w:t xml:space="preserve">Starpinstitūciju </w:t>
            </w:r>
            <w:r>
              <w:rPr>
                <w:b/>
              </w:rPr>
              <w:t>saskaņošanas sanāksmē 04.06.2019</w:t>
            </w:r>
            <w:r w:rsidRPr="00A64FD4">
              <w:rPr>
                <w:b/>
              </w:rPr>
              <w:t>.  panākta vienošanās</w:t>
            </w:r>
            <w:r w:rsidRPr="00352F2B">
              <w:t xml:space="preserve"> </w:t>
            </w:r>
          </w:p>
          <w:p w14:paraId="4E1ED2C8" w14:textId="77777777" w:rsidR="002D6795" w:rsidRPr="00A64FD4" w:rsidRDefault="002D6795" w:rsidP="002D6795">
            <w:pPr>
              <w:pStyle w:val="naisc"/>
              <w:spacing w:before="0" w:after="0"/>
              <w:jc w:val="both"/>
              <w:rPr>
                <w:b/>
              </w:rPr>
            </w:pPr>
          </w:p>
        </w:tc>
        <w:tc>
          <w:tcPr>
            <w:tcW w:w="3811" w:type="dxa"/>
            <w:gridSpan w:val="2"/>
            <w:tcBorders>
              <w:top w:val="single" w:sz="4" w:space="0" w:color="auto"/>
              <w:left w:val="single" w:sz="4" w:space="0" w:color="auto"/>
              <w:bottom w:val="single" w:sz="4" w:space="0" w:color="auto"/>
            </w:tcBorders>
          </w:tcPr>
          <w:p w14:paraId="0F89214B" w14:textId="5943F704" w:rsidR="002D6795" w:rsidRPr="005B70EB" w:rsidRDefault="002D6795" w:rsidP="002D6795">
            <w:pPr>
              <w:spacing w:after="0"/>
              <w:rPr>
                <w:rFonts w:ascii="Times New Roman" w:hAnsi="Times New Roman" w:cs="Times New Roman"/>
              </w:rPr>
            </w:pPr>
            <w:r>
              <w:rPr>
                <w:rFonts w:ascii="Times New Roman" w:hAnsi="Times New Roman" w:cs="Times New Roman"/>
              </w:rPr>
              <w:t>P</w:t>
            </w:r>
            <w:r w:rsidRPr="005B70EB">
              <w:rPr>
                <w:rFonts w:ascii="Times New Roman" w:hAnsi="Times New Roman" w:cs="Times New Roman"/>
              </w:rPr>
              <w:t xml:space="preserve">recizēts Informatīvā ziņojuma 6.nodaļas </w:t>
            </w:r>
            <w:r>
              <w:rPr>
                <w:rFonts w:ascii="Times New Roman" w:hAnsi="Times New Roman" w:cs="Times New Roman"/>
              </w:rPr>
              <w:t>3</w:t>
            </w:r>
            <w:r w:rsidRPr="005B70EB">
              <w:rPr>
                <w:rFonts w:ascii="Times New Roman" w:hAnsi="Times New Roman" w:cs="Times New Roman"/>
              </w:rPr>
              <w:t>.</w:t>
            </w:r>
            <w:r>
              <w:rPr>
                <w:rFonts w:ascii="Times New Roman" w:hAnsi="Times New Roman" w:cs="Times New Roman"/>
              </w:rPr>
              <w:t xml:space="preserve"> un 4.</w:t>
            </w:r>
            <w:r w:rsidRPr="005B70EB">
              <w:rPr>
                <w:rFonts w:ascii="Times New Roman" w:hAnsi="Times New Roman" w:cs="Times New Roman"/>
              </w:rPr>
              <w:t>punkts</w:t>
            </w:r>
            <w:r>
              <w:rPr>
                <w:rFonts w:ascii="Times New Roman" w:hAnsi="Times New Roman" w:cs="Times New Roman"/>
              </w:rPr>
              <w:t xml:space="preserve"> nosakot, ka primāri to rīcībā esošos informācijas resursus un datus apzin un Latvijas Atvērto datu portālā (data.gov.lv) publicē tiešās valsts pārvaldes tiešās iestādes un to pakļautības un padotības iestādes</w:t>
            </w:r>
            <w:r w:rsidRPr="005B70EB">
              <w:rPr>
                <w:rFonts w:ascii="Times New Roman" w:hAnsi="Times New Roman" w:cs="Times New Roman"/>
              </w:rPr>
              <w:t xml:space="preserve">.   </w:t>
            </w:r>
          </w:p>
        </w:tc>
      </w:tr>
      <w:tr w:rsidR="002D6795" w:rsidRPr="00E9266E" w14:paraId="6A78D263" w14:textId="77777777" w:rsidTr="000E154C">
        <w:tc>
          <w:tcPr>
            <w:tcW w:w="451" w:type="dxa"/>
            <w:tcBorders>
              <w:top w:val="single" w:sz="4" w:space="0" w:color="auto"/>
              <w:left w:val="single" w:sz="4" w:space="0" w:color="auto"/>
              <w:bottom w:val="single" w:sz="4" w:space="0" w:color="auto"/>
              <w:right w:val="single" w:sz="4" w:space="0" w:color="auto"/>
            </w:tcBorders>
          </w:tcPr>
          <w:p w14:paraId="64861380" w14:textId="77777777" w:rsidR="002D6795" w:rsidRPr="00E9266E" w:rsidRDefault="002D6795" w:rsidP="002D6795">
            <w:pPr>
              <w:pStyle w:val="naisc"/>
              <w:numPr>
                <w:ilvl w:val="0"/>
                <w:numId w:val="17"/>
              </w:numPr>
              <w:spacing w:before="0" w:after="0"/>
              <w:ind w:left="0" w:firstLine="0"/>
              <w:rPr>
                <w:sz w:val="22"/>
                <w:szCs w:val="22"/>
              </w:rPr>
            </w:pPr>
          </w:p>
        </w:tc>
        <w:tc>
          <w:tcPr>
            <w:tcW w:w="3184" w:type="dxa"/>
            <w:gridSpan w:val="2"/>
            <w:tcBorders>
              <w:top w:val="single" w:sz="4" w:space="0" w:color="auto"/>
              <w:left w:val="single" w:sz="4" w:space="0" w:color="auto"/>
              <w:bottom w:val="single" w:sz="4" w:space="0" w:color="auto"/>
              <w:right w:val="single" w:sz="4" w:space="0" w:color="auto"/>
            </w:tcBorders>
          </w:tcPr>
          <w:p w14:paraId="06A6F38A" w14:textId="77777777" w:rsidR="002D6795" w:rsidRPr="00E9266E" w:rsidRDefault="002D6795" w:rsidP="002D6795">
            <w:pPr>
              <w:pStyle w:val="ColorfulList-Accent11"/>
              <w:spacing w:before="0" w:line="240" w:lineRule="auto"/>
              <w:ind w:left="12"/>
              <w:jc w:val="both"/>
              <w:rPr>
                <w:rFonts w:ascii="Times New Roman" w:hAnsi="Times New Roman"/>
                <w:sz w:val="22"/>
                <w:szCs w:val="22"/>
              </w:rPr>
            </w:pPr>
          </w:p>
        </w:tc>
        <w:tc>
          <w:tcPr>
            <w:tcW w:w="3776" w:type="dxa"/>
            <w:tcBorders>
              <w:top w:val="single" w:sz="4" w:space="0" w:color="auto"/>
              <w:left w:val="single" w:sz="4" w:space="0" w:color="auto"/>
              <w:bottom w:val="single" w:sz="4" w:space="0" w:color="auto"/>
              <w:right w:val="single" w:sz="4" w:space="0" w:color="auto"/>
            </w:tcBorders>
          </w:tcPr>
          <w:p w14:paraId="4A73F9D9" w14:textId="77777777"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eastAsia="Times New Roman" w:hAnsi="Times New Roman" w:cs="Times New Roman"/>
                <w:b/>
                <w:bCs/>
                <w:lang w:eastAsia="lv-LV"/>
              </w:rPr>
              <w:t>Latvijas Tirdzniecības un rūpniecības kamera, Latvijas Informācijas un komunikācijas tehnoloģiju asociāciju</w:t>
            </w:r>
          </w:p>
          <w:p w14:paraId="5E44C728" w14:textId="77777777" w:rsidR="002D6795" w:rsidRPr="00E33A06" w:rsidRDefault="002D6795" w:rsidP="002D6795">
            <w:pPr>
              <w:tabs>
                <w:tab w:val="left" w:pos="3578"/>
              </w:tabs>
              <w:spacing w:after="0" w:line="276" w:lineRule="auto"/>
              <w:rPr>
                <w:rFonts w:ascii="Times New Roman" w:hAnsi="Times New Roman" w:cs="Times New Roman"/>
              </w:rPr>
            </w:pPr>
            <w:r w:rsidRPr="00E33A06">
              <w:rPr>
                <w:rFonts w:ascii="Times New Roman" w:hAnsi="Times New Roman" w:cs="Times New Roman"/>
              </w:rPr>
              <w:t>Ziņojuma 2.4.punktā norādīts “Ar Ministru kabineta 2013.gada 14.oktobra rīkojumu Nr.486 apstiprinātajās informācijas sabiedrības pamatnostādnēs 2014.-2020.gadam  (turpmāk – Pamatnostādnes) kā viens no e-pārvaldes plānošanas pamatprincipiem ir publiskās pārvaldes dati tautsaimniecības izaugsmei.“</w:t>
            </w:r>
          </w:p>
          <w:p w14:paraId="4DD9A709" w14:textId="0F9934C2" w:rsidR="002D6795" w:rsidRPr="00E33A06" w:rsidRDefault="002D6795" w:rsidP="002D6795">
            <w:pPr>
              <w:spacing w:after="0"/>
              <w:rPr>
                <w:rFonts w:ascii="Times New Roman" w:hAnsi="Times New Roman" w:cs="Times New Roman"/>
                <w:b/>
              </w:rPr>
            </w:pPr>
            <w:r w:rsidRPr="00E33A06">
              <w:rPr>
                <w:rFonts w:ascii="Times New Roman" w:hAnsi="Times New Roman" w:cs="Times New Roman"/>
              </w:rPr>
              <w:t>Diemžēl praksē nereti LTRK un LIKTA sastopas ar to, ka pamatnostādnēs noteiktais netiek ievērots, vai arī valsts pārvaldes iestādes to ievēro formāli. Šī problēmātika Ziņojumā nav analizēta, proti, kādi ir iemesli – vai VARAM nav pietiekamas informācijas par IKT projektu ieviešanu valsts pārvaldē un principiālu uzstādījumu, ka šajos gadījumos  datu atvēršana/atkalizmantošana jānodrošina, vai arī iestādes VARAM viedokli neņem vērā, kas nozīmē neievēro pamatnostādnēs noteikto? Svarīgākais – kā VARAM plāno šo pamatnostādņu konsekventu ievērošanu īstenot nākotnē.</w:t>
            </w:r>
          </w:p>
        </w:tc>
        <w:tc>
          <w:tcPr>
            <w:tcW w:w="4355" w:type="dxa"/>
            <w:tcBorders>
              <w:top w:val="single" w:sz="4" w:space="0" w:color="auto"/>
              <w:left w:val="single" w:sz="4" w:space="0" w:color="auto"/>
              <w:bottom w:val="single" w:sz="4" w:space="0" w:color="auto"/>
              <w:right w:val="single" w:sz="4" w:space="0" w:color="auto"/>
            </w:tcBorders>
            <w:shd w:val="clear" w:color="auto" w:fill="auto"/>
          </w:tcPr>
          <w:p w14:paraId="6042D37F" w14:textId="77777777" w:rsidR="002D6795" w:rsidRDefault="002D6795" w:rsidP="002D6795">
            <w:pPr>
              <w:pStyle w:val="naisc"/>
              <w:spacing w:before="0" w:after="0"/>
              <w:jc w:val="both"/>
              <w:rPr>
                <w:b/>
                <w:sz w:val="22"/>
                <w:szCs w:val="22"/>
              </w:rPr>
            </w:pPr>
            <w:r w:rsidRPr="00A64FD4">
              <w:rPr>
                <w:b/>
              </w:rPr>
              <w:t xml:space="preserve">Starpinstitūciju </w:t>
            </w:r>
            <w:r>
              <w:rPr>
                <w:b/>
              </w:rPr>
              <w:t>saskaņošanas sanāksmē 04.06.2019</w:t>
            </w:r>
            <w:r w:rsidRPr="00A64FD4">
              <w:rPr>
                <w:b/>
              </w:rPr>
              <w:t>.  panākta vienošanās</w:t>
            </w:r>
            <w:r w:rsidRPr="00352F2B">
              <w:t xml:space="preserve"> </w:t>
            </w:r>
          </w:p>
          <w:p w14:paraId="31E9DD10" w14:textId="77777777" w:rsidR="002D6795" w:rsidRPr="00A64FD4" w:rsidRDefault="002D6795" w:rsidP="002D6795">
            <w:pPr>
              <w:pStyle w:val="naisc"/>
              <w:spacing w:before="0" w:after="0"/>
              <w:jc w:val="both"/>
              <w:rPr>
                <w:b/>
              </w:rPr>
            </w:pPr>
          </w:p>
        </w:tc>
        <w:tc>
          <w:tcPr>
            <w:tcW w:w="3811" w:type="dxa"/>
            <w:gridSpan w:val="2"/>
            <w:tcBorders>
              <w:top w:val="single" w:sz="4" w:space="0" w:color="auto"/>
              <w:left w:val="single" w:sz="4" w:space="0" w:color="auto"/>
              <w:bottom w:val="single" w:sz="4" w:space="0" w:color="auto"/>
            </w:tcBorders>
          </w:tcPr>
          <w:p w14:paraId="73D26BA7" w14:textId="0D2C9F0F" w:rsidR="002D6795" w:rsidRDefault="002D6795" w:rsidP="002D6795">
            <w:pPr>
              <w:spacing w:after="0"/>
              <w:rPr>
                <w:rFonts w:ascii="Times New Roman" w:hAnsi="Times New Roman" w:cs="Times New Roman"/>
              </w:rPr>
            </w:pPr>
            <w:r>
              <w:rPr>
                <w:rFonts w:ascii="Times New Roman" w:hAnsi="Times New Roman" w:cs="Times New Roman"/>
              </w:rPr>
              <w:t>Jautājums tiks izskatīts Latvijas Tirdzniecības un rūpniecības kameras Pakalpojumu padomes sēdē.</w:t>
            </w:r>
          </w:p>
        </w:tc>
      </w:tr>
      <w:tr w:rsidR="002D6795" w:rsidRPr="00E9266E" w14:paraId="6B297BDF" w14:textId="77777777" w:rsidTr="000E154C">
        <w:tc>
          <w:tcPr>
            <w:tcW w:w="451" w:type="dxa"/>
            <w:tcBorders>
              <w:top w:val="single" w:sz="4" w:space="0" w:color="auto"/>
              <w:left w:val="single" w:sz="4" w:space="0" w:color="auto"/>
              <w:bottom w:val="single" w:sz="4" w:space="0" w:color="auto"/>
              <w:right w:val="single" w:sz="4" w:space="0" w:color="auto"/>
            </w:tcBorders>
          </w:tcPr>
          <w:p w14:paraId="1B444F89" w14:textId="77777777" w:rsidR="002D6795" w:rsidRPr="00E9266E" w:rsidRDefault="002D6795" w:rsidP="002D6795">
            <w:pPr>
              <w:pStyle w:val="naisc"/>
              <w:numPr>
                <w:ilvl w:val="0"/>
                <w:numId w:val="17"/>
              </w:numPr>
              <w:spacing w:before="0" w:after="0"/>
              <w:ind w:left="0" w:firstLine="0"/>
              <w:rPr>
                <w:sz w:val="22"/>
                <w:szCs w:val="22"/>
              </w:rPr>
            </w:pPr>
          </w:p>
        </w:tc>
        <w:tc>
          <w:tcPr>
            <w:tcW w:w="3184" w:type="dxa"/>
            <w:gridSpan w:val="2"/>
            <w:tcBorders>
              <w:top w:val="single" w:sz="4" w:space="0" w:color="auto"/>
              <w:left w:val="single" w:sz="4" w:space="0" w:color="auto"/>
              <w:bottom w:val="single" w:sz="4" w:space="0" w:color="auto"/>
              <w:right w:val="single" w:sz="4" w:space="0" w:color="auto"/>
            </w:tcBorders>
          </w:tcPr>
          <w:p w14:paraId="26AC0A6C" w14:textId="77777777" w:rsidR="002D6795" w:rsidRPr="00E9266E" w:rsidRDefault="002D6795" w:rsidP="002D6795">
            <w:pPr>
              <w:pStyle w:val="ColorfulList-Accent11"/>
              <w:spacing w:before="0" w:line="240" w:lineRule="auto"/>
              <w:ind w:left="12"/>
              <w:jc w:val="both"/>
              <w:rPr>
                <w:rFonts w:ascii="Times New Roman" w:hAnsi="Times New Roman"/>
                <w:sz w:val="22"/>
                <w:szCs w:val="22"/>
              </w:rPr>
            </w:pPr>
          </w:p>
        </w:tc>
        <w:tc>
          <w:tcPr>
            <w:tcW w:w="3776" w:type="dxa"/>
            <w:tcBorders>
              <w:top w:val="single" w:sz="4" w:space="0" w:color="auto"/>
              <w:left w:val="single" w:sz="4" w:space="0" w:color="auto"/>
              <w:bottom w:val="single" w:sz="4" w:space="0" w:color="auto"/>
              <w:right w:val="single" w:sz="4" w:space="0" w:color="auto"/>
            </w:tcBorders>
          </w:tcPr>
          <w:p w14:paraId="6B1619CF" w14:textId="77777777"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eastAsia="Times New Roman" w:hAnsi="Times New Roman" w:cs="Times New Roman"/>
                <w:b/>
                <w:bCs/>
                <w:lang w:eastAsia="lv-LV"/>
              </w:rPr>
              <w:t>Latvijas Tirdzniecības un rūpniecības kamera, Latvijas Informācijas un komunikācijas tehnoloģiju asociāciju</w:t>
            </w:r>
          </w:p>
          <w:p w14:paraId="49E90499" w14:textId="77777777" w:rsidR="002D6795" w:rsidRPr="00E33A06" w:rsidRDefault="002D6795" w:rsidP="002D6795">
            <w:pPr>
              <w:tabs>
                <w:tab w:val="left" w:pos="3578"/>
              </w:tabs>
              <w:spacing w:after="0" w:line="276" w:lineRule="auto"/>
              <w:rPr>
                <w:rFonts w:ascii="Times New Roman" w:hAnsi="Times New Roman" w:cs="Times New Roman"/>
              </w:rPr>
            </w:pPr>
            <w:r w:rsidRPr="00E33A06">
              <w:rPr>
                <w:rFonts w:ascii="Times New Roman" w:hAnsi="Times New Roman" w:cs="Times New Roman"/>
              </w:rPr>
              <w:t xml:space="preserve">Ziņojuma 4.punktā ir noteikts ““Latvijas atvērto datu stratēģijas” virsmērķis ir uz datos balstītas sabiedrības un valsts </w:t>
            </w:r>
            <w:r w:rsidRPr="00E33A06">
              <w:rPr>
                <w:rFonts w:ascii="Times New Roman" w:hAnsi="Times New Roman" w:cs="Times New Roman"/>
              </w:rPr>
              <w:lastRenderedPageBreak/>
              <w:t>attīstība, ļaujot privātajam sektoram, konkurējot savstarpēji un ar valsti, veidot ērtākus publiskos pakalpojumus.”</w:t>
            </w:r>
          </w:p>
          <w:p w14:paraId="311887EF" w14:textId="0B6238BA"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hAnsi="Times New Roman" w:cs="Times New Roman"/>
              </w:rPr>
              <w:t>Valsts nedrīkstētu veidot pakalpojumus un konkurēt ar privāto sektoru. Pirmkārt jau tādēļ, ka valsts pakalpojumus izveido par budžeta līdzekļiem līdz ar to ar privāto sektoru tirgus spēlētāji nav vienādās pozīcijās. Ir pieļaujams un atbalstāms princips, kas paredz deleģēt privātajam sektoram publisko pakalpojumu izveidi un sniegšanu. Tas sekmētu gan šādu risinājumu straujāku integrāciju privātā sektora IT sistēmās, līdz ar to - uzņēmumu digitalizāciju un produktivitātes paaugstināšanu. Tāpat nav pieļaujams, ka sniedzot publiskos pakalpojumus, iestādes iegūtos līdzekļus novirza budžeta ieņēmumos, lai nodrošinātu iestādes citu (ne ar pakalpojumu sniegšanu saistīto) funkciju izpildi. Par šo jautājumu stratēģijā nav runāts, kaut arī 2018.g. nogalē – 2019.g. sākumā organizētajos semināros ar ministrijām šis izskanēja kā viens no argumentiem, kādēļ valsts iestādes datus neatver.</w:t>
            </w:r>
          </w:p>
        </w:tc>
        <w:tc>
          <w:tcPr>
            <w:tcW w:w="4355" w:type="dxa"/>
            <w:tcBorders>
              <w:top w:val="single" w:sz="4" w:space="0" w:color="auto"/>
              <w:left w:val="single" w:sz="4" w:space="0" w:color="auto"/>
              <w:bottom w:val="single" w:sz="4" w:space="0" w:color="auto"/>
              <w:right w:val="single" w:sz="4" w:space="0" w:color="auto"/>
            </w:tcBorders>
            <w:shd w:val="clear" w:color="auto" w:fill="auto"/>
          </w:tcPr>
          <w:p w14:paraId="60CD7D69" w14:textId="77777777" w:rsidR="002D6795" w:rsidRDefault="002D6795" w:rsidP="002D6795">
            <w:pPr>
              <w:pStyle w:val="naisc"/>
              <w:spacing w:before="0" w:after="0"/>
              <w:jc w:val="both"/>
              <w:rPr>
                <w:b/>
                <w:sz w:val="22"/>
                <w:szCs w:val="22"/>
              </w:rPr>
            </w:pPr>
            <w:r w:rsidRPr="00A64FD4">
              <w:rPr>
                <w:b/>
              </w:rPr>
              <w:lastRenderedPageBreak/>
              <w:t xml:space="preserve">Starpinstitūciju </w:t>
            </w:r>
            <w:r>
              <w:rPr>
                <w:b/>
              </w:rPr>
              <w:t>saskaņošanas sanāksmē 04.06.2019</w:t>
            </w:r>
            <w:r w:rsidRPr="00A64FD4">
              <w:rPr>
                <w:b/>
              </w:rPr>
              <w:t>.  panākta vienošanās</w:t>
            </w:r>
            <w:r w:rsidRPr="00352F2B">
              <w:t xml:space="preserve"> </w:t>
            </w:r>
          </w:p>
          <w:p w14:paraId="1523A63B" w14:textId="77777777" w:rsidR="002D6795" w:rsidRPr="00A64FD4" w:rsidRDefault="002D6795" w:rsidP="002D6795">
            <w:pPr>
              <w:pStyle w:val="naisc"/>
              <w:spacing w:before="0" w:after="0"/>
              <w:jc w:val="both"/>
              <w:rPr>
                <w:b/>
              </w:rPr>
            </w:pPr>
          </w:p>
        </w:tc>
        <w:tc>
          <w:tcPr>
            <w:tcW w:w="3811" w:type="dxa"/>
            <w:gridSpan w:val="2"/>
            <w:tcBorders>
              <w:top w:val="single" w:sz="4" w:space="0" w:color="auto"/>
              <w:left w:val="single" w:sz="4" w:space="0" w:color="auto"/>
              <w:bottom w:val="single" w:sz="4" w:space="0" w:color="auto"/>
            </w:tcBorders>
          </w:tcPr>
          <w:p w14:paraId="13ACE713" w14:textId="2BF6DF5C" w:rsidR="002D6795" w:rsidRDefault="002D6795" w:rsidP="002D6795">
            <w:pPr>
              <w:spacing w:after="0"/>
              <w:rPr>
                <w:rFonts w:ascii="Times New Roman" w:hAnsi="Times New Roman" w:cs="Times New Roman"/>
              </w:rPr>
            </w:pPr>
            <w:r>
              <w:rPr>
                <w:rFonts w:ascii="Times New Roman" w:hAnsi="Times New Roman" w:cs="Times New Roman"/>
              </w:rPr>
              <w:t>Jautājums tiks izskatīts Latvijas Tirdzniecības un rūpniecības kameras Pakalpojumu padomes sēdē</w:t>
            </w:r>
          </w:p>
        </w:tc>
      </w:tr>
      <w:tr w:rsidR="002D6795" w:rsidRPr="00E9266E" w14:paraId="60A6BD61" w14:textId="77777777" w:rsidTr="000E154C">
        <w:tc>
          <w:tcPr>
            <w:tcW w:w="451" w:type="dxa"/>
            <w:tcBorders>
              <w:top w:val="single" w:sz="4" w:space="0" w:color="auto"/>
              <w:left w:val="single" w:sz="4" w:space="0" w:color="auto"/>
              <w:bottom w:val="single" w:sz="4" w:space="0" w:color="auto"/>
              <w:right w:val="single" w:sz="4" w:space="0" w:color="auto"/>
            </w:tcBorders>
          </w:tcPr>
          <w:p w14:paraId="154F3E8B" w14:textId="77777777" w:rsidR="002D6795" w:rsidRPr="00E9266E" w:rsidRDefault="002D6795" w:rsidP="002D6795">
            <w:pPr>
              <w:pStyle w:val="naisc"/>
              <w:numPr>
                <w:ilvl w:val="0"/>
                <w:numId w:val="17"/>
              </w:numPr>
              <w:spacing w:before="0" w:after="0"/>
              <w:ind w:left="0" w:firstLine="0"/>
              <w:rPr>
                <w:sz w:val="22"/>
                <w:szCs w:val="22"/>
              </w:rPr>
            </w:pPr>
          </w:p>
        </w:tc>
        <w:tc>
          <w:tcPr>
            <w:tcW w:w="3184" w:type="dxa"/>
            <w:gridSpan w:val="2"/>
            <w:tcBorders>
              <w:top w:val="single" w:sz="4" w:space="0" w:color="auto"/>
              <w:left w:val="single" w:sz="4" w:space="0" w:color="auto"/>
              <w:bottom w:val="single" w:sz="4" w:space="0" w:color="auto"/>
              <w:right w:val="single" w:sz="4" w:space="0" w:color="auto"/>
            </w:tcBorders>
          </w:tcPr>
          <w:p w14:paraId="1C1F0761" w14:textId="77777777" w:rsidR="002D6795" w:rsidRPr="00E9266E" w:rsidRDefault="002D6795" w:rsidP="002D6795">
            <w:pPr>
              <w:pStyle w:val="ColorfulList-Accent11"/>
              <w:spacing w:before="0" w:line="240" w:lineRule="auto"/>
              <w:ind w:left="12"/>
              <w:jc w:val="both"/>
              <w:rPr>
                <w:rFonts w:ascii="Times New Roman" w:hAnsi="Times New Roman"/>
                <w:sz w:val="22"/>
                <w:szCs w:val="22"/>
              </w:rPr>
            </w:pPr>
          </w:p>
        </w:tc>
        <w:tc>
          <w:tcPr>
            <w:tcW w:w="3776" w:type="dxa"/>
            <w:tcBorders>
              <w:top w:val="single" w:sz="4" w:space="0" w:color="auto"/>
              <w:left w:val="single" w:sz="4" w:space="0" w:color="auto"/>
              <w:bottom w:val="single" w:sz="4" w:space="0" w:color="auto"/>
              <w:right w:val="single" w:sz="4" w:space="0" w:color="auto"/>
            </w:tcBorders>
          </w:tcPr>
          <w:p w14:paraId="3C6AAA76" w14:textId="77777777"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eastAsia="Times New Roman" w:hAnsi="Times New Roman" w:cs="Times New Roman"/>
                <w:b/>
                <w:bCs/>
                <w:lang w:eastAsia="lv-LV"/>
              </w:rPr>
              <w:t>Latvijas Tirdzniecības un rūpniecības kamera, Latvijas Informācijas un komunikācijas tehnoloģiju asociāciju</w:t>
            </w:r>
          </w:p>
          <w:p w14:paraId="6D6AE682" w14:textId="631A495B"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hAnsi="Times New Roman" w:cs="Times New Roman"/>
              </w:rPr>
              <w:t xml:space="preserve">Viena no problēmām datu atvēršanā ir atvērto datu kopu stabila, regulāra pieejamība. Šobrīd datu publicētāju noteiktā publicēšanas regularitāte netiek ievērota, līdz ar to uz neregulāru datu publicēšanu balstīt komercializējamu </w:t>
            </w:r>
            <w:r w:rsidRPr="00E33A06">
              <w:rPr>
                <w:rFonts w:ascii="Times New Roman" w:hAnsi="Times New Roman" w:cs="Times New Roman"/>
              </w:rPr>
              <w:lastRenderedPageBreak/>
              <w:t>pakalpojumu nevar, jo privātais sektors nevar nodrošināt servisa stabilitāti. Kā VARAM plāno nodrošināt šo nākotnē, stratēģijā šobrīd tas nav atrunāts, bet šis ir ārkārtīgi svarīgi uzņēmējiem, kas vēlas izmantot datus pakalpojuma izveidē.</w:t>
            </w:r>
          </w:p>
        </w:tc>
        <w:tc>
          <w:tcPr>
            <w:tcW w:w="4355" w:type="dxa"/>
            <w:tcBorders>
              <w:top w:val="single" w:sz="4" w:space="0" w:color="auto"/>
              <w:left w:val="single" w:sz="4" w:space="0" w:color="auto"/>
              <w:bottom w:val="single" w:sz="4" w:space="0" w:color="auto"/>
              <w:right w:val="single" w:sz="4" w:space="0" w:color="auto"/>
            </w:tcBorders>
            <w:shd w:val="clear" w:color="auto" w:fill="auto"/>
          </w:tcPr>
          <w:p w14:paraId="23DF757D" w14:textId="77777777" w:rsidR="002D6795" w:rsidRDefault="002D6795" w:rsidP="002D6795">
            <w:pPr>
              <w:pStyle w:val="naisc"/>
              <w:spacing w:before="0" w:after="0"/>
              <w:jc w:val="both"/>
              <w:rPr>
                <w:b/>
                <w:sz w:val="22"/>
                <w:szCs w:val="22"/>
              </w:rPr>
            </w:pPr>
            <w:r w:rsidRPr="00A64FD4">
              <w:rPr>
                <w:b/>
              </w:rPr>
              <w:lastRenderedPageBreak/>
              <w:t xml:space="preserve">Starpinstitūciju </w:t>
            </w:r>
            <w:r>
              <w:rPr>
                <w:b/>
              </w:rPr>
              <w:t>saskaņošanas sanāksmē 04.06.2019</w:t>
            </w:r>
            <w:r w:rsidRPr="00A64FD4">
              <w:rPr>
                <w:b/>
              </w:rPr>
              <w:t>.  panākta vienošanās</w:t>
            </w:r>
            <w:r w:rsidRPr="00352F2B">
              <w:t xml:space="preserve"> </w:t>
            </w:r>
          </w:p>
          <w:p w14:paraId="3919F400" w14:textId="77777777" w:rsidR="002D6795" w:rsidRPr="00A64FD4" w:rsidRDefault="002D6795" w:rsidP="002D6795">
            <w:pPr>
              <w:pStyle w:val="naisc"/>
              <w:spacing w:before="0" w:after="0"/>
              <w:jc w:val="both"/>
              <w:rPr>
                <w:b/>
              </w:rPr>
            </w:pPr>
          </w:p>
        </w:tc>
        <w:tc>
          <w:tcPr>
            <w:tcW w:w="3811" w:type="dxa"/>
            <w:gridSpan w:val="2"/>
            <w:tcBorders>
              <w:top w:val="single" w:sz="4" w:space="0" w:color="auto"/>
              <w:left w:val="single" w:sz="4" w:space="0" w:color="auto"/>
              <w:bottom w:val="single" w:sz="4" w:space="0" w:color="auto"/>
            </w:tcBorders>
          </w:tcPr>
          <w:p w14:paraId="33B277B2" w14:textId="13D7CE8E" w:rsidR="002D6795" w:rsidRDefault="002D6795" w:rsidP="002D6795">
            <w:pPr>
              <w:spacing w:after="0"/>
              <w:rPr>
                <w:rFonts w:ascii="Times New Roman" w:hAnsi="Times New Roman" w:cs="Times New Roman"/>
              </w:rPr>
            </w:pPr>
            <w:r>
              <w:rPr>
                <w:rFonts w:ascii="Times New Roman" w:hAnsi="Times New Roman" w:cs="Times New Roman"/>
              </w:rPr>
              <w:t>Jautājums tiks izskatīts Latvijas Tirdzniecības un rūpniecības kameras Pakalpojumu padomes sēdē</w:t>
            </w:r>
          </w:p>
        </w:tc>
      </w:tr>
      <w:tr w:rsidR="002D6795" w:rsidRPr="00E9266E" w14:paraId="747D4A7F" w14:textId="77777777" w:rsidTr="000E154C">
        <w:tc>
          <w:tcPr>
            <w:tcW w:w="451" w:type="dxa"/>
            <w:tcBorders>
              <w:top w:val="single" w:sz="4" w:space="0" w:color="auto"/>
              <w:left w:val="single" w:sz="4" w:space="0" w:color="auto"/>
              <w:bottom w:val="single" w:sz="4" w:space="0" w:color="auto"/>
              <w:right w:val="single" w:sz="4" w:space="0" w:color="auto"/>
            </w:tcBorders>
          </w:tcPr>
          <w:p w14:paraId="2D39E632" w14:textId="77777777" w:rsidR="002D6795" w:rsidRPr="00E9266E" w:rsidRDefault="002D6795" w:rsidP="002D6795">
            <w:pPr>
              <w:pStyle w:val="naisc"/>
              <w:numPr>
                <w:ilvl w:val="0"/>
                <w:numId w:val="17"/>
              </w:numPr>
              <w:spacing w:before="0" w:after="0"/>
              <w:ind w:left="0" w:firstLine="0"/>
              <w:rPr>
                <w:sz w:val="22"/>
                <w:szCs w:val="22"/>
              </w:rPr>
            </w:pPr>
          </w:p>
        </w:tc>
        <w:tc>
          <w:tcPr>
            <w:tcW w:w="3184" w:type="dxa"/>
            <w:gridSpan w:val="2"/>
            <w:tcBorders>
              <w:top w:val="single" w:sz="4" w:space="0" w:color="auto"/>
              <w:left w:val="single" w:sz="4" w:space="0" w:color="auto"/>
              <w:bottom w:val="single" w:sz="4" w:space="0" w:color="auto"/>
              <w:right w:val="single" w:sz="4" w:space="0" w:color="auto"/>
            </w:tcBorders>
          </w:tcPr>
          <w:p w14:paraId="2140CC9B" w14:textId="77777777" w:rsidR="002D6795" w:rsidRPr="00E9266E" w:rsidRDefault="002D6795" w:rsidP="002D6795">
            <w:pPr>
              <w:pStyle w:val="ColorfulList-Accent11"/>
              <w:spacing w:before="0" w:line="240" w:lineRule="auto"/>
              <w:ind w:left="12"/>
              <w:jc w:val="both"/>
              <w:rPr>
                <w:rFonts w:ascii="Times New Roman" w:hAnsi="Times New Roman"/>
                <w:sz w:val="22"/>
                <w:szCs w:val="22"/>
              </w:rPr>
            </w:pPr>
          </w:p>
        </w:tc>
        <w:tc>
          <w:tcPr>
            <w:tcW w:w="3776" w:type="dxa"/>
            <w:tcBorders>
              <w:top w:val="single" w:sz="4" w:space="0" w:color="auto"/>
              <w:left w:val="single" w:sz="4" w:space="0" w:color="auto"/>
              <w:bottom w:val="single" w:sz="4" w:space="0" w:color="auto"/>
              <w:right w:val="single" w:sz="4" w:space="0" w:color="auto"/>
            </w:tcBorders>
          </w:tcPr>
          <w:p w14:paraId="6474870D" w14:textId="77777777"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eastAsia="Times New Roman" w:hAnsi="Times New Roman" w:cs="Times New Roman"/>
                <w:b/>
                <w:bCs/>
                <w:lang w:eastAsia="lv-LV"/>
              </w:rPr>
              <w:t>Latvijas Tirdzniecības un rūpniecības kamera, Latvijas Informācijas un komunikācijas tehnoloģiju asociāciju</w:t>
            </w:r>
          </w:p>
          <w:p w14:paraId="4DF611E0" w14:textId="656DE07A"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hAnsi="Times New Roman" w:cs="Times New Roman"/>
              </w:rPr>
              <w:t>Šobrīd galvenais akcents likts uz datu atvēršanu, prinicps “atvērts pēc noklusējuma” ievērošanu, tomēr būtu jārunā par abiem terminiem  - proti, atkalizmantošana un datu atvēršana. Atkalizmantošanas princips ir svarīgs, jo kaut arī valsts iestāde šajā gadījumā nenodrošina bez maksas datu atvēršanu, tomēr komersants, samaksājot atkalizmantošanas licences maksu un noslēdzot līgumu, var prognozēt un prasīt stabilitāti datu piegādē, kas komercializējamam pakalpojumam ir būtisks priekšnoteikums. Ierosinājums būtu gan stratēģijā, gan rīcības plānā izdalīt atsevišķi datu atvēršanu un datu atkalizmantošanu.</w:t>
            </w:r>
          </w:p>
        </w:tc>
        <w:tc>
          <w:tcPr>
            <w:tcW w:w="4355" w:type="dxa"/>
            <w:tcBorders>
              <w:top w:val="single" w:sz="4" w:space="0" w:color="auto"/>
              <w:left w:val="single" w:sz="4" w:space="0" w:color="auto"/>
              <w:bottom w:val="single" w:sz="4" w:space="0" w:color="auto"/>
              <w:right w:val="single" w:sz="4" w:space="0" w:color="auto"/>
            </w:tcBorders>
            <w:shd w:val="clear" w:color="auto" w:fill="auto"/>
          </w:tcPr>
          <w:p w14:paraId="15E4398B" w14:textId="77777777" w:rsidR="002D6795" w:rsidRDefault="002D6795" w:rsidP="002D6795">
            <w:pPr>
              <w:pStyle w:val="naisc"/>
              <w:spacing w:before="0" w:after="0"/>
              <w:jc w:val="both"/>
              <w:rPr>
                <w:b/>
                <w:sz w:val="22"/>
                <w:szCs w:val="22"/>
              </w:rPr>
            </w:pPr>
            <w:r w:rsidRPr="00A64FD4">
              <w:rPr>
                <w:b/>
              </w:rPr>
              <w:t xml:space="preserve">Starpinstitūciju </w:t>
            </w:r>
            <w:r>
              <w:rPr>
                <w:b/>
              </w:rPr>
              <w:t>saskaņošanas sanāksmē 04.06.2019</w:t>
            </w:r>
            <w:r w:rsidRPr="00A64FD4">
              <w:rPr>
                <w:b/>
              </w:rPr>
              <w:t>.  panākta vienošanās</w:t>
            </w:r>
            <w:r w:rsidRPr="00352F2B">
              <w:t xml:space="preserve"> </w:t>
            </w:r>
          </w:p>
          <w:p w14:paraId="7418A7B9" w14:textId="77777777" w:rsidR="002D6795" w:rsidRPr="00A64FD4" w:rsidRDefault="002D6795" w:rsidP="002D6795">
            <w:pPr>
              <w:pStyle w:val="naisc"/>
              <w:spacing w:before="0" w:after="0"/>
              <w:jc w:val="both"/>
              <w:rPr>
                <w:b/>
              </w:rPr>
            </w:pPr>
          </w:p>
        </w:tc>
        <w:tc>
          <w:tcPr>
            <w:tcW w:w="3811" w:type="dxa"/>
            <w:gridSpan w:val="2"/>
            <w:tcBorders>
              <w:top w:val="single" w:sz="4" w:space="0" w:color="auto"/>
              <w:left w:val="single" w:sz="4" w:space="0" w:color="auto"/>
              <w:bottom w:val="single" w:sz="4" w:space="0" w:color="auto"/>
            </w:tcBorders>
          </w:tcPr>
          <w:p w14:paraId="70E74CE1" w14:textId="3ADC6AA8" w:rsidR="002D6795" w:rsidRDefault="002D6795" w:rsidP="002D6795">
            <w:pPr>
              <w:spacing w:after="0"/>
              <w:rPr>
                <w:rFonts w:ascii="Times New Roman" w:hAnsi="Times New Roman" w:cs="Times New Roman"/>
              </w:rPr>
            </w:pPr>
            <w:r>
              <w:rPr>
                <w:rFonts w:ascii="Times New Roman" w:hAnsi="Times New Roman" w:cs="Times New Roman"/>
              </w:rPr>
              <w:t>Jautājums tiks izskatīts Latvijas Tirdzniecības un rūpniecības kameras Pakalpojumu padomes sēdē</w:t>
            </w:r>
          </w:p>
        </w:tc>
      </w:tr>
      <w:tr w:rsidR="002D6795" w:rsidRPr="00E9266E" w14:paraId="367E3D02" w14:textId="77777777" w:rsidTr="000E154C">
        <w:tc>
          <w:tcPr>
            <w:tcW w:w="451" w:type="dxa"/>
            <w:tcBorders>
              <w:top w:val="single" w:sz="4" w:space="0" w:color="auto"/>
              <w:left w:val="single" w:sz="4" w:space="0" w:color="auto"/>
              <w:bottom w:val="single" w:sz="4" w:space="0" w:color="auto"/>
              <w:right w:val="single" w:sz="4" w:space="0" w:color="auto"/>
            </w:tcBorders>
          </w:tcPr>
          <w:p w14:paraId="26105CCB" w14:textId="77777777" w:rsidR="002D6795" w:rsidRPr="00E9266E" w:rsidRDefault="002D6795" w:rsidP="002D6795">
            <w:pPr>
              <w:pStyle w:val="naisc"/>
              <w:numPr>
                <w:ilvl w:val="0"/>
                <w:numId w:val="17"/>
              </w:numPr>
              <w:spacing w:before="0" w:after="0"/>
              <w:ind w:left="0" w:firstLine="0"/>
              <w:rPr>
                <w:sz w:val="22"/>
                <w:szCs w:val="22"/>
              </w:rPr>
            </w:pPr>
          </w:p>
        </w:tc>
        <w:tc>
          <w:tcPr>
            <w:tcW w:w="3184" w:type="dxa"/>
            <w:gridSpan w:val="2"/>
            <w:tcBorders>
              <w:top w:val="single" w:sz="4" w:space="0" w:color="auto"/>
              <w:left w:val="single" w:sz="4" w:space="0" w:color="auto"/>
              <w:bottom w:val="single" w:sz="4" w:space="0" w:color="auto"/>
              <w:right w:val="single" w:sz="4" w:space="0" w:color="auto"/>
            </w:tcBorders>
          </w:tcPr>
          <w:p w14:paraId="5CC48C6B" w14:textId="77777777" w:rsidR="002D6795" w:rsidRPr="00E9266E" w:rsidRDefault="002D6795" w:rsidP="002D6795">
            <w:pPr>
              <w:pStyle w:val="ColorfulList-Accent11"/>
              <w:spacing w:before="0" w:line="240" w:lineRule="auto"/>
              <w:ind w:left="12"/>
              <w:jc w:val="both"/>
              <w:rPr>
                <w:rFonts w:ascii="Times New Roman" w:hAnsi="Times New Roman"/>
                <w:sz w:val="22"/>
                <w:szCs w:val="22"/>
              </w:rPr>
            </w:pPr>
          </w:p>
        </w:tc>
        <w:tc>
          <w:tcPr>
            <w:tcW w:w="3776" w:type="dxa"/>
            <w:tcBorders>
              <w:top w:val="single" w:sz="4" w:space="0" w:color="auto"/>
              <w:left w:val="single" w:sz="4" w:space="0" w:color="auto"/>
              <w:bottom w:val="single" w:sz="4" w:space="0" w:color="auto"/>
              <w:right w:val="single" w:sz="4" w:space="0" w:color="auto"/>
            </w:tcBorders>
          </w:tcPr>
          <w:p w14:paraId="23F74D2B" w14:textId="77777777"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eastAsia="Times New Roman" w:hAnsi="Times New Roman" w:cs="Times New Roman"/>
                <w:b/>
                <w:bCs/>
                <w:lang w:eastAsia="lv-LV"/>
              </w:rPr>
              <w:t>Latvijas Tirdzniecības un rūpniecības kamera, Latvijas Informācijas un komunikācijas tehnoloģiju asociāciju</w:t>
            </w:r>
          </w:p>
          <w:p w14:paraId="7B4BD94E" w14:textId="6158437C"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hAnsi="Times New Roman" w:cs="Times New Roman"/>
              </w:rPr>
              <w:t xml:space="preserve">Stratēģijā un rīcības plānā šobrīd nav atrunāti datu anonimizācijas  jautājumi.  Lai notiktu datu apmaiņa starp valsts pārvaldi, neatkarīgi no tā vai dati tiek/netiek atvērti, anonimizācija tāpat ir jānodrošina, līdz ar to, šobrīd plaši izmantotā atruna, ka tam nepieciešami </w:t>
            </w:r>
            <w:r w:rsidRPr="00E33A06">
              <w:rPr>
                <w:rFonts w:ascii="Times New Roman" w:hAnsi="Times New Roman" w:cs="Times New Roman"/>
              </w:rPr>
              <w:lastRenderedPageBreak/>
              <w:t>būtiski valsts budžeta līdzekļi, nav pamatota. Šis jautājums jau stratēģijā būtu jāatrunā.</w:t>
            </w:r>
          </w:p>
        </w:tc>
        <w:tc>
          <w:tcPr>
            <w:tcW w:w="4355" w:type="dxa"/>
            <w:tcBorders>
              <w:top w:val="single" w:sz="4" w:space="0" w:color="auto"/>
              <w:left w:val="single" w:sz="4" w:space="0" w:color="auto"/>
              <w:bottom w:val="single" w:sz="4" w:space="0" w:color="auto"/>
              <w:right w:val="single" w:sz="4" w:space="0" w:color="auto"/>
            </w:tcBorders>
            <w:shd w:val="clear" w:color="auto" w:fill="auto"/>
          </w:tcPr>
          <w:p w14:paraId="7CC4AF44" w14:textId="77777777" w:rsidR="002D6795" w:rsidRDefault="002D6795" w:rsidP="002D6795">
            <w:pPr>
              <w:pStyle w:val="naisc"/>
              <w:spacing w:before="0" w:after="0"/>
              <w:jc w:val="both"/>
              <w:rPr>
                <w:b/>
                <w:sz w:val="22"/>
                <w:szCs w:val="22"/>
              </w:rPr>
            </w:pPr>
            <w:r w:rsidRPr="00A64FD4">
              <w:rPr>
                <w:b/>
              </w:rPr>
              <w:lastRenderedPageBreak/>
              <w:t xml:space="preserve">Starpinstitūciju </w:t>
            </w:r>
            <w:r>
              <w:rPr>
                <w:b/>
              </w:rPr>
              <w:t>saskaņošanas sanāksmē 04.06.2019</w:t>
            </w:r>
            <w:r w:rsidRPr="00A64FD4">
              <w:rPr>
                <w:b/>
              </w:rPr>
              <w:t>.  panākta vienošanās</w:t>
            </w:r>
            <w:r w:rsidRPr="00352F2B">
              <w:t xml:space="preserve"> </w:t>
            </w:r>
          </w:p>
          <w:p w14:paraId="27DC8FE1" w14:textId="77777777" w:rsidR="002D6795" w:rsidRPr="00A64FD4" w:rsidRDefault="002D6795" w:rsidP="002D6795">
            <w:pPr>
              <w:pStyle w:val="naisc"/>
              <w:spacing w:before="0" w:after="0"/>
              <w:jc w:val="both"/>
              <w:rPr>
                <w:b/>
              </w:rPr>
            </w:pPr>
          </w:p>
        </w:tc>
        <w:tc>
          <w:tcPr>
            <w:tcW w:w="3811" w:type="dxa"/>
            <w:gridSpan w:val="2"/>
            <w:tcBorders>
              <w:top w:val="single" w:sz="4" w:space="0" w:color="auto"/>
              <w:left w:val="single" w:sz="4" w:space="0" w:color="auto"/>
              <w:bottom w:val="single" w:sz="4" w:space="0" w:color="auto"/>
            </w:tcBorders>
          </w:tcPr>
          <w:p w14:paraId="53887F08" w14:textId="1F5C989E" w:rsidR="002D6795" w:rsidRDefault="002D6795" w:rsidP="002D6795">
            <w:pPr>
              <w:spacing w:after="0"/>
              <w:rPr>
                <w:rFonts w:ascii="Times New Roman" w:hAnsi="Times New Roman" w:cs="Times New Roman"/>
              </w:rPr>
            </w:pPr>
            <w:r>
              <w:rPr>
                <w:rFonts w:ascii="Times New Roman" w:hAnsi="Times New Roman" w:cs="Times New Roman"/>
              </w:rPr>
              <w:t>Jautājums tiks izskatīts Latvijas Tirdzniecības un rūpniecības kameras Pakalpojumu padomes sēdē</w:t>
            </w:r>
          </w:p>
        </w:tc>
      </w:tr>
      <w:tr w:rsidR="002D6795" w:rsidRPr="00E9266E" w14:paraId="5E114653" w14:textId="77777777" w:rsidTr="000E154C">
        <w:tc>
          <w:tcPr>
            <w:tcW w:w="451" w:type="dxa"/>
            <w:tcBorders>
              <w:top w:val="single" w:sz="4" w:space="0" w:color="auto"/>
              <w:left w:val="single" w:sz="4" w:space="0" w:color="auto"/>
              <w:bottom w:val="single" w:sz="4" w:space="0" w:color="auto"/>
              <w:right w:val="single" w:sz="4" w:space="0" w:color="auto"/>
            </w:tcBorders>
          </w:tcPr>
          <w:p w14:paraId="76FF450D" w14:textId="77777777" w:rsidR="002D6795" w:rsidRPr="00E9266E" w:rsidRDefault="002D6795" w:rsidP="002D6795">
            <w:pPr>
              <w:pStyle w:val="naisc"/>
              <w:numPr>
                <w:ilvl w:val="0"/>
                <w:numId w:val="17"/>
              </w:numPr>
              <w:spacing w:before="0" w:after="0"/>
              <w:ind w:left="0" w:firstLine="0"/>
              <w:rPr>
                <w:sz w:val="22"/>
                <w:szCs w:val="22"/>
              </w:rPr>
            </w:pPr>
          </w:p>
        </w:tc>
        <w:tc>
          <w:tcPr>
            <w:tcW w:w="3184" w:type="dxa"/>
            <w:gridSpan w:val="2"/>
            <w:tcBorders>
              <w:top w:val="single" w:sz="4" w:space="0" w:color="auto"/>
              <w:left w:val="single" w:sz="4" w:space="0" w:color="auto"/>
              <w:bottom w:val="single" w:sz="4" w:space="0" w:color="auto"/>
              <w:right w:val="single" w:sz="4" w:space="0" w:color="auto"/>
            </w:tcBorders>
          </w:tcPr>
          <w:p w14:paraId="3A08FB62" w14:textId="77777777" w:rsidR="002D6795" w:rsidRPr="00E9266E" w:rsidRDefault="002D6795" w:rsidP="002D6795">
            <w:pPr>
              <w:pStyle w:val="ColorfulList-Accent11"/>
              <w:spacing w:before="0" w:line="240" w:lineRule="auto"/>
              <w:ind w:left="12"/>
              <w:jc w:val="both"/>
              <w:rPr>
                <w:rFonts w:ascii="Times New Roman" w:hAnsi="Times New Roman"/>
                <w:sz w:val="22"/>
                <w:szCs w:val="22"/>
              </w:rPr>
            </w:pPr>
          </w:p>
        </w:tc>
        <w:tc>
          <w:tcPr>
            <w:tcW w:w="3776" w:type="dxa"/>
            <w:tcBorders>
              <w:top w:val="single" w:sz="4" w:space="0" w:color="auto"/>
              <w:left w:val="single" w:sz="4" w:space="0" w:color="auto"/>
              <w:bottom w:val="single" w:sz="4" w:space="0" w:color="auto"/>
              <w:right w:val="single" w:sz="4" w:space="0" w:color="auto"/>
            </w:tcBorders>
          </w:tcPr>
          <w:p w14:paraId="7FA0BAB1" w14:textId="77777777"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eastAsia="Times New Roman" w:hAnsi="Times New Roman" w:cs="Times New Roman"/>
                <w:b/>
                <w:bCs/>
                <w:lang w:eastAsia="lv-LV"/>
              </w:rPr>
              <w:t>Latvijas Tirdzniecības un rūpniecības kamera, Latvijas Informācijas un komunikācijas tehnoloģiju asociāciju</w:t>
            </w:r>
          </w:p>
          <w:p w14:paraId="05A0BB97" w14:textId="54271548"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hAnsi="Times New Roman" w:cs="Times New Roman"/>
              </w:rPr>
              <w:t>Ņemot vērā to, ka VIRSIS sistēmas darbība plānota no 01.10.2019., ierosinājums Rīcības plāna 3.p. paredzētajam uzdevumam noteikt termiņu 2020.gada vidus. LTRK un LIKTA skatījumā šī uzdevuma izpildei 8 mēnešu periods ir pietiekams laiks.</w:t>
            </w:r>
          </w:p>
        </w:tc>
        <w:tc>
          <w:tcPr>
            <w:tcW w:w="4355" w:type="dxa"/>
            <w:tcBorders>
              <w:top w:val="single" w:sz="4" w:space="0" w:color="auto"/>
              <w:left w:val="single" w:sz="4" w:space="0" w:color="auto"/>
              <w:bottom w:val="single" w:sz="4" w:space="0" w:color="auto"/>
              <w:right w:val="single" w:sz="4" w:space="0" w:color="auto"/>
            </w:tcBorders>
            <w:shd w:val="clear" w:color="auto" w:fill="auto"/>
          </w:tcPr>
          <w:p w14:paraId="3697058D" w14:textId="77777777" w:rsidR="002D6795" w:rsidRDefault="002D6795" w:rsidP="002D6795">
            <w:pPr>
              <w:pStyle w:val="naisc"/>
              <w:spacing w:before="0" w:after="0"/>
              <w:jc w:val="both"/>
              <w:rPr>
                <w:b/>
                <w:sz w:val="22"/>
                <w:szCs w:val="22"/>
              </w:rPr>
            </w:pPr>
            <w:r w:rsidRPr="00A64FD4">
              <w:rPr>
                <w:b/>
              </w:rPr>
              <w:t xml:space="preserve">Starpinstitūciju </w:t>
            </w:r>
            <w:r>
              <w:rPr>
                <w:b/>
              </w:rPr>
              <w:t>saskaņošanas sanāksmē 04.06.2019</w:t>
            </w:r>
            <w:r w:rsidRPr="00A64FD4">
              <w:rPr>
                <w:b/>
              </w:rPr>
              <w:t>.  panākta vienošanās</w:t>
            </w:r>
            <w:r w:rsidRPr="00352F2B">
              <w:t xml:space="preserve"> </w:t>
            </w:r>
          </w:p>
          <w:p w14:paraId="0249534C" w14:textId="77777777" w:rsidR="002D6795" w:rsidRPr="00A64FD4" w:rsidRDefault="002D6795" w:rsidP="002D6795">
            <w:pPr>
              <w:pStyle w:val="naisc"/>
              <w:spacing w:before="0" w:after="0"/>
              <w:jc w:val="both"/>
              <w:rPr>
                <w:b/>
              </w:rPr>
            </w:pPr>
          </w:p>
        </w:tc>
        <w:tc>
          <w:tcPr>
            <w:tcW w:w="3811" w:type="dxa"/>
            <w:gridSpan w:val="2"/>
            <w:tcBorders>
              <w:top w:val="single" w:sz="4" w:space="0" w:color="auto"/>
              <w:left w:val="single" w:sz="4" w:space="0" w:color="auto"/>
              <w:bottom w:val="single" w:sz="4" w:space="0" w:color="auto"/>
            </w:tcBorders>
          </w:tcPr>
          <w:p w14:paraId="520D2A01" w14:textId="1799F73D" w:rsidR="002D6795" w:rsidRDefault="002D6795" w:rsidP="002D6795">
            <w:pPr>
              <w:spacing w:after="0"/>
              <w:rPr>
                <w:rFonts w:ascii="Times New Roman" w:hAnsi="Times New Roman" w:cs="Times New Roman"/>
              </w:rPr>
            </w:pPr>
            <w:r>
              <w:rPr>
                <w:rFonts w:ascii="Times New Roman" w:hAnsi="Times New Roman" w:cs="Times New Roman"/>
              </w:rPr>
              <w:t>Jautājums tiks izskatīts Latvijas Tirdzniecības un rūpniecības kameras Pakalpojumu padomes sēdē</w:t>
            </w:r>
          </w:p>
        </w:tc>
      </w:tr>
      <w:tr w:rsidR="002D6795" w:rsidRPr="00E9266E" w14:paraId="4FEC562C" w14:textId="77777777" w:rsidTr="000E154C">
        <w:tc>
          <w:tcPr>
            <w:tcW w:w="451" w:type="dxa"/>
            <w:tcBorders>
              <w:top w:val="single" w:sz="4" w:space="0" w:color="auto"/>
              <w:left w:val="single" w:sz="4" w:space="0" w:color="auto"/>
              <w:bottom w:val="single" w:sz="4" w:space="0" w:color="auto"/>
              <w:right w:val="single" w:sz="4" w:space="0" w:color="auto"/>
            </w:tcBorders>
          </w:tcPr>
          <w:p w14:paraId="25A223D2" w14:textId="77777777" w:rsidR="002D6795" w:rsidRPr="00E9266E" w:rsidRDefault="002D6795" w:rsidP="002D6795">
            <w:pPr>
              <w:pStyle w:val="naisc"/>
              <w:numPr>
                <w:ilvl w:val="0"/>
                <w:numId w:val="17"/>
              </w:numPr>
              <w:spacing w:before="0" w:after="0"/>
              <w:ind w:left="0" w:firstLine="0"/>
              <w:rPr>
                <w:sz w:val="22"/>
                <w:szCs w:val="22"/>
              </w:rPr>
            </w:pPr>
          </w:p>
        </w:tc>
        <w:tc>
          <w:tcPr>
            <w:tcW w:w="3184" w:type="dxa"/>
            <w:gridSpan w:val="2"/>
            <w:tcBorders>
              <w:top w:val="single" w:sz="4" w:space="0" w:color="auto"/>
              <w:left w:val="single" w:sz="4" w:space="0" w:color="auto"/>
              <w:bottom w:val="single" w:sz="4" w:space="0" w:color="auto"/>
              <w:right w:val="single" w:sz="4" w:space="0" w:color="auto"/>
            </w:tcBorders>
          </w:tcPr>
          <w:p w14:paraId="5844FC3D" w14:textId="77777777" w:rsidR="002D6795" w:rsidRPr="00E9266E" w:rsidRDefault="002D6795" w:rsidP="002D6795">
            <w:pPr>
              <w:pStyle w:val="ColorfulList-Accent11"/>
              <w:spacing w:before="0" w:line="240" w:lineRule="auto"/>
              <w:ind w:left="12"/>
              <w:jc w:val="both"/>
              <w:rPr>
                <w:rFonts w:ascii="Times New Roman" w:hAnsi="Times New Roman"/>
                <w:sz w:val="22"/>
                <w:szCs w:val="22"/>
              </w:rPr>
            </w:pPr>
          </w:p>
        </w:tc>
        <w:tc>
          <w:tcPr>
            <w:tcW w:w="3776" w:type="dxa"/>
            <w:tcBorders>
              <w:top w:val="single" w:sz="4" w:space="0" w:color="auto"/>
              <w:left w:val="single" w:sz="4" w:space="0" w:color="auto"/>
              <w:bottom w:val="single" w:sz="4" w:space="0" w:color="auto"/>
              <w:right w:val="single" w:sz="4" w:space="0" w:color="auto"/>
            </w:tcBorders>
          </w:tcPr>
          <w:p w14:paraId="7E37F4F3" w14:textId="77777777"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eastAsia="Times New Roman" w:hAnsi="Times New Roman" w:cs="Times New Roman"/>
                <w:b/>
                <w:bCs/>
                <w:lang w:eastAsia="lv-LV"/>
              </w:rPr>
              <w:t>Latvijas Tirdzniecības un rūpniecības kamera, Latvijas Informācijas un komunikācijas tehnoloģiju asociāciju</w:t>
            </w:r>
          </w:p>
          <w:p w14:paraId="698D9EE7" w14:textId="43BD0005"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hAnsi="Times New Roman" w:cs="Times New Roman"/>
              </w:rPr>
              <w:t>Šobrīd Rīcības plāna 4.punktu ierosinām sadalīt 2 atsevišķās aktivitātēs un formulēt tos šādi “Atbilstoši VIRSIS identificētajam, izstrādāt katras institūcijas publicēšanas grafiku – atsevišķi nosakot to atvērto datu kopām, atkalizmantojamām datu kopām”, paredzot šī uzdevuma izpildei termiņu 2020.gada beigas. Savukārt otrs uzdevums būtu “Atbilstoši katras institūcijas publicēšanas grafikam: 1)publicēt identificētos datus atvērto datu portālā; 2)nodrošināt atkalizmantojamās datu kopas atkalizmantotājiem” paredzot šī uzdevuma izpildei termiņu 2021.gada beigas.</w:t>
            </w:r>
          </w:p>
        </w:tc>
        <w:tc>
          <w:tcPr>
            <w:tcW w:w="4355" w:type="dxa"/>
            <w:tcBorders>
              <w:top w:val="single" w:sz="4" w:space="0" w:color="auto"/>
              <w:left w:val="single" w:sz="4" w:space="0" w:color="auto"/>
              <w:bottom w:val="single" w:sz="4" w:space="0" w:color="auto"/>
              <w:right w:val="single" w:sz="4" w:space="0" w:color="auto"/>
            </w:tcBorders>
            <w:shd w:val="clear" w:color="auto" w:fill="auto"/>
          </w:tcPr>
          <w:p w14:paraId="6F93F8A6" w14:textId="77777777" w:rsidR="002D6795" w:rsidRDefault="002D6795" w:rsidP="002D6795">
            <w:pPr>
              <w:pStyle w:val="naisc"/>
              <w:spacing w:before="0" w:after="0"/>
              <w:jc w:val="both"/>
              <w:rPr>
                <w:b/>
                <w:sz w:val="22"/>
                <w:szCs w:val="22"/>
              </w:rPr>
            </w:pPr>
            <w:r w:rsidRPr="00A64FD4">
              <w:rPr>
                <w:b/>
              </w:rPr>
              <w:t xml:space="preserve">Starpinstitūciju </w:t>
            </w:r>
            <w:r>
              <w:rPr>
                <w:b/>
              </w:rPr>
              <w:t>saskaņošanas sanāksmē 04.06.2019</w:t>
            </w:r>
            <w:r w:rsidRPr="00A64FD4">
              <w:rPr>
                <w:b/>
              </w:rPr>
              <w:t>.  panākta vienošanās</w:t>
            </w:r>
            <w:r w:rsidRPr="00352F2B">
              <w:t xml:space="preserve"> </w:t>
            </w:r>
          </w:p>
          <w:p w14:paraId="7915EF96" w14:textId="77777777" w:rsidR="002D6795" w:rsidRPr="00A64FD4" w:rsidRDefault="002D6795" w:rsidP="002D6795">
            <w:pPr>
              <w:pStyle w:val="naisc"/>
              <w:spacing w:before="0" w:after="0"/>
              <w:jc w:val="both"/>
              <w:rPr>
                <w:b/>
              </w:rPr>
            </w:pPr>
          </w:p>
        </w:tc>
        <w:tc>
          <w:tcPr>
            <w:tcW w:w="3811" w:type="dxa"/>
            <w:gridSpan w:val="2"/>
            <w:tcBorders>
              <w:top w:val="single" w:sz="4" w:space="0" w:color="auto"/>
              <w:left w:val="single" w:sz="4" w:space="0" w:color="auto"/>
              <w:bottom w:val="single" w:sz="4" w:space="0" w:color="auto"/>
            </w:tcBorders>
          </w:tcPr>
          <w:p w14:paraId="59954E5E" w14:textId="74C7EEAB" w:rsidR="002D6795" w:rsidRDefault="002D6795" w:rsidP="002D6795">
            <w:pPr>
              <w:spacing w:after="0"/>
              <w:rPr>
                <w:rFonts w:ascii="Times New Roman" w:hAnsi="Times New Roman" w:cs="Times New Roman"/>
              </w:rPr>
            </w:pPr>
            <w:r>
              <w:rPr>
                <w:rFonts w:ascii="Times New Roman" w:hAnsi="Times New Roman" w:cs="Times New Roman"/>
              </w:rPr>
              <w:t>Jautājums tiks izskatīts Latvijas Tirdzniecības un rūpniecības kameras Pakalpojumu padomes sēdē</w:t>
            </w:r>
          </w:p>
        </w:tc>
      </w:tr>
      <w:tr w:rsidR="002D6795" w:rsidRPr="00E9266E" w14:paraId="07BA3C5C" w14:textId="77777777" w:rsidTr="000E154C">
        <w:tc>
          <w:tcPr>
            <w:tcW w:w="451" w:type="dxa"/>
            <w:tcBorders>
              <w:top w:val="single" w:sz="4" w:space="0" w:color="auto"/>
              <w:left w:val="single" w:sz="4" w:space="0" w:color="auto"/>
              <w:bottom w:val="single" w:sz="4" w:space="0" w:color="auto"/>
              <w:right w:val="single" w:sz="4" w:space="0" w:color="auto"/>
            </w:tcBorders>
          </w:tcPr>
          <w:p w14:paraId="1B1E6AC3" w14:textId="77777777" w:rsidR="002D6795" w:rsidRPr="00E9266E" w:rsidRDefault="002D6795" w:rsidP="002D6795">
            <w:pPr>
              <w:pStyle w:val="naisc"/>
              <w:numPr>
                <w:ilvl w:val="0"/>
                <w:numId w:val="17"/>
              </w:numPr>
              <w:spacing w:before="0" w:after="0"/>
              <w:ind w:left="0" w:firstLine="0"/>
              <w:rPr>
                <w:sz w:val="22"/>
                <w:szCs w:val="22"/>
              </w:rPr>
            </w:pPr>
          </w:p>
        </w:tc>
        <w:tc>
          <w:tcPr>
            <w:tcW w:w="3184" w:type="dxa"/>
            <w:gridSpan w:val="2"/>
            <w:tcBorders>
              <w:top w:val="single" w:sz="4" w:space="0" w:color="auto"/>
              <w:left w:val="single" w:sz="4" w:space="0" w:color="auto"/>
              <w:bottom w:val="single" w:sz="4" w:space="0" w:color="auto"/>
              <w:right w:val="single" w:sz="4" w:space="0" w:color="auto"/>
            </w:tcBorders>
          </w:tcPr>
          <w:p w14:paraId="78F28A09" w14:textId="77777777" w:rsidR="002D6795" w:rsidRPr="00E9266E" w:rsidRDefault="002D6795" w:rsidP="002D6795">
            <w:pPr>
              <w:pStyle w:val="ColorfulList-Accent11"/>
              <w:spacing w:before="0" w:line="240" w:lineRule="auto"/>
              <w:ind w:left="12"/>
              <w:jc w:val="both"/>
              <w:rPr>
                <w:rFonts w:ascii="Times New Roman" w:hAnsi="Times New Roman"/>
                <w:sz w:val="22"/>
                <w:szCs w:val="22"/>
              </w:rPr>
            </w:pPr>
          </w:p>
        </w:tc>
        <w:tc>
          <w:tcPr>
            <w:tcW w:w="3776" w:type="dxa"/>
            <w:tcBorders>
              <w:top w:val="single" w:sz="4" w:space="0" w:color="auto"/>
              <w:left w:val="single" w:sz="4" w:space="0" w:color="auto"/>
              <w:bottom w:val="single" w:sz="4" w:space="0" w:color="auto"/>
              <w:right w:val="single" w:sz="4" w:space="0" w:color="auto"/>
            </w:tcBorders>
          </w:tcPr>
          <w:p w14:paraId="0EAA4561" w14:textId="77777777"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eastAsia="Times New Roman" w:hAnsi="Times New Roman" w:cs="Times New Roman"/>
                <w:b/>
                <w:bCs/>
                <w:lang w:eastAsia="lv-LV"/>
              </w:rPr>
              <w:t>Latvijas Tirdzniecības un rūpniecības kamera, Latvijas Informācijas un komunikācijas tehnoloģiju asociāciju</w:t>
            </w:r>
          </w:p>
          <w:p w14:paraId="0BA67B40" w14:textId="3534574E"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hAnsi="Times New Roman" w:cs="Times New Roman"/>
              </w:rPr>
              <w:lastRenderedPageBreak/>
              <w:t>Noteikt Rīcības plāna 6.p. norādītajam uzdevumam termiņu ne vēlāk kā 2020.gada vidus, jo VARAM lomai un lielākam pilnvaru apjomam, lai īstenotu stratēģijā noteikto, ir izšķiroša nozīme.</w:t>
            </w:r>
          </w:p>
        </w:tc>
        <w:tc>
          <w:tcPr>
            <w:tcW w:w="4355" w:type="dxa"/>
            <w:tcBorders>
              <w:top w:val="single" w:sz="4" w:space="0" w:color="auto"/>
              <w:left w:val="single" w:sz="4" w:space="0" w:color="auto"/>
              <w:bottom w:val="single" w:sz="4" w:space="0" w:color="auto"/>
              <w:right w:val="single" w:sz="4" w:space="0" w:color="auto"/>
            </w:tcBorders>
            <w:shd w:val="clear" w:color="auto" w:fill="auto"/>
          </w:tcPr>
          <w:p w14:paraId="04E6D222" w14:textId="77777777" w:rsidR="002D6795" w:rsidRDefault="002D6795" w:rsidP="002D6795">
            <w:pPr>
              <w:pStyle w:val="naisc"/>
              <w:spacing w:before="0" w:after="0"/>
              <w:jc w:val="both"/>
              <w:rPr>
                <w:b/>
                <w:sz w:val="22"/>
                <w:szCs w:val="22"/>
              </w:rPr>
            </w:pPr>
            <w:r w:rsidRPr="00A64FD4">
              <w:rPr>
                <w:b/>
              </w:rPr>
              <w:lastRenderedPageBreak/>
              <w:t xml:space="preserve">Starpinstitūciju </w:t>
            </w:r>
            <w:r>
              <w:rPr>
                <w:b/>
              </w:rPr>
              <w:t>saskaņošanas sanāksmē 04.06.2019</w:t>
            </w:r>
            <w:r w:rsidRPr="00A64FD4">
              <w:rPr>
                <w:b/>
              </w:rPr>
              <w:t>.  panākta vienošanās</w:t>
            </w:r>
            <w:r w:rsidRPr="00352F2B">
              <w:t xml:space="preserve"> </w:t>
            </w:r>
          </w:p>
          <w:p w14:paraId="0CD30305" w14:textId="77777777" w:rsidR="002D6795" w:rsidRPr="00A64FD4" w:rsidRDefault="002D6795" w:rsidP="002D6795">
            <w:pPr>
              <w:pStyle w:val="naisc"/>
              <w:spacing w:before="0" w:after="0"/>
              <w:jc w:val="both"/>
              <w:rPr>
                <w:b/>
              </w:rPr>
            </w:pPr>
          </w:p>
        </w:tc>
        <w:tc>
          <w:tcPr>
            <w:tcW w:w="3811" w:type="dxa"/>
            <w:gridSpan w:val="2"/>
            <w:tcBorders>
              <w:top w:val="single" w:sz="4" w:space="0" w:color="auto"/>
              <w:left w:val="single" w:sz="4" w:space="0" w:color="auto"/>
              <w:bottom w:val="single" w:sz="4" w:space="0" w:color="auto"/>
            </w:tcBorders>
          </w:tcPr>
          <w:p w14:paraId="16279635" w14:textId="2EF9DC69" w:rsidR="002D6795" w:rsidRDefault="002D6795" w:rsidP="002D6795">
            <w:pPr>
              <w:spacing w:after="0"/>
              <w:rPr>
                <w:rFonts w:ascii="Times New Roman" w:hAnsi="Times New Roman" w:cs="Times New Roman"/>
              </w:rPr>
            </w:pPr>
            <w:r>
              <w:rPr>
                <w:rFonts w:ascii="Times New Roman" w:hAnsi="Times New Roman" w:cs="Times New Roman"/>
              </w:rPr>
              <w:t>Jautājums tiks izskatīts Latvijas Tirdzniecības un rūpniecības kameras Pakalpojumu padomes sēdē</w:t>
            </w:r>
          </w:p>
        </w:tc>
      </w:tr>
      <w:tr w:rsidR="002D6795" w:rsidRPr="00E9266E" w14:paraId="6628224E" w14:textId="77777777" w:rsidTr="000E154C">
        <w:tc>
          <w:tcPr>
            <w:tcW w:w="451" w:type="dxa"/>
            <w:tcBorders>
              <w:top w:val="single" w:sz="4" w:space="0" w:color="auto"/>
              <w:left w:val="single" w:sz="4" w:space="0" w:color="auto"/>
              <w:bottom w:val="single" w:sz="4" w:space="0" w:color="auto"/>
              <w:right w:val="single" w:sz="4" w:space="0" w:color="auto"/>
            </w:tcBorders>
          </w:tcPr>
          <w:p w14:paraId="2C317E2E" w14:textId="77777777" w:rsidR="002D6795" w:rsidRPr="00E9266E" w:rsidRDefault="002D6795" w:rsidP="002D6795">
            <w:pPr>
              <w:pStyle w:val="naisc"/>
              <w:numPr>
                <w:ilvl w:val="0"/>
                <w:numId w:val="17"/>
              </w:numPr>
              <w:spacing w:before="0" w:after="0"/>
              <w:ind w:left="0" w:firstLine="0"/>
              <w:rPr>
                <w:sz w:val="22"/>
                <w:szCs w:val="22"/>
              </w:rPr>
            </w:pPr>
          </w:p>
        </w:tc>
        <w:tc>
          <w:tcPr>
            <w:tcW w:w="3184" w:type="dxa"/>
            <w:gridSpan w:val="2"/>
            <w:tcBorders>
              <w:top w:val="single" w:sz="4" w:space="0" w:color="auto"/>
              <w:left w:val="single" w:sz="4" w:space="0" w:color="auto"/>
              <w:bottom w:val="single" w:sz="4" w:space="0" w:color="auto"/>
              <w:right w:val="single" w:sz="4" w:space="0" w:color="auto"/>
            </w:tcBorders>
          </w:tcPr>
          <w:p w14:paraId="01C27BDD" w14:textId="77777777" w:rsidR="002D6795" w:rsidRPr="00E9266E" w:rsidRDefault="002D6795" w:rsidP="002D6795">
            <w:pPr>
              <w:pStyle w:val="ColorfulList-Accent11"/>
              <w:spacing w:before="0" w:line="240" w:lineRule="auto"/>
              <w:ind w:left="12"/>
              <w:jc w:val="both"/>
              <w:rPr>
                <w:rFonts w:ascii="Times New Roman" w:hAnsi="Times New Roman"/>
                <w:sz w:val="22"/>
                <w:szCs w:val="22"/>
              </w:rPr>
            </w:pPr>
          </w:p>
        </w:tc>
        <w:tc>
          <w:tcPr>
            <w:tcW w:w="3776" w:type="dxa"/>
            <w:tcBorders>
              <w:top w:val="single" w:sz="4" w:space="0" w:color="auto"/>
              <w:left w:val="single" w:sz="4" w:space="0" w:color="auto"/>
              <w:bottom w:val="single" w:sz="4" w:space="0" w:color="auto"/>
              <w:right w:val="single" w:sz="4" w:space="0" w:color="auto"/>
            </w:tcBorders>
          </w:tcPr>
          <w:p w14:paraId="0F85779C" w14:textId="77777777"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eastAsia="Times New Roman" w:hAnsi="Times New Roman" w:cs="Times New Roman"/>
                <w:b/>
                <w:bCs/>
                <w:lang w:eastAsia="lv-LV"/>
              </w:rPr>
              <w:t>Latvijas Tirdzniecības un rūpniecības kamera, Latvijas Informācijas un komunikācijas tehnoloģiju asociāciju</w:t>
            </w:r>
          </w:p>
          <w:p w14:paraId="1D1675E6" w14:textId="0E4A6315"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hAnsi="Times New Roman" w:cs="Times New Roman"/>
              </w:rPr>
              <w:t>Uzskatam, ka rīcības plānā  6.p. piezīmēs iekļautais “Lai paaugstinātu datu pieejamību un atkalizmantošanas apjomu plānots izveidot sadarbības padomi atvērto datu jomas koordinēšanai. Tās galvenā būs apzināt atvērto datu situāciju Latvijā, gūt atgriezenisko saiti no datu atkalizmantotājiem, apzināt labās prakses piemērus un gatavot informāciju par atvērto datu jomas attīstību Informācijas sabiedrības padomei.” būtu jāprecizē. Proti, vai šī sadarbības padome būs VARAM pakļautībā, kāda būs tās sadarbība ar Informācijas sabiedrības padomi (gatavot ziņojumus, vai plašāks pilnvarojuma apjoms)?</w:t>
            </w:r>
          </w:p>
        </w:tc>
        <w:tc>
          <w:tcPr>
            <w:tcW w:w="4355" w:type="dxa"/>
            <w:tcBorders>
              <w:top w:val="single" w:sz="4" w:space="0" w:color="auto"/>
              <w:left w:val="single" w:sz="4" w:space="0" w:color="auto"/>
              <w:bottom w:val="single" w:sz="4" w:space="0" w:color="auto"/>
              <w:right w:val="single" w:sz="4" w:space="0" w:color="auto"/>
            </w:tcBorders>
            <w:shd w:val="clear" w:color="auto" w:fill="auto"/>
          </w:tcPr>
          <w:p w14:paraId="19CAB43D" w14:textId="77777777" w:rsidR="002D6795" w:rsidRDefault="002D6795" w:rsidP="002D6795">
            <w:pPr>
              <w:pStyle w:val="naisc"/>
              <w:spacing w:before="0" w:after="0"/>
              <w:jc w:val="both"/>
              <w:rPr>
                <w:b/>
                <w:sz w:val="22"/>
                <w:szCs w:val="22"/>
              </w:rPr>
            </w:pPr>
            <w:r w:rsidRPr="00A64FD4">
              <w:rPr>
                <w:b/>
              </w:rPr>
              <w:t xml:space="preserve">Starpinstitūciju </w:t>
            </w:r>
            <w:r>
              <w:rPr>
                <w:b/>
              </w:rPr>
              <w:t>saskaņošanas sanāksmē 04.06.2019</w:t>
            </w:r>
            <w:r w:rsidRPr="00A64FD4">
              <w:rPr>
                <w:b/>
              </w:rPr>
              <w:t>.  panākta vienošanās</w:t>
            </w:r>
            <w:r w:rsidRPr="00352F2B">
              <w:t xml:space="preserve"> </w:t>
            </w:r>
          </w:p>
          <w:p w14:paraId="01B5BD45" w14:textId="77777777" w:rsidR="002D6795" w:rsidRPr="00A64FD4" w:rsidRDefault="002D6795" w:rsidP="002D6795">
            <w:pPr>
              <w:pStyle w:val="naisc"/>
              <w:spacing w:before="0" w:after="0"/>
              <w:jc w:val="both"/>
              <w:rPr>
                <w:b/>
              </w:rPr>
            </w:pPr>
          </w:p>
        </w:tc>
        <w:tc>
          <w:tcPr>
            <w:tcW w:w="3811" w:type="dxa"/>
            <w:gridSpan w:val="2"/>
            <w:tcBorders>
              <w:top w:val="single" w:sz="4" w:space="0" w:color="auto"/>
              <w:left w:val="single" w:sz="4" w:space="0" w:color="auto"/>
              <w:bottom w:val="single" w:sz="4" w:space="0" w:color="auto"/>
            </w:tcBorders>
          </w:tcPr>
          <w:p w14:paraId="342AB9D6" w14:textId="10714E12" w:rsidR="002D6795" w:rsidRDefault="002D6795" w:rsidP="002D6795">
            <w:pPr>
              <w:spacing w:after="0"/>
              <w:rPr>
                <w:rFonts w:ascii="Times New Roman" w:hAnsi="Times New Roman" w:cs="Times New Roman"/>
              </w:rPr>
            </w:pPr>
            <w:r>
              <w:rPr>
                <w:rFonts w:ascii="Times New Roman" w:hAnsi="Times New Roman" w:cs="Times New Roman"/>
              </w:rPr>
              <w:t>Jautājums tiks izskatīts Latvijas Tirdzniecības un rūpniecības kameras Pakalpojumu padomes sēdē</w:t>
            </w:r>
          </w:p>
        </w:tc>
      </w:tr>
      <w:tr w:rsidR="002D6795" w:rsidRPr="00E9266E" w14:paraId="03C225FE" w14:textId="77777777" w:rsidTr="000E154C">
        <w:tc>
          <w:tcPr>
            <w:tcW w:w="451" w:type="dxa"/>
            <w:tcBorders>
              <w:top w:val="single" w:sz="4" w:space="0" w:color="auto"/>
              <w:left w:val="single" w:sz="4" w:space="0" w:color="auto"/>
              <w:bottom w:val="single" w:sz="4" w:space="0" w:color="auto"/>
              <w:right w:val="single" w:sz="4" w:space="0" w:color="auto"/>
            </w:tcBorders>
          </w:tcPr>
          <w:p w14:paraId="65E27B40" w14:textId="77777777" w:rsidR="002D6795" w:rsidRPr="00E9266E" w:rsidRDefault="002D6795" w:rsidP="002D6795">
            <w:pPr>
              <w:pStyle w:val="naisc"/>
              <w:numPr>
                <w:ilvl w:val="0"/>
                <w:numId w:val="17"/>
              </w:numPr>
              <w:spacing w:before="0" w:after="0"/>
              <w:ind w:left="0" w:firstLine="0"/>
              <w:rPr>
                <w:sz w:val="22"/>
                <w:szCs w:val="22"/>
              </w:rPr>
            </w:pPr>
          </w:p>
        </w:tc>
        <w:tc>
          <w:tcPr>
            <w:tcW w:w="3184" w:type="dxa"/>
            <w:gridSpan w:val="2"/>
            <w:tcBorders>
              <w:top w:val="single" w:sz="4" w:space="0" w:color="auto"/>
              <w:left w:val="single" w:sz="4" w:space="0" w:color="auto"/>
              <w:bottom w:val="single" w:sz="4" w:space="0" w:color="auto"/>
              <w:right w:val="single" w:sz="4" w:space="0" w:color="auto"/>
            </w:tcBorders>
          </w:tcPr>
          <w:p w14:paraId="3C9F44BB" w14:textId="77777777" w:rsidR="002D6795" w:rsidRPr="00E9266E" w:rsidRDefault="002D6795" w:rsidP="002D6795">
            <w:pPr>
              <w:pStyle w:val="ColorfulList-Accent11"/>
              <w:spacing w:before="0" w:line="240" w:lineRule="auto"/>
              <w:ind w:left="12"/>
              <w:jc w:val="both"/>
              <w:rPr>
                <w:rFonts w:ascii="Times New Roman" w:hAnsi="Times New Roman"/>
                <w:sz w:val="22"/>
                <w:szCs w:val="22"/>
              </w:rPr>
            </w:pPr>
          </w:p>
        </w:tc>
        <w:tc>
          <w:tcPr>
            <w:tcW w:w="3776" w:type="dxa"/>
            <w:tcBorders>
              <w:top w:val="single" w:sz="4" w:space="0" w:color="auto"/>
              <w:left w:val="single" w:sz="4" w:space="0" w:color="auto"/>
              <w:bottom w:val="single" w:sz="4" w:space="0" w:color="auto"/>
              <w:right w:val="single" w:sz="4" w:space="0" w:color="auto"/>
            </w:tcBorders>
          </w:tcPr>
          <w:p w14:paraId="4A383B6B" w14:textId="28333A63"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eastAsia="Times New Roman" w:hAnsi="Times New Roman" w:cs="Times New Roman"/>
                <w:b/>
                <w:bCs/>
                <w:lang w:eastAsia="lv-LV"/>
              </w:rPr>
              <w:t>Latvijas Tirdzniecības un rūpniecības kamera, Latvijas Informācijas un komunikācijas tehnoloģiju asociāciju</w:t>
            </w:r>
          </w:p>
          <w:p w14:paraId="0CA287E5" w14:textId="76CB3003" w:rsidR="002D6795" w:rsidRPr="00E33A06" w:rsidRDefault="002D6795" w:rsidP="002D6795">
            <w:pPr>
              <w:spacing w:after="0" w:line="276" w:lineRule="auto"/>
              <w:rPr>
                <w:rFonts w:ascii="Times New Roman" w:hAnsi="Times New Roman" w:cs="Times New Roman"/>
              </w:rPr>
            </w:pPr>
            <w:r w:rsidRPr="00E33A06">
              <w:rPr>
                <w:rFonts w:ascii="Times New Roman" w:hAnsi="Times New Roman" w:cs="Times New Roman"/>
              </w:rPr>
              <w:t xml:space="preserve">Ziņojumā noteikts, ka “Viens no stratēģijas mērķiem ir veicināt Latvijas valsts pārvaldes iestādes to rīcībā esošos datus padarīt atkalizmantojamus, ja vien piekļuve tiem nav ierobežota ar nacionālajiem vai starptautiskajiem tiesību aktiem vai līgumiem, tajā skaitā </w:t>
            </w:r>
            <w:r w:rsidRPr="00E33A06">
              <w:rPr>
                <w:rFonts w:ascii="Times New Roman" w:hAnsi="Times New Roman" w:cs="Times New Roman"/>
              </w:rPr>
              <w:lastRenderedPageBreak/>
              <w:t>ierobežotas pieejamības vai valsts noslēpuma objektus saturošus datus vai informāciju.”</w:t>
            </w:r>
          </w:p>
          <w:p w14:paraId="451C84C9" w14:textId="1B5B7F4A" w:rsidR="002D6795" w:rsidRPr="00E33A06" w:rsidRDefault="002D6795" w:rsidP="002D6795">
            <w:pPr>
              <w:pStyle w:val="ListParagraph"/>
              <w:tabs>
                <w:tab w:val="left" w:pos="2804"/>
                <w:tab w:val="left" w:pos="2945"/>
              </w:tabs>
              <w:spacing w:after="0"/>
              <w:ind w:left="0"/>
              <w:rPr>
                <w:rFonts w:cstheme="minorHAnsi"/>
              </w:rPr>
            </w:pPr>
            <w:r w:rsidRPr="00E33A06">
              <w:rPr>
                <w:rFonts w:ascii="Times New Roman" w:hAnsi="Times New Roman" w:cs="Times New Roman"/>
              </w:rPr>
              <w:t>VARAM būtu jāiesaistās arī tajos gadījumos, ja valsts pārvaldes rīcībā esošajai informācijai nepamatoti/vai neizvērtējot tiek noteikts ierobežotas pieejamības statuss, tāpat arī gadījumos, ja tiek noteikts nesamerīgi īss publiskošanas/datu glabāšanas termiņi. LTRK un LIKTA rosina noteikt, ka normatīvo aktu saskaņošanas gaitā anotācijā būtu ietverama jauna sadaļa, kurā tiktu atrunāts, ka, ja normatīvais akts regulē valsts pārvaldes iestādes rīcībā esošo datu pieejamību, apstrādes kārtību, šajā anotācijas atsevišķā sadaļā jāatrunā datu atkalizmantošanas un datu atvēršanas kārtība.</w:t>
            </w:r>
          </w:p>
        </w:tc>
        <w:tc>
          <w:tcPr>
            <w:tcW w:w="4355" w:type="dxa"/>
            <w:tcBorders>
              <w:top w:val="single" w:sz="4" w:space="0" w:color="auto"/>
              <w:left w:val="single" w:sz="4" w:space="0" w:color="auto"/>
              <w:bottom w:val="single" w:sz="4" w:space="0" w:color="auto"/>
              <w:right w:val="single" w:sz="4" w:space="0" w:color="auto"/>
            </w:tcBorders>
            <w:shd w:val="clear" w:color="auto" w:fill="auto"/>
          </w:tcPr>
          <w:p w14:paraId="78C350F6" w14:textId="77777777" w:rsidR="002D6795" w:rsidRPr="00E33A06" w:rsidRDefault="002D6795" w:rsidP="002D6795">
            <w:pPr>
              <w:pStyle w:val="naisc"/>
              <w:spacing w:before="0" w:after="0"/>
              <w:jc w:val="both"/>
              <w:rPr>
                <w:b/>
                <w:sz w:val="22"/>
                <w:szCs w:val="22"/>
              </w:rPr>
            </w:pPr>
            <w:r w:rsidRPr="00E33A06">
              <w:rPr>
                <w:b/>
                <w:sz w:val="22"/>
                <w:szCs w:val="22"/>
              </w:rPr>
              <w:lastRenderedPageBreak/>
              <w:t>Daļēji ņemts vērā</w:t>
            </w:r>
          </w:p>
          <w:p w14:paraId="721EFE77" w14:textId="449A040B" w:rsidR="002D6795" w:rsidRPr="00E33A06" w:rsidRDefault="002D6795" w:rsidP="002D6795">
            <w:pPr>
              <w:pStyle w:val="naisc"/>
              <w:spacing w:before="0" w:after="0"/>
              <w:jc w:val="both"/>
              <w:rPr>
                <w:b/>
                <w:sz w:val="22"/>
                <w:szCs w:val="22"/>
              </w:rPr>
            </w:pPr>
            <w:r w:rsidRPr="00E33A06">
              <w:rPr>
                <w:sz w:val="22"/>
                <w:szCs w:val="22"/>
              </w:rPr>
              <w:t>Sk. Informatīvā ziņojuma precizēto versiju</w:t>
            </w:r>
          </w:p>
          <w:p w14:paraId="6399E9A5" w14:textId="22A53C01" w:rsidR="002D6795" w:rsidRPr="00E33A06" w:rsidRDefault="002D6795" w:rsidP="002D6795">
            <w:pPr>
              <w:tabs>
                <w:tab w:val="left" w:pos="1410"/>
              </w:tabs>
              <w:rPr>
                <w:lang w:eastAsia="lv-LV"/>
              </w:rPr>
            </w:pPr>
            <w:r w:rsidRPr="00E33A06">
              <w:rPr>
                <w:lang w:eastAsia="lv-LV"/>
              </w:rPr>
              <w:tab/>
            </w:r>
          </w:p>
        </w:tc>
        <w:tc>
          <w:tcPr>
            <w:tcW w:w="3811" w:type="dxa"/>
            <w:gridSpan w:val="2"/>
            <w:tcBorders>
              <w:top w:val="single" w:sz="4" w:space="0" w:color="auto"/>
              <w:left w:val="single" w:sz="4" w:space="0" w:color="auto"/>
              <w:bottom w:val="single" w:sz="4" w:space="0" w:color="auto"/>
            </w:tcBorders>
          </w:tcPr>
          <w:p w14:paraId="2A150734" w14:textId="77777777" w:rsidR="002D6795" w:rsidRDefault="002D6795" w:rsidP="002D6795">
            <w:pPr>
              <w:spacing w:after="0"/>
              <w:rPr>
                <w:rFonts w:ascii="Times New Roman" w:hAnsi="Times New Roman" w:cs="Times New Roman"/>
              </w:rPr>
            </w:pPr>
          </w:p>
        </w:tc>
      </w:tr>
      <w:tr w:rsidR="002D6795" w:rsidRPr="00E9266E" w14:paraId="3A46CD09" w14:textId="77777777" w:rsidTr="000E154C">
        <w:tc>
          <w:tcPr>
            <w:tcW w:w="451" w:type="dxa"/>
            <w:tcBorders>
              <w:top w:val="single" w:sz="4" w:space="0" w:color="auto"/>
              <w:left w:val="single" w:sz="4" w:space="0" w:color="auto"/>
              <w:bottom w:val="single" w:sz="4" w:space="0" w:color="auto"/>
              <w:right w:val="single" w:sz="4" w:space="0" w:color="auto"/>
            </w:tcBorders>
          </w:tcPr>
          <w:p w14:paraId="2D1E351A" w14:textId="77777777" w:rsidR="002D6795" w:rsidRPr="00E9266E" w:rsidRDefault="002D6795" w:rsidP="002D6795">
            <w:pPr>
              <w:pStyle w:val="naisc"/>
              <w:numPr>
                <w:ilvl w:val="0"/>
                <w:numId w:val="17"/>
              </w:numPr>
              <w:spacing w:before="0" w:after="0"/>
              <w:ind w:left="0" w:firstLine="0"/>
              <w:rPr>
                <w:sz w:val="22"/>
                <w:szCs w:val="22"/>
              </w:rPr>
            </w:pPr>
          </w:p>
        </w:tc>
        <w:tc>
          <w:tcPr>
            <w:tcW w:w="3184" w:type="dxa"/>
            <w:gridSpan w:val="2"/>
            <w:tcBorders>
              <w:top w:val="single" w:sz="4" w:space="0" w:color="auto"/>
              <w:left w:val="single" w:sz="4" w:space="0" w:color="auto"/>
              <w:bottom w:val="single" w:sz="4" w:space="0" w:color="auto"/>
              <w:right w:val="single" w:sz="4" w:space="0" w:color="auto"/>
            </w:tcBorders>
          </w:tcPr>
          <w:p w14:paraId="7AE7FA96" w14:textId="77777777" w:rsidR="002D6795" w:rsidRPr="00E9266E" w:rsidRDefault="002D6795" w:rsidP="002D6795">
            <w:pPr>
              <w:pStyle w:val="ColorfulList-Accent11"/>
              <w:spacing w:before="0" w:line="240" w:lineRule="auto"/>
              <w:ind w:left="12"/>
              <w:jc w:val="both"/>
              <w:rPr>
                <w:rFonts w:ascii="Times New Roman" w:hAnsi="Times New Roman"/>
                <w:sz w:val="22"/>
                <w:szCs w:val="22"/>
              </w:rPr>
            </w:pPr>
          </w:p>
        </w:tc>
        <w:tc>
          <w:tcPr>
            <w:tcW w:w="3776" w:type="dxa"/>
            <w:tcBorders>
              <w:top w:val="single" w:sz="4" w:space="0" w:color="auto"/>
              <w:left w:val="single" w:sz="4" w:space="0" w:color="auto"/>
              <w:bottom w:val="single" w:sz="4" w:space="0" w:color="auto"/>
              <w:right w:val="single" w:sz="4" w:space="0" w:color="auto"/>
            </w:tcBorders>
          </w:tcPr>
          <w:p w14:paraId="7243832C" w14:textId="77777777" w:rsidR="002D6795" w:rsidRPr="00E33A06" w:rsidRDefault="002D6795" w:rsidP="002D6795">
            <w:pPr>
              <w:spacing w:after="0"/>
              <w:rPr>
                <w:rFonts w:ascii="Times New Roman" w:eastAsia="Times New Roman" w:hAnsi="Times New Roman" w:cs="Times New Roman"/>
                <w:b/>
                <w:bCs/>
                <w:lang w:eastAsia="lv-LV"/>
              </w:rPr>
            </w:pPr>
            <w:r w:rsidRPr="00E33A06">
              <w:rPr>
                <w:rFonts w:ascii="Times New Roman" w:eastAsia="Times New Roman" w:hAnsi="Times New Roman" w:cs="Times New Roman"/>
                <w:b/>
                <w:bCs/>
                <w:lang w:eastAsia="lv-LV"/>
              </w:rPr>
              <w:t>Latvijas Tirdzniecības un rūpniecības kamera, Latvijas Informācijas un komunikācijas tehnoloģiju asociāciju</w:t>
            </w:r>
          </w:p>
          <w:p w14:paraId="30854C05" w14:textId="380029EE" w:rsidR="002D6795" w:rsidRPr="00E33A06" w:rsidRDefault="002D6795" w:rsidP="002D6795">
            <w:pPr>
              <w:spacing w:after="0" w:line="276" w:lineRule="auto"/>
              <w:rPr>
                <w:rFonts w:ascii="Times New Roman" w:hAnsi="Times New Roman" w:cs="Times New Roman"/>
              </w:rPr>
            </w:pPr>
            <w:r w:rsidRPr="00E33A06">
              <w:rPr>
                <w:rFonts w:ascii="Times New Roman" w:hAnsi="Times New Roman" w:cs="Times New Roman"/>
              </w:rPr>
              <w:t>Ziņojuma 1.sadaļā Tvērums noteikts, ka “Stratēģijā ir identificēti konkrēti uzdevumi valsts pārvaldes iestādēm turpmākajiem trīs gadiem”, tomēr apskatot stratēģijai pievienoto Rīcības plānu redzams, ka tajā iekļautas aktivitātes, kuru termiņš pārsniedz norādīto 3 gadu periodu, proti, skat. 5.uzdevumā noteikto termiņu 2023.g. beigas. Ierosinājums – noteiktos termiņus salāgot.</w:t>
            </w:r>
          </w:p>
        </w:tc>
        <w:tc>
          <w:tcPr>
            <w:tcW w:w="4355" w:type="dxa"/>
            <w:tcBorders>
              <w:top w:val="single" w:sz="4" w:space="0" w:color="auto"/>
              <w:left w:val="single" w:sz="4" w:space="0" w:color="auto"/>
              <w:bottom w:val="single" w:sz="4" w:space="0" w:color="auto"/>
              <w:right w:val="single" w:sz="4" w:space="0" w:color="auto"/>
            </w:tcBorders>
            <w:shd w:val="clear" w:color="auto" w:fill="auto"/>
          </w:tcPr>
          <w:p w14:paraId="4F859334" w14:textId="77777777" w:rsidR="002D6795" w:rsidRPr="00E33A06" w:rsidRDefault="002D6795" w:rsidP="002D6795">
            <w:pPr>
              <w:pStyle w:val="naisc"/>
              <w:spacing w:before="0" w:after="0"/>
              <w:jc w:val="both"/>
              <w:rPr>
                <w:b/>
                <w:sz w:val="22"/>
                <w:szCs w:val="22"/>
              </w:rPr>
            </w:pPr>
            <w:r w:rsidRPr="00E33A06">
              <w:rPr>
                <w:b/>
                <w:sz w:val="22"/>
                <w:szCs w:val="22"/>
              </w:rPr>
              <w:t>Ņemts vērā</w:t>
            </w:r>
          </w:p>
          <w:p w14:paraId="526D1039" w14:textId="77777777" w:rsidR="002D6795" w:rsidRPr="00E33A06" w:rsidRDefault="002D6795" w:rsidP="002D6795">
            <w:pPr>
              <w:pStyle w:val="naisc"/>
              <w:spacing w:before="0" w:after="0"/>
              <w:jc w:val="both"/>
              <w:rPr>
                <w:b/>
                <w:sz w:val="22"/>
                <w:szCs w:val="22"/>
              </w:rPr>
            </w:pPr>
            <w:r w:rsidRPr="00E33A06">
              <w:rPr>
                <w:sz w:val="22"/>
                <w:szCs w:val="22"/>
              </w:rPr>
              <w:t>Sk. Informatīvā ziņojuma precizēto versiju</w:t>
            </w:r>
          </w:p>
          <w:p w14:paraId="04C23BA7" w14:textId="5F344CC8" w:rsidR="002D6795" w:rsidRPr="00E33A06" w:rsidRDefault="002D6795" w:rsidP="002D6795">
            <w:pPr>
              <w:pStyle w:val="naisc"/>
              <w:spacing w:before="0" w:after="0"/>
              <w:jc w:val="both"/>
              <w:rPr>
                <w:b/>
                <w:sz w:val="22"/>
                <w:szCs w:val="22"/>
              </w:rPr>
            </w:pPr>
          </w:p>
        </w:tc>
        <w:tc>
          <w:tcPr>
            <w:tcW w:w="3811" w:type="dxa"/>
            <w:gridSpan w:val="2"/>
            <w:tcBorders>
              <w:top w:val="single" w:sz="4" w:space="0" w:color="auto"/>
              <w:left w:val="single" w:sz="4" w:space="0" w:color="auto"/>
              <w:bottom w:val="single" w:sz="4" w:space="0" w:color="auto"/>
            </w:tcBorders>
          </w:tcPr>
          <w:p w14:paraId="2A77355C" w14:textId="77777777" w:rsidR="002D6795" w:rsidRDefault="002D6795" w:rsidP="002D6795">
            <w:pPr>
              <w:spacing w:after="0"/>
              <w:rPr>
                <w:rFonts w:ascii="Times New Roman" w:hAnsi="Times New Roman" w:cs="Times New Roman"/>
              </w:rPr>
            </w:pPr>
          </w:p>
        </w:tc>
      </w:tr>
      <w:tr w:rsidR="002D6795" w:rsidRPr="00E33A06" w14:paraId="0167481C" w14:textId="77777777" w:rsidTr="00334155">
        <w:tblPrEx>
          <w:tblBorders>
            <w:top w:val="none" w:sz="0" w:space="0" w:color="auto"/>
            <w:left w:val="none" w:sz="0" w:space="0" w:color="auto"/>
            <w:bottom w:val="none" w:sz="0" w:space="0" w:color="auto"/>
            <w:right w:val="none" w:sz="0" w:space="0" w:color="auto"/>
          </w:tblBorders>
        </w:tblPrEx>
        <w:trPr>
          <w:gridAfter w:val="5"/>
          <w:wAfter w:w="12359" w:type="dxa"/>
        </w:trPr>
        <w:tc>
          <w:tcPr>
            <w:tcW w:w="3218" w:type="dxa"/>
            <w:gridSpan w:val="2"/>
          </w:tcPr>
          <w:p w14:paraId="60AEF99E" w14:textId="01BC0261" w:rsidR="002D6795" w:rsidRPr="00E9266E" w:rsidRDefault="002D6795" w:rsidP="002D6795">
            <w:pPr>
              <w:pStyle w:val="naiskr"/>
              <w:spacing w:before="0" w:after="0"/>
              <w:jc w:val="center"/>
              <w:rPr>
                <w:sz w:val="22"/>
                <w:szCs w:val="22"/>
              </w:rPr>
            </w:pPr>
          </w:p>
          <w:p w14:paraId="33AB0F32" w14:textId="77777777" w:rsidR="002D6795" w:rsidRPr="00E9266E" w:rsidRDefault="002D6795" w:rsidP="002D6795">
            <w:pPr>
              <w:pStyle w:val="naiskr"/>
              <w:spacing w:before="0" w:after="0"/>
              <w:jc w:val="center"/>
              <w:rPr>
                <w:sz w:val="22"/>
                <w:szCs w:val="22"/>
              </w:rPr>
            </w:pPr>
          </w:p>
          <w:p w14:paraId="4472C11D" w14:textId="77777777" w:rsidR="002D6795" w:rsidRPr="00E9266E" w:rsidRDefault="002D6795" w:rsidP="002D6795">
            <w:pPr>
              <w:pStyle w:val="naiskr"/>
              <w:spacing w:before="0" w:after="0"/>
              <w:jc w:val="center"/>
              <w:rPr>
                <w:sz w:val="22"/>
                <w:szCs w:val="22"/>
              </w:rPr>
            </w:pPr>
            <w:r w:rsidRPr="00E9266E">
              <w:rPr>
                <w:sz w:val="22"/>
                <w:szCs w:val="22"/>
              </w:rPr>
              <w:t>Atbildīgā amatpersona</w:t>
            </w:r>
          </w:p>
        </w:tc>
      </w:tr>
      <w:tr w:rsidR="002D6795" w:rsidRPr="00E9266E" w14:paraId="3F6A7059" w14:textId="77777777" w:rsidTr="00334155">
        <w:tblPrEx>
          <w:tblBorders>
            <w:top w:val="none" w:sz="0" w:space="0" w:color="auto"/>
            <w:left w:val="none" w:sz="0" w:space="0" w:color="auto"/>
            <w:bottom w:val="none" w:sz="0" w:space="0" w:color="auto"/>
            <w:right w:val="none" w:sz="0" w:space="0" w:color="auto"/>
          </w:tblBorders>
        </w:tblPrEx>
        <w:trPr>
          <w:gridAfter w:val="1"/>
          <w:wAfter w:w="102" w:type="dxa"/>
        </w:trPr>
        <w:tc>
          <w:tcPr>
            <w:tcW w:w="3218" w:type="dxa"/>
            <w:gridSpan w:val="2"/>
          </w:tcPr>
          <w:p w14:paraId="72461417" w14:textId="77777777" w:rsidR="002D6795" w:rsidRPr="00E9266E" w:rsidRDefault="002D6795" w:rsidP="002D6795">
            <w:pPr>
              <w:pStyle w:val="naiskr"/>
              <w:tabs>
                <w:tab w:val="left" w:pos="1230"/>
              </w:tabs>
              <w:spacing w:before="0" w:after="0"/>
              <w:jc w:val="center"/>
              <w:rPr>
                <w:sz w:val="22"/>
                <w:szCs w:val="22"/>
              </w:rPr>
            </w:pPr>
          </w:p>
        </w:tc>
        <w:tc>
          <w:tcPr>
            <w:tcW w:w="12257" w:type="dxa"/>
            <w:gridSpan w:val="4"/>
            <w:tcBorders>
              <w:top w:val="single" w:sz="6" w:space="0" w:color="000000"/>
            </w:tcBorders>
          </w:tcPr>
          <w:p w14:paraId="057D9FDC" w14:textId="77777777" w:rsidR="002D6795" w:rsidRPr="00E33A06" w:rsidRDefault="002D6795" w:rsidP="002D6795">
            <w:pPr>
              <w:pStyle w:val="naisc"/>
              <w:spacing w:before="0" w:after="0"/>
              <w:ind w:firstLine="720"/>
              <w:rPr>
                <w:sz w:val="22"/>
                <w:szCs w:val="22"/>
              </w:rPr>
            </w:pPr>
            <w:r w:rsidRPr="00E33A06">
              <w:rPr>
                <w:sz w:val="22"/>
                <w:szCs w:val="22"/>
              </w:rPr>
              <w:t>(paraksts)*</w:t>
            </w:r>
          </w:p>
        </w:tc>
      </w:tr>
    </w:tbl>
    <w:p w14:paraId="7164CD5D" w14:textId="77777777" w:rsidR="00990B53" w:rsidRPr="00C90FB9" w:rsidRDefault="00990B53" w:rsidP="00C90FB9">
      <w:pPr>
        <w:pStyle w:val="naisf"/>
        <w:spacing w:before="0" w:after="0"/>
        <w:ind w:firstLine="0"/>
        <w:rPr>
          <w:sz w:val="22"/>
          <w:szCs w:val="22"/>
        </w:rPr>
      </w:pPr>
    </w:p>
    <w:p w14:paraId="43274A1E" w14:textId="0CFAFD1E" w:rsidR="00990B53" w:rsidRPr="00C90FB9" w:rsidRDefault="00990B53" w:rsidP="00C90FB9">
      <w:pPr>
        <w:pStyle w:val="naisf"/>
        <w:spacing w:before="0" w:after="0"/>
        <w:ind w:firstLine="0"/>
        <w:rPr>
          <w:sz w:val="22"/>
          <w:szCs w:val="22"/>
        </w:rPr>
      </w:pPr>
      <w:r w:rsidRPr="00C90FB9">
        <w:rPr>
          <w:sz w:val="22"/>
          <w:szCs w:val="22"/>
        </w:rPr>
        <w:t xml:space="preserve">Piezīme. * Dokumenta rekvizītu </w:t>
      </w:r>
      <w:r w:rsidR="00C32265">
        <w:rPr>
          <w:sz w:val="22"/>
          <w:szCs w:val="22"/>
        </w:rPr>
        <w:t>“</w:t>
      </w:r>
      <w:r w:rsidRPr="00C90FB9">
        <w:rPr>
          <w:sz w:val="22"/>
          <w:szCs w:val="22"/>
        </w:rPr>
        <w:t>paraksts” neaizpilda, ja elektroniskais dokuments ir sagatavots atbilstoši normatīvajiem aktiem par elektronisko dokumentu noformēšanu</w:t>
      </w:r>
    </w:p>
    <w:p w14:paraId="555338F0" w14:textId="77777777" w:rsidR="00990B53" w:rsidRPr="00C90FB9" w:rsidRDefault="00990B53" w:rsidP="00C90FB9">
      <w:pPr>
        <w:pStyle w:val="naisf"/>
        <w:spacing w:before="0" w:after="0"/>
        <w:ind w:firstLine="0"/>
        <w:rPr>
          <w:sz w:val="22"/>
          <w:szCs w:val="22"/>
        </w:rPr>
      </w:pPr>
    </w:p>
    <w:p w14:paraId="74BC396F" w14:textId="77777777" w:rsidR="00990B53" w:rsidRPr="00C90FB9" w:rsidRDefault="00990B53" w:rsidP="00C90FB9">
      <w:pPr>
        <w:pStyle w:val="naisf"/>
        <w:spacing w:before="0" w:after="0"/>
        <w:ind w:firstLine="0"/>
        <w:rPr>
          <w:sz w:val="22"/>
          <w:szCs w:val="22"/>
        </w:rPr>
      </w:pPr>
    </w:p>
    <w:p w14:paraId="73F446E4" w14:textId="77777777" w:rsidR="00990B53" w:rsidRPr="00C90FB9" w:rsidRDefault="00F75B9D" w:rsidP="00C90FB9">
      <w:pPr>
        <w:pStyle w:val="naisf"/>
        <w:spacing w:before="0" w:after="0"/>
        <w:ind w:firstLine="0"/>
        <w:rPr>
          <w:sz w:val="22"/>
          <w:szCs w:val="22"/>
        </w:rPr>
      </w:pPr>
      <w:r w:rsidRPr="00C90FB9">
        <w:rPr>
          <w:sz w:val="22"/>
          <w:szCs w:val="22"/>
        </w:rPr>
        <w:fldChar w:fldCharType="begin"/>
      </w:r>
      <w:r w:rsidR="00400666" w:rsidRPr="00C90FB9">
        <w:rPr>
          <w:sz w:val="22"/>
          <w:szCs w:val="22"/>
        </w:rPr>
        <w:instrText xml:space="preserve"> TIME  \@ "yyyy.MM.dd. H:mm"  \* MERGEFORMAT </w:instrText>
      </w:r>
      <w:r w:rsidRPr="00C90FB9">
        <w:rPr>
          <w:sz w:val="22"/>
          <w:szCs w:val="22"/>
        </w:rPr>
        <w:fldChar w:fldCharType="separate"/>
      </w:r>
      <w:r w:rsidR="00F428A8">
        <w:rPr>
          <w:noProof/>
          <w:sz w:val="22"/>
          <w:szCs w:val="22"/>
        </w:rPr>
        <w:t>2019.07.09. 10:18</w:t>
      </w:r>
      <w:r w:rsidRPr="00C90FB9">
        <w:rPr>
          <w:noProof/>
          <w:sz w:val="22"/>
          <w:szCs w:val="22"/>
        </w:rPr>
        <w:fldChar w:fldCharType="end"/>
      </w:r>
    </w:p>
    <w:p w14:paraId="7D50847F" w14:textId="34034EEC" w:rsidR="00990B53" w:rsidRPr="00C90FB9" w:rsidRDefault="00E33A06" w:rsidP="00C90FB9">
      <w:pPr>
        <w:pStyle w:val="naisf"/>
        <w:spacing w:before="0" w:after="0"/>
        <w:ind w:firstLine="0"/>
        <w:rPr>
          <w:sz w:val="22"/>
          <w:szCs w:val="22"/>
        </w:rPr>
      </w:pPr>
      <w:r>
        <w:rPr>
          <w:sz w:val="22"/>
          <w:szCs w:val="22"/>
        </w:rPr>
        <w:t>2985</w:t>
      </w:r>
    </w:p>
    <w:p w14:paraId="14F7FD17" w14:textId="376569EB" w:rsidR="00990B53" w:rsidRPr="00C90FB9" w:rsidRDefault="000514DD" w:rsidP="00C90FB9">
      <w:pPr>
        <w:pStyle w:val="naisf"/>
        <w:spacing w:before="0" w:after="0"/>
        <w:ind w:firstLine="0"/>
        <w:rPr>
          <w:sz w:val="22"/>
          <w:szCs w:val="22"/>
        </w:rPr>
      </w:pPr>
      <w:r>
        <w:rPr>
          <w:sz w:val="22"/>
          <w:szCs w:val="22"/>
        </w:rPr>
        <w:t xml:space="preserve">Mikus </w:t>
      </w:r>
      <w:r w:rsidRPr="000514DD">
        <w:rPr>
          <w:sz w:val="22"/>
          <w:szCs w:val="22"/>
        </w:rPr>
        <w:t>Jēkabsons</w:t>
      </w:r>
      <w:r w:rsidR="00990B53" w:rsidRPr="000514DD">
        <w:rPr>
          <w:sz w:val="22"/>
          <w:szCs w:val="22"/>
        </w:rPr>
        <w:t xml:space="preserve">, </w:t>
      </w:r>
      <w:r w:rsidRPr="000514DD">
        <w:rPr>
          <w:sz w:val="22"/>
          <w:szCs w:val="22"/>
        </w:rPr>
        <w:t>66016754</w:t>
      </w:r>
    </w:p>
    <w:p w14:paraId="08B52610" w14:textId="248A3FB9" w:rsidR="003E7567" w:rsidRPr="00C90FB9" w:rsidRDefault="00DF773C" w:rsidP="00C90FB9">
      <w:pPr>
        <w:pStyle w:val="naisf"/>
        <w:spacing w:before="0" w:after="0"/>
        <w:ind w:firstLine="0"/>
        <w:rPr>
          <w:rStyle w:val="Hyperlink"/>
          <w:sz w:val="22"/>
          <w:szCs w:val="22"/>
        </w:rPr>
      </w:pPr>
      <w:hyperlink r:id="rId9" w:history="1">
        <w:r w:rsidR="000514DD" w:rsidRPr="00383187">
          <w:rPr>
            <w:rStyle w:val="Hyperlink"/>
            <w:sz w:val="22"/>
            <w:szCs w:val="22"/>
          </w:rPr>
          <w:t>mikus.jekabsons@varam.gov.lv</w:t>
        </w:r>
      </w:hyperlink>
    </w:p>
    <w:sectPr w:rsidR="003E7567" w:rsidRPr="00C90FB9" w:rsidSect="00840E34">
      <w:headerReference w:type="default" r:id="rId10"/>
      <w:footerReference w:type="default" r:id="rId11"/>
      <w:footerReference w:type="first" r:id="rId12"/>
      <w:pgSz w:w="16838" w:h="11906" w:orient="landscape"/>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ECA89" w14:textId="77777777" w:rsidR="00DF773C" w:rsidRDefault="00DF773C" w:rsidP="00E2138E">
      <w:pPr>
        <w:spacing w:after="0"/>
      </w:pPr>
      <w:r>
        <w:separator/>
      </w:r>
    </w:p>
  </w:endnote>
  <w:endnote w:type="continuationSeparator" w:id="0">
    <w:p w14:paraId="7ED3DADC" w14:textId="77777777" w:rsidR="00DF773C" w:rsidRDefault="00DF773C" w:rsidP="00E213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Schoolbook">
    <w:panose1 w:val="02040604050505020304"/>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3EF97" w14:textId="182553BD" w:rsidR="006A4892" w:rsidRPr="006A6717" w:rsidRDefault="006A6717" w:rsidP="006A6717">
    <w:pPr>
      <w:jc w:val="left"/>
      <w:rPr>
        <w:rFonts w:ascii="Times New Roman" w:hAnsi="Times New Roman"/>
        <w:b/>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VARAMIzzina_21052019_dati</w:t>
    </w:r>
    <w:r>
      <w:rPr>
        <w:rFonts w:ascii="Times New Roman" w:hAnsi="Times New Roman"/>
        <w:sz w:val="20"/>
        <w:szCs w:val="20"/>
      </w:rPr>
      <w:fldChar w:fldCharType="end"/>
    </w:r>
    <w:r w:rsidRPr="00E53BF4">
      <w:rPr>
        <w:rFonts w:ascii="Times New Roman" w:hAnsi="Times New Roman"/>
        <w:sz w:val="20"/>
        <w:szCs w:val="20"/>
      </w:rPr>
      <w:t>;</w:t>
    </w:r>
    <w:r>
      <w:rPr>
        <w:rFonts w:ascii="Times New Roman" w:hAnsi="Times New Roman"/>
        <w:b/>
        <w:sz w:val="20"/>
        <w:szCs w:val="20"/>
      </w:rPr>
      <w:t xml:space="preserve"> </w:t>
    </w:r>
    <w:r w:rsidRPr="00904C50">
      <w:rPr>
        <w:rFonts w:ascii="Times New Roman" w:hAnsi="Times New Roman"/>
        <w:sz w:val="20"/>
        <w:szCs w:val="20"/>
      </w:rPr>
      <w:t xml:space="preserve">Izziņa par atzinumos </w:t>
    </w:r>
    <w:r w:rsidRPr="000514DD">
      <w:rPr>
        <w:rFonts w:ascii="Times New Roman" w:hAnsi="Times New Roman"/>
        <w:sz w:val="20"/>
        <w:szCs w:val="20"/>
      </w:rPr>
      <w:t xml:space="preserve">sniegtajiem iebildumiem </w:t>
    </w:r>
    <w:r w:rsidRPr="000514DD">
      <w:rPr>
        <w:rFonts w:ascii="Times New Roman" w:eastAsia="Times New Roman" w:hAnsi="Times New Roman" w:cs="Times New Roman"/>
        <w:sz w:val="20"/>
        <w:szCs w:val="20"/>
        <w:lang w:eastAsia="lv-LV"/>
      </w:rPr>
      <w:t>Ministru kabineta informatīvajam ziņojumam “</w:t>
    </w:r>
    <w:r>
      <w:rPr>
        <w:rFonts w:ascii="Times New Roman" w:eastAsia="Times New Roman" w:hAnsi="Times New Roman" w:cs="Times New Roman"/>
        <w:sz w:val="20"/>
        <w:szCs w:val="20"/>
        <w:lang w:eastAsia="lv-LV"/>
      </w:rPr>
      <w:t>Latvijas atvērto datu stratēgiju</w:t>
    </w:r>
    <w:r w:rsidRPr="000514DD">
      <w:rPr>
        <w:rFonts w:ascii="Times New Roman" w:eastAsia="Times New Roman" w:hAnsi="Times New Roman" w:cs="Times New Roman"/>
        <w:sz w:val="20"/>
        <w:szCs w:val="20"/>
        <w:lang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C77C" w14:textId="2595D019" w:rsidR="006A4892" w:rsidRPr="000514DD" w:rsidRDefault="000514DD" w:rsidP="000514DD">
    <w:pPr>
      <w:jc w:val="left"/>
      <w:rPr>
        <w:rFonts w:ascii="Times New Roman" w:hAnsi="Times New Roman"/>
        <w:b/>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6A6717">
      <w:rPr>
        <w:rFonts w:ascii="Times New Roman" w:hAnsi="Times New Roman"/>
        <w:noProof/>
        <w:sz w:val="20"/>
        <w:szCs w:val="20"/>
      </w:rPr>
      <w:t>VARAMIzzina_21052019</w:t>
    </w:r>
    <w:r w:rsidR="00FC01EB">
      <w:rPr>
        <w:rFonts w:ascii="Times New Roman" w:hAnsi="Times New Roman"/>
        <w:noProof/>
        <w:sz w:val="20"/>
        <w:szCs w:val="20"/>
      </w:rPr>
      <w:t>_dati</w:t>
    </w:r>
    <w:r>
      <w:rPr>
        <w:rFonts w:ascii="Times New Roman" w:hAnsi="Times New Roman"/>
        <w:sz w:val="20"/>
        <w:szCs w:val="20"/>
      </w:rPr>
      <w:fldChar w:fldCharType="end"/>
    </w:r>
    <w:r w:rsidRPr="00E53BF4">
      <w:rPr>
        <w:rFonts w:ascii="Times New Roman" w:hAnsi="Times New Roman"/>
        <w:sz w:val="20"/>
        <w:szCs w:val="20"/>
      </w:rPr>
      <w:t>;</w:t>
    </w:r>
    <w:r>
      <w:rPr>
        <w:rFonts w:ascii="Times New Roman" w:hAnsi="Times New Roman"/>
        <w:b/>
        <w:sz w:val="20"/>
        <w:szCs w:val="20"/>
      </w:rPr>
      <w:t xml:space="preserve"> </w:t>
    </w:r>
    <w:r w:rsidRPr="00904C50">
      <w:rPr>
        <w:rFonts w:ascii="Times New Roman" w:hAnsi="Times New Roman"/>
        <w:sz w:val="20"/>
        <w:szCs w:val="20"/>
      </w:rPr>
      <w:t xml:space="preserve">Izziņa par atzinumos </w:t>
    </w:r>
    <w:r w:rsidRPr="000514DD">
      <w:rPr>
        <w:rFonts w:ascii="Times New Roman" w:hAnsi="Times New Roman"/>
        <w:sz w:val="20"/>
        <w:szCs w:val="20"/>
      </w:rPr>
      <w:t xml:space="preserve">sniegtajiem iebildumiem </w:t>
    </w:r>
    <w:r w:rsidRPr="000514DD">
      <w:rPr>
        <w:rFonts w:ascii="Times New Roman" w:eastAsia="Times New Roman" w:hAnsi="Times New Roman" w:cs="Times New Roman"/>
        <w:sz w:val="20"/>
        <w:szCs w:val="20"/>
        <w:lang w:eastAsia="lv-LV"/>
      </w:rPr>
      <w:t>Ministru kabineta informatīvajam ziņojumam “</w:t>
    </w:r>
    <w:r w:rsidR="006A6717">
      <w:rPr>
        <w:rFonts w:ascii="Times New Roman" w:eastAsia="Times New Roman" w:hAnsi="Times New Roman" w:cs="Times New Roman"/>
        <w:sz w:val="20"/>
        <w:szCs w:val="20"/>
        <w:lang w:eastAsia="lv-LV"/>
      </w:rPr>
      <w:t>Latvijas atvērto datu stratēgiju</w:t>
    </w:r>
    <w:r w:rsidRPr="000514DD">
      <w:rPr>
        <w:rFonts w:ascii="Times New Roman" w:eastAsia="Times New Roman" w:hAnsi="Times New Roman" w:cs="Times New Roman"/>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671E3" w14:textId="77777777" w:rsidR="00DF773C" w:rsidRDefault="00DF773C" w:rsidP="00E2138E">
      <w:pPr>
        <w:spacing w:after="0"/>
      </w:pPr>
      <w:r>
        <w:separator/>
      </w:r>
    </w:p>
  </w:footnote>
  <w:footnote w:type="continuationSeparator" w:id="0">
    <w:p w14:paraId="3E2E85BD" w14:textId="77777777" w:rsidR="00DF773C" w:rsidRDefault="00DF773C" w:rsidP="00E213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617841"/>
      <w:docPartObj>
        <w:docPartGallery w:val="Page Numbers (Top of Page)"/>
        <w:docPartUnique/>
      </w:docPartObj>
    </w:sdtPr>
    <w:sdtEndPr>
      <w:rPr>
        <w:sz w:val="20"/>
        <w:szCs w:val="20"/>
      </w:rPr>
    </w:sdtEndPr>
    <w:sdtContent>
      <w:p w14:paraId="0B65A60F" w14:textId="77777777" w:rsidR="006A4892" w:rsidRPr="00840E34" w:rsidRDefault="006A4892" w:rsidP="00840E34">
        <w:pPr>
          <w:pStyle w:val="Header"/>
          <w:jc w:val="center"/>
          <w:rPr>
            <w:sz w:val="20"/>
            <w:szCs w:val="20"/>
          </w:rPr>
        </w:pPr>
        <w:r w:rsidRPr="00840E34">
          <w:rPr>
            <w:sz w:val="20"/>
            <w:szCs w:val="20"/>
          </w:rPr>
          <w:fldChar w:fldCharType="begin"/>
        </w:r>
        <w:r w:rsidRPr="00840E34">
          <w:rPr>
            <w:sz w:val="20"/>
            <w:szCs w:val="20"/>
          </w:rPr>
          <w:instrText xml:space="preserve"> PAGE   \* MERGEFORMAT </w:instrText>
        </w:r>
        <w:r w:rsidRPr="00840E34">
          <w:rPr>
            <w:sz w:val="20"/>
            <w:szCs w:val="20"/>
          </w:rPr>
          <w:fldChar w:fldCharType="separate"/>
        </w:r>
        <w:r w:rsidR="00F428A8">
          <w:rPr>
            <w:noProof/>
            <w:sz w:val="20"/>
            <w:szCs w:val="20"/>
          </w:rPr>
          <w:t>10</w:t>
        </w:r>
        <w:r w:rsidRPr="00840E34">
          <w:rPr>
            <w:sz w:val="20"/>
            <w:szCs w:val="20"/>
          </w:rPr>
          <w:fldChar w:fldCharType="end"/>
        </w:r>
      </w:p>
    </w:sdtContent>
  </w:sdt>
  <w:p w14:paraId="55A0571A" w14:textId="77777777" w:rsidR="006A4892" w:rsidRDefault="006A4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4ACA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31D50"/>
    <w:multiLevelType w:val="hybridMultilevel"/>
    <w:tmpl w:val="CCE87A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202C17"/>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1E23"/>
    <w:multiLevelType w:val="hybridMultilevel"/>
    <w:tmpl w:val="63401BAC"/>
    <w:lvl w:ilvl="0" w:tplc="E2E05CA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302B9C"/>
    <w:multiLevelType w:val="hybridMultilevel"/>
    <w:tmpl w:val="5184B37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0A18BD"/>
    <w:multiLevelType w:val="hybridMultilevel"/>
    <w:tmpl w:val="CB5C17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AA7F7D"/>
    <w:multiLevelType w:val="hybridMultilevel"/>
    <w:tmpl w:val="6C80CC80"/>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15:restartNumberingAfterBreak="0">
    <w:nsid w:val="17C87CE3"/>
    <w:multiLevelType w:val="hybridMultilevel"/>
    <w:tmpl w:val="EB9455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8C156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1660D4"/>
    <w:multiLevelType w:val="hybridMultilevel"/>
    <w:tmpl w:val="1E4CCDE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5B69EC"/>
    <w:multiLevelType w:val="hybridMultilevel"/>
    <w:tmpl w:val="914A48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282E89"/>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C53829"/>
    <w:multiLevelType w:val="hybridMultilevel"/>
    <w:tmpl w:val="78F4B824"/>
    <w:lvl w:ilvl="0" w:tplc="DD409F76">
      <w:start w:val="1"/>
      <w:numFmt w:val="decimal"/>
      <w:pStyle w:val="Style1"/>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AB9421D"/>
    <w:multiLevelType w:val="hybridMultilevel"/>
    <w:tmpl w:val="4E8A77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3C7890"/>
    <w:multiLevelType w:val="hybridMultilevel"/>
    <w:tmpl w:val="0E3ED988"/>
    <w:lvl w:ilvl="0" w:tplc="135024E6">
      <w:start w:val="1"/>
      <w:numFmt w:val="decimal"/>
      <w:lvlText w:val="%1."/>
      <w:lvlJc w:val="left"/>
      <w:pPr>
        <w:ind w:left="684" w:hanging="360"/>
      </w:pPr>
      <w:rPr>
        <w:rFonts w:hint="default"/>
      </w:rPr>
    </w:lvl>
    <w:lvl w:ilvl="1" w:tplc="D49278F6">
      <w:start w:val="1"/>
      <w:numFmt w:val="decimal"/>
      <w:lvlText w:val="%2)"/>
      <w:lvlJc w:val="left"/>
      <w:pPr>
        <w:ind w:left="1404" w:hanging="360"/>
      </w:pPr>
      <w:rPr>
        <w:rFonts w:hint="default"/>
      </w:rPr>
    </w:lvl>
    <w:lvl w:ilvl="2" w:tplc="0426001B" w:tentative="1">
      <w:start w:val="1"/>
      <w:numFmt w:val="lowerRoman"/>
      <w:lvlText w:val="%3."/>
      <w:lvlJc w:val="right"/>
      <w:pPr>
        <w:ind w:left="2124" w:hanging="180"/>
      </w:pPr>
    </w:lvl>
    <w:lvl w:ilvl="3" w:tplc="0426000F" w:tentative="1">
      <w:start w:val="1"/>
      <w:numFmt w:val="decimal"/>
      <w:lvlText w:val="%4."/>
      <w:lvlJc w:val="left"/>
      <w:pPr>
        <w:ind w:left="2844" w:hanging="360"/>
      </w:pPr>
    </w:lvl>
    <w:lvl w:ilvl="4" w:tplc="04260019" w:tentative="1">
      <w:start w:val="1"/>
      <w:numFmt w:val="lowerLetter"/>
      <w:lvlText w:val="%5."/>
      <w:lvlJc w:val="left"/>
      <w:pPr>
        <w:ind w:left="3564" w:hanging="360"/>
      </w:pPr>
    </w:lvl>
    <w:lvl w:ilvl="5" w:tplc="0426001B" w:tentative="1">
      <w:start w:val="1"/>
      <w:numFmt w:val="lowerRoman"/>
      <w:lvlText w:val="%6."/>
      <w:lvlJc w:val="right"/>
      <w:pPr>
        <w:ind w:left="4284" w:hanging="180"/>
      </w:pPr>
    </w:lvl>
    <w:lvl w:ilvl="6" w:tplc="0426000F" w:tentative="1">
      <w:start w:val="1"/>
      <w:numFmt w:val="decimal"/>
      <w:lvlText w:val="%7."/>
      <w:lvlJc w:val="left"/>
      <w:pPr>
        <w:ind w:left="5004" w:hanging="360"/>
      </w:pPr>
    </w:lvl>
    <w:lvl w:ilvl="7" w:tplc="04260019" w:tentative="1">
      <w:start w:val="1"/>
      <w:numFmt w:val="lowerLetter"/>
      <w:lvlText w:val="%8."/>
      <w:lvlJc w:val="left"/>
      <w:pPr>
        <w:ind w:left="5724" w:hanging="360"/>
      </w:pPr>
    </w:lvl>
    <w:lvl w:ilvl="8" w:tplc="0426001B" w:tentative="1">
      <w:start w:val="1"/>
      <w:numFmt w:val="lowerRoman"/>
      <w:lvlText w:val="%9."/>
      <w:lvlJc w:val="right"/>
      <w:pPr>
        <w:ind w:left="6444" w:hanging="180"/>
      </w:pPr>
    </w:lvl>
  </w:abstractNum>
  <w:abstractNum w:abstractNumId="15" w15:restartNumberingAfterBreak="0">
    <w:nsid w:val="4D934486"/>
    <w:multiLevelType w:val="hybridMultilevel"/>
    <w:tmpl w:val="31946194"/>
    <w:lvl w:ilvl="0" w:tplc="3CBA1FC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80214B3"/>
    <w:multiLevelType w:val="hybridMultilevel"/>
    <w:tmpl w:val="93F0D084"/>
    <w:lvl w:ilvl="0" w:tplc="D54659C0">
      <w:start w:val="1"/>
      <w:numFmt w:val="decimal"/>
      <w:lvlText w:val="%1."/>
      <w:lvlJc w:val="left"/>
      <w:pPr>
        <w:ind w:left="567" w:hanging="3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5A5A7246"/>
    <w:multiLevelType w:val="multilevel"/>
    <w:tmpl w:val="B414FA7A"/>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C1B3E5C"/>
    <w:multiLevelType w:val="hybridMultilevel"/>
    <w:tmpl w:val="B06EF580"/>
    <w:lvl w:ilvl="0" w:tplc="723AAC6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9D557B5"/>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FE5F18"/>
    <w:multiLevelType w:val="hybridMultilevel"/>
    <w:tmpl w:val="F36AC8BE"/>
    <w:lvl w:ilvl="0" w:tplc="0426000F">
      <w:start w:val="1"/>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1" w15:restartNumberingAfterBreak="0">
    <w:nsid w:val="6F2C345D"/>
    <w:multiLevelType w:val="multilevel"/>
    <w:tmpl w:val="53649EBA"/>
    <w:lvl w:ilvl="0">
      <w:start w:val="1"/>
      <w:numFmt w:val="decimal"/>
      <w:lvlText w:val="%1."/>
      <w:lvlJc w:val="left"/>
      <w:pPr>
        <w:ind w:left="360" w:hanging="360"/>
      </w:pPr>
      <w:rPr>
        <w:rFonts w:ascii="Times New Roman" w:eastAsiaTheme="minorHAnsi" w:hAnsi="Times New Roman" w:cs="Times New Roman"/>
        <w:b w:val="0"/>
        <w:color w:val="auto"/>
      </w:rPr>
    </w:lvl>
    <w:lvl w:ilvl="1">
      <w:start w:val="1"/>
      <w:numFmt w:val="decimal"/>
      <w:lvlText w:val="%1.%2."/>
      <w:lvlJc w:val="left"/>
      <w:pPr>
        <w:ind w:left="1637" w:hanging="360"/>
      </w:pPr>
      <w:rPr>
        <w:rFonts w:hint="default"/>
        <w:strike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78A068BF"/>
    <w:multiLevelType w:val="hybridMultilevel"/>
    <w:tmpl w:val="ADCC01DC"/>
    <w:lvl w:ilvl="0" w:tplc="7B2A6D82">
      <w:start w:val="1"/>
      <w:numFmt w:val="decimal"/>
      <w:lvlText w:val="%1."/>
      <w:lvlJc w:val="left"/>
      <w:pPr>
        <w:ind w:left="720" w:hanging="360"/>
      </w:pPr>
      <w:rPr>
        <w:rFonts w:hint="default"/>
        <w:spacing w:val="0"/>
        <w:position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4"/>
  </w:num>
  <w:num w:numId="5">
    <w:abstractNumId w:val="18"/>
  </w:num>
  <w:num w:numId="6">
    <w:abstractNumId w:val="21"/>
  </w:num>
  <w:num w:numId="7">
    <w:abstractNumId w:val="15"/>
  </w:num>
  <w:num w:numId="8">
    <w:abstractNumId w:val="17"/>
  </w:num>
  <w:num w:numId="9">
    <w:abstractNumId w:val="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19"/>
  </w:num>
  <w:num w:numId="14">
    <w:abstractNumId w:val="2"/>
  </w:num>
  <w:num w:numId="15">
    <w:abstractNumId w:val="20"/>
  </w:num>
  <w:num w:numId="16">
    <w:abstractNumId w:val="10"/>
  </w:num>
  <w:num w:numId="17">
    <w:abstractNumId w:val="22"/>
  </w:num>
  <w:num w:numId="18">
    <w:abstractNumId w:val="16"/>
  </w:num>
  <w:num w:numId="19">
    <w:abstractNumId w:val="14"/>
  </w:num>
  <w:num w:numId="20">
    <w:abstractNumId w:val="6"/>
  </w:num>
  <w:num w:numId="21">
    <w:abstractNumId w:val="7"/>
  </w:num>
  <w:num w:numId="22">
    <w:abstractNumId w:val="3"/>
  </w:num>
  <w:num w:numId="23">
    <w:abstractNumId w:val="1"/>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21"/>
    <w:rsid w:val="000049E7"/>
    <w:rsid w:val="0000514A"/>
    <w:rsid w:val="00010FDA"/>
    <w:rsid w:val="000172D1"/>
    <w:rsid w:val="000204F4"/>
    <w:rsid w:val="000235AD"/>
    <w:rsid w:val="00023C57"/>
    <w:rsid w:val="00023EC6"/>
    <w:rsid w:val="0002514E"/>
    <w:rsid w:val="00031D93"/>
    <w:rsid w:val="00032E7B"/>
    <w:rsid w:val="00033588"/>
    <w:rsid w:val="00041272"/>
    <w:rsid w:val="000418B6"/>
    <w:rsid w:val="00041D73"/>
    <w:rsid w:val="00043094"/>
    <w:rsid w:val="00046035"/>
    <w:rsid w:val="000514DD"/>
    <w:rsid w:val="00054DDF"/>
    <w:rsid w:val="0006050C"/>
    <w:rsid w:val="00065DD2"/>
    <w:rsid w:val="00066B80"/>
    <w:rsid w:val="000809B1"/>
    <w:rsid w:val="00082B8E"/>
    <w:rsid w:val="000834DA"/>
    <w:rsid w:val="000841C5"/>
    <w:rsid w:val="000856FB"/>
    <w:rsid w:val="000864FB"/>
    <w:rsid w:val="00097DD8"/>
    <w:rsid w:val="000A200C"/>
    <w:rsid w:val="000A5828"/>
    <w:rsid w:val="000B096A"/>
    <w:rsid w:val="000B185F"/>
    <w:rsid w:val="000B37D7"/>
    <w:rsid w:val="000B4202"/>
    <w:rsid w:val="000B5197"/>
    <w:rsid w:val="000C195E"/>
    <w:rsid w:val="000C2430"/>
    <w:rsid w:val="000E00CB"/>
    <w:rsid w:val="000E154C"/>
    <w:rsid w:val="000E2D56"/>
    <w:rsid w:val="000E490A"/>
    <w:rsid w:val="000E796F"/>
    <w:rsid w:val="000F08C1"/>
    <w:rsid w:val="000F7AA5"/>
    <w:rsid w:val="001027F3"/>
    <w:rsid w:val="0010485B"/>
    <w:rsid w:val="00116459"/>
    <w:rsid w:val="001213B0"/>
    <w:rsid w:val="0012154F"/>
    <w:rsid w:val="00123067"/>
    <w:rsid w:val="001329A8"/>
    <w:rsid w:val="0013336E"/>
    <w:rsid w:val="00134910"/>
    <w:rsid w:val="001404D6"/>
    <w:rsid w:val="00144FEF"/>
    <w:rsid w:val="001457DD"/>
    <w:rsid w:val="00145899"/>
    <w:rsid w:val="00147583"/>
    <w:rsid w:val="00152C55"/>
    <w:rsid w:val="00157683"/>
    <w:rsid w:val="00160ECE"/>
    <w:rsid w:val="00163773"/>
    <w:rsid w:val="00164C3D"/>
    <w:rsid w:val="001672F9"/>
    <w:rsid w:val="00172BF3"/>
    <w:rsid w:val="001741FA"/>
    <w:rsid w:val="00180E7A"/>
    <w:rsid w:val="00185D4C"/>
    <w:rsid w:val="00190C19"/>
    <w:rsid w:val="00191599"/>
    <w:rsid w:val="001954A6"/>
    <w:rsid w:val="00196156"/>
    <w:rsid w:val="001A0CFC"/>
    <w:rsid w:val="001A4497"/>
    <w:rsid w:val="001A4F10"/>
    <w:rsid w:val="001A4F38"/>
    <w:rsid w:val="001B6659"/>
    <w:rsid w:val="001B6C9F"/>
    <w:rsid w:val="001B6F85"/>
    <w:rsid w:val="001C48F1"/>
    <w:rsid w:val="001D06C9"/>
    <w:rsid w:val="001D22D4"/>
    <w:rsid w:val="001D593E"/>
    <w:rsid w:val="001E5095"/>
    <w:rsid w:val="001E7C8A"/>
    <w:rsid w:val="001F43C0"/>
    <w:rsid w:val="00202CE9"/>
    <w:rsid w:val="00206825"/>
    <w:rsid w:val="00207B03"/>
    <w:rsid w:val="00210D07"/>
    <w:rsid w:val="00211E3D"/>
    <w:rsid w:val="00213581"/>
    <w:rsid w:val="00214D83"/>
    <w:rsid w:val="0022239B"/>
    <w:rsid w:val="00226505"/>
    <w:rsid w:val="00244230"/>
    <w:rsid w:val="00251101"/>
    <w:rsid w:val="002515E4"/>
    <w:rsid w:val="00254F61"/>
    <w:rsid w:val="0025667C"/>
    <w:rsid w:val="00263957"/>
    <w:rsid w:val="0026603E"/>
    <w:rsid w:val="00266917"/>
    <w:rsid w:val="00274667"/>
    <w:rsid w:val="002839D9"/>
    <w:rsid w:val="00285A0D"/>
    <w:rsid w:val="00285F8E"/>
    <w:rsid w:val="00286A11"/>
    <w:rsid w:val="0029081D"/>
    <w:rsid w:val="00291AEA"/>
    <w:rsid w:val="00294CD4"/>
    <w:rsid w:val="002A45FA"/>
    <w:rsid w:val="002B18F4"/>
    <w:rsid w:val="002B1B50"/>
    <w:rsid w:val="002C1FDA"/>
    <w:rsid w:val="002C446E"/>
    <w:rsid w:val="002D335C"/>
    <w:rsid w:val="002D662C"/>
    <w:rsid w:val="002D6795"/>
    <w:rsid w:val="002F1A8A"/>
    <w:rsid w:val="002F2954"/>
    <w:rsid w:val="002F5DF0"/>
    <w:rsid w:val="002F799A"/>
    <w:rsid w:val="003043D8"/>
    <w:rsid w:val="0030489E"/>
    <w:rsid w:val="00304E08"/>
    <w:rsid w:val="00306860"/>
    <w:rsid w:val="00310FBC"/>
    <w:rsid w:val="0031661A"/>
    <w:rsid w:val="00316E69"/>
    <w:rsid w:val="00317762"/>
    <w:rsid w:val="003219D8"/>
    <w:rsid w:val="003226DE"/>
    <w:rsid w:val="00330552"/>
    <w:rsid w:val="00334155"/>
    <w:rsid w:val="00341D79"/>
    <w:rsid w:val="00343BD4"/>
    <w:rsid w:val="00344571"/>
    <w:rsid w:val="00352F2B"/>
    <w:rsid w:val="003562BA"/>
    <w:rsid w:val="00356521"/>
    <w:rsid w:val="00357521"/>
    <w:rsid w:val="00360CC0"/>
    <w:rsid w:val="00363F8E"/>
    <w:rsid w:val="0037131A"/>
    <w:rsid w:val="003729C8"/>
    <w:rsid w:val="003731F6"/>
    <w:rsid w:val="00374787"/>
    <w:rsid w:val="00375270"/>
    <w:rsid w:val="003755F4"/>
    <w:rsid w:val="003762EA"/>
    <w:rsid w:val="00376353"/>
    <w:rsid w:val="003839D5"/>
    <w:rsid w:val="003845FD"/>
    <w:rsid w:val="00385DBE"/>
    <w:rsid w:val="0039052E"/>
    <w:rsid w:val="003A174D"/>
    <w:rsid w:val="003A2918"/>
    <w:rsid w:val="003A386F"/>
    <w:rsid w:val="003A4C36"/>
    <w:rsid w:val="003C0071"/>
    <w:rsid w:val="003C6EF2"/>
    <w:rsid w:val="003D2D5F"/>
    <w:rsid w:val="003E0C20"/>
    <w:rsid w:val="003E3A9D"/>
    <w:rsid w:val="003E7567"/>
    <w:rsid w:val="003F1174"/>
    <w:rsid w:val="003F553F"/>
    <w:rsid w:val="003F7773"/>
    <w:rsid w:val="003F7BAF"/>
    <w:rsid w:val="00400666"/>
    <w:rsid w:val="00413F70"/>
    <w:rsid w:val="0041715D"/>
    <w:rsid w:val="00417170"/>
    <w:rsid w:val="004202F4"/>
    <w:rsid w:val="00422132"/>
    <w:rsid w:val="0042272A"/>
    <w:rsid w:val="00424686"/>
    <w:rsid w:val="004310E9"/>
    <w:rsid w:val="00433E47"/>
    <w:rsid w:val="00436B18"/>
    <w:rsid w:val="00441516"/>
    <w:rsid w:val="004545F6"/>
    <w:rsid w:val="0045533F"/>
    <w:rsid w:val="00466991"/>
    <w:rsid w:val="004669F1"/>
    <w:rsid w:val="004727ED"/>
    <w:rsid w:val="004753A1"/>
    <w:rsid w:val="004812CB"/>
    <w:rsid w:val="00485952"/>
    <w:rsid w:val="004949F7"/>
    <w:rsid w:val="0049539C"/>
    <w:rsid w:val="00497020"/>
    <w:rsid w:val="00497AB5"/>
    <w:rsid w:val="004A1F60"/>
    <w:rsid w:val="004A6C30"/>
    <w:rsid w:val="004B7733"/>
    <w:rsid w:val="004C11E0"/>
    <w:rsid w:val="004C1953"/>
    <w:rsid w:val="004C2E8E"/>
    <w:rsid w:val="004D3AAA"/>
    <w:rsid w:val="004D6E65"/>
    <w:rsid w:val="004E297B"/>
    <w:rsid w:val="004E4E10"/>
    <w:rsid w:val="004E6A67"/>
    <w:rsid w:val="004F026E"/>
    <w:rsid w:val="004F4C77"/>
    <w:rsid w:val="004F5073"/>
    <w:rsid w:val="004F6A4E"/>
    <w:rsid w:val="00500C79"/>
    <w:rsid w:val="00500FB9"/>
    <w:rsid w:val="0050330A"/>
    <w:rsid w:val="00505777"/>
    <w:rsid w:val="00506245"/>
    <w:rsid w:val="0052090B"/>
    <w:rsid w:val="0052578E"/>
    <w:rsid w:val="00526752"/>
    <w:rsid w:val="005273E3"/>
    <w:rsid w:val="00533E3C"/>
    <w:rsid w:val="0053679A"/>
    <w:rsid w:val="005419D2"/>
    <w:rsid w:val="00543814"/>
    <w:rsid w:val="0055150F"/>
    <w:rsid w:val="005523A0"/>
    <w:rsid w:val="005532A1"/>
    <w:rsid w:val="005559EA"/>
    <w:rsid w:val="00556646"/>
    <w:rsid w:val="00556B09"/>
    <w:rsid w:val="0055724F"/>
    <w:rsid w:val="00557A78"/>
    <w:rsid w:val="005608E9"/>
    <w:rsid w:val="0056111C"/>
    <w:rsid w:val="0056121B"/>
    <w:rsid w:val="00561A6A"/>
    <w:rsid w:val="00562111"/>
    <w:rsid w:val="00573E44"/>
    <w:rsid w:val="005747D2"/>
    <w:rsid w:val="00574F80"/>
    <w:rsid w:val="00576479"/>
    <w:rsid w:val="005835C7"/>
    <w:rsid w:val="00592975"/>
    <w:rsid w:val="005A134F"/>
    <w:rsid w:val="005A399E"/>
    <w:rsid w:val="005A6669"/>
    <w:rsid w:val="005B70EB"/>
    <w:rsid w:val="005C3763"/>
    <w:rsid w:val="005C4BDE"/>
    <w:rsid w:val="005E7E64"/>
    <w:rsid w:val="005F1DDD"/>
    <w:rsid w:val="005F4048"/>
    <w:rsid w:val="005F41A2"/>
    <w:rsid w:val="005F5268"/>
    <w:rsid w:val="005F604D"/>
    <w:rsid w:val="005F6399"/>
    <w:rsid w:val="005F707E"/>
    <w:rsid w:val="005F71D3"/>
    <w:rsid w:val="005F7A12"/>
    <w:rsid w:val="006037D4"/>
    <w:rsid w:val="006040D0"/>
    <w:rsid w:val="00620805"/>
    <w:rsid w:val="00621FA0"/>
    <w:rsid w:val="00622204"/>
    <w:rsid w:val="00623A17"/>
    <w:rsid w:val="00644E09"/>
    <w:rsid w:val="00647B0C"/>
    <w:rsid w:val="00656761"/>
    <w:rsid w:val="00662FBA"/>
    <w:rsid w:val="00664E9E"/>
    <w:rsid w:val="0067096C"/>
    <w:rsid w:val="00670A98"/>
    <w:rsid w:val="00670C2F"/>
    <w:rsid w:val="00673762"/>
    <w:rsid w:val="006762D1"/>
    <w:rsid w:val="00682FAE"/>
    <w:rsid w:val="00694C6E"/>
    <w:rsid w:val="0069557B"/>
    <w:rsid w:val="00695BD7"/>
    <w:rsid w:val="006966EB"/>
    <w:rsid w:val="006A0925"/>
    <w:rsid w:val="006A2527"/>
    <w:rsid w:val="006A4892"/>
    <w:rsid w:val="006A631C"/>
    <w:rsid w:val="006A6717"/>
    <w:rsid w:val="006B12DC"/>
    <w:rsid w:val="006B47ED"/>
    <w:rsid w:val="006C44D3"/>
    <w:rsid w:val="006C5208"/>
    <w:rsid w:val="006D367A"/>
    <w:rsid w:val="006D4AB1"/>
    <w:rsid w:val="006D6779"/>
    <w:rsid w:val="006E3850"/>
    <w:rsid w:val="006E43B7"/>
    <w:rsid w:val="006E5D8D"/>
    <w:rsid w:val="006F2D73"/>
    <w:rsid w:val="006F41AB"/>
    <w:rsid w:val="006F58B9"/>
    <w:rsid w:val="0070519C"/>
    <w:rsid w:val="007054B6"/>
    <w:rsid w:val="0071063C"/>
    <w:rsid w:val="00713558"/>
    <w:rsid w:val="007146C1"/>
    <w:rsid w:val="007155F3"/>
    <w:rsid w:val="007203ED"/>
    <w:rsid w:val="00723A10"/>
    <w:rsid w:val="00723D04"/>
    <w:rsid w:val="007269D0"/>
    <w:rsid w:val="007304EE"/>
    <w:rsid w:val="007333EF"/>
    <w:rsid w:val="00733916"/>
    <w:rsid w:val="00734669"/>
    <w:rsid w:val="00736806"/>
    <w:rsid w:val="00737E94"/>
    <w:rsid w:val="00740C7B"/>
    <w:rsid w:val="00742DA2"/>
    <w:rsid w:val="00744DA2"/>
    <w:rsid w:val="00746454"/>
    <w:rsid w:val="007468C3"/>
    <w:rsid w:val="00752C81"/>
    <w:rsid w:val="00753000"/>
    <w:rsid w:val="00756734"/>
    <w:rsid w:val="00756BD1"/>
    <w:rsid w:val="007655C2"/>
    <w:rsid w:val="00765806"/>
    <w:rsid w:val="00771BC6"/>
    <w:rsid w:val="0077393F"/>
    <w:rsid w:val="0077482D"/>
    <w:rsid w:val="00780699"/>
    <w:rsid w:val="00781586"/>
    <w:rsid w:val="00783089"/>
    <w:rsid w:val="00785D86"/>
    <w:rsid w:val="00793638"/>
    <w:rsid w:val="00795B64"/>
    <w:rsid w:val="007A0EED"/>
    <w:rsid w:val="007A29F5"/>
    <w:rsid w:val="007B0E4F"/>
    <w:rsid w:val="007B24AB"/>
    <w:rsid w:val="007B4C49"/>
    <w:rsid w:val="007B7705"/>
    <w:rsid w:val="007C5E40"/>
    <w:rsid w:val="007D118B"/>
    <w:rsid w:val="007D4229"/>
    <w:rsid w:val="007E56D8"/>
    <w:rsid w:val="007E6469"/>
    <w:rsid w:val="007F20D1"/>
    <w:rsid w:val="007F4996"/>
    <w:rsid w:val="007F4ECF"/>
    <w:rsid w:val="007F5B89"/>
    <w:rsid w:val="007F5FEB"/>
    <w:rsid w:val="007F685E"/>
    <w:rsid w:val="007F6D8E"/>
    <w:rsid w:val="00801C76"/>
    <w:rsid w:val="00810E45"/>
    <w:rsid w:val="008110EB"/>
    <w:rsid w:val="0081224D"/>
    <w:rsid w:val="00820C64"/>
    <w:rsid w:val="00831D73"/>
    <w:rsid w:val="00831DF4"/>
    <w:rsid w:val="00836EBC"/>
    <w:rsid w:val="008372C7"/>
    <w:rsid w:val="00840E34"/>
    <w:rsid w:val="00846588"/>
    <w:rsid w:val="0084677A"/>
    <w:rsid w:val="00846F67"/>
    <w:rsid w:val="00852121"/>
    <w:rsid w:val="00852264"/>
    <w:rsid w:val="00856A33"/>
    <w:rsid w:val="008620D5"/>
    <w:rsid w:val="00864734"/>
    <w:rsid w:val="0086688E"/>
    <w:rsid w:val="0086694E"/>
    <w:rsid w:val="00872DD5"/>
    <w:rsid w:val="00874563"/>
    <w:rsid w:val="00875D90"/>
    <w:rsid w:val="00886F07"/>
    <w:rsid w:val="008904BB"/>
    <w:rsid w:val="0089401B"/>
    <w:rsid w:val="008A1441"/>
    <w:rsid w:val="008A1BE2"/>
    <w:rsid w:val="008A2254"/>
    <w:rsid w:val="008B1758"/>
    <w:rsid w:val="008B59A2"/>
    <w:rsid w:val="008B6299"/>
    <w:rsid w:val="008B76FA"/>
    <w:rsid w:val="008C07A8"/>
    <w:rsid w:val="008C15A6"/>
    <w:rsid w:val="008C1ACF"/>
    <w:rsid w:val="008C277F"/>
    <w:rsid w:val="008D261A"/>
    <w:rsid w:val="008D2721"/>
    <w:rsid w:val="008D5F59"/>
    <w:rsid w:val="008F0032"/>
    <w:rsid w:val="008F0570"/>
    <w:rsid w:val="008F115C"/>
    <w:rsid w:val="008F7757"/>
    <w:rsid w:val="00926C42"/>
    <w:rsid w:val="0093145A"/>
    <w:rsid w:val="0093216A"/>
    <w:rsid w:val="00932931"/>
    <w:rsid w:val="0094098A"/>
    <w:rsid w:val="00941E24"/>
    <w:rsid w:val="00942A71"/>
    <w:rsid w:val="0094372F"/>
    <w:rsid w:val="00943FE8"/>
    <w:rsid w:val="00952E1A"/>
    <w:rsid w:val="00963E4A"/>
    <w:rsid w:val="0096464E"/>
    <w:rsid w:val="00967B33"/>
    <w:rsid w:val="00967DC1"/>
    <w:rsid w:val="009719CF"/>
    <w:rsid w:val="00980F8D"/>
    <w:rsid w:val="00981141"/>
    <w:rsid w:val="0098277B"/>
    <w:rsid w:val="00982EE2"/>
    <w:rsid w:val="00990992"/>
    <w:rsid w:val="00990B53"/>
    <w:rsid w:val="009A2121"/>
    <w:rsid w:val="009A24AD"/>
    <w:rsid w:val="009A7C2E"/>
    <w:rsid w:val="009B0783"/>
    <w:rsid w:val="009B492A"/>
    <w:rsid w:val="009B5A83"/>
    <w:rsid w:val="009C11F6"/>
    <w:rsid w:val="009C2344"/>
    <w:rsid w:val="009C2488"/>
    <w:rsid w:val="009C36C8"/>
    <w:rsid w:val="009C47A7"/>
    <w:rsid w:val="009C6636"/>
    <w:rsid w:val="009C6BAE"/>
    <w:rsid w:val="009D2C25"/>
    <w:rsid w:val="009D4E4A"/>
    <w:rsid w:val="009D529A"/>
    <w:rsid w:val="009F0BB7"/>
    <w:rsid w:val="009F1978"/>
    <w:rsid w:val="009F4637"/>
    <w:rsid w:val="00A076B2"/>
    <w:rsid w:val="00A1182D"/>
    <w:rsid w:val="00A12091"/>
    <w:rsid w:val="00A13C42"/>
    <w:rsid w:val="00A165F5"/>
    <w:rsid w:val="00A21668"/>
    <w:rsid w:val="00A2440E"/>
    <w:rsid w:val="00A27EBC"/>
    <w:rsid w:val="00A31050"/>
    <w:rsid w:val="00A3660D"/>
    <w:rsid w:val="00A41385"/>
    <w:rsid w:val="00A53B43"/>
    <w:rsid w:val="00A62DCC"/>
    <w:rsid w:val="00A63BB0"/>
    <w:rsid w:val="00A65768"/>
    <w:rsid w:val="00A6758D"/>
    <w:rsid w:val="00A731F4"/>
    <w:rsid w:val="00A73423"/>
    <w:rsid w:val="00A8035B"/>
    <w:rsid w:val="00A81175"/>
    <w:rsid w:val="00A820B3"/>
    <w:rsid w:val="00A82920"/>
    <w:rsid w:val="00A82AD3"/>
    <w:rsid w:val="00A844FC"/>
    <w:rsid w:val="00A84E3B"/>
    <w:rsid w:val="00A90484"/>
    <w:rsid w:val="00A9197D"/>
    <w:rsid w:val="00A926DF"/>
    <w:rsid w:val="00A95A0A"/>
    <w:rsid w:val="00AA0FF4"/>
    <w:rsid w:val="00AA1066"/>
    <w:rsid w:val="00AA161D"/>
    <w:rsid w:val="00AA3C2C"/>
    <w:rsid w:val="00AA7F0A"/>
    <w:rsid w:val="00AB21CA"/>
    <w:rsid w:val="00AB42AE"/>
    <w:rsid w:val="00AB5A96"/>
    <w:rsid w:val="00AC1970"/>
    <w:rsid w:val="00AC336D"/>
    <w:rsid w:val="00AC4039"/>
    <w:rsid w:val="00AC795F"/>
    <w:rsid w:val="00AC7B85"/>
    <w:rsid w:val="00AD3B6D"/>
    <w:rsid w:val="00AF2110"/>
    <w:rsid w:val="00AF2CBD"/>
    <w:rsid w:val="00AF47FA"/>
    <w:rsid w:val="00B077F5"/>
    <w:rsid w:val="00B1004D"/>
    <w:rsid w:val="00B10F6E"/>
    <w:rsid w:val="00B14526"/>
    <w:rsid w:val="00B14AFE"/>
    <w:rsid w:val="00B20AF8"/>
    <w:rsid w:val="00B23AD1"/>
    <w:rsid w:val="00B23F1A"/>
    <w:rsid w:val="00B259E5"/>
    <w:rsid w:val="00B30167"/>
    <w:rsid w:val="00B301A8"/>
    <w:rsid w:val="00B363CC"/>
    <w:rsid w:val="00B36E6A"/>
    <w:rsid w:val="00B40560"/>
    <w:rsid w:val="00B4076F"/>
    <w:rsid w:val="00B47091"/>
    <w:rsid w:val="00B567D5"/>
    <w:rsid w:val="00B57FE6"/>
    <w:rsid w:val="00B641C5"/>
    <w:rsid w:val="00B66874"/>
    <w:rsid w:val="00B70BC7"/>
    <w:rsid w:val="00B71799"/>
    <w:rsid w:val="00B7438A"/>
    <w:rsid w:val="00B767D8"/>
    <w:rsid w:val="00B8102E"/>
    <w:rsid w:val="00B84815"/>
    <w:rsid w:val="00B85423"/>
    <w:rsid w:val="00B91235"/>
    <w:rsid w:val="00B92765"/>
    <w:rsid w:val="00BA21D9"/>
    <w:rsid w:val="00BA3026"/>
    <w:rsid w:val="00BA4E18"/>
    <w:rsid w:val="00BA6E42"/>
    <w:rsid w:val="00BB17F2"/>
    <w:rsid w:val="00BB4A3D"/>
    <w:rsid w:val="00BB51E0"/>
    <w:rsid w:val="00BB54A9"/>
    <w:rsid w:val="00BB5623"/>
    <w:rsid w:val="00BB6F60"/>
    <w:rsid w:val="00BC174A"/>
    <w:rsid w:val="00BD060B"/>
    <w:rsid w:val="00BD3160"/>
    <w:rsid w:val="00BD41B2"/>
    <w:rsid w:val="00BD4BEA"/>
    <w:rsid w:val="00BD5C06"/>
    <w:rsid w:val="00BD7B14"/>
    <w:rsid w:val="00BE2E60"/>
    <w:rsid w:val="00BF222D"/>
    <w:rsid w:val="00BF58E0"/>
    <w:rsid w:val="00C04958"/>
    <w:rsid w:val="00C05AD0"/>
    <w:rsid w:val="00C05DCC"/>
    <w:rsid w:val="00C073EC"/>
    <w:rsid w:val="00C16C95"/>
    <w:rsid w:val="00C307D0"/>
    <w:rsid w:val="00C32265"/>
    <w:rsid w:val="00C36CEE"/>
    <w:rsid w:val="00C419AC"/>
    <w:rsid w:val="00C44DB3"/>
    <w:rsid w:val="00C4555F"/>
    <w:rsid w:val="00C45DBC"/>
    <w:rsid w:val="00C511E7"/>
    <w:rsid w:val="00C55B7E"/>
    <w:rsid w:val="00C57F40"/>
    <w:rsid w:val="00C60044"/>
    <w:rsid w:val="00C6160C"/>
    <w:rsid w:val="00C621F9"/>
    <w:rsid w:val="00C71A62"/>
    <w:rsid w:val="00C73721"/>
    <w:rsid w:val="00C774E5"/>
    <w:rsid w:val="00C90FB9"/>
    <w:rsid w:val="00C91A07"/>
    <w:rsid w:val="00C9714A"/>
    <w:rsid w:val="00CA11B6"/>
    <w:rsid w:val="00CA1A9C"/>
    <w:rsid w:val="00CA4D90"/>
    <w:rsid w:val="00CB1587"/>
    <w:rsid w:val="00CB6D35"/>
    <w:rsid w:val="00CC04B5"/>
    <w:rsid w:val="00CC6005"/>
    <w:rsid w:val="00CD1802"/>
    <w:rsid w:val="00CD254B"/>
    <w:rsid w:val="00CD5E0D"/>
    <w:rsid w:val="00CD6767"/>
    <w:rsid w:val="00CE5F3A"/>
    <w:rsid w:val="00CE6755"/>
    <w:rsid w:val="00CE705C"/>
    <w:rsid w:val="00CF0047"/>
    <w:rsid w:val="00CF2FA0"/>
    <w:rsid w:val="00CF4E1B"/>
    <w:rsid w:val="00D006E8"/>
    <w:rsid w:val="00D0383E"/>
    <w:rsid w:val="00D0703A"/>
    <w:rsid w:val="00D10121"/>
    <w:rsid w:val="00D10C10"/>
    <w:rsid w:val="00D144C2"/>
    <w:rsid w:val="00D14BE7"/>
    <w:rsid w:val="00D30442"/>
    <w:rsid w:val="00D31D8B"/>
    <w:rsid w:val="00D350F1"/>
    <w:rsid w:val="00D36AAD"/>
    <w:rsid w:val="00D469D7"/>
    <w:rsid w:val="00D52890"/>
    <w:rsid w:val="00D54049"/>
    <w:rsid w:val="00D552AF"/>
    <w:rsid w:val="00D5614C"/>
    <w:rsid w:val="00D568A4"/>
    <w:rsid w:val="00D60BCE"/>
    <w:rsid w:val="00D624F5"/>
    <w:rsid w:val="00D6674F"/>
    <w:rsid w:val="00D73C30"/>
    <w:rsid w:val="00D74C43"/>
    <w:rsid w:val="00D7700C"/>
    <w:rsid w:val="00D82175"/>
    <w:rsid w:val="00D86B61"/>
    <w:rsid w:val="00D87300"/>
    <w:rsid w:val="00D875A3"/>
    <w:rsid w:val="00D90BC1"/>
    <w:rsid w:val="00D9209E"/>
    <w:rsid w:val="00D92FBC"/>
    <w:rsid w:val="00D95996"/>
    <w:rsid w:val="00DA0858"/>
    <w:rsid w:val="00DA2698"/>
    <w:rsid w:val="00DB5E52"/>
    <w:rsid w:val="00DC1D44"/>
    <w:rsid w:val="00DC2376"/>
    <w:rsid w:val="00DC2B3C"/>
    <w:rsid w:val="00DC6235"/>
    <w:rsid w:val="00DD49E2"/>
    <w:rsid w:val="00DD5E09"/>
    <w:rsid w:val="00DD6D77"/>
    <w:rsid w:val="00DE0A2C"/>
    <w:rsid w:val="00DE1B42"/>
    <w:rsid w:val="00DE4C9A"/>
    <w:rsid w:val="00DF29C0"/>
    <w:rsid w:val="00DF2FC1"/>
    <w:rsid w:val="00DF773C"/>
    <w:rsid w:val="00E00E64"/>
    <w:rsid w:val="00E00F6F"/>
    <w:rsid w:val="00E01106"/>
    <w:rsid w:val="00E0568B"/>
    <w:rsid w:val="00E16D94"/>
    <w:rsid w:val="00E20119"/>
    <w:rsid w:val="00E2138E"/>
    <w:rsid w:val="00E213CB"/>
    <w:rsid w:val="00E23B45"/>
    <w:rsid w:val="00E30CEA"/>
    <w:rsid w:val="00E31DB8"/>
    <w:rsid w:val="00E326FA"/>
    <w:rsid w:val="00E33603"/>
    <w:rsid w:val="00E33A06"/>
    <w:rsid w:val="00E33F2C"/>
    <w:rsid w:val="00E41CB2"/>
    <w:rsid w:val="00E42254"/>
    <w:rsid w:val="00E4270F"/>
    <w:rsid w:val="00E43D6F"/>
    <w:rsid w:val="00E43EF4"/>
    <w:rsid w:val="00E51C03"/>
    <w:rsid w:val="00E52EAC"/>
    <w:rsid w:val="00E53BF4"/>
    <w:rsid w:val="00E5477E"/>
    <w:rsid w:val="00E56934"/>
    <w:rsid w:val="00E61CA1"/>
    <w:rsid w:val="00E66B67"/>
    <w:rsid w:val="00E73F17"/>
    <w:rsid w:val="00E74405"/>
    <w:rsid w:val="00E75CF1"/>
    <w:rsid w:val="00E819A4"/>
    <w:rsid w:val="00E8202E"/>
    <w:rsid w:val="00E84FB3"/>
    <w:rsid w:val="00E87BD4"/>
    <w:rsid w:val="00E9266E"/>
    <w:rsid w:val="00EA052F"/>
    <w:rsid w:val="00EA3657"/>
    <w:rsid w:val="00EB03AB"/>
    <w:rsid w:val="00EB25A6"/>
    <w:rsid w:val="00EB4D25"/>
    <w:rsid w:val="00EC1021"/>
    <w:rsid w:val="00EC4E07"/>
    <w:rsid w:val="00EC50BC"/>
    <w:rsid w:val="00ED1772"/>
    <w:rsid w:val="00ED18E8"/>
    <w:rsid w:val="00EE0FB0"/>
    <w:rsid w:val="00EE68A6"/>
    <w:rsid w:val="00F00518"/>
    <w:rsid w:val="00F00632"/>
    <w:rsid w:val="00F037B1"/>
    <w:rsid w:val="00F061D3"/>
    <w:rsid w:val="00F11B4D"/>
    <w:rsid w:val="00F13215"/>
    <w:rsid w:val="00F134D5"/>
    <w:rsid w:val="00F16211"/>
    <w:rsid w:val="00F16E11"/>
    <w:rsid w:val="00F20460"/>
    <w:rsid w:val="00F26F46"/>
    <w:rsid w:val="00F2717F"/>
    <w:rsid w:val="00F27B5B"/>
    <w:rsid w:val="00F329E8"/>
    <w:rsid w:val="00F33FF7"/>
    <w:rsid w:val="00F3481E"/>
    <w:rsid w:val="00F4003B"/>
    <w:rsid w:val="00F4057B"/>
    <w:rsid w:val="00F428A8"/>
    <w:rsid w:val="00F46323"/>
    <w:rsid w:val="00F46A5F"/>
    <w:rsid w:val="00F64338"/>
    <w:rsid w:val="00F65B53"/>
    <w:rsid w:val="00F715F7"/>
    <w:rsid w:val="00F75B9D"/>
    <w:rsid w:val="00F807C0"/>
    <w:rsid w:val="00F81476"/>
    <w:rsid w:val="00F90590"/>
    <w:rsid w:val="00F92F27"/>
    <w:rsid w:val="00F953A1"/>
    <w:rsid w:val="00F963B3"/>
    <w:rsid w:val="00F96FE9"/>
    <w:rsid w:val="00FA46DF"/>
    <w:rsid w:val="00FA4B5A"/>
    <w:rsid w:val="00FA7B43"/>
    <w:rsid w:val="00FB573D"/>
    <w:rsid w:val="00FB71E4"/>
    <w:rsid w:val="00FC01EB"/>
    <w:rsid w:val="00FC4ED7"/>
    <w:rsid w:val="00FC7DF6"/>
    <w:rsid w:val="00FD1938"/>
    <w:rsid w:val="00FD2CF1"/>
    <w:rsid w:val="00FD6C17"/>
    <w:rsid w:val="00FD7F61"/>
    <w:rsid w:val="00FE01AA"/>
    <w:rsid w:val="00FE13F9"/>
    <w:rsid w:val="00FF1307"/>
    <w:rsid w:val="00FF5CDF"/>
    <w:rsid w:val="00FF680F"/>
    <w:rsid w:val="00FF798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7A3710"/>
  <w15:docId w15:val="{96DDA3E3-3691-454B-A20C-C9F92930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52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56521"/>
    <w:pPr>
      <w:spacing w:after="0"/>
      <w:jc w:val="left"/>
    </w:pPr>
    <w:rPr>
      <w:rFonts w:ascii="Calibri" w:eastAsia="Calibri" w:hAnsi="Calibri" w:cs="Times New Roman"/>
      <w:lang w:eastAsia="lv-LV"/>
    </w:rPr>
  </w:style>
  <w:style w:type="character" w:customStyle="1" w:styleId="PlainTextChar">
    <w:name w:val="Plain Text Char"/>
    <w:basedOn w:val="DefaultParagraphFont"/>
    <w:link w:val="PlainText"/>
    <w:uiPriority w:val="99"/>
    <w:rsid w:val="00356521"/>
    <w:rPr>
      <w:rFonts w:ascii="Calibri" w:eastAsia="Calibri" w:hAnsi="Calibri" w:cs="Times New Roman"/>
      <w:lang w:eastAsia="lv-LV"/>
    </w:rPr>
  </w:style>
  <w:style w:type="paragraph" w:styleId="BodyTextIndent">
    <w:name w:val="Body Text Indent"/>
    <w:basedOn w:val="Normal"/>
    <w:link w:val="BodyTextIndentChar"/>
    <w:rsid w:val="00EB03AB"/>
    <w:pPr>
      <w:suppressAutoHyphens/>
      <w:ind w:left="5040" w:firstLine="720"/>
      <w:jc w:val="right"/>
    </w:pPr>
    <w:rPr>
      <w:rFonts w:ascii="Times New Roman" w:eastAsia="Times New Roman" w:hAnsi="Times New Roman" w:cs="Times New Roman"/>
      <w:sz w:val="28"/>
      <w:szCs w:val="28"/>
      <w:lang w:eastAsia="ar-SA"/>
    </w:rPr>
  </w:style>
  <w:style w:type="character" w:customStyle="1" w:styleId="BodyTextIndentChar">
    <w:name w:val="Body Text Indent Char"/>
    <w:basedOn w:val="DefaultParagraphFont"/>
    <w:link w:val="BodyTextIndent"/>
    <w:rsid w:val="00EB03AB"/>
    <w:rPr>
      <w:rFonts w:ascii="Times New Roman" w:eastAsia="Times New Roman" w:hAnsi="Times New Roman" w:cs="Times New Roman"/>
      <w:sz w:val="28"/>
      <w:szCs w:val="28"/>
      <w:lang w:eastAsia="ar-SA"/>
    </w:rPr>
  </w:style>
  <w:style w:type="paragraph" w:styleId="Header">
    <w:name w:val="header"/>
    <w:basedOn w:val="Normal"/>
    <w:link w:val="HeaderChar"/>
    <w:uiPriority w:val="99"/>
    <w:rsid w:val="00EB03AB"/>
    <w:pPr>
      <w:tabs>
        <w:tab w:val="center" w:pos="4153"/>
        <w:tab w:val="right" w:pos="8306"/>
      </w:tabs>
      <w:suppressAutoHyphens/>
      <w:ind w:firstLine="720"/>
    </w:pPr>
    <w:rPr>
      <w:rFonts w:ascii="Times New Roman" w:eastAsia="Times New Roman" w:hAnsi="Times New Roman" w:cs="Times New Roman"/>
      <w:sz w:val="28"/>
      <w:szCs w:val="28"/>
      <w:lang w:val="en-GB" w:eastAsia="ar-SA"/>
    </w:rPr>
  </w:style>
  <w:style w:type="character" w:customStyle="1" w:styleId="HeaderChar">
    <w:name w:val="Header Char"/>
    <w:basedOn w:val="DefaultParagraphFont"/>
    <w:link w:val="Header"/>
    <w:uiPriority w:val="99"/>
    <w:rsid w:val="00EB03AB"/>
    <w:rPr>
      <w:rFonts w:ascii="Times New Roman" w:eastAsia="Times New Roman" w:hAnsi="Times New Roman" w:cs="Times New Roman"/>
      <w:sz w:val="28"/>
      <w:szCs w:val="28"/>
      <w:lang w:val="en-GB" w:eastAsia="ar-SA"/>
    </w:rPr>
  </w:style>
  <w:style w:type="paragraph" w:customStyle="1" w:styleId="naisf">
    <w:name w:val="naisf"/>
    <w:basedOn w:val="Normal"/>
    <w:rsid w:val="00990B53"/>
    <w:pPr>
      <w:spacing w:before="75" w:after="75"/>
      <w:ind w:firstLine="375"/>
    </w:pPr>
    <w:rPr>
      <w:rFonts w:ascii="Times New Roman" w:eastAsia="Times New Roman" w:hAnsi="Times New Roman" w:cs="Times New Roman"/>
      <w:sz w:val="24"/>
      <w:szCs w:val="24"/>
      <w:lang w:eastAsia="lv-LV"/>
    </w:rPr>
  </w:style>
  <w:style w:type="paragraph" w:customStyle="1" w:styleId="naisnod">
    <w:name w:val="naisnod"/>
    <w:basedOn w:val="Normal"/>
    <w:rsid w:val="00990B53"/>
    <w:pPr>
      <w:spacing w:before="150" w:after="150"/>
      <w:jc w:val="center"/>
    </w:pPr>
    <w:rPr>
      <w:rFonts w:ascii="Times New Roman" w:eastAsia="Times New Roman" w:hAnsi="Times New Roman" w:cs="Times New Roman"/>
      <w:b/>
      <w:bCs/>
      <w:sz w:val="24"/>
      <w:szCs w:val="24"/>
      <w:lang w:eastAsia="lv-LV"/>
    </w:rPr>
  </w:style>
  <w:style w:type="paragraph" w:customStyle="1" w:styleId="naisc">
    <w:name w:val="naisc"/>
    <w:basedOn w:val="Normal"/>
    <w:rsid w:val="00990B53"/>
    <w:pPr>
      <w:spacing w:before="75" w:after="75"/>
      <w:jc w:val="center"/>
    </w:pPr>
    <w:rPr>
      <w:rFonts w:ascii="Times New Roman" w:eastAsia="Times New Roman" w:hAnsi="Times New Roman" w:cs="Times New Roman"/>
      <w:sz w:val="24"/>
      <w:szCs w:val="24"/>
      <w:lang w:eastAsia="lv-LV"/>
    </w:rPr>
  </w:style>
  <w:style w:type="character" w:customStyle="1" w:styleId="PlainTextChar1">
    <w:name w:val="Plain Text Char1"/>
    <w:basedOn w:val="DefaultParagraphFont"/>
    <w:semiHidden/>
    <w:locked/>
    <w:rsid w:val="00990B53"/>
    <w:rPr>
      <w:rFonts w:ascii="Courier New" w:hAnsi="Courier New" w:cs="Courier New"/>
      <w:sz w:val="20"/>
      <w:szCs w:val="20"/>
    </w:rPr>
  </w:style>
  <w:style w:type="character" w:styleId="Hyperlink">
    <w:name w:val="Hyperlink"/>
    <w:basedOn w:val="DefaultParagraphFont"/>
    <w:semiHidden/>
    <w:rsid w:val="00990B53"/>
    <w:rPr>
      <w:rFonts w:cs="Times New Roman"/>
      <w:color w:val="0000FF"/>
      <w:u w:val="single"/>
    </w:rPr>
  </w:style>
  <w:style w:type="paragraph" w:customStyle="1" w:styleId="naiskr">
    <w:name w:val="naiskr"/>
    <w:basedOn w:val="Normal"/>
    <w:rsid w:val="00990B53"/>
    <w:pPr>
      <w:spacing w:before="75" w:after="75"/>
      <w:jc w:val="left"/>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A62DCC"/>
    <w:pPr>
      <w:ind w:left="720"/>
      <w:contextualSpacing/>
    </w:pPr>
  </w:style>
  <w:style w:type="character" w:customStyle="1" w:styleId="spelle">
    <w:name w:val="spelle"/>
    <w:basedOn w:val="DefaultParagraphFont"/>
    <w:rsid w:val="00F953A1"/>
  </w:style>
  <w:style w:type="paragraph" w:styleId="Title">
    <w:name w:val="Title"/>
    <w:basedOn w:val="Normal"/>
    <w:link w:val="TitleChar"/>
    <w:qFormat/>
    <w:rsid w:val="003F7BAF"/>
    <w:pPr>
      <w:spacing w:before="240" w:after="60"/>
      <w:jc w:val="center"/>
      <w:outlineLvl w:val="0"/>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rsid w:val="003F7BAF"/>
    <w:rPr>
      <w:rFonts w:ascii="Arial" w:eastAsia="Times New Roman" w:hAnsi="Arial" w:cs="Times New Roman"/>
      <w:b/>
      <w:kern w:val="28"/>
      <w:sz w:val="32"/>
      <w:szCs w:val="20"/>
      <w:lang w:val="en-US"/>
    </w:rPr>
  </w:style>
  <w:style w:type="paragraph" w:styleId="BodyText">
    <w:name w:val="Body Text"/>
    <w:basedOn w:val="Normal"/>
    <w:link w:val="BodyTextChar"/>
    <w:uiPriority w:val="99"/>
    <w:unhideWhenUsed/>
    <w:rsid w:val="009B0783"/>
  </w:style>
  <w:style w:type="character" w:customStyle="1" w:styleId="BodyTextChar">
    <w:name w:val="Body Text Char"/>
    <w:basedOn w:val="DefaultParagraphFont"/>
    <w:link w:val="BodyText"/>
    <w:uiPriority w:val="99"/>
    <w:rsid w:val="009B0783"/>
  </w:style>
  <w:style w:type="character" w:customStyle="1" w:styleId="ListParagraphChar">
    <w:name w:val="List Paragraph Char"/>
    <w:basedOn w:val="DefaultParagraphFont"/>
    <w:link w:val="ListParagraph"/>
    <w:uiPriority w:val="34"/>
    <w:rsid w:val="0094372F"/>
  </w:style>
  <w:style w:type="paragraph" w:styleId="NormalWeb">
    <w:name w:val="Normal (Web)"/>
    <w:basedOn w:val="Normal"/>
    <w:uiPriority w:val="99"/>
    <w:rsid w:val="00D5614C"/>
    <w:pPr>
      <w:spacing w:before="100" w:beforeAutospacing="1" w:after="100" w:afterAutospacing="1"/>
      <w:jc w:val="left"/>
    </w:pPr>
    <w:rPr>
      <w:rFonts w:ascii="Arial" w:eastAsia="Times New Roman" w:hAnsi="Arial" w:cs="Arial"/>
      <w:color w:val="000000"/>
      <w:sz w:val="19"/>
      <w:szCs w:val="19"/>
      <w:lang w:eastAsia="lv-LV"/>
    </w:rPr>
  </w:style>
  <w:style w:type="character" w:styleId="Strong">
    <w:name w:val="Strong"/>
    <w:uiPriority w:val="22"/>
    <w:qFormat/>
    <w:rsid w:val="00413F70"/>
    <w:rPr>
      <w:b/>
      <w:bCs/>
    </w:rPr>
  </w:style>
  <w:style w:type="paragraph" w:styleId="Footer">
    <w:name w:val="footer"/>
    <w:basedOn w:val="Normal"/>
    <w:link w:val="FooterChar"/>
    <w:uiPriority w:val="99"/>
    <w:unhideWhenUsed/>
    <w:rsid w:val="00E2138E"/>
    <w:pPr>
      <w:tabs>
        <w:tab w:val="center" w:pos="4153"/>
        <w:tab w:val="right" w:pos="8306"/>
      </w:tabs>
      <w:spacing w:after="0"/>
    </w:pPr>
  </w:style>
  <w:style w:type="character" w:customStyle="1" w:styleId="FooterChar">
    <w:name w:val="Footer Char"/>
    <w:basedOn w:val="DefaultParagraphFont"/>
    <w:link w:val="Footer"/>
    <w:uiPriority w:val="99"/>
    <w:rsid w:val="00E2138E"/>
  </w:style>
  <w:style w:type="paragraph" w:styleId="BalloonText">
    <w:name w:val="Balloon Text"/>
    <w:basedOn w:val="Normal"/>
    <w:link w:val="BalloonTextChar"/>
    <w:uiPriority w:val="99"/>
    <w:semiHidden/>
    <w:unhideWhenUsed/>
    <w:rsid w:val="00E213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38E"/>
    <w:rPr>
      <w:rFonts w:ascii="Tahoma" w:hAnsi="Tahoma" w:cs="Tahoma"/>
      <w:sz w:val="16"/>
      <w:szCs w:val="16"/>
    </w:rPr>
  </w:style>
  <w:style w:type="paragraph" w:customStyle="1" w:styleId="Style1">
    <w:name w:val="Style1"/>
    <w:basedOn w:val="BalloonText"/>
    <w:next w:val="Normal"/>
    <w:qFormat/>
    <w:rsid w:val="00BE2E60"/>
    <w:pPr>
      <w:numPr>
        <w:numId w:val="1"/>
      </w:numPr>
    </w:pPr>
    <w:rPr>
      <w:rFonts w:ascii="Times New Roman" w:eastAsia="Times New Roman" w:hAnsi="Times New Roman" w:cs="Times New Roman"/>
      <w:sz w:val="22"/>
      <w:szCs w:val="20"/>
    </w:rPr>
  </w:style>
  <w:style w:type="character" w:styleId="CommentReference">
    <w:name w:val="annotation reference"/>
    <w:uiPriority w:val="99"/>
    <w:rsid w:val="003C6EF2"/>
    <w:rPr>
      <w:sz w:val="16"/>
      <w:szCs w:val="16"/>
    </w:rPr>
  </w:style>
  <w:style w:type="paragraph" w:styleId="CommentText">
    <w:name w:val="annotation text"/>
    <w:basedOn w:val="Normal"/>
    <w:link w:val="CommentTextChar"/>
    <w:uiPriority w:val="99"/>
    <w:rsid w:val="003C6EF2"/>
    <w:pPr>
      <w:spacing w:after="0"/>
      <w:jc w:val="left"/>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C6EF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A134F"/>
    <w:pPr>
      <w:spacing w:after="120"/>
      <w:jc w:val="both"/>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A134F"/>
    <w:rPr>
      <w:rFonts w:ascii="Times New Roman" w:eastAsia="Times New Roman" w:hAnsi="Times New Roman" w:cs="Times New Roman"/>
      <w:b/>
      <w:bCs/>
      <w:sz w:val="20"/>
      <w:szCs w:val="20"/>
      <w:lang w:eastAsia="lv-LV"/>
    </w:rPr>
  </w:style>
  <w:style w:type="paragraph" w:styleId="Revision">
    <w:name w:val="Revision"/>
    <w:hidden/>
    <w:uiPriority w:val="99"/>
    <w:semiHidden/>
    <w:rsid w:val="005F4048"/>
    <w:pPr>
      <w:spacing w:after="0"/>
      <w:jc w:val="left"/>
    </w:pPr>
  </w:style>
  <w:style w:type="character" w:customStyle="1" w:styleId="apple-converted-space">
    <w:name w:val="apple-converted-space"/>
    <w:basedOn w:val="DefaultParagraphFont"/>
    <w:rsid w:val="00CF4E1B"/>
  </w:style>
  <w:style w:type="paragraph" w:customStyle="1" w:styleId="tv213">
    <w:name w:val="tv213"/>
    <w:basedOn w:val="Normal"/>
    <w:rsid w:val="00FD7F61"/>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ListBullet">
    <w:name w:val="List Bullet"/>
    <w:basedOn w:val="Normal"/>
    <w:uiPriority w:val="99"/>
    <w:unhideWhenUsed/>
    <w:rsid w:val="00BA3026"/>
    <w:pPr>
      <w:widowControl w:val="0"/>
      <w:numPr>
        <w:numId w:val="3"/>
      </w:numPr>
      <w:spacing w:after="0"/>
      <w:contextualSpacing/>
    </w:pPr>
    <w:rPr>
      <w:rFonts w:ascii="Times New Roman" w:eastAsia="Calibri" w:hAnsi="Times New Roman" w:cs="Times New Roman"/>
      <w:sz w:val="24"/>
    </w:rPr>
  </w:style>
  <w:style w:type="paragraph" w:customStyle="1" w:styleId="Default">
    <w:name w:val="Default"/>
    <w:rsid w:val="00BA3026"/>
    <w:pPr>
      <w:autoSpaceDE w:val="0"/>
      <w:autoSpaceDN w:val="0"/>
      <w:adjustRightInd w:val="0"/>
      <w:spacing w:after="0"/>
      <w:jc w:val="left"/>
    </w:pPr>
    <w:rPr>
      <w:rFonts w:ascii="Times New Roman" w:eastAsia="Calibri" w:hAnsi="Times New Roman" w:cs="Times New Roman"/>
      <w:color w:val="000000"/>
      <w:sz w:val="24"/>
      <w:szCs w:val="24"/>
      <w:lang w:eastAsia="lv-LV"/>
    </w:rPr>
  </w:style>
  <w:style w:type="paragraph" w:customStyle="1" w:styleId="ColorfulList-Accent11">
    <w:name w:val="Colorful List - Accent 11"/>
    <w:basedOn w:val="Normal"/>
    <w:uiPriority w:val="34"/>
    <w:qFormat/>
    <w:rsid w:val="00FE01AA"/>
    <w:pPr>
      <w:spacing w:before="240" w:after="0" w:line="360" w:lineRule="auto"/>
      <w:ind w:left="720"/>
      <w:contextualSpacing/>
      <w:jc w:val="left"/>
    </w:pPr>
    <w:rPr>
      <w:rFonts w:ascii="Century Schoolbook" w:eastAsia="Times New Roman" w:hAnsi="Century Schoolboo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0047">
      <w:bodyDiv w:val="1"/>
      <w:marLeft w:val="0"/>
      <w:marRight w:val="0"/>
      <w:marTop w:val="0"/>
      <w:marBottom w:val="0"/>
      <w:divBdr>
        <w:top w:val="none" w:sz="0" w:space="0" w:color="auto"/>
        <w:left w:val="none" w:sz="0" w:space="0" w:color="auto"/>
        <w:bottom w:val="none" w:sz="0" w:space="0" w:color="auto"/>
        <w:right w:val="none" w:sz="0" w:space="0" w:color="auto"/>
      </w:divBdr>
    </w:div>
    <w:div w:id="304316372">
      <w:bodyDiv w:val="1"/>
      <w:marLeft w:val="0"/>
      <w:marRight w:val="0"/>
      <w:marTop w:val="0"/>
      <w:marBottom w:val="0"/>
      <w:divBdr>
        <w:top w:val="none" w:sz="0" w:space="0" w:color="auto"/>
        <w:left w:val="none" w:sz="0" w:space="0" w:color="auto"/>
        <w:bottom w:val="none" w:sz="0" w:space="0" w:color="auto"/>
        <w:right w:val="none" w:sz="0" w:space="0" w:color="auto"/>
      </w:divBdr>
    </w:div>
    <w:div w:id="337393045">
      <w:bodyDiv w:val="1"/>
      <w:marLeft w:val="0"/>
      <w:marRight w:val="0"/>
      <w:marTop w:val="0"/>
      <w:marBottom w:val="0"/>
      <w:divBdr>
        <w:top w:val="none" w:sz="0" w:space="0" w:color="auto"/>
        <w:left w:val="none" w:sz="0" w:space="0" w:color="auto"/>
        <w:bottom w:val="none" w:sz="0" w:space="0" w:color="auto"/>
        <w:right w:val="none" w:sz="0" w:space="0" w:color="auto"/>
      </w:divBdr>
    </w:div>
    <w:div w:id="538981961">
      <w:bodyDiv w:val="1"/>
      <w:marLeft w:val="0"/>
      <w:marRight w:val="0"/>
      <w:marTop w:val="0"/>
      <w:marBottom w:val="0"/>
      <w:divBdr>
        <w:top w:val="none" w:sz="0" w:space="0" w:color="auto"/>
        <w:left w:val="none" w:sz="0" w:space="0" w:color="auto"/>
        <w:bottom w:val="none" w:sz="0" w:space="0" w:color="auto"/>
        <w:right w:val="none" w:sz="0" w:space="0" w:color="auto"/>
      </w:divBdr>
    </w:div>
    <w:div w:id="571896033">
      <w:bodyDiv w:val="1"/>
      <w:marLeft w:val="0"/>
      <w:marRight w:val="0"/>
      <w:marTop w:val="0"/>
      <w:marBottom w:val="0"/>
      <w:divBdr>
        <w:top w:val="none" w:sz="0" w:space="0" w:color="auto"/>
        <w:left w:val="none" w:sz="0" w:space="0" w:color="auto"/>
        <w:bottom w:val="none" w:sz="0" w:space="0" w:color="auto"/>
        <w:right w:val="none" w:sz="0" w:space="0" w:color="auto"/>
      </w:divBdr>
    </w:div>
    <w:div w:id="775714666">
      <w:bodyDiv w:val="1"/>
      <w:marLeft w:val="0"/>
      <w:marRight w:val="0"/>
      <w:marTop w:val="0"/>
      <w:marBottom w:val="0"/>
      <w:divBdr>
        <w:top w:val="none" w:sz="0" w:space="0" w:color="auto"/>
        <w:left w:val="none" w:sz="0" w:space="0" w:color="auto"/>
        <w:bottom w:val="none" w:sz="0" w:space="0" w:color="auto"/>
        <w:right w:val="none" w:sz="0" w:space="0" w:color="auto"/>
      </w:divBdr>
    </w:div>
    <w:div w:id="796796383">
      <w:bodyDiv w:val="1"/>
      <w:marLeft w:val="0"/>
      <w:marRight w:val="0"/>
      <w:marTop w:val="0"/>
      <w:marBottom w:val="0"/>
      <w:divBdr>
        <w:top w:val="none" w:sz="0" w:space="0" w:color="auto"/>
        <w:left w:val="none" w:sz="0" w:space="0" w:color="auto"/>
        <w:bottom w:val="none" w:sz="0" w:space="0" w:color="auto"/>
        <w:right w:val="none" w:sz="0" w:space="0" w:color="auto"/>
      </w:divBdr>
    </w:div>
    <w:div w:id="849297825">
      <w:bodyDiv w:val="1"/>
      <w:marLeft w:val="0"/>
      <w:marRight w:val="0"/>
      <w:marTop w:val="0"/>
      <w:marBottom w:val="0"/>
      <w:divBdr>
        <w:top w:val="none" w:sz="0" w:space="0" w:color="auto"/>
        <w:left w:val="none" w:sz="0" w:space="0" w:color="auto"/>
        <w:bottom w:val="none" w:sz="0" w:space="0" w:color="auto"/>
        <w:right w:val="none" w:sz="0" w:space="0" w:color="auto"/>
      </w:divBdr>
    </w:div>
    <w:div w:id="973604183">
      <w:bodyDiv w:val="1"/>
      <w:marLeft w:val="0"/>
      <w:marRight w:val="0"/>
      <w:marTop w:val="0"/>
      <w:marBottom w:val="0"/>
      <w:divBdr>
        <w:top w:val="none" w:sz="0" w:space="0" w:color="auto"/>
        <w:left w:val="none" w:sz="0" w:space="0" w:color="auto"/>
        <w:bottom w:val="none" w:sz="0" w:space="0" w:color="auto"/>
        <w:right w:val="none" w:sz="0" w:space="0" w:color="auto"/>
      </w:divBdr>
    </w:div>
    <w:div w:id="1012102758">
      <w:bodyDiv w:val="1"/>
      <w:marLeft w:val="0"/>
      <w:marRight w:val="0"/>
      <w:marTop w:val="0"/>
      <w:marBottom w:val="0"/>
      <w:divBdr>
        <w:top w:val="none" w:sz="0" w:space="0" w:color="auto"/>
        <w:left w:val="none" w:sz="0" w:space="0" w:color="auto"/>
        <w:bottom w:val="none" w:sz="0" w:space="0" w:color="auto"/>
        <w:right w:val="none" w:sz="0" w:space="0" w:color="auto"/>
      </w:divBdr>
    </w:div>
    <w:div w:id="1302494452">
      <w:bodyDiv w:val="1"/>
      <w:marLeft w:val="0"/>
      <w:marRight w:val="0"/>
      <w:marTop w:val="0"/>
      <w:marBottom w:val="0"/>
      <w:divBdr>
        <w:top w:val="none" w:sz="0" w:space="0" w:color="auto"/>
        <w:left w:val="none" w:sz="0" w:space="0" w:color="auto"/>
        <w:bottom w:val="none" w:sz="0" w:space="0" w:color="auto"/>
        <w:right w:val="none" w:sz="0" w:space="0" w:color="auto"/>
      </w:divBdr>
    </w:div>
    <w:div w:id="1340112743">
      <w:bodyDiv w:val="1"/>
      <w:marLeft w:val="0"/>
      <w:marRight w:val="0"/>
      <w:marTop w:val="0"/>
      <w:marBottom w:val="0"/>
      <w:divBdr>
        <w:top w:val="none" w:sz="0" w:space="0" w:color="auto"/>
        <w:left w:val="none" w:sz="0" w:space="0" w:color="auto"/>
        <w:bottom w:val="none" w:sz="0" w:space="0" w:color="auto"/>
        <w:right w:val="none" w:sz="0" w:space="0" w:color="auto"/>
      </w:divBdr>
    </w:div>
    <w:div w:id="1387416703">
      <w:bodyDiv w:val="1"/>
      <w:marLeft w:val="0"/>
      <w:marRight w:val="0"/>
      <w:marTop w:val="0"/>
      <w:marBottom w:val="0"/>
      <w:divBdr>
        <w:top w:val="none" w:sz="0" w:space="0" w:color="auto"/>
        <w:left w:val="none" w:sz="0" w:space="0" w:color="auto"/>
        <w:bottom w:val="none" w:sz="0" w:space="0" w:color="auto"/>
        <w:right w:val="none" w:sz="0" w:space="0" w:color="auto"/>
      </w:divBdr>
    </w:div>
    <w:div w:id="1532576207">
      <w:bodyDiv w:val="1"/>
      <w:marLeft w:val="0"/>
      <w:marRight w:val="0"/>
      <w:marTop w:val="0"/>
      <w:marBottom w:val="0"/>
      <w:divBdr>
        <w:top w:val="none" w:sz="0" w:space="0" w:color="auto"/>
        <w:left w:val="none" w:sz="0" w:space="0" w:color="auto"/>
        <w:bottom w:val="none" w:sz="0" w:space="0" w:color="auto"/>
        <w:right w:val="none" w:sz="0" w:space="0" w:color="auto"/>
      </w:divBdr>
    </w:div>
    <w:div w:id="1790320989">
      <w:bodyDiv w:val="1"/>
      <w:marLeft w:val="0"/>
      <w:marRight w:val="0"/>
      <w:marTop w:val="0"/>
      <w:marBottom w:val="0"/>
      <w:divBdr>
        <w:top w:val="none" w:sz="0" w:space="0" w:color="auto"/>
        <w:left w:val="none" w:sz="0" w:space="0" w:color="auto"/>
        <w:bottom w:val="none" w:sz="0" w:space="0" w:color="auto"/>
        <w:right w:val="none" w:sz="0" w:space="0" w:color="auto"/>
      </w:divBdr>
    </w:div>
    <w:div w:id="1923828099">
      <w:bodyDiv w:val="1"/>
      <w:marLeft w:val="0"/>
      <w:marRight w:val="0"/>
      <w:marTop w:val="0"/>
      <w:marBottom w:val="0"/>
      <w:divBdr>
        <w:top w:val="none" w:sz="0" w:space="0" w:color="auto"/>
        <w:left w:val="none" w:sz="0" w:space="0" w:color="auto"/>
        <w:bottom w:val="none" w:sz="0" w:space="0" w:color="auto"/>
        <w:right w:val="none" w:sz="0" w:space="0" w:color="auto"/>
      </w:divBdr>
    </w:div>
    <w:div w:id="1966230950">
      <w:bodyDiv w:val="1"/>
      <w:marLeft w:val="0"/>
      <w:marRight w:val="0"/>
      <w:marTop w:val="0"/>
      <w:marBottom w:val="0"/>
      <w:divBdr>
        <w:top w:val="none" w:sz="0" w:space="0" w:color="auto"/>
        <w:left w:val="none" w:sz="0" w:space="0" w:color="auto"/>
        <w:bottom w:val="none" w:sz="0" w:space="0" w:color="auto"/>
        <w:right w:val="none" w:sz="0" w:space="0" w:color="auto"/>
      </w:divBdr>
    </w:div>
    <w:div w:id="2043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kus.jekabsons@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9647C-52A3-45C6-9727-76D5FB4A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17510</Words>
  <Characters>9981</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Mikus Jēkabsons</dc:creator>
  <cp:lastModifiedBy>Mikus Jēkabsons</cp:lastModifiedBy>
  <cp:revision>2</cp:revision>
  <cp:lastPrinted>2017-10-26T05:44:00Z</cp:lastPrinted>
  <dcterms:created xsi:type="dcterms:W3CDTF">2019-07-09T10:33:00Z</dcterms:created>
  <dcterms:modified xsi:type="dcterms:W3CDTF">2019-07-09T10:33:00Z</dcterms:modified>
</cp:coreProperties>
</file>