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02" w:rsidRDefault="001D0C02" w:rsidP="002C4AB3">
      <w:pPr>
        <w:pStyle w:val="Parasts1"/>
        <w:jc w:val="center"/>
        <w:rPr>
          <w:b/>
          <w:sz w:val="28"/>
          <w:szCs w:val="28"/>
        </w:rPr>
      </w:pPr>
    </w:p>
    <w:p w:rsidR="001D0C02" w:rsidRDefault="001D0C02" w:rsidP="002C4AB3">
      <w:pPr>
        <w:pStyle w:val="Parasts1"/>
        <w:jc w:val="center"/>
        <w:rPr>
          <w:b/>
          <w:sz w:val="28"/>
          <w:szCs w:val="28"/>
        </w:rPr>
      </w:pPr>
    </w:p>
    <w:p w:rsidR="002C4AB3" w:rsidRPr="001D0C02" w:rsidRDefault="002C4AB3" w:rsidP="006322C3">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r w:rsidR="00902D9E">
        <w:rPr>
          <w:b/>
          <w:sz w:val="28"/>
          <w:szCs w:val="28"/>
        </w:rPr>
        <w:t xml:space="preserve"> par</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902D9E" w:rsidP="006322C3">
            <w:pPr>
              <w:pStyle w:val="Parasts1"/>
              <w:jc w:val="center"/>
              <w:rPr>
                <w:b/>
                <w:sz w:val="28"/>
                <w:szCs w:val="28"/>
              </w:rPr>
            </w:pPr>
            <w:r w:rsidRPr="00902D9E">
              <w:rPr>
                <w:b/>
                <w:sz w:val="28"/>
                <w:szCs w:val="28"/>
              </w:rPr>
              <w:t xml:space="preserve">Ministru kabineta noteikumu grozījumi par Komisijas 2013. gada 18. decembra Regulas (EK) Nr. 1408/2013 par Līguma par Eiropas Savienības darbību 107. un 108. panta piemērošanu </w:t>
            </w:r>
            <w:proofErr w:type="spellStart"/>
            <w:r w:rsidRPr="00902D9E">
              <w:rPr>
                <w:b/>
                <w:i/>
                <w:sz w:val="28"/>
                <w:szCs w:val="28"/>
              </w:rPr>
              <w:t>de</w:t>
            </w:r>
            <w:proofErr w:type="spellEnd"/>
            <w:r w:rsidRPr="00902D9E">
              <w:rPr>
                <w:b/>
                <w:i/>
                <w:sz w:val="28"/>
                <w:szCs w:val="28"/>
              </w:rPr>
              <w:t xml:space="preserve"> </w:t>
            </w:r>
            <w:proofErr w:type="spellStart"/>
            <w:r w:rsidRPr="00902D9E">
              <w:rPr>
                <w:b/>
                <w:i/>
                <w:sz w:val="28"/>
                <w:szCs w:val="28"/>
              </w:rPr>
              <w:t>minimis</w:t>
            </w:r>
            <w:proofErr w:type="spellEnd"/>
            <w:r w:rsidRPr="00902D9E">
              <w:rPr>
                <w:b/>
                <w:sz w:val="28"/>
                <w:szCs w:val="28"/>
              </w:rPr>
              <w:t xml:space="preserve"> atbalstam lauksaimniecības nozarē piemērošanas nodrošināšanai</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147505" w:rsidP="00147505">
            <w:pPr>
              <w:pStyle w:val="naislab"/>
              <w:jc w:val="both"/>
            </w:pPr>
            <w:r>
              <w:t>01</w:t>
            </w:r>
            <w:r w:rsidR="00D312FB">
              <w:t>.0</w:t>
            </w:r>
            <w:r>
              <w:t>7</w:t>
            </w:r>
            <w:r w:rsidR="00D312FB">
              <w:t>.2019</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Default="005B2F34" w:rsidP="00227859">
            <w:pPr>
              <w:pStyle w:val="Parasts1"/>
              <w:rPr>
                <w:sz w:val="20"/>
                <w:szCs w:val="20"/>
              </w:rPr>
            </w:pPr>
            <w:proofErr w:type="spellStart"/>
            <w:r>
              <w:rPr>
                <w:sz w:val="20"/>
                <w:szCs w:val="20"/>
              </w:rPr>
              <w:t>I.Mažuika</w:t>
            </w:r>
            <w:proofErr w:type="spellEnd"/>
            <w:r>
              <w:rPr>
                <w:sz w:val="20"/>
                <w:szCs w:val="20"/>
              </w:rPr>
              <w:t xml:space="preserve">, </w:t>
            </w:r>
            <w:proofErr w:type="spellStart"/>
            <w:r>
              <w:rPr>
                <w:sz w:val="20"/>
                <w:szCs w:val="20"/>
              </w:rPr>
              <w:t>V.Šantars</w:t>
            </w:r>
            <w:proofErr w:type="spellEnd"/>
            <w:r>
              <w:rPr>
                <w:sz w:val="20"/>
                <w:szCs w:val="20"/>
              </w:rPr>
              <w:t>, Z.Liede</w:t>
            </w:r>
            <w:r w:rsidR="001C3146">
              <w:rPr>
                <w:sz w:val="20"/>
                <w:szCs w:val="20"/>
              </w:rPr>
              <w:t xml:space="preserve"> </w:t>
            </w:r>
            <w:r w:rsidR="005379C7">
              <w:rPr>
                <w:sz w:val="20"/>
                <w:szCs w:val="20"/>
              </w:rPr>
              <w:t>Finanšu ministrija</w:t>
            </w:r>
          </w:p>
          <w:p w:rsidR="005379C7" w:rsidRPr="00227859" w:rsidRDefault="00377BA3" w:rsidP="00FD3A2F">
            <w:pPr>
              <w:pStyle w:val="Parasts1"/>
              <w:rPr>
                <w:sz w:val="20"/>
                <w:szCs w:val="20"/>
              </w:rPr>
            </w:pPr>
            <w:r>
              <w:rPr>
                <w:sz w:val="20"/>
                <w:szCs w:val="20"/>
              </w:rPr>
              <w:t>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8D6557">
            <w:pPr>
              <w:pStyle w:val="Kjene"/>
              <w:jc w:val="both"/>
            </w:pPr>
            <w:r>
              <w:t> </w:t>
            </w:r>
            <w:r w:rsidR="009B6CFF">
              <w:t>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lastRenderedPageBreak/>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25" w:type="dxa"/>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441"/>
        <w:gridCol w:w="2670"/>
        <w:gridCol w:w="2007"/>
        <w:gridCol w:w="3324"/>
        <w:gridCol w:w="504"/>
        <w:gridCol w:w="2268"/>
        <w:gridCol w:w="3103"/>
      </w:tblGrid>
      <w:tr w:rsidR="00615F31" w:rsidTr="006322C3">
        <w:trPr>
          <w:gridBefore w:val="1"/>
          <w:wBefore w:w="8" w:type="dxa"/>
          <w:tblCellSpacing w:w="0" w:type="dxa"/>
        </w:trPr>
        <w:tc>
          <w:tcPr>
            <w:tcW w:w="441" w:type="dxa"/>
            <w:vAlign w:val="center"/>
          </w:tcPr>
          <w:p w:rsidR="002C4AB3" w:rsidRDefault="002C4AB3" w:rsidP="002C4AB3">
            <w:pPr>
              <w:pStyle w:val="Parasts1"/>
              <w:jc w:val="both"/>
            </w:pPr>
            <w:r>
              <w:t> Nr. p.k.</w:t>
            </w:r>
          </w:p>
        </w:tc>
        <w:tc>
          <w:tcPr>
            <w:tcW w:w="4677" w:type="dxa"/>
            <w:gridSpan w:val="2"/>
            <w:vAlign w:val="center"/>
          </w:tcPr>
          <w:p w:rsidR="002C4AB3" w:rsidRPr="00E3343C" w:rsidRDefault="002C4AB3" w:rsidP="002C4AB3">
            <w:pPr>
              <w:pStyle w:val="Parasts1"/>
              <w:jc w:val="both"/>
            </w:pPr>
            <w:r w:rsidRPr="00E3343C">
              <w:t>Saskaņošanai nosūtītā projekta redakcija (konkrēta punkta (panta) redakcija)</w:t>
            </w:r>
          </w:p>
        </w:tc>
        <w:tc>
          <w:tcPr>
            <w:tcW w:w="3828" w:type="dxa"/>
            <w:gridSpan w:val="2"/>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268" w:type="dxa"/>
            <w:vAlign w:val="center"/>
          </w:tcPr>
          <w:p w:rsidR="002C4AB3" w:rsidRDefault="002C4AB3" w:rsidP="002C4AB3">
            <w:pPr>
              <w:pStyle w:val="Parasts1"/>
              <w:jc w:val="both"/>
            </w:pPr>
            <w:r>
              <w:t xml:space="preserve">Atbildīgās ministrijas norāde par to, </w:t>
            </w:r>
            <w:proofErr w:type="gramStart"/>
            <w:r>
              <w:t>ka iebildums ir</w:t>
            </w:r>
            <w:proofErr w:type="gramEnd"/>
            <w:r>
              <w:t xml:space="preserve"> ņemts vērā, vai informācija par saskaņošanā panākto alternatīvo risinājumu</w:t>
            </w:r>
          </w:p>
        </w:tc>
        <w:tc>
          <w:tcPr>
            <w:tcW w:w="3103" w:type="dxa"/>
            <w:vAlign w:val="center"/>
          </w:tcPr>
          <w:p w:rsidR="002C4AB3" w:rsidRDefault="002C4AB3" w:rsidP="002C4AB3">
            <w:pPr>
              <w:pStyle w:val="Parasts1"/>
              <w:jc w:val="both"/>
            </w:pPr>
            <w:r>
              <w:t>Projekta attiecīgā punkta (panta) galīgā redakcija</w:t>
            </w:r>
          </w:p>
        </w:tc>
      </w:tr>
      <w:tr w:rsidR="00615F31" w:rsidTr="006322C3">
        <w:trPr>
          <w:gridBefore w:val="1"/>
          <w:wBefore w:w="8" w:type="dxa"/>
          <w:tblCellSpacing w:w="0" w:type="dxa"/>
        </w:trPr>
        <w:tc>
          <w:tcPr>
            <w:tcW w:w="441" w:type="dxa"/>
          </w:tcPr>
          <w:p w:rsidR="002C4AB3" w:rsidRDefault="002C4AB3" w:rsidP="002C4AB3">
            <w:pPr>
              <w:pStyle w:val="Parasts1"/>
              <w:jc w:val="center"/>
            </w:pPr>
            <w:r>
              <w:t>1</w:t>
            </w:r>
          </w:p>
        </w:tc>
        <w:tc>
          <w:tcPr>
            <w:tcW w:w="4677" w:type="dxa"/>
            <w:gridSpan w:val="2"/>
          </w:tcPr>
          <w:p w:rsidR="002C4AB3" w:rsidRPr="00E3343C" w:rsidRDefault="002C4AB3" w:rsidP="002C4AB3">
            <w:pPr>
              <w:pStyle w:val="Parasts1"/>
              <w:jc w:val="center"/>
            </w:pPr>
            <w:r w:rsidRPr="00E3343C">
              <w:t>2</w:t>
            </w:r>
          </w:p>
        </w:tc>
        <w:tc>
          <w:tcPr>
            <w:tcW w:w="3828" w:type="dxa"/>
            <w:gridSpan w:val="2"/>
          </w:tcPr>
          <w:p w:rsidR="002C4AB3" w:rsidRDefault="002C4AB3" w:rsidP="002C4AB3">
            <w:pPr>
              <w:pStyle w:val="Parasts1"/>
              <w:jc w:val="center"/>
            </w:pPr>
            <w:r>
              <w:t>3</w:t>
            </w:r>
          </w:p>
        </w:tc>
        <w:tc>
          <w:tcPr>
            <w:tcW w:w="2268" w:type="dxa"/>
          </w:tcPr>
          <w:p w:rsidR="002C4AB3" w:rsidRDefault="002C4AB3" w:rsidP="002C4AB3">
            <w:pPr>
              <w:pStyle w:val="Parasts1"/>
              <w:jc w:val="center"/>
            </w:pPr>
            <w:r>
              <w:t>4</w:t>
            </w:r>
          </w:p>
        </w:tc>
        <w:tc>
          <w:tcPr>
            <w:tcW w:w="3103" w:type="dxa"/>
          </w:tcPr>
          <w:p w:rsidR="002C4AB3" w:rsidRDefault="002C4AB3" w:rsidP="002C4AB3">
            <w:pPr>
              <w:pStyle w:val="Parasts1"/>
              <w:jc w:val="center"/>
            </w:pPr>
            <w:r>
              <w:t>5</w:t>
            </w:r>
          </w:p>
        </w:tc>
      </w:tr>
      <w:tr w:rsidR="00615F31" w:rsidTr="006322C3">
        <w:trPr>
          <w:gridBefore w:val="1"/>
          <w:wBefore w:w="8" w:type="dxa"/>
          <w:tblCellSpacing w:w="0" w:type="dxa"/>
        </w:trPr>
        <w:tc>
          <w:tcPr>
            <w:tcW w:w="441" w:type="dxa"/>
          </w:tcPr>
          <w:p w:rsidR="00831EFD" w:rsidRDefault="00831EFD" w:rsidP="002C4AB3">
            <w:pPr>
              <w:pStyle w:val="Parasts1"/>
              <w:jc w:val="center"/>
            </w:pPr>
          </w:p>
        </w:tc>
        <w:tc>
          <w:tcPr>
            <w:tcW w:w="4677" w:type="dxa"/>
            <w:gridSpan w:val="2"/>
          </w:tcPr>
          <w:p w:rsidR="00831EFD" w:rsidRPr="00E3343C" w:rsidRDefault="00831EFD" w:rsidP="005036BE">
            <w:pPr>
              <w:pStyle w:val="Parasts1"/>
              <w:jc w:val="both"/>
            </w:pPr>
          </w:p>
        </w:tc>
        <w:tc>
          <w:tcPr>
            <w:tcW w:w="3828" w:type="dxa"/>
            <w:gridSpan w:val="2"/>
          </w:tcPr>
          <w:p w:rsidR="00EC4676" w:rsidRPr="00AD1268" w:rsidRDefault="005B2F34" w:rsidP="00EC4676">
            <w:pPr>
              <w:pStyle w:val="Parasts1"/>
              <w:jc w:val="both"/>
              <w:rPr>
                <w:b/>
              </w:rPr>
            </w:pPr>
            <w:r>
              <w:rPr>
                <w:b/>
              </w:rPr>
              <w:t xml:space="preserve">Finanšu </w:t>
            </w:r>
            <w:r w:rsidR="00367715">
              <w:rPr>
                <w:b/>
              </w:rPr>
              <w:t>ministrija</w:t>
            </w:r>
          </w:p>
        </w:tc>
        <w:tc>
          <w:tcPr>
            <w:tcW w:w="2268" w:type="dxa"/>
          </w:tcPr>
          <w:p w:rsidR="00831EFD" w:rsidRPr="005B2F34" w:rsidRDefault="00831EFD" w:rsidP="002C4AB3">
            <w:pPr>
              <w:pStyle w:val="Parasts1"/>
              <w:jc w:val="center"/>
              <w:rPr>
                <w:b/>
              </w:rPr>
            </w:pPr>
          </w:p>
        </w:tc>
        <w:tc>
          <w:tcPr>
            <w:tcW w:w="3103" w:type="dxa"/>
          </w:tcPr>
          <w:p w:rsidR="00831EFD" w:rsidRDefault="00831EFD" w:rsidP="00931E24">
            <w:pPr>
              <w:pStyle w:val="Parasts1"/>
              <w:jc w:val="both"/>
            </w:pPr>
          </w:p>
        </w:tc>
      </w:tr>
      <w:tr w:rsidR="00615F31" w:rsidTr="006322C3">
        <w:trPr>
          <w:gridBefore w:val="1"/>
          <w:wBefore w:w="8" w:type="dxa"/>
          <w:tblCellSpacing w:w="0" w:type="dxa"/>
        </w:trPr>
        <w:tc>
          <w:tcPr>
            <w:tcW w:w="441" w:type="dxa"/>
          </w:tcPr>
          <w:p w:rsidR="00831EFD" w:rsidRDefault="00367715" w:rsidP="002C4AB3">
            <w:pPr>
              <w:pStyle w:val="Parasts1"/>
              <w:jc w:val="center"/>
            </w:pPr>
            <w:r>
              <w:t>1.</w:t>
            </w:r>
          </w:p>
        </w:tc>
        <w:tc>
          <w:tcPr>
            <w:tcW w:w="4677" w:type="dxa"/>
            <w:gridSpan w:val="2"/>
          </w:tcPr>
          <w:p w:rsidR="00147E13" w:rsidRPr="00DC09A7" w:rsidRDefault="00147E13" w:rsidP="00B1451C">
            <w:pPr>
              <w:jc w:val="both"/>
              <w:rPr>
                <w:sz w:val="24"/>
                <w:szCs w:val="24"/>
                <w:lang w:eastAsia="en-US"/>
              </w:rPr>
            </w:pPr>
          </w:p>
        </w:tc>
        <w:tc>
          <w:tcPr>
            <w:tcW w:w="3828" w:type="dxa"/>
            <w:gridSpan w:val="2"/>
          </w:tcPr>
          <w:p w:rsidR="00831EFD" w:rsidRPr="00D312FB" w:rsidRDefault="00F24DD1" w:rsidP="00FD3A2F">
            <w:pPr>
              <w:pStyle w:val="Sarakstarindkopa"/>
              <w:widowControl w:val="0"/>
              <w:tabs>
                <w:tab w:val="left" w:pos="0"/>
                <w:tab w:val="left" w:pos="993"/>
              </w:tabs>
              <w:ind w:left="0"/>
              <w:contextualSpacing/>
              <w:jc w:val="both"/>
              <w:rPr>
                <w:lang w:val="lv-LV"/>
              </w:rPr>
            </w:pPr>
            <w:r w:rsidRPr="00F24DD1">
              <w:rPr>
                <w:lang w:val="lv-LV"/>
              </w:rPr>
              <w:t xml:space="preserve">Ņemot vērā to, ka Ministru kabineta </w:t>
            </w:r>
            <w:proofErr w:type="gramStart"/>
            <w:r w:rsidRPr="00F24DD1">
              <w:rPr>
                <w:lang w:val="lv-LV"/>
              </w:rPr>
              <w:t>2019.gada</w:t>
            </w:r>
            <w:proofErr w:type="gramEnd"/>
            <w:r w:rsidRPr="00F24DD1">
              <w:rPr>
                <w:lang w:val="lv-LV"/>
              </w:rPr>
              <w:t xml:space="preserve"> 8.janvāra noteikumi Nr.9 “Lauksaimniecības, zivsaimniecības un lauku attīstības garantiju programmas noteikumi”” skaidri nenosaka komercdarbības atbalsta piešķiršanas brīdi, lūdzam papildināt noteikumu projektu ar punktu/-</w:t>
            </w:r>
            <w:proofErr w:type="spellStart"/>
            <w:r w:rsidRPr="00F24DD1">
              <w:rPr>
                <w:lang w:val="lv-LV"/>
              </w:rPr>
              <w:t>iem</w:t>
            </w:r>
            <w:proofErr w:type="spellEnd"/>
            <w:r w:rsidRPr="00F24DD1">
              <w:rPr>
                <w:lang w:val="lv-LV"/>
              </w:rPr>
              <w:t xml:space="preserve">, kas noteiktu komercdarbības atbalsta piešķiršanas brīdi projekta iesniedzējam. Skaidrojam, ka atbalsta piešķiršanas brīža identificēšana ir būtisks priekšnosacījums korektai interpretācijai par datumu, kurā tiktu uzskatīts, ka komercdarbības atbalsts saskaņā ar Komisijas </w:t>
            </w:r>
            <w:proofErr w:type="gramStart"/>
            <w:r w:rsidRPr="00F24DD1">
              <w:rPr>
                <w:lang w:val="lv-LV"/>
              </w:rPr>
              <w:t>2013.gada</w:t>
            </w:r>
            <w:proofErr w:type="gramEnd"/>
            <w:r w:rsidRPr="00F24DD1">
              <w:rPr>
                <w:lang w:val="lv-LV"/>
              </w:rPr>
              <w:t xml:space="preserve"> 18.decembra Regulu (ES) Nr.1407/2013 par Līguma par Eiropas </w:t>
            </w:r>
            <w:r w:rsidRPr="00F24DD1">
              <w:rPr>
                <w:lang w:val="lv-LV"/>
              </w:rPr>
              <w:lastRenderedPageBreak/>
              <w:t xml:space="preserve">Savienības darbību 107. un 108.panta piemērošanu </w:t>
            </w:r>
            <w:proofErr w:type="spellStart"/>
            <w:r w:rsidRPr="00F24DD1">
              <w:rPr>
                <w:i/>
                <w:lang w:val="lv-LV"/>
              </w:rPr>
              <w:t>de</w:t>
            </w:r>
            <w:proofErr w:type="spellEnd"/>
            <w:r w:rsidRPr="00F24DD1">
              <w:rPr>
                <w:i/>
                <w:lang w:val="lv-LV"/>
              </w:rPr>
              <w:t xml:space="preserve"> </w:t>
            </w:r>
            <w:proofErr w:type="spellStart"/>
            <w:r w:rsidRPr="00F24DD1">
              <w:rPr>
                <w:i/>
                <w:lang w:val="lv-LV"/>
              </w:rPr>
              <w:t>min</w:t>
            </w:r>
            <w:r w:rsidRPr="00F24DD1">
              <w:rPr>
                <w:lang w:val="lv-LV"/>
              </w:rPr>
              <w:t>imis</w:t>
            </w:r>
            <w:proofErr w:type="spellEnd"/>
            <w:r w:rsidRPr="00F24DD1">
              <w:rPr>
                <w:lang w:val="lv-LV"/>
              </w:rPr>
              <w:t xml:space="preserve"> atbalstam, ticis piešķirts tā saņēmējam</w:t>
            </w:r>
            <w:r>
              <w:rPr>
                <w:lang w:val="lv-LV"/>
              </w:rPr>
              <w:t>.</w:t>
            </w:r>
          </w:p>
        </w:tc>
        <w:tc>
          <w:tcPr>
            <w:tcW w:w="2268" w:type="dxa"/>
          </w:tcPr>
          <w:p w:rsidR="003E7AA5" w:rsidRPr="00367715" w:rsidRDefault="005B2F34" w:rsidP="005B2F34">
            <w:pPr>
              <w:pStyle w:val="Parasts1"/>
              <w:jc w:val="center"/>
              <w:rPr>
                <w:b/>
              </w:rPr>
            </w:pPr>
            <w:r w:rsidRPr="005B2F34">
              <w:rPr>
                <w:b/>
              </w:rPr>
              <w:lastRenderedPageBreak/>
              <w:t>Ņemts vērā</w:t>
            </w:r>
          </w:p>
        </w:tc>
        <w:tc>
          <w:tcPr>
            <w:tcW w:w="3103" w:type="dxa"/>
          </w:tcPr>
          <w:p w:rsidR="00F24DD1" w:rsidRPr="00F24DD1" w:rsidRDefault="00F24DD1" w:rsidP="00F24DD1">
            <w:pPr>
              <w:jc w:val="both"/>
              <w:rPr>
                <w:sz w:val="24"/>
                <w:szCs w:val="24"/>
                <w:lang w:eastAsia="en-US"/>
              </w:rPr>
            </w:pPr>
            <w:r w:rsidRPr="00F24DD1">
              <w:rPr>
                <w:sz w:val="24"/>
                <w:szCs w:val="24"/>
                <w:lang w:eastAsia="en-US"/>
              </w:rPr>
              <w:t>Izteikt</w:t>
            </w:r>
            <w:r w:rsidR="001265AE">
              <w:rPr>
                <w:sz w:val="24"/>
                <w:szCs w:val="24"/>
                <w:lang w:eastAsia="en-US"/>
              </w:rPr>
              <w:t xml:space="preserve"> Ministru kabineta noteikumu projekta </w:t>
            </w:r>
            <w:r w:rsidR="001265AE" w:rsidRPr="003D52B5">
              <w:rPr>
                <w:sz w:val="24"/>
                <w:szCs w:val="24"/>
                <w:lang w:eastAsia="en-US"/>
              </w:rPr>
              <w:t>“</w:t>
            </w:r>
            <w:r w:rsidR="001265AE" w:rsidRPr="003D52B5">
              <w:rPr>
                <w:b/>
                <w:sz w:val="24"/>
                <w:szCs w:val="24"/>
                <w:lang w:eastAsia="en-US"/>
              </w:rPr>
              <w:t>Grozījumi</w:t>
            </w:r>
            <w:r w:rsidR="001265AE" w:rsidRPr="003D52B5">
              <w:rPr>
                <w:sz w:val="24"/>
                <w:szCs w:val="24"/>
                <w:lang w:eastAsia="en-US"/>
              </w:rPr>
              <w:t xml:space="preserve"> Ministru kabineta 2019. gada 8. janvāra noteikumos Nr. 9 „Lauksaimniecības, zivsaimniecības un lauku attīstības garantiju programmas noteikumi”</w:t>
            </w:r>
            <w:r w:rsidRPr="00F24DD1">
              <w:rPr>
                <w:sz w:val="24"/>
                <w:szCs w:val="24"/>
                <w:lang w:eastAsia="en-US"/>
              </w:rPr>
              <w:t xml:space="preserve"> 3.punktu šādā redakcijā:</w:t>
            </w:r>
          </w:p>
          <w:p w:rsidR="000E35F6" w:rsidRPr="009B16C1" w:rsidRDefault="00F24DD1" w:rsidP="00F24DD1">
            <w:pPr>
              <w:jc w:val="both"/>
              <w:rPr>
                <w:color w:val="000000" w:themeColor="text1"/>
                <w:lang w:eastAsia="en-US"/>
              </w:rPr>
            </w:pPr>
            <w:r w:rsidRPr="00F24DD1">
              <w:rPr>
                <w:sz w:val="24"/>
                <w:szCs w:val="24"/>
                <w:lang w:eastAsia="en-US"/>
              </w:rPr>
              <w:t>“</w:t>
            </w:r>
            <w:r w:rsidR="008D6557">
              <w:rPr>
                <w:sz w:val="24"/>
                <w:szCs w:val="24"/>
                <w:lang w:eastAsia="en-US"/>
              </w:rPr>
              <w:t xml:space="preserve"> 3. </w:t>
            </w:r>
            <w:r w:rsidRPr="00F24DD1">
              <w:rPr>
                <w:sz w:val="24"/>
                <w:szCs w:val="24"/>
                <w:lang w:eastAsia="en-US"/>
              </w:rPr>
              <w:t xml:space="preserve">Sabiedrība </w:t>
            </w:r>
            <w:proofErr w:type="spellStart"/>
            <w:r w:rsidRPr="00F24DD1">
              <w:rPr>
                <w:i/>
                <w:sz w:val="24"/>
                <w:szCs w:val="24"/>
                <w:lang w:eastAsia="en-US"/>
              </w:rPr>
              <w:t>Altum</w:t>
            </w:r>
            <w:proofErr w:type="spellEnd"/>
            <w:r w:rsidRPr="00F24DD1">
              <w:rPr>
                <w:sz w:val="24"/>
                <w:szCs w:val="24"/>
                <w:lang w:eastAsia="en-US"/>
              </w:rPr>
              <w:t xml:space="preserve"> pieņem lēmumu par garantiju piešķiršanu, kas uzskatāma par valsts atbalsta piešķiršanas dienu, vai noraidīšanu.</w:t>
            </w:r>
            <w:r w:rsidR="008D6557">
              <w:rPr>
                <w:sz w:val="24"/>
                <w:szCs w:val="24"/>
                <w:lang w:eastAsia="en-US"/>
              </w:rPr>
              <w:t>”</w:t>
            </w:r>
          </w:p>
        </w:tc>
      </w:tr>
      <w:tr w:rsidR="009B6CFF" w:rsidTr="006322C3">
        <w:trPr>
          <w:gridBefore w:val="1"/>
          <w:wBefore w:w="8" w:type="dxa"/>
          <w:tblCellSpacing w:w="0" w:type="dxa"/>
        </w:trPr>
        <w:tc>
          <w:tcPr>
            <w:tcW w:w="441" w:type="dxa"/>
          </w:tcPr>
          <w:p w:rsidR="009B6CFF" w:rsidRDefault="009B6CFF" w:rsidP="002C4AB3">
            <w:pPr>
              <w:pStyle w:val="Parasts1"/>
              <w:jc w:val="center"/>
            </w:pPr>
            <w:r>
              <w:t>2.</w:t>
            </w:r>
          </w:p>
        </w:tc>
        <w:tc>
          <w:tcPr>
            <w:tcW w:w="4677" w:type="dxa"/>
            <w:gridSpan w:val="2"/>
          </w:tcPr>
          <w:p w:rsidR="009B6CFF" w:rsidRPr="00E3343C" w:rsidRDefault="009B6CFF" w:rsidP="002162E8">
            <w:pPr>
              <w:ind w:firstLine="720"/>
              <w:jc w:val="both"/>
              <w:rPr>
                <w:lang w:eastAsia="en-US"/>
              </w:rPr>
            </w:pPr>
          </w:p>
        </w:tc>
        <w:tc>
          <w:tcPr>
            <w:tcW w:w="3828" w:type="dxa"/>
            <w:gridSpan w:val="2"/>
          </w:tcPr>
          <w:p w:rsidR="009B6CFF" w:rsidRPr="009B70F5" w:rsidRDefault="00F24DD1" w:rsidP="00D312FB">
            <w:pPr>
              <w:pStyle w:val="Sarakstarindkopa"/>
              <w:tabs>
                <w:tab w:val="left" w:pos="993"/>
              </w:tabs>
              <w:ind w:left="0"/>
              <w:contextualSpacing/>
              <w:jc w:val="both"/>
              <w:rPr>
                <w:rFonts w:eastAsia="Calibri"/>
                <w:lang w:val="lv-LV"/>
              </w:rPr>
            </w:pPr>
            <w:r w:rsidRPr="00F24DD1">
              <w:rPr>
                <w:rFonts w:eastAsia="Calibri"/>
                <w:lang w:val="lv-LV"/>
              </w:rPr>
              <w:t xml:space="preserve">Ministru kabineta </w:t>
            </w:r>
            <w:proofErr w:type="gramStart"/>
            <w:r w:rsidRPr="00F24DD1">
              <w:rPr>
                <w:rFonts w:eastAsia="Calibri"/>
                <w:lang w:val="lv-LV"/>
              </w:rPr>
              <w:t>2013.gada</w:t>
            </w:r>
            <w:proofErr w:type="gramEnd"/>
            <w:r w:rsidRPr="00F24DD1">
              <w:rPr>
                <w:rFonts w:eastAsia="Calibri"/>
                <w:lang w:val="lv-LV"/>
              </w:rPr>
              <w:t xml:space="preserve"> 17.decembra noteikumu Nr.1524 „Noteikumi par valsts atbalstu lauksaimniecībai” (turpmāk – MK noteikumi) 8.2.apakšpunktā noteikts, ka Lauku atbalsta dienests izvērtē pretendenta iesnieguma atbilstību un pēc iesniegumu iesniegšanas termiņa beigām pieņem lēmumu par iesnieguma apstiprināšanu vai noraidīšanu, kā arī, ja iesniegums tiek apstiprināts, veic norēķinus vai slēdz līgumu ar pretendentu par atbalsta piešķiršanu, savukārt, piemēram, MK noteikumu 188. un 189.punktos noteikts, ka, lai saņemtu tehnisko atbalstu, pretendents iesniedz Zemkopības ministrijā iesniegumu un Lauku atbalsta dienests atbalstu izmaksā, pamatojoties uz tehniskā atbalsta komisijas pieņemto lēmumu. Attiecīgi secināms, ka no MK noteikumos noteiktā nav skaidrs, kas ir kvalificējams kā atbalsta piešķiršanas brīdis/diena, kad saņēmējam saskaņā ar piemērojamo valsts tiesisko regulējumu ir nodotas likumīgās tiesības saņemt atbalstu saskaņā ar Komisijas 2013.gada 18.decembra Regulu (ES) Nr.1407/2013 par Līguma par Eiropas </w:t>
            </w:r>
            <w:r w:rsidRPr="00F24DD1">
              <w:rPr>
                <w:rFonts w:eastAsia="Calibri"/>
                <w:lang w:val="lv-LV"/>
              </w:rPr>
              <w:lastRenderedPageBreak/>
              <w:t xml:space="preserve">Savienības darbību 107. un 108.panta piemērošanu </w:t>
            </w:r>
            <w:proofErr w:type="spellStart"/>
            <w:r w:rsidRPr="00F24DD1">
              <w:rPr>
                <w:rFonts w:eastAsia="Calibri"/>
                <w:i/>
                <w:lang w:val="lv-LV"/>
              </w:rPr>
              <w:t>de</w:t>
            </w:r>
            <w:proofErr w:type="spellEnd"/>
            <w:r w:rsidRPr="00F24DD1">
              <w:rPr>
                <w:rFonts w:eastAsia="Calibri"/>
                <w:i/>
                <w:lang w:val="lv-LV"/>
              </w:rPr>
              <w:t xml:space="preserve"> </w:t>
            </w:r>
            <w:proofErr w:type="spellStart"/>
            <w:r w:rsidRPr="00F24DD1">
              <w:rPr>
                <w:rFonts w:eastAsia="Calibri"/>
                <w:i/>
                <w:lang w:val="lv-LV"/>
              </w:rPr>
              <w:t>mini</w:t>
            </w:r>
            <w:r w:rsidRPr="00F24DD1">
              <w:rPr>
                <w:rFonts w:eastAsia="Calibri"/>
                <w:lang w:val="lv-LV"/>
              </w:rPr>
              <w:t>mis</w:t>
            </w:r>
            <w:proofErr w:type="spellEnd"/>
            <w:r w:rsidRPr="00F24DD1">
              <w:rPr>
                <w:rFonts w:eastAsia="Calibri"/>
                <w:lang w:val="lv-LV"/>
              </w:rPr>
              <w:t xml:space="preserve"> atbalstam (turpmāk - Regula Nr.1407/2013) 3.panta 4.punktu.</w:t>
            </w:r>
          </w:p>
        </w:tc>
        <w:tc>
          <w:tcPr>
            <w:tcW w:w="2268" w:type="dxa"/>
          </w:tcPr>
          <w:p w:rsidR="009B6CFF" w:rsidRPr="004F1C53" w:rsidRDefault="00F24DD1" w:rsidP="00F24DD1">
            <w:pPr>
              <w:jc w:val="center"/>
              <w:rPr>
                <w:b/>
                <w:sz w:val="24"/>
                <w:szCs w:val="24"/>
              </w:rPr>
            </w:pPr>
            <w:r w:rsidRPr="00F24DD1">
              <w:rPr>
                <w:b/>
                <w:sz w:val="24"/>
                <w:szCs w:val="24"/>
              </w:rPr>
              <w:lastRenderedPageBreak/>
              <w:t>Ņemts vērā</w:t>
            </w:r>
          </w:p>
        </w:tc>
        <w:tc>
          <w:tcPr>
            <w:tcW w:w="3103" w:type="dxa"/>
          </w:tcPr>
          <w:p w:rsidR="00F24DD1" w:rsidRDefault="003D52B5" w:rsidP="00F24DD1">
            <w:pPr>
              <w:pStyle w:val="Parasts1"/>
              <w:jc w:val="both"/>
            </w:pPr>
            <w:r>
              <w:t>Aizstāt</w:t>
            </w:r>
            <w:r w:rsidRPr="003D52B5">
              <w:t xml:space="preserve"> Ministru kabineta noteikumu projekta</w:t>
            </w:r>
            <w:r>
              <w:t xml:space="preserve"> “</w:t>
            </w:r>
            <w:r w:rsidRPr="003D52B5">
              <w:t>Grozījumi Ministru kabineta 201</w:t>
            </w:r>
            <w:r>
              <w:t>3</w:t>
            </w:r>
            <w:r w:rsidRPr="003D52B5">
              <w:t xml:space="preserve">. gada </w:t>
            </w:r>
            <w:r>
              <w:t>17</w:t>
            </w:r>
            <w:r w:rsidRPr="003D52B5">
              <w:t xml:space="preserve">. </w:t>
            </w:r>
            <w:r>
              <w:t>decembra</w:t>
            </w:r>
            <w:r w:rsidRPr="003D52B5">
              <w:t xml:space="preserve"> noteikumos Nr. </w:t>
            </w:r>
            <w:r>
              <w:t xml:space="preserve">1524 </w:t>
            </w:r>
            <w:r w:rsidRPr="003D52B5">
              <w:t>„Noteikumi par valsts atbalstu lauksaimniecībai”</w:t>
            </w:r>
            <w:r>
              <w:t xml:space="preserve">” </w:t>
            </w:r>
            <w:r w:rsidR="00F24DD1">
              <w:t>8.2. apakšpunktā vārdus “lēmumu par iesnieguma apstiprināšanu” ar vārdiem “lēmumu par iesnieguma apstiprināšanu, kas uzskatāms par valsts atbalsta piešķiršanas dienu,”</w:t>
            </w:r>
          </w:p>
          <w:p w:rsidR="00F24DD1" w:rsidRDefault="00F24DD1" w:rsidP="00F24DD1">
            <w:pPr>
              <w:pStyle w:val="Parasts1"/>
              <w:jc w:val="both"/>
            </w:pPr>
          </w:p>
          <w:p w:rsidR="009B6CFF" w:rsidRDefault="003D52B5" w:rsidP="00F24DD1">
            <w:pPr>
              <w:pStyle w:val="Parasts1"/>
              <w:jc w:val="both"/>
            </w:pPr>
            <w:r>
              <w:t xml:space="preserve"> </w:t>
            </w:r>
            <w:r w:rsidRPr="003D52B5">
              <w:t>Aizstāt Ministru kabineta noteikumu projekta “Grozījumi Ministru kabineta 2013. gada 17. decembra noteikumos Nr. 1524 „Noteikumi par valsts atbalstu lauksaimniecībai”</w:t>
            </w:r>
            <w:r w:rsidR="00980A23">
              <w:t xml:space="preserve"> </w:t>
            </w:r>
            <w:r w:rsidR="00F24DD1">
              <w:t>189. punktā vārdus “komisijas pieņemto lēmumu” ar vārdiem “komisijas pieņemto lēmumu, kas uzskatāms par valsts atbalsta piešķiršanas dienu”</w:t>
            </w:r>
            <w:r w:rsidR="002028D8">
              <w:t>.</w:t>
            </w:r>
          </w:p>
          <w:p w:rsidR="002028D8" w:rsidRDefault="002028D8" w:rsidP="00F24DD1">
            <w:pPr>
              <w:pStyle w:val="Parasts1"/>
              <w:jc w:val="both"/>
            </w:pPr>
          </w:p>
          <w:p w:rsidR="002028D8" w:rsidRDefault="002028D8" w:rsidP="002028D8">
            <w:pPr>
              <w:pStyle w:val="Parasts1"/>
              <w:jc w:val="both"/>
            </w:pPr>
            <w:r w:rsidRPr="003D52B5">
              <w:t xml:space="preserve">Aizstāt Ministru kabineta noteikumu projekta “Grozījumi Ministru kabineta 2013. gada 17. decembra noteikumos Nr. </w:t>
            </w:r>
            <w:r w:rsidRPr="003D52B5">
              <w:lastRenderedPageBreak/>
              <w:t>1524 „Noteikumi par valsts atbalstu lauksaimniecībai”</w:t>
            </w:r>
            <w:r>
              <w:t xml:space="preserve"> 207. punktā </w:t>
            </w:r>
            <w:r w:rsidRPr="002028D8">
              <w:t>“komisija pieņem lēmumu par iesnieguma apstiprināšanu” ar vārdiem “komisija pieņem lēmumu par iesnieguma apstiprināšanu, kas uzskatāms par valsts atbalsta piešķiršanas dienu,”</w:t>
            </w:r>
          </w:p>
        </w:tc>
      </w:tr>
      <w:tr w:rsidR="006322C3" w:rsidRPr="00651E4A" w:rsidTr="006322C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3"/>
          <w:wAfter w:w="5875" w:type="dxa"/>
        </w:trPr>
        <w:tc>
          <w:tcPr>
            <w:tcW w:w="3119" w:type="dxa"/>
            <w:gridSpan w:val="3"/>
          </w:tcPr>
          <w:p w:rsidR="006322C3" w:rsidRDefault="006322C3" w:rsidP="00295C4F">
            <w:pPr>
              <w:pStyle w:val="naiskr"/>
              <w:spacing w:before="0" w:after="0"/>
              <w:ind w:right="-1100"/>
            </w:pPr>
          </w:p>
          <w:p w:rsidR="006322C3" w:rsidRPr="00651E4A" w:rsidRDefault="006322C3" w:rsidP="00295C4F">
            <w:pPr>
              <w:pStyle w:val="naiskr"/>
              <w:spacing w:before="0" w:after="0"/>
              <w:ind w:right="-1100"/>
            </w:pPr>
            <w:r w:rsidRPr="00651E4A">
              <w:t>Atbildīgā amatpersona</w:t>
            </w:r>
          </w:p>
        </w:tc>
        <w:tc>
          <w:tcPr>
            <w:tcW w:w="5331" w:type="dxa"/>
            <w:gridSpan w:val="2"/>
          </w:tcPr>
          <w:p w:rsidR="006322C3" w:rsidRPr="00651E4A" w:rsidRDefault="006322C3" w:rsidP="00295C4F">
            <w:pPr>
              <w:pStyle w:val="naiskr"/>
              <w:spacing w:before="0" w:after="0"/>
              <w:ind w:firstLine="720"/>
            </w:pPr>
            <w:r w:rsidRPr="00651E4A">
              <w:t>  </w:t>
            </w:r>
          </w:p>
        </w:tc>
      </w:tr>
      <w:tr w:rsidR="006322C3" w:rsidRPr="00651E4A" w:rsidTr="006322C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3"/>
          <w:wAfter w:w="5875" w:type="dxa"/>
        </w:trPr>
        <w:tc>
          <w:tcPr>
            <w:tcW w:w="3119" w:type="dxa"/>
            <w:gridSpan w:val="3"/>
          </w:tcPr>
          <w:p w:rsidR="006322C3" w:rsidRPr="00651E4A" w:rsidRDefault="006322C3" w:rsidP="00295C4F">
            <w:pPr>
              <w:pStyle w:val="naiskr"/>
              <w:spacing w:before="0" w:after="0"/>
              <w:ind w:firstLine="720"/>
            </w:pPr>
          </w:p>
        </w:tc>
        <w:tc>
          <w:tcPr>
            <w:tcW w:w="5331" w:type="dxa"/>
            <w:gridSpan w:val="2"/>
            <w:tcBorders>
              <w:top w:val="single" w:sz="6" w:space="0" w:color="000000"/>
            </w:tcBorders>
          </w:tcPr>
          <w:p w:rsidR="006322C3" w:rsidRPr="00651E4A" w:rsidRDefault="006322C3" w:rsidP="00295C4F">
            <w:pPr>
              <w:pStyle w:val="naisc"/>
              <w:spacing w:before="0" w:after="0"/>
              <w:ind w:firstLine="1735"/>
            </w:pPr>
            <w:r w:rsidRPr="00651E4A">
              <w:t>(</w:t>
            </w:r>
            <w:proofErr w:type="spellStart"/>
            <w:r w:rsidRPr="00651E4A">
              <w:t>paraksts</w:t>
            </w:r>
            <w:proofErr w:type="spellEnd"/>
            <w:r w:rsidRPr="00651E4A">
              <w:t>*)</w:t>
            </w:r>
          </w:p>
        </w:tc>
      </w:tr>
    </w:tbl>
    <w:p w:rsidR="006322C3" w:rsidRPr="00651E4A" w:rsidRDefault="006322C3" w:rsidP="006322C3">
      <w:pPr>
        <w:pStyle w:val="naisf"/>
        <w:spacing w:before="0" w:after="0"/>
        <w:ind w:firstLine="720"/>
      </w:pPr>
    </w:p>
    <w:p w:rsidR="006322C3" w:rsidRDefault="006322C3" w:rsidP="006322C3">
      <w:pPr>
        <w:pStyle w:val="naisf"/>
        <w:spacing w:before="0" w:after="0"/>
        <w:ind w:firstLine="720"/>
      </w:pPr>
    </w:p>
    <w:p w:rsidR="006322C3" w:rsidRDefault="006322C3" w:rsidP="006322C3">
      <w:pPr>
        <w:pStyle w:val="naisf"/>
        <w:spacing w:before="0" w:after="0"/>
        <w:ind w:firstLine="720"/>
      </w:pPr>
      <w:r w:rsidRPr="00651E4A">
        <w:t>Piezīme. * Dokumenta rekvizītu "paraksts" neaizpilda, ja elektroniskais dokuments ir sagatavots atbilstoši normatīvajiem aktiem par elektronisko dokumentu noformēšanu.</w:t>
      </w:r>
    </w:p>
    <w:p w:rsidR="006322C3" w:rsidRDefault="006322C3" w:rsidP="006322C3">
      <w:pPr>
        <w:pStyle w:val="naisf"/>
        <w:spacing w:before="0" w:after="0"/>
        <w:ind w:firstLine="720"/>
      </w:pPr>
    </w:p>
    <w:p w:rsidR="006322C3" w:rsidRDefault="006322C3" w:rsidP="006322C3">
      <w:pPr>
        <w:pStyle w:val="naisf"/>
        <w:spacing w:before="0" w:after="0"/>
        <w:ind w:firstLine="720"/>
      </w:pPr>
    </w:p>
    <w:p w:rsidR="006322C3" w:rsidRPr="00651E4A" w:rsidRDefault="006322C3" w:rsidP="006322C3">
      <w:pPr>
        <w:pStyle w:val="naisf"/>
        <w:spacing w:before="0" w:after="0"/>
        <w:ind w:firstLine="3544"/>
      </w:pPr>
      <w:r w:rsidRPr="00651E4A">
        <w:t xml:space="preserve">Linda </w:t>
      </w:r>
      <w:proofErr w:type="spellStart"/>
      <w:r w:rsidRPr="00651E4A">
        <w:t>Voiče</w:t>
      </w:r>
      <w:proofErr w:type="spellEnd"/>
    </w:p>
    <w:tbl>
      <w:tblPr>
        <w:tblW w:w="0" w:type="auto"/>
        <w:tblLook w:val="00A0" w:firstRow="1" w:lastRow="0" w:firstColumn="1" w:lastColumn="0" w:noHBand="0" w:noVBand="0"/>
      </w:tblPr>
      <w:tblGrid>
        <w:gridCol w:w="8268"/>
      </w:tblGrid>
      <w:tr w:rsidR="006322C3" w:rsidRPr="00651E4A" w:rsidTr="00295C4F">
        <w:tc>
          <w:tcPr>
            <w:tcW w:w="8268" w:type="dxa"/>
            <w:tcBorders>
              <w:top w:val="single" w:sz="4" w:space="0" w:color="000000"/>
            </w:tcBorders>
          </w:tcPr>
          <w:p w:rsidR="006322C3" w:rsidRDefault="006322C3" w:rsidP="00295C4F">
            <w:pPr>
              <w:jc w:val="center"/>
              <w:rPr>
                <w:sz w:val="24"/>
                <w:szCs w:val="24"/>
              </w:rPr>
            </w:pPr>
            <w:r w:rsidRPr="00651E4A">
              <w:rPr>
                <w:sz w:val="24"/>
                <w:szCs w:val="24"/>
              </w:rPr>
              <w:t>(par projektu atbildīgās amatpersonas vārds un uzvārds)</w:t>
            </w:r>
          </w:p>
          <w:p w:rsidR="006322C3" w:rsidRPr="00651E4A" w:rsidRDefault="006322C3" w:rsidP="00295C4F">
            <w:pPr>
              <w:jc w:val="center"/>
              <w:rPr>
                <w:sz w:val="24"/>
                <w:szCs w:val="24"/>
              </w:rPr>
            </w:pPr>
          </w:p>
        </w:tc>
      </w:tr>
      <w:tr w:rsidR="006322C3" w:rsidRPr="00651E4A" w:rsidTr="00295C4F">
        <w:tc>
          <w:tcPr>
            <w:tcW w:w="8268" w:type="dxa"/>
            <w:tcBorders>
              <w:bottom w:val="single" w:sz="4" w:space="0" w:color="000000"/>
            </w:tcBorders>
          </w:tcPr>
          <w:p w:rsidR="006322C3" w:rsidRPr="00651E4A" w:rsidRDefault="006322C3" w:rsidP="00295C4F">
            <w:pPr>
              <w:jc w:val="center"/>
              <w:rPr>
                <w:sz w:val="24"/>
                <w:szCs w:val="24"/>
              </w:rPr>
            </w:pPr>
            <w:r w:rsidRPr="00651E4A">
              <w:rPr>
                <w:sz w:val="24"/>
                <w:szCs w:val="24"/>
              </w:rPr>
              <w:t>Vecākā referente</w:t>
            </w:r>
          </w:p>
        </w:tc>
      </w:tr>
      <w:tr w:rsidR="006322C3" w:rsidRPr="00651E4A" w:rsidTr="00295C4F">
        <w:tc>
          <w:tcPr>
            <w:tcW w:w="8268" w:type="dxa"/>
            <w:tcBorders>
              <w:top w:val="single" w:sz="4" w:space="0" w:color="000000"/>
            </w:tcBorders>
          </w:tcPr>
          <w:p w:rsidR="006322C3" w:rsidRDefault="006322C3" w:rsidP="00295C4F">
            <w:pPr>
              <w:jc w:val="center"/>
              <w:rPr>
                <w:sz w:val="24"/>
                <w:szCs w:val="24"/>
              </w:rPr>
            </w:pPr>
            <w:r w:rsidRPr="00651E4A">
              <w:rPr>
                <w:sz w:val="24"/>
                <w:szCs w:val="24"/>
              </w:rPr>
              <w:t>(amats)</w:t>
            </w:r>
          </w:p>
          <w:p w:rsidR="006322C3" w:rsidRPr="00651E4A" w:rsidRDefault="006322C3" w:rsidP="00295C4F">
            <w:pPr>
              <w:jc w:val="center"/>
              <w:rPr>
                <w:sz w:val="24"/>
                <w:szCs w:val="24"/>
              </w:rPr>
            </w:pPr>
          </w:p>
        </w:tc>
      </w:tr>
      <w:tr w:rsidR="006322C3" w:rsidRPr="00651E4A" w:rsidTr="00295C4F">
        <w:tc>
          <w:tcPr>
            <w:tcW w:w="8268" w:type="dxa"/>
            <w:tcBorders>
              <w:bottom w:val="single" w:sz="4" w:space="0" w:color="000000"/>
            </w:tcBorders>
          </w:tcPr>
          <w:p w:rsidR="006322C3" w:rsidRPr="00651E4A" w:rsidRDefault="006322C3" w:rsidP="00295C4F">
            <w:pPr>
              <w:jc w:val="center"/>
              <w:rPr>
                <w:sz w:val="24"/>
                <w:szCs w:val="24"/>
              </w:rPr>
            </w:pPr>
            <w:r w:rsidRPr="00651E4A">
              <w:rPr>
                <w:sz w:val="24"/>
                <w:szCs w:val="24"/>
              </w:rPr>
              <w:t>tālr. 67027121; fakss: 67878722</w:t>
            </w:r>
          </w:p>
        </w:tc>
      </w:tr>
      <w:tr w:rsidR="006322C3" w:rsidRPr="00651E4A" w:rsidTr="00295C4F">
        <w:tc>
          <w:tcPr>
            <w:tcW w:w="8268" w:type="dxa"/>
            <w:tcBorders>
              <w:top w:val="single" w:sz="4" w:space="0" w:color="000000"/>
            </w:tcBorders>
          </w:tcPr>
          <w:p w:rsidR="006322C3" w:rsidRDefault="006322C3" w:rsidP="00295C4F">
            <w:pPr>
              <w:jc w:val="center"/>
              <w:rPr>
                <w:sz w:val="24"/>
                <w:szCs w:val="24"/>
              </w:rPr>
            </w:pPr>
            <w:r w:rsidRPr="00651E4A">
              <w:rPr>
                <w:sz w:val="24"/>
                <w:szCs w:val="24"/>
              </w:rPr>
              <w:t>(tālruņa un faksa numurs)</w:t>
            </w:r>
          </w:p>
          <w:p w:rsidR="006322C3" w:rsidRPr="00651E4A" w:rsidRDefault="006322C3" w:rsidP="00295C4F">
            <w:pPr>
              <w:jc w:val="center"/>
              <w:rPr>
                <w:sz w:val="24"/>
                <w:szCs w:val="24"/>
              </w:rPr>
            </w:pPr>
          </w:p>
        </w:tc>
      </w:tr>
      <w:tr w:rsidR="006322C3" w:rsidRPr="00651E4A" w:rsidTr="00295C4F">
        <w:tc>
          <w:tcPr>
            <w:tcW w:w="8268" w:type="dxa"/>
            <w:tcBorders>
              <w:bottom w:val="single" w:sz="4" w:space="0" w:color="000000"/>
            </w:tcBorders>
          </w:tcPr>
          <w:p w:rsidR="006322C3" w:rsidRPr="00651E4A" w:rsidRDefault="006322C3" w:rsidP="00295C4F">
            <w:pPr>
              <w:jc w:val="center"/>
              <w:rPr>
                <w:sz w:val="24"/>
                <w:szCs w:val="24"/>
              </w:rPr>
            </w:pPr>
            <w:r w:rsidRPr="00651E4A">
              <w:rPr>
                <w:sz w:val="24"/>
                <w:szCs w:val="24"/>
              </w:rPr>
              <w:t>Linda.Voice@zm.gov.lv</w:t>
            </w:r>
          </w:p>
        </w:tc>
      </w:tr>
      <w:tr w:rsidR="006322C3" w:rsidRPr="00651E4A" w:rsidTr="00295C4F">
        <w:trPr>
          <w:trHeight w:val="70"/>
        </w:trPr>
        <w:tc>
          <w:tcPr>
            <w:tcW w:w="8268" w:type="dxa"/>
            <w:tcBorders>
              <w:top w:val="single" w:sz="4" w:space="0" w:color="000000"/>
            </w:tcBorders>
          </w:tcPr>
          <w:p w:rsidR="006322C3" w:rsidRPr="00651E4A" w:rsidRDefault="006322C3" w:rsidP="00295C4F">
            <w:pPr>
              <w:jc w:val="center"/>
              <w:rPr>
                <w:sz w:val="24"/>
                <w:szCs w:val="24"/>
              </w:rPr>
            </w:pPr>
            <w:r w:rsidRPr="00651E4A">
              <w:rPr>
                <w:sz w:val="24"/>
                <w:szCs w:val="24"/>
              </w:rPr>
              <w:t>(e-pasta adrese)</w:t>
            </w:r>
          </w:p>
        </w:tc>
      </w:tr>
    </w:tbl>
    <w:p w:rsidR="006322C3" w:rsidRDefault="006322C3" w:rsidP="006322C3">
      <w:pPr>
        <w:rPr>
          <w:sz w:val="24"/>
          <w:szCs w:val="24"/>
        </w:rPr>
      </w:pPr>
    </w:p>
    <w:p w:rsidR="006322C3" w:rsidRDefault="006322C3" w:rsidP="006322C3">
      <w:pPr>
        <w:pStyle w:val="Parasts1"/>
      </w:pPr>
    </w:p>
    <w:p w:rsidR="00E3343C" w:rsidRDefault="00E3343C">
      <w:pPr>
        <w:pStyle w:val="Parasts1"/>
      </w:pPr>
      <w:bookmarkStart w:id="0" w:name="_GoBack"/>
      <w:bookmarkEnd w:id="0"/>
    </w:p>
    <w:sectPr w:rsidR="00E3343C" w:rsidSect="006322C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7A" w:rsidRDefault="00A5717A">
      <w:pPr>
        <w:pStyle w:val="Parasts1"/>
      </w:pPr>
      <w:r>
        <w:separator/>
      </w:r>
    </w:p>
  </w:endnote>
  <w:endnote w:type="continuationSeparator" w:id="0">
    <w:p w:rsidR="00A5717A" w:rsidRDefault="00A5717A">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E2" w:rsidRPr="006322C3" w:rsidRDefault="006322C3" w:rsidP="006322C3">
    <w:pPr>
      <w:pStyle w:val="Kjene"/>
    </w:pPr>
    <w:r w:rsidRPr="006322C3">
      <w:rPr>
        <w:sz w:val="20"/>
        <w:szCs w:val="20"/>
      </w:rPr>
      <w:t>ZMIzz_100719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1C" w:rsidRPr="006322C3" w:rsidRDefault="006322C3" w:rsidP="006322C3">
    <w:pPr>
      <w:pStyle w:val="Kjene"/>
    </w:pPr>
    <w:r w:rsidRPr="006322C3">
      <w:rPr>
        <w:sz w:val="20"/>
        <w:szCs w:val="20"/>
      </w:rPr>
      <w:t>ZMIzz_100719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7A" w:rsidRDefault="00A5717A">
      <w:pPr>
        <w:pStyle w:val="Parasts1"/>
      </w:pPr>
      <w:r>
        <w:separator/>
      </w:r>
    </w:p>
  </w:footnote>
  <w:footnote w:type="continuationSeparator" w:id="0">
    <w:p w:rsidR="00A5717A" w:rsidRDefault="00A5717A">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6322C3">
      <w:rPr>
        <w:rStyle w:val="Lappusesnumurs"/>
        <w:noProof/>
      </w:rPr>
      <w:t>4</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5"/>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6"/>
  </w:num>
  <w:num w:numId="26">
    <w:abstractNumId w:val="15"/>
  </w:num>
  <w:num w:numId="27">
    <w:abstractNumId w:val="10"/>
  </w:num>
  <w:num w:numId="28">
    <w:abstractNumId w:val="19"/>
  </w:num>
  <w:num w:numId="29">
    <w:abstractNumId w:val="6"/>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3"/>
    <w:rsid w:val="000143AC"/>
    <w:rsid w:val="000209CF"/>
    <w:rsid w:val="00021BAB"/>
    <w:rsid w:val="00022180"/>
    <w:rsid w:val="0002257D"/>
    <w:rsid w:val="00023B79"/>
    <w:rsid w:val="000255D5"/>
    <w:rsid w:val="0003201B"/>
    <w:rsid w:val="0003415E"/>
    <w:rsid w:val="000344B9"/>
    <w:rsid w:val="00037398"/>
    <w:rsid w:val="0004021A"/>
    <w:rsid w:val="000407C0"/>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265AE"/>
    <w:rsid w:val="00130C06"/>
    <w:rsid w:val="00133061"/>
    <w:rsid w:val="00135703"/>
    <w:rsid w:val="00143806"/>
    <w:rsid w:val="001473AC"/>
    <w:rsid w:val="00147505"/>
    <w:rsid w:val="00147E13"/>
    <w:rsid w:val="001506BE"/>
    <w:rsid w:val="00162F5D"/>
    <w:rsid w:val="00165E45"/>
    <w:rsid w:val="00167211"/>
    <w:rsid w:val="00180D2B"/>
    <w:rsid w:val="00187DB2"/>
    <w:rsid w:val="00195D94"/>
    <w:rsid w:val="00195F2C"/>
    <w:rsid w:val="00197C96"/>
    <w:rsid w:val="001A3AA6"/>
    <w:rsid w:val="001A57B7"/>
    <w:rsid w:val="001A6488"/>
    <w:rsid w:val="001A787C"/>
    <w:rsid w:val="001B02A2"/>
    <w:rsid w:val="001B0B31"/>
    <w:rsid w:val="001B2F72"/>
    <w:rsid w:val="001B3D76"/>
    <w:rsid w:val="001C3146"/>
    <w:rsid w:val="001C404E"/>
    <w:rsid w:val="001C483D"/>
    <w:rsid w:val="001D068C"/>
    <w:rsid w:val="001D0C02"/>
    <w:rsid w:val="001D3422"/>
    <w:rsid w:val="001D3712"/>
    <w:rsid w:val="001D383C"/>
    <w:rsid w:val="001D3964"/>
    <w:rsid w:val="001E61BD"/>
    <w:rsid w:val="001F2B65"/>
    <w:rsid w:val="001F6469"/>
    <w:rsid w:val="00201EE0"/>
    <w:rsid w:val="002028D8"/>
    <w:rsid w:val="0020476C"/>
    <w:rsid w:val="002068C5"/>
    <w:rsid w:val="00210078"/>
    <w:rsid w:val="002112A4"/>
    <w:rsid w:val="002162E8"/>
    <w:rsid w:val="0022049B"/>
    <w:rsid w:val="00225A6F"/>
    <w:rsid w:val="00227859"/>
    <w:rsid w:val="002305B5"/>
    <w:rsid w:val="00232543"/>
    <w:rsid w:val="0025412E"/>
    <w:rsid w:val="00262F05"/>
    <w:rsid w:val="0027057B"/>
    <w:rsid w:val="00275E91"/>
    <w:rsid w:val="002879C5"/>
    <w:rsid w:val="00295DD3"/>
    <w:rsid w:val="002A2046"/>
    <w:rsid w:val="002A5995"/>
    <w:rsid w:val="002A663C"/>
    <w:rsid w:val="002A7A89"/>
    <w:rsid w:val="002B156F"/>
    <w:rsid w:val="002B17D7"/>
    <w:rsid w:val="002B1D75"/>
    <w:rsid w:val="002B3673"/>
    <w:rsid w:val="002C4AB3"/>
    <w:rsid w:val="002C5703"/>
    <w:rsid w:val="002D2605"/>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41ED"/>
    <w:rsid w:val="00377BA3"/>
    <w:rsid w:val="00377CEE"/>
    <w:rsid w:val="00387758"/>
    <w:rsid w:val="00391758"/>
    <w:rsid w:val="003A1E22"/>
    <w:rsid w:val="003A58C3"/>
    <w:rsid w:val="003A7DB2"/>
    <w:rsid w:val="003A7F82"/>
    <w:rsid w:val="003B0829"/>
    <w:rsid w:val="003B2277"/>
    <w:rsid w:val="003B3991"/>
    <w:rsid w:val="003B40B6"/>
    <w:rsid w:val="003B65DB"/>
    <w:rsid w:val="003C13D2"/>
    <w:rsid w:val="003C50E2"/>
    <w:rsid w:val="003D10B7"/>
    <w:rsid w:val="003D52B5"/>
    <w:rsid w:val="003E206F"/>
    <w:rsid w:val="003E3B4A"/>
    <w:rsid w:val="003E7AA5"/>
    <w:rsid w:val="003E7F50"/>
    <w:rsid w:val="003F55C2"/>
    <w:rsid w:val="003F5D53"/>
    <w:rsid w:val="003F7A95"/>
    <w:rsid w:val="004022B2"/>
    <w:rsid w:val="00404D72"/>
    <w:rsid w:val="004128A5"/>
    <w:rsid w:val="004139F4"/>
    <w:rsid w:val="0041615D"/>
    <w:rsid w:val="00416D92"/>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B0656"/>
    <w:rsid w:val="004B1391"/>
    <w:rsid w:val="004B1C3B"/>
    <w:rsid w:val="004C0C1B"/>
    <w:rsid w:val="004C4F50"/>
    <w:rsid w:val="004D763D"/>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2F34"/>
    <w:rsid w:val="005B79B3"/>
    <w:rsid w:val="005C022A"/>
    <w:rsid w:val="005D35CB"/>
    <w:rsid w:val="005D49EF"/>
    <w:rsid w:val="005E013A"/>
    <w:rsid w:val="005E1D64"/>
    <w:rsid w:val="005F2419"/>
    <w:rsid w:val="006044B4"/>
    <w:rsid w:val="00606733"/>
    <w:rsid w:val="0061565E"/>
    <w:rsid w:val="00615F31"/>
    <w:rsid w:val="00616213"/>
    <w:rsid w:val="006237F3"/>
    <w:rsid w:val="00624EDA"/>
    <w:rsid w:val="00625182"/>
    <w:rsid w:val="006322C3"/>
    <w:rsid w:val="00633A95"/>
    <w:rsid w:val="00635033"/>
    <w:rsid w:val="00635134"/>
    <w:rsid w:val="00635173"/>
    <w:rsid w:val="00637775"/>
    <w:rsid w:val="00641216"/>
    <w:rsid w:val="006444A0"/>
    <w:rsid w:val="00652C31"/>
    <w:rsid w:val="0065380F"/>
    <w:rsid w:val="0065467B"/>
    <w:rsid w:val="0066305A"/>
    <w:rsid w:val="0066517E"/>
    <w:rsid w:val="0066659B"/>
    <w:rsid w:val="00673373"/>
    <w:rsid w:val="006734CF"/>
    <w:rsid w:val="00676262"/>
    <w:rsid w:val="006762E9"/>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7F3731"/>
    <w:rsid w:val="008009D8"/>
    <w:rsid w:val="00804C96"/>
    <w:rsid w:val="00807769"/>
    <w:rsid w:val="0081173D"/>
    <w:rsid w:val="00812270"/>
    <w:rsid w:val="00816C8E"/>
    <w:rsid w:val="00821D9B"/>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D1011"/>
    <w:rsid w:val="008D20BF"/>
    <w:rsid w:val="008D2B7F"/>
    <w:rsid w:val="008D2F4A"/>
    <w:rsid w:val="008D55C3"/>
    <w:rsid w:val="008D6557"/>
    <w:rsid w:val="008E7DB4"/>
    <w:rsid w:val="008F14C3"/>
    <w:rsid w:val="008F3A97"/>
    <w:rsid w:val="008F4B34"/>
    <w:rsid w:val="00902D9E"/>
    <w:rsid w:val="00906AA9"/>
    <w:rsid w:val="00915857"/>
    <w:rsid w:val="009238FF"/>
    <w:rsid w:val="00925058"/>
    <w:rsid w:val="00925B3A"/>
    <w:rsid w:val="00931E24"/>
    <w:rsid w:val="00932AD1"/>
    <w:rsid w:val="00935CE4"/>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4AD2"/>
    <w:rsid w:val="00980A23"/>
    <w:rsid w:val="009944D4"/>
    <w:rsid w:val="009A6DAD"/>
    <w:rsid w:val="009B16C1"/>
    <w:rsid w:val="009B1FDD"/>
    <w:rsid w:val="009B6576"/>
    <w:rsid w:val="009B6CFF"/>
    <w:rsid w:val="009B70F5"/>
    <w:rsid w:val="009B7416"/>
    <w:rsid w:val="009C0736"/>
    <w:rsid w:val="009C0B8A"/>
    <w:rsid w:val="009D039C"/>
    <w:rsid w:val="009D2BE6"/>
    <w:rsid w:val="009E5D45"/>
    <w:rsid w:val="009E7B99"/>
    <w:rsid w:val="009F7764"/>
    <w:rsid w:val="009F7896"/>
    <w:rsid w:val="00A075BA"/>
    <w:rsid w:val="00A12B28"/>
    <w:rsid w:val="00A17B47"/>
    <w:rsid w:val="00A206FA"/>
    <w:rsid w:val="00A30A29"/>
    <w:rsid w:val="00A3536B"/>
    <w:rsid w:val="00A4015B"/>
    <w:rsid w:val="00A463D0"/>
    <w:rsid w:val="00A47BC4"/>
    <w:rsid w:val="00A5717A"/>
    <w:rsid w:val="00A571FB"/>
    <w:rsid w:val="00A57A75"/>
    <w:rsid w:val="00A6097A"/>
    <w:rsid w:val="00A61D49"/>
    <w:rsid w:val="00A63F01"/>
    <w:rsid w:val="00A6646E"/>
    <w:rsid w:val="00A72259"/>
    <w:rsid w:val="00A7374D"/>
    <w:rsid w:val="00A767B5"/>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451C"/>
    <w:rsid w:val="00B15E10"/>
    <w:rsid w:val="00B17878"/>
    <w:rsid w:val="00B22E93"/>
    <w:rsid w:val="00B23399"/>
    <w:rsid w:val="00B27158"/>
    <w:rsid w:val="00B27672"/>
    <w:rsid w:val="00B33832"/>
    <w:rsid w:val="00B43EA4"/>
    <w:rsid w:val="00B47064"/>
    <w:rsid w:val="00B5460B"/>
    <w:rsid w:val="00B64C34"/>
    <w:rsid w:val="00B67274"/>
    <w:rsid w:val="00B67461"/>
    <w:rsid w:val="00B8010C"/>
    <w:rsid w:val="00B82ADC"/>
    <w:rsid w:val="00B838AB"/>
    <w:rsid w:val="00B83C64"/>
    <w:rsid w:val="00B87332"/>
    <w:rsid w:val="00B90370"/>
    <w:rsid w:val="00B9313D"/>
    <w:rsid w:val="00B9560D"/>
    <w:rsid w:val="00B962E2"/>
    <w:rsid w:val="00BA3C1E"/>
    <w:rsid w:val="00BA777D"/>
    <w:rsid w:val="00BB76D4"/>
    <w:rsid w:val="00BC2D63"/>
    <w:rsid w:val="00BD26BF"/>
    <w:rsid w:val="00BD354E"/>
    <w:rsid w:val="00BD6493"/>
    <w:rsid w:val="00BD66A2"/>
    <w:rsid w:val="00BE0CFD"/>
    <w:rsid w:val="00BE20BB"/>
    <w:rsid w:val="00BE7EDF"/>
    <w:rsid w:val="00BF30E3"/>
    <w:rsid w:val="00C0295D"/>
    <w:rsid w:val="00C04A9E"/>
    <w:rsid w:val="00C072C5"/>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55D5"/>
    <w:rsid w:val="00CC6788"/>
    <w:rsid w:val="00CD2883"/>
    <w:rsid w:val="00CE55ED"/>
    <w:rsid w:val="00CF0C5D"/>
    <w:rsid w:val="00CF20BB"/>
    <w:rsid w:val="00D0226F"/>
    <w:rsid w:val="00D05AF4"/>
    <w:rsid w:val="00D07FA2"/>
    <w:rsid w:val="00D10772"/>
    <w:rsid w:val="00D169D7"/>
    <w:rsid w:val="00D312FB"/>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06A9"/>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4DD1"/>
    <w:rsid w:val="00F2572A"/>
    <w:rsid w:val="00F26691"/>
    <w:rsid w:val="00F32B27"/>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6960"/>
    <w:rsid w:val="00FB3097"/>
    <w:rsid w:val="00FB44EF"/>
    <w:rsid w:val="00FC045E"/>
    <w:rsid w:val="00FC0919"/>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86F4C"/>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5BAE-948E-485D-9716-E2F89343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Zemkopības Ministrija</Company>
  <LinksUpToDate>false</LinksUpToDate>
  <CharactersWithSpaces>5522</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2013. gada 18. decembra Regulas (EK) Nr. 1408/2013 par Līguma par Eiropas Savienības darbību 107. un 108. panta piemērošanu de minimis atbalstam lauksaimniecības nozarē piemērošanas nodrošināšanai (VSS-487,VSS-488, VSS-489 un VSS-490)</dc:title>
  <dc:subject>izziņa</dc:subject>
  <dc:creator>Linda Voiče</dc:creator>
  <dc:description>Voiče 67027121_x000d_
Linda.Voice@zm.gov.lv</dc:description>
  <cp:lastModifiedBy>Kristiāna Sebre</cp:lastModifiedBy>
  <cp:revision>5</cp:revision>
  <cp:lastPrinted>2014-04-23T08:22:00Z</cp:lastPrinted>
  <dcterms:created xsi:type="dcterms:W3CDTF">2019-07-01T12:21:00Z</dcterms:created>
  <dcterms:modified xsi:type="dcterms:W3CDTF">2019-07-10T08:51:00Z</dcterms:modified>
</cp:coreProperties>
</file>