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CB194" w14:textId="77777777" w:rsidR="002B15FE" w:rsidRPr="002B15FE" w:rsidRDefault="002B15FE" w:rsidP="002B15FE">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Izziņa par atzinumos sniegtajiem</w:t>
      </w:r>
      <w:r w:rsidR="007E52B8">
        <w:rPr>
          <w:rFonts w:ascii="Times New Roman" w:eastAsia="Times New Roman" w:hAnsi="Times New Roman" w:cs="Times New Roman"/>
          <w:b/>
          <w:lang w:eastAsia="lv-LV"/>
        </w:rPr>
        <w:t xml:space="preserve"> </w:t>
      </w:r>
      <w:r w:rsidRPr="002B15FE">
        <w:rPr>
          <w:rFonts w:ascii="Times New Roman" w:eastAsia="Times New Roman" w:hAnsi="Times New Roman" w:cs="Times New Roman"/>
          <w:b/>
          <w:lang w:eastAsia="lv-LV"/>
        </w:rPr>
        <w:t>iebildumiem</w:t>
      </w:r>
      <w:r w:rsidR="00530008">
        <w:rPr>
          <w:rFonts w:ascii="Times New Roman" w:eastAsia="Times New Roman" w:hAnsi="Times New Roman" w:cs="Times New Roman"/>
          <w:b/>
          <w:lang w:eastAsia="lv-LV"/>
        </w:rPr>
        <w:t xml:space="preserve"> </w:t>
      </w:r>
    </w:p>
    <w:p w14:paraId="17BCB195" w14:textId="77777777" w:rsidR="002B15FE" w:rsidRPr="002B15FE" w:rsidRDefault="002B15FE" w:rsidP="002B15FE">
      <w:pPr>
        <w:spacing w:after="0" w:line="240" w:lineRule="auto"/>
        <w:ind w:firstLine="720"/>
        <w:jc w:val="both"/>
        <w:rPr>
          <w:rFonts w:ascii="Times New Roman" w:eastAsia="Times New Roman" w:hAnsi="Times New Roman" w:cs="Times New Roman"/>
          <w:lang w:eastAsia="lv-LV"/>
        </w:rPr>
      </w:pPr>
    </w:p>
    <w:p w14:paraId="17BCB196" w14:textId="77777777" w:rsidR="007E52B8" w:rsidRDefault="007E52B8" w:rsidP="002B15FE">
      <w:pPr>
        <w:spacing w:after="0" w:line="240" w:lineRule="auto"/>
        <w:ind w:left="2410" w:right="2663"/>
        <w:jc w:val="center"/>
        <w:rPr>
          <w:rFonts w:ascii="Times New Roman" w:eastAsia="Times New Roman" w:hAnsi="Times New Roman" w:cs="Times New Roman"/>
          <w:bCs/>
          <w:lang w:eastAsia="lv-LV"/>
        </w:rPr>
      </w:pPr>
      <w:r w:rsidRPr="007E52B8">
        <w:rPr>
          <w:rFonts w:ascii="Times New Roman" w:eastAsia="Times New Roman" w:hAnsi="Times New Roman" w:cs="Times New Roman"/>
          <w:bCs/>
          <w:lang w:eastAsia="lv-LV"/>
        </w:rPr>
        <w:t xml:space="preserve">Protokollēmuma “Par Ministru kabineta 2019. gada 15. janvāra sēdes protokola Nr. 2; 71. § “Informatīvais ziņojums par iespējamiem risinājumiem nacionālās drošības interešu aizsardzības nodrošināšanai” 3.1., 3.3., 3.4., </w:t>
      </w:r>
      <w:r w:rsidR="00885E15">
        <w:rPr>
          <w:rFonts w:ascii="Times New Roman" w:eastAsia="Times New Roman" w:hAnsi="Times New Roman" w:cs="Times New Roman"/>
          <w:bCs/>
          <w:lang w:eastAsia="lv-LV"/>
        </w:rPr>
        <w:t xml:space="preserve">3.5., </w:t>
      </w:r>
      <w:r w:rsidRPr="007E52B8">
        <w:rPr>
          <w:rFonts w:ascii="Times New Roman" w:eastAsia="Times New Roman" w:hAnsi="Times New Roman" w:cs="Times New Roman"/>
          <w:bCs/>
          <w:lang w:eastAsia="lv-LV"/>
        </w:rPr>
        <w:t>3.6. un 3.7.  punkta atzīšanu par aktualitāti zaudējušu” projekts</w:t>
      </w:r>
    </w:p>
    <w:p w14:paraId="17BCB197" w14:textId="77777777" w:rsidR="007E52B8" w:rsidRPr="002B15FE" w:rsidRDefault="007E52B8" w:rsidP="002B15FE">
      <w:pPr>
        <w:spacing w:after="0" w:line="240" w:lineRule="auto"/>
        <w:ind w:left="2410" w:right="2663"/>
        <w:jc w:val="center"/>
        <w:rPr>
          <w:rFonts w:ascii="Times New Roman" w:eastAsia="Times New Roman" w:hAnsi="Times New Roman" w:cs="Times New Roman"/>
          <w:lang w:eastAsia="lv-LV"/>
        </w:rPr>
      </w:pPr>
    </w:p>
    <w:p w14:paraId="17BCB198" w14:textId="77777777" w:rsidR="002B15FE" w:rsidRPr="002B15FE" w:rsidRDefault="002B15FE" w:rsidP="002B15FE">
      <w:pPr>
        <w:spacing w:after="0" w:line="240" w:lineRule="auto"/>
        <w:jc w:val="both"/>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 xml:space="preserve">Informācija par starpministriju (starpinstitūciju) sanāksmi </w:t>
      </w:r>
    </w:p>
    <w:p w14:paraId="17BCB199" w14:textId="77777777" w:rsidR="002B15FE" w:rsidRPr="002B15FE" w:rsidRDefault="002B15FE" w:rsidP="002B15FE">
      <w:pPr>
        <w:spacing w:after="0" w:line="240" w:lineRule="auto"/>
        <w:jc w:val="both"/>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2B15FE" w:rsidRPr="002B15FE" w14:paraId="17BCB19C" w14:textId="77777777" w:rsidTr="0009183D">
        <w:tc>
          <w:tcPr>
            <w:tcW w:w="7513" w:type="dxa"/>
            <w:hideMark/>
          </w:tcPr>
          <w:p w14:paraId="17BCB19A" w14:textId="77777777" w:rsidR="002B15FE" w:rsidRPr="002B15FE" w:rsidRDefault="002B15FE" w:rsidP="002B15FE">
            <w:pPr>
              <w:spacing w:after="0" w:line="240" w:lineRule="auto"/>
              <w:jc w:val="both"/>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hideMark/>
          </w:tcPr>
          <w:p w14:paraId="17BCB19B" w14:textId="77777777" w:rsidR="002B15FE" w:rsidRPr="002B15FE" w:rsidRDefault="007E52B8" w:rsidP="002B15FE">
            <w:pPr>
              <w:spacing w:after="0" w:line="240" w:lineRule="auto"/>
              <w:ind w:firstLine="460"/>
              <w:rPr>
                <w:rFonts w:ascii="Times New Roman" w:eastAsia="Times New Roman" w:hAnsi="Times New Roman" w:cs="Times New Roman"/>
                <w:lang w:eastAsia="lv-LV"/>
              </w:rPr>
            </w:pPr>
            <w:r>
              <w:rPr>
                <w:rFonts w:ascii="Times New Roman" w:eastAsia="Times New Roman" w:hAnsi="Times New Roman" w:cs="Times New Roman"/>
                <w:lang w:eastAsia="lv-LV"/>
              </w:rPr>
              <w:t>31.07</w:t>
            </w:r>
            <w:r w:rsidR="006B25E6">
              <w:rPr>
                <w:rFonts w:ascii="Times New Roman" w:eastAsia="Times New Roman" w:hAnsi="Times New Roman" w:cs="Times New Roman"/>
                <w:lang w:eastAsia="lv-LV"/>
              </w:rPr>
              <w:t>.2019.</w:t>
            </w:r>
          </w:p>
        </w:tc>
      </w:tr>
      <w:tr w:rsidR="002B15FE" w:rsidRPr="002B15FE" w14:paraId="17BCB19F" w14:textId="77777777" w:rsidTr="0009183D">
        <w:tc>
          <w:tcPr>
            <w:tcW w:w="7513" w:type="dxa"/>
          </w:tcPr>
          <w:p w14:paraId="17BCB19D" w14:textId="77777777" w:rsidR="002B15FE" w:rsidRPr="002B15FE" w:rsidRDefault="002B15FE" w:rsidP="002B15FE">
            <w:pPr>
              <w:spacing w:after="0" w:line="240" w:lineRule="auto"/>
              <w:jc w:val="both"/>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14:paraId="17BCB19E"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14:paraId="17BCB1A9" w14:textId="77777777" w:rsidTr="0009183D">
        <w:tc>
          <w:tcPr>
            <w:tcW w:w="7513" w:type="dxa"/>
            <w:hideMark/>
          </w:tcPr>
          <w:p w14:paraId="17BCB1A0"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w:t>
            </w:r>
          </w:p>
        </w:tc>
        <w:tc>
          <w:tcPr>
            <w:tcW w:w="4820" w:type="dxa"/>
            <w:gridSpan w:val="3"/>
          </w:tcPr>
          <w:p w14:paraId="17BCB1A1" w14:textId="77777777" w:rsidR="00530008"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Edgars Svarenieks, </w:t>
            </w:r>
            <w:r w:rsidRPr="00530008">
              <w:rPr>
                <w:rFonts w:ascii="Times New Roman" w:eastAsia="Times New Roman" w:hAnsi="Times New Roman" w:cs="Times New Roman"/>
                <w:lang w:eastAsia="lv-LV"/>
              </w:rPr>
              <w:t>Aizsardzības ministrija</w:t>
            </w:r>
          </w:p>
          <w:p w14:paraId="17BCB1A2" w14:textId="77777777" w:rsidR="00530008"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Ieva Rubļevska, Aizsardzības ministrija</w:t>
            </w:r>
          </w:p>
          <w:p w14:paraId="17BCB1A3" w14:textId="77777777" w:rsidR="00530008"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Alvis Pabērzs, </w:t>
            </w:r>
            <w:r w:rsidR="002B15FE">
              <w:rPr>
                <w:rFonts w:ascii="Times New Roman" w:eastAsia="Times New Roman" w:hAnsi="Times New Roman" w:cs="Times New Roman"/>
                <w:lang w:eastAsia="lv-LV"/>
              </w:rPr>
              <w:t xml:space="preserve">Ārlietu ministrija, </w:t>
            </w:r>
          </w:p>
          <w:p w14:paraId="17BCB1A4" w14:textId="77777777" w:rsidR="00530008"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Zane Gulbe, </w:t>
            </w:r>
            <w:r w:rsidR="002B15FE">
              <w:rPr>
                <w:rFonts w:ascii="Times New Roman" w:eastAsia="Times New Roman" w:hAnsi="Times New Roman" w:cs="Times New Roman"/>
                <w:lang w:eastAsia="lv-LV"/>
              </w:rPr>
              <w:t xml:space="preserve">Ekonomikas ministrija, </w:t>
            </w:r>
          </w:p>
          <w:p w14:paraId="17BCB1A5" w14:textId="77777777" w:rsidR="00530008"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Klinta Ločmele, </w:t>
            </w:r>
            <w:r w:rsidR="002B15FE" w:rsidRPr="002B15FE">
              <w:rPr>
                <w:rFonts w:ascii="Times New Roman" w:eastAsia="Times New Roman" w:hAnsi="Times New Roman" w:cs="Times New Roman"/>
                <w:lang w:eastAsia="lv-LV"/>
              </w:rPr>
              <w:t>Kultū</w:t>
            </w:r>
            <w:r w:rsidR="002B15FE">
              <w:rPr>
                <w:rFonts w:ascii="Times New Roman" w:eastAsia="Times New Roman" w:hAnsi="Times New Roman" w:cs="Times New Roman"/>
                <w:lang w:eastAsia="lv-LV"/>
              </w:rPr>
              <w:t>ras ministrija,</w:t>
            </w:r>
          </w:p>
          <w:p w14:paraId="17BCB1A6" w14:textId="77777777" w:rsidR="002B15FE"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Rudīte </w:t>
            </w:r>
            <w:proofErr w:type="spellStart"/>
            <w:r>
              <w:rPr>
                <w:rFonts w:ascii="Times New Roman" w:eastAsia="Times New Roman" w:hAnsi="Times New Roman" w:cs="Times New Roman"/>
                <w:lang w:eastAsia="lv-LV"/>
              </w:rPr>
              <w:t>Vesere</w:t>
            </w:r>
            <w:proofErr w:type="spellEnd"/>
            <w:r>
              <w:rPr>
                <w:rFonts w:ascii="Times New Roman" w:eastAsia="Times New Roman" w:hAnsi="Times New Roman" w:cs="Times New Roman"/>
                <w:lang w:eastAsia="lv-LV"/>
              </w:rPr>
              <w:t xml:space="preserve">, </w:t>
            </w:r>
            <w:r w:rsidR="002B15FE" w:rsidRPr="002B15FE">
              <w:rPr>
                <w:rFonts w:ascii="Times New Roman" w:eastAsia="Times New Roman" w:hAnsi="Times New Roman" w:cs="Times New Roman"/>
                <w:lang w:eastAsia="lv-LV"/>
              </w:rPr>
              <w:t xml:space="preserve">Vides aizsardzības un </w:t>
            </w:r>
            <w:r w:rsidR="002B15FE">
              <w:rPr>
                <w:rFonts w:ascii="Times New Roman" w:eastAsia="Times New Roman" w:hAnsi="Times New Roman" w:cs="Times New Roman"/>
                <w:lang w:eastAsia="lv-LV"/>
              </w:rPr>
              <w:t xml:space="preserve">reģionālās attīstības ministrija, </w:t>
            </w:r>
          </w:p>
          <w:p w14:paraId="17BCB1A7" w14:textId="77777777" w:rsidR="00530008"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Guna Šmerliņa, </w:t>
            </w:r>
            <w:r w:rsidRPr="00530008">
              <w:rPr>
                <w:rFonts w:ascii="Times New Roman" w:eastAsia="Times New Roman" w:hAnsi="Times New Roman" w:cs="Times New Roman"/>
                <w:lang w:eastAsia="lv-LV"/>
              </w:rPr>
              <w:t>Vides aizsardzības un reģionālās attīstības ministrija,</w:t>
            </w:r>
          </w:p>
          <w:p w14:paraId="17BCB1A8" w14:textId="77777777" w:rsidR="00530008" w:rsidRPr="002B15FE" w:rsidRDefault="00530008" w:rsidP="00530008">
            <w:pPr>
              <w:tabs>
                <w:tab w:val="left" w:pos="915"/>
              </w:tabs>
              <w:spacing w:after="0" w:line="240" w:lineRule="auto"/>
              <w:ind w:left="63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Kristīne Gāga, </w:t>
            </w:r>
            <w:r w:rsidRPr="00530008">
              <w:rPr>
                <w:rFonts w:ascii="Times New Roman" w:eastAsia="Times New Roman" w:hAnsi="Times New Roman" w:cs="Times New Roman"/>
                <w:lang w:eastAsia="lv-LV"/>
              </w:rPr>
              <w:t>Vides aizsardzības un r</w:t>
            </w:r>
            <w:r>
              <w:rPr>
                <w:rFonts w:ascii="Times New Roman" w:eastAsia="Times New Roman" w:hAnsi="Times New Roman" w:cs="Times New Roman"/>
                <w:lang w:eastAsia="lv-LV"/>
              </w:rPr>
              <w:t>eģionālās attīstības ministrija</w:t>
            </w:r>
          </w:p>
        </w:tc>
      </w:tr>
      <w:tr w:rsidR="002B15FE" w:rsidRPr="002B15FE" w14:paraId="17BCB1AD" w14:textId="77777777" w:rsidTr="0009183D">
        <w:trPr>
          <w:trHeight w:val="285"/>
        </w:trPr>
        <w:tc>
          <w:tcPr>
            <w:tcW w:w="7513" w:type="dxa"/>
          </w:tcPr>
          <w:p w14:paraId="17BCB1AA"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743" w:type="dxa"/>
            <w:gridSpan w:val="2"/>
          </w:tcPr>
          <w:p w14:paraId="17BCB1AB"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4077" w:type="dxa"/>
          </w:tcPr>
          <w:p w14:paraId="17BCB1AC" w14:textId="77777777" w:rsidR="002B15FE" w:rsidRPr="002B15FE" w:rsidRDefault="002B15FE" w:rsidP="002B15FE">
            <w:pPr>
              <w:spacing w:after="0" w:line="240" w:lineRule="auto"/>
              <w:ind w:firstLine="12"/>
              <w:rPr>
                <w:rFonts w:ascii="Times New Roman" w:eastAsia="Times New Roman" w:hAnsi="Times New Roman" w:cs="Times New Roman"/>
                <w:lang w:eastAsia="lv-LV"/>
              </w:rPr>
            </w:pPr>
          </w:p>
        </w:tc>
      </w:tr>
      <w:tr w:rsidR="002B15FE" w:rsidRPr="002B15FE" w14:paraId="17BCB1B1" w14:textId="77777777" w:rsidTr="0009183D">
        <w:trPr>
          <w:trHeight w:val="501"/>
        </w:trPr>
        <w:tc>
          <w:tcPr>
            <w:tcW w:w="7876" w:type="dxa"/>
            <w:gridSpan w:val="2"/>
            <w:hideMark/>
          </w:tcPr>
          <w:p w14:paraId="17BCB1AE"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Saskaņošanas dalībnieki izskatīja šādu ministriju (citu institūciju) iebildumus</w:t>
            </w:r>
          </w:p>
        </w:tc>
        <w:tc>
          <w:tcPr>
            <w:tcW w:w="380" w:type="dxa"/>
          </w:tcPr>
          <w:p w14:paraId="17BCB1AF"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c>
          <w:tcPr>
            <w:tcW w:w="4077" w:type="dxa"/>
          </w:tcPr>
          <w:p w14:paraId="17BCB1B0" w14:textId="77777777" w:rsidR="002B15FE" w:rsidRPr="002B15FE" w:rsidRDefault="0064697B" w:rsidP="00CD74C7">
            <w:pPr>
              <w:tabs>
                <w:tab w:val="left" w:pos="915"/>
              </w:tabs>
              <w:spacing w:after="120" w:line="240" w:lineRule="auto"/>
              <w:ind w:left="-1"/>
              <w:jc w:val="both"/>
              <w:rPr>
                <w:rFonts w:ascii="Times New Roman" w:eastAsia="Times New Roman" w:hAnsi="Times New Roman" w:cs="Times New Roman"/>
                <w:color w:val="FF0000"/>
                <w:lang w:eastAsia="lv-LV"/>
              </w:rPr>
            </w:pPr>
            <w:r w:rsidRPr="0064697B">
              <w:rPr>
                <w:rFonts w:ascii="Times New Roman" w:eastAsia="Times New Roman" w:hAnsi="Times New Roman" w:cs="Times New Roman"/>
                <w:lang w:eastAsia="lv-LV"/>
              </w:rPr>
              <w:t>Vides aizsardzības un reģionālās attīstības ministrijas</w:t>
            </w:r>
          </w:p>
        </w:tc>
      </w:tr>
      <w:tr w:rsidR="002B15FE" w:rsidRPr="002B15FE" w14:paraId="17BCB1B4" w14:textId="77777777" w:rsidTr="0009183D">
        <w:tc>
          <w:tcPr>
            <w:tcW w:w="7876" w:type="dxa"/>
            <w:gridSpan w:val="2"/>
          </w:tcPr>
          <w:p w14:paraId="17BCB1B2" w14:textId="77777777" w:rsidR="002B15FE" w:rsidRPr="002B15FE" w:rsidRDefault="002B15FE" w:rsidP="002B15FE">
            <w:pPr>
              <w:spacing w:after="0" w:line="240" w:lineRule="auto"/>
              <w:rPr>
                <w:rFonts w:ascii="Times New Roman" w:eastAsia="Times New Roman" w:hAnsi="Times New Roman" w:cs="Times New Roman"/>
                <w:lang w:eastAsia="lv-LV"/>
              </w:rPr>
            </w:pPr>
          </w:p>
        </w:tc>
        <w:tc>
          <w:tcPr>
            <w:tcW w:w="4457" w:type="dxa"/>
            <w:gridSpan w:val="2"/>
          </w:tcPr>
          <w:p w14:paraId="17BCB1B3" w14:textId="77777777" w:rsidR="002B15FE" w:rsidRPr="002B15FE" w:rsidRDefault="002B15FE" w:rsidP="002B15FE">
            <w:pPr>
              <w:spacing w:after="0" w:line="240" w:lineRule="auto"/>
              <w:ind w:firstLine="720"/>
              <w:rPr>
                <w:rFonts w:ascii="Times New Roman" w:eastAsia="Times New Roman" w:hAnsi="Times New Roman" w:cs="Times New Roman"/>
                <w:lang w:eastAsia="lv-LV"/>
              </w:rPr>
            </w:pPr>
          </w:p>
        </w:tc>
      </w:tr>
      <w:tr w:rsidR="002B15FE" w:rsidRPr="002B15FE" w14:paraId="17BCB1B7" w14:textId="77777777" w:rsidTr="0009183D">
        <w:tc>
          <w:tcPr>
            <w:tcW w:w="7876" w:type="dxa"/>
            <w:gridSpan w:val="2"/>
            <w:hideMark/>
          </w:tcPr>
          <w:p w14:paraId="17BCB1B5" w14:textId="77777777" w:rsidR="002B15FE" w:rsidRPr="002B15FE" w:rsidRDefault="002B15FE" w:rsidP="002B15FE">
            <w:pPr>
              <w:spacing w:after="0" w:line="240" w:lineRule="auto"/>
              <w:rPr>
                <w:rFonts w:ascii="Times New Roman" w:eastAsia="Times New Roman" w:hAnsi="Times New Roman" w:cs="Times New Roman"/>
                <w:lang w:eastAsia="lv-LV"/>
              </w:rPr>
            </w:pPr>
            <w:r w:rsidRPr="002B15FE">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4457" w:type="dxa"/>
            <w:gridSpan w:val="2"/>
            <w:hideMark/>
          </w:tcPr>
          <w:p w14:paraId="17BCB1B6" w14:textId="77777777" w:rsidR="002B15FE" w:rsidRPr="002B15FE" w:rsidRDefault="002B15FE" w:rsidP="002B15FE">
            <w:pPr>
              <w:spacing w:after="0" w:line="240" w:lineRule="auto"/>
              <w:ind w:firstLine="414"/>
              <w:rPr>
                <w:rFonts w:ascii="Times New Roman" w:eastAsia="Times New Roman" w:hAnsi="Times New Roman" w:cs="Times New Roman"/>
                <w:lang w:eastAsia="lv-LV"/>
              </w:rPr>
            </w:pPr>
          </w:p>
        </w:tc>
      </w:tr>
    </w:tbl>
    <w:p w14:paraId="17BCB1B8" w14:textId="77777777" w:rsidR="008C37A2" w:rsidRDefault="008C37A2"/>
    <w:p w14:paraId="17BCB1B9" w14:textId="77777777" w:rsidR="00530008" w:rsidRDefault="00530008"/>
    <w:p w14:paraId="17BCB1BA" w14:textId="77777777" w:rsidR="004A6F3F" w:rsidRDefault="004A6F3F"/>
    <w:p w14:paraId="17BCB1BB" w14:textId="77777777" w:rsidR="004A6F3F" w:rsidRPr="004A6F3F" w:rsidRDefault="004A6F3F" w:rsidP="004A6F3F">
      <w:pPr>
        <w:spacing w:after="0" w:line="240" w:lineRule="auto"/>
        <w:jc w:val="center"/>
        <w:outlineLvl w:val="0"/>
        <w:rPr>
          <w:rFonts w:ascii="Times New Roman" w:eastAsia="Times New Roman" w:hAnsi="Times New Roman" w:cs="Times New Roman"/>
          <w:b/>
          <w:sz w:val="24"/>
          <w:szCs w:val="24"/>
          <w:lang w:eastAsia="lv-LV"/>
        </w:rPr>
      </w:pPr>
      <w:r w:rsidRPr="004A6F3F">
        <w:rPr>
          <w:rFonts w:ascii="Times New Roman" w:eastAsia="Times New Roman" w:hAnsi="Times New Roman" w:cs="Times New Roman"/>
          <w:b/>
          <w:sz w:val="24"/>
          <w:szCs w:val="24"/>
          <w:lang w:eastAsia="lv-LV"/>
        </w:rPr>
        <w:lastRenderedPageBreak/>
        <w:t>I. Jautājumi, par kuriem saskaņošanā vienošanās nav panākta</w:t>
      </w:r>
    </w:p>
    <w:p w14:paraId="17BCB1BC" w14:textId="77777777" w:rsidR="004A6F3F" w:rsidRPr="004A6F3F" w:rsidRDefault="004A6F3F" w:rsidP="004A6F3F">
      <w:pPr>
        <w:spacing w:after="0" w:line="240" w:lineRule="auto"/>
        <w:ind w:firstLine="720"/>
        <w:jc w:val="both"/>
        <w:rPr>
          <w:rFonts w:ascii="Times New Roman" w:eastAsia="Times New Roman" w:hAnsi="Times New Roman" w:cs="Times New Roman"/>
          <w:sz w:val="24"/>
          <w:szCs w:val="24"/>
          <w:lang w:eastAsia="lv-LV"/>
        </w:rPr>
      </w:pPr>
    </w:p>
    <w:tbl>
      <w:tblPr>
        <w:tblW w:w="14843"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4678"/>
        <w:gridCol w:w="3260"/>
        <w:gridCol w:w="1583"/>
        <w:gridCol w:w="1920"/>
      </w:tblGrid>
      <w:tr w:rsidR="004A6F3F" w:rsidRPr="004A6F3F" w14:paraId="17BCB1C3" w14:textId="77777777" w:rsidTr="004A6F3F">
        <w:tc>
          <w:tcPr>
            <w:tcW w:w="709" w:type="dxa"/>
            <w:tcBorders>
              <w:top w:val="single" w:sz="6" w:space="0" w:color="000000"/>
              <w:left w:val="single" w:sz="6" w:space="0" w:color="000000"/>
              <w:bottom w:val="single" w:sz="6" w:space="0" w:color="000000"/>
              <w:right w:val="single" w:sz="6" w:space="0" w:color="000000"/>
            </w:tcBorders>
            <w:vAlign w:val="center"/>
          </w:tcPr>
          <w:p w14:paraId="17BCB1BD" w14:textId="77777777" w:rsidR="004A6F3F" w:rsidRPr="004A6F3F" w:rsidRDefault="004A6F3F" w:rsidP="004A6F3F">
            <w:pPr>
              <w:spacing w:after="0" w:line="240" w:lineRule="auto"/>
              <w:jc w:val="center"/>
              <w:rPr>
                <w:rFonts w:ascii="Times New Roman" w:eastAsia="Times New Roman" w:hAnsi="Times New Roman" w:cs="Times New Roman"/>
                <w:sz w:val="24"/>
                <w:szCs w:val="24"/>
                <w:lang w:eastAsia="lv-LV"/>
              </w:rPr>
            </w:pPr>
            <w:r w:rsidRPr="004A6F3F">
              <w:rPr>
                <w:rFonts w:ascii="Times New Roman" w:eastAsia="Times New Roman" w:hAnsi="Times New Roman" w:cs="Times New Roman"/>
                <w:sz w:val="24"/>
                <w:szCs w:val="24"/>
                <w:lang w:eastAsia="lv-LV"/>
              </w:rPr>
              <w:t>Nr. p.k.</w:t>
            </w:r>
          </w:p>
        </w:tc>
        <w:tc>
          <w:tcPr>
            <w:tcW w:w="2693" w:type="dxa"/>
            <w:tcBorders>
              <w:top w:val="single" w:sz="6" w:space="0" w:color="000000"/>
              <w:left w:val="single" w:sz="6" w:space="0" w:color="000000"/>
              <w:bottom w:val="single" w:sz="6" w:space="0" w:color="000000"/>
              <w:right w:val="single" w:sz="6" w:space="0" w:color="000000"/>
            </w:tcBorders>
            <w:vAlign w:val="center"/>
          </w:tcPr>
          <w:p w14:paraId="17BCB1BE" w14:textId="77777777" w:rsidR="004A6F3F" w:rsidRPr="004A6F3F" w:rsidRDefault="004A6F3F" w:rsidP="004A6F3F">
            <w:pPr>
              <w:spacing w:after="0" w:line="240" w:lineRule="auto"/>
              <w:ind w:firstLine="12"/>
              <w:jc w:val="center"/>
              <w:rPr>
                <w:rFonts w:ascii="Times New Roman" w:eastAsia="Times New Roman" w:hAnsi="Times New Roman" w:cs="Times New Roman"/>
                <w:sz w:val="24"/>
                <w:szCs w:val="24"/>
                <w:lang w:eastAsia="lv-LV"/>
              </w:rPr>
            </w:pPr>
            <w:r w:rsidRPr="004A6F3F">
              <w:rPr>
                <w:rFonts w:ascii="Times New Roman" w:eastAsia="Times New Roman" w:hAnsi="Times New Roman" w:cs="Times New Roman"/>
                <w:sz w:val="24"/>
                <w:szCs w:val="24"/>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17BCB1BF" w14:textId="77777777" w:rsidR="004A6F3F" w:rsidRPr="004A6F3F" w:rsidRDefault="004A6F3F" w:rsidP="004A6F3F">
            <w:pPr>
              <w:spacing w:after="0" w:line="240" w:lineRule="auto"/>
              <w:ind w:right="3"/>
              <w:jc w:val="center"/>
              <w:rPr>
                <w:rFonts w:ascii="Times New Roman" w:eastAsia="Times New Roman" w:hAnsi="Times New Roman" w:cs="Times New Roman"/>
                <w:sz w:val="24"/>
                <w:szCs w:val="24"/>
                <w:lang w:eastAsia="lv-LV"/>
              </w:rPr>
            </w:pPr>
            <w:r w:rsidRPr="004A6F3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17BCB1C0" w14:textId="77777777" w:rsidR="004A6F3F" w:rsidRPr="004A6F3F" w:rsidRDefault="004A6F3F" w:rsidP="004A6F3F">
            <w:pPr>
              <w:spacing w:after="0" w:line="240" w:lineRule="auto"/>
              <w:ind w:firstLine="21"/>
              <w:jc w:val="center"/>
              <w:rPr>
                <w:rFonts w:ascii="Times New Roman" w:eastAsia="Times New Roman" w:hAnsi="Times New Roman" w:cs="Times New Roman"/>
                <w:sz w:val="24"/>
                <w:szCs w:val="24"/>
                <w:lang w:eastAsia="lv-LV"/>
              </w:rPr>
            </w:pPr>
            <w:r w:rsidRPr="004A6F3F">
              <w:rPr>
                <w:rFonts w:ascii="Times New Roman" w:eastAsia="Times New Roman" w:hAnsi="Times New Roman" w:cs="Times New Roman"/>
                <w:sz w:val="24"/>
                <w:szCs w:val="24"/>
                <w:lang w:eastAsia="lv-LV"/>
              </w:rPr>
              <w:t>Atbildīgās ministrijas pamatojums iebilduma noraidījumam</w:t>
            </w:r>
          </w:p>
        </w:tc>
        <w:tc>
          <w:tcPr>
            <w:tcW w:w="1583" w:type="dxa"/>
            <w:tcBorders>
              <w:top w:val="single" w:sz="4" w:space="0" w:color="auto"/>
              <w:left w:val="single" w:sz="4" w:space="0" w:color="auto"/>
              <w:bottom w:val="single" w:sz="4" w:space="0" w:color="auto"/>
              <w:right w:val="single" w:sz="4" w:space="0" w:color="auto"/>
            </w:tcBorders>
            <w:vAlign w:val="center"/>
          </w:tcPr>
          <w:p w14:paraId="17BCB1C1" w14:textId="77777777" w:rsidR="004A6F3F" w:rsidRPr="004A6F3F" w:rsidRDefault="004A6F3F" w:rsidP="004A6F3F">
            <w:pPr>
              <w:spacing w:after="0" w:line="240" w:lineRule="auto"/>
              <w:jc w:val="center"/>
              <w:rPr>
                <w:rFonts w:ascii="Times New Roman" w:eastAsia="Times New Roman" w:hAnsi="Times New Roman" w:cs="Times New Roman"/>
                <w:sz w:val="24"/>
                <w:szCs w:val="24"/>
                <w:lang w:eastAsia="lv-LV"/>
              </w:rPr>
            </w:pPr>
            <w:r w:rsidRPr="004A6F3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7BCB1C2" w14:textId="77777777" w:rsidR="004A6F3F" w:rsidRPr="004A6F3F" w:rsidRDefault="004A6F3F" w:rsidP="004A6F3F">
            <w:pPr>
              <w:spacing w:after="0" w:line="240" w:lineRule="auto"/>
              <w:jc w:val="center"/>
              <w:rPr>
                <w:rFonts w:ascii="Times New Roman" w:eastAsia="Times New Roman" w:hAnsi="Times New Roman" w:cs="Times New Roman"/>
                <w:sz w:val="24"/>
                <w:szCs w:val="24"/>
                <w:lang w:eastAsia="lv-LV"/>
              </w:rPr>
            </w:pPr>
            <w:r w:rsidRPr="004A6F3F">
              <w:rPr>
                <w:rFonts w:ascii="Times New Roman" w:eastAsia="Times New Roman" w:hAnsi="Times New Roman" w:cs="Times New Roman"/>
                <w:sz w:val="24"/>
                <w:szCs w:val="24"/>
                <w:lang w:eastAsia="lv-LV"/>
              </w:rPr>
              <w:t>Projekta attiecīgā punkta (panta) galīgā redakcija</w:t>
            </w:r>
          </w:p>
        </w:tc>
      </w:tr>
      <w:tr w:rsidR="004A6F3F" w:rsidRPr="004A6F3F" w14:paraId="17BCB1CA" w14:textId="77777777" w:rsidTr="004A6F3F">
        <w:tc>
          <w:tcPr>
            <w:tcW w:w="709" w:type="dxa"/>
            <w:tcBorders>
              <w:top w:val="single" w:sz="6" w:space="0" w:color="000000"/>
              <w:left w:val="single" w:sz="6" w:space="0" w:color="000000"/>
              <w:bottom w:val="single" w:sz="6" w:space="0" w:color="000000"/>
              <w:right w:val="single" w:sz="6" w:space="0" w:color="000000"/>
            </w:tcBorders>
          </w:tcPr>
          <w:p w14:paraId="17BCB1C4" w14:textId="77777777" w:rsidR="004A6F3F" w:rsidRPr="004A6F3F" w:rsidRDefault="004A6F3F" w:rsidP="004A6F3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693" w:type="dxa"/>
            <w:tcBorders>
              <w:top w:val="single" w:sz="6" w:space="0" w:color="000000"/>
              <w:left w:val="single" w:sz="6" w:space="0" w:color="000000"/>
              <w:bottom w:val="single" w:sz="6" w:space="0" w:color="000000"/>
              <w:right w:val="single" w:sz="6" w:space="0" w:color="000000"/>
            </w:tcBorders>
          </w:tcPr>
          <w:p w14:paraId="17BCB1C5" w14:textId="77777777" w:rsidR="004A6F3F" w:rsidRPr="004A6F3F" w:rsidRDefault="004A6F3F" w:rsidP="004A6F3F">
            <w:pPr>
              <w:spacing w:after="0" w:line="240" w:lineRule="auto"/>
              <w:ind w:firstLine="720"/>
              <w:jc w:val="center"/>
              <w:rPr>
                <w:rFonts w:ascii="Times New Roman" w:eastAsia="Times New Roman" w:hAnsi="Times New Roman" w:cs="Times New Roman"/>
                <w:sz w:val="20"/>
                <w:szCs w:val="20"/>
                <w:lang w:eastAsia="lv-LV"/>
              </w:rPr>
            </w:pPr>
            <w:r w:rsidRPr="004A6F3F">
              <w:rPr>
                <w:rFonts w:ascii="Times New Roman" w:eastAsia="Times New Roman" w:hAnsi="Times New Roman" w:cs="Times New Roman"/>
                <w:sz w:val="20"/>
                <w:szCs w:val="20"/>
                <w:lang w:eastAsia="lv-LV"/>
              </w:rPr>
              <w:t>2</w:t>
            </w:r>
          </w:p>
        </w:tc>
        <w:tc>
          <w:tcPr>
            <w:tcW w:w="4678" w:type="dxa"/>
            <w:tcBorders>
              <w:top w:val="single" w:sz="6" w:space="0" w:color="000000"/>
              <w:left w:val="single" w:sz="6" w:space="0" w:color="000000"/>
              <w:bottom w:val="single" w:sz="6" w:space="0" w:color="000000"/>
              <w:right w:val="single" w:sz="6" w:space="0" w:color="000000"/>
            </w:tcBorders>
          </w:tcPr>
          <w:p w14:paraId="17BCB1C6" w14:textId="77777777" w:rsidR="004A6F3F" w:rsidRPr="004A6F3F" w:rsidRDefault="004A6F3F" w:rsidP="004A6F3F">
            <w:pPr>
              <w:spacing w:after="0" w:line="240" w:lineRule="auto"/>
              <w:ind w:firstLine="720"/>
              <w:jc w:val="center"/>
              <w:rPr>
                <w:rFonts w:ascii="Times New Roman" w:eastAsia="Times New Roman" w:hAnsi="Times New Roman" w:cs="Times New Roman"/>
                <w:sz w:val="20"/>
                <w:szCs w:val="20"/>
                <w:lang w:eastAsia="lv-LV"/>
              </w:rPr>
            </w:pPr>
            <w:r w:rsidRPr="004A6F3F">
              <w:rPr>
                <w:rFonts w:ascii="Times New Roman" w:eastAsia="Times New Roman" w:hAnsi="Times New Roman" w:cs="Times New Roman"/>
                <w:sz w:val="20"/>
                <w:szCs w:val="20"/>
                <w:lang w:eastAsia="lv-LV"/>
              </w:rPr>
              <w:t>3</w:t>
            </w:r>
          </w:p>
        </w:tc>
        <w:tc>
          <w:tcPr>
            <w:tcW w:w="3260" w:type="dxa"/>
            <w:tcBorders>
              <w:top w:val="single" w:sz="6" w:space="0" w:color="000000"/>
              <w:left w:val="single" w:sz="6" w:space="0" w:color="000000"/>
              <w:bottom w:val="single" w:sz="6" w:space="0" w:color="000000"/>
              <w:right w:val="single" w:sz="6" w:space="0" w:color="000000"/>
            </w:tcBorders>
          </w:tcPr>
          <w:p w14:paraId="17BCB1C7" w14:textId="77777777" w:rsidR="004A6F3F" w:rsidRPr="004A6F3F" w:rsidRDefault="004A6F3F" w:rsidP="004A6F3F">
            <w:pPr>
              <w:spacing w:after="0" w:line="240" w:lineRule="auto"/>
              <w:ind w:firstLine="720"/>
              <w:jc w:val="center"/>
              <w:rPr>
                <w:rFonts w:ascii="Times New Roman" w:eastAsia="Times New Roman" w:hAnsi="Times New Roman" w:cs="Times New Roman"/>
                <w:sz w:val="20"/>
                <w:szCs w:val="20"/>
                <w:lang w:eastAsia="lv-LV"/>
              </w:rPr>
            </w:pPr>
            <w:r w:rsidRPr="004A6F3F">
              <w:rPr>
                <w:rFonts w:ascii="Times New Roman" w:eastAsia="Times New Roman" w:hAnsi="Times New Roman" w:cs="Times New Roman"/>
                <w:sz w:val="20"/>
                <w:szCs w:val="20"/>
                <w:lang w:eastAsia="lv-LV"/>
              </w:rPr>
              <w:t>4</w:t>
            </w:r>
          </w:p>
        </w:tc>
        <w:tc>
          <w:tcPr>
            <w:tcW w:w="1583" w:type="dxa"/>
            <w:tcBorders>
              <w:top w:val="single" w:sz="4" w:space="0" w:color="auto"/>
              <w:left w:val="single" w:sz="4" w:space="0" w:color="auto"/>
              <w:bottom w:val="single" w:sz="4" w:space="0" w:color="auto"/>
              <w:right w:val="single" w:sz="4" w:space="0" w:color="auto"/>
            </w:tcBorders>
          </w:tcPr>
          <w:p w14:paraId="17BCB1C8" w14:textId="77777777" w:rsidR="004A6F3F" w:rsidRPr="004A6F3F" w:rsidRDefault="004A6F3F" w:rsidP="004A6F3F">
            <w:pPr>
              <w:spacing w:after="0" w:line="240" w:lineRule="auto"/>
              <w:jc w:val="center"/>
              <w:rPr>
                <w:rFonts w:ascii="Times New Roman" w:eastAsia="Times New Roman" w:hAnsi="Times New Roman" w:cs="Times New Roman"/>
                <w:sz w:val="20"/>
                <w:szCs w:val="20"/>
                <w:lang w:eastAsia="lv-LV"/>
              </w:rPr>
            </w:pPr>
            <w:r w:rsidRPr="004A6F3F">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17BCB1C9" w14:textId="77777777" w:rsidR="004A6F3F" w:rsidRPr="004A6F3F" w:rsidRDefault="004A6F3F" w:rsidP="004A6F3F">
            <w:pPr>
              <w:spacing w:after="0" w:line="240" w:lineRule="auto"/>
              <w:jc w:val="center"/>
              <w:rPr>
                <w:rFonts w:ascii="Times New Roman" w:eastAsia="Times New Roman" w:hAnsi="Times New Roman" w:cs="Times New Roman"/>
                <w:sz w:val="20"/>
                <w:szCs w:val="20"/>
                <w:lang w:eastAsia="lv-LV"/>
              </w:rPr>
            </w:pPr>
            <w:r w:rsidRPr="004A6F3F">
              <w:rPr>
                <w:rFonts w:ascii="Times New Roman" w:eastAsia="Times New Roman" w:hAnsi="Times New Roman" w:cs="Times New Roman"/>
                <w:sz w:val="20"/>
                <w:szCs w:val="20"/>
                <w:lang w:eastAsia="lv-LV"/>
              </w:rPr>
              <w:t>6</w:t>
            </w:r>
          </w:p>
        </w:tc>
      </w:tr>
      <w:tr w:rsidR="004A6F3F" w:rsidRPr="004A6F3F" w14:paraId="17BCB1D1" w14:textId="77777777" w:rsidTr="004A6F3F">
        <w:tc>
          <w:tcPr>
            <w:tcW w:w="709" w:type="dxa"/>
            <w:tcBorders>
              <w:top w:val="single" w:sz="6" w:space="0" w:color="000000"/>
              <w:left w:val="single" w:sz="6" w:space="0" w:color="000000"/>
              <w:bottom w:val="single" w:sz="6" w:space="0" w:color="000000"/>
              <w:right w:val="single" w:sz="6" w:space="0" w:color="000000"/>
            </w:tcBorders>
          </w:tcPr>
          <w:p w14:paraId="17BCB1CB" w14:textId="77777777" w:rsidR="004A6F3F" w:rsidRPr="004A6F3F" w:rsidRDefault="004A6F3F" w:rsidP="004A6F3F">
            <w:pPr>
              <w:tabs>
                <w:tab w:val="center" w:pos="246"/>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693" w:type="dxa"/>
            <w:tcBorders>
              <w:top w:val="single" w:sz="6" w:space="0" w:color="000000"/>
              <w:left w:val="single" w:sz="6" w:space="0" w:color="000000"/>
              <w:bottom w:val="single" w:sz="6" w:space="0" w:color="000000"/>
              <w:right w:val="single" w:sz="6" w:space="0" w:color="000000"/>
            </w:tcBorders>
          </w:tcPr>
          <w:p w14:paraId="17BCB1CC" w14:textId="77777777" w:rsidR="004A6F3F" w:rsidRPr="004A6F3F" w:rsidRDefault="004A6F3F" w:rsidP="004A6F3F">
            <w:pPr>
              <w:spacing w:after="0" w:line="240" w:lineRule="auto"/>
              <w:ind w:firstLine="72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Nav.</w:t>
            </w:r>
          </w:p>
        </w:tc>
        <w:tc>
          <w:tcPr>
            <w:tcW w:w="4678" w:type="dxa"/>
            <w:tcBorders>
              <w:top w:val="single" w:sz="6" w:space="0" w:color="000000"/>
              <w:left w:val="single" w:sz="6" w:space="0" w:color="000000"/>
              <w:bottom w:val="single" w:sz="6" w:space="0" w:color="000000"/>
              <w:right w:val="single" w:sz="6" w:space="0" w:color="000000"/>
            </w:tcBorders>
          </w:tcPr>
          <w:p w14:paraId="17BCB1CD" w14:textId="77777777" w:rsidR="004A6F3F" w:rsidRPr="004A6F3F" w:rsidRDefault="004A6F3F" w:rsidP="004A6F3F">
            <w:pPr>
              <w:spacing w:after="0" w:line="240" w:lineRule="auto"/>
              <w:rPr>
                <w:rFonts w:ascii="Times New Roman" w:eastAsia="Times New Roman" w:hAnsi="Times New Roman" w:cs="Times New Roman"/>
                <w:sz w:val="20"/>
                <w:szCs w:val="20"/>
                <w:lang w:eastAsia="lv-LV"/>
              </w:rPr>
            </w:pPr>
          </w:p>
        </w:tc>
        <w:tc>
          <w:tcPr>
            <w:tcW w:w="3260" w:type="dxa"/>
            <w:tcBorders>
              <w:top w:val="single" w:sz="6" w:space="0" w:color="000000"/>
              <w:left w:val="single" w:sz="6" w:space="0" w:color="000000"/>
              <w:bottom w:val="single" w:sz="6" w:space="0" w:color="000000"/>
              <w:right w:val="single" w:sz="6" w:space="0" w:color="000000"/>
            </w:tcBorders>
          </w:tcPr>
          <w:p w14:paraId="17BCB1CE" w14:textId="77777777" w:rsidR="004A6F3F" w:rsidRPr="004A6F3F" w:rsidRDefault="004A6F3F" w:rsidP="004A6F3F">
            <w:pPr>
              <w:spacing w:after="0" w:line="240" w:lineRule="auto"/>
              <w:ind w:firstLine="284"/>
              <w:rPr>
                <w:rFonts w:ascii="Times New Roman" w:eastAsia="Times New Roman" w:hAnsi="Times New Roman" w:cs="Times New Roman"/>
                <w:sz w:val="20"/>
                <w:szCs w:val="20"/>
                <w:lang w:eastAsia="lv-LV"/>
              </w:rPr>
            </w:pPr>
          </w:p>
        </w:tc>
        <w:tc>
          <w:tcPr>
            <w:tcW w:w="1583" w:type="dxa"/>
            <w:tcBorders>
              <w:top w:val="single" w:sz="4" w:space="0" w:color="auto"/>
              <w:left w:val="single" w:sz="4" w:space="0" w:color="auto"/>
              <w:bottom w:val="single" w:sz="4" w:space="0" w:color="auto"/>
              <w:right w:val="single" w:sz="4" w:space="0" w:color="auto"/>
            </w:tcBorders>
          </w:tcPr>
          <w:p w14:paraId="17BCB1CF" w14:textId="77777777" w:rsidR="004A6F3F" w:rsidRPr="004A6F3F" w:rsidRDefault="004A6F3F" w:rsidP="004A6F3F">
            <w:pPr>
              <w:spacing w:after="0" w:line="240" w:lineRule="auto"/>
              <w:jc w:val="center"/>
              <w:rPr>
                <w:rFonts w:ascii="Times New Roman" w:eastAsia="Times New Roman" w:hAnsi="Times New Roman" w:cs="Times New Roman"/>
                <w:sz w:val="20"/>
                <w:szCs w:val="20"/>
                <w:lang w:eastAsia="lv-LV"/>
              </w:rPr>
            </w:pPr>
          </w:p>
        </w:tc>
        <w:tc>
          <w:tcPr>
            <w:tcW w:w="1920" w:type="dxa"/>
            <w:tcBorders>
              <w:top w:val="single" w:sz="4" w:space="0" w:color="auto"/>
              <w:left w:val="single" w:sz="4" w:space="0" w:color="auto"/>
              <w:bottom w:val="single" w:sz="4" w:space="0" w:color="auto"/>
            </w:tcBorders>
          </w:tcPr>
          <w:p w14:paraId="17BCB1D0" w14:textId="77777777" w:rsidR="004A6F3F" w:rsidRPr="004A6F3F" w:rsidRDefault="004A6F3F" w:rsidP="004A6F3F">
            <w:pPr>
              <w:spacing w:after="0" w:line="240" w:lineRule="auto"/>
              <w:jc w:val="center"/>
              <w:rPr>
                <w:rFonts w:ascii="Times New Roman" w:eastAsia="Times New Roman" w:hAnsi="Times New Roman" w:cs="Times New Roman"/>
                <w:sz w:val="20"/>
                <w:szCs w:val="20"/>
                <w:lang w:eastAsia="lv-LV"/>
              </w:rPr>
            </w:pPr>
          </w:p>
        </w:tc>
      </w:tr>
    </w:tbl>
    <w:p w14:paraId="17BCB1D2" w14:textId="77777777" w:rsidR="004A6F3F" w:rsidRDefault="004A6F3F"/>
    <w:p w14:paraId="17BCB1D3" w14:textId="77777777" w:rsidR="004A6F3F" w:rsidRPr="004A6F3F" w:rsidRDefault="004A6F3F" w:rsidP="004A6F3F">
      <w:pPr>
        <w:spacing w:after="0" w:line="240" w:lineRule="auto"/>
        <w:jc w:val="center"/>
        <w:rPr>
          <w:rFonts w:ascii="Times New Roman" w:eastAsia="Times New Roman" w:hAnsi="Times New Roman" w:cs="Times New Roman"/>
          <w:b/>
          <w:sz w:val="24"/>
          <w:szCs w:val="24"/>
          <w:lang w:eastAsia="lv-LV"/>
        </w:rPr>
      </w:pPr>
      <w:r w:rsidRPr="004A6F3F">
        <w:rPr>
          <w:rFonts w:ascii="Times New Roman" w:eastAsia="Times New Roman" w:hAnsi="Times New Roman" w:cs="Times New Roman"/>
          <w:b/>
          <w:noProof/>
          <w:sz w:val="24"/>
          <w:szCs w:val="24"/>
          <w:lang w:eastAsia="lv-LV"/>
        </w:rPr>
        <w:t>II</w:t>
      </w:r>
      <w:r w:rsidRPr="004A6F3F">
        <w:rPr>
          <w:rFonts w:ascii="Times New Roman" w:eastAsia="Times New Roman" w:hAnsi="Times New Roman" w:cs="Times New Roman"/>
          <w:b/>
          <w:sz w:val="24"/>
          <w:szCs w:val="24"/>
          <w:lang w:eastAsia="lv-LV"/>
        </w:rPr>
        <w:t>. Jautājumi, par kuriem saskaņošanā vienošanās ir panākta</w:t>
      </w:r>
    </w:p>
    <w:p w14:paraId="17BCB1D4" w14:textId="77777777" w:rsidR="004A6F3F" w:rsidRDefault="004A6F3F"/>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678"/>
        <w:gridCol w:w="3260"/>
        <w:gridCol w:w="3402"/>
      </w:tblGrid>
      <w:tr w:rsidR="002B15FE" w:rsidRPr="0034241A" w14:paraId="17BCB1DA" w14:textId="77777777" w:rsidTr="0009183D">
        <w:tc>
          <w:tcPr>
            <w:tcW w:w="708" w:type="dxa"/>
            <w:tcBorders>
              <w:top w:val="single" w:sz="6" w:space="0" w:color="000000"/>
              <w:left w:val="single" w:sz="6" w:space="0" w:color="000000"/>
              <w:bottom w:val="single" w:sz="6" w:space="0" w:color="000000"/>
              <w:right w:val="single" w:sz="6" w:space="0" w:color="000000"/>
            </w:tcBorders>
            <w:vAlign w:val="center"/>
          </w:tcPr>
          <w:p w14:paraId="17BCB1D5"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Nr. p.k.</w:t>
            </w:r>
          </w:p>
        </w:tc>
        <w:tc>
          <w:tcPr>
            <w:tcW w:w="2686" w:type="dxa"/>
            <w:tcBorders>
              <w:top w:val="single" w:sz="6" w:space="0" w:color="000000"/>
              <w:left w:val="single" w:sz="6" w:space="0" w:color="000000"/>
              <w:bottom w:val="single" w:sz="6" w:space="0" w:color="000000"/>
              <w:right w:val="single" w:sz="6" w:space="0" w:color="000000"/>
            </w:tcBorders>
            <w:vAlign w:val="center"/>
          </w:tcPr>
          <w:p w14:paraId="17BCB1D6" w14:textId="77777777" w:rsidR="002B15FE" w:rsidRPr="0034241A" w:rsidRDefault="002B15FE" w:rsidP="002B15FE">
            <w:pPr>
              <w:spacing w:after="0" w:line="240" w:lineRule="auto"/>
              <w:ind w:firstLine="12"/>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17BCB1D7" w14:textId="77777777" w:rsidR="002B15FE" w:rsidRPr="0034241A" w:rsidRDefault="002B15FE" w:rsidP="002B15FE">
            <w:pPr>
              <w:spacing w:after="0" w:line="240" w:lineRule="auto"/>
              <w:ind w:right="3"/>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17BCB1D8" w14:textId="77777777" w:rsidR="002B15FE" w:rsidRPr="0034241A" w:rsidRDefault="002B15FE" w:rsidP="002B15FE">
            <w:pPr>
              <w:spacing w:after="0" w:line="240" w:lineRule="auto"/>
              <w:ind w:firstLine="21"/>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17BCB1D9"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Projekta attiecīgā punkta (panta) galīgā redakcija</w:t>
            </w:r>
          </w:p>
        </w:tc>
      </w:tr>
      <w:tr w:rsidR="002B15FE" w:rsidRPr="0034241A" w14:paraId="17BCB1E0" w14:textId="77777777" w:rsidTr="0009183D">
        <w:tc>
          <w:tcPr>
            <w:tcW w:w="708" w:type="dxa"/>
            <w:tcBorders>
              <w:top w:val="single" w:sz="6" w:space="0" w:color="000000"/>
              <w:left w:val="single" w:sz="6" w:space="0" w:color="000000"/>
              <w:bottom w:val="single" w:sz="6" w:space="0" w:color="000000"/>
              <w:right w:val="single" w:sz="6" w:space="0" w:color="000000"/>
            </w:tcBorders>
          </w:tcPr>
          <w:p w14:paraId="17BCB1DB"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1</w:t>
            </w:r>
          </w:p>
        </w:tc>
        <w:tc>
          <w:tcPr>
            <w:tcW w:w="2686" w:type="dxa"/>
            <w:tcBorders>
              <w:top w:val="single" w:sz="6" w:space="0" w:color="000000"/>
              <w:left w:val="single" w:sz="6" w:space="0" w:color="000000"/>
              <w:bottom w:val="single" w:sz="4" w:space="0" w:color="auto"/>
              <w:right w:val="single" w:sz="6" w:space="0" w:color="000000"/>
            </w:tcBorders>
          </w:tcPr>
          <w:p w14:paraId="17BCB1DC"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14:paraId="17BCB1DD"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3</w:t>
            </w:r>
          </w:p>
        </w:tc>
        <w:tc>
          <w:tcPr>
            <w:tcW w:w="3260" w:type="dxa"/>
            <w:tcBorders>
              <w:top w:val="single" w:sz="6" w:space="0" w:color="000000"/>
              <w:left w:val="single" w:sz="6" w:space="0" w:color="000000"/>
              <w:bottom w:val="single" w:sz="6" w:space="0" w:color="000000"/>
              <w:right w:val="single" w:sz="6" w:space="0" w:color="000000"/>
            </w:tcBorders>
          </w:tcPr>
          <w:p w14:paraId="17BCB1DE"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14:paraId="17BCB1DF" w14:textId="77777777"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5</w:t>
            </w:r>
          </w:p>
        </w:tc>
      </w:tr>
      <w:tr w:rsidR="002B15FE" w:rsidRPr="0034241A" w14:paraId="17BCB1E8" w14:textId="77777777" w:rsidTr="0009183D">
        <w:tc>
          <w:tcPr>
            <w:tcW w:w="708" w:type="dxa"/>
            <w:tcBorders>
              <w:top w:val="single" w:sz="6" w:space="0" w:color="000000"/>
              <w:left w:val="single" w:sz="6" w:space="0" w:color="000000"/>
              <w:bottom w:val="single" w:sz="6" w:space="0" w:color="000000"/>
              <w:right w:val="single" w:sz="6" w:space="0" w:color="000000"/>
            </w:tcBorders>
          </w:tcPr>
          <w:p w14:paraId="17BCB1E1"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14:paraId="17BCB1E2" w14:textId="77777777" w:rsidR="002B15FE" w:rsidRPr="00CD74C7" w:rsidRDefault="00CD74C7" w:rsidP="00CD74C7">
            <w:pPr>
              <w:pStyle w:val="NormalWeb"/>
              <w:ind w:left="360"/>
              <w:jc w:val="both"/>
              <w:rPr>
                <w:sz w:val="22"/>
                <w:szCs w:val="22"/>
              </w:rPr>
            </w:pPr>
            <w:r>
              <w:rPr>
                <w:sz w:val="22"/>
                <w:szCs w:val="22"/>
              </w:rPr>
              <w:t xml:space="preserve">“2. </w:t>
            </w:r>
            <w:r w:rsidRPr="00CD74C7">
              <w:rPr>
                <w:sz w:val="22"/>
                <w:szCs w:val="22"/>
              </w:rPr>
              <w:t xml:space="preserve">Ministrijām, pilnveidojot to kompetenču jomā nozaru normatīvo regulējumu, izvērtējot nepieciešamību, ņemt vērā šā protokollēmuma 1.punktā minētajā </w:t>
            </w:r>
            <w:r w:rsidRPr="00CD74C7">
              <w:rPr>
                <w:sz w:val="22"/>
                <w:szCs w:val="22"/>
              </w:rPr>
              <w:lastRenderedPageBreak/>
              <w:t xml:space="preserve">informatīvajā ziņojumā </w:t>
            </w:r>
            <w:r w:rsidRPr="00CD74C7">
              <w:rPr>
                <w:iCs/>
                <w:color w:val="000000" w:themeColor="text1"/>
                <w:sz w:val="22"/>
                <w:szCs w:val="22"/>
              </w:rPr>
              <w:t>paustos priekšlikumus normatīvo aktu pilnveidei nacionālās drošības interešu aizsardzības nodrošināšanā.</w:t>
            </w:r>
            <w:r>
              <w:rPr>
                <w:rFonts w:ascii="Arial" w:hAnsi="Arial" w:cs="Arial"/>
                <w:color w:val="414142"/>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17BCB1E3" w14:textId="77777777" w:rsidR="009D6C49" w:rsidRPr="009D6C49" w:rsidRDefault="009D6C49" w:rsidP="007E52B8">
            <w:pPr>
              <w:spacing w:after="0" w:line="240" w:lineRule="auto"/>
              <w:contextualSpacing/>
              <w:jc w:val="both"/>
              <w:rPr>
                <w:rFonts w:ascii="Times New Roman" w:eastAsia="Calibri" w:hAnsi="Times New Roman" w:cs="Times New Roman"/>
                <w:b/>
              </w:rPr>
            </w:pPr>
            <w:r w:rsidRPr="009D6C49">
              <w:rPr>
                <w:rFonts w:ascii="Times New Roman" w:eastAsia="Calibri" w:hAnsi="Times New Roman" w:cs="Times New Roman"/>
                <w:b/>
              </w:rPr>
              <w:lastRenderedPageBreak/>
              <w:t>Satiksmes ministrijas 22.07.2019. iebildums:</w:t>
            </w:r>
          </w:p>
          <w:p w14:paraId="17BCB1E4" w14:textId="77777777" w:rsidR="002B15FE" w:rsidRDefault="00CD74C7" w:rsidP="007E52B8">
            <w:pPr>
              <w:spacing w:after="0" w:line="240" w:lineRule="auto"/>
              <w:contextualSpacing/>
              <w:jc w:val="both"/>
              <w:rPr>
                <w:rFonts w:ascii="Times New Roman" w:eastAsia="Calibri" w:hAnsi="Times New Roman" w:cs="Times New Roman"/>
              </w:rPr>
            </w:pPr>
            <w:r w:rsidRPr="00CD74C7">
              <w:rPr>
                <w:rFonts w:ascii="Times New Roman" w:eastAsia="Calibri" w:hAnsi="Times New Roman" w:cs="Times New Roman"/>
              </w:rPr>
              <w:t xml:space="preserve">Projekta protokollēmuma  2.punktu izteikt šādā redakcijā: “Ministrijām, pilnveidojot to kompetenču jomā nozaru normatīvo regulējumu, izvērtēt nepieciešamību par grozījumu veikšanu atbilstoši šā protokollēmuma 1.punktā minētajā informatīvajā ziņojumā paustajiem priekšlikumiem normatīvo aktu pilnveidei nacionālās drošības </w:t>
            </w:r>
            <w:r w:rsidRPr="00CD74C7">
              <w:rPr>
                <w:rFonts w:ascii="Times New Roman" w:eastAsia="Calibri" w:hAnsi="Times New Roman" w:cs="Times New Roman"/>
              </w:rPr>
              <w:lastRenderedPageBreak/>
              <w:t>interešu aizsardzības nodrošināšanā.” Aizsardzības ministrijas piedāvātā redakcija nav viennozīmīgi izprotama un nav skaidrības, kādā veidā notiks uzdevuma izpilde. Turklāt Aizsardzības ministrijas notikušajās starpinstitūciju sanāksmēs bija panākta vienošanās par to, ka nav nepieciešami grozījumi transporta nozares normatīvajos aktos.</w:t>
            </w:r>
          </w:p>
          <w:p w14:paraId="17BCB1E5" w14:textId="77777777" w:rsidR="0064697B" w:rsidRPr="0034241A" w:rsidRDefault="0064697B" w:rsidP="007E52B8">
            <w:pPr>
              <w:spacing w:after="0" w:line="240" w:lineRule="auto"/>
              <w:contextualSpacing/>
              <w:jc w:val="both"/>
              <w:rPr>
                <w:rFonts w:ascii="Times New Roman" w:eastAsia="Calibri" w:hAnsi="Times New Roman" w:cs="Times New Roman"/>
              </w:rPr>
            </w:pPr>
          </w:p>
        </w:tc>
        <w:tc>
          <w:tcPr>
            <w:tcW w:w="3260" w:type="dxa"/>
            <w:tcBorders>
              <w:top w:val="single" w:sz="6" w:space="0" w:color="000000"/>
              <w:left w:val="single" w:sz="6" w:space="0" w:color="000000"/>
              <w:bottom w:val="single" w:sz="6" w:space="0" w:color="000000"/>
              <w:right w:val="single" w:sz="6" w:space="0" w:color="000000"/>
            </w:tcBorders>
          </w:tcPr>
          <w:p w14:paraId="17BCB1E6" w14:textId="77777777" w:rsidR="002B15FE" w:rsidRPr="0034241A" w:rsidRDefault="002E305E" w:rsidP="007E52B8">
            <w:pPr>
              <w:spacing w:before="75" w:after="75" w:line="240" w:lineRule="auto"/>
              <w:jc w:val="both"/>
              <w:rPr>
                <w:rFonts w:ascii="Times New Roman" w:eastAsia="Times New Roman" w:hAnsi="Times New Roman" w:cs="Times New Roman"/>
                <w:lang w:eastAsia="lv-LV"/>
              </w:rPr>
            </w:pPr>
            <w:r w:rsidRPr="0034241A">
              <w:rPr>
                <w:rFonts w:ascii="Times New Roman" w:eastAsia="Times New Roman" w:hAnsi="Times New Roman" w:cs="Times New Roman"/>
                <w:lang w:eastAsia="lv-LV"/>
              </w:rPr>
              <w:lastRenderedPageBreak/>
              <w:t xml:space="preserve"> </w:t>
            </w:r>
            <w:r w:rsidR="00CD74C7">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14:paraId="17BCB1E7" w14:textId="77777777" w:rsidR="002B15FE" w:rsidRPr="0034241A" w:rsidRDefault="00CD74C7" w:rsidP="007E52B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w:t>
            </w:r>
            <w:r w:rsidRPr="00CD74C7">
              <w:rPr>
                <w:rFonts w:ascii="Times New Roman" w:eastAsia="Times New Roman" w:hAnsi="Times New Roman" w:cs="Times New Roman"/>
                <w:lang w:eastAsia="lv-LV"/>
              </w:rPr>
              <w:t xml:space="preserve">Ministrijām, pilnveidojot to kompetenču jomā nozaru normatīvo regulējumu, izvērtēt nepieciešamību par grozījumu veikšanu atbilstoši šā protokollēmuma 1.punktā minētajā informatīvajā ziņojumā paustajiem priekšlikumiem normatīvo aktu pilnveidei nacionālās drošības </w:t>
            </w:r>
            <w:r w:rsidRPr="00CD74C7">
              <w:rPr>
                <w:rFonts w:ascii="Times New Roman" w:eastAsia="Times New Roman" w:hAnsi="Times New Roman" w:cs="Times New Roman"/>
                <w:lang w:eastAsia="lv-LV"/>
              </w:rPr>
              <w:lastRenderedPageBreak/>
              <w:t>interešu aizsardzības nodrošināšanā</w:t>
            </w:r>
            <w:r>
              <w:rPr>
                <w:rFonts w:ascii="Times New Roman" w:eastAsia="Times New Roman" w:hAnsi="Times New Roman" w:cs="Times New Roman"/>
                <w:lang w:eastAsia="lv-LV"/>
              </w:rPr>
              <w:t>”</w:t>
            </w:r>
          </w:p>
        </w:tc>
      </w:tr>
      <w:tr w:rsidR="002B15FE" w:rsidRPr="0034241A" w14:paraId="17BCB1F0" w14:textId="77777777" w:rsidTr="0009183D">
        <w:tc>
          <w:tcPr>
            <w:tcW w:w="708" w:type="dxa"/>
            <w:tcBorders>
              <w:top w:val="single" w:sz="6" w:space="0" w:color="000000"/>
              <w:left w:val="single" w:sz="6" w:space="0" w:color="000000"/>
              <w:bottom w:val="single" w:sz="6" w:space="0" w:color="000000"/>
              <w:right w:val="single" w:sz="6" w:space="0" w:color="000000"/>
            </w:tcBorders>
          </w:tcPr>
          <w:p w14:paraId="17BCB1E9"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14:paraId="17BCB1EA" w14:textId="77777777" w:rsidR="002B15FE" w:rsidRPr="0034241A" w:rsidRDefault="002B15FE" w:rsidP="002B15FE">
            <w:pPr>
              <w:spacing w:after="0" w:line="240" w:lineRule="auto"/>
              <w:rPr>
                <w:rFonts w:ascii="Times New Roman" w:eastAsia="Times New Roman" w:hAnsi="Times New Roman" w:cs="Times New Roman"/>
                <w:b/>
                <w:lang w:eastAsia="lv-LV"/>
              </w:rPr>
            </w:pPr>
          </w:p>
        </w:tc>
        <w:tc>
          <w:tcPr>
            <w:tcW w:w="4678" w:type="dxa"/>
            <w:tcBorders>
              <w:top w:val="single" w:sz="6" w:space="0" w:color="000000"/>
              <w:left w:val="single" w:sz="6" w:space="0" w:color="000000"/>
              <w:bottom w:val="single" w:sz="6" w:space="0" w:color="000000"/>
              <w:right w:val="single" w:sz="6" w:space="0" w:color="000000"/>
            </w:tcBorders>
          </w:tcPr>
          <w:p w14:paraId="17BCB1EB" w14:textId="77777777" w:rsidR="002B15FE" w:rsidRDefault="009D6C49" w:rsidP="009D6C49">
            <w:pPr>
              <w:spacing w:after="0" w:line="240" w:lineRule="auto"/>
              <w:contextualSpacing/>
              <w:jc w:val="both"/>
              <w:rPr>
                <w:rFonts w:ascii="Times New Roman" w:eastAsia="Calibri" w:hAnsi="Times New Roman" w:cs="Times New Roman"/>
                <w:b/>
              </w:rPr>
            </w:pPr>
            <w:r w:rsidRPr="009D6C49">
              <w:rPr>
                <w:rFonts w:ascii="Times New Roman" w:eastAsia="Calibri" w:hAnsi="Times New Roman" w:cs="Times New Roman"/>
                <w:b/>
              </w:rPr>
              <w:t>Tieslietu ministrijas</w:t>
            </w:r>
            <w:r>
              <w:rPr>
                <w:rFonts w:ascii="Times New Roman" w:eastAsia="Calibri" w:hAnsi="Times New Roman" w:cs="Times New Roman"/>
                <w:b/>
              </w:rPr>
              <w:t xml:space="preserve"> 22.07.2019. 1.</w:t>
            </w:r>
            <w:r w:rsidRPr="009D6C49">
              <w:rPr>
                <w:rFonts w:ascii="Times New Roman" w:eastAsia="Calibri" w:hAnsi="Times New Roman" w:cs="Times New Roman"/>
                <w:b/>
              </w:rPr>
              <w:t>priekšlikums:</w:t>
            </w:r>
          </w:p>
          <w:p w14:paraId="17BCB1EC" w14:textId="77777777" w:rsidR="009D6C49" w:rsidRDefault="009D6C49" w:rsidP="009D6C49">
            <w:pPr>
              <w:spacing w:after="0" w:line="240" w:lineRule="auto"/>
              <w:contextualSpacing/>
              <w:jc w:val="both"/>
              <w:rPr>
                <w:rFonts w:ascii="Times New Roman" w:eastAsia="Calibri" w:hAnsi="Times New Roman" w:cs="Times New Roman"/>
              </w:rPr>
            </w:pPr>
            <w:r w:rsidRPr="009D6C49">
              <w:rPr>
                <w:rFonts w:ascii="Times New Roman" w:eastAsia="Calibri" w:hAnsi="Times New Roman" w:cs="Times New Roman"/>
              </w:rPr>
              <w:t>Aicinām sadarbībā ar Ekonomikas ministriju un Vides aizsardzības un reģionālās attīstības ministriju izvērtēt nepieciešamību atzīt par aktualitāti zaudējušu arī Ministru kabineta 2019. gada 15. janvāra sēdes protokola Nr. 2 71. § "Informatīvais ziņojums par iespējamiem risinājumiem nacionālās drošības interešu aizsardzības nodrošināšanai" 3.2. un 3.5. punktu</w:t>
            </w:r>
            <w:r>
              <w:rPr>
                <w:rFonts w:ascii="Times New Roman" w:eastAsia="Calibri" w:hAnsi="Times New Roman" w:cs="Times New Roman"/>
              </w:rPr>
              <w:t>.</w:t>
            </w:r>
          </w:p>
          <w:p w14:paraId="17BCB1ED" w14:textId="77777777" w:rsidR="0064697B" w:rsidRPr="009D6C49" w:rsidRDefault="0064697B" w:rsidP="009D6C49">
            <w:pPr>
              <w:spacing w:after="0" w:line="240" w:lineRule="auto"/>
              <w:contextualSpacing/>
              <w:jc w:val="both"/>
              <w:rPr>
                <w:rFonts w:ascii="Times New Roman" w:eastAsia="Calibri" w:hAnsi="Times New Roman" w:cs="Times New Roman"/>
              </w:rPr>
            </w:pPr>
          </w:p>
        </w:tc>
        <w:tc>
          <w:tcPr>
            <w:tcW w:w="3260" w:type="dxa"/>
            <w:tcBorders>
              <w:top w:val="single" w:sz="6" w:space="0" w:color="000000"/>
              <w:left w:val="single" w:sz="6" w:space="0" w:color="000000"/>
              <w:bottom w:val="single" w:sz="6" w:space="0" w:color="000000"/>
              <w:right w:val="single" w:sz="6" w:space="0" w:color="000000"/>
            </w:tcBorders>
          </w:tcPr>
          <w:p w14:paraId="17BCB1EE" w14:textId="77777777" w:rsidR="0064697B" w:rsidRPr="0034241A" w:rsidRDefault="007A5421" w:rsidP="002E305E">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64697B">
              <w:rPr>
                <w:rFonts w:ascii="Times New Roman" w:eastAsia="Times New Roman" w:hAnsi="Times New Roman" w:cs="Times New Roman"/>
                <w:lang w:eastAsia="lv-LV"/>
              </w:rPr>
              <w:t xml:space="preserve"> starpministriju sanāksmē.</w:t>
            </w:r>
          </w:p>
        </w:tc>
        <w:tc>
          <w:tcPr>
            <w:tcW w:w="3402" w:type="dxa"/>
            <w:tcBorders>
              <w:top w:val="single" w:sz="4" w:space="0" w:color="auto"/>
              <w:left w:val="single" w:sz="4" w:space="0" w:color="auto"/>
              <w:bottom w:val="single" w:sz="4" w:space="0" w:color="auto"/>
            </w:tcBorders>
          </w:tcPr>
          <w:p w14:paraId="17BCB1EF" w14:textId="77777777" w:rsidR="002B15FE" w:rsidRPr="0034241A" w:rsidRDefault="007A5421" w:rsidP="007A542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Protokollēmuma projektā tiek iekļauts</w:t>
            </w:r>
            <w:r w:rsidRPr="007A5421">
              <w:rPr>
                <w:rFonts w:ascii="Times New Roman" w:eastAsia="Times New Roman" w:hAnsi="Times New Roman" w:cs="Times New Roman"/>
                <w:lang w:eastAsia="lv-LV"/>
              </w:rPr>
              <w:t xml:space="preserve"> arī Ministru kabineta 2019. gada 15. janvāra sēdes protokola Nr. 2 71. § "Informatīvais ziņojums par iespējamiem risinājumiem nacionālās drošības interešu aizsardzības nodrošināšanai" </w:t>
            </w:r>
            <w:r>
              <w:rPr>
                <w:rFonts w:ascii="Times New Roman" w:eastAsia="Times New Roman" w:hAnsi="Times New Roman" w:cs="Times New Roman"/>
                <w:lang w:eastAsia="lv-LV"/>
              </w:rPr>
              <w:t>3.5. punkts.</w:t>
            </w:r>
          </w:p>
        </w:tc>
      </w:tr>
      <w:tr w:rsidR="002B15FE" w:rsidRPr="0034241A" w14:paraId="17BCB202" w14:textId="77777777" w:rsidTr="0009183D">
        <w:tc>
          <w:tcPr>
            <w:tcW w:w="708" w:type="dxa"/>
            <w:tcBorders>
              <w:top w:val="single" w:sz="6" w:space="0" w:color="000000"/>
              <w:left w:val="single" w:sz="6" w:space="0" w:color="000000"/>
              <w:bottom w:val="single" w:sz="6" w:space="0" w:color="000000"/>
              <w:right w:val="single" w:sz="4" w:space="0" w:color="auto"/>
            </w:tcBorders>
          </w:tcPr>
          <w:p w14:paraId="17BCB1F1" w14:textId="77777777"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4" w:space="0" w:color="auto"/>
              <w:left w:val="single" w:sz="4" w:space="0" w:color="auto"/>
              <w:bottom w:val="single" w:sz="4" w:space="0" w:color="auto"/>
              <w:right w:val="single" w:sz="4" w:space="0" w:color="auto"/>
            </w:tcBorders>
          </w:tcPr>
          <w:p w14:paraId="17BCB1F2" w14:textId="77777777" w:rsidR="002B15FE" w:rsidRPr="0034241A" w:rsidRDefault="002B15FE" w:rsidP="007E52B8">
            <w:pPr>
              <w:jc w:val="both"/>
              <w:rPr>
                <w:rFonts w:ascii="Times New Roman" w:eastAsia="Times New Roman" w:hAnsi="Times New Roman" w:cs="Times New Roman"/>
                <w:b/>
                <w:lang w:eastAsia="lv-LV"/>
              </w:rPr>
            </w:pPr>
          </w:p>
        </w:tc>
        <w:tc>
          <w:tcPr>
            <w:tcW w:w="4678" w:type="dxa"/>
            <w:tcBorders>
              <w:top w:val="single" w:sz="6" w:space="0" w:color="000000"/>
              <w:left w:val="single" w:sz="4" w:space="0" w:color="auto"/>
              <w:bottom w:val="single" w:sz="6" w:space="0" w:color="000000"/>
              <w:right w:val="single" w:sz="6" w:space="0" w:color="000000"/>
            </w:tcBorders>
          </w:tcPr>
          <w:p w14:paraId="17BCB1F3" w14:textId="77777777" w:rsidR="002B15FE" w:rsidRPr="0064697B" w:rsidRDefault="009D6C49" w:rsidP="009D6C49">
            <w:pPr>
              <w:spacing w:after="0" w:line="240" w:lineRule="auto"/>
              <w:jc w:val="both"/>
              <w:rPr>
                <w:rFonts w:ascii="Times New Roman" w:eastAsia="Times New Roman" w:hAnsi="Times New Roman" w:cs="Times New Roman"/>
                <w:b/>
                <w:lang w:eastAsia="lv-LV"/>
              </w:rPr>
            </w:pPr>
            <w:r w:rsidRPr="0064697B">
              <w:rPr>
                <w:rFonts w:ascii="Times New Roman" w:eastAsia="Times New Roman" w:hAnsi="Times New Roman" w:cs="Times New Roman"/>
                <w:b/>
                <w:lang w:eastAsia="lv-LV"/>
              </w:rPr>
              <w:t xml:space="preserve">Vides aizsardzības un reģionālās attīstības ministrijas 22.07.2019. </w:t>
            </w:r>
            <w:r w:rsidR="0064697B" w:rsidRPr="0064697B">
              <w:rPr>
                <w:rFonts w:ascii="Times New Roman" w:eastAsia="Times New Roman" w:hAnsi="Times New Roman" w:cs="Times New Roman"/>
                <w:b/>
                <w:lang w:eastAsia="lv-LV"/>
              </w:rPr>
              <w:t>iebildums:</w:t>
            </w:r>
          </w:p>
          <w:p w14:paraId="17BCB1F4" w14:textId="77777777" w:rsidR="0064697B" w:rsidRPr="0064697B" w:rsidRDefault="0064697B" w:rsidP="0064697B">
            <w:pPr>
              <w:spacing w:before="120" w:after="0"/>
              <w:ind w:firstLine="567"/>
              <w:jc w:val="both"/>
              <w:rPr>
                <w:rFonts w:ascii="Times New Roman" w:eastAsia="Times New Roman" w:hAnsi="Times New Roman"/>
                <w:lang w:eastAsia="lv-LV"/>
              </w:rPr>
            </w:pPr>
            <w:r w:rsidRPr="0064697B">
              <w:rPr>
                <w:rFonts w:ascii="Times New Roman" w:eastAsia="Times New Roman" w:hAnsi="Times New Roman"/>
                <w:lang w:eastAsia="lv-LV"/>
              </w:rPr>
              <w:t xml:space="preserve">VARAM, izpildot Ministru kabineta 2019. gada 15. janvāra sēdes protokollēmuma Nr. 2, 71. § “Informatīvais ziņojums par iespējamiem risinājumiem nacionālās drošības interešu aizsardzības nodrošināšanai” 3.5. apakšpunktā doto uzdevumu, izstrādāja </w:t>
            </w:r>
            <w:r w:rsidRPr="0064697B">
              <w:rPr>
                <w:rFonts w:ascii="Times New Roman" w:hAnsi="Times New Roman"/>
                <w:color w:val="000000"/>
              </w:rPr>
              <w:t>likumprojektus </w:t>
            </w:r>
            <w:r w:rsidRPr="0064697B">
              <w:rPr>
                <w:rFonts w:ascii="Times New Roman" w:hAnsi="Times New Roman"/>
                <w:color w:val="212121"/>
                <w:shd w:val="clear" w:color="auto" w:fill="FFFFFF"/>
              </w:rPr>
              <w:t>“Grozījumi likumā “Par piesārņojumu””, “Grozījumi likumā “Par radiācijas drošību un kodoldrošību””, “Grozījumi likumā “Par zemes dzīlēm””.</w:t>
            </w:r>
            <w:r w:rsidRPr="0064697B">
              <w:rPr>
                <w:rFonts w:ascii="Times New Roman" w:eastAsia="Times New Roman" w:hAnsi="Times New Roman"/>
                <w:lang w:eastAsia="lv-LV"/>
              </w:rPr>
              <w:t xml:space="preserve"> </w:t>
            </w:r>
            <w:r w:rsidRPr="0064697B">
              <w:rPr>
                <w:rFonts w:ascii="Times New Roman" w:hAnsi="Times New Roman"/>
                <w:color w:val="212121"/>
              </w:rPr>
              <w:t>Ievērojot, ka likumprojektos valsts drošības iestādēm, kas ir</w:t>
            </w:r>
            <w:r w:rsidRPr="0064697B">
              <w:rPr>
                <w:rFonts w:ascii="Times New Roman" w:hAnsi="Times New Roman"/>
                <w:color w:val="212121"/>
                <w:shd w:val="clear" w:color="auto" w:fill="FFFFFF"/>
              </w:rPr>
              <w:t xml:space="preserve"> Iekšlietu ministrija</w:t>
            </w:r>
            <w:r w:rsidRPr="0064697B">
              <w:rPr>
                <w:rFonts w:ascii="Times New Roman" w:hAnsi="Times New Roman"/>
                <w:shd w:val="clear" w:color="auto" w:fill="FFFFFF"/>
              </w:rPr>
              <w:t>s</w:t>
            </w:r>
            <w:r w:rsidRPr="0064697B">
              <w:rPr>
                <w:rFonts w:ascii="Times New Roman" w:hAnsi="Times New Roman"/>
                <w:color w:val="212121"/>
                <w:shd w:val="clear" w:color="auto" w:fill="FFFFFF"/>
              </w:rPr>
              <w:t xml:space="preserve"> </w:t>
            </w:r>
            <w:r w:rsidRPr="0064697B">
              <w:rPr>
                <w:rFonts w:ascii="Times New Roman" w:hAnsi="Times New Roman"/>
                <w:color w:val="212121"/>
                <w:shd w:val="clear" w:color="auto" w:fill="FFFFFF"/>
              </w:rPr>
              <w:lastRenderedPageBreak/>
              <w:t xml:space="preserve">padotībā, tika noteikta kompetence, kas saistīta ar nacionālo drošību, VARAM lūdza Iekšlietu ministriju izskatīt sagatavotos likumprojektus un sniegt atzinumu </w:t>
            </w:r>
            <w:r w:rsidRPr="0064697B">
              <w:rPr>
                <w:rFonts w:ascii="Times New Roman" w:hAnsi="Times New Roman"/>
                <w:bCs/>
                <w:color w:val="212121"/>
                <w:shd w:val="clear" w:color="auto" w:fill="FFFFFF"/>
              </w:rPr>
              <w:t>līdz 2019. gada 10. maijam.</w:t>
            </w:r>
            <w:r w:rsidRPr="0064697B">
              <w:rPr>
                <w:rFonts w:ascii="Times New Roman" w:eastAsia="Times New Roman" w:hAnsi="Times New Roman"/>
                <w:lang w:eastAsia="lv-LV"/>
              </w:rPr>
              <w:t xml:space="preserve"> Ņemot vērā, ka VARAM norādītajā termiņā </w:t>
            </w:r>
            <w:r w:rsidRPr="0064697B">
              <w:rPr>
                <w:rFonts w:ascii="Times New Roman" w:hAnsi="Times New Roman"/>
              </w:rPr>
              <w:t xml:space="preserve">nesaņēma Iekšlietu ministrijas viedokli par </w:t>
            </w:r>
            <w:r w:rsidRPr="0064697B">
              <w:rPr>
                <w:rFonts w:ascii="Times New Roman" w:hAnsi="Times New Roman"/>
                <w:color w:val="000000"/>
              </w:rPr>
              <w:t>likumprojektiem </w:t>
            </w:r>
            <w:r w:rsidRPr="0064697B">
              <w:rPr>
                <w:rFonts w:ascii="Times New Roman" w:hAnsi="Times New Roman"/>
                <w:color w:val="212121"/>
                <w:shd w:val="clear" w:color="auto" w:fill="FFFFFF"/>
              </w:rPr>
              <w:t xml:space="preserve">“Grozījumi likumā “Par piesārņojumu””, “Grozījumi likumā “Par radiācijas drošību un kodoldrošību””, “Grozījumi likumā “Par zemes dzīlēm””, tika izteikts atkārtots lūgums sniegt viedokli </w:t>
            </w:r>
            <w:r w:rsidRPr="0064697B">
              <w:rPr>
                <w:rFonts w:ascii="Times New Roman" w:hAnsi="Times New Roman"/>
              </w:rPr>
              <w:t>līdz š. g. 3. jūlijam. VARAM līdz 2019. gada 22. jūlijam Iekšlietu ministrijas atzinumu nav saņēmusi.</w:t>
            </w:r>
            <w:r w:rsidRPr="0064697B">
              <w:rPr>
                <w:rFonts w:ascii="Times New Roman" w:eastAsia="Times New Roman" w:hAnsi="Times New Roman"/>
                <w:lang w:eastAsia="lv-LV"/>
              </w:rPr>
              <w:t xml:space="preserve"> VARAM, ņemot vērā savu kompetenci, nevar izstrādāt konkrētu kārtību likumprojektos iekļautā nosacījuma izpildei saistībā ar nacionālo drošību, ņemot vērā, ka informatīvais ziņojums nesatur tiesiskos kritērijus, apstākļus un kārtību, kādā darbības nacionālās drošības ietvaros būtu ierobežojamas.</w:t>
            </w:r>
          </w:p>
          <w:p w14:paraId="17BCB1F5" w14:textId="77777777" w:rsidR="0064697B" w:rsidRPr="0064697B" w:rsidRDefault="0064697B" w:rsidP="0064697B">
            <w:pPr>
              <w:spacing w:after="0"/>
              <w:ind w:firstLine="567"/>
              <w:jc w:val="both"/>
              <w:rPr>
                <w:rFonts w:ascii="Times New Roman" w:hAnsi="Times New Roman"/>
              </w:rPr>
            </w:pPr>
            <w:r w:rsidRPr="0064697B">
              <w:rPr>
                <w:rFonts w:ascii="Times New Roman" w:hAnsi="Times New Roman"/>
              </w:rPr>
              <w:t xml:space="preserve">Vienlaikus VARAM norāda, ka spēkā esošais likuma “Par piesārņojumu” regulējums paredz, ka piesārņojošas darbības atļaujas iesniegums ir pieejams sabiedrībai (tai skaitā pieejams arī drošības iestādēm), līdz ar to arī drošības iestādes jau šobrīd var piedalīties priekšlikumu izteikšanā par plānotām piesārņojošām darbībām, kā arī vērst Valsts vides dienesta uzmanību, ja tiek konstatēts, ka noteiktas piesārņojošas darbības atļaujas izsniegšana var radīt draudus valsts drošībai. Vēršam uzmanību, ka </w:t>
            </w:r>
            <w:r w:rsidRPr="0064697B">
              <w:rPr>
                <w:rFonts w:ascii="Times New Roman" w:hAnsi="Times New Roman"/>
              </w:rPr>
              <w:lastRenderedPageBreak/>
              <w:t xml:space="preserve">Valsts vides dienesta kompetencē neietilpst valsts drošības apdraudējumu izvērtēšana. Vienlaikus atzīmējams, ka piesārņojošas darbības atļaujas tiek izsniegtas stacionārām tehnoloģiskām iekārtām pēc iekārtas atrašanās vietas un plānotai darbībai jāatbilst teritorijas plānojumā norādītajam izmantošanas veidam. Līdz ar to vērtējams ir jautājums par šādu piesārņojošo darbību iespējamību radīt nacionālās drošības apdraudējumu. </w:t>
            </w:r>
          </w:p>
          <w:p w14:paraId="17BCB1F6" w14:textId="77777777" w:rsidR="0064697B" w:rsidRPr="0064697B" w:rsidRDefault="0064697B" w:rsidP="0064697B">
            <w:pPr>
              <w:spacing w:after="0"/>
              <w:ind w:firstLine="567"/>
              <w:jc w:val="both"/>
              <w:rPr>
                <w:rFonts w:ascii="Times New Roman" w:hAnsi="Times New Roman"/>
              </w:rPr>
            </w:pPr>
            <w:r w:rsidRPr="0064697B">
              <w:rPr>
                <w:rFonts w:ascii="Times New Roman" w:hAnsi="Times New Roman"/>
              </w:rPr>
              <w:t xml:space="preserve">VARAM arī atzīmē, ka likuma “Par radiācijas drošību un kodoldrošību” 6. panta otrās daļas 1. punkts paredz, ka Valsts vides dienesta Radiācijas drošības centrs aizliedz veikt darbības ar jonizējošā starojuma avotiem, ja tiek pārkāpti radiācijas drošības un kodoldrošības normatīvi. Saskaņā ar likuma “Par radiācijas drošību un kodoldrošību” 1. panta 7. punktu radiācijas drošība un kodoldrošība ir organizatorisku un tehnisku pasākumu sistēma, lai nodrošinātu jonizējošā starojuma avotu un kodoliekārtu drošu izmantošanu, novērstu radiācijas avārijas un mazinātu radiācijas avāriju sekas, tādējādi aizsargājot cilvēkus un vidi no jonizējošā starojuma avotu un kodoliekārtu jonizējošā starojuma kaitīgās iedarbības apdraudējuma. Savukārt Ministru kabineta 2015. gada 22. decembra noteikumu Nr. 752 “Kārtība, kādā licencē un reģistrē darbības ar jonizējošā starojuma avotiem” V. nodaļa paredz nosacījumus licences </w:t>
            </w:r>
            <w:r w:rsidRPr="0064697B">
              <w:rPr>
                <w:rFonts w:ascii="Times New Roman" w:hAnsi="Times New Roman"/>
              </w:rPr>
              <w:lastRenderedPageBreak/>
              <w:t>un reģistrācijas darbības apturēšanai un anulēšanai. Tādējādi tiesību akti paredz kārtību, kādā var aizliegt veikt darbības ar jonizējošā starojuma avotiem, ja konstatēti radiācijas drošības un kodoldrošības pārkāpumi, kuri var radīt būtisku apdraudējumu vai kaitējumu videi vai cilvēkiem. Tie ir vērsti uz vides aizsardzību un cilvēku veselības aizsardzību un paredz efektīvu sistēmu sabiedrības drošības nodrošināšanai. Ņemot vērā, ka operatori, kuri veic darbības ar jonizējošā starojuma avotiem, rada riskus, kas var radīt apdraudējumu vai kaitējumu videi vai cilvēkiem, tad to darbība pamatā skar vides aizsardzību un sabiedrības drošību un nevis nacionālo drošību. Ievērojot, ka nav skaidri definēti kritēriji nacionālās drošības jautājumos attiecībā uz radiācijas drošības jomu, kuri varētu tikt piemēroti, lai liegtu komercdarbību, veicot darbības ar jonizējošā starojuma avotiem, tad praksē būtu problemātiski piemērot vispārīgu kritēriju.</w:t>
            </w:r>
          </w:p>
          <w:p w14:paraId="17BCB1F7" w14:textId="77777777" w:rsidR="0064697B" w:rsidRPr="0064697B" w:rsidRDefault="0064697B" w:rsidP="0064697B">
            <w:pPr>
              <w:spacing w:after="0"/>
              <w:ind w:firstLine="567"/>
              <w:jc w:val="both"/>
              <w:rPr>
                <w:rFonts w:ascii="Times New Roman" w:eastAsia="Times New Roman" w:hAnsi="Times New Roman"/>
                <w:lang w:eastAsia="lv-LV"/>
              </w:rPr>
            </w:pPr>
            <w:r w:rsidRPr="0064697B">
              <w:rPr>
                <w:rFonts w:ascii="Times New Roman" w:eastAsia="Times New Roman" w:hAnsi="Times New Roman"/>
                <w:lang w:eastAsia="lv-LV"/>
              </w:rPr>
              <w:t xml:space="preserve">Papildus VARAM norāda, ka </w:t>
            </w:r>
            <w:r w:rsidRPr="0064697B">
              <w:rPr>
                <w:rFonts w:ascii="Times New Roman" w:hAnsi="Times New Roman"/>
              </w:rPr>
              <w:t xml:space="preserve">spēkā esošais likuma “Par zemes dzīlēm” (turpmāk – Likums) regulējums jau šobrīd paredz instrumentus, kurus valsts drošības iestādes var izmantot, lai nodrošinātu valsts drošības interešu ievērošanu zemes dzīļu jomā. Saskaņā ar Likuma 5. panta trešo daļu nacionālās drošības, vides un zemes dzīļu aizsardzības vajadzībām, valsts nozīmes derīgo izrakteņu un atradņu, kā arī valsts nozīmes zemes dzīļu nogabalu izmantošanai, valstiski </w:t>
            </w:r>
            <w:r w:rsidRPr="0064697B">
              <w:rPr>
                <w:rFonts w:ascii="Times New Roman" w:hAnsi="Times New Roman"/>
              </w:rPr>
              <w:lastRenderedPageBreak/>
              <w:t>nozīmīgu būvju ierīkošanai un ekspluatācijai īpašniekiem var atsavināt zemi saskaņā ar likumu “Par nekustamā īpašuma piespiedu atsavināšanu valsts un sabiedriskajām vajadzībām”. Jāņem vērā, ka zemes dzīļu izmantošana iespējama tikai, ja saņemta zemes īpašnieka piekrišana (Likuma 8. panta pirmās daļas 1.-3. punkts). Papildus Likuma 6. panta ceturtā daļa paredz, ka, nodrošinot zemes dzīļu racionālu izmantošanu un aizsardzību, valsts un pašvaldības šajā likumā un citos normatīvajos aktos paredzētajos gadījumos un noteiktajā kārtībā var ierobežot, apturēt vai pārtraukt jebkuru juridisko un fizisko personu darbību zemes dzīļu izmantošanā. Vienlaikus informāciju par izsniegtajām licencēm vai atļaujām to izsniedzējs (Valsts vides dienests vai vietējā pašvaldība) ievieto savā tīmekļvietnē.</w:t>
            </w:r>
            <w:r w:rsidRPr="0064697B">
              <w:t xml:space="preserve"> </w:t>
            </w:r>
            <w:r w:rsidRPr="0064697B">
              <w:rPr>
                <w:rFonts w:ascii="Times New Roman" w:hAnsi="Times New Roman"/>
              </w:rPr>
              <w:t>Attiecīgi jau šobrīd, valsts drošības iestādēm konstatējot nacionālās drošības apdraudējumu, būtu iespējams rosināt zemes dzīļu izmantošanas apturēšanu vai aizliegumu.</w:t>
            </w:r>
          </w:p>
          <w:p w14:paraId="17BCB1F8" w14:textId="77777777" w:rsidR="0064697B" w:rsidRPr="0064697B" w:rsidRDefault="0064697B" w:rsidP="0064697B">
            <w:pPr>
              <w:spacing w:before="120" w:after="0"/>
              <w:ind w:firstLine="567"/>
              <w:jc w:val="both"/>
              <w:rPr>
                <w:rFonts w:ascii="Times New Roman" w:hAnsi="Times New Roman"/>
              </w:rPr>
            </w:pPr>
            <w:r w:rsidRPr="0064697B">
              <w:rPr>
                <w:rFonts w:ascii="Times New Roman" w:eastAsia="Times New Roman" w:hAnsi="Times New Roman"/>
                <w:lang w:eastAsia="lv-LV"/>
              </w:rPr>
              <w:t xml:space="preserve">Ņemot vērā minēto, VARAM lūdz papildināt </w:t>
            </w:r>
            <w:r w:rsidRPr="0064697B">
              <w:rPr>
                <w:rFonts w:ascii="Times New Roman" w:hAnsi="Times New Roman"/>
              </w:rPr>
              <w:t>protokollēmuma projektu,</w:t>
            </w:r>
            <w:r w:rsidRPr="0064697B">
              <w:rPr>
                <w:rFonts w:ascii="Times New Roman" w:eastAsia="Times New Roman" w:hAnsi="Times New Roman"/>
                <w:lang w:eastAsia="lv-LV"/>
              </w:rPr>
              <w:t xml:space="preserve"> atzīstot par neaktuālu arī Ministru kabineta 2019. gada 15. janvāra sēdes protokollēmuma Nr. 2, 71. § “Informatīvais ziņojums par iespējamiem risinājumiem nacionālās drošības interešu aizsardzības nodrošināšanai” 3.5. apakšpunktu, nosakot, ka </w:t>
            </w:r>
            <w:r w:rsidRPr="0064697B">
              <w:rPr>
                <w:rFonts w:ascii="Times New Roman" w:hAnsi="Times New Roman"/>
                <w:bCs/>
                <w:lang w:eastAsia="lv-LV"/>
              </w:rPr>
              <w:t xml:space="preserve">protokollēmuma 1. punktā minētajā </w:t>
            </w:r>
            <w:r w:rsidRPr="0064697B">
              <w:rPr>
                <w:rFonts w:ascii="Times New Roman" w:hAnsi="Times New Roman"/>
                <w:bCs/>
                <w:lang w:eastAsia="lv-LV"/>
              </w:rPr>
              <w:lastRenderedPageBreak/>
              <w:t xml:space="preserve">informatīvajā ziņojumā </w:t>
            </w:r>
            <w:r w:rsidRPr="0064697B">
              <w:rPr>
                <w:rFonts w:ascii="Times New Roman" w:hAnsi="Times New Roman"/>
                <w:bCs/>
                <w:iCs/>
                <w:lang w:eastAsia="lv-LV"/>
              </w:rPr>
              <w:t>pausto priekšlikumu normatīvo aktu pilnveidei nacionālās drošības interešu aizsardzības nodrošināšanā lietderība tiks izvērtēta jauno grozījumu izstrādes ietvarā un nepieciešamības gadījumā</w:t>
            </w:r>
            <w:r w:rsidRPr="0064697B">
              <w:rPr>
                <w:rFonts w:ascii="Times New Roman" w:eastAsia="Times New Roman" w:hAnsi="Times New Roman"/>
                <w:lang w:eastAsia="lv-LV"/>
              </w:rPr>
              <w:t xml:space="preserve"> </w:t>
            </w:r>
            <w:r w:rsidRPr="0064697B">
              <w:rPr>
                <w:rFonts w:ascii="Times New Roman" w:hAnsi="Times New Roman"/>
                <w:bCs/>
                <w:lang w:eastAsia="lv-LV"/>
              </w:rPr>
              <w:t>pilnveidots kompetences jomā esošo nozaru normatīvais regulējums.</w:t>
            </w:r>
          </w:p>
          <w:p w14:paraId="17BCB1F9" w14:textId="77777777" w:rsidR="0064697B" w:rsidRPr="0064697B" w:rsidRDefault="0064697B" w:rsidP="009D6C49">
            <w:pPr>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tcPr>
          <w:p w14:paraId="17BCB1FA" w14:textId="77777777" w:rsidR="002B15FE" w:rsidRPr="0034241A" w:rsidRDefault="007A5421" w:rsidP="002E305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r w:rsidR="0064697B" w:rsidRPr="0064697B">
              <w:rPr>
                <w:rFonts w:ascii="Times New Roman" w:eastAsia="Times New Roman" w:hAnsi="Times New Roman" w:cs="Times New Roman"/>
                <w:lang w:eastAsia="lv-LV"/>
              </w:rPr>
              <w:t>starpministriju sanāksmē.</w:t>
            </w:r>
          </w:p>
        </w:tc>
        <w:tc>
          <w:tcPr>
            <w:tcW w:w="3402" w:type="dxa"/>
            <w:tcBorders>
              <w:top w:val="single" w:sz="4" w:space="0" w:color="auto"/>
              <w:left w:val="single" w:sz="4" w:space="0" w:color="auto"/>
              <w:bottom w:val="single" w:sz="4" w:space="0" w:color="auto"/>
            </w:tcBorders>
          </w:tcPr>
          <w:p w14:paraId="17BCB1FB" w14:textId="77777777" w:rsidR="002B15FE" w:rsidRDefault="007A5421" w:rsidP="007E52B8">
            <w:pPr>
              <w:jc w:val="both"/>
              <w:rPr>
                <w:rFonts w:ascii="Times New Roman" w:eastAsia="Times New Roman" w:hAnsi="Times New Roman" w:cs="Times New Roman"/>
                <w:lang w:eastAsia="lv-LV"/>
              </w:rPr>
            </w:pPr>
            <w:r w:rsidRPr="007A5421">
              <w:rPr>
                <w:rFonts w:ascii="Times New Roman" w:eastAsia="Times New Roman" w:hAnsi="Times New Roman" w:cs="Times New Roman"/>
                <w:lang w:eastAsia="lv-LV"/>
              </w:rPr>
              <w:t>Protokollēmuma projektā tiek iekļauts arī Ministru kabineta 2019. gada 15. janvāra sēdes protokola Nr. 2 71. § "Informatīvais ziņojums par iespējamiem risinājumiem nacionālās drošības interešu aizsardzības nodrošināšanai" 3.5. punkts.</w:t>
            </w:r>
          </w:p>
          <w:p w14:paraId="17BCB1FC" w14:textId="77777777" w:rsidR="007A5421" w:rsidRDefault="007A5421" w:rsidP="007E52B8">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Anotācija tiek papildināta ar sekojošu informāciju:</w:t>
            </w:r>
          </w:p>
          <w:p w14:paraId="17BCB1FD" w14:textId="77777777" w:rsidR="00580C3D" w:rsidRPr="00580C3D" w:rsidRDefault="00580C3D" w:rsidP="00580C3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t xml:space="preserve"> </w:t>
            </w:r>
            <w:r w:rsidRPr="00580C3D">
              <w:rPr>
                <w:rFonts w:ascii="Times New Roman" w:eastAsia="Times New Roman" w:hAnsi="Times New Roman" w:cs="Times New Roman"/>
                <w:lang w:eastAsia="lv-LV"/>
              </w:rPr>
              <w:t xml:space="preserve">Vides aizsardzības un reģionālās attīstības ministrija (turpmāk arī - </w:t>
            </w:r>
            <w:r w:rsidRPr="00580C3D">
              <w:rPr>
                <w:rFonts w:ascii="Times New Roman" w:eastAsia="Times New Roman" w:hAnsi="Times New Roman" w:cs="Times New Roman"/>
                <w:lang w:eastAsia="lv-LV"/>
              </w:rPr>
              <w:lastRenderedPageBreak/>
              <w:t xml:space="preserve">VARAM), izpildot Ministru kabineta 2019. gada 15. janvāra sēdes protokollēmuma Nr. 2, 71. § “Informatīvais ziņojums par iespējamiem risinājumiem nacionālās drošības interešu aizsardzības nodrošināšanai” 3.5. apakšpunktā doto uzdevumu, izstrādāja likumprojektus “Grozījumi likumā “Par piesārņojumu””, “Grozījumi likumā “Par radiācijas drošību un kodoldrošību””, “Grozījumi likumā “Par zemes dzīlēm””. Ievērojot, ka likumprojektos valsts drošības iestādēm, kas ir Iekšlietu ministrijas padotībā, tika noteikta kompetence, kas saistīta ar nacionālo drošību, VARAM lūdza Iekšlietu ministriju izskatīt sagatavotos likumprojektus un sniegt atzinumu līdz 2019. gada 10. maijam. Ņemot vērā, ka VARAM norādītajā termiņā nesaņēma Iekšlietu ministrijas viedokli par likumprojektiem “Grozījumi likumā “Par piesārņojumu””, “Grozījumi likumā “Par radiācijas drošību un kodoldrošību””, “Grozījumi likumā “Par zemes dzīlēm””, tika izteikts </w:t>
            </w:r>
            <w:r w:rsidRPr="00580C3D">
              <w:rPr>
                <w:rFonts w:ascii="Times New Roman" w:eastAsia="Times New Roman" w:hAnsi="Times New Roman" w:cs="Times New Roman"/>
                <w:lang w:eastAsia="lv-LV"/>
              </w:rPr>
              <w:lastRenderedPageBreak/>
              <w:t>atkārtots lūgums sniegt viedokli līdz š. g. 3. jūlijam. VARAM līdz 2019. gada 22. jūlijam Iekšlietu ministrijas atzinumu nav saņēmusi. VARAM, ņemot vērā savu kompetenci, nevar izstrādāt konkrētu kārtību likumprojektos iekļautā nosacījuma izpildei saistībā ar nacionālo drošību, ņemot vērā, ka informatīvais ziņojums nesatur tiesiskos kritērijus, apstākļus un kārtību, kādā darbības nacionālās drošības ietvaros būtu ierobežojamas.</w:t>
            </w:r>
          </w:p>
          <w:p w14:paraId="17BCB1FE" w14:textId="77777777" w:rsidR="00580C3D" w:rsidRPr="00580C3D" w:rsidRDefault="00580C3D" w:rsidP="00580C3D">
            <w:pPr>
              <w:jc w:val="both"/>
              <w:rPr>
                <w:rFonts w:ascii="Times New Roman" w:eastAsia="Times New Roman" w:hAnsi="Times New Roman" w:cs="Times New Roman"/>
                <w:lang w:eastAsia="lv-LV"/>
              </w:rPr>
            </w:pPr>
            <w:r w:rsidRPr="00580C3D">
              <w:rPr>
                <w:rFonts w:ascii="Times New Roman" w:eastAsia="Times New Roman" w:hAnsi="Times New Roman" w:cs="Times New Roman"/>
                <w:lang w:eastAsia="lv-LV"/>
              </w:rPr>
              <w:t xml:space="preserve">Vienlaikus VARAM norāda, ka spēkā esošais likuma “Par piesārņojumu” regulējums paredz, ka piesārņojošas darbības atļaujas iesniegums ir pieejams sabiedrībai (tai skaitā pieejams arī drošības iestādēm), līdz ar to arī drošības iestādes jau šobrīd var piedalīties priekšlikumu izteikšanā par plānotām piesārņojošām darbībām, kā arī vērst Valsts vides dienesta uzmanību, ja tiek konstatēts, ka noteiktas piesārņojošas darbības atļaujas izsniegšana var radīt draudus valsts drošībai. Vēršam </w:t>
            </w:r>
            <w:r w:rsidRPr="00580C3D">
              <w:rPr>
                <w:rFonts w:ascii="Times New Roman" w:eastAsia="Times New Roman" w:hAnsi="Times New Roman" w:cs="Times New Roman"/>
                <w:lang w:eastAsia="lv-LV"/>
              </w:rPr>
              <w:lastRenderedPageBreak/>
              <w:t xml:space="preserve">uzmanību, ka Valsts vides dienesta kompetencē neietilpst valsts drošības apdraudējumu izvērtēšana. Vienlaikus atzīmējams, ka piesārņojošas darbības atļaujas tiek izsniegtas stacionārām tehnoloģiskām iekārtām pēc iekārtas atrašanās vietas un plānotai darbībai jāatbilst teritorijas plānojumā norādītajam izmantošanas veidam. Līdz ar to vērtējams ir jautājums par šādu piesārņojošo darbību iespējamību radīt nacionālās drošības apdraudējumu. </w:t>
            </w:r>
          </w:p>
          <w:p w14:paraId="17BCB1FF" w14:textId="77777777" w:rsidR="00580C3D" w:rsidRPr="00580C3D" w:rsidRDefault="00580C3D" w:rsidP="00580C3D">
            <w:pPr>
              <w:jc w:val="both"/>
              <w:rPr>
                <w:rFonts w:ascii="Times New Roman" w:eastAsia="Times New Roman" w:hAnsi="Times New Roman" w:cs="Times New Roman"/>
                <w:lang w:eastAsia="lv-LV"/>
              </w:rPr>
            </w:pPr>
            <w:r w:rsidRPr="00580C3D">
              <w:rPr>
                <w:rFonts w:ascii="Times New Roman" w:eastAsia="Times New Roman" w:hAnsi="Times New Roman" w:cs="Times New Roman"/>
                <w:lang w:eastAsia="lv-LV"/>
              </w:rPr>
              <w:t xml:space="preserve">VARAM arī atzīmē, ka likuma “Par radiācijas drošību un kodoldrošību” 6. panta otrās daļas 1. punkts paredz, ka Valsts vides dienesta Radiācijas drošības centrs aizliedz veikt darbības ar jonizējošā starojuma avotiem, ja tiek pārkāpti radiācijas drošības un kodoldrošības normatīvi. Saskaņā ar likuma “Par radiācijas drošību un kodoldrošību” 1. panta 7. punktu radiācijas drošība un kodoldrošība ir organizatorisku un tehnisku pasākumu sistēma, lai nodrošinātu jonizējošā starojuma avotu un kodoliekārtu drošu </w:t>
            </w:r>
            <w:r w:rsidRPr="00580C3D">
              <w:rPr>
                <w:rFonts w:ascii="Times New Roman" w:eastAsia="Times New Roman" w:hAnsi="Times New Roman" w:cs="Times New Roman"/>
                <w:lang w:eastAsia="lv-LV"/>
              </w:rPr>
              <w:lastRenderedPageBreak/>
              <w:t xml:space="preserve">izmantošanu, novērstu radiācijas avārijas un mazinātu radiācijas avāriju sekas, tādējādi aizsargājot cilvēkus un vidi no jonizējošā starojuma avotu un kodoliekārtu jonizējošā starojuma kaitīgās iedarbības apdraudējuma. Savukārt Ministru kabineta 2015. gada 22. decembra noteikumu Nr. 752 “Kārtība, kādā licencē un reģistrē darbības ar jonizējošā starojuma avotiem” V. nodaļa paredz nosacījumus licences un reģistrācijas darbības apturēšanai un anulēšanai. Tādējādi tiesību akti paredz kārtību, kādā var aizliegt veikt darbības ar jonizējošā starojuma avotiem, ja konstatēti radiācijas drošības un kodoldrošības pārkāpumi, kuri var radīt būtisku apdraudējumu vai kaitējumu videi vai cilvēkiem. Tie ir vērsti uz vides aizsardzību un cilvēku veselības aizsardzību un paredz efektīvu sistēmu sabiedrības drošības nodrošināšanai. Ņemot vērā, ka operatori, kuri veic darbības ar jonizējošā starojuma avotiem, rada riskus, kas var radīt apdraudējumu vai kaitējumu videi vai cilvēkiem, </w:t>
            </w:r>
            <w:r w:rsidRPr="00580C3D">
              <w:rPr>
                <w:rFonts w:ascii="Times New Roman" w:eastAsia="Times New Roman" w:hAnsi="Times New Roman" w:cs="Times New Roman"/>
                <w:lang w:eastAsia="lv-LV"/>
              </w:rPr>
              <w:lastRenderedPageBreak/>
              <w:t>tad to darbība pamatā skar vides aizsardzību un sabiedrības drošību un nevis nacionālo drošību. Ievērojot, ka nav skaidri definēti kritēriji nacionālās drošības jautājumos attiecībā uz radiācijas drošības jomu, kuri varētu tikt piemēroti, lai liegtu komercdarbību, veicot darbības ar jonizējošā starojuma avotiem, tad praksē būtu problemātiski piemērot vispārīgu kritēriju.</w:t>
            </w:r>
          </w:p>
          <w:p w14:paraId="17BCB200" w14:textId="77777777" w:rsidR="00580C3D" w:rsidRPr="00580C3D" w:rsidRDefault="00580C3D" w:rsidP="00580C3D">
            <w:pPr>
              <w:jc w:val="both"/>
              <w:rPr>
                <w:rFonts w:ascii="Times New Roman" w:eastAsia="Times New Roman" w:hAnsi="Times New Roman" w:cs="Times New Roman"/>
                <w:lang w:eastAsia="lv-LV"/>
              </w:rPr>
            </w:pPr>
            <w:r w:rsidRPr="00580C3D">
              <w:rPr>
                <w:rFonts w:ascii="Times New Roman" w:eastAsia="Times New Roman" w:hAnsi="Times New Roman" w:cs="Times New Roman"/>
                <w:lang w:eastAsia="lv-LV"/>
              </w:rPr>
              <w:t xml:space="preserve">Papildus VARAM norāda, ka spēkā esošais likuma “Par zemes dzīlēm” (turpmāk – Likums) regulējums jau šobrīd paredz instrumentus, kurus valsts drošības iestādes var izmantot, lai nodrošinātu valsts drošības interešu ievērošanu zemes dzīļu jomā. Saskaņā ar Likuma 5. panta trešo daļu nacionālās drošības, vides un zemes dzīļu aizsardzības vajadzībām, valsts nozīmes derīgo izrakteņu un atradņu, kā arī valsts nozīmes zemes dzīļu nogabalu izmantošanai, valstiski nozīmīgu būvju ierīkošanai un ekspluatācijai īpašniekiem var atsavināt zemi saskaņā ar likumu “Par nekustamā </w:t>
            </w:r>
            <w:r w:rsidRPr="00580C3D">
              <w:rPr>
                <w:rFonts w:ascii="Times New Roman" w:eastAsia="Times New Roman" w:hAnsi="Times New Roman" w:cs="Times New Roman"/>
                <w:lang w:eastAsia="lv-LV"/>
              </w:rPr>
              <w:lastRenderedPageBreak/>
              <w:t>īpašuma piespiedu atsavināšanu valsts un sabiedriskajām vajadzībām”. Jāņem vērā, ka zemes dzīļu izmantošana iespējama tikai, ja saņemta zemes īpašnieka piekrišana (Likuma 8. panta pirmās daļas 1.-3. punkts). Papildus Likuma 6. panta ceturtā daļa paredz, ka, nodrošinot zemes dzīļu racionālu izmantošanu un aizsardzību, valsts un pašvaldības šajā likumā un citos normatīvajos aktos paredzētajos gadījumos un noteiktajā kārtībā var ierobežot, apturēt vai pārtraukt jebkuru juridisko un fizisko personu darbību zemes dzīļu izmantošanā. Vienlaikus informāciju par izsniegtajām licencēm vai atļaujām to izsniedzējs (Valsts vides dienests vai vietējā pašvaldība) ievieto savā tīmekļvietnē. Attiecīgi jau šobrīd, valsts drošības iestādēm konstatējot nacionālās drošības apdraudējumu, būtu iespējams rosināt zemes dzīļu izmantošanas apturēšanu vai aizliegumu.</w:t>
            </w:r>
          </w:p>
          <w:p w14:paraId="17BCB201" w14:textId="77777777" w:rsidR="007A5421" w:rsidRPr="007A5421" w:rsidRDefault="00580C3D" w:rsidP="00580C3D">
            <w:pPr>
              <w:jc w:val="both"/>
              <w:rPr>
                <w:rFonts w:ascii="Times New Roman" w:eastAsia="Times New Roman" w:hAnsi="Times New Roman" w:cs="Times New Roman"/>
                <w:lang w:eastAsia="lv-LV"/>
              </w:rPr>
            </w:pPr>
            <w:r w:rsidRPr="00580C3D">
              <w:rPr>
                <w:rFonts w:ascii="Times New Roman" w:eastAsia="Times New Roman" w:hAnsi="Times New Roman" w:cs="Times New Roman"/>
                <w:lang w:eastAsia="lv-LV"/>
              </w:rPr>
              <w:t xml:space="preserve">Ņemot vērā minēto, VARAM lūdz papildināt protokollēmuma projektu, atzīstot par neaktuālu arī </w:t>
            </w:r>
            <w:r w:rsidRPr="00580C3D">
              <w:rPr>
                <w:rFonts w:ascii="Times New Roman" w:eastAsia="Times New Roman" w:hAnsi="Times New Roman" w:cs="Times New Roman"/>
                <w:lang w:eastAsia="lv-LV"/>
              </w:rPr>
              <w:lastRenderedPageBreak/>
              <w:t>Ministru kabineta 2019. gada 15. janvāra sēdes protokollēmuma Nr. 2, 71. § “Informatīvais ziņojums par iespējamiem risinājumiem nacionālās drošības interešu aizsardzības nodrošināšanai” 3.5. apakšpunktu, nosakot, ka protokollēmuma 1. punktā minētajā informatīvajā ziņojumā pausto priekšlikumu normatīvo aktu pilnveidei nacionālās drošības interešu aizsardzības nodrošināšanā lietderība tiks izvērtēta jauno grozījumu izstrādes ietvarā un nepieciešamības gadījumā pilnveidots kompetences jomā esoš</w:t>
            </w:r>
            <w:r>
              <w:rPr>
                <w:rFonts w:ascii="Times New Roman" w:eastAsia="Times New Roman" w:hAnsi="Times New Roman" w:cs="Times New Roman"/>
                <w:lang w:eastAsia="lv-LV"/>
              </w:rPr>
              <w:t>o nozaru normatīvais regulējums”.</w:t>
            </w:r>
          </w:p>
        </w:tc>
      </w:tr>
      <w:tr w:rsidR="00B440FB" w:rsidRPr="0034241A" w14:paraId="17BCB211" w14:textId="77777777" w:rsidTr="0009183D">
        <w:tc>
          <w:tcPr>
            <w:tcW w:w="708" w:type="dxa"/>
            <w:tcBorders>
              <w:top w:val="single" w:sz="6" w:space="0" w:color="000000"/>
              <w:left w:val="single" w:sz="6" w:space="0" w:color="000000"/>
              <w:bottom w:val="single" w:sz="6" w:space="0" w:color="000000"/>
              <w:right w:val="single" w:sz="4" w:space="0" w:color="auto"/>
            </w:tcBorders>
          </w:tcPr>
          <w:p w14:paraId="17BCB203" w14:textId="77777777" w:rsidR="00B440FB" w:rsidRPr="0034241A" w:rsidRDefault="00B440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4" w:space="0" w:color="auto"/>
              <w:left w:val="single" w:sz="4" w:space="0" w:color="auto"/>
              <w:bottom w:val="single" w:sz="4" w:space="0" w:color="auto"/>
              <w:right w:val="single" w:sz="4" w:space="0" w:color="auto"/>
            </w:tcBorders>
          </w:tcPr>
          <w:p w14:paraId="17BCB204" w14:textId="77777777" w:rsidR="00B440FB" w:rsidRPr="0064697B" w:rsidRDefault="0064697B" w:rsidP="0064697B">
            <w:pPr>
              <w:rPr>
                <w:rFonts w:ascii="Times New Roman" w:eastAsia="Times New Roman" w:hAnsi="Times New Roman" w:cs="Times New Roman"/>
                <w:lang w:eastAsia="lv-LV"/>
              </w:rPr>
            </w:pPr>
            <w:r w:rsidRPr="0064697B">
              <w:rPr>
                <w:rFonts w:ascii="Times New Roman" w:eastAsia="Times New Roman" w:hAnsi="Times New Roman" w:cs="Times New Roman"/>
                <w:lang w:eastAsia="lv-LV"/>
              </w:rPr>
              <w:t>Anotācijas I sadaļas 2.punktā iekļautā informācija no Finanšu ministrijas:</w:t>
            </w:r>
          </w:p>
          <w:p w14:paraId="17BCB205" w14:textId="77777777" w:rsidR="0064697B" w:rsidRPr="0064697B" w:rsidRDefault="0064697B" w:rsidP="0064697B">
            <w:pPr>
              <w:widowControl w:val="0"/>
              <w:spacing w:after="0" w:line="240" w:lineRule="auto"/>
              <w:jc w:val="both"/>
              <w:rPr>
                <w:rFonts w:ascii="Times New Roman" w:eastAsia="Times New Roman" w:hAnsi="Times New Roman" w:cs="Times New Roman"/>
                <w:lang w:eastAsia="lv-LV"/>
              </w:rPr>
            </w:pPr>
            <w:r w:rsidRPr="0064697B">
              <w:rPr>
                <w:rFonts w:ascii="Times New Roman" w:eastAsia="Times New Roman" w:hAnsi="Times New Roman" w:cs="Times New Roman"/>
                <w:b/>
                <w:lang w:eastAsia="lv-LV"/>
              </w:rPr>
              <w:t>“</w:t>
            </w:r>
            <w:r w:rsidRPr="0064697B">
              <w:rPr>
                <w:rFonts w:ascii="Times New Roman" w:eastAsia="Times New Roman" w:hAnsi="Times New Roman" w:cs="Times New Roman"/>
                <w:lang w:eastAsia="lv-LV"/>
              </w:rPr>
              <w:t xml:space="preserve">Finanšu ministrija, izpildot Ministru kabineta 2019. gada 15. janvāra sēdes protokollēmuma Nr. 2, 71. § “Informatīvais ziņojums par iespējamiem risinājumiem nacionālās drošības interešu aizsardzības </w:t>
            </w:r>
            <w:r w:rsidRPr="0064697B">
              <w:rPr>
                <w:rFonts w:ascii="Times New Roman" w:eastAsia="Times New Roman" w:hAnsi="Times New Roman" w:cs="Times New Roman"/>
                <w:lang w:eastAsia="lv-LV"/>
              </w:rPr>
              <w:lastRenderedPageBreak/>
              <w:t xml:space="preserve">nodrošināšanai” 3. 6. apakšpunktā doto uzdevumu, ir izstrādājusi likumprojektu “Grozījumi Azartspēļu un izložu likumā”, kurā ir paredzētas tiesības  Izložu un azartspēļu uzraudzības inspekcijai  atteikt azartspēļu organizēšanas licences izsniegšanu vai anulēt izsniegto licenci valsts drošības nodrošināšanas nolūkos.  Likumprojekts ir izsūtīts saskaņošanai līdz 2019. gada 5.jūlijam Ekonomikas ministrijai, Tieslietu ministrijai un Valsts drošības iestādēm. Līdz 2019. gada 4. jūlijam tika saņemts Ekonomikas ministrijas saskaņojums. Vienlaikus, izvērtējot Tieslietu ministrijas sniegtos atzinumus par Aizsardzības ministrijas izstrādāto likumprojektu "Grozījumi Aizsargjoslu likumā" (VSS-450), kā arī par likumprojektu "Grozījumi Nacionālās </w:t>
            </w:r>
            <w:r w:rsidRPr="0064697B">
              <w:rPr>
                <w:rFonts w:ascii="Times New Roman" w:eastAsia="Times New Roman" w:hAnsi="Times New Roman" w:cs="Times New Roman"/>
                <w:lang w:eastAsia="lv-LV"/>
              </w:rPr>
              <w:lastRenderedPageBreak/>
              <w:t xml:space="preserve">drošības likumā" (VSS-449), Finanšu ministrija pieļauj, ka Tieslietu ministrijas atzinumā par likumprojektu tiks iekļauts analoģisks iebildums par to, ka likumprojekta anotācijā nav pamatota personas pamattiesību ierobežojuma </w:t>
            </w:r>
            <w:proofErr w:type="spellStart"/>
            <w:r w:rsidRPr="0064697B">
              <w:rPr>
                <w:rFonts w:ascii="Times New Roman" w:eastAsia="Times New Roman" w:hAnsi="Times New Roman" w:cs="Times New Roman"/>
                <w:lang w:eastAsia="lv-LV"/>
              </w:rPr>
              <w:t>attaisnojamība</w:t>
            </w:r>
            <w:proofErr w:type="spellEnd"/>
            <w:r w:rsidRPr="0064697B">
              <w:rPr>
                <w:rFonts w:ascii="Times New Roman" w:eastAsia="Times New Roman" w:hAnsi="Times New Roman" w:cs="Times New Roman"/>
                <w:lang w:eastAsia="lv-LV"/>
              </w:rPr>
              <w:t>, paredzot šādus ierobežojumus attiecīgajā tautsaimniecības nozarē.</w:t>
            </w:r>
          </w:p>
          <w:p w14:paraId="17BCB206" w14:textId="77777777" w:rsidR="0064697B" w:rsidRPr="0064697B" w:rsidRDefault="0064697B" w:rsidP="0064697B">
            <w:pPr>
              <w:widowControl w:val="0"/>
              <w:spacing w:after="0" w:line="240" w:lineRule="auto"/>
              <w:jc w:val="both"/>
              <w:rPr>
                <w:rFonts w:ascii="Times New Roman" w:eastAsia="Times New Roman" w:hAnsi="Times New Roman" w:cs="Times New Roman"/>
                <w:sz w:val="24"/>
                <w:szCs w:val="24"/>
                <w:lang w:eastAsia="lv-LV"/>
              </w:rPr>
            </w:pPr>
            <w:r w:rsidRPr="0064697B">
              <w:rPr>
                <w:rFonts w:ascii="Times New Roman" w:eastAsia="Times New Roman" w:hAnsi="Times New Roman" w:cs="Times New Roman"/>
                <w:lang w:eastAsia="lv-LV"/>
              </w:rPr>
              <w:t>Ņemot vērā to, ka Finanšu ministrija, ievērojot savas kompetences robežas, nevar sniegt papildu argumentus par likumprojekta nepieciešamību un tā normu samērīgumu, ministrija neiebilst pret Informatīva ziņojuma 3. 6. punktā dotā uzdevuma  - Finanšu ministrijai veikt grozījumus Azartspēļu un izložu likumā – aktualitātes zaudēšanu.</w:t>
            </w:r>
            <w:r w:rsidRPr="0064697B">
              <w:rPr>
                <w:rFonts w:ascii="Times New Roman" w:eastAsia="Times New Roman" w:hAnsi="Times New Roman" w:cs="Times New Roman"/>
                <w:b/>
                <w:lang w:eastAsia="lv-LV"/>
              </w:rPr>
              <w:t>”</w:t>
            </w:r>
          </w:p>
        </w:tc>
        <w:tc>
          <w:tcPr>
            <w:tcW w:w="4678" w:type="dxa"/>
            <w:tcBorders>
              <w:top w:val="single" w:sz="6" w:space="0" w:color="000000"/>
              <w:left w:val="single" w:sz="4" w:space="0" w:color="auto"/>
              <w:bottom w:val="single" w:sz="6" w:space="0" w:color="000000"/>
              <w:right w:val="single" w:sz="6" w:space="0" w:color="000000"/>
            </w:tcBorders>
          </w:tcPr>
          <w:p w14:paraId="17BCB207" w14:textId="77777777" w:rsidR="00B440FB" w:rsidRPr="00A86060" w:rsidRDefault="0064697B" w:rsidP="007E52B8">
            <w:pPr>
              <w:spacing w:after="0" w:line="240" w:lineRule="auto"/>
              <w:jc w:val="both"/>
              <w:rPr>
                <w:rFonts w:ascii="Times New Roman" w:eastAsia="Times New Roman" w:hAnsi="Times New Roman" w:cs="Times New Roman"/>
                <w:b/>
                <w:lang w:eastAsia="lv-LV"/>
              </w:rPr>
            </w:pPr>
            <w:r w:rsidRPr="00A86060">
              <w:rPr>
                <w:rFonts w:ascii="Times New Roman" w:eastAsia="Times New Roman" w:hAnsi="Times New Roman" w:cs="Times New Roman"/>
                <w:b/>
                <w:lang w:eastAsia="lv-LV"/>
              </w:rPr>
              <w:lastRenderedPageBreak/>
              <w:t>Finanšu ministrijas 23.07. priekšlikums:</w:t>
            </w:r>
          </w:p>
          <w:p w14:paraId="17BCB208" w14:textId="77777777" w:rsidR="00A86060" w:rsidRPr="00A86060" w:rsidRDefault="00A86060" w:rsidP="00A86060">
            <w:pPr>
              <w:spacing w:after="0" w:line="240" w:lineRule="auto"/>
              <w:ind w:firstLine="720"/>
              <w:jc w:val="both"/>
              <w:rPr>
                <w:rFonts w:ascii="Times New Roman" w:eastAsia="Times New Roman" w:hAnsi="Times New Roman" w:cs="Times New Roman"/>
              </w:rPr>
            </w:pPr>
            <w:r w:rsidRPr="00A86060">
              <w:rPr>
                <w:rFonts w:ascii="Times New Roman" w:eastAsia="Times New Roman" w:hAnsi="Times New Roman" w:cs="Times New Roman"/>
              </w:rPr>
              <w:t>Ierosinām anotācijas I sadaļas 2.punktā aizstāt Finanšu ministrijas iepriekš iesniegto informāciju par protokollēmuma 3.6.apakšpunktā doto uzdevumu ar tekstu šādā redakcijā:</w:t>
            </w:r>
          </w:p>
          <w:p w14:paraId="17BCB209" w14:textId="77777777" w:rsidR="00A86060" w:rsidRPr="00A86060" w:rsidRDefault="00A86060" w:rsidP="00A86060">
            <w:pPr>
              <w:spacing w:after="0" w:line="240" w:lineRule="auto"/>
              <w:ind w:firstLine="720"/>
              <w:jc w:val="both"/>
              <w:rPr>
                <w:rFonts w:ascii="Times New Roman" w:eastAsia="Times New Roman" w:hAnsi="Times New Roman" w:cs="Times New Roman"/>
              </w:rPr>
            </w:pPr>
            <w:r w:rsidRPr="00A86060">
              <w:rPr>
                <w:rFonts w:ascii="Times New Roman" w:eastAsia="Times New Roman" w:hAnsi="Times New Roman" w:cs="Times New Roman"/>
              </w:rPr>
              <w:t xml:space="preserve">“Finanšu ministrija, izpildot Ministru kabineta 2019.gada 15.janvāra sēdes protokollēmuma Nr.2, 71.§ “Informatīvais ziņojums par iespējamiem risinājumiem nacionālās drošības interešu aizsardzības nodrošināšanai” 3.6.apakšpunktā doto uzdevumu, ir izstrādājusi likumprojektu “Grozījumi Azartspēļu un izložu likumā” (turpmāk – likumprojekts), kurā ir </w:t>
            </w:r>
            <w:r w:rsidRPr="00A86060">
              <w:rPr>
                <w:rFonts w:ascii="Times New Roman" w:eastAsia="Times New Roman" w:hAnsi="Times New Roman" w:cs="Times New Roman"/>
              </w:rPr>
              <w:lastRenderedPageBreak/>
              <w:t xml:space="preserve">paredzētas tiesības Izložu un azartspēļu uzraudzības inspekcijai  atteikt azartspēļu organizēšanas licences izsniegšanu vai anulēt izsniegto licenci valsts drošības nodrošināšanas nolūkos. 2019.gada 8.jūlijā ir saņemts Tieslietu ministrijas atzinums Nr.1-9.1/698 ar iebildumiem par to, ka likumprojekta anotācijā nav pamatota personas pamattiesību ierobežojuma </w:t>
            </w:r>
            <w:proofErr w:type="spellStart"/>
            <w:r w:rsidRPr="00A86060">
              <w:rPr>
                <w:rFonts w:ascii="Times New Roman" w:eastAsia="Times New Roman" w:hAnsi="Times New Roman" w:cs="Times New Roman"/>
              </w:rPr>
              <w:t>attaisnojamība</w:t>
            </w:r>
            <w:proofErr w:type="spellEnd"/>
            <w:r w:rsidRPr="00A86060">
              <w:rPr>
                <w:rFonts w:ascii="Times New Roman" w:eastAsia="Times New Roman" w:hAnsi="Times New Roman" w:cs="Times New Roman"/>
              </w:rPr>
              <w:t xml:space="preserve"> (atbilstība Satversmes 91.panta pirmajam teikumam  un 105.pantam), paredzot šādus ierobežojumus attiecīgajā tautsaimniecības nozarē. Atzinumā Tieslietu ministrija vērš uzmanību uz nepieciešamību izvērtēt iekļauto regulējumu vienlīdzības principa aspektā (Satversmes 91. panta pirmais teikums).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tai ir objektīvs un saprātīgs pamats. Tādējādi vienlīdzības principa uzdevums ir nodrošināt, lai tiktu īstenota tāda tiesiskas valsts prasība kā likuma aptveroša ietekme uz visām personām un lai likums tiktu piemērots bez jebkādām privilēģijām (Satversmes tiesas 2017.gada 19.oktobra sprieduma lietā Nr.2016-14-01 20.punkts). Tieslietu ministrija atzinumā norāda, ka azartspēļu un izložu </w:t>
            </w:r>
            <w:r w:rsidRPr="00A86060">
              <w:rPr>
                <w:rFonts w:ascii="Times New Roman" w:eastAsia="Times New Roman" w:hAnsi="Times New Roman" w:cs="Times New Roman"/>
              </w:rPr>
              <w:lastRenderedPageBreak/>
              <w:t xml:space="preserve">organizēšana nav vienīgais komercdarbības veids, kam nepieciešama licence, vai vispār vienīgais iespējamais komercdarbības veids, un līdz ar to nepieciešams pamatojums, ka projektā paredzētais regulējums atbilst vienlīdzības principam.   </w:t>
            </w:r>
          </w:p>
          <w:p w14:paraId="17BCB20A" w14:textId="77777777" w:rsidR="00A86060" w:rsidRPr="00A86060" w:rsidRDefault="00A86060" w:rsidP="00A86060">
            <w:pPr>
              <w:spacing w:after="0" w:line="240" w:lineRule="auto"/>
              <w:ind w:firstLine="720"/>
              <w:jc w:val="both"/>
              <w:rPr>
                <w:rFonts w:ascii="Times New Roman" w:eastAsia="Times New Roman" w:hAnsi="Times New Roman" w:cs="Times New Roman"/>
              </w:rPr>
            </w:pPr>
            <w:r w:rsidRPr="00A86060">
              <w:rPr>
                <w:rFonts w:ascii="Times New Roman" w:eastAsia="Times New Roman" w:hAnsi="Times New Roman" w:cs="Times New Roman"/>
              </w:rPr>
              <w:t xml:space="preserve">Vienlaikus Zvērinātu advokātu biroja “COBALT” veiktajā atzinumā par </w:t>
            </w:r>
            <w:proofErr w:type="spellStart"/>
            <w:r w:rsidRPr="00A86060">
              <w:rPr>
                <w:rFonts w:ascii="Times New Roman" w:eastAsia="Times New Roman" w:hAnsi="Times New Roman" w:cs="Times New Roman"/>
              </w:rPr>
              <w:t>vispusējo</w:t>
            </w:r>
            <w:proofErr w:type="spellEnd"/>
            <w:r w:rsidRPr="00A86060">
              <w:rPr>
                <w:rFonts w:ascii="Times New Roman" w:eastAsia="Times New Roman" w:hAnsi="Times New Roman" w:cs="Times New Roman"/>
              </w:rPr>
              <w:t xml:space="preserve"> tiesisko iespēju izvērtējuma veikšanu un priekšlikumu izstrādi saistībā ar iespējamiem risinājumiem nacionālās drošības interešu aizsardzības nodrošināšanā gadījumos, pamatojoties uz kuru Ekonomikas ministrijas izstrādāja Informatīvo ziņojumu par iespējamiem risinājumiem nacionālās drošības interešu aizsardzības nodrošināšanai, kas tika pieņemts Ministru kabineta 2019.gada 15. janvāra sēdes ietvaros (prot. Nr. 2, 71.§, TA-2721-DV), netika iekļauts pamatojums tam, kāpēc tieši attiecīgajā nozarē būtu nosakāms ierobežojums licenču izsniegšanai. </w:t>
            </w:r>
          </w:p>
          <w:p w14:paraId="17BCB20B" w14:textId="77777777" w:rsidR="00A86060" w:rsidRPr="00A86060" w:rsidRDefault="00A86060" w:rsidP="00A86060">
            <w:pPr>
              <w:spacing w:after="0" w:line="240" w:lineRule="auto"/>
              <w:ind w:firstLine="720"/>
              <w:jc w:val="both"/>
              <w:rPr>
                <w:rFonts w:ascii="Times New Roman" w:eastAsia="Times New Roman" w:hAnsi="Times New Roman" w:cs="Times New Roman"/>
              </w:rPr>
            </w:pPr>
            <w:r w:rsidRPr="00A86060">
              <w:rPr>
                <w:rFonts w:ascii="Times New Roman" w:eastAsia="Times New Roman" w:hAnsi="Times New Roman" w:cs="Times New Roman"/>
              </w:rPr>
              <w:t>Ņemot vērā to, ka likumprojekts ir izstrādāts, izpildot protokollēmumā doto uzdevumu, un Finanšu ministrijas rīcībā nav papildu informācijas par attiecīgās normas nepieciešamību un tās atbilstību Satversmes 91.panta pirmajam teikumam, Finanšu ministrija atbalsta nepieciešamību Ministru kabinetam atkārtoti lemt par protokollēmuma 3.6.apakšpunktā Finanšu ministrijai dotā uzdevuma - veikt grozījumus Azartspēļu un izložu likumā – aktualitāti.”.</w:t>
            </w:r>
          </w:p>
          <w:p w14:paraId="17BCB20C" w14:textId="77777777" w:rsidR="0064697B" w:rsidRPr="00A86060" w:rsidRDefault="0064697B" w:rsidP="007E52B8">
            <w:pPr>
              <w:spacing w:after="0" w:line="240" w:lineRule="auto"/>
              <w:jc w:val="both"/>
              <w:rPr>
                <w:rFonts w:ascii="Times New Roman" w:eastAsia="Times New Roman" w:hAnsi="Times New Roman" w:cs="Times New Roman"/>
                <w:b/>
                <w:lang w:eastAsia="lv-LV"/>
              </w:rPr>
            </w:pPr>
          </w:p>
        </w:tc>
        <w:tc>
          <w:tcPr>
            <w:tcW w:w="3260" w:type="dxa"/>
            <w:tcBorders>
              <w:top w:val="single" w:sz="6" w:space="0" w:color="000000"/>
              <w:left w:val="single" w:sz="6" w:space="0" w:color="000000"/>
              <w:bottom w:val="single" w:sz="6" w:space="0" w:color="000000"/>
              <w:right w:val="single" w:sz="6" w:space="0" w:color="000000"/>
            </w:tcBorders>
          </w:tcPr>
          <w:p w14:paraId="17BCB20D" w14:textId="77777777" w:rsidR="00B440FB" w:rsidRPr="00A86060" w:rsidRDefault="00A86060" w:rsidP="007D5639">
            <w:pPr>
              <w:spacing w:after="0" w:line="240" w:lineRule="auto"/>
              <w:rPr>
                <w:rFonts w:ascii="Times New Roman" w:eastAsia="Times New Roman" w:hAnsi="Times New Roman" w:cs="Times New Roman"/>
                <w:lang w:eastAsia="lv-LV"/>
              </w:rPr>
            </w:pPr>
            <w:r w:rsidRPr="00A86060">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14:paraId="17BCB20E" w14:textId="77777777" w:rsidR="00A86060" w:rsidRPr="00A86060" w:rsidRDefault="00A86060" w:rsidP="00A86060">
            <w:pPr>
              <w:jc w:val="both"/>
              <w:rPr>
                <w:rFonts w:ascii="Times New Roman" w:eastAsia="Times New Roman" w:hAnsi="Times New Roman" w:cs="Times New Roman"/>
                <w:lang w:eastAsia="lv-LV"/>
              </w:rPr>
            </w:pPr>
            <w:r w:rsidRPr="00A86060">
              <w:rPr>
                <w:rFonts w:ascii="Times New Roman" w:eastAsia="Times New Roman" w:hAnsi="Times New Roman" w:cs="Times New Roman"/>
                <w:lang w:eastAsia="lv-LV"/>
              </w:rPr>
              <w:t xml:space="preserve"> Finanšu ministrija, izpildot Ministru kabineta 2019.gada 15.janvāra sēdes protokollēmuma Nr.2, 71.§ “Informatīvais ziņojums par iespējamiem risinājumiem nacionālās drošības interešu aizsardzības nodrošināšanai” 3.6.apakšpunktā doto uzdevumu, ir izstrādājusi likumprojektu “Grozījumi Azartspēļu un izložu likumā” (turpmāk – likumprojekts), kurā ir paredzētas tiesības Izložu un </w:t>
            </w:r>
            <w:r w:rsidRPr="00A86060">
              <w:rPr>
                <w:rFonts w:ascii="Times New Roman" w:eastAsia="Times New Roman" w:hAnsi="Times New Roman" w:cs="Times New Roman"/>
                <w:lang w:eastAsia="lv-LV"/>
              </w:rPr>
              <w:lastRenderedPageBreak/>
              <w:t xml:space="preserve">azartspēļu uzraudzības inspekcijai  atteikt azartspēļu organizēšanas licences izsniegšanu vai anulēt izsniegto licenci valsts drošības nodrošināšanas nolūkos. 2019.gada 8.jūlijā ir saņemts Tieslietu ministrijas atzinums Nr.1-9.1/698 ar iebildumiem par to, ka likumprojekta anotācijā nav pamatota personas pamattiesību ierobežojuma </w:t>
            </w:r>
            <w:proofErr w:type="spellStart"/>
            <w:r w:rsidRPr="00A86060">
              <w:rPr>
                <w:rFonts w:ascii="Times New Roman" w:eastAsia="Times New Roman" w:hAnsi="Times New Roman" w:cs="Times New Roman"/>
                <w:lang w:eastAsia="lv-LV"/>
              </w:rPr>
              <w:t>attaisnojamība</w:t>
            </w:r>
            <w:proofErr w:type="spellEnd"/>
            <w:r w:rsidRPr="00A86060">
              <w:rPr>
                <w:rFonts w:ascii="Times New Roman" w:eastAsia="Times New Roman" w:hAnsi="Times New Roman" w:cs="Times New Roman"/>
                <w:lang w:eastAsia="lv-LV"/>
              </w:rPr>
              <w:t xml:space="preserve"> (atbilstība Satversmes 91.panta pirmajam teikumam  un 105.pantam), paredzot šādus ierobežojumus attiecīgajā tautsaimniecības nozarē. Atzinumā Tieslietu ministrija vērš uzmanību uz nepieciešamību izvērtēt iekļauto regulējumu vienlīdzības principa aspektā (Satversmes 91. panta pirmais teikums). Vienlīdzības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w:t>
            </w:r>
            <w:r w:rsidRPr="00A86060">
              <w:rPr>
                <w:rFonts w:ascii="Times New Roman" w:eastAsia="Times New Roman" w:hAnsi="Times New Roman" w:cs="Times New Roman"/>
                <w:lang w:eastAsia="lv-LV"/>
              </w:rPr>
              <w:lastRenderedPageBreak/>
              <w:t xml:space="preserve">apstākļos, kā arī pieļauj atšķirīgu attieksmi pret personām, kas atrodas vienādos apstākļos, ja tai ir objektīvs un saprātīgs pamats. Tādējādi vienlīdzības principa uzdevums ir nodrošināt, lai tiktu īstenota tāda tiesiskas valsts prasība kā likuma aptveroša ietekme uz visām personām un lai likums tiktu piemērots bez jebkādām privilēģijām (Satversmes tiesas 2017.gada 19.oktobra sprieduma lietā Nr.2016-14-01 20.punkts). Tieslietu ministrija atzinumā norāda, ka azartspēļu un izložu organizēšana nav vienīgais komercdarbības veids, kam nepieciešama licence, vai vispār vienīgais iespējamais komercdarbības veids, un līdz ar to nepieciešams pamatojums, ka projektā paredzētais regulējums atbilst vienlīdzības principam.   </w:t>
            </w:r>
          </w:p>
          <w:p w14:paraId="17BCB20F" w14:textId="77777777" w:rsidR="00A86060" w:rsidRPr="00A86060" w:rsidRDefault="00A86060" w:rsidP="00A86060">
            <w:pPr>
              <w:jc w:val="both"/>
              <w:rPr>
                <w:rFonts w:ascii="Times New Roman" w:eastAsia="Times New Roman" w:hAnsi="Times New Roman" w:cs="Times New Roman"/>
                <w:lang w:eastAsia="lv-LV"/>
              </w:rPr>
            </w:pPr>
            <w:r w:rsidRPr="00A86060">
              <w:rPr>
                <w:rFonts w:ascii="Times New Roman" w:eastAsia="Times New Roman" w:hAnsi="Times New Roman" w:cs="Times New Roman"/>
                <w:lang w:eastAsia="lv-LV"/>
              </w:rPr>
              <w:t xml:space="preserve">Vienlaikus Zvērinātu advokātu biroja “COBALT” veiktajā atzinumā par </w:t>
            </w:r>
            <w:proofErr w:type="spellStart"/>
            <w:r w:rsidRPr="00A86060">
              <w:rPr>
                <w:rFonts w:ascii="Times New Roman" w:eastAsia="Times New Roman" w:hAnsi="Times New Roman" w:cs="Times New Roman"/>
                <w:lang w:eastAsia="lv-LV"/>
              </w:rPr>
              <w:t>vispusējo</w:t>
            </w:r>
            <w:proofErr w:type="spellEnd"/>
            <w:r w:rsidRPr="00A86060">
              <w:rPr>
                <w:rFonts w:ascii="Times New Roman" w:eastAsia="Times New Roman" w:hAnsi="Times New Roman" w:cs="Times New Roman"/>
                <w:lang w:eastAsia="lv-LV"/>
              </w:rPr>
              <w:t xml:space="preserve"> tiesisko iespēju izvērtējuma veikšanu un priekšlikumu izstrādi saistībā ar iespējamiem risinājumiem </w:t>
            </w:r>
            <w:r w:rsidRPr="00A86060">
              <w:rPr>
                <w:rFonts w:ascii="Times New Roman" w:eastAsia="Times New Roman" w:hAnsi="Times New Roman" w:cs="Times New Roman"/>
                <w:lang w:eastAsia="lv-LV"/>
              </w:rPr>
              <w:lastRenderedPageBreak/>
              <w:t xml:space="preserve">nacionālās drošības interešu aizsardzības nodrošināšanā gadījumos, pamatojoties uz kuru Ekonomikas ministrijas izstrādāja Informatīvo ziņojumu par iespējamiem risinājumiem nacionālās drošības interešu aizsardzības nodrošināšanai, kas tika pieņemts Ministru kabineta 2019.gada 15. janvāra sēdes ietvaros (prot. Nr. 2, 71.§, TA-2721-DV), netika iekļauts pamatojums tam, kāpēc tieši attiecīgajā nozarē būtu nosakāms ierobežojums licenču izsniegšanai. </w:t>
            </w:r>
          </w:p>
          <w:p w14:paraId="17BCB210" w14:textId="77777777" w:rsidR="00B440FB" w:rsidRPr="00A86060" w:rsidRDefault="00A86060" w:rsidP="00A86060">
            <w:pPr>
              <w:jc w:val="both"/>
              <w:rPr>
                <w:rFonts w:ascii="Times New Roman" w:eastAsia="Times New Roman" w:hAnsi="Times New Roman" w:cs="Times New Roman"/>
                <w:lang w:eastAsia="lv-LV"/>
              </w:rPr>
            </w:pPr>
            <w:r w:rsidRPr="00A86060">
              <w:rPr>
                <w:rFonts w:ascii="Times New Roman" w:eastAsia="Times New Roman" w:hAnsi="Times New Roman" w:cs="Times New Roman"/>
                <w:lang w:eastAsia="lv-LV"/>
              </w:rPr>
              <w:t>Ņemot vērā to, ka likumprojekts ir izstrādāts, izpildot protokollēmumā doto uzdevumu, un Finanšu ministrijas rīcībā nav papildu informācijas par attiecīgās normas nepieciešamību un tās atbilstību Satversmes 91.panta pirmajam teikumam, Finanšu ministrija atbalsta nepieciešamību Ministru kabinetam atkārtoti lemt par protokollēmuma 3.6.apakšpunktā Finanšu ministrijai dotā uzdevuma - veikt grozījumus Azartspēļu u</w:t>
            </w:r>
            <w:r>
              <w:rPr>
                <w:rFonts w:ascii="Times New Roman" w:eastAsia="Times New Roman" w:hAnsi="Times New Roman" w:cs="Times New Roman"/>
                <w:lang w:eastAsia="lv-LV"/>
              </w:rPr>
              <w:t>n izložu likumā – aktualitāti.</w:t>
            </w:r>
          </w:p>
        </w:tc>
      </w:tr>
    </w:tbl>
    <w:p w14:paraId="17BCB212" w14:textId="77777777" w:rsidR="00A86060" w:rsidRDefault="00A86060" w:rsidP="00E5597B">
      <w:pPr>
        <w:spacing w:after="0" w:line="240" w:lineRule="auto"/>
        <w:ind w:left="-426"/>
        <w:jc w:val="both"/>
        <w:rPr>
          <w:rFonts w:ascii="Times New Roman" w:eastAsia="Times New Roman" w:hAnsi="Times New Roman" w:cs="Times New Roman"/>
          <w:sz w:val="20"/>
          <w:szCs w:val="20"/>
          <w:lang w:eastAsia="lv-LV"/>
        </w:rPr>
      </w:pPr>
    </w:p>
    <w:p w14:paraId="17BCB213" w14:textId="77777777" w:rsidR="00A86060" w:rsidRDefault="00A86060" w:rsidP="00E5597B">
      <w:pPr>
        <w:spacing w:after="0" w:line="240" w:lineRule="auto"/>
        <w:ind w:left="-426"/>
        <w:jc w:val="both"/>
        <w:rPr>
          <w:rFonts w:ascii="Times New Roman" w:eastAsia="Times New Roman" w:hAnsi="Times New Roman" w:cs="Times New Roman"/>
          <w:sz w:val="20"/>
          <w:szCs w:val="20"/>
          <w:lang w:eastAsia="lv-LV"/>
        </w:rPr>
      </w:pPr>
    </w:p>
    <w:p w14:paraId="17BCB214" w14:textId="77777777" w:rsidR="00A86060" w:rsidRDefault="00A86060" w:rsidP="00E5597B">
      <w:pPr>
        <w:spacing w:after="0" w:line="240" w:lineRule="auto"/>
        <w:ind w:left="-426"/>
        <w:jc w:val="both"/>
        <w:rPr>
          <w:rFonts w:ascii="Times New Roman" w:eastAsia="Times New Roman" w:hAnsi="Times New Roman" w:cs="Times New Roman"/>
          <w:sz w:val="20"/>
          <w:szCs w:val="20"/>
          <w:lang w:eastAsia="lv-LV"/>
        </w:rPr>
      </w:pPr>
    </w:p>
    <w:p w14:paraId="17BCB215" w14:textId="77777777" w:rsidR="00A86060" w:rsidRDefault="00A86060" w:rsidP="00E5597B">
      <w:pPr>
        <w:spacing w:after="0" w:line="240" w:lineRule="auto"/>
        <w:ind w:left="-426"/>
        <w:jc w:val="both"/>
        <w:rPr>
          <w:rFonts w:ascii="Times New Roman" w:eastAsia="Times New Roman" w:hAnsi="Times New Roman" w:cs="Times New Roman"/>
          <w:sz w:val="20"/>
          <w:szCs w:val="20"/>
          <w:lang w:eastAsia="lv-LV"/>
        </w:rPr>
      </w:pPr>
    </w:p>
    <w:p w14:paraId="17BCB216" w14:textId="77777777"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14:paraId="17BCB217" w14:textId="77777777"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14:paraId="17BCB218" w14:textId="77777777" w:rsidR="00E5597B" w:rsidRPr="00E5597B" w:rsidRDefault="0054523A" w:rsidP="00E5597B">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 Svarenieks</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14:paraId="17BCB21A" w14:textId="77777777" w:rsidTr="0009183D">
        <w:tc>
          <w:tcPr>
            <w:tcW w:w="8789" w:type="dxa"/>
            <w:tcBorders>
              <w:top w:val="single" w:sz="4" w:space="0" w:color="000000"/>
              <w:left w:val="nil"/>
              <w:bottom w:val="nil"/>
              <w:right w:val="nil"/>
            </w:tcBorders>
            <w:hideMark/>
          </w:tcPr>
          <w:p w14:paraId="17BCB219"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14:paraId="17BCB21D" w14:textId="77777777" w:rsidTr="0009183D">
        <w:tc>
          <w:tcPr>
            <w:tcW w:w="8789" w:type="dxa"/>
            <w:tcBorders>
              <w:top w:val="nil"/>
              <w:left w:val="nil"/>
              <w:bottom w:val="single" w:sz="4" w:space="0" w:color="000000"/>
              <w:right w:val="nil"/>
            </w:tcBorders>
            <w:hideMark/>
          </w:tcPr>
          <w:p w14:paraId="17BCB21B"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p w14:paraId="17BCB21C" w14:textId="77777777" w:rsidR="00E5597B" w:rsidRPr="00E5597B" w:rsidRDefault="0054523A"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Aizsardzības ministrijas Krīzes vadības d</w:t>
            </w:r>
            <w:r w:rsidRPr="0054523A">
              <w:rPr>
                <w:rFonts w:ascii="Times New Roman" w:eastAsia="Times New Roman" w:hAnsi="Times New Roman" w:cs="Times New Roman"/>
                <w:sz w:val="20"/>
                <w:szCs w:val="20"/>
                <w:lang w:eastAsia="lv-LV"/>
              </w:rPr>
              <w:t>epartamenta direkto</w:t>
            </w:r>
            <w:r>
              <w:rPr>
                <w:rFonts w:ascii="Times New Roman" w:eastAsia="Times New Roman" w:hAnsi="Times New Roman" w:cs="Times New Roman"/>
                <w:sz w:val="20"/>
                <w:szCs w:val="20"/>
                <w:lang w:eastAsia="lv-LV"/>
              </w:rPr>
              <w:t>ra vietnieks,</w:t>
            </w:r>
            <w:r w:rsidR="00E61750">
              <w:rPr>
                <w:rFonts w:ascii="Times New Roman" w:eastAsia="Times New Roman" w:hAnsi="Times New Roman" w:cs="Times New Roman"/>
                <w:sz w:val="20"/>
                <w:szCs w:val="20"/>
                <w:lang w:eastAsia="lv-LV"/>
              </w:rPr>
              <w:t xml:space="preserve"> </w:t>
            </w:r>
            <w:r w:rsidRPr="0054523A">
              <w:rPr>
                <w:rFonts w:ascii="Times New Roman" w:eastAsia="Times New Roman" w:hAnsi="Times New Roman" w:cs="Times New Roman"/>
                <w:sz w:val="20"/>
                <w:szCs w:val="20"/>
                <w:lang w:eastAsia="lv-LV"/>
              </w:rPr>
              <w:t>Visaptverošas valsts aizsardzības ieviešanas koordinācijas nodaļas vadītājs</w:t>
            </w:r>
          </w:p>
        </w:tc>
      </w:tr>
      <w:tr w:rsidR="00E5597B" w:rsidRPr="00E5597B" w14:paraId="17BCB21F" w14:textId="77777777" w:rsidTr="0009183D">
        <w:tc>
          <w:tcPr>
            <w:tcW w:w="8789" w:type="dxa"/>
            <w:tcBorders>
              <w:top w:val="single" w:sz="4" w:space="0" w:color="000000"/>
              <w:left w:val="nil"/>
              <w:bottom w:val="nil"/>
              <w:right w:val="nil"/>
            </w:tcBorders>
            <w:hideMark/>
          </w:tcPr>
          <w:p w14:paraId="17BCB21E"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tc>
      </w:tr>
      <w:tr w:rsidR="00E5597B" w:rsidRPr="00E5597B" w14:paraId="17BCB221" w14:textId="77777777" w:rsidTr="0009183D">
        <w:tc>
          <w:tcPr>
            <w:tcW w:w="8789" w:type="dxa"/>
            <w:tcBorders>
              <w:top w:val="nil"/>
              <w:left w:val="nil"/>
              <w:bottom w:val="single" w:sz="4" w:space="0" w:color="000000"/>
              <w:right w:val="nil"/>
            </w:tcBorders>
            <w:hideMark/>
          </w:tcPr>
          <w:p w14:paraId="17BCB220"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54523A">
              <w:rPr>
                <w:rFonts w:ascii="Times New Roman" w:eastAsia="Times New Roman" w:hAnsi="Times New Roman" w:cs="Times New Roman"/>
                <w:sz w:val="20"/>
                <w:szCs w:val="20"/>
                <w:lang w:eastAsia="lv-LV"/>
              </w:rPr>
              <w:t>6</w:t>
            </w:r>
            <w:r w:rsidR="0054523A" w:rsidRPr="0054523A">
              <w:rPr>
                <w:rFonts w:ascii="Times New Roman" w:eastAsia="Times New Roman" w:hAnsi="Times New Roman" w:cs="Times New Roman"/>
                <w:sz w:val="20"/>
                <w:szCs w:val="20"/>
                <w:lang w:eastAsia="lv-LV"/>
              </w:rPr>
              <w:t>7335029</w:t>
            </w:r>
          </w:p>
        </w:tc>
      </w:tr>
      <w:tr w:rsidR="00E5597B" w:rsidRPr="00E5597B" w14:paraId="17BCB225" w14:textId="77777777" w:rsidTr="0009183D">
        <w:tc>
          <w:tcPr>
            <w:tcW w:w="8789" w:type="dxa"/>
            <w:tcBorders>
              <w:top w:val="single" w:sz="4" w:space="0" w:color="000000"/>
              <w:left w:val="nil"/>
              <w:bottom w:val="nil"/>
              <w:right w:val="nil"/>
            </w:tcBorders>
            <w:hideMark/>
          </w:tcPr>
          <w:p w14:paraId="17BCB222" w14:textId="77777777"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numurs)</w:t>
            </w:r>
          </w:p>
          <w:p w14:paraId="17BCB223" w14:textId="77777777" w:rsidR="00E61750" w:rsidRDefault="00E61750" w:rsidP="00E5597B">
            <w:pPr>
              <w:spacing w:after="0" w:line="240" w:lineRule="auto"/>
              <w:jc w:val="center"/>
              <w:rPr>
                <w:rFonts w:ascii="Times New Roman" w:eastAsia="Times New Roman" w:hAnsi="Times New Roman" w:cs="Times New Roman"/>
                <w:sz w:val="20"/>
                <w:szCs w:val="20"/>
                <w:lang w:eastAsia="lv-LV"/>
              </w:rPr>
            </w:pPr>
          </w:p>
          <w:p w14:paraId="17BCB224" w14:textId="77777777" w:rsidR="00E5597B" w:rsidRPr="00E5597B" w:rsidRDefault="0054523A"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Edgars.Svarenieks@mod.gov.lv</w:t>
            </w:r>
          </w:p>
        </w:tc>
      </w:tr>
      <w:tr w:rsidR="00E5597B" w:rsidRPr="00E5597B" w14:paraId="17BCB227" w14:textId="77777777" w:rsidTr="0009183D">
        <w:tc>
          <w:tcPr>
            <w:tcW w:w="8789" w:type="dxa"/>
            <w:tcBorders>
              <w:top w:val="nil"/>
              <w:left w:val="nil"/>
              <w:bottom w:val="single" w:sz="4" w:space="0" w:color="000000"/>
              <w:right w:val="nil"/>
            </w:tcBorders>
            <w:hideMark/>
          </w:tcPr>
          <w:p w14:paraId="17BCB226" w14:textId="77777777"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14:paraId="17BCB229" w14:textId="77777777" w:rsidTr="0009183D">
        <w:tc>
          <w:tcPr>
            <w:tcW w:w="8789" w:type="dxa"/>
            <w:tcBorders>
              <w:top w:val="single" w:sz="4" w:space="0" w:color="000000"/>
              <w:left w:val="nil"/>
              <w:bottom w:val="nil"/>
              <w:right w:val="nil"/>
            </w:tcBorders>
            <w:hideMark/>
          </w:tcPr>
          <w:p w14:paraId="17BCB228" w14:textId="77777777"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14:paraId="17BCB22A"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7BCB22B"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7BCB22C"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7BCB22D"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7BCB22E"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7BCB22F" w14:textId="77777777"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14:paraId="17BCB230" w14:textId="77777777"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14:paraId="17BCB231" w14:textId="77777777"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14:paraId="17BCB232" w14:textId="77777777" w:rsidR="002B15FE" w:rsidRDefault="002B15FE"/>
    <w:sectPr w:rsidR="002B15FE" w:rsidSect="002B15FE">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B235" w14:textId="77777777" w:rsidR="0018773C" w:rsidRDefault="0018773C" w:rsidP="0018773C">
      <w:pPr>
        <w:spacing w:after="0" w:line="240" w:lineRule="auto"/>
      </w:pPr>
      <w:r>
        <w:separator/>
      </w:r>
    </w:p>
  </w:endnote>
  <w:endnote w:type="continuationSeparator" w:id="0">
    <w:p w14:paraId="17BCB236" w14:textId="77777777" w:rsidR="0018773C" w:rsidRDefault="0018773C"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E8FA" w14:textId="77777777" w:rsidR="000A2650" w:rsidRDefault="000A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B239" w14:textId="13DEB077" w:rsidR="001935CA" w:rsidRPr="001935CA" w:rsidRDefault="001935CA">
    <w:pPr>
      <w:pStyle w:val="Footer"/>
      <w:rPr>
        <w:rFonts w:ascii="Times New Roman" w:hAnsi="Times New Roman" w:cs="Times New Roman"/>
      </w:rPr>
    </w:pPr>
    <w:r w:rsidRPr="001935CA">
      <w:rPr>
        <w:rFonts w:ascii="Times New Roman" w:hAnsi="Times New Roman" w:cs="Times New Roman"/>
      </w:rPr>
      <w:t>AIMizz_310719</w:t>
    </w:r>
    <w:r w:rsidR="000A2650">
      <w:rPr>
        <w:rFonts w:ascii="Times New Roman" w:hAnsi="Times New Roman" w:cs="Times New Roman"/>
      </w:rPr>
      <w:t>.docx</w:t>
    </w:r>
    <w:bookmarkStart w:id="0" w:name="_GoBack"/>
    <w:bookmarkEnd w:id="0"/>
  </w:p>
  <w:p w14:paraId="17BCB23A" w14:textId="77777777" w:rsidR="001935CA" w:rsidRDefault="00193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93DC" w14:textId="77777777" w:rsidR="000A2650" w:rsidRDefault="000A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B233" w14:textId="77777777" w:rsidR="0018773C" w:rsidRDefault="0018773C" w:rsidP="0018773C">
      <w:pPr>
        <w:spacing w:after="0" w:line="240" w:lineRule="auto"/>
      </w:pPr>
      <w:r>
        <w:separator/>
      </w:r>
    </w:p>
  </w:footnote>
  <w:footnote w:type="continuationSeparator" w:id="0">
    <w:p w14:paraId="17BCB234" w14:textId="77777777" w:rsidR="0018773C" w:rsidRDefault="0018773C"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28A2" w14:textId="77777777" w:rsidR="000A2650" w:rsidRDefault="000A2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14:paraId="17BCB237" w14:textId="0E1BA58D" w:rsidR="0018773C" w:rsidRDefault="0018773C">
        <w:pPr>
          <w:pStyle w:val="Header"/>
          <w:jc w:val="center"/>
        </w:pPr>
        <w:r>
          <w:fldChar w:fldCharType="begin"/>
        </w:r>
        <w:r>
          <w:instrText xml:space="preserve"> PAGE   \* MERGEFORMAT </w:instrText>
        </w:r>
        <w:r>
          <w:fldChar w:fldCharType="separate"/>
        </w:r>
        <w:r w:rsidR="000A2650">
          <w:rPr>
            <w:noProof/>
          </w:rPr>
          <w:t>1</w:t>
        </w:r>
        <w:r>
          <w:rPr>
            <w:noProof/>
          </w:rPr>
          <w:fldChar w:fldCharType="end"/>
        </w:r>
      </w:p>
    </w:sdtContent>
  </w:sdt>
  <w:p w14:paraId="17BCB238" w14:textId="77777777" w:rsidR="0018773C" w:rsidRDefault="00187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B722" w14:textId="77777777" w:rsidR="000A2650" w:rsidRDefault="000A2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539A0803"/>
    <w:multiLevelType w:val="hybridMultilevel"/>
    <w:tmpl w:val="A17A6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8674A1"/>
    <w:multiLevelType w:val="hybridMultilevel"/>
    <w:tmpl w:val="A2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7"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A2650"/>
    <w:rsid w:val="000F39DC"/>
    <w:rsid w:val="0018773C"/>
    <w:rsid w:val="001935CA"/>
    <w:rsid w:val="002B15FE"/>
    <w:rsid w:val="002C224A"/>
    <w:rsid w:val="002E305E"/>
    <w:rsid w:val="002F3FDE"/>
    <w:rsid w:val="0034241A"/>
    <w:rsid w:val="003A6C95"/>
    <w:rsid w:val="00456A31"/>
    <w:rsid w:val="004877FE"/>
    <w:rsid w:val="004A6F3F"/>
    <w:rsid w:val="005132CC"/>
    <w:rsid w:val="00530008"/>
    <w:rsid w:val="0053342B"/>
    <w:rsid w:val="0054523A"/>
    <w:rsid w:val="00580C3D"/>
    <w:rsid w:val="005C1274"/>
    <w:rsid w:val="0064697B"/>
    <w:rsid w:val="0065344F"/>
    <w:rsid w:val="006B0D8B"/>
    <w:rsid w:val="006B25E6"/>
    <w:rsid w:val="0072473B"/>
    <w:rsid w:val="00777022"/>
    <w:rsid w:val="007910A4"/>
    <w:rsid w:val="007A5421"/>
    <w:rsid w:val="007D5639"/>
    <w:rsid w:val="007E52B8"/>
    <w:rsid w:val="00814173"/>
    <w:rsid w:val="00885E15"/>
    <w:rsid w:val="008C37A2"/>
    <w:rsid w:val="009360B6"/>
    <w:rsid w:val="009C6813"/>
    <w:rsid w:val="009D6C49"/>
    <w:rsid w:val="00A86060"/>
    <w:rsid w:val="00B23D09"/>
    <w:rsid w:val="00B440FB"/>
    <w:rsid w:val="00C752F6"/>
    <w:rsid w:val="00CD74C7"/>
    <w:rsid w:val="00E553A2"/>
    <w:rsid w:val="00E5597B"/>
    <w:rsid w:val="00E61750"/>
    <w:rsid w:val="00EA7A0C"/>
    <w:rsid w:val="00EF3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B194"/>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styleId="NormalWeb">
    <w:name w:val="Normal (Web)"/>
    <w:basedOn w:val="Normal"/>
    <w:uiPriority w:val="99"/>
    <w:unhideWhenUsed/>
    <w:rsid w:val="00CD74C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14</Pages>
  <Words>16337</Words>
  <Characters>9313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Irēna Kalna</cp:lastModifiedBy>
  <cp:revision>17</cp:revision>
  <dcterms:created xsi:type="dcterms:W3CDTF">2019-06-14T10:57:00Z</dcterms:created>
  <dcterms:modified xsi:type="dcterms:W3CDTF">2019-08-14T11:59:00Z</dcterms:modified>
</cp:coreProperties>
</file>