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rsidR="00275CC4" w:rsidP="00275CC4" w14:paraId="69C0B438" w14:textId="77777777">
      <w:pPr>
        <w:spacing w:after="0" w:line="240" w:lineRule="auto"/>
        <w:jc w:val="right"/>
        <w:rPr>
          <w:b/>
        </w:rPr>
      </w:pPr>
      <w:r w:rsidRPr="006C787C">
        <w:rPr>
          <w:b/>
          <w:noProof/>
        </w:rPr>
        <w:t>Valsts kanceleja</w:t>
      </w:r>
      <w:r>
        <w:rPr>
          <w:b/>
          <w:noProof/>
        </w:rPr>
        <w:t>i</w:t>
      </w:r>
    </w:p>
    <w:p w:rsidR="00275CC4" w:rsidP="00275CC4" w14:paraId="20CEADCD" w14:textId="77777777">
      <w:pPr>
        <w:spacing w:after="0" w:line="240" w:lineRule="auto"/>
        <w:jc w:val="right"/>
        <w:rPr>
          <w:b/>
        </w:rPr>
      </w:pPr>
    </w:p>
    <w:p w:rsidR="00275CC4" w:rsidP="00275CC4" w14:paraId="33EE42B4" w14:textId="77777777">
      <w:pPr>
        <w:spacing w:after="0" w:line="240" w:lineRule="auto"/>
        <w:rPr>
          <w:i/>
        </w:rPr>
      </w:pPr>
    </w:p>
    <w:tbl>
      <w:tblPr>
        <w:tblStyle w:val="TableGrid"/>
        <w:tblW w:w="0" w:type="auto"/>
        <w:tblLook w:val="04A0"/>
      </w:tblPr>
      <w:tblGrid>
        <w:gridCol w:w="4528"/>
      </w:tblGrid>
      <w:tr w14:paraId="550A0643" w14:textId="77777777" w:rsidTr="009F520A">
        <w:tblPrEx>
          <w:tblW w:w="0" w:type="auto"/>
          <w:tblLook w:val="04A0"/>
        </w:tblPrEx>
        <w:trPr>
          <w:trHeight w:val="195"/>
        </w:trPr>
        <w:tc>
          <w:tcPr>
            <w:tcW w:w="4528" w:type="dxa"/>
            <w:tcBorders>
              <w:top w:val="nil"/>
              <w:left w:val="nil"/>
              <w:bottom w:val="nil"/>
              <w:right w:val="nil"/>
            </w:tcBorders>
          </w:tcPr>
          <w:p w:rsidR="00275CC4" w:rsidP="009F520A" w14:paraId="5681B3D4" w14:textId="77777777">
            <w:pPr>
              <w:spacing w:after="0" w:line="240" w:lineRule="auto"/>
              <w:jc w:val="both"/>
              <w:rPr>
                <w:i/>
                <w:noProof/>
              </w:rPr>
            </w:pPr>
            <w:r w:rsidRPr="00826B6D">
              <w:rPr>
                <w:i/>
                <w:noProof/>
              </w:rPr>
              <w:t>Par Ministru kabineta 2019.</w:t>
            </w:r>
            <w:r>
              <w:rPr>
                <w:i/>
                <w:noProof/>
              </w:rPr>
              <w:t> gada 15.</w:t>
            </w:r>
            <w:r>
              <w:t> </w:t>
            </w:r>
            <w:r>
              <w:rPr>
                <w:i/>
                <w:noProof/>
              </w:rPr>
              <w:t>janvāra sēdes protokollēmuma Nr. 2</w:t>
            </w:r>
            <w:r w:rsidRPr="00826B6D">
              <w:rPr>
                <w:i/>
                <w:noProof/>
              </w:rPr>
              <w:t xml:space="preserve"> 71.</w:t>
            </w:r>
            <w:r>
              <w:rPr>
                <w:i/>
                <w:noProof/>
              </w:rPr>
              <w:t> </w:t>
            </w:r>
            <w:r w:rsidRPr="00826B6D">
              <w:rPr>
                <w:i/>
                <w:noProof/>
              </w:rPr>
              <w:t>§ “Informatīvais ziņojums par iespējamiem risinājumiem nacionālās drošības interešu ai</w:t>
            </w:r>
            <w:r>
              <w:rPr>
                <w:i/>
                <w:noProof/>
              </w:rPr>
              <w:t xml:space="preserve">zsardzības nodrošināšanai” </w:t>
            </w:r>
            <w:r w:rsidRPr="00864DBD">
              <w:rPr>
                <w:i/>
                <w:noProof/>
              </w:rPr>
              <w:t>3.1. 3.3., 3.4., 3.5., 3.6. un 3.7.</w:t>
            </w:r>
            <w:r>
              <w:rPr>
                <w:i/>
                <w:noProof/>
              </w:rPr>
              <w:t> apakš</w:t>
            </w:r>
            <w:r w:rsidRPr="00826B6D">
              <w:rPr>
                <w:i/>
                <w:noProof/>
              </w:rPr>
              <w:t>punkt</w:t>
            </w:r>
            <w:r>
              <w:rPr>
                <w:i/>
                <w:noProof/>
              </w:rPr>
              <w:t>u</w:t>
            </w:r>
            <w:r w:rsidRPr="00826B6D">
              <w:rPr>
                <w:i/>
                <w:noProof/>
              </w:rPr>
              <w:t xml:space="preserve"> atzīšanu par aktualitāti zaudējuš</w:t>
            </w:r>
            <w:r>
              <w:rPr>
                <w:i/>
                <w:noProof/>
              </w:rPr>
              <w:t>iem</w:t>
            </w:r>
          </w:p>
          <w:p w:rsidR="00275CC4" w:rsidP="009F520A" w14:paraId="48DCADF2" w14:textId="77777777">
            <w:pPr>
              <w:spacing w:after="0" w:line="240" w:lineRule="auto"/>
              <w:rPr>
                <w:i/>
                <w:noProof/>
              </w:rPr>
            </w:pPr>
          </w:p>
        </w:tc>
      </w:tr>
    </w:tbl>
    <w:p w:rsidR="00275CC4" w:rsidRPr="00B309C7" w:rsidP="00275CC4" w14:paraId="7C9F2103" w14:textId="77777777">
      <w:pPr>
        <w:spacing w:after="0" w:line="240" w:lineRule="auto"/>
      </w:pPr>
    </w:p>
    <w:p w:rsidR="00275CC4" w:rsidP="00275CC4" w14:paraId="7FC266C6" w14:textId="77777777">
      <w:pPr>
        <w:pStyle w:val="NormalWeb"/>
        <w:ind w:firstLine="567"/>
        <w:jc w:val="both"/>
        <w:rPr>
          <w:bCs/>
        </w:rPr>
      </w:pPr>
      <w:r>
        <w:t>Pamatojoties uz Ministru kabineta 2009. gada 7. aprīļa noteikumu Nr. 300 “Ministru kabineta kārtības rullis” 164.4. apakšpunktā noteikto, Aizsardzības ministrija nosūta izskatīšanai Ministru kabineta sēdē Ministru kabineta sēdes protokollēmuma projektu</w:t>
      </w:r>
      <w:r w:rsidRPr="00403257">
        <w:rPr>
          <w:b/>
          <w:bCs/>
        </w:rPr>
        <w:t xml:space="preserve"> </w:t>
      </w:r>
      <w:r w:rsidRPr="00403257">
        <w:rPr>
          <w:bCs/>
        </w:rPr>
        <w:t>“</w:t>
      </w:r>
      <w:r w:rsidRPr="00826B6D">
        <w:rPr>
          <w:bCs/>
        </w:rPr>
        <w:t>Par Ministru kabineta 2019.</w:t>
      </w:r>
      <w:r>
        <w:rPr>
          <w:bCs/>
        </w:rPr>
        <w:t> gada 15. janvāra sēdes protokollēmuma Nr. 2</w:t>
      </w:r>
      <w:r w:rsidRPr="00826B6D">
        <w:rPr>
          <w:bCs/>
        </w:rPr>
        <w:t xml:space="preserve"> 71.</w:t>
      </w:r>
      <w:r>
        <w:rPr>
          <w:bCs/>
        </w:rPr>
        <w:t> </w:t>
      </w:r>
      <w:r w:rsidRPr="00826B6D">
        <w:rPr>
          <w:bCs/>
        </w:rPr>
        <w:t>§ “Informatīvais ziņojums par iespējamiem risinājumiem nacionālās drošības interešu ai</w:t>
      </w:r>
      <w:r>
        <w:rPr>
          <w:bCs/>
        </w:rPr>
        <w:t xml:space="preserve">zsardzības nodrošināšanai” </w:t>
      </w:r>
      <w:r w:rsidRPr="00864DBD">
        <w:rPr>
          <w:bCs/>
        </w:rPr>
        <w:t>3.1. 3.3., 3.4., 3.5., 3.6. un 3.7.</w:t>
      </w:r>
      <w:r>
        <w:rPr>
          <w:bCs/>
        </w:rPr>
        <w:t> apakšpunktu</w:t>
      </w:r>
      <w:r w:rsidRPr="00826B6D">
        <w:rPr>
          <w:bCs/>
        </w:rPr>
        <w:t xml:space="preserve"> atzīšanu par aktualitāti zaudējuš</w:t>
      </w:r>
      <w:r>
        <w:rPr>
          <w:bCs/>
        </w:rPr>
        <w:t>iem”.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91"/>
        <w:gridCol w:w="3037"/>
        <w:gridCol w:w="5590"/>
      </w:tblGrid>
      <w:tr w14:paraId="049BBAF6" w14:textId="77777777" w:rsidTr="009F520A">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275CC4" w:rsidRPr="00E71412" w:rsidP="009F520A" w14:paraId="5FEDAF57" w14:textId="77777777">
            <w:pPr>
              <w:widowControl/>
              <w:spacing w:after="0" w:line="240" w:lineRule="auto"/>
              <w:rPr>
                <w:rFonts w:eastAsia="Times New Roman"/>
              </w:rPr>
            </w:pPr>
            <w:r w:rsidRPr="00E71412">
              <w:rPr>
                <w:rFonts w:eastAsia="Times New Roman"/>
              </w:rPr>
              <w:t>1.</w:t>
            </w:r>
          </w:p>
        </w:tc>
        <w:tc>
          <w:tcPr>
            <w:tcW w:w="1579" w:type="pct"/>
            <w:tcBorders>
              <w:top w:val="outset" w:sz="6" w:space="0" w:color="auto"/>
              <w:left w:val="outset" w:sz="6" w:space="0" w:color="auto"/>
              <w:bottom w:val="outset" w:sz="6" w:space="0" w:color="auto"/>
              <w:right w:val="outset" w:sz="6" w:space="0" w:color="auto"/>
            </w:tcBorders>
            <w:hideMark/>
          </w:tcPr>
          <w:p w:rsidR="00275CC4" w:rsidRPr="00E71412" w:rsidP="009F520A" w14:paraId="3C6C8EB9" w14:textId="77777777">
            <w:pPr>
              <w:widowControl/>
              <w:spacing w:after="0" w:line="240" w:lineRule="auto"/>
              <w:rPr>
                <w:rFonts w:eastAsia="Times New Roman"/>
              </w:rPr>
            </w:pPr>
            <w:r w:rsidRPr="00E71412">
              <w:rPr>
                <w:rFonts w:eastAsia="Times New Roman"/>
              </w:rPr>
              <w:t>Iesniegšanas pamatojums</w:t>
            </w:r>
          </w:p>
        </w:tc>
        <w:tc>
          <w:tcPr>
            <w:tcW w:w="2912" w:type="pct"/>
            <w:tcBorders>
              <w:top w:val="outset" w:sz="6" w:space="0" w:color="auto"/>
              <w:left w:val="outset" w:sz="6" w:space="0" w:color="auto"/>
              <w:bottom w:val="outset" w:sz="6" w:space="0" w:color="auto"/>
              <w:right w:val="outset" w:sz="6" w:space="0" w:color="auto"/>
            </w:tcBorders>
            <w:hideMark/>
          </w:tcPr>
          <w:p w:rsidR="00275CC4" w:rsidRPr="00E71412" w:rsidP="009F520A" w14:paraId="2BAC1B30" w14:textId="77777777">
            <w:pPr>
              <w:widowControl/>
              <w:spacing w:after="0" w:line="240" w:lineRule="auto"/>
              <w:jc w:val="both"/>
              <w:rPr>
                <w:rFonts w:eastAsia="Times New Roman"/>
              </w:rPr>
            </w:pPr>
            <w:r w:rsidRPr="00826B6D">
              <w:rPr>
                <w:bCs/>
              </w:rPr>
              <w:t>Ministru kabineta 2019.</w:t>
            </w:r>
            <w:r>
              <w:rPr>
                <w:bCs/>
              </w:rPr>
              <w:t> gada 15. janvāra sēdes protokollēmuma Nr. 2</w:t>
            </w:r>
            <w:r w:rsidRPr="00826B6D">
              <w:rPr>
                <w:bCs/>
              </w:rPr>
              <w:t xml:space="preserve"> 71.</w:t>
            </w:r>
            <w:r>
              <w:rPr>
                <w:bCs/>
              </w:rPr>
              <w:t> </w:t>
            </w:r>
            <w:r w:rsidRPr="00826B6D">
              <w:rPr>
                <w:bCs/>
              </w:rPr>
              <w:t>§ “Informatīvais ziņojums par iespējamiem risinājumiem nacionālās drošības interešu aizsardzīb</w:t>
            </w:r>
            <w:r>
              <w:rPr>
                <w:bCs/>
              </w:rPr>
              <w:t xml:space="preserve">as nodrošināšanai” </w:t>
            </w:r>
            <w:r w:rsidRPr="0036308E">
              <w:rPr>
                <w:rFonts w:eastAsia="Times New Roman"/>
                <w:bCs/>
                <w:iCs/>
                <w:color w:val="000000"/>
              </w:rPr>
              <w:t>3.1., 3.3., 3.4, 3.5., 3.6. un 3.7.</w:t>
            </w:r>
            <w:r>
              <w:rPr>
                <w:rFonts w:eastAsia="Times New Roman"/>
                <w:bCs/>
                <w:iCs/>
                <w:color w:val="000000"/>
              </w:rPr>
              <w:t> </w:t>
            </w:r>
            <w:r>
              <w:rPr>
                <w:bCs/>
              </w:rPr>
              <w:t>apakšpunkts.</w:t>
            </w:r>
          </w:p>
        </w:tc>
      </w:tr>
      <w:tr w14:paraId="4366489E" w14:textId="77777777" w:rsidTr="009F520A">
        <w:tblPrEx>
          <w:tblW w:w="5000" w:type="pct"/>
          <w:tblCellSpacing w:w="15" w:type="dxa"/>
          <w:tblCellMar>
            <w:top w:w="30" w:type="dxa"/>
            <w:left w:w="30" w:type="dxa"/>
            <w:bottom w:w="30" w:type="dxa"/>
            <w:right w:w="30" w:type="dxa"/>
          </w:tblCellMar>
          <w:tblLook w:val="04A0"/>
        </w:tblPrEx>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275CC4" w:rsidRPr="00E71412" w:rsidP="009F520A" w14:paraId="65601D85" w14:textId="77777777">
            <w:pPr>
              <w:widowControl/>
              <w:spacing w:after="0" w:line="240" w:lineRule="auto"/>
              <w:rPr>
                <w:rFonts w:eastAsia="Times New Roman"/>
              </w:rPr>
            </w:pPr>
            <w:r w:rsidRPr="00E71412">
              <w:rPr>
                <w:rFonts w:eastAsia="Times New Roman"/>
              </w:rPr>
              <w:t>2.</w:t>
            </w:r>
          </w:p>
        </w:tc>
        <w:tc>
          <w:tcPr>
            <w:tcW w:w="1579" w:type="pct"/>
            <w:tcBorders>
              <w:top w:val="outset" w:sz="6" w:space="0" w:color="auto"/>
              <w:left w:val="outset" w:sz="6" w:space="0" w:color="auto"/>
              <w:bottom w:val="outset" w:sz="6" w:space="0" w:color="auto"/>
              <w:right w:val="outset" w:sz="6" w:space="0" w:color="auto"/>
            </w:tcBorders>
            <w:hideMark/>
          </w:tcPr>
          <w:p w:rsidR="00275CC4" w:rsidRPr="00E71412" w:rsidP="009F520A" w14:paraId="33597353" w14:textId="77777777">
            <w:pPr>
              <w:widowControl/>
              <w:spacing w:after="0" w:line="240" w:lineRule="auto"/>
              <w:rPr>
                <w:rFonts w:eastAsia="Times New Roman"/>
              </w:rPr>
            </w:pPr>
            <w:r w:rsidRPr="00E71412">
              <w:rPr>
                <w:rFonts w:eastAsia="Times New Roman"/>
              </w:rPr>
              <w:t>Valsts sekretāru sanāksmes datums un numurs</w:t>
            </w:r>
          </w:p>
        </w:tc>
        <w:tc>
          <w:tcPr>
            <w:tcW w:w="2912" w:type="pct"/>
            <w:tcBorders>
              <w:top w:val="outset" w:sz="6" w:space="0" w:color="auto"/>
              <w:left w:val="outset" w:sz="6" w:space="0" w:color="auto"/>
              <w:bottom w:val="outset" w:sz="6" w:space="0" w:color="auto"/>
              <w:right w:val="outset" w:sz="6" w:space="0" w:color="auto"/>
            </w:tcBorders>
            <w:hideMark/>
          </w:tcPr>
          <w:p w:rsidR="00275CC4" w:rsidP="009F520A" w14:paraId="09AA023C" w14:textId="77777777">
            <w:pPr>
              <w:widowControl/>
              <w:spacing w:after="0" w:line="240" w:lineRule="auto"/>
              <w:jc w:val="both"/>
              <w:rPr>
                <w:rFonts w:asciiTheme="majorBidi" w:eastAsiaTheme="minorHAnsi" w:hAnsiTheme="majorBidi" w:cstheme="majorBidi"/>
                <w:lang w:eastAsia="en-US"/>
              </w:rPr>
            </w:pPr>
            <w:r>
              <w:rPr>
                <w:rFonts w:asciiTheme="majorBidi" w:eastAsiaTheme="minorHAnsi" w:hAnsiTheme="majorBidi" w:cstheme="majorBidi"/>
                <w:lang w:eastAsia="en-US"/>
              </w:rPr>
              <w:t>2019. gada 23. maija Valsts sekretāru sanāksmes protokols Nr. 20, 1. </w:t>
            </w:r>
            <w:r w:rsidRPr="009D041D">
              <w:rPr>
                <w:rFonts w:asciiTheme="majorBidi" w:eastAsiaTheme="minorHAnsi" w:hAnsiTheme="majorBidi" w:cstheme="majorBidi"/>
                <w:lang w:eastAsia="en-US"/>
              </w:rPr>
              <w:t>§</w:t>
            </w:r>
            <w:r>
              <w:rPr>
                <w:rFonts w:asciiTheme="majorBidi" w:eastAsiaTheme="minorHAnsi" w:hAnsiTheme="majorBidi" w:cstheme="majorBidi"/>
                <w:lang w:eastAsia="en-US"/>
              </w:rPr>
              <w:t xml:space="preserve"> “Likumprojekts “Grozījumi Nacionālās drošības likumā”” (VSS-449); </w:t>
            </w:r>
          </w:p>
          <w:p w:rsidR="00275CC4" w:rsidP="009F520A" w14:paraId="5A246B6C" w14:textId="77777777">
            <w:pPr>
              <w:widowControl/>
              <w:spacing w:after="0" w:line="240" w:lineRule="auto"/>
              <w:jc w:val="both"/>
              <w:rPr>
                <w:rFonts w:asciiTheme="majorBidi" w:eastAsiaTheme="minorHAnsi" w:hAnsiTheme="majorBidi" w:cstheme="majorBidi"/>
                <w:lang w:eastAsia="en-US"/>
              </w:rPr>
            </w:pPr>
            <w:r>
              <w:rPr>
                <w:rFonts w:asciiTheme="majorBidi" w:eastAsiaTheme="minorHAnsi" w:hAnsiTheme="majorBidi" w:cstheme="majorBidi"/>
                <w:lang w:eastAsia="en-US"/>
              </w:rPr>
              <w:t xml:space="preserve">2019. gada </w:t>
            </w:r>
            <w:r w:rsidRPr="009D041D">
              <w:rPr>
                <w:rFonts w:asciiTheme="majorBidi" w:eastAsiaTheme="minorHAnsi" w:hAnsiTheme="majorBidi" w:cstheme="majorBidi"/>
                <w:lang w:eastAsia="en-US"/>
              </w:rPr>
              <w:t>23.</w:t>
            </w:r>
            <w:r>
              <w:rPr>
                <w:rFonts w:asciiTheme="majorBidi" w:eastAsiaTheme="minorHAnsi" w:hAnsiTheme="majorBidi" w:cstheme="majorBidi"/>
                <w:lang w:eastAsia="en-US"/>
              </w:rPr>
              <w:t> </w:t>
            </w:r>
            <w:r w:rsidRPr="009D041D">
              <w:rPr>
                <w:rFonts w:asciiTheme="majorBidi" w:eastAsiaTheme="minorHAnsi" w:hAnsiTheme="majorBidi" w:cstheme="majorBidi"/>
                <w:lang w:eastAsia="en-US"/>
              </w:rPr>
              <w:t>maija Valsts sekret</w:t>
            </w:r>
            <w:r>
              <w:rPr>
                <w:rFonts w:asciiTheme="majorBidi" w:eastAsiaTheme="minorHAnsi" w:hAnsiTheme="majorBidi" w:cstheme="majorBidi"/>
                <w:lang w:eastAsia="en-US"/>
              </w:rPr>
              <w:t>āru sanāksmes protokols Nr. 20, 2</w:t>
            </w:r>
            <w:r w:rsidRPr="009D041D">
              <w:rPr>
                <w:rFonts w:asciiTheme="majorBidi" w:eastAsiaTheme="minorHAnsi" w:hAnsiTheme="majorBidi" w:cstheme="majorBidi"/>
                <w:lang w:eastAsia="en-US"/>
              </w:rPr>
              <w:t>.</w:t>
            </w:r>
            <w:r>
              <w:rPr>
                <w:rFonts w:asciiTheme="majorBidi" w:eastAsiaTheme="minorHAnsi" w:hAnsiTheme="majorBidi" w:cstheme="majorBidi"/>
                <w:lang w:eastAsia="en-US"/>
              </w:rPr>
              <w:t> </w:t>
            </w:r>
            <w:r w:rsidRPr="009D041D">
              <w:rPr>
                <w:rFonts w:asciiTheme="majorBidi" w:eastAsiaTheme="minorHAnsi" w:hAnsiTheme="majorBidi" w:cstheme="majorBidi"/>
                <w:lang w:eastAsia="en-US"/>
              </w:rPr>
              <w:t xml:space="preserve">§ </w:t>
            </w:r>
            <w:r>
              <w:rPr>
                <w:rFonts w:asciiTheme="majorBidi" w:eastAsiaTheme="minorHAnsi" w:hAnsiTheme="majorBidi" w:cstheme="majorBidi"/>
                <w:lang w:eastAsia="en-US"/>
              </w:rPr>
              <w:t>“</w:t>
            </w:r>
            <w:r w:rsidRPr="009D041D">
              <w:rPr>
                <w:rFonts w:asciiTheme="majorBidi" w:eastAsiaTheme="minorHAnsi" w:hAnsiTheme="majorBidi" w:cstheme="majorBidi"/>
                <w:lang w:eastAsia="en-US"/>
              </w:rPr>
              <w:t>Likumprojekts</w:t>
            </w:r>
            <w:r>
              <w:rPr>
                <w:rFonts w:asciiTheme="majorBidi" w:eastAsiaTheme="minorHAnsi" w:hAnsiTheme="majorBidi" w:cstheme="majorBidi"/>
                <w:lang w:eastAsia="en-US"/>
              </w:rPr>
              <w:t xml:space="preserve"> “Grozījumi Aizsargjoslu likumā”” (VSS-450).</w:t>
            </w:r>
          </w:p>
          <w:p w:rsidR="00275CC4" w:rsidRPr="00E71412" w:rsidP="009F520A" w14:paraId="4239EDD8" w14:textId="77777777">
            <w:pPr>
              <w:widowControl/>
              <w:spacing w:after="0" w:line="240" w:lineRule="auto"/>
              <w:jc w:val="both"/>
              <w:rPr>
                <w:rFonts w:eastAsia="Times New Roman"/>
              </w:rPr>
            </w:pPr>
          </w:p>
        </w:tc>
      </w:tr>
      <w:tr w14:paraId="0A11E265" w14:textId="77777777" w:rsidTr="009F520A">
        <w:tblPrEx>
          <w:tblW w:w="5000" w:type="pct"/>
          <w:tblCellSpacing w:w="15" w:type="dxa"/>
          <w:tblCellMar>
            <w:top w:w="30" w:type="dxa"/>
            <w:left w:w="30" w:type="dxa"/>
            <w:bottom w:w="30" w:type="dxa"/>
            <w:right w:w="30" w:type="dxa"/>
          </w:tblCellMar>
          <w:tblLook w:val="04A0"/>
        </w:tblPrEx>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275CC4" w:rsidRPr="00E71412" w:rsidP="009F520A" w14:paraId="45FCA45F" w14:textId="77777777">
            <w:pPr>
              <w:widowControl/>
              <w:spacing w:after="0" w:line="240" w:lineRule="auto"/>
              <w:rPr>
                <w:rFonts w:eastAsia="Times New Roman"/>
              </w:rPr>
            </w:pPr>
            <w:r w:rsidRPr="00E71412">
              <w:rPr>
                <w:rFonts w:eastAsia="Times New Roman"/>
              </w:rPr>
              <w:t>3.</w:t>
            </w:r>
          </w:p>
        </w:tc>
        <w:tc>
          <w:tcPr>
            <w:tcW w:w="1579" w:type="pct"/>
            <w:tcBorders>
              <w:top w:val="outset" w:sz="6" w:space="0" w:color="auto"/>
              <w:left w:val="outset" w:sz="6" w:space="0" w:color="auto"/>
              <w:bottom w:val="outset" w:sz="6" w:space="0" w:color="auto"/>
              <w:right w:val="outset" w:sz="6" w:space="0" w:color="auto"/>
            </w:tcBorders>
            <w:hideMark/>
          </w:tcPr>
          <w:p w:rsidR="00275CC4" w:rsidRPr="00E71412" w:rsidP="009F520A" w14:paraId="083ABB97" w14:textId="77777777">
            <w:pPr>
              <w:widowControl/>
              <w:spacing w:after="0" w:line="240" w:lineRule="auto"/>
              <w:rPr>
                <w:rFonts w:eastAsia="Times New Roman"/>
              </w:rPr>
            </w:pPr>
            <w:r w:rsidRPr="00E71412">
              <w:rPr>
                <w:rFonts w:eastAsia="Times New Roman"/>
              </w:rPr>
              <w:t>Informācija par saskaņojumiem</w:t>
            </w:r>
          </w:p>
        </w:tc>
        <w:tc>
          <w:tcPr>
            <w:tcW w:w="2912" w:type="pct"/>
            <w:tcBorders>
              <w:top w:val="outset" w:sz="6" w:space="0" w:color="auto"/>
              <w:left w:val="outset" w:sz="6" w:space="0" w:color="auto"/>
              <w:bottom w:val="outset" w:sz="6" w:space="0" w:color="auto"/>
              <w:right w:val="outset" w:sz="6" w:space="0" w:color="auto"/>
            </w:tcBorders>
            <w:hideMark/>
          </w:tcPr>
          <w:p w:rsidR="00195C34" w:rsidP="00195C34" w14:paraId="329DD54C" w14:textId="4D3B915F">
            <w:pPr>
              <w:widowControl/>
              <w:spacing w:after="0" w:line="240" w:lineRule="auto"/>
              <w:jc w:val="both"/>
              <w:rPr>
                <w:rFonts w:eastAsia="Times New Roman"/>
                <w:iCs/>
              </w:rPr>
            </w:pPr>
            <w:r>
              <w:rPr>
                <w:rFonts w:eastAsia="Times New Roman"/>
                <w:iCs/>
              </w:rPr>
              <w:t>2019. gada 9. jūlijā</w:t>
            </w:r>
            <w:r>
              <w:t xml:space="preserve"> </w:t>
            </w:r>
            <w:r w:rsidRPr="00195C34">
              <w:rPr>
                <w:rFonts w:eastAsia="Times New Roman"/>
                <w:iCs/>
              </w:rPr>
              <w:t>Ministru kabineta sēdes protokollēmuma projekts tika nosūtīts</w:t>
            </w:r>
            <w:r>
              <w:rPr>
                <w:rFonts w:eastAsia="Times New Roman"/>
                <w:iCs/>
              </w:rPr>
              <w:t xml:space="preserve"> saskaņošanai un atzinumu sniegšanai </w:t>
            </w:r>
            <w:r w:rsidRPr="00195C34">
              <w:rPr>
                <w:rFonts w:eastAsia="Times New Roman"/>
                <w:iCs/>
              </w:rPr>
              <w:t>M</w:t>
            </w:r>
            <w:r>
              <w:rPr>
                <w:rFonts w:eastAsia="Times New Roman"/>
                <w:iCs/>
              </w:rPr>
              <w:t>inistru kabineta 2019. gada 15. </w:t>
            </w:r>
            <w:r w:rsidRPr="00195C34">
              <w:rPr>
                <w:rFonts w:eastAsia="Times New Roman"/>
                <w:iCs/>
              </w:rPr>
              <w:t xml:space="preserve">janvāra sēdes protokollēmuma Nr. 2 71. § </w:t>
            </w:r>
            <w:r w:rsidRPr="00195C34">
              <w:rPr>
                <w:rFonts w:eastAsia="Times New Roman"/>
                <w:iCs/>
              </w:rPr>
              <w:t>“Informatīvais ziņojums par iespējamiem risinājumiem nacionālās drošības interešu aizsardzības nodrošināšanai” 3. punktā minētajām ministrijām – Ekonomikas ministrijai, Kultūras ministrijai, Izglītības un zinātnes ministrijai, Vides aizsardzības un reģionālās attīstības ministrijai, Finanšu ministrijai un Veselības ministrijai, kā arī Ārlietu mini</w:t>
            </w:r>
            <w:r>
              <w:rPr>
                <w:rFonts w:eastAsia="Times New Roman"/>
                <w:iCs/>
              </w:rPr>
              <w:t>strijai, Tieslietu ministrijai</w:t>
            </w:r>
            <w:r w:rsidRPr="00195C34">
              <w:rPr>
                <w:rFonts w:eastAsia="Times New Roman"/>
                <w:iCs/>
              </w:rPr>
              <w:t xml:space="preserve"> un Satiksmes ministrijai.</w:t>
            </w:r>
            <w:r>
              <w:rPr>
                <w:rFonts w:eastAsia="Times New Roman"/>
                <w:iCs/>
              </w:rPr>
              <w:t xml:space="preserve"> Tika saņemti atzinumi no visām minētajām ministrijām, kā arī no Zemkopības ministrijas, ka protokollēmuma projekta tālākā virzība tiek </w:t>
            </w:r>
            <w:r w:rsidRPr="00195C34">
              <w:rPr>
                <w:rFonts w:eastAsia="Times New Roman"/>
                <w:iCs/>
              </w:rPr>
              <w:t>atbalst</w:t>
            </w:r>
            <w:r>
              <w:rPr>
                <w:rFonts w:eastAsia="Times New Roman"/>
                <w:iCs/>
              </w:rPr>
              <w:t>īta</w:t>
            </w:r>
            <w:r w:rsidRPr="00195C34">
              <w:rPr>
                <w:rFonts w:eastAsia="Times New Roman"/>
                <w:iCs/>
              </w:rPr>
              <w:t xml:space="preserve"> bez iebildumiem</w:t>
            </w:r>
            <w:r>
              <w:rPr>
                <w:rFonts w:eastAsia="Times New Roman"/>
                <w:iCs/>
              </w:rPr>
              <w:t>.</w:t>
            </w:r>
          </w:p>
          <w:p w:rsidR="00195C34" w:rsidP="00195C34" w14:paraId="02AE3EFE" w14:textId="74097B61">
            <w:pPr>
              <w:widowControl/>
              <w:spacing w:after="0" w:line="240" w:lineRule="auto"/>
              <w:jc w:val="both"/>
              <w:rPr>
                <w:rFonts w:eastAsia="Times New Roman"/>
                <w:iCs/>
              </w:rPr>
            </w:pPr>
            <w:r>
              <w:rPr>
                <w:rFonts w:eastAsia="Times New Roman"/>
                <w:iCs/>
              </w:rPr>
              <w:t xml:space="preserve">Pēc 2019. gada 31. jūlijā notikušās starpministriju sanāksmes </w:t>
            </w:r>
            <w:r w:rsidRPr="00195C34">
              <w:rPr>
                <w:rFonts w:eastAsia="Times New Roman"/>
                <w:iCs/>
              </w:rPr>
              <w:t>Ministru kabineta sēdes protokollēmuma projekts</w:t>
            </w:r>
            <w:r>
              <w:rPr>
                <w:rFonts w:eastAsia="Times New Roman"/>
                <w:iCs/>
              </w:rPr>
              <w:t xml:space="preserve"> tika nosūtīts otrreizējai saskaņošanai </w:t>
            </w:r>
            <w:r w:rsidRPr="00195C34">
              <w:rPr>
                <w:rFonts w:eastAsia="Times New Roman"/>
                <w:iCs/>
              </w:rPr>
              <w:t>Ekonomikas ministrijai, Kultūras ministrijai, Izglītības un zinātnes ministrijai, Vides aizsardzības un reģionālās attīstības ministrijai, Finanšu ministrijai un Veselības ministrijai, kā arī Ārlietu ministrijai, Tieslietu ministrijai, Zemkopības ministrijai un Satiksmes ministrijai.</w:t>
            </w:r>
            <w:r>
              <w:rPr>
                <w:rFonts w:eastAsia="Times New Roman"/>
                <w:iCs/>
              </w:rPr>
              <w:t xml:space="preserve"> Tika saņemti atzinumi no Ārlietu ministrijas</w:t>
            </w:r>
            <w:r w:rsidR="00656E81">
              <w:rPr>
                <w:rFonts w:eastAsia="Times New Roman"/>
                <w:iCs/>
              </w:rPr>
              <w:t xml:space="preserve">, Ekonomikas ministrijas, Finanšu ministrijas, Kultūras ministrijas, Satiksmes ministrijas, Tieslietu ministrijas un </w:t>
            </w:r>
            <w:r w:rsidRPr="00656E81" w:rsidR="00656E81">
              <w:rPr>
                <w:rFonts w:eastAsia="Times New Roman"/>
                <w:iCs/>
              </w:rPr>
              <w:t>Vides aizsardzības un r</w:t>
            </w:r>
            <w:r w:rsidR="00656E81">
              <w:rPr>
                <w:rFonts w:eastAsia="Times New Roman"/>
                <w:iCs/>
              </w:rPr>
              <w:t>eģionālās attīstības ministrijas. Minētās ministrijas atbalstīja</w:t>
            </w:r>
            <w:r w:rsidRPr="00656E81" w:rsidR="00656E81">
              <w:rPr>
                <w:rFonts w:eastAsia="Times New Roman"/>
                <w:iCs/>
              </w:rPr>
              <w:t xml:space="preserve"> projekta tālāku virzību bez iebildumiem</w:t>
            </w:r>
            <w:r w:rsidR="00656E81">
              <w:rPr>
                <w:rFonts w:eastAsia="Times New Roman"/>
                <w:iCs/>
              </w:rPr>
              <w:t>.</w:t>
            </w:r>
          </w:p>
          <w:p w:rsidR="00275CC4" w:rsidRPr="001A1CFC" w:rsidP="00195C34" w14:paraId="503B329F" w14:textId="0D6CDE71">
            <w:pPr>
              <w:widowControl/>
              <w:spacing w:after="0" w:line="240" w:lineRule="auto"/>
              <w:jc w:val="both"/>
              <w:rPr>
                <w:rFonts w:eastAsia="Times New Roman"/>
                <w:bCs/>
                <w:iCs/>
              </w:rPr>
            </w:pPr>
          </w:p>
        </w:tc>
      </w:tr>
      <w:tr w14:paraId="71604E6E" w14:textId="77777777" w:rsidTr="009F520A">
        <w:tblPrEx>
          <w:tblW w:w="5000" w:type="pct"/>
          <w:tblCellSpacing w:w="15" w:type="dxa"/>
          <w:tblCellMar>
            <w:top w:w="30" w:type="dxa"/>
            <w:left w:w="30" w:type="dxa"/>
            <w:bottom w:w="30" w:type="dxa"/>
            <w:right w:w="30" w:type="dxa"/>
          </w:tblCellMar>
          <w:tblLook w:val="04A0"/>
        </w:tblPrEx>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275CC4" w:rsidRPr="00E71412" w:rsidP="009F520A" w14:paraId="6B26EDFE" w14:textId="77777777">
            <w:pPr>
              <w:widowControl/>
              <w:spacing w:after="0" w:line="240" w:lineRule="auto"/>
              <w:rPr>
                <w:rFonts w:eastAsia="Times New Roman"/>
              </w:rPr>
            </w:pPr>
            <w:r w:rsidRPr="00E71412">
              <w:rPr>
                <w:rFonts w:eastAsia="Times New Roman"/>
              </w:rPr>
              <w:t>4.</w:t>
            </w:r>
          </w:p>
        </w:tc>
        <w:tc>
          <w:tcPr>
            <w:tcW w:w="1579" w:type="pct"/>
            <w:tcBorders>
              <w:top w:val="outset" w:sz="6" w:space="0" w:color="auto"/>
              <w:left w:val="outset" w:sz="6" w:space="0" w:color="auto"/>
              <w:bottom w:val="outset" w:sz="6" w:space="0" w:color="auto"/>
              <w:right w:val="outset" w:sz="6" w:space="0" w:color="auto"/>
            </w:tcBorders>
            <w:hideMark/>
          </w:tcPr>
          <w:p w:rsidR="00275CC4" w:rsidRPr="00E71412" w:rsidP="009F520A" w14:paraId="4F85170B" w14:textId="77777777">
            <w:pPr>
              <w:widowControl/>
              <w:spacing w:after="0" w:line="240" w:lineRule="auto"/>
              <w:rPr>
                <w:rFonts w:eastAsia="Times New Roman"/>
              </w:rPr>
            </w:pPr>
            <w:r w:rsidRPr="00E71412">
              <w:rPr>
                <w:rFonts w:eastAsia="Times New Roman"/>
              </w:rPr>
              <w:t>Informācija par saskaņojumu ar Eiropas Savienības institūcijām</w:t>
            </w:r>
          </w:p>
        </w:tc>
        <w:tc>
          <w:tcPr>
            <w:tcW w:w="2912" w:type="pct"/>
            <w:tcBorders>
              <w:top w:val="outset" w:sz="6" w:space="0" w:color="auto"/>
              <w:left w:val="outset" w:sz="6" w:space="0" w:color="auto"/>
              <w:bottom w:val="outset" w:sz="6" w:space="0" w:color="auto"/>
              <w:right w:val="outset" w:sz="6" w:space="0" w:color="auto"/>
            </w:tcBorders>
            <w:hideMark/>
          </w:tcPr>
          <w:p w:rsidR="00275CC4" w:rsidRPr="00E71412" w:rsidP="009F520A" w14:paraId="3FD1DEE2" w14:textId="77777777">
            <w:pPr>
              <w:widowControl/>
              <w:spacing w:before="100" w:beforeAutospacing="1" w:after="100" w:afterAutospacing="1" w:line="240" w:lineRule="auto"/>
              <w:rPr>
                <w:rFonts w:eastAsia="Times New Roman"/>
                <w:i/>
                <w:iCs/>
              </w:rPr>
            </w:pPr>
            <w:r>
              <w:rPr>
                <w:rFonts w:eastAsia="Times New Roman"/>
                <w:iCs/>
              </w:rPr>
              <w:t>Nav attiecināms.</w:t>
            </w:r>
          </w:p>
        </w:tc>
      </w:tr>
      <w:tr w14:paraId="56A53BF6" w14:textId="77777777" w:rsidTr="009F520A">
        <w:tblPrEx>
          <w:tblW w:w="5000" w:type="pct"/>
          <w:tblCellSpacing w:w="15" w:type="dxa"/>
          <w:tblCellMar>
            <w:top w:w="30" w:type="dxa"/>
            <w:left w:w="30" w:type="dxa"/>
            <w:bottom w:w="30" w:type="dxa"/>
            <w:right w:w="30" w:type="dxa"/>
          </w:tblCellMar>
          <w:tblLook w:val="04A0"/>
        </w:tblPrEx>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275CC4" w:rsidRPr="00E71412" w:rsidP="009F520A" w14:paraId="16ADB2FF" w14:textId="77777777">
            <w:pPr>
              <w:widowControl/>
              <w:spacing w:after="0" w:line="240" w:lineRule="auto"/>
              <w:rPr>
                <w:rFonts w:eastAsia="Times New Roman"/>
              </w:rPr>
            </w:pPr>
            <w:r w:rsidRPr="00E71412">
              <w:rPr>
                <w:rFonts w:eastAsia="Times New Roman"/>
              </w:rPr>
              <w:t>5.</w:t>
            </w:r>
          </w:p>
        </w:tc>
        <w:tc>
          <w:tcPr>
            <w:tcW w:w="1579" w:type="pct"/>
            <w:tcBorders>
              <w:top w:val="outset" w:sz="6" w:space="0" w:color="auto"/>
              <w:left w:val="outset" w:sz="6" w:space="0" w:color="auto"/>
              <w:bottom w:val="outset" w:sz="6" w:space="0" w:color="auto"/>
              <w:right w:val="outset" w:sz="6" w:space="0" w:color="auto"/>
            </w:tcBorders>
            <w:hideMark/>
          </w:tcPr>
          <w:p w:rsidR="00275CC4" w:rsidRPr="00E71412" w:rsidP="009F520A" w14:paraId="20B89CCE" w14:textId="77777777">
            <w:pPr>
              <w:widowControl/>
              <w:spacing w:after="0" w:line="240" w:lineRule="auto"/>
              <w:rPr>
                <w:rFonts w:eastAsia="Times New Roman"/>
              </w:rPr>
            </w:pPr>
            <w:r w:rsidRPr="00E71412">
              <w:rPr>
                <w:rFonts w:eastAsia="Times New Roman"/>
              </w:rPr>
              <w:t>Politikas joma</w:t>
            </w:r>
          </w:p>
        </w:tc>
        <w:tc>
          <w:tcPr>
            <w:tcW w:w="2912" w:type="pct"/>
            <w:tcBorders>
              <w:top w:val="outset" w:sz="6" w:space="0" w:color="auto"/>
              <w:left w:val="outset" w:sz="6" w:space="0" w:color="auto"/>
              <w:bottom w:val="outset" w:sz="6" w:space="0" w:color="auto"/>
              <w:right w:val="outset" w:sz="6" w:space="0" w:color="auto"/>
            </w:tcBorders>
            <w:hideMark/>
          </w:tcPr>
          <w:p w:rsidR="00275CC4" w:rsidRPr="00E71412" w:rsidP="009F520A" w14:paraId="65645F34" w14:textId="77777777">
            <w:pPr>
              <w:widowControl/>
              <w:spacing w:after="0" w:line="240" w:lineRule="auto"/>
              <w:rPr>
                <w:rFonts w:eastAsia="Times New Roman"/>
                <w:iCs/>
              </w:rPr>
            </w:pPr>
            <w:r w:rsidRPr="0097379F">
              <w:rPr>
                <w:rFonts w:eastAsia="Times New Roman"/>
                <w:iCs/>
              </w:rPr>
              <w:t>Aizsardzības politikas joma.</w:t>
            </w:r>
          </w:p>
        </w:tc>
      </w:tr>
      <w:tr w14:paraId="2AA920FF" w14:textId="77777777" w:rsidTr="009F520A">
        <w:tblPrEx>
          <w:tblW w:w="5000" w:type="pct"/>
          <w:tblCellSpacing w:w="15" w:type="dxa"/>
          <w:tblCellMar>
            <w:top w:w="30" w:type="dxa"/>
            <w:left w:w="30" w:type="dxa"/>
            <w:bottom w:w="30" w:type="dxa"/>
            <w:right w:w="30" w:type="dxa"/>
          </w:tblCellMar>
          <w:tblLook w:val="04A0"/>
        </w:tblPrEx>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275CC4" w:rsidRPr="00E71412" w:rsidP="009F520A" w14:paraId="1BFA1FB1" w14:textId="77777777">
            <w:pPr>
              <w:widowControl/>
              <w:spacing w:after="0" w:line="240" w:lineRule="auto"/>
              <w:rPr>
                <w:rFonts w:eastAsia="Times New Roman"/>
              </w:rPr>
            </w:pPr>
            <w:r w:rsidRPr="00E71412">
              <w:rPr>
                <w:rFonts w:eastAsia="Times New Roman"/>
              </w:rPr>
              <w:t>6.</w:t>
            </w:r>
          </w:p>
        </w:tc>
        <w:tc>
          <w:tcPr>
            <w:tcW w:w="1579" w:type="pct"/>
            <w:tcBorders>
              <w:top w:val="outset" w:sz="6" w:space="0" w:color="auto"/>
              <w:left w:val="outset" w:sz="6" w:space="0" w:color="auto"/>
              <w:bottom w:val="outset" w:sz="6" w:space="0" w:color="auto"/>
              <w:right w:val="outset" w:sz="6" w:space="0" w:color="auto"/>
            </w:tcBorders>
            <w:hideMark/>
          </w:tcPr>
          <w:p w:rsidR="00275CC4" w:rsidRPr="00E71412" w:rsidP="009F520A" w14:paraId="659E7C2D" w14:textId="77777777">
            <w:pPr>
              <w:widowControl/>
              <w:spacing w:after="0" w:line="240" w:lineRule="auto"/>
              <w:rPr>
                <w:rFonts w:eastAsia="Times New Roman"/>
              </w:rPr>
            </w:pPr>
            <w:r w:rsidRPr="00E71412">
              <w:rPr>
                <w:rFonts w:eastAsia="Times New Roman"/>
              </w:rPr>
              <w:t>Atbildīgā amatpersona</w:t>
            </w:r>
          </w:p>
        </w:tc>
        <w:tc>
          <w:tcPr>
            <w:tcW w:w="2912" w:type="pct"/>
            <w:tcBorders>
              <w:top w:val="outset" w:sz="6" w:space="0" w:color="auto"/>
              <w:left w:val="outset" w:sz="6" w:space="0" w:color="auto"/>
              <w:bottom w:val="outset" w:sz="6" w:space="0" w:color="auto"/>
              <w:right w:val="outset" w:sz="6" w:space="0" w:color="auto"/>
            </w:tcBorders>
            <w:hideMark/>
          </w:tcPr>
          <w:p w:rsidR="00275CC4" w:rsidRPr="00E71412" w:rsidP="009F520A" w14:paraId="0C0EB101" w14:textId="77777777">
            <w:pPr>
              <w:widowControl/>
              <w:spacing w:before="100" w:beforeAutospacing="1" w:after="100" w:afterAutospacing="1" w:line="240" w:lineRule="auto"/>
              <w:jc w:val="both"/>
              <w:rPr>
                <w:rFonts w:eastAsia="Times New Roman"/>
                <w:iCs/>
              </w:rPr>
            </w:pPr>
            <w:r>
              <w:rPr>
                <w:rFonts w:eastAsia="Times New Roman"/>
                <w:iCs/>
              </w:rPr>
              <w:t xml:space="preserve">Aizsardzības ministrijas </w:t>
            </w:r>
            <w:r w:rsidRPr="00826B6D">
              <w:rPr>
                <w:rFonts w:eastAsia="Times New Roman"/>
                <w:iCs/>
              </w:rPr>
              <w:t>Krīzes vadības departamenta Visaptverošas valsts aizsardzības ieviešanas koordinācijas nodaļas vadītājs Edgars Svarenieks</w:t>
            </w:r>
          </w:p>
        </w:tc>
      </w:tr>
      <w:tr w14:paraId="6C6BE671" w14:textId="77777777" w:rsidTr="009F520A">
        <w:tblPrEx>
          <w:tblW w:w="5000" w:type="pct"/>
          <w:tblCellSpacing w:w="15" w:type="dxa"/>
          <w:tblCellMar>
            <w:top w:w="30" w:type="dxa"/>
            <w:left w:w="30" w:type="dxa"/>
            <w:bottom w:w="30" w:type="dxa"/>
            <w:right w:w="30" w:type="dxa"/>
          </w:tblCellMar>
          <w:tblLook w:val="04A0"/>
        </w:tblPrEx>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275CC4" w:rsidRPr="00E71412" w:rsidP="009F520A" w14:paraId="3563A1DE" w14:textId="77777777">
            <w:pPr>
              <w:widowControl/>
              <w:spacing w:after="0" w:line="240" w:lineRule="auto"/>
              <w:rPr>
                <w:rFonts w:eastAsia="Times New Roman"/>
              </w:rPr>
            </w:pPr>
            <w:r w:rsidRPr="00E71412">
              <w:rPr>
                <w:rFonts w:eastAsia="Times New Roman"/>
              </w:rPr>
              <w:t>7.</w:t>
            </w:r>
          </w:p>
        </w:tc>
        <w:tc>
          <w:tcPr>
            <w:tcW w:w="1579" w:type="pct"/>
            <w:tcBorders>
              <w:top w:val="outset" w:sz="6" w:space="0" w:color="auto"/>
              <w:left w:val="outset" w:sz="6" w:space="0" w:color="auto"/>
              <w:bottom w:val="outset" w:sz="6" w:space="0" w:color="auto"/>
              <w:right w:val="outset" w:sz="6" w:space="0" w:color="auto"/>
            </w:tcBorders>
            <w:hideMark/>
          </w:tcPr>
          <w:p w:rsidR="00275CC4" w:rsidRPr="00E71412" w:rsidP="009F520A" w14:paraId="4A458336" w14:textId="77777777">
            <w:pPr>
              <w:widowControl/>
              <w:spacing w:after="0" w:line="240" w:lineRule="auto"/>
              <w:rPr>
                <w:rFonts w:eastAsia="Times New Roman"/>
              </w:rPr>
            </w:pPr>
            <w:r w:rsidRPr="00E71412">
              <w:rPr>
                <w:rFonts w:eastAsia="Times New Roman"/>
              </w:rPr>
              <w:t>Uzaicināmās personas</w:t>
            </w:r>
          </w:p>
        </w:tc>
        <w:tc>
          <w:tcPr>
            <w:tcW w:w="2912" w:type="pct"/>
            <w:tcBorders>
              <w:top w:val="outset" w:sz="6" w:space="0" w:color="auto"/>
              <w:left w:val="outset" w:sz="6" w:space="0" w:color="auto"/>
              <w:bottom w:val="outset" w:sz="6" w:space="0" w:color="auto"/>
              <w:right w:val="outset" w:sz="6" w:space="0" w:color="auto"/>
            </w:tcBorders>
            <w:hideMark/>
          </w:tcPr>
          <w:p w:rsidR="00275CC4" w:rsidRPr="009D041D" w:rsidP="009F520A" w14:paraId="67C785FB" w14:textId="77777777">
            <w:pPr>
              <w:widowControl/>
              <w:spacing w:after="0" w:line="240" w:lineRule="auto"/>
              <w:jc w:val="both"/>
              <w:rPr>
                <w:rFonts w:eastAsia="Times New Roman"/>
                <w:iCs/>
              </w:rPr>
            </w:pPr>
            <w:r w:rsidRPr="00826B6D">
              <w:rPr>
                <w:rFonts w:eastAsia="Times New Roman"/>
                <w:iCs/>
              </w:rPr>
              <w:t>Aizsardzības ministrijas</w:t>
            </w:r>
            <w:r>
              <w:rPr>
                <w:rFonts w:eastAsia="Times New Roman"/>
                <w:iCs/>
              </w:rPr>
              <w:t xml:space="preserve"> </w:t>
            </w:r>
            <w:r w:rsidRPr="00826B6D">
              <w:rPr>
                <w:rFonts w:eastAsia="Times New Roman"/>
                <w:iCs/>
              </w:rPr>
              <w:t>Krīzes vadības departamenta Visaptverošas valsts aizsardzības ieviešanas koordinācijas nodaļas vadītājs Edgars Svarenieks</w:t>
            </w:r>
          </w:p>
        </w:tc>
      </w:tr>
      <w:tr w14:paraId="18A2AC6A" w14:textId="77777777" w:rsidTr="009F520A">
        <w:tblPrEx>
          <w:tblW w:w="5000" w:type="pct"/>
          <w:tblCellSpacing w:w="15" w:type="dxa"/>
          <w:tblCellMar>
            <w:top w:w="30" w:type="dxa"/>
            <w:left w:w="30" w:type="dxa"/>
            <w:bottom w:w="30" w:type="dxa"/>
            <w:right w:w="30" w:type="dxa"/>
          </w:tblCellMar>
          <w:tblLook w:val="04A0"/>
        </w:tblPrEx>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275CC4" w:rsidRPr="00E71412" w:rsidP="009F520A" w14:paraId="02746B59" w14:textId="77777777">
            <w:pPr>
              <w:widowControl/>
              <w:spacing w:after="0" w:line="240" w:lineRule="auto"/>
              <w:rPr>
                <w:rFonts w:eastAsia="Times New Roman"/>
              </w:rPr>
            </w:pPr>
            <w:r w:rsidRPr="00E71412">
              <w:rPr>
                <w:rFonts w:eastAsia="Times New Roman"/>
              </w:rPr>
              <w:t>8.</w:t>
            </w:r>
          </w:p>
        </w:tc>
        <w:tc>
          <w:tcPr>
            <w:tcW w:w="1579" w:type="pct"/>
            <w:tcBorders>
              <w:top w:val="outset" w:sz="6" w:space="0" w:color="auto"/>
              <w:left w:val="outset" w:sz="6" w:space="0" w:color="auto"/>
              <w:bottom w:val="outset" w:sz="6" w:space="0" w:color="auto"/>
              <w:right w:val="outset" w:sz="6" w:space="0" w:color="auto"/>
            </w:tcBorders>
            <w:hideMark/>
          </w:tcPr>
          <w:p w:rsidR="00275CC4" w:rsidRPr="00E71412" w:rsidP="009F520A" w14:paraId="4746F732" w14:textId="77777777">
            <w:pPr>
              <w:widowControl/>
              <w:spacing w:after="0" w:line="240" w:lineRule="auto"/>
              <w:rPr>
                <w:rFonts w:eastAsia="Times New Roman"/>
              </w:rPr>
            </w:pPr>
            <w:r w:rsidRPr="00E71412">
              <w:rPr>
                <w:rFonts w:eastAsia="Times New Roman"/>
              </w:rPr>
              <w:t>Projekta ierobežotas pieejamības statuss</w:t>
            </w:r>
          </w:p>
        </w:tc>
        <w:tc>
          <w:tcPr>
            <w:tcW w:w="2912" w:type="pct"/>
            <w:tcBorders>
              <w:top w:val="outset" w:sz="6" w:space="0" w:color="auto"/>
              <w:left w:val="outset" w:sz="6" w:space="0" w:color="auto"/>
              <w:bottom w:val="outset" w:sz="6" w:space="0" w:color="auto"/>
              <w:right w:val="outset" w:sz="6" w:space="0" w:color="auto"/>
            </w:tcBorders>
            <w:hideMark/>
          </w:tcPr>
          <w:p w:rsidR="00275CC4" w:rsidRPr="00E71412" w:rsidP="009F520A" w14:paraId="0886060C" w14:textId="77777777">
            <w:pPr>
              <w:widowControl/>
              <w:spacing w:before="100" w:beforeAutospacing="1" w:after="100" w:afterAutospacing="1" w:line="240" w:lineRule="auto"/>
              <w:rPr>
                <w:rFonts w:eastAsia="Times New Roman"/>
                <w:iCs/>
              </w:rPr>
            </w:pPr>
            <w:r w:rsidRPr="0097379F">
              <w:rPr>
                <w:rFonts w:eastAsia="Times New Roman"/>
                <w:iCs/>
              </w:rPr>
              <w:t>Nav noteikts ierobežotas pieejamības statuss.</w:t>
            </w:r>
          </w:p>
        </w:tc>
      </w:tr>
      <w:tr w14:paraId="3013242E" w14:textId="77777777" w:rsidTr="009F520A">
        <w:tblPrEx>
          <w:tblW w:w="5000" w:type="pct"/>
          <w:tblCellSpacing w:w="15" w:type="dxa"/>
          <w:tblCellMar>
            <w:top w:w="30" w:type="dxa"/>
            <w:left w:w="30" w:type="dxa"/>
            <w:bottom w:w="30" w:type="dxa"/>
            <w:right w:w="30" w:type="dxa"/>
          </w:tblCellMar>
          <w:tblLook w:val="04A0"/>
        </w:tblPrEx>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275CC4" w:rsidRPr="00E71412" w:rsidP="009F520A" w14:paraId="33BD1EDF" w14:textId="77777777">
            <w:pPr>
              <w:widowControl/>
              <w:spacing w:after="0" w:line="240" w:lineRule="auto"/>
              <w:rPr>
                <w:rFonts w:eastAsia="Times New Roman"/>
              </w:rPr>
            </w:pPr>
            <w:r w:rsidRPr="00E71412">
              <w:rPr>
                <w:rFonts w:eastAsia="Times New Roman"/>
              </w:rPr>
              <w:t>9.</w:t>
            </w:r>
          </w:p>
        </w:tc>
        <w:tc>
          <w:tcPr>
            <w:tcW w:w="1579" w:type="pct"/>
            <w:tcBorders>
              <w:top w:val="outset" w:sz="6" w:space="0" w:color="auto"/>
              <w:left w:val="outset" w:sz="6" w:space="0" w:color="auto"/>
              <w:bottom w:val="outset" w:sz="6" w:space="0" w:color="auto"/>
              <w:right w:val="outset" w:sz="6" w:space="0" w:color="auto"/>
            </w:tcBorders>
            <w:hideMark/>
          </w:tcPr>
          <w:p w:rsidR="00275CC4" w:rsidRPr="00E71412" w:rsidP="009F520A" w14:paraId="79562BF9" w14:textId="77777777">
            <w:pPr>
              <w:widowControl/>
              <w:spacing w:after="0" w:line="240" w:lineRule="auto"/>
              <w:rPr>
                <w:rFonts w:eastAsia="Times New Roman"/>
              </w:rPr>
            </w:pPr>
            <w:r w:rsidRPr="00E71412">
              <w:rPr>
                <w:rFonts w:eastAsia="Times New Roman"/>
              </w:rPr>
              <w:t>Cita informācija</w:t>
            </w:r>
          </w:p>
        </w:tc>
        <w:tc>
          <w:tcPr>
            <w:tcW w:w="2912" w:type="pct"/>
            <w:tcBorders>
              <w:top w:val="outset" w:sz="6" w:space="0" w:color="auto"/>
              <w:left w:val="outset" w:sz="6" w:space="0" w:color="auto"/>
              <w:bottom w:val="outset" w:sz="6" w:space="0" w:color="auto"/>
              <w:right w:val="outset" w:sz="6" w:space="0" w:color="auto"/>
            </w:tcBorders>
            <w:hideMark/>
          </w:tcPr>
          <w:p w:rsidR="00275CC4" w:rsidP="009F520A" w14:paraId="79E1DCED" w14:textId="77777777">
            <w:pPr>
              <w:spacing w:after="0" w:line="240" w:lineRule="auto"/>
              <w:jc w:val="both"/>
            </w:pPr>
            <w:r w:rsidRPr="00500166">
              <w:t>Lai izpildītu Ministru kabineta 2017.</w:t>
            </w:r>
            <w:r>
              <w:t> </w:t>
            </w:r>
            <w:r w:rsidRPr="00500166">
              <w:t>gada 3.</w:t>
            </w:r>
            <w:r>
              <w:t> </w:t>
            </w:r>
            <w:r w:rsidRPr="00500166">
              <w:t>oktobra sēdes protokollēmumā (prot. Nr.</w:t>
            </w:r>
            <w:r>
              <w:t> </w:t>
            </w:r>
            <w:r w:rsidRPr="00500166">
              <w:t>49 60.</w:t>
            </w:r>
            <w:r>
              <w:t> </w:t>
            </w:r>
            <w:r w:rsidRPr="00500166">
              <w:t xml:space="preserve">§) “Par finanšu līdzekļu piešķiršanu no valsts budžeta programmas “Līdzekļi neparedzētiem gadījumiem” nacionālās drošības interešu aizsardzības nodrošināšanas pasākumiem” 2. punktā doto uzdevumu, Ekonomikas  ministrija </w:t>
            </w:r>
            <w:r>
              <w:t xml:space="preserve">ir noslēgusi </w:t>
            </w:r>
            <w:r w:rsidRPr="00500166">
              <w:t xml:space="preserve">līgumu ar zvērinātu advokātu </w:t>
            </w:r>
            <w:r w:rsidRPr="00500166">
              <w:t>biroju “COBALT” par vispus</w:t>
            </w:r>
            <w:r>
              <w:t>īgo</w:t>
            </w:r>
            <w:r w:rsidRPr="00500166">
              <w:t xml:space="preserve"> tiesisko iespēju izvērtējum</w:t>
            </w:r>
            <w:r>
              <w:t xml:space="preserve">u </w:t>
            </w:r>
            <w:r w:rsidRPr="00500166">
              <w:t xml:space="preserve">un priekšlikumu izstrādi saistībā ar iespējamiem risinājumiem nacionālās drošības interešu aizsardzības nodrošināšanā gadījumos, ja šīs intereses apdraud ekonomiskās aktivitātes. </w:t>
            </w:r>
          </w:p>
          <w:p w:rsidR="00275CC4" w:rsidP="009F520A" w14:paraId="68E55878" w14:textId="77777777">
            <w:pPr>
              <w:spacing w:after="0" w:line="240" w:lineRule="auto"/>
              <w:jc w:val="both"/>
            </w:pPr>
            <w:r w:rsidRPr="00500166">
              <w:t xml:space="preserve">Balstoties uz “COBALT” atzinumu, izskatīšanai </w:t>
            </w:r>
            <w:r>
              <w:t>Ministru kabinetā</w:t>
            </w:r>
            <w:r w:rsidRPr="00500166">
              <w:t xml:space="preserve"> tika iesniegts </w:t>
            </w:r>
            <w:r>
              <w:t>i</w:t>
            </w:r>
            <w:r w:rsidRPr="00500166">
              <w:t>nformatīvais ziņojums par iespējamiem risinājumiem nacionālās drošības interešu aizsardzības nodrošināšanai, kas tika pieņemts Ministru kabineta 2019.</w:t>
            </w:r>
            <w:r>
              <w:t> </w:t>
            </w:r>
            <w:r w:rsidRPr="00500166">
              <w:t>gada 15.</w:t>
            </w:r>
            <w:r>
              <w:t> </w:t>
            </w:r>
            <w:r w:rsidRPr="00500166">
              <w:t>janvāra sēd</w:t>
            </w:r>
            <w:r>
              <w:t xml:space="preserve">ē </w:t>
            </w:r>
            <w:r w:rsidRPr="00500166">
              <w:t>(protokollēmums Nr.</w:t>
            </w:r>
            <w:r>
              <w:t> </w:t>
            </w:r>
            <w:r w:rsidRPr="00500166">
              <w:t>2, 71.</w:t>
            </w:r>
            <w:r>
              <w:t> </w:t>
            </w:r>
            <w:r w:rsidRPr="00500166">
              <w:t xml:space="preserve">§, TA-2721-DV). </w:t>
            </w:r>
          </w:p>
          <w:p w:rsidR="00275CC4" w:rsidRPr="00500166" w:rsidP="009F520A" w14:paraId="417FF4D8" w14:textId="77777777">
            <w:pPr>
              <w:spacing w:after="0" w:line="240" w:lineRule="auto"/>
              <w:jc w:val="both"/>
            </w:pPr>
            <w:r w:rsidRPr="00500166">
              <w:t xml:space="preserve">Ņemot vērā Informatīvo ziņojumu, tika pieņemts </w:t>
            </w:r>
            <w:r>
              <w:t xml:space="preserve">lēmums </w:t>
            </w:r>
            <w:r w:rsidRPr="00500166">
              <w:t>Aizsardzības ministrijai, Ekonomikas ministrijai, Kultūras ministrijai, Izglītības un zinātnes ministrijai, Vides aizsardzības un reģionālās attīstības ministrijai, Finanšu ministrijai un Veselības ministrijai</w:t>
            </w:r>
            <w:r>
              <w:t xml:space="preserve"> </w:t>
            </w:r>
            <w:r w:rsidRPr="00500166">
              <w:t>sagatavot un līdz 2019.</w:t>
            </w:r>
            <w:r>
              <w:t> </w:t>
            </w:r>
            <w:r w:rsidRPr="00500166">
              <w:t>gada 1.</w:t>
            </w:r>
            <w:r>
              <w:t> </w:t>
            </w:r>
            <w:r w:rsidRPr="00500166">
              <w:t>jūlijam noteiktā kārtībā iesniegt izskatīšanai Ministru kabinetā grozījumus vairākos tiesību aktos</w:t>
            </w:r>
            <w:r>
              <w:t>.</w:t>
            </w:r>
            <w:r w:rsidRPr="00500166">
              <w:t xml:space="preserve"> </w:t>
            </w:r>
          </w:p>
          <w:p w:rsidR="00275CC4" w:rsidRPr="00500166" w:rsidP="009F520A" w14:paraId="64E0E8F8" w14:textId="77777777">
            <w:pPr>
              <w:spacing w:after="0" w:line="240" w:lineRule="auto"/>
              <w:jc w:val="both"/>
              <w:rPr>
                <w:bCs/>
              </w:rPr>
            </w:pPr>
            <w:r w:rsidRPr="00500166">
              <w:rPr>
                <w:bCs/>
              </w:rPr>
              <w:t>Ministru kabineta 2019.</w:t>
            </w:r>
            <w:r>
              <w:rPr>
                <w:bCs/>
              </w:rPr>
              <w:t> </w:t>
            </w:r>
            <w:r w:rsidRPr="00500166">
              <w:rPr>
                <w:bCs/>
              </w:rPr>
              <w:t>gada 15.</w:t>
            </w:r>
            <w:r>
              <w:rPr>
                <w:bCs/>
              </w:rPr>
              <w:t> </w:t>
            </w:r>
            <w:r w:rsidRPr="00500166">
              <w:rPr>
                <w:bCs/>
              </w:rPr>
              <w:t>janvāra sēdes protokollēmuma Nr.</w:t>
            </w:r>
            <w:r>
              <w:rPr>
                <w:bCs/>
              </w:rPr>
              <w:t> </w:t>
            </w:r>
            <w:r w:rsidRPr="00500166">
              <w:rPr>
                <w:bCs/>
              </w:rPr>
              <w:t>2 71.</w:t>
            </w:r>
            <w:r>
              <w:rPr>
                <w:bCs/>
              </w:rPr>
              <w:t> </w:t>
            </w:r>
            <w:r w:rsidRPr="00500166">
              <w:rPr>
                <w:bCs/>
              </w:rPr>
              <w:t>§ 3.1.</w:t>
            </w:r>
            <w:r>
              <w:rPr>
                <w:bCs/>
              </w:rPr>
              <w:t> apakš</w:t>
            </w:r>
            <w:r w:rsidRPr="00500166">
              <w:rPr>
                <w:bCs/>
              </w:rPr>
              <w:t>punkts noteic, ka Aizsardzības ministrijai līdz 2019.</w:t>
            </w:r>
            <w:r>
              <w:rPr>
                <w:bCs/>
              </w:rPr>
              <w:t> </w:t>
            </w:r>
            <w:r w:rsidRPr="00500166">
              <w:rPr>
                <w:bCs/>
              </w:rPr>
              <w:t>gada 1.</w:t>
            </w:r>
            <w:r>
              <w:rPr>
                <w:bCs/>
              </w:rPr>
              <w:t> </w:t>
            </w:r>
            <w:r w:rsidRPr="00500166">
              <w:rPr>
                <w:bCs/>
              </w:rPr>
              <w:t>jūlijam ir jāsagatavo un jāiesniedz izskatīšanai Ministru kabinetā grozījum</w:t>
            </w:r>
            <w:r>
              <w:rPr>
                <w:bCs/>
              </w:rPr>
              <w:t>i</w:t>
            </w:r>
            <w:r w:rsidRPr="00500166">
              <w:rPr>
                <w:bCs/>
              </w:rPr>
              <w:t xml:space="preserve"> Nacionālās drošības likumā, Autortiesību likumā, Ceļu satiksmes likumā, likumā “Par autoceļiem”, Autopārvadājumu likumā, Dzelzceļa likumā, Dzelzceļa pārvadājumu likumā, Likumā par ostām, Bīstamo kravu aprites likumā, likumā “Par aviāciju” un likumā “Par zemes privatizāciju lauku apvidos”. </w:t>
            </w:r>
          </w:p>
          <w:p w:rsidR="00275CC4" w:rsidRPr="00500166" w:rsidP="009F520A" w14:paraId="23565E84" w14:textId="77777777">
            <w:pPr>
              <w:spacing w:after="0" w:line="240" w:lineRule="auto"/>
              <w:jc w:val="both"/>
            </w:pPr>
            <w:r w:rsidRPr="00500166">
              <w:t xml:space="preserve">Izpildot  </w:t>
            </w:r>
            <w:r w:rsidRPr="00500166">
              <w:rPr>
                <w:bCs/>
              </w:rPr>
              <w:t>Ministru kabineta 2019.</w:t>
            </w:r>
            <w:r>
              <w:rPr>
                <w:bCs/>
              </w:rPr>
              <w:t> </w:t>
            </w:r>
            <w:r w:rsidRPr="00500166">
              <w:rPr>
                <w:bCs/>
              </w:rPr>
              <w:t>gada 15.</w:t>
            </w:r>
            <w:r>
              <w:rPr>
                <w:bCs/>
              </w:rPr>
              <w:t> </w:t>
            </w:r>
            <w:r w:rsidRPr="00500166">
              <w:rPr>
                <w:bCs/>
              </w:rPr>
              <w:t>janvāra sēdes protokollēmuma Nr.</w:t>
            </w:r>
            <w:r>
              <w:rPr>
                <w:bCs/>
              </w:rPr>
              <w:t> </w:t>
            </w:r>
            <w:r w:rsidRPr="00500166">
              <w:rPr>
                <w:bCs/>
              </w:rPr>
              <w:t>2 71.</w:t>
            </w:r>
            <w:r>
              <w:rPr>
                <w:bCs/>
              </w:rPr>
              <w:t> </w:t>
            </w:r>
            <w:r w:rsidRPr="00500166">
              <w:rPr>
                <w:bCs/>
              </w:rPr>
              <w:t>§ 3.1.</w:t>
            </w:r>
            <w:r>
              <w:rPr>
                <w:bCs/>
              </w:rPr>
              <w:t> apakš</w:t>
            </w:r>
            <w:r w:rsidRPr="00500166">
              <w:rPr>
                <w:bCs/>
              </w:rPr>
              <w:t xml:space="preserve">punktā noteikto uzdevumu, Aizsardzības ministrija </w:t>
            </w:r>
            <w:r>
              <w:rPr>
                <w:bCs/>
              </w:rPr>
              <w:t xml:space="preserve">ir </w:t>
            </w:r>
            <w:r w:rsidRPr="00500166">
              <w:rPr>
                <w:bCs/>
              </w:rPr>
              <w:t>izstrādāj</w:t>
            </w:r>
            <w:r>
              <w:rPr>
                <w:bCs/>
              </w:rPr>
              <w:t>usi</w:t>
            </w:r>
            <w:r w:rsidRPr="00500166">
              <w:rPr>
                <w:bCs/>
              </w:rPr>
              <w:t xml:space="preserve"> un iesnie</w:t>
            </w:r>
            <w:r>
              <w:rPr>
                <w:bCs/>
              </w:rPr>
              <w:t>gusi</w:t>
            </w:r>
            <w:r w:rsidRPr="00500166">
              <w:rPr>
                <w:bCs/>
              </w:rPr>
              <w:t xml:space="preserve"> izsludināšanai 2019.</w:t>
            </w:r>
            <w:r>
              <w:rPr>
                <w:bCs/>
              </w:rPr>
              <w:t> </w:t>
            </w:r>
            <w:r w:rsidRPr="00500166">
              <w:rPr>
                <w:bCs/>
              </w:rPr>
              <w:t>gada 23.</w:t>
            </w:r>
            <w:r>
              <w:rPr>
                <w:bCs/>
              </w:rPr>
              <w:t> </w:t>
            </w:r>
            <w:r w:rsidRPr="00500166">
              <w:rPr>
                <w:bCs/>
              </w:rPr>
              <w:t xml:space="preserve">maija Valsts sekretāru sanāksmē likumprojektus </w:t>
            </w:r>
            <w:r w:rsidRPr="00500166">
              <w:rPr>
                <w:bCs/>
                <w:iCs/>
              </w:rPr>
              <w:t>“Grozījumi Nacionālās drošības likumā” (VSS-449) un “Grozījumi Aizsargjoslu likumā” (VSS-450), kas kop</w:t>
            </w:r>
            <w:r>
              <w:rPr>
                <w:bCs/>
                <w:iCs/>
              </w:rPr>
              <w:t>umā</w:t>
            </w:r>
            <w:r w:rsidRPr="00500166">
              <w:rPr>
                <w:bCs/>
                <w:iCs/>
              </w:rPr>
              <w:t xml:space="preserve"> aptv</w:t>
            </w:r>
            <w:r>
              <w:rPr>
                <w:bCs/>
                <w:iCs/>
              </w:rPr>
              <w:t>er</w:t>
            </w:r>
            <w:r w:rsidRPr="00500166">
              <w:rPr>
                <w:bCs/>
                <w:iCs/>
              </w:rPr>
              <w:t xml:space="preserve"> 3.1.</w:t>
            </w:r>
            <w:r>
              <w:rPr>
                <w:bCs/>
                <w:iCs/>
              </w:rPr>
              <w:t> apakš</w:t>
            </w:r>
            <w:r w:rsidRPr="00500166">
              <w:rPr>
                <w:bCs/>
                <w:iCs/>
              </w:rPr>
              <w:t xml:space="preserve">punktā minēto grozāmo tiesību aktu nozares. </w:t>
            </w:r>
            <w:r w:rsidRPr="00500166">
              <w:rPr>
                <w:lang w:eastAsia="en-US"/>
              </w:rPr>
              <w:t xml:space="preserve">Likumprojekta “Grozījumi Nacionālās drošības likumā” mērķis </w:t>
            </w:r>
            <w:r>
              <w:rPr>
                <w:lang w:eastAsia="en-US"/>
              </w:rPr>
              <w:t>ir</w:t>
            </w:r>
            <w:r w:rsidRPr="00500166">
              <w:rPr>
                <w:lang w:eastAsia="en-US"/>
              </w:rPr>
              <w:t xml:space="preserve"> noteikt Ministru kabineta papildu pilnvaras lemt par valsts drošībai nozīmīgas komercsabiedrības statusa noteikšanu, kā arī tiesības valsts apdraudējuma gadījumā noteikt ierobežojumus preču un pakalpojumu kustībai. Savukārt </w:t>
            </w:r>
            <w:r w:rsidRPr="00500166">
              <w:t>l</w:t>
            </w:r>
            <w:r w:rsidRPr="00500166">
              <w:rPr>
                <w:iCs/>
                <w:lang w:val="sv-SE"/>
              </w:rPr>
              <w:t xml:space="preserve">ikumprojektā </w:t>
            </w:r>
            <w:r w:rsidRPr="00500166">
              <w:rPr>
                <w:bCs/>
                <w:iCs/>
              </w:rPr>
              <w:t>“</w:t>
            </w:r>
            <w:r w:rsidRPr="00500166">
              <w:rPr>
                <w:iCs/>
                <w:lang w:val="sv-SE"/>
              </w:rPr>
              <w:t>Groz</w:t>
            </w:r>
            <w:r>
              <w:rPr>
                <w:iCs/>
                <w:lang w:val="sv-SE"/>
              </w:rPr>
              <w:t>ī</w:t>
            </w:r>
            <w:r w:rsidRPr="00500166">
              <w:rPr>
                <w:iCs/>
              </w:rPr>
              <w:t>jumi Aizsargjoslu likumā” ietvertais regulējums paredz</w:t>
            </w:r>
            <w:r>
              <w:rPr>
                <w:iCs/>
              </w:rPr>
              <w:t xml:space="preserve"> </w:t>
            </w:r>
            <w:r w:rsidRPr="00500166">
              <w:rPr>
                <w:iCs/>
              </w:rPr>
              <w:t>Aizsargjoslu likuma 23.</w:t>
            </w:r>
            <w:r w:rsidRPr="00500166">
              <w:rPr>
                <w:iCs/>
                <w:vertAlign w:val="superscript"/>
              </w:rPr>
              <w:t>1</w:t>
            </w:r>
            <w:r w:rsidRPr="00500166">
              <w:rPr>
                <w:iCs/>
              </w:rPr>
              <w:t xml:space="preserve"> panta otrajā daļā noteikto aizsargjoslu ap paaugstināta drošības līmeņa militār</w:t>
            </w:r>
            <w:r>
              <w:rPr>
                <w:iCs/>
              </w:rPr>
              <w:t>aj</w:t>
            </w:r>
            <w:r w:rsidRPr="00500166">
              <w:rPr>
                <w:iCs/>
              </w:rPr>
              <w:t xml:space="preserve">iem objektiem maksimālo platumu palielināt no </w:t>
            </w:r>
            <w:r w:rsidRPr="00500166">
              <w:rPr>
                <w:iCs/>
              </w:rPr>
              <w:t xml:space="preserve">600 metriem </w:t>
            </w:r>
            <w:r>
              <w:rPr>
                <w:iCs/>
              </w:rPr>
              <w:t xml:space="preserve">līdz </w:t>
            </w:r>
            <w:r w:rsidRPr="00500166">
              <w:rPr>
                <w:iCs/>
              </w:rPr>
              <w:t>2800</w:t>
            </w:r>
            <w:r>
              <w:rPr>
                <w:iCs/>
              </w:rPr>
              <w:t> </w:t>
            </w:r>
            <w:r w:rsidRPr="00500166">
              <w:rPr>
                <w:iCs/>
              </w:rPr>
              <w:t xml:space="preserve">metriem un noteikt aizsargjoslās ap valsts aizsardzības objektiem, tajā skaitā </w:t>
            </w:r>
            <w:r w:rsidRPr="00500166">
              <w:t>ap paaugstināta drošības līmeņa valsts aizsardzības objektiem,</w:t>
            </w:r>
            <w:r w:rsidRPr="00500166">
              <w:rPr>
                <w:iCs/>
              </w:rPr>
              <w:t xml:space="preserve"> nekustamā īpašuma atsavināšanas saskaņošan</w:t>
            </w:r>
            <w:r>
              <w:rPr>
                <w:iCs/>
              </w:rPr>
              <w:t>as</w:t>
            </w:r>
            <w:r w:rsidRPr="00500166">
              <w:rPr>
                <w:iCs/>
              </w:rPr>
              <w:t xml:space="preserve"> un pirmpirkuma tiesību izmantošan</w:t>
            </w:r>
            <w:r>
              <w:rPr>
                <w:iCs/>
              </w:rPr>
              <w:t>as kārtību</w:t>
            </w:r>
            <w:r w:rsidRPr="00500166">
              <w:rPr>
                <w:iCs/>
              </w:rPr>
              <w:t xml:space="preserve">. </w:t>
            </w:r>
          </w:p>
          <w:p w:rsidR="00275CC4" w:rsidRPr="00500166" w:rsidP="00FA3C20" w14:paraId="4374C16C" w14:textId="77777777">
            <w:pPr>
              <w:spacing w:after="0" w:line="240" w:lineRule="auto"/>
              <w:jc w:val="both"/>
              <w:rPr>
                <w:iCs/>
              </w:rPr>
            </w:pPr>
            <w:r w:rsidRPr="00500166">
              <w:t xml:space="preserve">Likumprojektu saskaņošanas procesā tika saņemti iebildumi no </w:t>
            </w:r>
            <w:r w:rsidRPr="00500166">
              <w:rPr>
                <w:rFonts w:eastAsia="Times New Roman"/>
              </w:rPr>
              <w:t>Iekšlietu ministrijas, Tieslietu ministrijas, Kultūras ministrijas, Vides aizsardzības un reģionālās attīstības ministrijas, Ekonomikas ministrijas, Finanšu ministrijas, Zemkopības ministrijas, Tieslietu ministrijas un Latvijas Pašvaldību savienības. Starpministriju sanāksmēs par likumprojektu saskaņošanu, kas notika 2019.</w:t>
            </w:r>
            <w:r>
              <w:rPr>
                <w:rFonts w:eastAsia="Times New Roman"/>
              </w:rPr>
              <w:t> </w:t>
            </w:r>
            <w:r w:rsidRPr="00500166">
              <w:rPr>
                <w:rFonts w:eastAsia="Times New Roman"/>
              </w:rPr>
              <w:t>gada 27.</w:t>
            </w:r>
            <w:r>
              <w:rPr>
                <w:rFonts w:eastAsia="Times New Roman"/>
              </w:rPr>
              <w:t> </w:t>
            </w:r>
            <w:r w:rsidRPr="00500166">
              <w:rPr>
                <w:rFonts w:eastAsia="Times New Roman"/>
              </w:rPr>
              <w:t xml:space="preserve">jūnijā un 3. jūlijā, </w:t>
            </w:r>
            <w:r w:rsidRPr="00500166">
              <w:t xml:space="preserve">tika konstatēti </w:t>
            </w:r>
            <w:r>
              <w:t xml:space="preserve">arī </w:t>
            </w:r>
            <w:r w:rsidRPr="00500166">
              <w:t>daži problēmjautājumi, kas apgrūtināja veiksmīgu likumprojektu turpmāk</w:t>
            </w:r>
            <w:r>
              <w:t>o</w:t>
            </w:r>
            <w:r w:rsidRPr="00500166">
              <w:t xml:space="preserve"> virzību</w:t>
            </w:r>
            <w:r>
              <w:t xml:space="preserve">, jo </w:t>
            </w:r>
            <w:r w:rsidRPr="00500166">
              <w:rPr>
                <w:iCs/>
              </w:rPr>
              <w:t>saskaņošanas procesā iesaistītās ministrijas nespēja vienoties par abu likumprojektu tālāk</w:t>
            </w:r>
            <w:r>
              <w:rPr>
                <w:iCs/>
              </w:rPr>
              <w:t>o</w:t>
            </w:r>
            <w:r w:rsidRPr="00500166">
              <w:rPr>
                <w:iCs/>
              </w:rPr>
              <w:t xml:space="preserve"> virzību, atzinumos izteiktie iebildumi tika uzturēti un abās starpministriju sanāksmēs pamatoti no ministriju puses, turklāt tika secināts, ka nav tiesiski iespējams un nepieciešams miera laikā Ministru kabinetam dot likumprojektā par grozījumiem Nacionālās drošības likumā paredzētās plašās tiesības iejaukties privātpersonu saimnieciskajā darbībā. Starpministriju sanāksmēs tika secināts, ka esošais regulējums daudzās nozarēs jau šobrīd paredz pietiekamu regulējumu ārkārtas apstākļiem. Savukārt</w:t>
            </w:r>
            <w:r>
              <w:rPr>
                <w:iCs/>
              </w:rPr>
              <w:t xml:space="preserve"> </w:t>
            </w:r>
            <w:r w:rsidRPr="00500166">
              <w:rPr>
                <w:iCs/>
              </w:rPr>
              <w:t>nozaru normatīvie akti var tikt precizēti</w:t>
            </w:r>
            <w:r>
              <w:rPr>
                <w:iCs/>
              </w:rPr>
              <w:t>,</w:t>
            </w:r>
            <w:r w:rsidRPr="00500166">
              <w:rPr>
                <w:iCs/>
              </w:rPr>
              <w:t xml:space="preserve"> veicot kārtējos labojumus (nevis izstrādājot atsevišķu regulējumu Nacionālajā drošības likumā).</w:t>
            </w:r>
          </w:p>
          <w:p w:rsidR="00275CC4" w:rsidRPr="00500166" w:rsidP="00FA3C20" w14:paraId="712D3368" w14:textId="77777777">
            <w:pPr>
              <w:spacing w:after="0" w:line="240" w:lineRule="auto"/>
              <w:jc w:val="both"/>
              <w:rPr>
                <w:iCs/>
              </w:rPr>
            </w:pPr>
          </w:p>
          <w:p w:rsidR="00275CC4" w:rsidRPr="00500166" w:rsidP="00FA3C20" w14:paraId="6E1A218D" w14:textId="77777777">
            <w:pPr>
              <w:widowControl/>
              <w:autoSpaceDE w:val="0"/>
              <w:autoSpaceDN w:val="0"/>
              <w:adjustRightInd w:val="0"/>
              <w:spacing w:after="0" w:line="240" w:lineRule="auto"/>
              <w:jc w:val="both"/>
              <w:rPr>
                <w:lang w:eastAsia="en-US"/>
              </w:rPr>
            </w:pPr>
            <w:r>
              <w:rPr>
                <w:lang w:eastAsia="en-US"/>
              </w:rPr>
              <w:t>Kā likumprojekta saskaņošanas gaitā informē Kultūras ministrija, i</w:t>
            </w:r>
            <w:r w:rsidRPr="00500166">
              <w:rPr>
                <w:lang w:eastAsia="en-US"/>
              </w:rPr>
              <w:t>nformācijas vākšana ir žurnālista vitāla funkcija, kas ir īpaši aizsargājama. Latvijas Republikas Satversmes (turpmāk – Satversme) 100.</w:t>
            </w:r>
            <w:r>
              <w:rPr>
                <w:lang w:eastAsia="en-US"/>
              </w:rPr>
              <w:t> </w:t>
            </w:r>
            <w:r w:rsidRPr="00500166">
              <w:rPr>
                <w:lang w:eastAsia="en-US"/>
              </w:rPr>
              <w:t xml:space="preserve">panta pirmais teikums noteic, ka „ikvienam ir tiesības uz vārda brīvību, kas ietver tiesības brīvi iegūt, paturēt un izplatīt informāciju, paust savus uzskatus.”. Termins </w:t>
            </w:r>
            <w:r>
              <w:rPr>
                <w:lang w:eastAsia="en-US"/>
              </w:rPr>
              <w:t>“</w:t>
            </w:r>
            <w:r w:rsidRPr="00AD7BC9">
              <w:rPr>
                <w:iCs/>
                <w:lang w:eastAsia="en-US"/>
              </w:rPr>
              <w:t>preses brīvība</w:t>
            </w:r>
            <w:r w:rsidRPr="000E2E7B">
              <w:rPr>
                <w:lang w:eastAsia="en-US"/>
              </w:rPr>
              <w:t>”</w:t>
            </w:r>
            <w:r w:rsidRPr="00500166">
              <w:rPr>
                <w:lang w:eastAsia="en-US"/>
              </w:rPr>
              <w:t xml:space="preserve"> tiešā veidā ir formulēts </w:t>
            </w:r>
            <w:r>
              <w:rPr>
                <w:lang w:eastAsia="en-US"/>
              </w:rPr>
              <w:t>l</w:t>
            </w:r>
            <w:r w:rsidRPr="00500166">
              <w:rPr>
                <w:lang w:eastAsia="en-US"/>
              </w:rPr>
              <w:t>ikumā</w:t>
            </w:r>
            <w:r>
              <w:rPr>
                <w:lang w:eastAsia="en-US"/>
              </w:rPr>
              <w:t xml:space="preserve"> “</w:t>
            </w:r>
            <w:r w:rsidRPr="00AD7BC9">
              <w:rPr>
                <w:lang w:eastAsia="en-US"/>
              </w:rPr>
              <w:t>Par presi un citiem masu informācijas līdzekļiem</w:t>
            </w:r>
            <w:r>
              <w:rPr>
                <w:lang w:eastAsia="en-US"/>
              </w:rPr>
              <w:t>”</w:t>
            </w:r>
            <w:r w:rsidRPr="00500166">
              <w:rPr>
                <w:lang w:eastAsia="en-US"/>
              </w:rPr>
              <w:t>, kura 1.</w:t>
            </w:r>
            <w:r>
              <w:rPr>
                <w:lang w:eastAsia="en-US"/>
              </w:rPr>
              <w:t> </w:t>
            </w:r>
            <w:r w:rsidRPr="00500166">
              <w:rPr>
                <w:lang w:eastAsia="en-US"/>
              </w:rPr>
              <w:t>pants “Preses brīvība” noteic, ka „</w:t>
            </w:r>
            <w:r>
              <w:rPr>
                <w:shd w:val="clear" w:color="auto" w:fill="FFFFFF"/>
                <w:lang w:eastAsia="en-US"/>
              </w:rPr>
              <w:t>šā</w:t>
            </w:r>
            <w:r w:rsidRPr="00500166">
              <w:rPr>
                <w:shd w:val="clear" w:color="auto" w:fill="FFFFFF"/>
                <w:lang w:eastAsia="en-US"/>
              </w:rPr>
              <w:t xml:space="preserve"> likuma mērķis ir aizsargāt Latvijas Republikas Satversmē nostiprinātās tiesības uz vārda brīvību</w:t>
            </w:r>
            <w:r w:rsidRPr="00500166">
              <w:rPr>
                <w:lang w:eastAsia="en-US"/>
              </w:rPr>
              <w:t>”</w:t>
            </w:r>
            <w:r>
              <w:rPr>
                <w:lang w:eastAsia="en-US"/>
              </w:rPr>
              <w:t>.</w:t>
            </w:r>
            <w:r w:rsidRPr="00500166">
              <w:rPr>
                <w:lang w:eastAsia="en-US"/>
              </w:rPr>
              <w:t xml:space="preserve"> Satversmes tiesa ir atzinusi, ka Satversmes 100.</w:t>
            </w:r>
            <w:r>
              <w:rPr>
                <w:lang w:eastAsia="en-US"/>
              </w:rPr>
              <w:t> </w:t>
            </w:r>
            <w:r w:rsidRPr="00500166">
              <w:rPr>
                <w:lang w:eastAsia="en-US"/>
              </w:rPr>
              <w:t xml:space="preserve">pantā lietotais termins </w:t>
            </w:r>
            <w:r>
              <w:rPr>
                <w:lang w:eastAsia="en-US"/>
              </w:rPr>
              <w:t>“</w:t>
            </w:r>
            <w:r w:rsidRPr="00500166">
              <w:rPr>
                <w:lang w:eastAsia="en-US"/>
              </w:rPr>
              <w:t xml:space="preserve">vārda brīvība” ietver arī jēdzienu </w:t>
            </w:r>
            <w:r>
              <w:rPr>
                <w:lang w:eastAsia="en-US"/>
              </w:rPr>
              <w:t>“</w:t>
            </w:r>
            <w:r w:rsidRPr="00500166">
              <w:rPr>
                <w:lang w:eastAsia="en-US"/>
              </w:rPr>
              <w:t>preses brīvība” (</w:t>
            </w:r>
            <w:r w:rsidRPr="00500166">
              <w:rPr>
                <w:i/>
                <w:iCs/>
                <w:lang w:eastAsia="en-US"/>
              </w:rPr>
              <w:t>2003.</w:t>
            </w:r>
            <w:r>
              <w:rPr>
                <w:i/>
                <w:iCs/>
                <w:lang w:eastAsia="en-US"/>
              </w:rPr>
              <w:t> </w:t>
            </w:r>
            <w:r w:rsidRPr="00500166">
              <w:rPr>
                <w:i/>
                <w:iCs/>
                <w:lang w:eastAsia="en-US"/>
              </w:rPr>
              <w:t>gada 5.</w:t>
            </w:r>
            <w:r>
              <w:rPr>
                <w:i/>
                <w:iCs/>
                <w:lang w:eastAsia="en-US"/>
              </w:rPr>
              <w:t> </w:t>
            </w:r>
            <w:r w:rsidRPr="00500166">
              <w:rPr>
                <w:i/>
                <w:iCs/>
                <w:lang w:eastAsia="en-US"/>
              </w:rPr>
              <w:t>jūnija spriedumā lietā Nr.</w:t>
            </w:r>
            <w:r>
              <w:rPr>
                <w:i/>
                <w:iCs/>
                <w:lang w:eastAsia="en-US"/>
              </w:rPr>
              <w:t> </w:t>
            </w:r>
            <w:r w:rsidRPr="00500166">
              <w:rPr>
                <w:i/>
                <w:iCs/>
                <w:lang w:eastAsia="en-US"/>
              </w:rPr>
              <w:t>2003-02-0106</w:t>
            </w:r>
            <w:r w:rsidRPr="00500166">
              <w:rPr>
                <w:lang w:eastAsia="en-US"/>
              </w:rPr>
              <w:t xml:space="preserve">). </w:t>
            </w:r>
          </w:p>
          <w:p w:rsidR="00275CC4" w:rsidRPr="00500166" w:rsidP="00FA3C20" w14:paraId="7B861954" w14:textId="77777777">
            <w:pPr>
              <w:widowControl/>
              <w:autoSpaceDE w:val="0"/>
              <w:autoSpaceDN w:val="0"/>
              <w:adjustRightInd w:val="0"/>
              <w:spacing w:after="0" w:line="240" w:lineRule="auto"/>
              <w:jc w:val="both"/>
              <w:rPr>
                <w:lang w:eastAsia="en-US"/>
              </w:rPr>
            </w:pPr>
          </w:p>
          <w:p w:rsidR="00275CC4" w:rsidRPr="00500166" w:rsidP="00FA3C20" w14:paraId="62869623" w14:textId="77777777">
            <w:pPr>
              <w:spacing w:after="0" w:line="240" w:lineRule="auto"/>
              <w:jc w:val="both"/>
              <w:rPr>
                <w:lang w:eastAsia="en-US"/>
              </w:rPr>
            </w:pPr>
            <w:r w:rsidRPr="00500166">
              <w:rPr>
                <w:lang w:eastAsia="en-US"/>
              </w:rPr>
              <w:t xml:space="preserve">Tiesības uz vārda brīvību ir nostiprinātas arī </w:t>
            </w:r>
            <w:r w:rsidRPr="00500166">
              <w:rPr>
                <w:lang w:eastAsia="en-US"/>
              </w:rPr>
              <w:t>starptautiskajās tiesību normās. Saeima 1997.</w:t>
            </w:r>
            <w:r>
              <w:rPr>
                <w:lang w:eastAsia="en-US"/>
              </w:rPr>
              <w:t> </w:t>
            </w:r>
            <w:r w:rsidRPr="00500166">
              <w:rPr>
                <w:lang w:eastAsia="en-US"/>
              </w:rPr>
              <w:t>gada 4.</w:t>
            </w:r>
            <w:r>
              <w:rPr>
                <w:lang w:eastAsia="en-US"/>
              </w:rPr>
              <w:t> </w:t>
            </w:r>
            <w:r w:rsidRPr="00500166">
              <w:rPr>
                <w:lang w:eastAsia="en-US"/>
              </w:rPr>
              <w:t>jūnijā ratificēja Eiropas Cilvēka tiesību un pamatbrīvību aizsardzības konvenciju (turpmāk – Konvencija). Latvijas Republikā tā ir spēkā kopš 1997.</w:t>
            </w:r>
            <w:r>
              <w:rPr>
                <w:lang w:eastAsia="en-US"/>
              </w:rPr>
              <w:t> </w:t>
            </w:r>
            <w:r w:rsidRPr="00500166">
              <w:rPr>
                <w:lang w:eastAsia="en-US"/>
              </w:rPr>
              <w:t>gada 13.</w:t>
            </w:r>
            <w:r>
              <w:rPr>
                <w:lang w:eastAsia="en-US"/>
              </w:rPr>
              <w:t> </w:t>
            </w:r>
            <w:r w:rsidRPr="00500166">
              <w:rPr>
                <w:lang w:eastAsia="en-US"/>
              </w:rPr>
              <w:t>jūnija. Konvencija noteic, ka ikvienam ir tiesības brīvi paust savus uzskatus, tostarp tiesības netraucēti saņemt un izplatīt informāciju un idejas bez iejaukšanās no sabiedrisko institūciju puses un neatkarīgi no valstu robežām (10.</w:t>
            </w:r>
            <w:r>
              <w:rPr>
                <w:lang w:eastAsia="en-US"/>
              </w:rPr>
              <w:t> </w:t>
            </w:r>
            <w:r w:rsidRPr="00500166">
              <w:rPr>
                <w:lang w:eastAsia="en-US"/>
              </w:rPr>
              <w:t>pants). Konvencijas 10.</w:t>
            </w:r>
            <w:r>
              <w:rPr>
                <w:lang w:eastAsia="en-US"/>
              </w:rPr>
              <w:t> </w:t>
            </w:r>
            <w:r w:rsidRPr="00500166">
              <w:rPr>
                <w:lang w:eastAsia="en-US"/>
              </w:rPr>
              <w:t xml:space="preserve">panta otrajā daļā ir uzskaitīti leģitīmie mērķi, kuru dēļ vārda brīvības īstenošana var tikt pakļauta ierobežojumiem, ja šie mērķi nepieciešami demokrātiskā sabiedrībā. Tā paredz, ka ierobežojumus var noteikt ar likumu, lai aizsargātu valsts drošības, teritoriālās vienotības vai sabiedriskās drošības intereses, nepieļautu nekārtības vai noziegumus, aizsargātu veselību vai morāli, aizsargātu citu cilvēku reputāciju vai tiesības, nepieļautu konfidenciālas informācijas izpaušanu vai arī lai saglabātu tiesas autoritāti un objektivitāti. </w:t>
            </w:r>
          </w:p>
          <w:p w:rsidR="00275CC4" w:rsidRPr="00500166" w:rsidP="00FA3C20" w14:paraId="603AA8D6" w14:textId="77777777">
            <w:pPr>
              <w:widowControl/>
              <w:autoSpaceDE w:val="0"/>
              <w:autoSpaceDN w:val="0"/>
              <w:adjustRightInd w:val="0"/>
              <w:spacing w:after="0" w:line="240" w:lineRule="auto"/>
              <w:jc w:val="both"/>
              <w:rPr>
                <w:lang w:eastAsia="en-US"/>
              </w:rPr>
            </w:pPr>
            <w:r w:rsidRPr="00500166">
              <w:rPr>
                <w:lang w:eastAsia="en-US"/>
              </w:rPr>
              <w:t>Tātad tiesības uz vārda brīvību tiek atzītas par vienām no vissvarīgākajām cilvēka tiesībām, tomēr tās nav absolūtas. Valsts var noteikt ierobežojumus vārda brīvībai gadījumos, kad personas tiesības uz vārda brīvību tieši ietekmē citu personu tiesības, kā arī gadījumos, kad vārda brīvība rada nepārprotamus un tiešus draudus sabiedrībai. Taču valstij ir pienākums katrā individuālā gadījumā veikt žurnālista un medija tiesību ierobežojuma samērīguma pārbaudi. Arī Satversmes tiesa vairākos spriedumos, piemēram, 2003.</w:t>
            </w:r>
            <w:r>
              <w:rPr>
                <w:lang w:eastAsia="en-US"/>
              </w:rPr>
              <w:t> </w:t>
            </w:r>
            <w:r w:rsidRPr="00500166">
              <w:rPr>
                <w:lang w:eastAsia="en-US"/>
              </w:rPr>
              <w:t>gada 23.</w:t>
            </w:r>
            <w:r>
              <w:rPr>
                <w:lang w:eastAsia="en-US"/>
              </w:rPr>
              <w:t> </w:t>
            </w:r>
            <w:r w:rsidRPr="00500166">
              <w:rPr>
                <w:lang w:eastAsia="en-US"/>
              </w:rPr>
              <w:t>aprīļa spriedumā lietā Nr.</w:t>
            </w:r>
            <w:r>
              <w:rPr>
                <w:lang w:eastAsia="en-US"/>
              </w:rPr>
              <w:t> </w:t>
            </w:r>
            <w:r w:rsidRPr="00500166">
              <w:rPr>
                <w:lang w:eastAsia="en-US"/>
              </w:rPr>
              <w:t>2002-20-0103, 2002.</w:t>
            </w:r>
            <w:r>
              <w:rPr>
                <w:lang w:eastAsia="en-US"/>
              </w:rPr>
              <w:t> </w:t>
            </w:r>
            <w:r w:rsidRPr="00500166">
              <w:rPr>
                <w:lang w:eastAsia="en-US"/>
              </w:rPr>
              <w:t>gada 23.</w:t>
            </w:r>
            <w:r>
              <w:rPr>
                <w:lang w:eastAsia="en-US"/>
              </w:rPr>
              <w:t> </w:t>
            </w:r>
            <w:r w:rsidRPr="00500166">
              <w:rPr>
                <w:lang w:eastAsia="en-US"/>
              </w:rPr>
              <w:t>septembra spriedumā lietā Nr.</w:t>
            </w:r>
            <w:r>
              <w:rPr>
                <w:lang w:eastAsia="en-US"/>
              </w:rPr>
              <w:t> </w:t>
            </w:r>
            <w:r w:rsidRPr="00500166">
              <w:rPr>
                <w:lang w:eastAsia="en-US"/>
              </w:rPr>
              <w:t>2002-08-01, 2000.</w:t>
            </w:r>
            <w:r>
              <w:rPr>
                <w:lang w:eastAsia="en-US"/>
              </w:rPr>
              <w:t> </w:t>
            </w:r>
            <w:r w:rsidRPr="00500166">
              <w:rPr>
                <w:lang w:eastAsia="en-US"/>
              </w:rPr>
              <w:t>gada 30.</w:t>
            </w:r>
            <w:r>
              <w:rPr>
                <w:lang w:eastAsia="en-US"/>
              </w:rPr>
              <w:t> </w:t>
            </w:r>
            <w:r w:rsidRPr="00500166">
              <w:rPr>
                <w:lang w:eastAsia="en-US"/>
              </w:rPr>
              <w:t>augusta spriedumā lietā Nr.</w:t>
            </w:r>
            <w:r>
              <w:rPr>
                <w:lang w:eastAsia="en-US"/>
              </w:rPr>
              <w:t> </w:t>
            </w:r>
            <w:r w:rsidRPr="00500166">
              <w:rPr>
                <w:lang w:eastAsia="en-US"/>
              </w:rPr>
              <w:t>2000-03-01, ir atzinusi, ka zināmos apstākļos valstij ir tiesības ierobežot Satversmē garantētās pamattiesības. Pamattiesības var ierobežot tikai Satversmē noteiktajos gadījumos, kad to prasa ļoti svarīgu sabiedrības interešu aizsardzība un ja tiek ievērots samērīguma princips. (Skat. arī Administratīvās rajona tiesas 2009.</w:t>
            </w:r>
            <w:r>
              <w:rPr>
                <w:lang w:eastAsia="en-US"/>
              </w:rPr>
              <w:t> </w:t>
            </w:r>
            <w:r w:rsidRPr="00500166">
              <w:rPr>
                <w:lang w:eastAsia="en-US"/>
              </w:rPr>
              <w:t>gada 15.</w:t>
            </w:r>
            <w:r>
              <w:rPr>
                <w:lang w:eastAsia="en-US"/>
              </w:rPr>
              <w:t> </w:t>
            </w:r>
            <w:r w:rsidRPr="00500166">
              <w:rPr>
                <w:lang w:eastAsia="en-US"/>
              </w:rPr>
              <w:t>jūlija spriedumu lietā Nr.</w:t>
            </w:r>
            <w:r>
              <w:rPr>
                <w:lang w:eastAsia="en-US"/>
              </w:rPr>
              <w:t> </w:t>
            </w:r>
            <w:r w:rsidRPr="00500166">
              <w:rPr>
                <w:lang w:eastAsia="en-US"/>
              </w:rPr>
              <w:t>A42441706.)</w:t>
            </w:r>
          </w:p>
          <w:p w:rsidR="00275CC4" w:rsidRPr="00500166" w:rsidP="00FA3C20" w14:paraId="456BF7B4" w14:textId="77777777">
            <w:pPr>
              <w:widowControl/>
              <w:spacing w:after="0" w:line="240" w:lineRule="auto"/>
              <w:jc w:val="both"/>
              <w:rPr>
                <w:lang w:eastAsia="en-US"/>
              </w:rPr>
            </w:pPr>
            <w:r w:rsidRPr="00500166">
              <w:rPr>
                <w:lang w:eastAsia="en-US"/>
              </w:rPr>
              <w:t>Spēkā esošais Elektronisko plašsaziņas līdzekļu likuma regulējums (turpmāk – EPLL) jau šobrīd paredz instrumentus, kurus Nacionālā elektronisko plašsaziņas līdzekļu padome (turpmāk – Padome) var izmantot, lai nodrošinātu valsts drošības interešu ievērošanu. Vienlaikus jānorāda, ka spēkā esošais tiesiskais regulējums, t.</w:t>
            </w:r>
            <w:r>
              <w:rPr>
                <w:lang w:eastAsia="en-US"/>
              </w:rPr>
              <w:t> </w:t>
            </w:r>
            <w:r w:rsidRPr="00500166">
              <w:rPr>
                <w:lang w:eastAsia="en-US"/>
              </w:rPr>
              <w:t xml:space="preserve">sk. starptautiskās tiesību normas, paredz atšķirīgu regulējumu tiem elektroniskajiem plašsaziņas </w:t>
            </w:r>
            <w:r w:rsidRPr="00500166">
              <w:rPr>
                <w:lang w:eastAsia="en-US"/>
              </w:rPr>
              <w:t>līdzekļiem, kas saņēmuši apraides vai retranslācijas atļauju. Ar retranslācijas atļauju izsniegšanu tiek saprasta arī programmu iekļaušana Latvijā retranslējamo audio un audiovizuālo programmu sarakstā (skat. Elektronisko plašsaziņas līdzekļu nozares attīstības nacionālās stratēģijas 2018.</w:t>
            </w:r>
            <w:r>
              <w:rPr>
                <w:lang w:eastAsia="en-US"/>
              </w:rPr>
              <w:t>–</w:t>
            </w:r>
            <w:r w:rsidRPr="00500166">
              <w:rPr>
                <w:lang w:eastAsia="en-US"/>
              </w:rPr>
              <w:t>2022.</w:t>
            </w:r>
            <w:r>
              <w:rPr>
                <w:lang w:eastAsia="en-US"/>
              </w:rPr>
              <w:t> </w:t>
            </w:r>
            <w:r w:rsidRPr="00500166">
              <w:rPr>
                <w:lang w:eastAsia="en-US"/>
              </w:rPr>
              <w:t>gadam pielikumu Nr.</w:t>
            </w:r>
            <w:r>
              <w:rPr>
                <w:lang w:eastAsia="en-US"/>
              </w:rPr>
              <w:t> </w:t>
            </w:r>
            <w:r w:rsidRPr="00500166">
              <w:rPr>
                <w:lang w:eastAsia="en-US"/>
              </w:rPr>
              <w:t xml:space="preserve">5 </w:t>
            </w:r>
            <w:r>
              <w:rPr>
                <w:lang w:eastAsia="en-US"/>
              </w:rPr>
              <w:t>“</w:t>
            </w:r>
            <w:r w:rsidRPr="00500166">
              <w:rPr>
                <w:lang w:eastAsia="en-US"/>
              </w:rPr>
              <w:t>Retranslācijas atļauju izsniegšanas un darbības īstenošanas kārtība”).</w:t>
            </w:r>
          </w:p>
          <w:p w:rsidR="00275CC4" w:rsidRPr="00500166" w:rsidP="00FA3C20" w14:paraId="5A0A85B0" w14:textId="77777777">
            <w:pPr>
              <w:spacing w:after="0" w:line="240" w:lineRule="auto"/>
              <w:jc w:val="both"/>
              <w:rPr>
                <w:lang w:eastAsia="en-US"/>
              </w:rPr>
            </w:pPr>
            <w:r w:rsidRPr="00500166">
              <w:rPr>
                <w:lang w:eastAsia="en-US"/>
              </w:rPr>
              <w:t>Saskaņā ar EPLL 21.</w:t>
            </w:r>
            <w:r>
              <w:rPr>
                <w:lang w:eastAsia="en-US"/>
              </w:rPr>
              <w:t> </w:t>
            </w:r>
            <w:r w:rsidRPr="00500166">
              <w:rPr>
                <w:lang w:eastAsia="en-US"/>
              </w:rPr>
              <w:t>panta otro daļu Padomei ir tiesības uz laiku līdz septiņām dienām apturēt elektroniskā plašsaziņas līdzekļa darbību, ja tas gada laikā atkārtoti pārkāpis EPLL. Savukārt EPLL 21.</w:t>
            </w:r>
            <w:r>
              <w:rPr>
                <w:lang w:eastAsia="en-US"/>
              </w:rPr>
              <w:t> </w:t>
            </w:r>
            <w:r w:rsidRPr="00500166">
              <w:rPr>
                <w:lang w:eastAsia="en-US"/>
              </w:rPr>
              <w:t>panta trešā daļa paredz Padomes pienākumu anulēt apraides vai retranslācijas atļauju, ja elektroniskais plašsaziņas līdzeklis, piemēram, trīs reizes gada laikā administratīvi sodīts par būtisku EPLL pārkāpumu vai mēneša laikā no dienas, kad Padome izteikusi brīdinājumu par apraides atļaujā ietverto noteikumu pārkāpumu, nepārtrauc attiecīgā noteikuma pārkāpšanu u.</w:t>
            </w:r>
            <w:r>
              <w:rPr>
                <w:lang w:eastAsia="en-US"/>
              </w:rPr>
              <w:t> </w:t>
            </w:r>
            <w:r w:rsidRPr="00500166">
              <w:rPr>
                <w:lang w:eastAsia="en-US"/>
              </w:rPr>
              <w:t xml:space="preserve">c. </w:t>
            </w:r>
          </w:p>
          <w:p w:rsidR="00275CC4" w:rsidRPr="00500166" w:rsidP="00FA3C20" w14:paraId="60B78DD9" w14:textId="77777777">
            <w:pPr>
              <w:widowControl/>
              <w:spacing w:after="0" w:line="240" w:lineRule="auto"/>
              <w:jc w:val="both"/>
              <w:rPr>
                <w:lang w:eastAsia="en-US"/>
              </w:rPr>
            </w:pPr>
            <w:r>
              <w:rPr>
                <w:lang w:eastAsia="en-US"/>
              </w:rPr>
              <w:t>E</w:t>
            </w:r>
            <w:r w:rsidRPr="00500166">
              <w:rPr>
                <w:lang w:eastAsia="en-US"/>
              </w:rPr>
              <w:t>lektroniskajam plašsaziņas līdzeklim, kas saņēmis apraides atļauju, ir pienākums ievērot EPLL 26.</w:t>
            </w:r>
            <w:r>
              <w:rPr>
                <w:lang w:eastAsia="en-US"/>
              </w:rPr>
              <w:t> </w:t>
            </w:r>
            <w:r w:rsidRPr="00500166">
              <w:rPr>
                <w:lang w:eastAsia="en-US"/>
              </w:rPr>
              <w:t>pantā ietvertos programmu veidošanas ierobežojumus, t.</w:t>
            </w:r>
            <w:r>
              <w:rPr>
                <w:lang w:eastAsia="en-US"/>
              </w:rPr>
              <w:t> </w:t>
            </w:r>
            <w:r w:rsidRPr="00500166">
              <w:rPr>
                <w:lang w:eastAsia="en-US"/>
              </w:rPr>
              <w:t>sk. aizliegumu programmās un raidījumos ietvert aicinājumu vardarbīgi gāzt valsts varu vai vardarbīgi grozīt valsts iekārtu u.</w:t>
            </w:r>
            <w:r>
              <w:rPr>
                <w:lang w:eastAsia="en-US"/>
              </w:rPr>
              <w:t> </w:t>
            </w:r>
            <w:r w:rsidRPr="00500166">
              <w:rPr>
                <w:lang w:eastAsia="en-US"/>
              </w:rPr>
              <w:t xml:space="preserve">tml. Šādi pārkāpumi ietilpst valsts drošības interešu lokā, </w:t>
            </w:r>
            <w:r>
              <w:rPr>
                <w:lang w:eastAsia="en-US"/>
              </w:rPr>
              <w:t xml:space="preserve">un </w:t>
            </w:r>
            <w:r w:rsidRPr="00500166">
              <w:rPr>
                <w:lang w:eastAsia="en-US"/>
              </w:rPr>
              <w:t>jau šobrīd Padome var rīkoties, lai novērstu attiecīgus pārkāpumus.</w:t>
            </w:r>
          </w:p>
          <w:p w:rsidR="00275CC4" w:rsidRPr="00500166" w:rsidP="00FA3C20" w14:paraId="7CC9A0A9" w14:textId="77777777">
            <w:pPr>
              <w:widowControl/>
              <w:spacing w:after="0" w:line="240" w:lineRule="auto"/>
              <w:jc w:val="both"/>
              <w:rPr>
                <w:lang w:eastAsia="en-US"/>
              </w:rPr>
            </w:pPr>
            <w:r w:rsidRPr="00500166">
              <w:rPr>
                <w:lang w:eastAsia="en-US"/>
              </w:rPr>
              <w:t xml:space="preserve">Latvijas teritorijā retranslēto programmu saturā </w:t>
            </w:r>
            <w:r>
              <w:rPr>
                <w:lang w:eastAsia="en-US"/>
              </w:rPr>
              <w:t xml:space="preserve">jānošķir </w:t>
            </w:r>
            <w:r w:rsidRPr="00500166">
              <w:rPr>
                <w:lang w:eastAsia="en-US"/>
              </w:rPr>
              <w:t>divas situācijas – kad izplatāmā televīzijas programma ir Eiropas Savienības jurisdikcijā vai tādas valsts jurisdikcijā, kas pieņēmusi 1989.</w:t>
            </w:r>
            <w:r>
              <w:rPr>
                <w:lang w:eastAsia="en-US"/>
              </w:rPr>
              <w:t> </w:t>
            </w:r>
            <w:r w:rsidRPr="00500166">
              <w:rPr>
                <w:lang w:eastAsia="en-US"/>
              </w:rPr>
              <w:t>gada 5.</w:t>
            </w:r>
            <w:r>
              <w:rPr>
                <w:lang w:eastAsia="en-US"/>
              </w:rPr>
              <w:t> </w:t>
            </w:r>
            <w:r w:rsidRPr="00500166">
              <w:rPr>
                <w:lang w:eastAsia="en-US"/>
              </w:rPr>
              <w:t xml:space="preserve">maija Eiropas konvenciju par pārrobežu televīziju, </w:t>
            </w:r>
            <w:r>
              <w:rPr>
                <w:lang w:eastAsia="en-US"/>
              </w:rPr>
              <w:t>un</w:t>
            </w:r>
            <w:r w:rsidRPr="00500166">
              <w:rPr>
                <w:lang w:eastAsia="en-US"/>
              </w:rPr>
              <w:t xml:space="preserve"> situācija, kad televīzijas programmas jurisdikcija atrodas citā valstī, proti, trešās valsts jurisdikcijā. </w:t>
            </w:r>
          </w:p>
          <w:p w:rsidR="00275CC4" w:rsidRPr="00500166" w:rsidP="00FA3C20" w14:paraId="5E2563A3" w14:textId="77777777">
            <w:pPr>
              <w:widowControl/>
              <w:spacing w:after="0" w:line="240" w:lineRule="auto"/>
              <w:jc w:val="both"/>
              <w:rPr>
                <w:lang w:eastAsia="en-US"/>
              </w:rPr>
            </w:pPr>
            <w:r w:rsidRPr="00500166">
              <w:rPr>
                <w:lang w:eastAsia="en-US"/>
              </w:rPr>
              <w:t>Patlaban pirm</w:t>
            </w:r>
            <w:r>
              <w:rPr>
                <w:lang w:eastAsia="en-US"/>
              </w:rPr>
              <w:t xml:space="preserve">ajā </w:t>
            </w:r>
            <w:r w:rsidRPr="00500166">
              <w:rPr>
                <w:lang w:eastAsia="en-US"/>
              </w:rPr>
              <w:t xml:space="preserve">gadījumā </w:t>
            </w:r>
            <w:r>
              <w:rPr>
                <w:lang w:eastAsia="en-US"/>
              </w:rPr>
              <w:t xml:space="preserve">jāievēro </w:t>
            </w:r>
            <w:r w:rsidRPr="00500166">
              <w:rPr>
                <w:lang w:eastAsia="en-US"/>
              </w:rPr>
              <w:t xml:space="preserve">Eiropas Savienības Audiovizuālo mediju pakalpojumu direktīva (turpmāk – Direktīva Nr.2010/13/ES) un tās nosacījumi, </w:t>
            </w:r>
            <w:r>
              <w:rPr>
                <w:lang w:eastAsia="en-US"/>
              </w:rPr>
              <w:t xml:space="preserve">kas balstīti uz </w:t>
            </w:r>
            <w:r w:rsidRPr="00500166">
              <w:rPr>
                <w:lang w:eastAsia="en-US"/>
              </w:rPr>
              <w:t>izplatīšanas un uztveršanas brīvīb</w:t>
            </w:r>
            <w:r>
              <w:rPr>
                <w:lang w:eastAsia="en-US"/>
              </w:rPr>
              <w:t>u</w:t>
            </w:r>
            <w:r w:rsidRPr="00500166">
              <w:rPr>
                <w:lang w:eastAsia="en-US"/>
              </w:rPr>
              <w:t>. Televīzijas programmu, kuru jurisdikcija ir piekritīga Direktīvas Nr.2010/13/ES nosacījumiem, izplatīšanas ierobežošanā Padomei jāievēro Direktīvas Nr.</w:t>
            </w:r>
            <w:r>
              <w:rPr>
                <w:lang w:eastAsia="en-US"/>
              </w:rPr>
              <w:t> </w:t>
            </w:r>
            <w:r w:rsidRPr="00500166">
              <w:rPr>
                <w:lang w:eastAsia="en-US"/>
              </w:rPr>
              <w:t>2010/13/ES 3.</w:t>
            </w:r>
            <w:r>
              <w:rPr>
                <w:lang w:eastAsia="en-US"/>
              </w:rPr>
              <w:t> </w:t>
            </w:r>
            <w:r w:rsidRPr="00500166">
              <w:rPr>
                <w:lang w:eastAsia="en-US"/>
              </w:rPr>
              <w:t>pantā ietvertā procedūra, kas pārņemta EPLL 21.</w:t>
            </w:r>
            <w:r w:rsidRPr="00500166">
              <w:rPr>
                <w:vertAlign w:val="superscript"/>
                <w:lang w:eastAsia="en-US"/>
              </w:rPr>
              <w:t>1</w:t>
            </w:r>
            <w:r w:rsidRPr="00500166">
              <w:rPr>
                <w:lang w:eastAsia="en-US"/>
              </w:rPr>
              <w:t xml:space="preserve"> un turpmākajos pantos. Savukārt otr</w:t>
            </w:r>
            <w:r>
              <w:rPr>
                <w:lang w:eastAsia="en-US"/>
              </w:rPr>
              <w:t>ajā</w:t>
            </w:r>
            <w:r w:rsidRPr="00500166">
              <w:rPr>
                <w:lang w:eastAsia="en-US"/>
              </w:rPr>
              <w:t xml:space="preserve"> gadījumā Padome var lemt par aizliegumu izplatīt attiecīgo programmu EPLL 21.</w:t>
            </w:r>
            <w:r w:rsidRPr="00500166">
              <w:rPr>
                <w:vertAlign w:val="superscript"/>
                <w:lang w:eastAsia="en-US"/>
              </w:rPr>
              <w:t>5</w:t>
            </w:r>
            <w:r>
              <w:rPr>
                <w:lang w:eastAsia="en-US"/>
              </w:rPr>
              <w:t> </w:t>
            </w:r>
            <w:r w:rsidRPr="00500166">
              <w:rPr>
                <w:lang w:eastAsia="en-US"/>
              </w:rPr>
              <w:t>panta kārtībā.</w:t>
            </w:r>
          </w:p>
          <w:p w:rsidR="00275CC4" w:rsidRPr="00500166" w:rsidP="00FA3C20" w14:paraId="5B6C41F3" w14:textId="77777777">
            <w:pPr>
              <w:spacing w:after="0" w:line="240" w:lineRule="auto"/>
              <w:jc w:val="both"/>
              <w:rPr>
                <w:lang w:eastAsia="en-US"/>
              </w:rPr>
            </w:pPr>
            <w:r w:rsidRPr="00500166">
              <w:rPr>
                <w:lang w:eastAsia="en-US"/>
              </w:rPr>
              <w:t>2018.</w:t>
            </w:r>
            <w:r>
              <w:rPr>
                <w:lang w:eastAsia="en-US"/>
              </w:rPr>
              <w:t> </w:t>
            </w:r>
            <w:r w:rsidRPr="00500166">
              <w:rPr>
                <w:lang w:eastAsia="en-US"/>
              </w:rPr>
              <w:t>gada 18.</w:t>
            </w:r>
            <w:r>
              <w:rPr>
                <w:lang w:eastAsia="en-US"/>
              </w:rPr>
              <w:t> </w:t>
            </w:r>
            <w:r w:rsidRPr="00500166">
              <w:rPr>
                <w:lang w:eastAsia="en-US"/>
              </w:rPr>
              <w:t>decembrī stājās spēkā Eiropas Savienības direktīva Nr.</w:t>
            </w:r>
            <w:r>
              <w:rPr>
                <w:lang w:eastAsia="en-US"/>
              </w:rPr>
              <w:t> </w:t>
            </w:r>
            <w:r w:rsidRPr="00500166">
              <w:rPr>
                <w:lang w:eastAsia="en-US"/>
              </w:rPr>
              <w:t>2018/1808 (turpmāk – Direktīva Nr.</w:t>
            </w:r>
            <w:r>
              <w:rPr>
                <w:lang w:eastAsia="en-US"/>
              </w:rPr>
              <w:t> </w:t>
            </w:r>
            <w:r w:rsidRPr="00500166">
              <w:rPr>
                <w:lang w:eastAsia="en-US"/>
              </w:rPr>
              <w:t xml:space="preserve">2018/1808), kas groza Direktīvu </w:t>
            </w:r>
            <w:r w:rsidRPr="00500166">
              <w:rPr>
                <w:lang w:eastAsia="en-US"/>
              </w:rPr>
              <w:t>2010/13/ES. Direktīva Nr.</w:t>
            </w:r>
            <w:r>
              <w:rPr>
                <w:lang w:eastAsia="en-US"/>
              </w:rPr>
              <w:t> </w:t>
            </w:r>
            <w:r w:rsidRPr="00500166">
              <w:rPr>
                <w:lang w:eastAsia="en-US"/>
              </w:rPr>
              <w:t xml:space="preserve">2018/1808 paredz iespēju dalībvalstīm steidzamos gadījumos jau pēc viena pārkāpuma </w:t>
            </w:r>
            <w:r>
              <w:rPr>
                <w:lang w:eastAsia="en-US"/>
              </w:rPr>
              <w:t xml:space="preserve">(līdzšinējo triju </w:t>
            </w:r>
            <w:r w:rsidRPr="00500166">
              <w:rPr>
                <w:lang w:eastAsia="en-US"/>
              </w:rPr>
              <w:t>pārkāpumu vietā</w:t>
            </w:r>
            <w:r>
              <w:rPr>
                <w:lang w:eastAsia="en-US"/>
              </w:rPr>
              <w:t>)</w:t>
            </w:r>
            <w:r w:rsidRPr="00500166">
              <w:rPr>
                <w:lang w:eastAsia="en-US"/>
              </w:rPr>
              <w:t xml:space="preserve"> apturēt televīzijas programmu retranslāciju no citām Eiropas Savienības dalībvalstīm, ja tā apdraud sabiedrisko drošību, tostarp valsts drošības un aizsardzības nodrošināšanu, vai rada nopietnu un smagu tās apdraudējuma risku. Direktīva Nr.</w:t>
            </w:r>
            <w:r>
              <w:rPr>
                <w:lang w:eastAsia="en-US"/>
              </w:rPr>
              <w:t> </w:t>
            </w:r>
            <w:r w:rsidRPr="00500166">
              <w:rPr>
                <w:lang w:eastAsia="en-US"/>
              </w:rPr>
              <w:t>2018/1808 jāpārņem Latvijas tiesību sistēmā līdz 2020.</w:t>
            </w:r>
            <w:r>
              <w:rPr>
                <w:lang w:eastAsia="en-US"/>
              </w:rPr>
              <w:t> </w:t>
            </w:r>
            <w:r w:rsidRPr="00500166">
              <w:rPr>
                <w:lang w:eastAsia="en-US"/>
              </w:rPr>
              <w:t>gada 19.</w:t>
            </w:r>
            <w:r>
              <w:rPr>
                <w:lang w:eastAsia="en-US"/>
              </w:rPr>
              <w:t> </w:t>
            </w:r>
            <w:r w:rsidRPr="00500166">
              <w:rPr>
                <w:lang w:eastAsia="en-US"/>
              </w:rPr>
              <w:t>septembrim. Kultūras ministrija ir izveidojusi darba grupu, kas jau strādā pie Direktīvas Nr.</w:t>
            </w:r>
            <w:r>
              <w:rPr>
                <w:lang w:eastAsia="en-US"/>
              </w:rPr>
              <w:t> </w:t>
            </w:r>
            <w:r w:rsidRPr="00500166">
              <w:rPr>
                <w:lang w:eastAsia="en-US"/>
              </w:rPr>
              <w:t>2018/1808 pārņemšanas.</w:t>
            </w:r>
          </w:p>
          <w:p w:rsidR="00275CC4" w:rsidRPr="00500166" w:rsidP="00FA3C20" w14:paraId="632AEA08" w14:textId="77777777">
            <w:pPr>
              <w:widowControl/>
              <w:spacing w:after="0" w:line="240" w:lineRule="auto"/>
              <w:jc w:val="both"/>
              <w:rPr>
                <w:lang w:eastAsia="en-US"/>
              </w:rPr>
            </w:pPr>
            <w:r w:rsidRPr="00500166">
              <w:rPr>
                <w:lang w:eastAsia="en-US"/>
              </w:rPr>
              <w:t xml:space="preserve">Ņemot vērā vārda brīvības fundamentālo nozīmi demokrātijā, ir pieļaujama vienīgi medija veidotā satura </w:t>
            </w:r>
            <w:r w:rsidRPr="00500166">
              <w:rPr>
                <w:i/>
                <w:lang w:eastAsia="en-US"/>
              </w:rPr>
              <w:t>ex post</w:t>
            </w:r>
            <w:r w:rsidRPr="00500166">
              <w:rPr>
                <w:lang w:eastAsia="en-US"/>
              </w:rPr>
              <w:t xml:space="preserve"> izvērtēšana. Padomei jau šobrīd ir piešķirti tiesiskie instrumenti, lai nodrošinātu Satversmē noteikto tiesību un interešu aizsardzību.</w:t>
            </w:r>
          </w:p>
          <w:p w:rsidR="00275CC4" w:rsidRPr="00500166" w:rsidP="00FA3C20" w14:paraId="00611E2F" w14:textId="77777777">
            <w:pPr>
              <w:widowControl/>
              <w:spacing w:after="0" w:line="240" w:lineRule="auto"/>
              <w:jc w:val="both"/>
              <w:rPr>
                <w:lang w:eastAsia="en-US"/>
              </w:rPr>
            </w:pPr>
            <w:r w:rsidRPr="00500166">
              <w:rPr>
                <w:lang w:eastAsia="en-US"/>
              </w:rPr>
              <w:t>2019.</w:t>
            </w:r>
            <w:r>
              <w:rPr>
                <w:lang w:eastAsia="en-US"/>
              </w:rPr>
              <w:t> </w:t>
            </w:r>
            <w:r w:rsidRPr="00500166">
              <w:rPr>
                <w:lang w:eastAsia="en-US"/>
              </w:rPr>
              <w:t>gada 20.</w:t>
            </w:r>
            <w:r>
              <w:rPr>
                <w:lang w:eastAsia="en-US"/>
              </w:rPr>
              <w:t> </w:t>
            </w:r>
            <w:r w:rsidRPr="00500166">
              <w:rPr>
                <w:lang w:eastAsia="en-US"/>
              </w:rPr>
              <w:t>jūnija Valsts sekretāru sanāksmē ir izsludināti grozījumi Ministru kabineta 2006.</w:t>
            </w:r>
            <w:r>
              <w:rPr>
                <w:lang w:eastAsia="en-US"/>
              </w:rPr>
              <w:t> </w:t>
            </w:r>
            <w:r w:rsidRPr="00500166">
              <w:rPr>
                <w:lang w:eastAsia="en-US"/>
              </w:rPr>
              <w:t>gada 24.</w:t>
            </w:r>
            <w:r>
              <w:rPr>
                <w:lang w:eastAsia="en-US"/>
              </w:rPr>
              <w:t> </w:t>
            </w:r>
            <w:r w:rsidRPr="00500166">
              <w:rPr>
                <w:lang w:eastAsia="en-US"/>
              </w:rPr>
              <w:t>oktobra noteikumos Nr.</w:t>
            </w:r>
            <w:r>
              <w:rPr>
                <w:lang w:eastAsia="en-US"/>
              </w:rPr>
              <w:t> </w:t>
            </w:r>
            <w:r w:rsidRPr="00500166">
              <w:rPr>
                <w:lang w:eastAsia="en-US"/>
              </w:rPr>
              <w:t xml:space="preserve">870 </w:t>
            </w:r>
            <w:r>
              <w:rPr>
                <w:lang w:eastAsia="en-US"/>
              </w:rPr>
              <w:t>“</w:t>
            </w:r>
            <w:r w:rsidRPr="00500166">
              <w:rPr>
                <w:lang w:eastAsia="en-US"/>
              </w:rPr>
              <w:t>Kārtība, kādā tiek akreditēti masu informācijas līdzekļu žurnālisti un citi pārstāvji akreditētājinstitūcijā” (turpmāk – Akreditācijas noteikumi). Ar minētajiem grozījumiem plānots papildināt esošo tiesisko regulējumu, lai mazinātu risku, ka masu informācijas līdzekļi, to pārstāvji vai personas, kuras par tādām uzdodas, izmanto žurnālista tiesības un brīvības pretēji to mērķim.</w:t>
            </w:r>
          </w:p>
          <w:p w:rsidR="00275CC4" w:rsidRPr="00500166" w:rsidP="00FA3C20" w14:paraId="28CFAC6B" w14:textId="77777777">
            <w:pPr>
              <w:widowControl/>
              <w:spacing w:after="0" w:line="240" w:lineRule="auto"/>
              <w:jc w:val="both"/>
              <w:rPr>
                <w:lang w:eastAsia="en-US"/>
              </w:rPr>
            </w:pPr>
            <w:r w:rsidRPr="00500166">
              <w:rPr>
                <w:lang w:eastAsia="en-US"/>
              </w:rPr>
              <w:t>Viens no grozījumiem paredz tiesības akreditētājins</w:t>
            </w:r>
            <w:r>
              <w:rPr>
                <w:lang w:eastAsia="en-US"/>
              </w:rPr>
              <w:t>t</w:t>
            </w:r>
            <w:r w:rsidRPr="00500166">
              <w:rPr>
                <w:lang w:eastAsia="en-US"/>
              </w:rPr>
              <w:t xml:space="preserve">itūcijai atteikt akreditāciju, apturēt </w:t>
            </w:r>
            <w:r>
              <w:rPr>
                <w:lang w:eastAsia="en-US"/>
              </w:rPr>
              <w:t xml:space="preserve">to </w:t>
            </w:r>
            <w:r w:rsidRPr="00500166">
              <w:rPr>
                <w:lang w:eastAsia="en-US"/>
              </w:rPr>
              <w:t xml:space="preserve">vai anulēt gadījumos, kad konstatēts apdraudējums valsts drošībai. Medijam un tā pārstāvim pēc būtības jāpārstāv mediju nozare kā labticīgam jeb </w:t>
            </w:r>
            <w:r w:rsidRPr="00500166">
              <w:rPr>
                <w:i/>
                <w:lang w:eastAsia="en-US"/>
              </w:rPr>
              <w:t>bona fide</w:t>
            </w:r>
            <w:r w:rsidRPr="00500166">
              <w:rPr>
                <w:lang w:eastAsia="en-US"/>
              </w:rPr>
              <w:t xml:space="preserve"> masu informācijas līdzeklim</w:t>
            </w:r>
            <w:r>
              <w:rPr>
                <w:lang w:eastAsia="en-US"/>
              </w:rPr>
              <w:t>,</w:t>
            </w:r>
            <w:r w:rsidRPr="00500166">
              <w:rPr>
                <w:lang w:eastAsia="en-US"/>
              </w:rPr>
              <w:t xml:space="preserve"> un tas nedrīkst strādāt kā nelikumīga satura izplatīšanas rīks, t.</w:t>
            </w:r>
            <w:r>
              <w:rPr>
                <w:lang w:eastAsia="en-US"/>
              </w:rPr>
              <w:t> </w:t>
            </w:r>
            <w:r w:rsidRPr="00500166">
              <w:rPr>
                <w:lang w:eastAsia="en-US"/>
              </w:rPr>
              <w:t>sk. radot apdraudējumu valsts drošībai.</w:t>
            </w:r>
          </w:p>
          <w:p w:rsidR="00275CC4" w:rsidRPr="00500166" w:rsidP="00FA3C20" w14:paraId="42165951" w14:textId="77777777">
            <w:pPr>
              <w:spacing w:after="0" w:line="240" w:lineRule="auto"/>
              <w:jc w:val="both"/>
              <w:rPr>
                <w:lang w:eastAsia="en-US"/>
              </w:rPr>
            </w:pPr>
            <w:r w:rsidRPr="00500166">
              <w:rPr>
                <w:lang w:eastAsia="en-US"/>
              </w:rPr>
              <w:t>Jebk</w:t>
            </w:r>
            <w:r>
              <w:rPr>
                <w:lang w:eastAsia="en-US"/>
              </w:rPr>
              <w:t>uri</w:t>
            </w:r>
            <w:r w:rsidRPr="00500166">
              <w:rPr>
                <w:lang w:eastAsia="en-US"/>
              </w:rPr>
              <w:t xml:space="preserve"> žurnālista akreditācijas atteikšanas, apturēšanas vai anulēšanas </w:t>
            </w:r>
            <w:r>
              <w:rPr>
                <w:lang w:eastAsia="en-US"/>
              </w:rPr>
              <w:t xml:space="preserve">gadījumu </w:t>
            </w:r>
            <w:r w:rsidRPr="00500166">
              <w:rPr>
                <w:lang w:eastAsia="en-US"/>
              </w:rPr>
              <w:t>pamat</w:t>
            </w:r>
            <w:r>
              <w:rPr>
                <w:lang w:eastAsia="en-US"/>
              </w:rPr>
              <w:t>ojumi</w:t>
            </w:r>
            <w:r w:rsidRPr="00500166">
              <w:rPr>
                <w:lang w:eastAsia="en-US"/>
              </w:rPr>
              <w:t xml:space="preserve"> ir vērtējami šauri, ņemot vērā vārda brīvības fundamentālo nozīmi demokrātisko procesu nodrošināšanā. Tas īpaši attiecināms uz ierobežojumiem, kas </w:t>
            </w:r>
            <w:r>
              <w:rPr>
                <w:lang w:eastAsia="en-US"/>
              </w:rPr>
              <w:t xml:space="preserve">saistīti </w:t>
            </w:r>
            <w:r w:rsidRPr="00500166">
              <w:rPr>
                <w:lang w:eastAsia="en-US"/>
              </w:rPr>
              <w:t>ar žurnālista vai medija veidoto saturu. Līdzšinējā starptautisk</w:t>
            </w:r>
            <w:r>
              <w:rPr>
                <w:lang w:eastAsia="en-US"/>
              </w:rPr>
              <w:t>aj</w:t>
            </w:r>
            <w:r w:rsidRPr="00500166">
              <w:rPr>
                <w:lang w:eastAsia="en-US"/>
              </w:rPr>
              <w:t>ā praks</w:t>
            </w:r>
            <w:r>
              <w:rPr>
                <w:lang w:eastAsia="en-US"/>
              </w:rPr>
              <w:t>ē</w:t>
            </w:r>
            <w:r w:rsidRPr="00500166">
              <w:rPr>
                <w:lang w:eastAsia="en-US"/>
              </w:rPr>
              <w:t xml:space="preserve"> nav </w:t>
            </w:r>
            <w:r>
              <w:rPr>
                <w:lang w:eastAsia="en-US"/>
              </w:rPr>
              <w:t>pieļaujami</w:t>
            </w:r>
            <w:r w:rsidRPr="00500166">
              <w:rPr>
                <w:lang w:eastAsia="en-US"/>
              </w:rPr>
              <w:t xml:space="preserve"> akreditācijas ierobežojum</w:t>
            </w:r>
            <w:r>
              <w:rPr>
                <w:lang w:eastAsia="en-US"/>
              </w:rPr>
              <w:t>i</w:t>
            </w:r>
            <w:r w:rsidRPr="00500166">
              <w:rPr>
                <w:lang w:eastAsia="en-US"/>
              </w:rPr>
              <w:t xml:space="preserve">, balstoties uz žurnālista darba saturu (skat., piemēram, </w:t>
            </w:r>
            <w:r w:rsidRPr="00500166">
              <w:rPr>
                <w:shd w:val="clear" w:color="auto" w:fill="FFFFFF"/>
                <w:lang w:eastAsia="en-US"/>
              </w:rPr>
              <w:t>Eiropas Drošības un sadarbības organizācijas</w:t>
            </w:r>
            <w:r w:rsidRPr="00500166">
              <w:rPr>
                <w:lang w:eastAsia="en-US"/>
              </w:rPr>
              <w:t xml:space="preserve"> (EDSO) konferences secinājumus, 39.</w:t>
            </w:r>
            <w:r>
              <w:rPr>
                <w:lang w:eastAsia="en-US"/>
              </w:rPr>
              <w:t> paragrāfa</w:t>
            </w:r>
            <w:r w:rsidRPr="00500166">
              <w:rPr>
                <w:lang w:eastAsia="en-US"/>
              </w:rPr>
              <w:t xml:space="preserve"> 30.</w:t>
            </w:r>
            <w:r>
              <w:rPr>
                <w:lang w:eastAsia="en-US"/>
              </w:rPr>
              <w:t> </w:t>
            </w:r>
            <w:r w:rsidRPr="00500166">
              <w:rPr>
                <w:lang w:eastAsia="en-US"/>
              </w:rPr>
              <w:t xml:space="preserve">lpp.: </w:t>
            </w:r>
            <w:hyperlink r:id="rId5" w:history="1">
              <w:r w:rsidRPr="00500166">
                <w:rPr>
                  <w:color w:val="0000FF"/>
                  <w:u w:val="single"/>
                  <w:lang w:eastAsia="en-US"/>
                </w:rPr>
                <w:t>https://www.osce.org/mc/40881?download=true</w:t>
              </w:r>
            </w:hyperlink>
            <w:r w:rsidRPr="00500166">
              <w:rPr>
                <w:lang w:eastAsia="en-US"/>
              </w:rPr>
              <w:t xml:space="preserve">). Vēl jo vairāk </w:t>
            </w:r>
            <w:r>
              <w:rPr>
                <w:lang w:eastAsia="en-US"/>
              </w:rPr>
              <w:t xml:space="preserve">– </w:t>
            </w:r>
            <w:r w:rsidRPr="00500166">
              <w:rPr>
                <w:lang w:eastAsia="en-US"/>
              </w:rPr>
              <w:t>žurnālista vai medija veidotais saturs nedrīkstētu būt par pamatu masu informācijas līdzekļa darbības izbeigšanai.</w:t>
            </w:r>
          </w:p>
          <w:p w:rsidR="00275CC4" w:rsidRPr="00500166" w:rsidP="00FA3C20" w14:paraId="6E6D557C" w14:textId="77777777">
            <w:pPr>
              <w:widowControl/>
              <w:spacing w:after="0" w:line="240" w:lineRule="auto"/>
              <w:jc w:val="both"/>
              <w:rPr>
                <w:lang w:eastAsia="en-US"/>
              </w:rPr>
            </w:pPr>
            <w:r w:rsidRPr="00500166">
              <w:rPr>
                <w:lang w:eastAsia="en-US"/>
              </w:rPr>
              <w:t xml:space="preserve">Papildus jāņem vērā mediju konverģences apstākļi, kas veicinājuši tradicionālo mediju attīstību un jaunu izpausmes formu pieņemšanu, lai pielāgotos digitālajam laikmetam. Tas nozīmē, ka ikviena persona var tikt atzīta par mediju vai žurnālistu, ja tā veic medijam vai žurnālistam raksturīgas funkcijas. No minētā izriet, ka reģistrācija Uzņēmumu reģistra Masu informācijas līdzekļu reģistrā nav uzskatāma par galveno pazīmi, lai nošķirtu mediju no citiem subjektiem, kuri īsteno medijam raksturīgās funkcijas. Tāpat jāņem vērā jurisdikcijas robežas, proti, Latvijas jurisdikcijā noteiktie tiesību ierobežojumi nav attiecināmi uz tādiem medijiem, kas atrodas citu valstu jurisdikcijā. Līdz ar to īstenojama virkne citu tiesisko instrumentu, lai veicinātu Latvijas drošībai un sabiedrības interesēm atbilstošas mediju vides pastāvēšanu. </w:t>
            </w:r>
          </w:p>
          <w:p w:rsidR="00275CC4" w:rsidRPr="00500166" w:rsidP="00FA3C20" w14:paraId="737566D0" w14:textId="77777777">
            <w:pPr>
              <w:widowControl/>
              <w:spacing w:after="0" w:line="240" w:lineRule="auto"/>
              <w:jc w:val="both"/>
              <w:rPr>
                <w:lang w:eastAsia="en-US"/>
              </w:rPr>
            </w:pPr>
            <w:r w:rsidRPr="00500166">
              <w:rPr>
                <w:lang w:eastAsia="en-US"/>
              </w:rPr>
              <w:t>Par īpaši smagiem pārkāpumiem, kas apdraud valsts vai sabiedrības drošības intereses</w:t>
            </w:r>
            <w:r>
              <w:rPr>
                <w:lang w:eastAsia="en-US"/>
              </w:rPr>
              <w:t>,</w:t>
            </w:r>
            <w:r w:rsidRPr="00500166">
              <w:rPr>
                <w:lang w:eastAsia="en-US"/>
              </w:rPr>
              <w:t xml:space="preserve"> paredzēta atbildība Krimināllikumā.</w:t>
            </w:r>
          </w:p>
          <w:p w:rsidR="00275CC4" w:rsidRPr="00500166" w:rsidP="00FA3C20" w14:paraId="79F621A2" w14:textId="77777777">
            <w:pPr>
              <w:widowControl/>
              <w:spacing w:after="0" w:line="240" w:lineRule="auto"/>
              <w:jc w:val="both"/>
              <w:rPr>
                <w:lang w:eastAsia="en-US"/>
              </w:rPr>
            </w:pPr>
            <w:r w:rsidRPr="00500166">
              <w:rPr>
                <w:lang w:eastAsia="en-US"/>
              </w:rPr>
              <w:t>Valstu starptautiskās informācijas aģentūras vai sabiedrisko attiecību aģentūras nebauda medijam raksturīgo tiesību un brīvību aizsardzību, jo minētie subjekti nav uzskatāmi par masu informācijas līdzekļiem.</w:t>
            </w:r>
          </w:p>
          <w:p w:rsidR="00275CC4" w:rsidRPr="00500166" w:rsidP="00FA3C20" w14:paraId="72754F97" w14:textId="77777777">
            <w:pPr>
              <w:widowControl/>
              <w:spacing w:after="0" w:line="240" w:lineRule="auto"/>
              <w:jc w:val="both"/>
              <w:rPr>
                <w:lang w:eastAsia="en-US"/>
              </w:rPr>
            </w:pPr>
            <w:r w:rsidRPr="00500166">
              <w:rPr>
                <w:lang w:eastAsia="en-US"/>
              </w:rPr>
              <w:t>Reklāmas likuma 3.</w:t>
            </w:r>
            <w:r>
              <w:rPr>
                <w:lang w:eastAsia="en-US"/>
              </w:rPr>
              <w:t> </w:t>
            </w:r>
            <w:r w:rsidRPr="00500166">
              <w:rPr>
                <w:lang w:eastAsia="en-US"/>
              </w:rPr>
              <w:t>pants ietver pienākumu nodrošināt, ka reklāma ir likumīga. Likumīga reklāma tās plašākajā nozīmē ietver arī atbilstību Satversmei, t.</w:t>
            </w:r>
            <w:r>
              <w:rPr>
                <w:lang w:eastAsia="en-US"/>
              </w:rPr>
              <w:t> </w:t>
            </w:r>
            <w:r w:rsidRPr="00500166">
              <w:rPr>
                <w:lang w:eastAsia="en-US"/>
              </w:rPr>
              <w:t xml:space="preserve">sk. Satversmes garantētajām tiesībām, brīvībām un interešu aizsardzībai. </w:t>
            </w:r>
          </w:p>
          <w:p w:rsidR="00275CC4" w:rsidRPr="00500166" w:rsidP="00FA3C20" w14:paraId="197B4AEB" w14:textId="77777777">
            <w:pPr>
              <w:spacing w:after="0" w:line="240" w:lineRule="auto"/>
              <w:jc w:val="both"/>
              <w:rPr>
                <w:lang w:eastAsia="en-US"/>
              </w:rPr>
            </w:pPr>
            <w:r w:rsidRPr="00500166">
              <w:rPr>
                <w:lang w:eastAsia="en-US"/>
              </w:rPr>
              <w:t>Krimināllikuma 10.</w:t>
            </w:r>
            <w:r>
              <w:rPr>
                <w:lang w:eastAsia="en-US"/>
              </w:rPr>
              <w:t> </w:t>
            </w:r>
            <w:r w:rsidRPr="00500166">
              <w:rPr>
                <w:lang w:eastAsia="en-US"/>
              </w:rPr>
              <w:t>nodaļa paredz kriminālatbildību par noziegumiem pret valsti, kas aptver arī valsts drošības intereses, proti, noziedzīgi nodarījumi pret valsti ir atzīstami par tik būtiskiem, lai par šādiem nodarījumiem piemērotu kriminālatbildību. Ņemot vērā valsts drošības interešu apdraudējuma nozīmīgumu, noziedzīgs nodarījums par, piemēram, aicinājumu īstenot Latvijas valsts iekārtas vardarbīgu grozīšanu, ir pietiekami būtisks, lai piemērotu Krimināllikuma tiesību normas, neatkarīgi no veida un platformas, kādā šāds aicinājums tiek izplatīts. No minētā izriet, ka iespējamais noziedzīgais nodarījums ir tik smags, ka administratīvā atbildība nebūtu piemērojama, līdz ar to netiktu sasniegts dotā uzdevuma vispārējais mērķis.</w:t>
            </w:r>
          </w:p>
          <w:p w:rsidR="00275CC4" w:rsidRPr="00500166" w:rsidP="00FA3C20" w14:paraId="29F5E4FA" w14:textId="77777777">
            <w:pPr>
              <w:widowControl/>
              <w:spacing w:after="0" w:line="240" w:lineRule="auto"/>
              <w:jc w:val="both"/>
              <w:rPr>
                <w:lang w:eastAsia="en-US"/>
              </w:rPr>
            </w:pPr>
            <w:r w:rsidRPr="00500166">
              <w:rPr>
                <w:lang w:eastAsia="en-US"/>
              </w:rPr>
              <w:t xml:space="preserve">Papildus norādāms, ka Ekonomikas ministrija ir vadošā valsts pārvaldes iestāde ekonomiskās politikas jomā, kas ietver arī Reklāmas likuma regulējuma pilnveidošanu nepieciešamības gadījumā. Nacionālā elektronisko plašsaziņas līdzekļu padome, īstenojot uzraudzības </w:t>
            </w:r>
            <w:r w:rsidRPr="00500166">
              <w:rPr>
                <w:lang w:eastAsia="en-US"/>
              </w:rPr>
              <w:t>iestādes funkcijas Reklāmas likuma 13.</w:t>
            </w:r>
            <w:r>
              <w:rPr>
                <w:lang w:eastAsia="en-US"/>
              </w:rPr>
              <w:t> </w:t>
            </w:r>
            <w:r w:rsidRPr="00500166">
              <w:rPr>
                <w:lang w:eastAsia="en-US"/>
              </w:rPr>
              <w:t xml:space="preserve">panta izpratnē, uzrauga tikai ļoti </w:t>
            </w:r>
            <w:r>
              <w:rPr>
                <w:lang w:eastAsia="en-US"/>
              </w:rPr>
              <w:t xml:space="preserve">nelielu visplašākā </w:t>
            </w:r>
            <w:r w:rsidRPr="00500166">
              <w:rPr>
                <w:lang w:eastAsia="en-US"/>
              </w:rPr>
              <w:t>spektra reklāmas veid</w:t>
            </w:r>
            <w:r>
              <w:rPr>
                <w:lang w:eastAsia="en-US"/>
              </w:rPr>
              <w:t xml:space="preserve">u daļu, </w:t>
            </w:r>
            <w:r w:rsidRPr="00500166">
              <w:rPr>
                <w:lang w:eastAsia="en-US"/>
              </w:rPr>
              <w:t>kuru pieļauj Reklāmas likums. Līdz ar to nav pamatots uzdevums Kultūras ministrijai veikt grozījumus Reklāmas likumā.</w:t>
            </w:r>
          </w:p>
          <w:p w:rsidR="00275CC4" w:rsidRPr="00500166" w:rsidP="00FA3C20" w14:paraId="595E08DC" w14:textId="77777777">
            <w:pPr>
              <w:spacing w:after="0" w:line="240" w:lineRule="auto"/>
              <w:jc w:val="both"/>
              <w:rPr>
                <w:iCs/>
              </w:rPr>
            </w:pPr>
          </w:p>
          <w:p w:rsidR="00275CC4" w:rsidRPr="00500166" w:rsidP="00FA3C20" w14:paraId="0786C90D" w14:textId="77777777">
            <w:pPr>
              <w:spacing w:after="0" w:line="240" w:lineRule="auto"/>
              <w:jc w:val="both"/>
              <w:rPr>
                <w:rFonts w:eastAsia="Times New Roman"/>
              </w:rPr>
            </w:pPr>
            <w:r w:rsidRPr="00500166">
              <w:rPr>
                <w:rFonts w:eastAsia="Times New Roman"/>
              </w:rPr>
              <w:t xml:space="preserve">Sevišķi svarīgus iemeslus saistībā ar nacionālās drošības interešu aizsardzības nodrošināšanu intelektuālā īpašuma </w:t>
            </w:r>
            <w:r>
              <w:rPr>
                <w:rFonts w:eastAsia="Times New Roman"/>
              </w:rPr>
              <w:t xml:space="preserve">izgudrojumu daļā, </w:t>
            </w:r>
            <w:r w:rsidRPr="00500166">
              <w:rPr>
                <w:rFonts w:eastAsia="Times New Roman"/>
              </w:rPr>
              <w:t xml:space="preserve">tostarp arī </w:t>
            </w:r>
            <w:r>
              <w:rPr>
                <w:rFonts w:eastAsia="Times New Roman"/>
              </w:rPr>
              <w:t xml:space="preserve">par </w:t>
            </w:r>
            <w:r w:rsidRPr="00500166">
              <w:rPr>
                <w:rFonts w:eastAsia="Times New Roman"/>
              </w:rPr>
              <w:t>augu šķirnēm, pašreiz jau paredz Patentu likuma regulējums.</w:t>
            </w:r>
          </w:p>
          <w:p w:rsidR="00275CC4" w:rsidRPr="00500166" w:rsidP="00FA3C20" w14:paraId="58DBA521" w14:textId="77777777">
            <w:pPr>
              <w:spacing w:after="0" w:line="240" w:lineRule="auto"/>
              <w:jc w:val="both"/>
              <w:rPr>
                <w:rFonts w:eastAsia="Times New Roman"/>
              </w:rPr>
            </w:pPr>
            <w:r w:rsidRPr="00500166">
              <w:rPr>
                <w:rFonts w:eastAsia="Times New Roman"/>
              </w:rPr>
              <w:t xml:space="preserve">Atbilstoši Patentu likuma </w:t>
            </w:r>
            <w:r w:rsidRPr="00500166">
              <w:rPr>
                <w:rFonts w:eastAsia="Times New Roman"/>
                <w:bCs/>
              </w:rPr>
              <w:t>11.</w:t>
            </w:r>
            <w:r>
              <w:rPr>
                <w:rFonts w:eastAsia="Times New Roman"/>
                <w:bCs/>
              </w:rPr>
              <w:t> </w:t>
            </w:r>
            <w:r w:rsidRPr="00500166">
              <w:rPr>
                <w:rFonts w:eastAsia="Times New Roman"/>
                <w:bCs/>
              </w:rPr>
              <w:t>pantam, j</w:t>
            </w:r>
            <w:r w:rsidRPr="00500166">
              <w:rPr>
                <w:rFonts w:eastAsia="Times New Roman"/>
              </w:rPr>
              <w:t>a izgudrojums skar valsts aizsardzības intereses, Aizsardzības ministrija tam var piešķirt slepena izgudrojuma statusu un Patentu valde šajā likumā noteiktajā kārtībā pieņem lēmumu par patenta piešķiršanu, nepiemērojot šā likuma 35. un 38.</w:t>
            </w:r>
            <w:r>
              <w:rPr>
                <w:rFonts w:eastAsia="Times New Roman"/>
              </w:rPr>
              <w:t> </w:t>
            </w:r>
            <w:r w:rsidRPr="00500166">
              <w:rPr>
                <w:rFonts w:eastAsia="Times New Roman"/>
              </w:rPr>
              <w:t>panta regulējumu par patenta pieteikuma un piešķirtā patenta publiskošanu, kā arī nepiemēro prasību samaksāt maksu par patenta publikāciju. Patenta pieteikumu un patentu publisko pēc slepenības statusa atcelšanas un pēc maksas par patenta publikāciju samaksas. Patenta īpašnieka mantisko tiesību uz slepen</w:t>
            </w:r>
            <w:r>
              <w:rPr>
                <w:rFonts w:eastAsia="Times New Roman"/>
              </w:rPr>
              <w:t>o</w:t>
            </w:r>
            <w:r w:rsidRPr="00500166">
              <w:rPr>
                <w:rFonts w:eastAsia="Times New Roman"/>
              </w:rPr>
              <w:t xml:space="preserve"> izgudrojumu apjomu nosaka līgums ar Aizsardzības ministriju.</w:t>
            </w:r>
          </w:p>
          <w:p w:rsidR="00275CC4" w:rsidRPr="00500166" w:rsidP="00FA3C20" w14:paraId="7D5ABFAC" w14:textId="77777777">
            <w:pPr>
              <w:spacing w:after="0" w:line="240" w:lineRule="auto"/>
              <w:jc w:val="both"/>
              <w:rPr>
                <w:rFonts w:eastAsia="Times New Roman"/>
              </w:rPr>
            </w:pPr>
            <w:r w:rsidRPr="00500166">
              <w:rPr>
                <w:rFonts w:eastAsia="Times New Roman"/>
              </w:rPr>
              <w:t>Ievērojot Patentu likuma 54.</w:t>
            </w:r>
            <w:r>
              <w:rPr>
                <w:rFonts w:eastAsia="Times New Roman"/>
              </w:rPr>
              <w:t> </w:t>
            </w:r>
            <w:r w:rsidRPr="00500166">
              <w:rPr>
                <w:rFonts w:eastAsia="Times New Roman"/>
              </w:rPr>
              <w:t xml:space="preserve">pantu, jebkura persona (tostarp arī Latvijas Republika kā sākotnējā publisko tiesību juridiskā persona) var iegūt piespiedu licenci,  ja </w:t>
            </w:r>
            <w:r w:rsidRPr="00500166">
              <w:rPr>
                <w:rFonts w:eastAsia="Times New Roman"/>
                <w:u w:val="single"/>
              </w:rPr>
              <w:t>četru gadu laikā</w:t>
            </w:r>
            <w:r w:rsidRPr="00500166">
              <w:rPr>
                <w:rFonts w:eastAsia="Times New Roman"/>
              </w:rPr>
              <w:t xml:space="preserve"> pēc pieteikuma datuma vai </w:t>
            </w:r>
            <w:r w:rsidRPr="00500166">
              <w:rPr>
                <w:rFonts w:eastAsia="Times New Roman"/>
                <w:u w:val="single"/>
              </w:rPr>
              <w:t>triju gadu laikā</w:t>
            </w:r>
            <w:r w:rsidRPr="00500166">
              <w:rPr>
                <w:rFonts w:eastAsia="Times New Roman"/>
              </w:rPr>
              <w:t xml:space="preserve"> pēc dienas, kad publicēts paziņojums par patenta piešķiršanu, patentētais izgudrojums </w:t>
            </w:r>
            <w:r w:rsidRPr="00500166">
              <w:rPr>
                <w:rFonts w:eastAsia="Times New Roman"/>
                <w:u w:val="single"/>
              </w:rPr>
              <w:t>Latvijas Republikā nav izmantots vai ir izmantots nepietiekamā apjomā</w:t>
            </w:r>
            <w:r w:rsidRPr="00500166">
              <w:rPr>
                <w:rFonts w:eastAsia="Times New Roman"/>
              </w:rPr>
              <w:t xml:space="preserve">, iesniedzot </w:t>
            </w:r>
            <w:r>
              <w:rPr>
                <w:rFonts w:eastAsia="Times New Roman"/>
              </w:rPr>
              <w:t>A</w:t>
            </w:r>
            <w:r w:rsidRPr="00500166">
              <w:rPr>
                <w:rFonts w:eastAsia="Times New Roman"/>
              </w:rPr>
              <w:t xml:space="preserve">dministratīvajā tiesā pieteikumu ar lūgumu piešķirt tai atļauju (piespiedu licenci) izmantot patentēto izgudrojumu atbilstoši šim likumam un tiesas nolēmumam. </w:t>
            </w:r>
          </w:p>
          <w:p w:rsidR="00275CC4" w:rsidRPr="00500166" w:rsidP="00FA3C20" w14:paraId="1D781DC7" w14:textId="77777777">
            <w:pPr>
              <w:spacing w:after="0" w:line="240" w:lineRule="auto"/>
              <w:jc w:val="both"/>
              <w:rPr>
                <w:rFonts w:eastAsia="Times New Roman"/>
              </w:rPr>
            </w:pPr>
            <w:r w:rsidRPr="00500166">
              <w:rPr>
                <w:rFonts w:eastAsia="Times New Roman"/>
              </w:rPr>
              <w:t>Piespiedu licenci atbilstoši Patentu likuma 54.</w:t>
            </w:r>
            <w:r>
              <w:rPr>
                <w:rFonts w:eastAsia="Times New Roman"/>
              </w:rPr>
              <w:t> </w:t>
            </w:r>
            <w:r w:rsidRPr="00500166">
              <w:rPr>
                <w:rFonts w:eastAsia="Times New Roman"/>
              </w:rPr>
              <w:t xml:space="preserve">panta pirmajai un otrajai daļai </w:t>
            </w:r>
            <w:r w:rsidRPr="00500166">
              <w:rPr>
                <w:rFonts w:eastAsia="Times New Roman"/>
                <w:u w:val="single"/>
              </w:rPr>
              <w:t>var iegū</w:t>
            </w:r>
            <w:r w:rsidRPr="00500166">
              <w:rPr>
                <w:rFonts w:eastAsia="Times New Roman"/>
              </w:rPr>
              <w:t>t, ja: 1) patentētajam objektam vai ar patentēto paņēmienu iegūtajam produktam ir vitāli svarīga nozīme Latvijas iedzīvotāju labklājības, aizsardzības vai ekonomisko interešu nodrošināšanā; 2) izgudrojumu, kam ir īpaši svarīga saimnieciska nozīme, nevar izmantot bez cita agrāk patentēta izgudrojuma izmantošanas.</w:t>
            </w:r>
          </w:p>
          <w:p w:rsidR="00275CC4" w:rsidRPr="00500166" w:rsidP="009F520A" w14:paraId="241B0B2D" w14:textId="77777777">
            <w:pPr>
              <w:spacing w:after="0" w:line="240" w:lineRule="auto"/>
              <w:jc w:val="both"/>
              <w:rPr>
                <w:rFonts w:eastAsia="Times New Roman"/>
              </w:rPr>
            </w:pPr>
            <w:r w:rsidRPr="00500166">
              <w:rPr>
                <w:rFonts w:eastAsia="Times New Roman"/>
              </w:rPr>
              <w:t>Papildus minētajam, ja valstī ir noteikts ārkārtas stāvoklis, Ministru kabinets var piešķirt piespiedu licenci.</w:t>
            </w:r>
          </w:p>
          <w:p w:rsidR="00275CC4" w:rsidRPr="00500166" w:rsidP="009F520A" w14:paraId="3C887372" w14:textId="77777777">
            <w:pPr>
              <w:spacing w:after="0" w:line="240" w:lineRule="auto"/>
              <w:jc w:val="both"/>
              <w:rPr>
                <w:rFonts w:eastAsia="Times New Roman"/>
              </w:rPr>
            </w:pPr>
            <w:r w:rsidRPr="00500166">
              <w:rPr>
                <w:rFonts w:eastAsia="Times New Roman"/>
              </w:rPr>
              <w:t>Tiesa var lemt par piespiedu licences termiņa izbeigšanu, ja Patentu likuma 54.</w:t>
            </w:r>
            <w:r>
              <w:rPr>
                <w:rFonts w:eastAsia="Times New Roman"/>
              </w:rPr>
              <w:t> </w:t>
            </w:r>
            <w:r w:rsidRPr="00500166">
              <w:rPr>
                <w:rFonts w:eastAsia="Times New Roman"/>
              </w:rPr>
              <w:t>panta pir</w:t>
            </w:r>
            <w:r w:rsidRPr="00500166">
              <w:rPr>
                <w:rFonts w:eastAsia="Times New Roman"/>
              </w:rPr>
              <w:softHyphen/>
              <w:t>majā daļā vai trešās daļas 1.</w:t>
            </w:r>
            <w:r>
              <w:rPr>
                <w:rFonts w:eastAsia="Times New Roman"/>
              </w:rPr>
              <w:t> </w:t>
            </w:r>
            <w:r w:rsidRPr="00500166">
              <w:rPr>
                <w:rFonts w:eastAsia="Times New Roman"/>
              </w:rPr>
              <w:t xml:space="preserve">punktā minētie apstākļi vairs nepastāv un </w:t>
            </w:r>
            <w:r w:rsidRPr="00500166">
              <w:rPr>
                <w:rFonts w:eastAsia="Times New Roman"/>
              </w:rPr>
              <w:t>to atkārtota iestāšanās ir maz ticama.</w:t>
            </w:r>
          </w:p>
          <w:p w:rsidR="00275CC4" w:rsidRPr="00500166" w:rsidP="009F520A" w14:paraId="59C1BBCC" w14:textId="77777777">
            <w:pPr>
              <w:spacing w:after="0" w:line="240" w:lineRule="auto"/>
              <w:jc w:val="both"/>
              <w:rPr>
                <w:rFonts w:eastAsia="Times New Roman"/>
              </w:rPr>
            </w:pPr>
            <w:r w:rsidRPr="00500166">
              <w:rPr>
                <w:rFonts w:eastAsia="Times New Roman"/>
              </w:rPr>
              <w:t>Piespiedu licences turētājs maksā patenta īpašniekam kompensāciju, kuras apmēru nosaka tiesa, ievērojot licences ekonomisko vērtību, izgudrojuma izmantošanas apjomu un citus apstākļus.</w:t>
            </w:r>
          </w:p>
          <w:p w:rsidR="00275CC4" w:rsidRPr="00500166" w:rsidP="009F520A" w14:paraId="784E63B6" w14:textId="77777777">
            <w:pPr>
              <w:spacing w:after="0" w:line="240" w:lineRule="auto"/>
              <w:jc w:val="both"/>
              <w:rPr>
                <w:rFonts w:eastAsia="Times New Roman"/>
              </w:rPr>
            </w:pPr>
          </w:p>
          <w:p w:rsidR="00275CC4" w:rsidRPr="00500166" w:rsidP="009F520A" w14:paraId="72543ED1" w14:textId="77777777">
            <w:pPr>
              <w:spacing w:after="0" w:line="240" w:lineRule="auto"/>
              <w:jc w:val="both"/>
              <w:rPr>
                <w:rFonts w:eastAsia="Times New Roman"/>
              </w:rPr>
            </w:pPr>
            <w:r w:rsidRPr="00500166">
              <w:rPr>
                <w:rFonts w:eastAsia="Times New Roman"/>
              </w:rPr>
              <w:t xml:space="preserve">Vides aizsardzības un reģionālās attīstības ministrija (turpmāk arī </w:t>
            </w:r>
            <w:r>
              <w:rPr>
                <w:rFonts w:eastAsia="Times New Roman"/>
              </w:rPr>
              <w:t xml:space="preserve">– </w:t>
            </w:r>
            <w:r w:rsidRPr="00500166">
              <w:rPr>
                <w:rFonts w:eastAsia="Times New Roman"/>
              </w:rPr>
              <w:t>VARAM), izpildot Ministru kabineta 2019.</w:t>
            </w:r>
            <w:r>
              <w:rPr>
                <w:rFonts w:eastAsia="Times New Roman"/>
              </w:rPr>
              <w:t> </w:t>
            </w:r>
            <w:r w:rsidRPr="00500166">
              <w:rPr>
                <w:rFonts w:eastAsia="Times New Roman"/>
              </w:rPr>
              <w:t>gada 15.</w:t>
            </w:r>
            <w:r>
              <w:rPr>
                <w:rFonts w:eastAsia="Times New Roman"/>
              </w:rPr>
              <w:t> </w:t>
            </w:r>
            <w:r w:rsidRPr="00500166">
              <w:rPr>
                <w:rFonts w:eastAsia="Times New Roman"/>
              </w:rPr>
              <w:t>janvāra sēdes protokollēmuma Nr.</w:t>
            </w:r>
            <w:r>
              <w:rPr>
                <w:rFonts w:eastAsia="Times New Roman"/>
              </w:rPr>
              <w:t> </w:t>
            </w:r>
            <w:r w:rsidRPr="00500166">
              <w:rPr>
                <w:rFonts w:eastAsia="Times New Roman"/>
              </w:rPr>
              <w:t>2</w:t>
            </w:r>
            <w:r>
              <w:rPr>
                <w:rFonts w:eastAsia="Times New Roman"/>
              </w:rPr>
              <w:t xml:space="preserve"> </w:t>
            </w:r>
            <w:r w:rsidRPr="00500166">
              <w:rPr>
                <w:rFonts w:eastAsia="Times New Roman"/>
              </w:rPr>
              <w:t>71.</w:t>
            </w:r>
            <w:r>
              <w:rPr>
                <w:rFonts w:eastAsia="Times New Roman"/>
              </w:rPr>
              <w:t> </w:t>
            </w:r>
            <w:r w:rsidRPr="00500166">
              <w:rPr>
                <w:rFonts w:eastAsia="Times New Roman"/>
              </w:rPr>
              <w:t xml:space="preserve">§ “Informatīvais ziņojums par iespējamiem risinājumiem nacionālās drošības interešu aizsardzības nodrošināšanai” 3.5. apakšpunktā doto uzdevumu, </w:t>
            </w:r>
            <w:r>
              <w:rPr>
                <w:rFonts w:eastAsia="Times New Roman"/>
              </w:rPr>
              <w:t xml:space="preserve">ir </w:t>
            </w:r>
            <w:r w:rsidRPr="00500166">
              <w:rPr>
                <w:rFonts w:eastAsia="Times New Roman"/>
              </w:rPr>
              <w:t>izstrādāj</w:t>
            </w:r>
            <w:r>
              <w:rPr>
                <w:rFonts w:eastAsia="Times New Roman"/>
              </w:rPr>
              <w:t>usi</w:t>
            </w:r>
            <w:r w:rsidRPr="00500166">
              <w:rPr>
                <w:rFonts w:eastAsia="Times New Roman"/>
              </w:rPr>
              <w:t xml:space="preserve"> likumprojektus “Grozījumi likumā “Par piesārņojumu””, “Grozījumi likumā “Par radiācijas drošību un kodoldrošību””, “Grozījumi likumā “Par zemes dzīlēm””. Ievērojot, ka likumprojektos valsts drošības iestādēm, kas ir Iekšlietu ministrijas padotībā, tika noteikta kompetence, kas saistīta ar nacionālo drošību, VARAM lūdza Iekšlietu ministriju izskatīt sagatavotos likumprojektus un sniegt atzinumu līdz 2019.</w:t>
            </w:r>
            <w:r>
              <w:rPr>
                <w:rFonts w:eastAsia="Times New Roman"/>
              </w:rPr>
              <w:t> </w:t>
            </w:r>
            <w:r w:rsidRPr="00500166">
              <w:rPr>
                <w:rFonts w:eastAsia="Times New Roman"/>
              </w:rPr>
              <w:t>gada 10.</w:t>
            </w:r>
            <w:r>
              <w:rPr>
                <w:rFonts w:eastAsia="Times New Roman"/>
              </w:rPr>
              <w:t> </w:t>
            </w:r>
            <w:r w:rsidRPr="00500166">
              <w:rPr>
                <w:rFonts w:eastAsia="Times New Roman"/>
              </w:rPr>
              <w:t>maijam. Ņemot vērā, ka VARAM norādītajā termiņā nesaņēma Iekšlietu ministrijas viedokli par likumprojektiem “Grozījumi likumā “Par piesārņojumu””, “Grozījumi likumā “Par radiācijas drošību un kodoldrošību””, “Grozījumi likumā “Par zemes dzīlēm””, tika atkārtot</w:t>
            </w:r>
            <w:r>
              <w:rPr>
                <w:rFonts w:eastAsia="Times New Roman"/>
              </w:rPr>
              <w:t>i</w:t>
            </w:r>
            <w:r w:rsidRPr="00500166">
              <w:rPr>
                <w:rFonts w:eastAsia="Times New Roman"/>
              </w:rPr>
              <w:t xml:space="preserve"> lūg</w:t>
            </w:r>
            <w:r>
              <w:rPr>
                <w:rFonts w:eastAsia="Times New Roman"/>
              </w:rPr>
              <w:t>ts</w:t>
            </w:r>
            <w:r w:rsidRPr="00500166">
              <w:rPr>
                <w:rFonts w:eastAsia="Times New Roman"/>
              </w:rPr>
              <w:t xml:space="preserve"> sniegt viedokli līdz š.</w:t>
            </w:r>
            <w:r>
              <w:rPr>
                <w:rFonts w:eastAsia="Times New Roman"/>
              </w:rPr>
              <w:t> </w:t>
            </w:r>
            <w:r w:rsidRPr="00500166">
              <w:rPr>
                <w:rFonts w:eastAsia="Times New Roman"/>
              </w:rPr>
              <w:t>g. 3.</w:t>
            </w:r>
            <w:r>
              <w:rPr>
                <w:rFonts w:eastAsia="Times New Roman"/>
              </w:rPr>
              <w:t> </w:t>
            </w:r>
            <w:r w:rsidRPr="00500166">
              <w:rPr>
                <w:rFonts w:eastAsia="Times New Roman"/>
              </w:rPr>
              <w:t>jūlijam. VARAM līdz 2019.</w:t>
            </w:r>
            <w:r>
              <w:rPr>
                <w:rFonts w:eastAsia="Times New Roman"/>
              </w:rPr>
              <w:t> </w:t>
            </w:r>
            <w:r w:rsidRPr="00500166">
              <w:rPr>
                <w:rFonts w:eastAsia="Times New Roman"/>
              </w:rPr>
              <w:t>gada 22.</w:t>
            </w:r>
            <w:r>
              <w:rPr>
                <w:rFonts w:eastAsia="Times New Roman"/>
              </w:rPr>
              <w:t> </w:t>
            </w:r>
            <w:r w:rsidRPr="00500166">
              <w:rPr>
                <w:rFonts w:eastAsia="Times New Roman"/>
              </w:rPr>
              <w:t>jūlijam Iekšlietu ministrijas atzinumu nav saņēmusi</w:t>
            </w:r>
            <w:r>
              <w:rPr>
                <w:rFonts w:eastAsia="Times New Roman"/>
              </w:rPr>
              <w:t>, tādēļ,</w:t>
            </w:r>
            <w:r w:rsidRPr="00500166">
              <w:rPr>
                <w:rFonts w:eastAsia="Times New Roman"/>
              </w:rPr>
              <w:t xml:space="preserve"> ņemot vērā savu kompetenci, </w:t>
            </w:r>
            <w:r>
              <w:rPr>
                <w:rFonts w:eastAsia="Times New Roman"/>
              </w:rPr>
              <w:t xml:space="preserve">tā </w:t>
            </w:r>
            <w:r w:rsidRPr="00500166">
              <w:rPr>
                <w:rFonts w:eastAsia="Times New Roman"/>
              </w:rPr>
              <w:t>nevar izstrādāt konkrētu kārtību likumprojektos iekļautā nosacījuma izpildei saistībā ar nacionālo drošību</w:t>
            </w:r>
            <w:r>
              <w:rPr>
                <w:rFonts w:eastAsia="Times New Roman"/>
              </w:rPr>
              <w:t>. I</w:t>
            </w:r>
            <w:r w:rsidRPr="00500166">
              <w:rPr>
                <w:rFonts w:eastAsia="Times New Roman"/>
              </w:rPr>
              <w:t>nformatīvais ziņojums nesatur tiesiskos kritērijus, apstākļus un kārtību, kādā darbības nacionālās drošības ietvaros būtu ierobežojamas.</w:t>
            </w:r>
          </w:p>
          <w:p w:rsidR="00275CC4" w:rsidRPr="00500166" w:rsidP="009F520A" w14:paraId="24FAC1F4" w14:textId="77777777">
            <w:pPr>
              <w:spacing w:after="0" w:line="240" w:lineRule="auto"/>
              <w:jc w:val="both"/>
              <w:rPr>
                <w:rFonts w:eastAsia="Times New Roman"/>
              </w:rPr>
            </w:pPr>
            <w:r w:rsidRPr="00500166">
              <w:rPr>
                <w:rFonts w:eastAsia="Times New Roman"/>
              </w:rPr>
              <w:t>Vienlaikus VARAM norāda, ka spēkā esošais likuma “Par piesārņojumu” regulējums paredz, ka piesārņojošas darbības atļaujas iesniegums ir pieejams sabiedrībai</w:t>
            </w:r>
            <w:r>
              <w:rPr>
                <w:rFonts w:eastAsia="Times New Roman"/>
              </w:rPr>
              <w:t>,</w:t>
            </w:r>
            <w:r w:rsidRPr="00500166">
              <w:rPr>
                <w:rFonts w:eastAsia="Times New Roman"/>
              </w:rPr>
              <w:t xml:space="preserve"> tai skaitā drošības iestādēm, </w:t>
            </w:r>
            <w:r>
              <w:rPr>
                <w:rFonts w:eastAsia="Times New Roman"/>
              </w:rPr>
              <w:t xml:space="preserve">un </w:t>
            </w:r>
            <w:r w:rsidRPr="00500166">
              <w:rPr>
                <w:rFonts w:eastAsia="Times New Roman"/>
              </w:rPr>
              <w:t xml:space="preserve">drošības iestādes jau šobrīd var </w:t>
            </w:r>
            <w:r>
              <w:rPr>
                <w:rFonts w:eastAsia="Times New Roman"/>
              </w:rPr>
              <w:t xml:space="preserve">izteikt </w:t>
            </w:r>
            <w:r w:rsidRPr="00500166">
              <w:rPr>
                <w:rFonts w:eastAsia="Times New Roman"/>
              </w:rPr>
              <w:t>priekšlikumu</w:t>
            </w:r>
            <w:r>
              <w:rPr>
                <w:rFonts w:eastAsia="Times New Roman"/>
              </w:rPr>
              <w:t>s</w:t>
            </w:r>
            <w:r w:rsidRPr="00500166">
              <w:rPr>
                <w:rFonts w:eastAsia="Times New Roman"/>
              </w:rPr>
              <w:t xml:space="preserve"> par plānot</w:t>
            </w:r>
            <w:r>
              <w:rPr>
                <w:rFonts w:eastAsia="Times New Roman"/>
              </w:rPr>
              <w:t>aj</w:t>
            </w:r>
            <w:r w:rsidRPr="00500166">
              <w:rPr>
                <w:rFonts w:eastAsia="Times New Roman"/>
              </w:rPr>
              <w:t>ām piesārņojoš</w:t>
            </w:r>
            <w:r>
              <w:rPr>
                <w:rFonts w:eastAsia="Times New Roman"/>
              </w:rPr>
              <w:t>aj</w:t>
            </w:r>
            <w:r w:rsidRPr="00500166">
              <w:rPr>
                <w:rFonts w:eastAsia="Times New Roman"/>
              </w:rPr>
              <w:t>ām darbībām, kā arī vērst Valsts vides dienesta uzmanību, ja tiek konstatēts, ka noteiktas piesārņojoš</w:t>
            </w:r>
            <w:r>
              <w:rPr>
                <w:rFonts w:eastAsia="Times New Roman"/>
              </w:rPr>
              <w:t>ā</w:t>
            </w:r>
            <w:r w:rsidRPr="00500166">
              <w:rPr>
                <w:rFonts w:eastAsia="Times New Roman"/>
              </w:rPr>
              <w:t>s darbības atļaujas izsniegšana var radīt draudus valsts drošībai. Valsts vides dienesta kompetencē neietilpst valsts drošības apdraudējumu izvērtēšana</w:t>
            </w:r>
            <w:r>
              <w:rPr>
                <w:rFonts w:eastAsia="Times New Roman"/>
              </w:rPr>
              <w:t xml:space="preserve">, turklāt </w:t>
            </w:r>
            <w:r w:rsidRPr="00500166">
              <w:rPr>
                <w:rFonts w:eastAsia="Times New Roman"/>
              </w:rPr>
              <w:t>piesārņojošas darbības atļaujas tiek izsniegtas stacionār</w:t>
            </w:r>
            <w:r>
              <w:rPr>
                <w:rFonts w:eastAsia="Times New Roman"/>
              </w:rPr>
              <w:t>aj</w:t>
            </w:r>
            <w:r w:rsidRPr="00500166">
              <w:rPr>
                <w:rFonts w:eastAsia="Times New Roman"/>
              </w:rPr>
              <w:t>ām tehnoloģisk</w:t>
            </w:r>
            <w:r>
              <w:rPr>
                <w:rFonts w:eastAsia="Times New Roman"/>
              </w:rPr>
              <w:t>aj</w:t>
            </w:r>
            <w:r w:rsidRPr="00500166">
              <w:rPr>
                <w:rFonts w:eastAsia="Times New Roman"/>
              </w:rPr>
              <w:t>ām iekārtām pēc iekārtas atrašanās vietas un plānota</w:t>
            </w:r>
            <w:r>
              <w:rPr>
                <w:rFonts w:eastAsia="Times New Roman"/>
              </w:rPr>
              <w:t>ja</w:t>
            </w:r>
            <w:r w:rsidRPr="00500166">
              <w:rPr>
                <w:rFonts w:eastAsia="Times New Roman"/>
              </w:rPr>
              <w:t xml:space="preserve">i darbībai jāatbilst teritorijas plānojumā norādītajam izmantošanas veidam. </w:t>
            </w:r>
            <w:r w:rsidRPr="00500166">
              <w:rPr>
                <w:rFonts w:eastAsia="Times New Roman"/>
              </w:rPr>
              <w:t xml:space="preserve">Līdz ar to vērtējams ir jautājums par šādu piesārņojošo darbību iespējamību radīt nacionālās drošības apdraudējumu. </w:t>
            </w:r>
          </w:p>
          <w:p w:rsidR="00275CC4" w:rsidP="009F520A" w14:paraId="42EF6204" w14:textId="77777777">
            <w:pPr>
              <w:spacing w:after="0" w:line="240" w:lineRule="auto"/>
              <w:jc w:val="both"/>
              <w:rPr>
                <w:rFonts w:eastAsia="Times New Roman"/>
              </w:rPr>
            </w:pPr>
            <w:r w:rsidRPr="00500166">
              <w:rPr>
                <w:rFonts w:eastAsia="Times New Roman"/>
              </w:rPr>
              <w:t>VARAM arī atzīmē, ka likuma “Par radiācijas drošību un kodoldrošību” 6.</w:t>
            </w:r>
            <w:r>
              <w:rPr>
                <w:rFonts w:eastAsia="Times New Roman"/>
              </w:rPr>
              <w:t> </w:t>
            </w:r>
            <w:r w:rsidRPr="00500166">
              <w:rPr>
                <w:rFonts w:eastAsia="Times New Roman"/>
              </w:rPr>
              <w:t>panta otrās daļas 1.</w:t>
            </w:r>
            <w:r>
              <w:rPr>
                <w:rFonts w:eastAsia="Times New Roman"/>
              </w:rPr>
              <w:t> </w:t>
            </w:r>
            <w:r w:rsidRPr="00500166">
              <w:rPr>
                <w:rFonts w:eastAsia="Times New Roman"/>
              </w:rPr>
              <w:t>punkts paredz, ka Valsts vides dienesta Radiācijas drošības centrs aizliedz veikt darbības ar jonizējošā starojuma avotiem, ja tiek pārkāpti radiācijas drošības un kodoldrošības normatīvi. Saskaņā ar likuma “Par radiācijas drošību un kodoldrošību” 1.</w:t>
            </w:r>
            <w:r>
              <w:rPr>
                <w:rFonts w:eastAsia="Times New Roman"/>
              </w:rPr>
              <w:t> </w:t>
            </w:r>
            <w:r w:rsidRPr="00500166">
              <w:rPr>
                <w:rFonts w:eastAsia="Times New Roman"/>
              </w:rPr>
              <w:t>panta 7.</w:t>
            </w:r>
            <w:r>
              <w:rPr>
                <w:rFonts w:eastAsia="Times New Roman"/>
              </w:rPr>
              <w:t> </w:t>
            </w:r>
            <w:r w:rsidRPr="00500166">
              <w:rPr>
                <w:rFonts w:eastAsia="Times New Roman"/>
              </w:rPr>
              <w:t>punktu radiācijas drošība un kodoldrošība ir organizatorisku un tehnisku pasākumu sistēma, lai nodrošinātu jonizējošā starojuma avotu un kodoliekārtu drošu izmantošanu, novērstu radiācijas avārijas un mazinātu radiācijas avāriju sekas, tādējādi aizsargājot cilvēkus un vidi no jonizējošā starojuma avotu un kodoliekārtu jonizējošā starojuma kaitīgās iedarbības apdraudējuma. Savukārt Ministru kabineta 2015.</w:t>
            </w:r>
            <w:r>
              <w:rPr>
                <w:rFonts w:eastAsia="Times New Roman"/>
              </w:rPr>
              <w:t> </w:t>
            </w:r>
            <w:r w:rsidRPr="00500166">
              <w:rPr>
                <w:rFonts w:eastAsia="Times New Roman"/>
              </w:rPr>
              <w:t>gada 22.</w:t>
            </w:r>
            <w:r>
              <w:rPr>
                <w:rFonts w:eastAsia="Times New Roman"/>
              </w:rPr>
              <w:t> </w:t>
            </w:r>
            <w:r w:rsidRPr="00500166">
              <w:rPr>
                <w:rFonts w:eastAsia="Times New Roman"/>
              </w:rPr>
              <w:t>decembra noteikumu Nr.</w:t>
            </w:r>
            <w:r>
              <w:rPr>
                <w:rFonts w:eastAsia="Times New Roman"/>
              </w:rPr>
              <w:t> </w:t>
            </w:r>
            <w:r w:rsidRPr="00500166">
              <w:rPr>
                <w:rFonts w:eastAsia="Times New Roman"/>
              </w:rPr>
              <w:t>752 “Kārtība, kādā licencē un reģistrē darbības ar jonizējošā starojuma avotiem” V</w:t>
            </w:r>
            <w:r>
              <w:rPr>
                <w:rFonts w:eastAsia="Times New Roman"/>
              </w:rPr>
              <w:t> </w:t>
            </w:r>
            <w:r w:rsidRPr="00500166">
              <w:rPr>
                <w:rFonts w:eastAsia="Times New Roman"/>
              </w:rPr>
              <w:t xml:space="preserve">nodaļa paredz nosacījumus licences un reģistrācijas darbības apturēšanai un anulēšanai. </w:t>
            </w:r>
          </w:p>
          <w:p w:rsidR="00275CC4" w:rsidRPr="00500166" w:rsidP="009F520A" w14:paraId="74900C04" w14:textId="77777777">
            <w:pPr>
              <w:spacing w:after="0" w:line="240" w:lineRule="auto"/>
              <w:jc w:val="both"/>
              <w:rPr>
                <w:rFonts w:eastAsia="Times New Roman"/>
              </w:rPr>
            </w:pPr>
            <w:r w:rsidRPr="00500166">
              <w:rPr>
                <w:rFonts w:eastAsia="Times New Roman"/>
              </w:rPr>
              <w:t>Tā</w:t>
            </w:r>
            <w:r>
              <w:rPr>
                <w:rFonts w:eastAsia="Times New Roman"/>
              </w:rPr>
              <w:t xml:space="preserve">tad </w:t>
            </w:r>
            <w:r w:rsidRPr="00500166">
              <w:rPr>
                <w:rFonts w:eastAsia="Times New Roman"/>
              </w:rPr>
              <w:t>tiesību akti paredz kārtību, kādā var aizliegt veikt darbības ar jonizējošā starojuma avotiem, ja konstatēti radiācijas drošības un kodoldrošības pārkāpumi, kuri var radīt būtisku apdraudējumu vai kaitējumu videi vai cilvēkiem. Tie ir vērsti uz vides aizsardzību un cilvēku veselības aizsardzību un paredz efektīvu sistēmu sabiedrības drošības nodrošināšanai. Ņemot vērā, ka operatori, kuri veic darbības ar jonizējošā starojuma avotiem, rada riskus, kas var radīt apdraudējumu vai kaitējumu videi vai cilvēkiem, tad to darbība pamatā skar vides aizsardzību un sabiedrības drošību</w:t>
            </w:r>
            <w:r>
              <w:rPr>
                <w:rFonts w:eastAsia="Times New Roman"/>
              </w:rPr>
              <w:t>,</w:t>
            </w:r>
            <w:r w:rsidRPr="00500166">
              <w:rPr>
                <w:rFonts w:eastAsia="Times New Roman"/>
              </w:rPr>
              <w:t xml:space="preserve"> nevis nacionālo drošību. Ievērojot, ka nav skaidri definēti radiācijas drošības jom</w:t>
            </w:r>
            <w:r>
              <w:rPr>
                <w:rFonts w:eastAsia="Times New Roman"/>
              </w:rPr>
              <w:t>as</w:t>
            </w:r>
            <w:r w:rsidRPr="00500166">
              <w:rPr>
                <w:rFonts w:eastAsia="Times New Roman"/>
              </w:rPr>
              <w:t xml:space="preserve"> kritēriji, kuri varētu tikt piemēroti, lai liegtu komercdarbību, veicot darbības ar jonizējošā starojuma avotiem, praksē būtu problemātiski piemērot vispārīgu kritēriju.</w:t>
            </w:r>
          </w:p>
          <w:p w:rsidR="00275CC4" w:rsidRPr="00500166" w:rsidP="009F520A" w14:paraId="5529EA1E" w14:textId="77777777">
            <w:pPr>
              <w:spacing w:after="0" w:line="240" w:lineRule="auto"/>
              <w:jc w:val="both"/>
              <w:rPr>
                <w:rFonts w:eastAsia="Times New Roman"/>
              </w:rPr>
            </w:pPr>
            <w:r w:rsidRPr="00500166">
              <w:rPr>
                <w:rFonts w:eastAsia="Times New Roman"/>
              </w:rPr>
              <w:t>Papildus VARAM norāda, ka spēkā esošais likuma “Par zemes dzīlēm” (turpmāk – Likums) regulējums jau šobrīd paredz instrumentus, kurus valsts drošības iestādes var izmantot, lai nodrošinātu valsts drošības interešu ievērošanu zemes dzīļu jomā. Saskaņā ar Likuma 5.</w:t>
            </w:r>
            <w:r>
              <w:rPr>
                <w:rFonts w:eastAsia="Times New Roman"/>
              </w:rPr>
              <w:t> </w:t>
            </w:r>
            <w:r w:rsidRPr="00500166">
              <w:rPr>
                <w:rFonts w:eastAsia="Times New Roman"/>
              </w:rPr>
              <w:t xml:space="preserve">panta trešo daļu nacionālās drošības, vides un zemes dzīļu aizsardzības vajadzībām, valsts nozīmes derīgo izrakteņu un atradņu, kā arī valsts nozīmes zemes dzīļu nogabalu izmantošanai, valstiski nozīmīgu būvju ierīkošanai un ekspluatācijai īpašniekiem var atsavināt zemi saskaņā ar likumu “Par nekustamā īpašuma </w:t>
            </w:r>
            <w:r w:rsidRPr="00500166">
              <w:rPr>
                <w:rFonts w:eastAsia="Times New Roman"/>
              </w:rPr>
              <w:t>piespiedu atsavināšanu valsts un sabiedriskajām vajadzībām”. Jāņem vērā, ka zemes dzīļu izmantošana iespējama tikai, ja saņemta zemes īpašnieka piekrišana (Likuma 8.</w:t>
            </w:r>
            <w:r>
              <w:rPr>
                <w:rFonts w:eastAsia="Times New Roman"/>
              </w:rPr>
              <w:t> </w:t>
            </w:r>
            <w:r w:rsidRPr="00500166">
              <w:rPr>
                <w:rFonts w:eastAsia="Times New Roman"/>
              </w:rPr>
              <w:t>panta pirmās daļas 1.</w:t>
            </w:r>
            <w:r>
              <w:rPr>
                <w:rFonts w:eastAsia="Times New Roman"/>
              </w:rPr>
              <w:t>–</w:t>
            </w:r>
            <w:r w:rsidRPr="00500166">
              <w:rPr>
                <w:rFonts w:eastAsia="Times New Roman"/>
              </w:rPr>
              <w:t>3.</w:t>
            </w:r>
            <w:r>
              <w:rPr>
                <w:rFonts w:eastAsia="Times New Roman"/>
              </w:rPr>
              <w:t> </w:t>
            </w:r>
            <w:r w:rsidRPr="00500166">
              <w:rPr>
                <w:rFonts w:eastAsia="Times New Roman"/>
              </w:rPr>
              <w:t>punkts). Papildus Likuma 6.</w:t>
            </w:r>
            <w:r>
              <w:rPr>
                <w:rFonts w:eastAsia="Times New Roman"/>
              </w:rPr>
              <w:t> </w:t>
            </w:r>
            <w:r w:rsidRPr="00500166">
              <w:rPr>
                <w:rFonts w:eastAsia="Times New Roman"/>
              </w:rPr>
              <w:t>panta ceturtā daļa paredz, ka, nodrošinot zemes dzīļu racionālu izmantošanu un aizsardzību, valsts un pašvaldības šajā likumā un citos normatīvajos aktos paredzētajos gadījumos un noteiktajā kārtībā var ierobežot, apturēt vai pārtraukt jebkuru juridisko un fizisko personu darbību zemes dzīļu izmantošanā. Vienlaikus informāciju par izsniegtajām licencēm vai atļaujām to izsniedzējs (Valsts vides dienests vai vietējā pašvaldība) ievieto savā tīmekļvietnē. Attiecīgi jau šobrīd, valsts drošības iestādēm konstatējot nacionālās drošības apdraudējumu, būtu iespējams rosināt zemes dzīļu izmantošanas apturēšanu vai aizliegumu.</w:t>
            </w:r>
          </w:p>
          <w:p w:rsidR="00275CC4" w:rsidRPr="00500166" w:rsidP="009F520A" w14:paraId="440753B2" w14:textId="77777777">
            <w:pPr>
              <w:spacing w:after="0" w:line="240" w:lineRule="auto"/>
              <w:jc w:val="both"/>
              <w:rPr>
                <w:rFonts w:eastAsia="Times New Roman"/>
              </w:rPr>
            </w:pPr>
            <w:r w:rsidRPr="00500166">
              <w:rPr>
                <w:rFonts w:eastAsia="Times New Roman"/>
              </w:rPr>
              <w:t>Ņemot vērā minēto, VARAM lūdz papildināt protokollēmuma projektu, atzīstot par neaktuālu arī Ministru kabineta 2019.</w:t>
            </w:r>
            <w:r>
              <w:rPr>
                <w:rFonts w:eastAsia="Times New Roman"/>
              </w:rPr>
              <w:t> </w:t>
            </w:r>
            <w:r w:rsidRPr="00500166">
              <w:rPr>
                <w:rFonts w:eastAsia="Times New Roman"/>
              </w:rPr>
              <w:t>gada 15.</w:t>
            </w:r>
            <w:r>
              <w:rPr>
                <w:rFonts w:eastAsia="Times New Roman"/>
              </w:rPr>
              <w:t> </w:t>
            </w:r>
            <w:r w:rsidRPr="00500166">
              <w:rPr>
                <w:rFonts w:eastAsia="Times New Roman"/>
              </w:rPr>
              <w:t>janvāra sēdes protokollēmuma Nr.</w:t>
            </w:r>
            <w:r>
              <w:rPr>
                <w:rFonts w:eastAsia="Times New Roman"/>
              </w:rPr>
              <w:t> </w:t>
            </w:r>
            <w:r w:rsidRPr="00500166">
              <w:rPr>
                <w:rFonts w:eastAsia="Times New Roman"/>
              </w:rPr>
              <w:t>2 71.</w:t>
            </w:r>
            <w:r>
              <w:rPr>
                <w:rFonts w:eastAsia="Times New Roman"/>
              </w:rPr>
              <w:t> </w:t>
            </w:r>
            <w:r w:rsidRPr="00500166">
              <w:rPr>
                <w:rFonts w:eastAsia="Times New Roman"/>
              </w:rPr>
              <w:t>§ “Informatīvais ziņojums par iespējamiem risinājumiem nacionālās drošības interešu aizsardzības nodrošināšanai” 3.5.</w:t>
            </w:r>
            <w:r>
              <w:rPr>
                <w:rFonts w:eastAsia="Times New Roman"/>
              </w:rPr>
              <w:t> </w:t>
            </w:r>
            <w:r w:rsidRPr="00500166">
              <w:rPr>
                <w:rFonts w:eastAsia="Times New Roman"/>
              </w:rPr>
              <w:t>apakšpunktu, nosakot, ka protokollēmuma 1.</w:t>
            </w:r>
            <w:r>
              <w:rPr>
                <w:rFonts w:eastAsia="Times New Roman"/>
              </w:rPr>
              <w:t> </w:t>
            </w:r>
            <w:r w:rsidRPr="00500166">
              <w:rPr>
                <w:rFonts w:eastAsia="Times New Roman"/>
              </w:rPr>
              <w:t xml:space="preserve">punktā minētajā informatīvajā ziņojumā pausto priekšlikumu normatīvo aktu pilnveidei nacionālās drošības interešu aizsardzības nodrošināšanā lietderība tiks izvērtēta jauno grozījumu izstrādes </w:t>
            </w:r>
            <w:r>
              <w:rPr>
                <w:rFonts w:eastAsia="Times New Roman"/>
              </w:rPr>
              <w:t>procesā</w:t>
            </w:r>
            <w:r w:rsidRPr="00500166">
              <w:rPr>
                <w:rFonts w:eastAsia="Times New Roman"/>
              </w:rPr>
              <w:t xml:space="preserve"> un nepieciešamības gadījumā pilnveidots kompetences jomā esošo nozaru normatīvais regulējums.</w:t>
            </w:r>
          </w:p>
          <w:p w:rsidR="00275CC4" w:rsidRPr="00500166" w:rsidP="009F520A" w14:paraId="6822A27D" w14:textId="77777777">
            <w:pPr>
              <w:spacing w:after="0" w:line="240" w:lineRule="auto"/>
              <w:jc w:val="both"/>
              <w:rPr>
                <w:rFonts w:eastAsia="Times New Roman"/>
              </w:rPr>
            </w:pPr>
          </w:p>
          <w:p w:rsidR="00275CC4" w:rsidRPr="00500166" w:rsidP="009F520A" w14:paraId="13C0728D" w14:textId="77777777">
            <w:pPr>
              <w:spacing w:after="0" w:line="240" w:lineRule="auto"/>
              <w:jc w:val="both"/>
              <w:rPr>
                <w:rFonts w:eastAsia="Times New Roman"/>
              </w:rPr>
            </w:pPr>
            <w:r w:rsidRPr="00500166">
              <w:rPr>
                <w:rFonts w:eastAsia="Times New Roman"/>
              </w:rPr>
              <w:t>Finanšu ministrija, izpildot Ministru kabineta 2019.</w:t>
            </w:r>
            <w:r>
              <w:rPr>
                <w:rFonts w:eastAsia="Times New Roman"/>
              </w:rPr>
              <w:t> </w:t>
            </w:r>
            <w:r w:rsidRPr="00500166">
              <w:rPr>
                <w:rFonts w:eastAsia="Times New Roman"/>
              </w:rPr>
              <w:t>gada 15.</w:t>
            </w:r>
            <w:r>
              <w:rPr>
                <w:rFonts w:eastAsia="Times New Roman"/>
              </w:rPr>
              <w:t> </w:t>
            </w:r>
            <w:r w:rsidRPr="00500166">
              <w:rPr>
                <w:rFonts w:eastAsia="Times New Roman"/>
              </w:rPr>
              <w:t>janvāra sēdes protokollēmuma Nr.</w:t>
            </w:r>
            <w:r>
              <w:rPr>
                <w:rFonts w:eastAsia="Times New Roman"/>
              </w:rPr>
              <w:t> </w:t>
            </w:r>
            <w:r w:rsidRPr="00500166">
              <w:rPr>
                <w:rFonts w:eastAsia="Times New Roman"/>
              </w:rPr>
              <w:t>2</w:t>
            </w:r>
            <w:r>
              <w:rPr>
                <w:rFonts w:eastAsia="Times New Roman"/>
              </w:rPr>
              <w:t xml:space="preserve"> </w:t>
            </w:r>
            <w:r w:rsidRPr="00500166">
              <w:rPr>
                <w:rFonts w:eastAsia="Times New Roman"/>
              </w:rPr>
              <w:t>71.</w:t>
            </w:r>
            <w:r>
              <w:rPr>
                <w:rFonts w:eastAsia="Times New Roman"/>
              </w:rPr>
              <w:t> </w:t>
            </w:r>
            <w:r w:rsidRPr="00500166">
              <w:rPr>
                <w:rFonts w:eastAsia="Times New Roman"/>
              </w:rPr>
              <w:t>§ “Informatīvais ziņojums par iespējamiem risinājumiem nacionālās drošības interešu aizsardzības nodrošināšanai” 3.6.</w:t>
            </w:r>
            <w:r>
              <w:rPr>
                <w:rFonts w:eastAsia="Times New Roman"/>
              </w:rPr>
              <w:t> </w:t>
            </w:r>
            <w:r w:rsidRPr="00500166">
              <w:rPr>
                <w:rFonts w:eastAsia="Times New Roman"/>
              </w:rPr>
              <w:t>apakšpunktā doto uzdevumu, ir izstrādājusi likumprojektu “Grozījumi Azartspēļu un izložu likumā” (turpmāk – likumprojekts), kurā ir paredzētas tiesības Izložu un azartspēļu uzraudzības inspekcijai atteikt azartspēļu organizēšanas licences izsniegšanu vai anulēt izsniegto licenci valsts drošības nodrošināšanas nolūkos. 2019.</w:t>
            </w:r>
            <w:r>
              <w:rPr>
                <w:rFonts w:eastAsia="Times New Roman"/>
              </w:rPr>
              <w:t> </w:t>
            </w:r>
            <w:r w:rsidRPr="00500166">
              <w:rPr>
                <w:rFonts w:eastAsia="Times New Roman"/>
              </w:rPr>
              <w:t>gada 8.</w:t>
            </w:r>
            <w:r>
              <w:rPr>
                <w:rFonts w:eastAsia="Times New Roman"/>
              </w:rPr>
              <w:t> </w:t>
            </w:r>
            <w:r w:rsidRPr="00500166">
              <w:rPr>
                <w:rFonts w:eastAsia="Times New Roman"/>
              </w:rPr>
              <w:t>jūlijā ir saņemts Tieslietu ministrijas atzinums Nr.</w:t>
            </w:r>
            <w:r>
              <w:rPr>
                <w:rFonts w:eastAsia="Times New Roman"/>
              </w:rPr>
              <w:t> </w:t>
            </w:r>
            <w:r w:rsidRPr="00500166">
              <w:rPr>
                <w:rFonts w:eastAsia="Times New Roman"/>
              </w:rPr>
              <w:t>1-9.1/698 ar iebildumiem par to, ka likumprojekta anotācijā nav pamatota personas pamattiesību ierobežojuma attaisnojamība (atbilstība Satversmes 91.</w:t>
            </w:r>
            <w:r>
              <w:rPr>
                <w:rFonts w:eastAsia="Times New Roman"/>
              </w:rPr>
              <w:t> </w:t>
            </w:r>
            <w:r w:rsidRPr="00500166">
              <w:rPr>
                <w:rFonts w:eastAsia="Times New Roman"/>
              </w:rPr>
              <w:t>panta pirmajam teikumam un 105.</w:t>
            </w:r>
            <w:r>
              <w:rPr>
                <w:rFonts w:eastAsia="Times New Roman"/>
              </w:rPr>
              <w:t> </w:t>
            </w:r>
            <w:r w:rsidRPr="00500166">
              <w:rPr>
                <w:rFonts w:eastAsia="Times New Roman"/>
              </w:rPr>
              <w:t xml:space="preserve">pantam), paredzot šādus ierobežojumus attiecīgajā tautsaimniecības nozarē. Atzinumā Tieslietu ministrija vērš uzmanību uz </w:t>
            </w:r>
            <w:r w:rsidRPr="00500166">
              <w:rPr>
                <w:rFonts w:eastAsia="Times New Roman"/>
              </w:rPr>
              <w:t>nepieciešamību izvērtēt iekļauto regulējumu vienlīdzības principa aspektā (Satversmes 91.</w:t>
            </w:r>
            <w:r>
              <w:rPr>
                <w:rFonts w:eastAsia="Times New Roman"/>
              </w:rPr>
              <w:t> </w:t>
            </w:r>
            <w:r w:rsidRPr="00500166">
              <w:rPr>
                <w:rFonts w:eastAsia="Times New Roman"/>
              </w:rPr>
              <w:t>panta pirmais teikums). Vienlīdzības princips liedz valsts institūcijām izdot tādas normas, kas bez saprātīga pamata pieļauj atšķirīgu attieksmi pret personām, kuras atrodas vienādos un pēc noteiktiem kritērijiem salīdzināmos apstākļos. Vienlīdzības princips pieļauj un pat prasa atšķirīgu attieksmi pret personām, kas atrodas atšķirīgos apstākļos, kā arī pieļauj atšķirīgu attieksmi pret personām, kas atrodas vienādos apstākļos, ja tai ir objektīvs un saprātīgs pamats. Tādējādi vienlīdzības principa uzdevums ir nodrošināt, lai tiktu īstenota tāda tiesiskas valsts prasība kā likuma aptveroša ietekme uz visām personām un lai likums tiktu piemērots bez jebkādām privilēģijām (Satversmes tiesas 2017.</w:t>
            </w:r>
            <w:r>
              <w:rPr>
                <w:rFonts w:eastAsia="Times New Roman"/>
              </w:rPr>
              <w:t> </w:t>
            </w:r>
            <w:r w:rsidRPr="00500166">
              <w:rPr>
                <w:rFonts w:eastAsia="Times New Roman"/>
              </w:rPr>
              <w:t>gada 19.</w:t>
            </w:r>
            <w:r>
              <w:rPr>
                <w:rFonts w:eastAsia="Times New Roman"/>
              </w:rPr>
              <w:t> </w:t>
            </w:r>
            <w:r w:rsidRPr="00500166">
              <w:rPr>
                <w:rFonts w:eastAsia="Times New Roman"/>
              </w:rPr>
              <w:t>oktobra sprieduma lietā Nr.</w:t>
            </w:r>
            <w:r>
              <w:rPr>
                <w:rFonts w:eastAsia="Times New Roman"/>
              </w:rPr>
              <w:t> </w:t>
            </w:r>
            <w:r w:rsidRPr="00500166">
              <w:rPr>
                <w:rFonts w:eastAsia="Times New Roman"/>
              </w:rPr>
              <w:t>2016-14-01 20.</w:t>
            </w:r>
            <w:r>
              <w:rPr>
                <w:rFonts w:eastAsia="Times New Roman"/>
              </w:rPr>
              <w:t> </w:t>
            </w:r>
            <w:r w:rsidRPr="00500166">
              <w:rPr>
                <w:rFonts w:eastAsia="Times New Roman"/>
              </w:rPr>
              <w:t xml:space="preserve">punkts). Tieslietu ministrija atzinumā norāda, ka azartspēļu un izložu organizēšana nav vienīgais komercdarbības veids, kam nepieciešama licence, vai vispār vienīgais iespējamais komercdarbības veids, </w:t>
            </w:r>
            <w:r>
              <w:rPr>
                <w:rFonts w:eastAsia="Times New Roman"/>
              </w:rPr>
              <w:t xml:space="preserve">tādēļ </w:t>
            </w:r>
            <w:r w:rsidRPr="00500166">
              <w:rPr>
                <w:rFonts w:eastAsia="Times New Roman"/>
              </w:rPr>
              <w:t xml:space="preserve">nepieciešams pamatojums, ka projektā paredzētais regulējums atbilst vienlīdzības principam.   </w:t>
            </w:r>
          </w:p>
          <w:p w:rsidR="00275CC4" w:rsidRPr="00500166" w:rsidP="009F520A" w14:paraId="58F7363B" w14:textId="77777777">
            <w:pPr>
              <w:spacing w:after="0" w:line="240" w:lineRule="auto"/>
              <w:jc w:val="both"/>
              <w:rPr>
                <w:rFonts w:eastAsia="Times New Roman"/>
              </w:rPr>
            </w:pPr>
            <w:r w:rsidRPr="00500166">
              <w:rPr>
                <w:rFonts w:eastAsia="Times New Roman"/>
              </w:rPr>
              <w:t>Vienlaikus Zvērinātu advokātu biroja “COBALT” veiktajā atzinumā par vispus</w:t>
            </w:r>
            <w:r>
              <w:rPr>
                <w:rFonts w:eastAsia="Times New Roman"/>
              </w:rPr>
              <w:t>īgo</w:t>
            </w:r>
            <w:r w:rsidRPr="00500166">
              <w:rPr>
                <w:rFonts w:eastAsia="Times New Roman"/>
              </w:rPr>
              <w:t xml:space="preserve"> tiesisko iespēju izvērtējum</w:t>
            </w:r>
            <w:r>
              <w:rPr>
                <w:rFonts w:eastAsia="Times New Roman"/>
              </w:rPr>
              <w:t xml:space="preserve">u </w:t>
            </w:r>
            <w:r w:rsidRPr="00500166">
              <w:rPr>
                <w:rFonts w:eastAsia="Times New Roman"/>
              </w:rPr>
              <w:t>un priekšlikumu izstrādi saistībā ar iespējamiem risinājumiem nacionālās drošības interešu aizsardzības nodrošināšan</w:t>
            </w:r>
            <w:r>
              <w:rPr>
                <w:rFonts w:eastAsia="Times New Roman"/>
              </w:rPr>
              <w:t>as</w:t>
            </w:r>
            <w:r w:rsidRPr="00500166">
              <w:rPr>
                <w:rFonts w:eastAsia="Times New Roman"/>
              </w:rPr>
              <w:t xml:space="preserve"> gadījumos, pamatojoties uz kuru Ekonomikas ministrija </w:t>
            </w:r>
            <w:r>
              <w:rPr>
                <w:rFonts w:eastAsia="Times New Roman"/>
              </w:rPr>
              <w:t xml:space="preserve">ir </w:t>
            </w:r>
            <w:r w:rsidRPr="00500166">
              <w:rPr>
                <w:rFonts w:eastAsia="Times New Roman"/>
              </w:rPr>
              <w:t>izstrādāj</w:t>
            </w:r>
            <w:r>
              <w:rPr>
                <w:rFonts w:eastAsia="Times New Roman"/>
              </w:rPr>
              <w:t>usi</w:t>
            </w:r>
            <w:r w:rsidRPr="00500166">
              <w:rPr>
                <w:rFonts w:eastAsia="Times New Roman"/>
              </w:rPr>
              <w:t xml:space="preserve"> Informatīvo ziņojumu par iespējamiem risinājumiem nacionālās drošības interešu aizsardzības nodrošināšanai, kas tika pieņemts Ministru kabineta 2019.</w:t>
            </w:r>
            <w:r>
              <w:rPr>
                <w:rFonts w:eastAsia="Times New Roman"/>
              </w:rPr>
              <w:t> </w:t>
            </w:r>
            <w:r w:rsidRPr="00500166">
              <w:rPr>
                <w:rFonts w:eastAsia="Times New Roman"/>
              </w:rPr>
              <w:t>gada 15.</w:t>
            </w:r>
            <w:r>
              <w:rPr>
                <w:rFonts w:eastAsia="Times New Roman"/>
              </w:rPr>
              <w:t> </w:t>
            </w:r>
            <w:r w:rsidRPr="00500166">
              <w:rPr>
                <w:rFonts w:eastAsia="Times New Roman"/>
              </w:rPr>
              <w:t>janvāra sēd</w:t>
            </w:r>
            <w:r>
              <w:rPr>
                <w:rFonts w:eastAsia="Times New Roman"/>
              </w:rPr>
              <w:t xml:space="preserve">ē </w:t>
            </w:r>
            <w:r w:rsidRPr="00500166">
              <w:rPr>
                <w:rFonts w:eastAsia="Times New Roman"/>
              </w:rPr>
              <w:t xml:space="preserve">(prot. Nr. 2, 71.§, TA-2721-DV), netika iekļauts pamatojums tam, kāpēc tieši attiecīgajā nozarē būtu nosakāms ierobežojums licenču izsniegšanai. </w:t>
            </w:r>
          </w:p>
          <w:p w:rsidR="00275CC4" w:rsidRPr="00500166" w:rsidP="009F520A" w14:paraId="1EE85951" w14:textId="77777777">
            <w:pPr>
              <w:spacing w:after="0" w:line="240" w:lineRule="auto"/>
              <w:jc w:val="both"/>
              <w:rPr>
                <w:rFonts w:eastAsia="Times New Roman"/>
              </w:rPr>
            </w:pPr>
            <w:r w:rsidRPr="00500166">
              <w:rPr>
                <w:rFonts w:eastAsia="Times New Roman"/>
              </w:rPr>
              <w:t>Ņemot vērā</w:t>
            </w:r>
            <w:r>
              <w:rPr>
                <w:rFonts w:eastAsia="Times New Roman"/>
              </w:rPr>
              <w:t>,</w:t>
            </w:r>
            <w:r w:rsidRPr="00500166">
              <w:rPr>
                <w:rFonts w:eastAsia="Times New Roman"/>
              </w:rPr>
              <w:t xml:space="preserve"> ka likumprojekts ir izstrādāts, izpildot protokollēmumā doto uzdevumu, un Finanšu ministrijas rīcībā nav papildu informācijas par attiecīgās normas nepieciešamību un tās atbilstību Satversmes 91.</w:t>
            </w:r>
            <w:r>
              <w:rPr>
                <w:rFonts w:eastAsia="Times New Roman"/>
              </w:rPr>
              <w:t> </w:t>
            </w:r>
            <w:r w:rsidRPr="00500166">
              <w:rPr>
                <w:rFonts w:eastAsia="Times New Roman"/>
              </w:rPr>
              <w:t>panta pirmajam teikumam, Finanšu ministrija atbalsta nepieciešamību Ministru kabinetam atkārtoti lemt par protokollēmuma 3.6.</w:t>
            </w:r>
            <w:r>
              <w:rPr>
                <w:rFonts w:eastAsia="Times New Roman"/>
              </w:rPr>
              <w:t> </w:t>
            </w:r>
            <w:r w:rsidRPr="00500166">
              <w:rPr>
                <w:rFonts w:eastAsia="Times New Roman"/>
              </w:rPr>
              <w:t xml:space="preserve">apakšpunktā Finanšu ministrijai dotā uzdevuma </w:t>
            </w:r>
            <w:r>
              <w:rPr>
                <w:rFonts w:eastAsia="Times New Roman"/>
              </w:rPr>
              <w:t xml:space="preserve">– </w:t>
            </w:r>
            <w:r w:rsidRPr="00500166">
              <w:rPr>
                <w:rFonts w:eastAsia="Times New Roman"/>
              </w:rPr>
              <w:t>veikt grozījumus Azartspēļu un izložu likumā – aktualitāti.</w:t>
            </w:r>
          </w:p>
          <w:p w:rsidR="00275CC4" w:rsidRPr="00500166" w:rsidP="009F520A" w14:paraId="52B730C5" w14:textId="77777777">
            <w:pPr>
              <w:spacing w:after="0" w:line="240" w:lineRule="auto"/>
              <w:jc w:val="both"/>
              <w:rPr>
                <w:rFonts w:eastAsia="Times New Roman"/>
              </w:rPr>
            </w:pPr>
          </w:p>
          <w:p w:rsidR="00275CC4" w:rsidRPr="00500166" w:rsidP="009F520A" w14:paraId="58D6E62F" w14:textId="77777777">
            <w:pPr>
              <w:spacing w:after="0" w:line="240" w:lineRule="auto"/>
              <w:jc w:val="both"/>
              <w:rPr>
                <w:rFonts w:eastAsia="Times New Roman"/>
              </w:rPr>
            </w:pPr>
            <w:r>
              <w:rPr>
                <w:rFonts w:eastAsia="Times New Roman"/>
              </w:rPr>
              <w:t xml:space="preserve">Saskaņā ar </w:t>
            </w:r>
            <w:r w:rsidRPr="00500166">
              <w:rPr>
                <w:rFonts w:eastAsia="Times New Roman"/>
              </w:rPr>
              <w:t>Ministru kabineta 2019.</w:t>
            </w:r>
            <w:r>
              <w:rPr>
                <w:rFonts w:eastAsia="Times New Roman"/>
              </w:rPr>
              <w:t> </w:t>
            </w:r>
            <w:r w:rsidRPr="00500166">
              <w:rPr>
                <w:rFonts w:eastAsia="Times New Roman"/>
              </w:rPr>
              <w:t>gada 15.</w:t>
            </w:r>
            <w:r>
              <w:rPr>
                <w:rFonts w:eastAsia="Times New Roman"/>
              </w:rPr>
              <w:t> </w:t>
            </w:r>
            <w:r w:rsidRPr="00500166">
              <w:rPr>
                <w:rFonts w:eastAsia="Times New Roman"/>
              </w:rPr>
              <w:t>janvāra sēdes protokollēmum</w:t>
            </w:r>
            <w:r>
              <w:rPr>
                <w:rFonts w:eastAsia="Times New Roman"/>
              </w:rPr>
              <w:t>a</w:t>
            </w:r>
            <w:r w:rsidRPr="00500166">
              <w:rPr>
                <w:rFonts w:eastAsia="Times New Roman"/>
              </w:rPr>
              <w:t xml:space="preserve"> Nr.</w:t>
            </w:r>
            <w:r>
              <w:rPr>
                <w:rFonts w:eastAsia="Times New Roman"/>
              </w:rPr>
              <w:t> </w:t>
            </w:r>
            <w:r w:rsidRPr="00500166">
              <w:rPr>
                <w:rFonts w:eastAsia="Times New Roman"/>
              </w:rPr>
              <w:t>2 71.</w:t>
            </w:r>
            <w:r>
              <w:rPr>
                <w:rFonts w:eastAsia="Times New Roman"/>
              </w:rPr>
              <w:t> </w:t>
            </w:r>
            <w:r w:rsidRPr="00500166">
              <w:rPr>
                <w:rFonts w:eastAsia="Times New Roman"/>
              </w:rPr>
              <w:t xml:space="preserve">§ “Informatīvais ziņojums par iespējamiem risinājumiem nacionālās drošības interešu aizsardzības nodrošināšanai” Veselības </w:t>
            </w:r>
            <w:r w:rsidRPr="00500166">
              <w:rPr>
                <w:rFonts w:eastAsia="Times New Roman"/>
              </w:rPr>
              <w:t>ministrijai līdz 2019.</w:t>
            </w:r>
            <w:r>
              <w:rPr>
                <w:rFonts w:eastAsia="Times New Roman"/>
              </w:rPr>
              <w:t> </w:t>
            </w:r>
            <w:r w:rsidRPr="00500166">
              <w:rPr>
                <w:rFonts w:eastAsia="Times New Roman"/>
              </w:rPr>
              <w:t>gada 1.</w:t>
            </w:r>
            <w:r>
              <w:rPr>
                <w:rFonts w:eastAsia="Times New Roman"/>
              </w:rPr>
              <w:t> </w:t>
            </w:r>
            <w:r w:rsidRPr="00500166">
              <w:rPr>
                <w:rFonts w:eastAsia="Times New Roman"/>
              </w:rPr>
              <w:t xml:space="preserve">jūlijam bija </w:t>
            </w:r>
            <w:r>
              <w:rPr>
                <w:rFonts w:eastAsia="Times New Roman"/>
              </w:rPr>
              <w:t xml:space="preserve">jāpapildina </w:t>
            </w:r>
            <w:bookmarkStart w:id="0" w:name="_Hlk13123441"/>
            <w:r w:rsidRPr="00500166">
              <w:rPr>
                <w:rFonts w:eastAsia="Times New Roman"/>
              </w:rPr>
              <w:t>Ministru kabineta 2011.</w:t>
            </w:r>
            <w:r>
              <w:rPr>
                <w:rFonts w:eastAsia="Times New Roman"/>
              </w:rPr>
              <w:t> </w:t>
            </w:r>
            <w:r w:rsidRPr="00500166">
              <w:rPr>
                <w:rFonts w:eastAsia="Times New Roman"/>
              </w:rPr>
              <w:t>gada 19.</w:t>
            </w:r>
            <w:r>
              <w:rPr>
                <w:rFonts w:eastAsia="Times New Roman"/>
              </w:rPr>
              <w:t> </w:t>
            </w:r>
            <w:r w:rsidRPr="00500166">
              <w:rPr>
                <w:rFonts w:eastAsia="Times New Roman"/>
              </w:rPr>
              <w:t>oktobra noteikum</w:t>
            </w:r>
            <w:r>
              <w:rPr>
                <w:rFonts w:eastAsia="Times New Roman"/>
              </w:rPr>
              <w:t>i</w:t>
            </w:r>
            <w:r w:rsidRPr="00500166">
              <w:rPr>
                <w:rFonts w:eastAsia="Times New Roman"/>
              </w:rPr>
              <w:t xml:space="preserve"> Nr.</w:t>
            </w:r>
            <w:r>
              <w:rPr>
                <w:rFonts w:eastAsia="Times New Roman"/>
              </w:rPr>
              <w:t> </w:t>
            </w:r>
            <w:r w:rsidRPr="00500166">
              <w:rPr>
                <w:rFonts w:eastAsia="Times New Roman"/>
              </w:rPr>
              <w:t>800 “Farmaceitiskās darbības licencēšanas kārtība”</w:t>
            </w:r>
            <w:bookmarkEnd w:id="0"/>
            <w:r>
              <w:rPr>
                <w:rFonts w:eastAsia="Times New Roman"/>
              </w:rPr>
              <w:t xml:space="preserve"> </w:t>
            </w:r>
            <w:r w:rsidRPr="00500166">
              <w:rPr>
                <w:rFonts w:eastAsia="Times New Roman"/>
              </w:rPr>
              <w:t xml:space="preserve">ar normu, kas ierobežo </w:t>
            </w:r>
            <w:r>
              <w:rPr>
                <w:rFonts w:eastAsia="Times New Roman"/>
              </w:rPr>
              <w:t>zāļu lieltirgotavas darbības</w:t>
            </w:r>
            <w:r w:rsidRPr="00500166">
              <w:rPr>
                <w:rFonts w:eastAsia="Times New Roman"/>
              </w:rPr>
              <w:t xml:space="preserve"> licenču izsniegšan</w:t>
            </w:r>
            <w:r>
              <w:rPr>
                <w:rFonts w:eastAsia="Times New Roman"/>
              </w:rPr>
              <w:t>u</w:t>
            </w:r>
            <w:r w:rsidRPr="00500166">
              <w:rPr>
                <w:rFonts w:eastAsia="Times New Roman"/>
              </w:rPr>
              <w:t xml:space="preserve"> vai pārreģistrēšanu</w:t>
            </w:r>
            <w:r>
              <w:rPr>
                <w:rFonts w:eastAsia="Times New Roman"/>
              </w:rPr>
              <w:t>,</w:t>
            </w:r>
            <w:r w:rsidRPr="00500166">
              <w:rPr>
                <w:rFonts w:eastAsia="Times New Roman"/>
              </w:rPr>
              <w:t xml:space="preserve"> licenci zāļu ražošanai vai importēšanai un licenci aktīvo vielu vai kontrolējamo vielu ražošanai vai spirta (palīgviela) fasēšanai (izmantošanai ārstniecībā un veterinārmedicīnā), proti, </w:t>
            </w:r>
            <w:r>
              <w:rPr>
                <w:rFonts w:eastAsia="Times New Roman"/>
              </w:rPr>
              <w:t xml:space="preserve">atsaucoties </w:t>
            </w:r>
            <w:r w:rsidRPr="00500166">
              <w:rPr>
                <w:rFonts w:eastAsia="Times New Roman"/>
              </w:rPr>
              <w:t>uz darbībām,</w:t>
            </w:r>
            <w:r>
              <w:rPr>
                <w:rFonts w:eastAsia="Times New Roman"/>
              </w:rPr>
              <w:t xml:space="preserve"> </w:t>
            </w:r>
            <w:r w:rsidRPr="00500166">
              <w:rPr>
                <w:rFonts w:eastAsia="Times New Roman"/>
                <w:bCs/>
                <w:u w:val="single"/>
              </w:rPr>
              <w:t>kas var būtiski ietekmēt sabiedrības un nacionālo drošību</w:t>
            </w:r>
            <w:r w:rsidRPr="00500166">
              <w:rPr>
                <w:rFonts w:eastAsia="Times New Roman"/>
              </w:rPr>
              <w:t>. Priekšlikums nav attiecināms uz aptieku darbību.</w:t>
            </w:r>
          </w:p>
          <w:p w:rsidR="00275CC4" w:rsidRPr="00500166" w:rsidP="009F520A" w14:paraId="47497323" w14:textId="77777777">
            <w:pPr>
              <w:spacing w:after="0" w:line="240" w:lineRule="auto"/>
              <w:jc w:val="both"/>
              <w:rPr>
                <w:rFonts w:eastAsia="Times New Roman"/>
              </w:rPr>
            </w:pPr>
            <w:r w:rsidRPr="00500166">
              <w:rPr>
                <w:rFonts w:eastAsia="Times New Roman"/>
              </w:rPr>
              <w:t>Saskaņā ar Nacionālās drošības likuma 1.</w:t>
            </w:r>
            <w:r>
              <w:rPr>
                <w:rFonts w:eastAsia="Times New Roman"/>
              </w:rPr>
              <w:t> </w:t>
            </w:r>
            <w:r w:rsidRPr="00500166">
              <w:rPr>
                <w:rFonts w:eastAsia="Times New Roman"/>
              </w:rPr>
              <w:t>panta pirmo daļu nacionālā drošība ir valsts un sabiedrības īstenotu vienotu, mērķtiecīgu pasākumu rezultātā sasniegts stāvoklis, kurā ir garantēta valsts neatkarība, tās konstitucionālā iekārta un teritoriālā integritāte, sabiedrības brīvas attīstības perspektīva, labklājība un stabilitāte.</w:t>
            </w:r>
          </w:p>
          <w:p w:rsidR="00275CC4" w:rsidRPr="00500166" w:rsidP="009F520A" w14:paraId="67D2EC4A" w14:textId="77777777">
            <w:pPr>
              <w:spacing w:after="0" w:line="240" w:lineRule="auto"/>
              <w:jc w:val="both"/>
              <w:rPr>
                <w:rFonts w:eastAsia="Times New Roman"/>
              </w:rPr>
            </w:pPr>
            <w:r w:rsidRPr="00500166">
              <w:rPr>
                <w:rFonts w:eastAsia="Times New Roman"/>
              </w:rPr>
              <w:t>Sabiedrības drošība ir viena no konstitucionālajām vērtībām, kuras labad var ierobežot Satversmē noteiktās pamattiesības (</w:t>
            </w:r>
            <w:r w:rsidRPr="00500166">
              <w:rPr>
                <w:rFonts w:eastAsia="Times New Roman"/>
                <w:i/>
                <w:iCs/>
              </w:rPr>
              <w:t>Satversmes 116.</w:t>
            </w:r>
            <w:r>
              <w:rPr>
                <w:rFonts w:eastAsia="Times New Roman"/>
                <w:i/>
                <w:iCs/>
              </w:rPr>
              <w:t> </w:t>
            </w:r>
            <w:r w:rsidRPr="00500166">
              <w:rPr>
                <w:rFonts w:eastAsia="Times New Roman"/>
                <w:i/>
                <w:iCs/>
              </w:rPr>
              <w:t>pants</w:t>
            </w:r>
            <w:r w:rsidRPr="00500166">
              <w:rPr>
                <w:rFonts w:eastAsia="Times New Roman"/>
              </w:rPr>
              <w:t xml:space="preserve">). Satversmes tiesa norādījusi, ka jēdziena </w:t>
            </w:r>
            <w:r>
              <w:rPr>
                <w:rFonts w:eastAsia="Times New Roman"/>
              </w:rPr>
              <w:t>“</w:t>
            </w:r>
            <w:r w:rsidRPr="00500166">
              <w:rPr>
                <w:rFonts w:eastAsia="Times New Roman"/>
              </w:rPr>
              <w:t>sabiedrības drošība” saturs demokrātiskās valstīs ir orientēts uz publisko interešu aizsardzību. Līdz ar to likumdevēja izraudzītajām institūcijām ir jābūt pilnvarotām izpildīt savu leģitīmo mērķi – sargāt valsts drošību, bet tām nevar tikt dota nekontrolējama iespēja pārkāpt pamattiesības un brīvības. Ir jāpanāk līdzsvars starp demokrātiskas sabiedrības tiesībām uz valsts drošību un personas tiesībām (</w:t>
            </w:r>
            <w:r w:rsidRPr="00500166">
              <w:rPr>
                <w:rFonts w:eastAsia="Times New Roman"/>
                <w:i/>
                <w:iCs/>
              </w:rPr>
              <w:t>Satversmes tiesas 2004.</w:t>
            </w:r>
            <w:r>
              <w:rPr>
                <w:rFonts w:eastAsia="Times New Roman"/>
                <w:i/>
                <w:iCs/>
              </w:rPr>
              <w:t> </w:t>
            </w:r>
            <w:r w:rsidRPr="00500166">
              <w:rPr>
                <w:rFonts w:eastAsia="Times New Roman"/>
                <w:i/>
                <w:iCs/>
              </w:rPr>
              <w:t>gada 6.</w:t>
            </w:r>
            <w:r>
              <w:rPr>
                <w:rFonts w:eastAsia="Times New Roman"/>
                <w:i/>
                <w:iCs/>
              </w:rPr>
              <w:t> </w:t>
            </w:r>
            <w:r w:rsidRPr="00500166">
              <w:rPr>
                <w:rFonts w:eastAsia="Times New Roman"/>
                <w:i/>
                <w:iCs/>
              </w:rPr>
              <w:t>decembra sprieduma lietā Nr.</w:t>
            </w:r>
            <w:r>
              <w:rPr>
                <w:rFonts w:eastAsia="Times New Roman"/>
                <w:i/>
                <w:iCs/>
              </w:rPr>
              <w:t> </w:t>
            </w:r>
            <w:r w:rsidRPr="00500166">
              <w:rPr>
                <w:rFonts w:eastAsia="Times New Roman"/>
                <w:i/>
                <w:iCs/>
              </w:rPr>
              <w:t>2004-14-01 13.</w:t>
            </w:r>
            <w:r>
              <w:rPr>
                <w:rFonts w:eastAsia="Times New Roman"/>
                <w:i/>
                <w:iCs/>
              </w:rPr>
              <w:t> </w:t>
            </w:r>
            <w:r w:rsidRPr="00500166">
              <w:rPr>
                <w:rFonts w:eastAsia="Times New Roman"/>
                <w:i/>
                <w:iCs/>
              </w:rPr>
              <w:t>punkts</w:t>
            </w:r>
            <w:r w:rsidRPr="00500166">
              <w:rPr>
                <w:rFonts w:eastAsia="Times New Roman"/>
              </w:rPr>
              <w:t xml:space="preserve">). No Satversmes tiesas spriedumiem izriet arī tas, ka leģitīmais mērķis – </w:t>
            </w:r>
            <w:r>
              <w:rPr>
                <w:rFonts w:eastAsia="Times New Roman"/>
              </w:rPr>
              <w:t>“</w:t>
            </w:r>
            <w:r w:rsidRPr="00500166">
              <w:rPr>
                <w:rFonts w:eastAsia="Times New Roman"/>
              </w:rPr>
              <w:t>sabiedrības drošība” – ietver sevī arī nacionālo drošību un Latvijas teritoriālo vienotību (</w:t>
            </w:r>
            <w:r w:rsidRPr="00500166">
              <w:rPr>
                <w:rFonts w:eastAsia="Times New Roman"/>
                <w:i/>
                <w:iCs/>
              </w:rPr>
              <w:t>Satversmes tiesas 2000.</w:t>
            </w:r>
            <w:r>
              <w:rPr>
                <w:rFonts w:eastAsia="Times New Roman"/>
                <w:i/>
                <w:iCs/>
              </w:rPr>
              <w:t> </w:t>
            </w:r>
            <w:r w:rsidRPr="00500166">
              <w:rPr>
                <w:rFonts w:eastAsia="Times New Roman"/>
                <w:i/>
                <w:iCs/>
              </w:rPr>
              <w:t>gada 30.</w:t>
            </w:r>
            <w:r>
              <w:rPr>
                <w:rFonts w:eastAsia="Times New Roman"/>
                <w:i/>
                <w:iCs/>
              </w:rPr>
              <w:t> </w:t>
            </w:r>
            <w:r w:rsidRPr="00500166">
              <w:rPr>
                <w:rFonts w:eastAsia="Times New Roman"/>
                <w:i/>
                <w:iCs/>
              </w:rPr>
              <w:t>augusta sprieduma lietā Nr.</w:t>
            </w:r>
            <w:r>
              <w:rPr>
                <w:rFonts w:eastAsia="Times New Roman"/>
                <w:i/>
                <w:iCs/>
              </w:rPr>
              <w:t> </w:t>
            </w:r>
            <w:r w:rsidRPr="00500166">
              <w:rPr>
                <w:rFonts w:eastAsia="Times New Roman"/>
                <w:i/>
                <w:iCs/>
              </w:rPr>
              <w:t>2000 03 01 6.</w:t>
            </w:r>
            <w:r>
              <w:rPr>
                <w:rFonts w:eastAsia="Times New Roman"/>
                <w:i/>
                <w:iCs/>
              </w:rPr>
              <w:t> </w:t>
            </w:r>
            <w:r w:rsidRPr="00500166">
              <w:rPr>
                <w:rFonts w:eastAsia="Times New Roman"/>
                <w:i/>
                <w:iCs/>
              </w:rPr>
              <w:t>punkts</w:t>
            </w:r>
            <w:r w:rsidRPr="00500166">
              <w:rPr>
                <w:rFonts w:eastAsia="Times New Roman"/>
              </w:rPr>
              <w:t xml:space="preserve">). Savukārt tiesību zinātnē norādīts, ka sabiedrības drošība kā leģitīmais mērķis tradicionāli orientējas uz </w:t>
            </w:r>
            <w:r w:rsidRPr="00500166">
              <w:rPr>
                <w:rFonts w:eastAsia="Times New Roman"/>
                <w:bCs/>
              </w:rPr>
              <w:t>nepieciešamību nodrošināt</w:t>
            </w:r>
            <w:r>
              <w:rPr>
                <w:rFonts w:eastAsia="Times New Roman"/>
              </w:rPr>
              <w:t xml:space="preserve"> </w:t>
            </w:r>
            <w:r w:rsidRPr="00500166">
              <w:rPr>
                <w:rFonts w:eastAsia="Times New Roman"/>
              </w:rPr>
              <w:t>pamattiesībās konkretizētās piecas pamatvērtības – </w:t>
            </w:r>
            <w:r w:rsidRPr="00500166">
              <w:rPr>
                <w:rFonts w:eastAsia="Times New Roman"/>
                <w:bCs/>
              </w:rPr>
              <w:t>cilvēka dzīvību</w:t>
            </w:r>
            <w:r w:rsidRPr="00500166">
              <w:rPr>
                <w:rFonts w:eastAsia="Times New Roman"/>
              </w:rPr>
              <w:t>, brīvību,</w:t>
            </w:r>
            <w:r>
              <w:rPr>
                <w:rFonts w:eastAsia="Times New Roman"/>
              </w:rPr>
              <w:t xml:space="preserve"> </w:t>
            </w:r>
            <w:r w:rsidRPr="00500166">
              <w:rPr>
                <w:rFonts w:eastAsia="Times New Roman"/>
                <w:bCs/>
              </w:rPr>
              <w:t>veselību</w:t>
            </w:r>
            <w:r w:rsidRPr="00500166">
              <w:rPr>
                <w:rFonts w:eastAsia="Times New Roman"/>
              </w:rPr>
              <w:t>, godu un īpašumu (</w:t>
            </w:r>
            <w:r w:rsidRPr="00500166">
              <w:rPr>
                <w:rFonts w:eastAsia="Times New Roman"/>
                <w:i/>
                <w:iCs/>
              </w:rPr>
              <w:t>Pleps J. Satversmes 116.</w:t>
            </w:r>
            <w:r>
              <w:rPr>
                <w:rFonts w:eastAsia="Times New Roman"/>
                <w:i/>
                <w:iCs/>
              </w:rPr>
              <w:t> </w:t>
            </w:r>
            <w:r w:rsidRPr="00500166">
              <w:rPr>
                <w:rFonts w:eastAsia="Times New Roman"/>
                <w:i/>
                <w:iCs/>
              </w:rPr>
              <w:t>panta komentārs. Latvijas Republikas Satversmes komentāri. VIII</w:t>
            </w:r>
            <w:r>
              <w:rPr>
                <w:rFonts w:eastAsia="Times New Roman"/>
                <w:i/>
                <w:iCs/>
              </w:rPr>
              <w:t> </w:t>
            </w:r>
            <w:r w:rsidRPr="00500166">
              <w:rPr>
                <w:rFonts w:eastAsia="Times New Roman"/>
                <w:i/>
                <w:iCs/>
              </w:rPr>
              <w:t>nodaļa. Cilvēka pamattiesības. Autoru kolektīvs prof. R.</w:t>
            </w:r>
            <w:r>
              <w:rPr>
                <w:rFonts w:eastAsia="Times New Roman"/>
                <w:i/>
                <w:iCs/>
              </w:rPr>
              <w:t> </w:t>
            </w:r>
            <w:r w:rsidRPr="00500166">
              <w:rPr>
                <w:rFonts w:eastAsia="Times New Roman"/>
                <w:i/>
                <w:iCs/>
              </w:rPr>
              <w:t>Baloža zinātniskā vadībā. Rīga: Latvijas Vēstnesis, 2011</w:t>
            </w:r>
            <w:r>
              <w:rPr>
                <w:rFonts w:eastAsia="Times New Roman"/>
                <w:i/>
                <w:iCs/>
              </w:rPr>
              <w:t>.</w:t>
            </w:r>
            <w:r w:rsidRPr="00500166">
              <w:rPr>
                <w:rFonts w:eastAsia="Times New Roman"/>
                <w:i/>
                <w:iCs/>
              </w:rPr>
              <w:t>, 119.</w:t>
            </w:r>
            <w:r>
              <w:rPr>
                <w:rFonts w:eastAsia="Times New Roman"/>
                <w:i/>
                <w:iCs/>
              </w:rPr>
              <w:t>–</w:t>
            </w:r>
            <w:r w:rsidRPr="00500166">
              <w:rPr>
                <w:rFonts w:eastAsia="Times New Roman"/>
                <w:i/>
                <w:iCs/>
              </w:rPr>
              <w:t>776.</w:t>
            </w:r>
            <w:r>
              <w:rPr>
                <w:rFonts w:eastAsia="Times New Roman"/>
                <w:i/>
                <w:iCs/>
              </w:rPr>
              <w:t> </w:t>
            </w:r>
            <w:r w:rsidRPr="00500166">
              <w:rPr>
                <w:rFonts w:eastAsia="Times New Roman"/>
                <w:i/>
                <w:iCs/>
              </w:rPr>
              <w:t>lpp</w:t>
            </w:r>
            <w:r w:rsidRPr="00500166">
              <w:rPr>
                <w:rFonts w:eastAsia="Times New Roman"/>
              </w:rPr>
              <w:t>.).</w:t>
            </w:r>
          </w:p>
          <w:p w:rsidR="00275CC4" w:rsidRPr="00500166" w:rsidP="009F520A" w14:paraId="21BFC646" w14:textId="77777777">
            <w:pPr>
              <w:spacing w:after="0" w:line="240" w:lineRule="auto"/>
              <w:jc w:val="both"/>
              <w:rPr>
                <w:rFonts w:eastAsia="Times New Roman"/>
              </w:rPr>
            </w:pPr>
            <w:r w:rsidRPr="00500166">
              <w:rPr>
                <w:rFonts w:eastAsia="Times New Roman"/>
              </w:rPr>
              <w:t xml:space="preserve">Ņemot vērā, ka farmaceitiskās darbības uzņēmumi nodarbojas ar zāļu izplatīšanu, potenciālie riski, kas saistīti ar to rīcību (darbību vai bezdarbību) pamatā skar </w:t>
            </w:r>
            <w:r w:rsidRPr="00500166">
              <w:rPr>
                <w:rFonts w:eastAsia="Times New Roman"/>
              </w:rPr>
              <w:t>sabiedrības drošību, proti, cilvēka dzīvību un veselību, nevis nacionālo drošību.</w:t>
            </w:r>
          </w:p>
          <w:p w:rsidR="00275CC4" w:rsidRPr="00500166" w:rsidP="009F520A" w14:paraId="55263AC7" w14:textId="77777777">
            <w:pPr>
              <w:spacing w:after="0" w:line="240" w:lineRule="auto"/>
              <w:jc w:val="both"/>
              <w:rPr>
                <w:rFonts w:eastAsia="Times New Roman"/>
              </w:rPr>
            </w:pPr>
            <w:r w:rsidRPr="00500166">
              <w:rPr>
                <w:rFonts w:eastAsia="Times New Roman"/>
              </w:rPr>
              <w:t>Farmācijas nozare ir viena no stingrāk reglamentētajām jomām. Ministru kabineta 2011.</w:t>
            </w:r>
            <w:r>
              <w:rPr>
                <w:rFonts w:eastAsia="Times New Roman"/>
              </w:rPr>
              <w:t> </w:t>
            </w:r>
            <w:r w:rsidRPr="00500166">
              <w:rPr>
                <w:rFonts w:eastAsia="Times New Roman"/>
              </w:rPr>
              <w:t>gada 19.</w:t>
            </w:r>
            <w:r>
              <w:rPr>
                <w:rFonts w:eastAsia="Times New Roman"/>
              </w:rPr>
              <w:t> </w:t>
            </w:r>
            <w:r w:rsidRPr="00500166">
              <w:rPr>
                <w:rFonts w:eastAsia="Times New Roman"/>
              </w:rPr>
              <w:t>oktobra noteikumos Nr.</w:t>
            </w:r>
            <w:r>
              <w:rPr>
                <w:rFonts w:eastAsia="Times New Roman"/>
              </w:rPr>
              <w:t> </w:t>
            </w:r>
            <w:r w:rsidRPr="00500166">
              <w:rPr>
                <w:rFonts w:eastAsia="Times New Roman"/>
              </w:rPr>
              <w:t>800 “Farmaceitiskās darbības licencēšanas kārtība” nosaka astoņus gadījumos, kādos tiek pieņemts lēmums par atteikumu izsniegt vai pārreģistrēt licenci (61.</w:t>
            </w:r>
            <w:r>
              <w:rPr>
                <w:rFonts w:eastAsia="Times New Roman"/>
              </w:rPr>
              <w:t> </w:t>
            </w:r>
            <w:r w:rsidRPr="00500166">
              <w:rPr>
                <w:rFonts w:eastAsia="Times New Roman"/>
              </w:rPr>
              <w:t>punkts) un 15</w:t>
            </w:r>
            <w:r>
              <w:rPr>
                <w:rFonts w:eastAsia="Times New Roman"/>
              </w:rPr>
              <w:t> </w:t>
            </w:r>
            <w:r w:rsidRPr="00500166">
              <w:rPr>
                <w:rFonts w:eastAsia="Times New Roman"/>
              </w:rPr>
              <w:t>gadījumus, kādos licence vai par licences norādītais speciālās darbības nosacījums tiek anulēts (68.</w:t>
            </w:r>
            <w:r>
              <w:rPr>
                <w:rFonts w:eastAsia="Times New Roman"/>
              </w:rPr>
              <w:t> </w:t>
            </w:r>
            <w:r w:rsidRPr="00500166">
              <w:rPr>
                <w:rFonts w:eastAsia="Times New Roman"/>
              </w:rPr>
              <w:t>punkts). Minētie nosacījumi vērsti uz cilvēka dzīvība</w:t>
            </w:r>
            <w:r>
              <w:rPr>
                <w:rFonts w:eastAsia="Times New Roman"/>
              </w:rPr>
              <w:t>s</w:t>
            </w:r>
            <w:r w:rsidRPr="00500166">
              <w:rPr>
                <w:rFonts w:eastAsia="Times New Roman"/>
              </w:rPr>
              <w:t xml:space="preserve"> un veselības aizsardzību un jau šobrīd paredz efektīvu veidu, kādā nodrošināt sabiedrības drošību no farmaceitiskās darbības uzņēmumu jebkādi veiktām nepamatotām darbībām.</w:t>
            </w:r>
          </w:p>
          <w:p w:rsidR="00275CC4" w:rsidRPr="00500166" w:rsidP="009F520A" w14:paraId="36A9CBD8" w14:textId="77777777">
            <w:pPr>
              <w:spacing w:after="0" w:line="240" w:lineRule="auto"/>
              <w:jc w:val="both"/>
              <w:rPr>
                <w:rFonts w:eastAsia="Times New Roman"/>
              </w:rPr>
            </w:pPr>
            <w:r w:rsidRPr="00500166">
              <w:rPr>
                <w:rFonts w:eastAsia="Times New Roman"/>
              </w:rPr>
              <w:t>Ņemot vērā minēto, papildināt minēto regulējumu ar abstrakti definētu nosacījumu, proti, liegšanu veikt uzņēmējdarbību sabiedrības drošības apsvērumu dēļ, praksē būtu problemātiski piemērot, jo īpaši tāpēc, ka jau šobrīd apdraudošie nosacījumi ir detalizēti definēti.</w:t>
            </w:r>
          </w:p>
          <w:p w:rsidR="00275CC4" w:rsidRPr="00500166" w:rsidP="009F520A" w14:paraId="2AFDF85C" w14:textId="77777777">
            <w:pPr>
              <w:spacing w:after="0" w:line="240" w:lineRule="auto"/>
              <w:jc w:val="both"/>
              <w:rPr>
                <w:rFonts w:eastAsia="Times New Roman"/>
              </w:rPr>
            </w:pPr>
            <w:r w:rsidRPr="00500166">
              <w:rPr>
                <w:rFonts w:eastAsia="Times New Roman"/>
              </w:rPr>
              <w:t>Atsaucoties uz Aizsardzības ministrijas 2019.</w:t>
            </w:r>
            <w:r>
              <w:rPr>
                <w:rFonts w:eastAsia="Times New Roman"/>
              </w:rPr>
              <w:t> </w:t>
            </w:r>
            <w:r w:rsidRPr="00500166">
              <w:rPr>
                <w:rFonts w:eastAsia="Times New Roman"/>
              </w:rPr>
              <w:t>gada 3.</w:t>
            </w:r>
            <w:r>
              <w:rPr>
                <w:rFonts w:eastAsia="Times New Roman"/>
              </w:rPr>
              <w:t> </w:t>
            </w:r>
            <w:r w:rsidRPr="00500166">
              <w:rPr>
                <w:rFonts w:eastAsia="Times New Roman"/>
              </w:rPr>
              <w:t>jūlij</w:t>
            </w:r>
            <w:r>
              <w:rPr>
                <w:rFonts w:eastAsia="Times New Roman"/>
              </w:rPr>
              <w:t xml:space="preserve">a </w:t>
            </w:r>
            <w:r w:rsidRPr="00500166">
              <w:rPr>
                <w:rFonts w:eastAsia="Times New Roman"/>
              </w:rPr>
              <w:t>sēdē sniegto informāciju, Tieslietu ministrija nesaskaņo līdz šim citu institūciju izstrādātos projektus, jo minētais informatīvais ziņojums nesatur tiesiskos kritērijus un apstākļus, kādos uzņēmējdarbība būtu ierobežojama. Arī attiec</w:t>
            </w:r>
            <w:r>
              <w:rPr>
                <w:rFonts w:eastAsia="Times New Roman"/>
              </w:rPr>
              <w:t>ī</w:t>
            </w:r>
            <w:r w:rsidRPr="00500166">
              <w:rPr>
                <w:rFonts w:eastAsia="Times New Roman"/>
              </w:rPr>
              <w:t xml:space="preserve">bā uz farmaceitiskās darbības licencēšanas kārtību šādi kritēriji nav definēti, turklāt ziņojums satur pretrunīgu kritēriju, </w:t>
            </w:r>
            <w:r>
              <w:rPr>
                <w:rFonts w:eastAsia="Times New Roman"/>
              </w:rPr>
              <w:t xml:space="preserve">kas </w:t>
            </w:r>
            <w:r w:rsidRPr="00500166">
              <w:rPr>
                <w:rFonts w:eastAsia="Times New Roman"/>
              </w:rPr>
              <w:t>aptieku gadījumā nebūtu piemērojams, jo aptiekas izveidē ir ieguldīti lielāki resursi. Šādam izņēmumam nav sniegts arī nekāds skaidrojums, turklāt katra farmaceitiskās darbības uzņēmuma faktiskais (investētais) resursu apjoms var būt atšķirīgs.</w:t>
            </w:r>
          </w:p>
          <w:p w:rsidR="00275CC4" w:rsidRPr="00500166" w:rsidP="009F520A" w14:paraId="6C2DA18F" w14:textId="77777777">
            <w:pPr>
              <w:spacing w:after="0" w:line="240" w:lineRule="auto"/>
              <w:jc w:val="both"/>
              <w:rPr>
                <w:rFonts w:eastAsia="Times New Roman"/>
              </w:rPr>
            </w:pPr>
            <w:r w:rsidRPr="00500166">
              <w:rPr>
                <w:rFonts w:eastAsia="Times New Roman"/>
              </w:rPr>
              <w:t>Ņemot vērā minēto, ir secināms, ka farmaceitiskās darbības licencēšanas kārtība jau šobrīd satur efektīvi piemērojamu tiesisko regulējumu attiecībā uz sabiedrības drošības ievērošanu, savukārt potenciāli veicamie papildinājumi nesatur tiesiskos kritērijus, kādos norma varētu tikt piemērota.</w:t>
            </w:r>
          </w:p>
          <w:p w:rsidR="00275CC4" w:rsidRPr="00500166" w:rsidP="009F520A" w14:paraId="2D9BD75F" w14:textId="77777777">
            <w:pPr>
              <w:spacing w:after="0" w:line="240" w:lineRule="auto"/>
              <w:jc w:val="both"/>
              <w:rPr>
                <w:rFonts w:eastAsia="Times New Roman"/>
              </w:rPr>
            </w:pPr>
            <w:r w:rsidRPr="00500166">
              <w:rPr>
                <w:rFonts w:eastAsia="Times New Roman"/>
              </w:rPr>
              <w:t>Līdz ar to Veselības ministrija lūdz atzīt par neaktuālu Ministru kabineta 2019.</w:t>
            </w:r>
            <w:r>
              <w:rPr>
                <w:rFonts w:eastAsia="Times New Roman"/>
              </w:rPr>
              <w:t> </w:t>
            </w:r>
            <w:r w:rsidRPr="00500166">
              <w:rPr>
                <w:rFonts w:eastAsia="Times New Roman"/>
              </w:rPr>
              <w:t>gada 15.</w:t>
            </w:r>
            <w:r>
              <w:rPr>
                <w:rFonts w:eastAsia="Times New Roman"/>
              </w:rPr>
              <w:t> </w:t>
            </w:r>
            <w:r w:rsidRPr="00500166">
              <w:rPr>
                <w:rFonts w:eastAsia="Times New Roman"/>
              </w:rPr>
              <w:t>janvāra sēdes protokollēmuma Nr.</w:t>
            </w:r>
            <w:r>
              <w:rPr>
                <w:rFonts w:eastAsia="Times New Roman"/>
              </w:rPr>
              <w:t> </w:t>
            </w:r>
            <w:r w:rsidRPr="00500166">
              <w:rPr>
                <w:rFonts w:eastAsia="Times New Roman"/>
              </w:rPr>
              <w:t>2 71.</w:t>
            </w:r>
            <w:r>
              <w:rPr>
                <w:rFonts w:eastAsia="Times New Roman"/>
              </w:rPr>
              <w:t> </w:t>
            </w:r>
            <w:r w:rsidRPr="00500166">
              <w:rPr>
                <w:rFonts w:eastAsia="Times New Roman"/>
              </w:rPr>
              <w:t>§ “Informatīvais ziņojums par iespējamiem risinājumiem nacionālās drošības interešu aizsardzības nodrošināšanai” 3.7.</w:t>
            </w:r>
            <w:r>
              <w:rPr>
                <w:rFonts w:eastAsia="Times New Roman"/>
              </w:rPr>
              <w:t> </w:t>
            </w:r>
            <w:r w:rsidRPr="00500166">
              <w:rPr>
                <w:rFonts w:eastAsia="Times New Roman"/>
              </w:rPr>
              <w:t>apakšpunktu vai arī noteikt ziņojumā ie</w:t>
            </w:r>
            <w:r>
              <w:rPr>
                <w:rFonts w:eastAsia="Times New Roman"/>
              </w:rPr>
              <w:t>tve</w:t>
            </w:r>
            <w:r w:rsidRPr="00500166">
              <w:rPr>
                <w:rFonts w:eastAsia="Times New Roman"/>
              </w:rPr>
              <w:t>rtās informācijas izvērtēšanu saistībā ar nākam</w:t>
            </w:r>
            <w:r>
              <w:rPr>
                <w:rFonts w:eastAsia="Times New Roman"/>
              </w:rPr>
              <w:t>ajiem</w:t>
            </w:r>
            <w:r w:rsidRPr="00500166">
              <w:rPr>
                <w:rFonts w:eastAsia="Times New Roman"/>
              </w:rPr>
              <w:t xml:space="preserve"> grozījum</w:t>
            </w:r>
            <w:r>
              <w:rPr>
                <w:rFonts w:eastAsia="Times New Roman"/>
              </w:rPr>
              <w:t xml:space="preserve">iem </w:t>
            </w:r>
            <w:r w:rsidRPr="00500166">
              <w:rPr>
                <w:rFonts w:eastAsia="Times New Roman"/>
              </w:rPr>
              <w:t>farmaceitiskās darbības licencēšanas kārtīb</w:t>
            </w:r>
            <w:r>
              <w:rPr>
                <w:rFonts w:eastAsia="Times New Roman"/>
              </w:rPr>
              <w:t>ā</w:t>
            </w:r>
            <w:r w:rsidRPr="00500166">
              <w:rPr>
                <w:rFonts w:eastAsia="Times New Roman"/>
              </w:rPr>
              <w:t>.</w:t>
            </w:r>
          </w:p>
          <w:p w:rsidR="00275CC4" w:rsidRPr="00500166" w:rsidP="009F520A" w14:paraId="4EA22B0E" w14:textId="77777777">
            <w:pPr>
              <w:spacing w:after="0" w:line="240" w:lineRule="auto"/>
              <w:jc w:val="both"/>
              <w:rPr>
                <w:rFonts w:eastAsia="Times New Roman"/>
              </w:rPr>
            </w:pPr>
          </w:p>
          <w:p w:rsidR="00275CC4" w:rsidRPr="00500166" w:rsidP="009F520A" w14:paraId="3E5AA63B" w14:textId="77777777">
            <w:pPr>
              <w:spacing w:after="0" w:line="240" w:lineRule="auto"/>
              <w:jc w:val="both"/>
              <w:rPr>
                <w:rFonts w:eastAsia="Times New Roman"/>
              </w:rPr>
            </w:pPr>
            <w:r w:rsidRPr="00500166">
              <w:rPr>
                <w:rFonts w:eastAsia="Times New Roman"/>
              </w:rPr>
              <w:t xml:space="preserve">Papildus Veselības ministrija informē, ka šobrīd tiek </w:t>
            </w:r>
            <w:r w:rsidRPr="00500166">
              <w:rPr>
                <w:rFonts w:eastAsia="Times New Roman"/>
              </w:rPr>
              <w:t xml:space="preserve">izstrādāts Ministru </w:t>
            </w:r>
            <w:r>
              <w:rPr>
                <w:rFonts w:eastAsia="Times New Roman"/>
              </w:rPr>
              <w:t xml:space="preserve">kabineta </w:t>
            </w:r>
            <w:r w:rsidRPr="00500166">
              <w:rPr>
                <w:rFonts w:eastAsia="Times New Roman"/>
              </w:rPr>
              <w:t>noteikumu projekts “Farmaceitiskās darbības licencēšanas kārtība”</w:t>
            </w:r>
            <w:r>
              <w:rPr>
                <w:rFonts w:eastAsia="Times New Roman"/>
              </w:rPr>
              <w:t xml:space="preserve"> un </w:t>
            </w:r>
            <w:r w:rsidRPr="00500166">
              <w:rPr>
                <w:rFonts w:eastAsia="Times New Roman"/>
              </w:rPr>
              <w:t xml:space="preserve">šobrīd spēkā esošos Ministru kabineta noteikumus vairs nav paredzēts grozīt. Līdz ar to informatīvajā ziņojumā ietvertais uzdevums varētu tikt izvērtēts jauno grozījumu izstrādes </w:t>
            </w:r>
            <w:r>
              <w:rPr>
                <w:rFonts w:eastAsia="Times New Roman"/>
              </w:rPr>
              <w:t>procesā</w:t>
            </w:r>
            <w:r w:rsidRPr="00500166">
              <w:rPr>
                <w:rFonts w:eastAsia="Times New Roman"/>
              </w:rPr>
              <w:t>, vienlaicīgi neparedzot obligātu šāda pienākuma izpildi.</w:t>
            </w:r>
          </w:p>
          <w:p w:rsidR="00275CC4" w:rsidRPr="00500166" w:rsidP="009F520A" w14:paraId="36A7FFB9" w14:textId="77777777">
            <w:pPr>
              <w:spacing w:after="0" w:line="240" w:lineRule="auto"/>
              <w:jc w:val="both"/>
              <w:rPr>
                <w:rFonts w:eastAsia="Times New Roman"/>
              </w:rPr>
            </w:pPr>
          </w:p>
          <w:p w:rsidR="00275CC4" w:rsidRPr="00500166" w:rsidP="009F520A" w14:paraId="660A3153" w14:textId="77777777">
            <w:pPr>
              <w:spacing w:after="0" w:line="240" w:lineRule="auto"/>
              <w:contextualSpacing/>
              <w:jc w:val="both"/>
            </w:pPr>
            <w:r w:rsidRPr="00500166">
              <w:t xml:space="preserve">Visu iepriekšminēto iemeslu dēļ Aizsardzības ministrija lūdz atzīt </w:t>
            </w:r>
            <w:r w:rsidRPr="00500166">
              <w:rPr>
                <w:iCs/>
              </w:rPr>
              <w:t>Ministru kabineta 2019.</w:t>
            </w:r>
            <w:r>
              <w:rPr>
                <w:iCs/>
              </w:rPr>
              <w:t> </w:t>
            </w:r>
            <w:r w:rsidRPr="00500166">
              <w:rPr>
                <w:iCs/>
              </w:rPr>
              <w:t>gada 15.</w:t>
            </w:r>
            <w:r>
              <w:rPr>
                <w:iCs/>
              </w:rPr>
              <w:t> </w:t>
            </w:r>
            <w:r w:rsidRPr="00500166">
              <w:rPr>
                <w:iCs/>
              </w:rPr>
              <w:t>janvāra sēdes protokollēmuma Nr.</w:t>
            </w:r>
            <w:r>
              <w:rPr>
                <w:iCs/>
              </w:rPr>
              <w:t> </w:t>
            </w:r>
            <w:r w:rsidRPr="00500166">
              <w:rPr>
                <w:iCs/>
              </w:rPr>
              <w:t>2 71.</w:t>
            </w:r>
            <w:r>
              <w:rPr>
                <w:iCs/>
              </w:rPr>
              <w:t> </w:t>
            </w:r>
            <w:r w:rsidRPr="00500166">
              <w:rPr>
                <w:iCs/>
              </w:rPr>
              <w:t>§ “Informatīvais ziņojums par iespējamiem risinājumiem nacionālās drošības interešu aizsardzības nodrošināšanai” 3.1., 3.3., 3.4., 3.5., 3.6. un 3.7.</w:t>
            </w:r>
            <w:r>
              <w:rPr>
                <w:iCs/>
              </w:rPr>
              <w:t> </w:t>
            </w:r>
            <w:r w:rsidRPr="00500166">
              <w:rPr>
                <w:iCs/>
              </w:rPr>
              <w:t>apakš</w:t>
            </w:r>
            <w:r w:rsidRPr="00500166">
              <w:rPr>
                <w:bCs/>
              </w:rPr>
              <w:t>punkt</w:t>
            </w:r>
            <w:r>
              <w:rPr>
                <w:bCs/>
              </w:rPr>
              <w:t xml:space="preserve">us </w:t>
            </w:r>
            <w:r w:rsidRPr="00500166">
              <w:rPr>
                <w:bCs/>
              </w:rPr>
              <w:t>par aktualitāti zaudējuš</w:t>
            </w:r>
            <w:r>
              <w:rPr>
                <w:bCs/>
              </w:rPr>
              <w:t>iem</w:t>
            </w:r>
            <w:r w:rsidRPr="00500166">
              <w:rPr>
                <w:bCs/>
              </w:rPr>
              <w:t xml:space="preserve"> un ministrijām, pilnveidojot to kompetenču jomā nozaru normatīvo regulējumu, izvērtējot nepieciešamību, ņemt vērā šā protokollēmuma 1.</w:t>
            </w:r>
            <w:r>
              <w:rPr>
                <w:bCs/>
              </w:rPr>
              <w:t> </w:t>
            </w:r>
            <w:r w:rsidRPr="00500166">
              <w:rPr>
                <w:bCs/>
              </w:rPr>
              <w:t xml:space="preserve">punktā minētajā informatīvajā ziņojumā </w:t>
            </w:r>
            <w:r w:rsidRPr="00500166">
              <w:rPr>
                <w:bCs/>
                <w:iCs/>
              </w:rPr>
              <w:t>paustos priekšlikumus normatīvo aktu pilnveidei nacionālās drošības interešu aizsardzības nodrošināšanā.</w:t>
            </w:r>
          </w:p>
        </w:tc>
      </w:tr>
    </w:tbl>
    <w:p w:rsidR="00275CC4" w:rsidP="00275CC4" w14:paraId="695FC92F" w14:textId="77777777">
      <w:pPr>
        <w:pStyle w:val="NormalWeb"/>
        <w:spacing w:before="0" w:beforeAutospacing="0" w:after="0" w:afterAutospacing="0"/>
        <w:jc w:val="both"/>
      </w:pPr>
    </w:p>
    <w:p w:rsidR="00275CC4" w:rsidP="00275CC4" w14:paraId="1AB5ED10" w14:textId="77777777">
      <w:pPr>
        <w:pStyle w:val="NormalWeb"/>
        <w:spacing w:before="0" w:beforeAutospacing="0" w:after="0" w:afterAutospacing="0"/>
        <w:ind w:firstLine="720"/>
        <w:jc w:val="both"/>
      </w:pPr>
      <w:r>
        <w:t xml:space="preserve">Pielikumā: </w:t>
      </w:r>
    </w:p>
    <w:p w:rsidR="00275CC4" w:rsidP="00275CC4" w14:paraId="5054423F" w14:textId="561FEE6A">
      <w:pPr>
        <w:pStyle w:val="NormalWeb"/>
        <w:spacing w:before="0" w:beforeAutospacing="0" w:after="0" w:afterAutospacing="0"/>
        <w:ind w:firstLine="720"/>
        <w:jc w:val="both"/>
      </w:pPr>
      <w:r>
        <w:t>1. Ministru kabineta protokollēmuma “</w:t>
      </w:r>
      <w:r w:rsidRPr="00826B6D">
        <w:t xml:space="preserve">Par Ministru kabineta 2019. </w:t>
      </w:r>
      <w:r>
        <w:t>gada 15. janvāra sēdes protokollēmuma Nr. 2</w:t>
      </w:r>
      <w:r w:rsidRPr="00826B6D">
        <w:t xml:space="preserve"> 71. § “Informatīvais ziņojums par iespējamiem risinājumiem nacionālās drošības interešu aizsardzības nodrošināšanai” </w:t>
      </w:r>
      <w:r w:rsidRPr="00CD416A">
        <w:rPr>
          <w:iCs/>
        </w:rPr>
        <w:t>3.1., 3.3., 3.4.</w:t>
      </w:r>
      <w:r>
        <w:rPr>
          <w:iCs/>
        </w:rPr>
        <w:t>, 3.5., 3.6. un 3.7</w:t>
      </w:r>
      <w:r w:rsidRPr="00CD416A">
        <w:rPr>
          <w:iCs/>
        </w:rPr>
        <w:t xml:space="preserve">. </w:t>
      </w:r>
      <w:r w:rsidRPr="00826B6D">
        <w:t>punkt</w:t>
      </w:r>
      <w:r>
        <w:t>u</w:t>
      </w:r>
      <w:r w:rsidRPr="00826B6D">
        <w:t xml:space="preserve"> atzīšanu par aktualitāti zaudējuš</w:t>
      </w:r>
      <w:r w:rsidR="005B072B">
        <w:t xml:space="preserve">iem” projekts  uz </w:t>
      </w:r>
      <w:r w:rsidR="00154F73">
        <w:t>1</w:t>
      </w:r>
      <w:r>
        <w:t xml:space="preserve"> lpp, datne: </w:t>
      </w:r>
      <w:r w:rsidRPr="00FC6F99">
        <w:t xml:space="preserve"> </w:t>
      </w:r>
      <w:r>
        <w:rPr>
          <w:i/>
        </w:rPr>
        <w:t>AIMprot_090819;</w:t>
      </w:r>
    </w:p>
    <w:p w:rsidR="00275CC4" w:rsidP="00275CC4" w14:paraId="4B7E5702" w14:textId="3B01DF9E">
      <w:pPr>
        <w:pStyle w:val="NormalWeb"/>
        <w:spacing w:before="0" w:beforeAutospacing="0" w:after="0" w:afterAutospacing="0"/>
        <w:ind w:firstLine="720"/>
        <w:jc w:val="both"/>
      </w:pPr>
      <w:r>
        <w:t xml:space="preserve">2. </w:t>
      </w:r>
      <w:r w:rsidRPr="00716695">
        <w:t>Izziņa par atzinumos sniegtajiem iebildumiem</w:t>
      </w:r>
      <w:r>
        <w:t xml:space="preserve"> par p</w:t>
      </w:r>
      <w:r w:rsidRPr="00716695">
        <w:t xml:space="preserve">rotokollēmuma “Par Ministru kabineta 2019. gada 15. janvāra sēdes protokola Nr. 2 71. § “Informatīvais ziņojums par iespējamiem risinājumiem nacionālās drošības interešu aizsardzības nodrošināšanai” 3.1., 3.3., </w:t>
      </w:r>
      <w:r>
        <w:t>3.4., 3.5., 3.6. un 3.7.  punktu</w:t>
      </w:r>
      <w:r w:rsidRPr="00716695">
        <w:t xml:space="preserve"> atzīšanu par</w:t>
      </w:r>
      <w:r>
        <w:t xml:space="preserve"> aktualitāti zaudējušiem” projektu uz 14 lpp, datne:</w:t>
      </w:r>
      <w:r w:rsidR="00CF634E">
        <w:t> </w:t>
      </w:r>
      <w:r>
        <w:rPr>
          <w:i/>
        </w:rPr>
        <w:t>AIMizz_310719;</w:t>
      </w:r>
    </w:p>
    <w:p w:rsidR="00275CC4" w:rsidP="00275CC4" w14:paraId="48DCC5B0" w14:textId="18293978">
      <w:pPr>
        <w:pStyle w:val="NormalWeb"/>
        <w:spacing w:before="0" w:beforeAutospacing="0" w:after="0" w:afterAutospacing="0"/>
        <w:ind w:firstLine="720"/>
        <w:jc w:val="both"/>
      </w:pPr>
      <w:r>
        <w:t xml:space="preserve">3. Kultūras ministrijas 2019. gada 16. jūlija </w:t>
      </w:r>
      <w:r w:rsidR="00B50134">
        <w:t>vēstule Nr.</w:t>
      </w:r>
      <w:r w:rsidRPr="003148EC">
        <w:t xml:space="preserve"> </w:t>
      </w:r>
      <w:r w:rsidRPr="00B50134" w:rsidR="00B50134">
        <w:t>5.1-4/1371</w:t>
      </w:r>
      <w:r w:rsidRPr="003148EC">
        <w:t xml:space="preserve"> uz 1</w:t>
      </w:r>
      <w:r>
        <w:t> </w:t>
      </w:r>
      <w:r w:rsidRPr="003148EC">
        <w:t>lpp</w:t>
      </w:r>
      <w:r w:rsidR="00B50134">
        <w:t>, datne:</w:t>
      </w:r>
      <w:r w:rsidR="00CF634E">
        <w:t> </w:t>
      </w:r>
      <w:r w:rsidR="00B50134">
        <w:rPr>
          <w:i/>
        </w:rPr>
        <w:t>KMatz_160719;</w:t>
      </w:r>
    </w:p>
    <w:p w:rsidR="00275CC4" w:rsidP="00275CC4" w14:paraId="5898C23C" w14:textId="294BEAE5">
      <w:pPr>
        <w:pStyle w:val="NormalWeb"/>
        <w:spacing w:before="0" w:beforeAutospacing="0" w:after="0" w:afterAutospacing="0"/>
        <w:ind w:firstLine="720"/>
        <w:jc w:val="both"/>
      </w:pPr>
      <w:r>
        <w:t xml:space="preserve">4. Veselības ministrijas 2019. gada 19. jūlija </w:t>
      </w:r>
      <w:r w:rsidR="00CF634E">
        <w:t>elektroniskā vēstule</w:t>
      </w:r>
      <w:r w:rsidRPr="00FC6F99">
        <w:t xml:space="preserve"> uz 1</w:t>
      </w:r>
      <w:r>
        <w:t> </w:t>
      </w:r>
      <w:r w:rsidRPr="00FC6F99">
        <w:t>lpp</w:t>
      </w:r>
      <w:r w:rsidR="00CF634E">
        <w:t>, datne: </w:t>
      </w:r>
      <w:r w:rsidRPr="00CF634E" w:rsidR="00CF634E">
        <w:rPr>
          <w:i/>
        </w:rPr>
        <w:t>VMatz_190719</w:t>
      </w:r>
      <w:r w:rsidR="00CF634E">
        <w:t>;</w:t>
      </w:r>
    </w:p>
    <w:p w:rsidR="00275CC4" w:rsidP="00275CC4" w14:paraId="776054B4" w14:textId="7A1C47BB">
      <w:pPr>
        <w:pStyle w:val="NormalWeb"/>
        <w:spacing w:before="0" w:beforeAutospacing="0" w:after="0" w:afterAutospacing="0"/>
        <w:ind w:firstLine="720"/>
        <w:jc w:val="both"/>
      </w:pPr>
      <w:r>
        <w:t xml:space="preserve">5. Satiksmes ministrijas 2019. gada 22. jūlija </w:t>
      </w:r>
      <w:r w:rsidR="00CF634E">
        <w:t xml:space="preserve">vēstule Nr. </w:t>
      </w:r>
      <w:r w:rsidRPr="00CF634E" w:rsidR="00CF634E">
        <w:t>16-02/2245</w:t>
      </w:r>
      <w:r w:rsidR="00CF634E">
        <w:t xml:space="preserve"> </w:t>
      </w:r>
      <w:r w:rsidRPr="003148EC">
        <w:t>uz 2</w:t>
      </w:r>
      <w:r>
        <w:t> </w:t>
      </w:r>
      <w:r w:rsidRPr="003148EC">
        <w:t>lpp</w:t>
      </w:r>
      <w:r w:rsidR="00CF634E">
        <w:t>, d</w:t>
      </w:r>
      <w:r w:rsidR="0044298A">
        <w:t>atne: </w:t>
      </w:r>
      <w:r w:rsidRPr="00CF634E" w:rsidR="00CF634E">
        <w:rPr>
          <w:i/>
        </w:rPr>
        <w:t>SAMatz_220719</w:t>
      </w:r>
      <w:r w:rsidR="00CF634E">
        <w:t>;</w:t>
      </w:r>
    </w:p>
    <w:p w:rsidR="00275CC4" w:rsidP="00275CC4" w14:paraId="459E8696" w14:textId="09601156">
      <w:pPr>
        <w:pStyle w:val="NormalWeb"/>
        <w:spacing w:before="0" w:beforeAutospacing="0" w:after="0" w:afterAutospacing="0"/>
        <w:ind w:firstLine="720"/>
        <w:jc w:val="both"/>
      </w:pPr>
      <w:r>
        <w:t xml:space="preserve">6. Tieslietu ministrijas </w:t>
      </w:r>
      <w:r w:rsidRPr="00FC6F99">
        <w:t xml:space="preserve">2019. gada 22. jūlija </w:t>
      </w:r>
      <w:r w:rsidR="00CF634E">
        <w:t xml:space="preserve">vēstule Nr. </w:t>
      </w:r>
      <w:r w:rsidRPr="00CF634E" w:rsidR="00CF634E">
        <w:rPr>
          <w:lang w:val="en-US"/>
        </w:rPr>
        <w:t>1-9.1/752</w:t>
      </w:r>
      <w:r>
        <w:t xml:space="preserve"> uz </w:t>
      </w:r>
      <w:r w:rsidRPr="00FC6F99">
        <w:t>1</w:t>
      </w:r>
      <w:r>
        <w:t> </w:t>
      </w:r>
      <w:r w:rsidRPr="00FC6F99">
        <w:t>lpp</w:t>
      </w:r>
      <w:r w:rsidR="00CF634E">
        <w:t>, datne:</w:t>
      </w:r>
      <w:r w:rsidR="0044298A">
        <w:t> </w:t>
      </w:r>
      <w:r w:rsidRPr="00CF634E" w:rsidR="00CF634E">
        <w:rPr>
          <w:i/>
        </w:rPr>
        <w:t>TMatz_220719</w:t>
      </w:r>
      <w:r w:rsidR="00CF634E">
        <w:rPr>
          <w:i/>
        </w:rPr>
        <w:t>;</w:t>
      </w:r>
    </w:p>
    <w:p w:rsidR="00275CC4" w:rsidP="00275CC4" w14:paraId="6D9DF272" w14:textId="73755BDA">
      <w:pPr>
        <w:pStyle w:val="NormalWeb"/>
        <w:spacing w:before="0" w:beforeAutospacing="0" w:after="0" w:afterAutospacing="0"/>
        <w:ind w:firstLine="720"/>
        <w:jc w:val="both"/>
      </w:pPr>
      <w:r>
        <w:t xml:space="preserve">7. Vides aizsardzības un reģionālās attīstības ministrijas </w:t>
      </w:r>
      <w:r w:rsidRPr="00FC6F99">
        <w:t xml:space="preserve">2019. gada 22. jūlija </w:t>
      </w:r>
      <w:r w:rsidR="00CF634E">
        <w:t>vēstule Nr. </w:t>
      </w:r>
      <w:r w:rsidRPr="00CF634E" w:rsidR="00CF634E">
        <w:t>1-132/7030</w:t>
      </w:r>
      <w:r w:rsidR="00CF634E">
        <w:t xml:space="preserve"> </w:t>
      </w:r>
      <w:r>
        <w:t>uz 3</w:t>
      </w:r>
      <w:r w:rsidRPr="00FC6F99">
        <w:t xml:space="preserve"> lpp</w:t>
      </w:r>
      <w:r w:rsidR="00CF634E">
        <w:t xml:space="preserve">, datne: </w:t>
      </w:r>
      <w:r w:rsidRPr="00CF634E" w:rsidR="00CF634E">
        <w:rPr>
          <w:i/>
        </w:rPr>
        <w:t>VARAMatz__220719</w:t>
      </w:r>
      <w:r w:rsidR="00CF634E">
        <w:t>;</w:t>
      </w:r>
    </w:p>
    <w:p w:rsidR="00275CC4" w:rsidP="00275CC4" w14:paraId="5F6AE3F7" w14:textId="148E5B01">
      <w:pPr>
        <w:pStyle w:val="NormalWeb"/>
        <w:spacing w:before="0" w:beforeAutospacing="0" w:after="0" w:afterAutospacing="0"/>
        <w:ind w:firstLine="720"/>
        <w:jc w:val="both"/>
      </w:pPr>
      <w:r>
        <w:t xml:space="preserve">8. Ārlietu ministrijas 2019. gada 23. jūlija </w:t>
      </w:r>
      <w:r w:rsidR="00CF634E">
        <w:t>vēstule Nr.</w:t>
      </w:r>
      <w:r>
        <w:t xml:space="preserve"> </w:t>
      </w:r>
      <w:r w:rsidRPr="00CF634E" w:rsidR="00CF634E">
        <w:t>32-18960</w:t>
      </w:r>
      <w:r w:rsidR="00CF634E">
        <w:t xml:space="preserve"> </w:t>
      </w:r>
      <w:r>
        <w:t>uz 1</w:t>
      </w:r>
      <w:r w:rsidRPr="003148EC">
        <w:t xml:space="preserve"> lpp</w:t>
      </w:r>
      <w:r w:rsidR="00CF634E">
        <w:t>, datne: </w:t>
      </w:r>
      <w:r w:rsidRPr="00CF634E" w:rsidR="00CF634E">
        <w:rPr>
          <w:i/>
        </w:rPr>
        <w:t>AMatz_230719</w:t>
      </w:r>
      <w:r w:rsidR="00CF634E">
        <w:t>;</w:t>
      </w:r>
    </w:p>
    <w:p w:rsidR="00275CC4" w:rsidP="00275CC4" w14:paraId="22B871F2" w14:textId="54813945">
      <w:pPr>
        <w:pStyle w:val="NormalWeb"/>
        <w:spacing w:before="0" w:beforeAutospacing="0" w:after="0" w:afterAutospacing="0"/>
        <w:ind w:firstLine="720"/>
        <w:jc w:val="both"/>
      </w:pPr>
      <w:r>
        <w:t xml:space="preserve">9. Finanšu ministrijas </w:t>
      </w:r>
      <w:r w:rsidRPr="003148EC">
        <w:t xml:space="preserve">2019. gada 23. jūlija </w:t>
      </w:r>
      <w:r w:rsidR="00CF634E">
        <w:t>vēstule Nr. 12/A-7/3463</w:t>
      </w:r>
      <w:r>
        <w:t xml:space="preserve"> uz 2</w:t>
      </w:r>
      <w:r w:rsidRPr="003148EC">
        <w:t xml:space="preserve"> lpp</w:t>
      </w:r>
      <w:r w:rsidR="00CF634E">
        <w:t>, datne: </w:t>
      </w:r>
      <w:r w:rsidRPr="00CF634E" w:rsidR="00CF634E">
        <w:rPr>
          <w:i/>
        </w:rPr>
        <w:t>FMatz_230719</w:t>
      </w:r>
      <w:r w:rsidR="00CF634E">
        <w:t>;</w:t>
      </w:r>
    </w:p>
    <w:p w:rsidR="00275CC4" w:rsidP="00275CC4" w14:paraId="18F80405" w14:textId="40C718C8">
      <w:pPr>
        <w:pStyle w:val="NormalWeb"/>
        <w:spacing w:before="0" w:beforeAutospacing="0" w:after="0" w:afterAutospacing="0"/>
        <w:ind w:firstLine="720"/>
        <w:jc w:val="both"/>
      </w:pPr>
      <w:r>
        <w:t xml:space="preserve">10. Izglītības un zinātnes ministrijas 2019. gada </w:t>
      </w:r>
      <w:r w:rsidRPr="003148EC">
        <w:t xml:space="preserve">23. jūlija </w:t>
      </w:r>
      <w:r w:rsidR="00CF634E">
        <w:t xml:space="preserve">vēstule Nr. </w:t>
      </w:r>
      <w:r w:rsidRPr="00CF634E" w:rsidR="00CF634E">
        <w:t>4-3.2e/19/2252</w:t>
      </w:r>
      <w:r w:rsidRPr="003148EC">
        <w:t xml:space="preserve"> uz</w:t>
      </w:r>
      <w:r>
        <w:t xml:space="preserve"> 1 lpp</w:t>
      </w:r>
      <w:r w:rsidR="00CF634E">
        <w:t xml:space="preserve">, datne: </w:t>
      </w:r>
      <w:r w:rsidRPr="00CF634E" w:rsidR="00CF634E">
        <w:rPr>
          <w:i/>
        </w:rPr>
        <w:t>IZMatz_230719</w:t>
      </w:r>
      <w:r w:rsidR="00CF634E">
        <w:t>;</w:t>
      </w:r>
    </w:p>
    <w:p w:rsidR="00275CC4" w:rsidP="00275CC4" w14:paraId="7DBEE2A5" w14:textId="199CAC4B">
      <w:pPr>
        <w:pStyle w:val="NormalWeb"/>
        <w:spacing w:before="0" w:beforeAutospacing="0" w:after="0" w:afterAutospacing="0"/>
        <w:ind w:firstLine="720"/>
        <w:jc w:val="both"/>
      </w:pPr>
      <w:r>
        <w:t xml:space="preserve">11. Zemkopības ministrijas 2019. gada 23. jūlija </w:t>
      </w:r>
      <w:r w:rsidR="00CF634E">
        <w:t>elektroniskā vēstule</w:t>
      </w:r>
      <w:r>
        <w:t xml:space="preserve"> uz 1</w:t>
      </w:r>
      <w:r w:rsidRPr="00FC6F99">
        <w:t xml:space="preserve"> lpp</w:t>
      </w:r>
      <w:r w:rsidR="00CF634E">
        <w:t>, datne: </w:t>
      </w:r>
      <w:r w:rsidRPr="00CF634E" w:rsidR="00CF634E">
        <w:rPr>
          <w:i/>
        </w:rPr>
        <w:t>ZMatz_230719</w:t>
      </w:r>
      <w:r w:rsidR="00CF634E">
        <w:t>;</w:t>
      </w:r>
    </w:p>
    <w:p w:rsidR="00275CC4" w:rsidP="00275CC4" w14:paraId="1F09C1F0" w14:textId="2CE49E5A">
      <w:pPr>
        <w:pStyle w:val="NormalWeb"/>
        <w:spacing w:before="0" w:beforeAutospacing="0" w:after="0" w:afterAutospacing="0"/>
        <w:ind w:firstLine="720"/>
        <w:jc w:val="both"/>
      </w:pPr>
      <w:r>
        <w:t xml:space="preserve">12. Ekonomikas ministrijas 2019. gada 24. jūlija </w:t>
      </w:r>
      <w:r w:rsidR="00CF634E">
        <w:t xml:space="preserve">vēstule Nr. </w:t>
      </w:r>
      <w:r w:rsidRPr="00CF634E" w:rsidR="00CF634E">
        <w:t>3.3-21/2019/4529</w:t>
      </w:r>
      <w:r w:rsidRPr="003148EC">
        <w:t xml:space="preserve"> uz 1 lpp</w:t>
      </w:r>
      <w:r w:rsidR="00CF634E">
        <w:t xml:space="preserve">, datne: </w:t>
      </w:r>
      <w:r w:rsidRPr="00CF634E" w:rsidR="00CF634E">
        <w:rPr>
          <w:i/>
        </w:rPr>
        <w:t>EMatz_240719</w:t>
      </w:r>
      <w:r w:rsidR="00CF634E">
        <w:t>;</w:t>
      </w:r>
    </w:p>
    <w:p w:rsidR="00275CC4" w:rsidP="00275CC4" w14:paraId="5461E08A" w14:textId="4BD60CC5">
      <w:pPr>
        <w:pStyle w:val="NormalWeb"/>
        <w:spacing w:before="0" w:beforeAutospacing="0" w:after="0" w:afterAutospacing="0"/>
        <w:ind w:firstLine="720"/>
        <w:jc w:val="both"/>
      </w:pPr>
      <w:r>
        <w:t xml:space="preserve">13. Satiksmes ministrijas 2019. gada 1. augusta </w:t>
      </w:r>
      <w:r w:rsidR="00CF634E">
        <w:t>elektroniskā vēstule</w:t>
      </w:r>
      <w:r>
        <w:t xml:space="preserve"> uz 1 lpp</w:t>
      </w:r>
      <w:r w:rsidR="00CF634E">
        <w:t>, d</w:t>
      </w:r>
      <w:r w:rsidR="0044298A">
        <w:t>atne: </w:t>
      </w:r>
      <w:r w:rsidRPr="0044298A" w:rsidR="00CF634E">
        <w:rPr>
          <w:i/>
        </w:rPr>
        <w:t>SAMatz_010819</w:t>
      </w:r>
      <w:r w:rsidR="0044298A">
        <w:t>;</w:t>
      </w:r>
    </w:p>
    <w:p w:rsidR="00275CC4" w:rsidP="00275CC4" w14:paraId="49EFEB7E" w14:textId="1951F3A4">
      <w:pPr>
        <w:pStyle w:val="NormalWeb"/>
        <w:spacing w:before="0" w:beforeAutospacing="0" w:after="0" w:afterAutospacing="0"/>
        <w:ind w:firstLine="720"/>
        <w:jc w:val="both"/>
      </w:pPr>
      <w:r>
        <w:t xml:space="preserve">14. </w:t>
      </w:r>
      <w:r w:rsidR="0044298A">
        <w:t xml:space="preserve">Kultūras ministrijas 2019. gada </w:t>
      </w:r>
      <w:r w:rsidRPr="00F02FD2" w:rsidR="0044298A">
        <w:t xml:space="preserve">1. augusta </w:t>
      </w:r>
      <w:r w:rsidR="0044298A">
        <w:t>elektroniskā vēstule uz 1 </w:t>
      </w:r>
      <w:r w:rsidRPr="00F02FD2" w:rsidR="0044298A">
        <w:t>lpp</w:t>
      </w:r>
      <w:r w:rsidR="0044298A">
        <w:t>, datne: </w:t>
      </w:r>
      <w:r w:rsidRPr="0044298A" w:rsidR="0044298A">
        <w:rPr>
          <w:i/>
        </w:rPr>
        <w:t>KMatz_010819</w:t>
      </w:r>
      <w:r w:rsidR="0044298A">
        <w:t xml:space="preserve">; </w:t>
      </w:r>
    </w:p>
    <w:p w:rsidR="00275CC4" w:rsidP="00275CC4" w14:paraId="142A270E" w14:textId="2B112527">
      <w:pPr>
        <w:pStyle w:val="NormalWeb"/>
        <w:spacing w:before="0" w:beforeAutospacing="0" w:after="0" w:afterAutospacing="0"/>
        <w:ind w:firstLine="720"/>
        <w:jc w:val="both"/>
      </w:pPr>
      <w:r>
        <w:t xml:space="preserve">15. </w:t>
      </w:r>
      <w:r w:rsidR="0044298A">
        <w:t>Finanšu ministrijas 2019. gada 2. augusta vēstule Nr.</w:t>
      </w:r>
      <w:r w:rsidRPr="0044298A" w:rsidR="0044298A">
        <w:t xml:space="preserve"> 10.1-6/7-1/787</w:t>
      </w:r>
      <w:r w:rsidR="0044298A">
        <w:t xml:space="preserve"> uz 1 </w:t>
      </w:r>
      <w:r w:rsidRPr="00F02FD2" w:rsidR="0044298A">
        <w:t>lpp</w:t>
      </w:r>
      <w:r w:rsidR="0044298A">
        <w:t>, datne: </w:t>
      </w:r>
      <w:r w:rsidRPr="0044298A" w:rsidR="0044298A">
        <w:rPr>
          <w:i/>
        </w:rPr>
        <w:t>FMatz_020819</w:t>
      </w:r>
      <w:r w:rsidR="0044298A">
        <w:t>;</w:t>
      </w:r>
    </w:p>
    <w:p w:rsidR="0044298A" w:rsidP="00275CC4" w14:paraId="0E833D16" w14:textId="5019D90E">
      <w:pPr>
        <w:pStyle w:val="NormalWeb"/>
        <w:spacing w:before="0" w:beforeAutospacing="0" w:after="0" w:afterAutospacing="0"/>
        <w:ind w:firstLine="720"/>
        <w:jc w:val="both"/>
        <w:rPr>
          <w:i/>
        </w:rPr>
      </w:pPr>
      <w:r>
        <w:t xml:space="preserve">16. </w:t>
      </w:r>
      <w:r>
        <w:t>Tieslietu ministrijas 2019. gada 2. augusta elektroniskā vēstule uz 1 </w:t>
      </w:r>
      <w:r w:rsidRPr="000D2D81">
        <w:t>lpp</w:t>
      </w:r>
      <w:r>
        <w:t>, datne: </w:t>
      </w:r>
      <w:r w:rsidRPr="0044298A">
        <w:rPr>
          <w:i/>
        </w:rPr>
        <w:t>TMatz_020819</w:t>
      </w:r>
      <w:r>
        <w:t>;</w:t>
      </w:r>
    </w:p>
    <w:p w:rsidR="00275CC4" w:rsidP="00275CC4" w14:paraId="2E5504FF" w14:textId="1A37B6B2">
      <w:pPr>
        <w:pStyle w:val="NormalWeb"/>
        <w:spacing w:before="0" w:beforeAutospacing="0" w:after="0" w:afterAutospacing="0"/>
        <w:ind w:firstLine="720"/>
        <w:jc w:val="both"/>
      </w:pPr>
      <w:r>
        <w:t xml:space="preserve">17. </w:t>
      </w:r>
      <w:r w:rsidR="0044298A">
        <w:t xml:space="preserve">Vides aizsardzības un reģionālās attīstības ministrijas 2019. gada </w:t>
      </w:r>
      <w:r w:rsidRPr="000D2D81" w:rsidR="0044298A">
        <w:t xml:space="preserve">2. augusta </w:t>
      </w:r>
      <w:r w:rsidR="0044298A">
        <w:t xml:space="preserve">vēstule Nr. </w:t>
      </w:r>
      <w:r w:rsidRPr="000D2D81" w:rsidR="0044298A">
        <w:t xml:space="preserve"> </w:t>
      </w:r>
      <w:r w:rsidRPr="0044298A" w:rsidR="0044298A">
        <w:t>1-132/7368</w:t>
      </w:r>
      <w:r w:rsidR="0044298A">
        <w:t xml:space="preserve"> </w:t>
      </w:r>
      <w:r w:rsidRPr="000D2D81" w:rsidR="0044298A">
        <w:t>uz 1 lpp</w:t>
      </w:r>
      <w:r w:rsidR="0044298A">
        <w:t xml:space="preserve">, datne: </w:t>
      </w:r>
      <w:r w:rsidRPr="0044298A" w:rsidR="0044298A">
        <w:rPr>
          <w:i/>
        </w:rPr>
        <w:t>VARAMatz_020819</w:t>
      </w:r>
      <w:r w:rsidR="0044298A">
        <w:rPr>
          <w:i/>
        </w:rPr>
        <w:t>;</w:t>
      </w:r>
    </w:p>
    <w:p w:rsidR="0044298A" w:rsidP="00275CC4" w14:paraId="339D5E6E" w14:textId="3E042691">
      <w:pPr>
        <w:pStyle w:val="NormalWeb"/>
        <w:spacing w:before="0" w:beforeAutospacing="0" w:after="0" w:afterAutospacing="0"/>
        <w:ind w:firstLine="720"/>
        <w:jc w:val="both"/>
        <w:rPr>
          <w:i/>
        </w:rPr>
      </w:pPr>
      <w:r>
        <w:t xml:space="preserve">18. Ārlietu ministrijas 2019. gada 7. augusta </w:t>
      </w:r>
      <w:r>
        <w:t>elektroniskā vēstule</w:t>
      </w:r>
      <w:r w:rsidRPr="00F02FD2">
        <w:t xml:space="preserve"> uz 1</w:t>
      </w:r>
      <w:r>
        <w:t> </w:t>
      </w:r>
      <w:r w:rsidRPr="00F02FD2">
        <w:t>lpp</w:t>
      </w:r>
      <w:r>
        <w:t>, datne: </w:t>
      </w:r>
      <w:r w:rsidRPr="0044298A">
        <w:rPr>
          <w:i/>
        </w:rPr>
        <w:t>AMatz_070819</w:t>
      </w:r>
      <w:r>
        <w:rPr>
          <w:i/>
        </w:rPr>
        <w:t>;</w:t>
      </w:r>
    </w:p>
    <w:p w:rsidR="00275CC4" w:rsidP="00275CC4" w14:paraId="2DD4DB21" w14:textId="74D5DCF9">
      <w:pPr>
        <w:pStyle w:val="NormalWeb"/>
        <w:spacing w:before="0" w:beforeAutospacing="0" w:after="0" w:afterAutospacing="0"/>
        <w:ind w:firstLine="720"/>
        <w:jc w:val="both"/>
      </w:pPr>
      <w:r>
        <w:t xml:space="preserve">19. Ekonomikas ministrijas 2019. gada 8. augusta </w:t>
      </w:r>
      <w:r w:rsidR="0044298A">
        <w:t xml:space="preserve">vēstule Nr. </w:t>
      </w:r>
      <w:r w:rsidRPr="0044298A" w:rsidR="0044298A">
        <w:t>3.3-21/2019/4760</w:t>
      </w:r>
      <w:r w:rsidRPr="000D2D81">
        <w:t xml:space="preserve"> uz 1 lpp</w:t>
      </w:r>
      <w:r w:rsidR="0044298A">
        <w:t xml:space="preserve">, datne: </w:t>
      </w:r>
      <w:r w:rsidRPr="0044298A" w:rsidR="0044298A">
        <w:rPr>
          <w:i/>
        </w:rPr>
        <w:t>EMatz_080819</w:t>
      </w:r>
      <w:r w:rsidR="0044298A">
        <w:t>.</w:t>
      </w:r>
    </w:p>
    <w:p w:rsidR="00275CC4" w:rsidP="00275CC4" w14:paraId="59E746D2" w14:textId="77777777">
      <w:pPr>
        <w:spacing w:after="0" w:line="240" w:lineRule="auto"/>
        <w:contextualSpacing/>
        <w:jc w:val="both"/>
      </w:pPr>
    </w:p>
    <w:p w:rsidR="00275CC4" w:rsidP="00275CC4" w14:paraId="1894CB38" w14:textId="12B32EEA">
      <w:pPr>
        <w:spacing w:after="0" w:line="240" w:lineRule="auto"/>
        <w:contextualSpacing/>
        <w:jc w:val="both"/>
      </w:pPr>
    </w:p>
    <w:p w:rsidR="00275CC4" w:rsidP="00275CC4" w14:paraId="7F1B9202" w14:textId="5FBD501C">
      <w:pPr>
        <w:spacing w:after="0" w:line="240" w:lineRule="auto"/>
        <w:contextualSpacing/>
        <w:jc w:val="both"/>
      </w:pPr>
    </w:p>
    <w:p w:rsidR="00275CC4" w:rsidP="00275CC4" w14:paraId="7CB725E6" w14:textId="77777777">
      <w:pPr>
        <w:spacing w:after="0" w:line="240" w:lineRule="auto"/>
        <w:contextualSpacing/>
        <w:jc w:val="both"/>
      </w:pPr>
    </w:p>
    <w:p w:rsidR="00275CC4" w:rsidP="00275CC4" w14:paraId="1F44F086" w14:textId="77777777">
      <w:pPr>
        <w:tabs>
          <w:tab w:val="left" w:pos="6804"/>
        </w:tabs>
        <w:spacing w:after="0" w:line="240" w:lineRule="auto"/>
      </w:pPr>
      <w:r w:rsidRPr="00687B4C">
        <w:t xml:space="preserve">Ministru prezidenta biedrs, </w:t>
      </w:r>
    </w:p>
    <w:p w:rsidR="00275CC4" w:rsidP="00275CC4" w14:paraId="32CBFB9A" w14:textId="77777777">
      <w:pPr>
        <w:tabs>
          <w:tab w:val="left" w:pos="6804"/>
        </w:tabs>
        <w:spacing w:after="0" w:line="240" w:lineRule="auto"/>
        <w:rPr>
          <w:noProof/>
        </w:rPr>
      </w:pPr>
      <w:r w:rsidRPr="00687B4C">
        <w:t>aizsardzības ministrs</w:t>
      </w:r>
      <w:r>
        <w:tab/>
      </w:r>
      <w:r>
        <w:tab/>
        <w:t xml:space="preserve">Dr. </w:t>
      </w:r>
      <w:r>
        <w:rPr>
          <w:noProof/>
        </w:rPr>
        <w:t>Artis Pabriks</w:t>
      </w:r>
    </w:p>
    <w:p w:rsidR="00275CC4" w:rsidP="00275CC4" w14:paraId="56802241" w14:textId="079E7B0C">
      <w:pPr>
        <w:tabs>
          <w:tab w:val="left" w:pos="6804"/>
        </w:tabs>
        <w:spacing w:after="0" w:line="240" w:lineRule="auto"/>
        <w:rPr>
          <w:noProof/>
          <w:sz w:val="16"/>
          <w:szCs w:val="16"/>
        </w:rPr>
      </w:pPr>
    </w:p>
    <w:p w:rsidR="00275CC4" w:rsidP="00275CC4" w14:paraId="65E3338E" w14:textId="583DB144">
      <w:pPr>
        <w:tabs>
          <w:tab w:val="left" w:pos="6804"/>
        </w:tabs>
        <w:spacing w:after="0" w:line="240" w:lineRule="auto"/>
        <w:rPr>
          <w:noProof/>
          <w:sz w:val="16"/>
          <w:szCs w:val="16"/>
        </w:rPr>
      </w:pPr>
    </w:p>
    <w:p w:rsidR="00275CC4" w:rsidP="00275CC4" w14:paraId="51C66002" w14:textId="425E128E">
      <w:pPr>
        <w:tabs>
          <w:tab w:val="left" w:pos="6804"/>
        </w:tabs>
        <w:spacing w:after="0" w:line="240" w:lineRule="auto"/>
        <w:rPr>
          <w:noProof/>
          <w:sz w:val="16"/>
          <w:szCs w:val="16"/>
        </w:rPr>
      </w:pPr>
    </w:p>
    <w:p w:rsidR="00275CC4" w:rsidP="00275CC4" w14:paraId="2DFAA5A8" w14:textId="03B1F03B">
      <w:pPr>
        <w:tabs>
          <w:tab w:val="left" w:pos="6804"/>
        </w:tabs>
        <w:spacing w:after="0" w:line="240" w:lineRule="auto"/>
        <w:rPr>
          <w:noProof/>
          <w:sz w:val="16"/>
          <w:szCs w:val="16"/>
        </w:rPr>
      </w:pPr>
    </w:p>
    <w:p w:rsidR="00275CC4" w:rsidP="00275CC4" w14:paraId="5C59C4E0" w14:textId="7AE29D1D">
      <w:pPr>
        <w:tabs>
          <w:tab w:val="left" w:pos="6804"/>
        </w:tabs>
        <w:spacing w:after="0" w:line="240" w:lineRule="auto"/>
        <w:rPr>
          <w:noProof/>
          <w:sz w:val="16"/>
          <w:szCs w:val="16"/>
        </w:rPr>
      </w:pPr>
    </w:p>
    <w:p w:rsidR="00275CC4" w:rsidP="00275CC4" w14:paraId="62B25646" w14:textId="6EA49544">
      <w:pPr>
        <w:tabs>
          <w:tab w:val="left" w:pos="6804"/>
        </w:tabs>
        <w:spacing w:after="0" w:line="240" w:lineRule="auto"/>
        <w:rPr>
          <w:noProof/>
          <w:sz w:val="16"/>
          <w:szCs w:val="16"/>
        </w:rPr>
      </w:pPr>
    </w:p>
    <w:p w:rsidR="00275CC4" w:rsidP="00275CC4" w14:paraId="3AFF49BD" w14:textId="6EBCB132">
      <w:pPr>
        <w:tabs>
          <w:tab w:val="left" w:pos="6804"/>
        </w:tabs>
        <w:spacing w:after="0" w:line="240" w:lineRule="auto"/>
        <w:rPr>
          <w:noProof/>
          <w:sz w:val="16"/>
          <w:szCs w:val="16"/>
        </w:rPr>
      </w:pPr>
    </w:p>
    <w:p w:rsidR="00275CC4" w:rsidP="00275CC4" w14:paraId="57E6CDB0" w14:textId="4C6DC2F6">
      <w:pPr>
        <w:tabs>
          <w:tab w:val="left" w:pos="6804"/>
        </w:tabs>
        <w:spacing w:after="0" w:line="240" w:lineRule="auto"/>
        <w:rPr>
          <w:noProof/>
          <w:sz w:val="16"/>
          <w:szCs w:val="16"/>
        </w:rPr>
      </w:pPr>
    </w:p>
    <w:p w:rsidR="00275CC4" w:rsidP="00275CC4" w14:paraId="29DD3208" w14:textId="25D52E81">
      <w:pPr>
        <w:tabs>
          <w:tab w:val="left" w:pos="6804"/>
        </w:tabs>
        <w:spacing w:after="0" w:line="240" w:lineRule="auto"/>
        <w:rPr>
          <w:noProof/>
          <w:sz w:val="16"/>
          <w:szCs w:val="16"/>
        </w:rPr>
      </w:pPr>
    </w:p>
    <w:p w:rsidR="00275CC4" w:rsidP="00275CC4" w14:paraId="7E65DD48" w14:textId="24E70BDE">
      <w:pPr>
        <w:tabs>
          <w:tab w:val="left" w:pos="6804"/>
        </w:tabs>
        <w:spacing w:after="0" w:line="240" w:lineRule="auto"/>
        <w:rPr>
          <w:noProof/>
          <w:sz w:val="16"/>
          <w:szCs w:val="16"/>
        </w:rPr>
      </w:pPr>
    </w:p>
    <w:p w:rsidR="00275CC4" w:rsidP="00275CC4" w14:paraId="4EBF0F1A" w14:textId="77777777">
      <w:pPr>
        <w:tabs>
          <w:tab w:val="left" w:pos="6804"/>
        </w:tabs>
        <w:spacing w:after="0" w:line="240" w:lineRule="auto"/>
        <w:rPr>
          <w:noProof/>
          <w:sz w:val="16"/>
          <w:szCs w:val="16"/>
        </w:rPr>
      </w:pPr>
    </w:p>
    <w:p w:rsidR="00275CC4" w:rsidP="00275CC4" w14:paraId="0CAEF341" w14:textId="77777777">
      <w:pPr>
        <w:tabs>
          <w:tab w:val="left" w:pos="6804"/>
        </w:tabs>
        <w:spacing w:after="0" w:line="240" w:lineRule="auto"/>
        <w:rPr>
          <w:noProof/>
          <w:sz w:val="16"/>
          <w:szCs w:val="16"/>
        </w:rPr>
      </w:pPr>
    </w:p>
    <w:p w:rsidR="00275CC4" w:rsidRPr="006C787C" w:rsidP="00275CC4" w14:paraId="2EB6BDB6" w14:textId="77777777">
      <w:pPr>
        <w:tabs>
          <w:tab w:val="left" w:pos="6804"/>
        </w:tabs>
        <w:spacing w:after="0" w:line="240" w:lineRule="auto"/>
        <w:rPr>
          <w:sz w:val="16"/>
          <w:szCs w:val="16"/>
        </w:rPr>
      </w:pPr>
      <w:r w:rsidRPr="006C787C">
        <w:rPr>
          <w:noProof/>
          <w:sz w:val="16"/>
          <w:szCs w:val="16"/>
        </w:rPr>
        <w:t>Ieva Rubļevska</w:t>
      </w:r>
      <w:r w:rsidRPr="006C787C">
        <w:rPr>
          <w:sz w:val="16"/>
          <w:szCs w:val="16"/>
        </w:rPr>
        <w:t xml:space="preserve">, </w:t>
      </w:r>
      <w:r>
        <w:rPr>
          <w:sz w:val="16"/>
          <w:szCs w:val="16"/>
        </w:rPr>
        <w:t>67335088</w:t>
      </w:r>
    </w:p>
    <w:p w:rsidR="00275CC4" w:rsidRPr="00A74A5C" w:rsidP="00275CC4" w14:paraId="3398B254" w14:textId="77777777">
      <w:pPr>
        <w:tabs>
          <w:tab w:val="left" w:pos="6804"/>
        </w:tabs>
        <w:spacing w:after="0" w:line="240" w:lineRule="auto"/>
      </w:pPr>
      <w:r w:rsidRPr="006C787C">
        <w:rPr>
          <w:noProof/>
          <w:sz w:val="16"/>
          <w:szCs w:val="16"/>
        </w:rPr>
        <w:t>ieva.rublevska@mod.gov.lv</w:t>
      </w:r>
    </w:p>
    <w:p w:rsidR="00A650A4" w:rsidRPr="00A339EF" w:rsidP="00A339EF" w14:paraId="04846FFE" w14:textId="4A6B0B54">
      <w:pPr>
        <w:tabs>
          <w:tab w:val="left" w:pos="6804"/>
        </w:tabs>
        <w:spacing w:after="0" w:line="240" w:lineRule="auto"/>
        <w:rPr>
          <w:sz w:val="16"/>
          <w:szCs w:val="16"/>
        </w:rPr>
      </w:pPr>
      <w:bookmarkStart w:id="1" w:name="_GoBack"/>
      <w:bookmarkEnd w:id="1"/>
    </w:p>
    <w:sectPr w:rsidSect="00193E62">
      <w:footerReference w:type="default" r:id="rId6"/>
      <w:headerReference w:type="first" r:id="rId7"/>
      <w:footerReference w:type="first" r:id="rId8"/>
      <w:type w:val="continuous"/>
      <w:pgSz w:w="11920" w:h="16840"/>
      <w:pgMar w:top="1134" w:right="851" w:bottom="1276" w:left="1701" w:header="709" w:footer="709"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NewRomanPS-ItalicM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59008050"/>
      <w:docPartObj>
        <w:docPartGallery w:val="Page Numbers (Bottom of Page)"/>
        <w:docPartUnique/>
      </w:docPartObj>
    </w:sdtPr>
    <w:sdtEndPr>
      <w:rPr>
        <w:noProof/>
      </w:rPr>
    </w:sdtEndPr>
    <w:sdtContent>
      <w:p w:rsidR="007C721B" w14:paraId="677DF581" w14:textId="234632CA">
        <w:pPr>
          <w:pStyle w:val="Footer"/>
          <w:jc w:val="right"/>
        </w:pPr>
        <w:r>
          <w:fldChar w:fldCharType="begin"/>
        </w:r>
        <w:r>
          <w:instrText xml:space="preserve"> PAGE   \* MERGEFORMAT </w:instrText>
        </w:r>
        <w:r>
          <w:fldChar w:fldCharType="separate"/>
        </w:r>
        <w:r w:rsidR="00E77EC4">
          <w:rPr>
            <w:noProof/>
          </w:rPr>
          <w:t>17</w:t>
        </w:r>
        <w:r>
          <w:rPr>
            <w:noProof/>
          </w:rPr>
          <w:fldChar w:fldCharType="end"/>
        </w:r>
      </w:p>
    </w:sdtContent>
  </w:sdt>
  <w:p w:rsidR="00E77EC4" w:rsidP="00E77EC4" w14:paraId="64E547F5" w14:textId="77777777">
    <w:pPr>
      <w:spacing w:after="0" w:line="240" w:lineRule="auto"/>
      <w:rPr>
        <w:rFonts w:ascii="TimesNewRomanPS-ItalicMT" w:hAnsi="TimesNewRomanPS-ItalicMT"/>
        <w:iCs/>
        <w:sz w:val="20"/>
        <w:szCs w:val="20"/>
      </w:rPr>
    </w:pPr>
    <w:r w:rsidRPr="00E77EC4">
      <w:rPr>
        <w:rFonts w:ascii="TimesNewRomanPS-ItalicMT" w:hAnsi="TimesNewRomanPS-ItalicMT"/>
        <w:iCs/>
        <w:sz w:val="20"/>
        <w:szCs w:val="20"/>
      </w:rPr>
      <w:t>AIMpav_090819</w:t>
    </w:r>
  </w:p>
  <w:p w:rsidR="00E77EC4" w:rsidRPr="00E77EC4" w:rsidP="00E77EC4" w14:paraId="4B065D91" w14:textId="77777777">
    <w:pPr>
      <w:spacing w:after="0" w:line="240" w:lineRule="auto"/>
      <w:rPr>
        <w:rFonts w:ascii="TimesNewRomanPS-ItalicMT" w:hAnsi="TimesNewRomanPS-ItalicMT"/>
        <w:iCs/>
        <w:sz w:val="20"/>
        <w:szCs w:val="20"/>
      </w:rPr>
    </w:pPr>
  </w:p>
  <w:p w:rsidR="00E77EC4" w:rsidRPr="00E77EC4" w:rsidP="00E77EC4" w14:paraId="4E405C2A" w14:textId="77777777">
    <w:pPr>
      <w:spacing w:after="0" w:line="240" w:lineRule="auto"/>
      <w:jc w:val="center"/>
      <w:rPr>
        <w:rFonts w:ascii="TimesNewRomanPS-ItalicMT" w:hAnsi="TimesNewRomanPS-ItalicMT"/>
        <w:iCs/>
        <w:sz w:val="20"/>
        <w:szCs w:val="20"/>
      </w:rPr>
    </w:pPr>
    <w:r w:rsidRPr="002D7FAB">
      <w:rPr>
        <w:rFonts w:ascii="TimesNewRomanPS-ItalicMT" w:hAnsi="TimesNewRomanPS-ItalicMT"/>
        <w:iCs/>
        <w:sz w:val="20"/>
        <w:szCs w:val="20"/>
      </w:rPr>
      <w:t>DOKUMENTS IR ELEKTRONISKI PARAKSTĪTS AR DROŠU ELEKTRONISKO PARAKSTU UN SATUR LAIKA ZĪMOGU</w:t>
    </w:r>
  </w:p>
  <w:p w:rsidR="00A339EF" w:rsidRPr="00193E62" w:rsidP="00E77EC4" w14:paraId="04847003" w14:textId="272F8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EC4" w:rsidP="00E77EC4" w14:paraId="56D28BFF" w14:textId="132500C5">
    <w:pPr>
      <w:spacing w:after="0" w:line="240" w:lineRule="auto"/>
      <w:rPr>
        <w:rFonts w:ascii="TimesNewRomanPS-ItalicMT" w:hAnsi="TimesNewRomanPS-ItalicMT"/>
        <w:iCs/>
        <w:sz w:val="20"/>
        <w:szCs w:val="20"/>
      </w:rPr>
    </w:pPr>
    <w:r w:rsidRPr="00E77EC4">
      <w:rPr>
        <w:rFonts w:ascii="TimesNewRomanPS-ItalicMT" w:hAnsi="TimesNewRomanPS-ItalicMT"/>
        <w:iCs/>
        <w:sz w:val="20"/>
        <w:szCs w:val="20"/>
      </w:rPr>
      <w:t>AIMpav_090819</w:t>
    </w:r>
  </w:p>
  <w:p w:rsidR="00E77EC4" w:rsidRPr="00E77EC4" w:rsidP="00E77EC4" w14:paraId="0D9B366D" w14:textId="77777777">
    <w:pPr>
      <w:spacing w:after="0" w:line="240" w:lineRule="auto"/>
      <w:rPr>
        <w:rFonts w:ascii="TimesNewRomanPS-ItalicMT" w:hAnsi="TimesNewRomanPS-ItalicMT"/>
        <w:iCs/>
        <w:sz w:val="20"/>
        <w:szCs w:val="20"/>
      </w:rPr>
    </w:pPr>
  </w:p>
  <w:p w:rsidR="00E77EC4" w:rsidRPr="00E77EC4" w:rsidP="00E77EC4" w14:paraId="7D9A69FB" w14:textId="66D5224A">
    <w:pPr>
      <w:spacing w:after="0" w:line="240" w:lineRule="auto"/>
      <w:jc w:val="center"/>
      <w:rPr>
        <w:rFonts w:ascii="TimesNewRomanPS-ItalicMT" w:hAnsi="TimesNewRomanPS-ItalicMT"/>
        <w:iCs/>
        <w:sz w:val="20"/>
        <w:szCs w:val="20"/>
      </w:rPr>
    </w:pPr>
    <w:r w:rsidRPr="002D7FAB">
      <w:rPr>
        <w:rFonts w:ascii="TimesNewRomanPS-ItalicMT" w:hAnsi="TimesNewRomanPS-ItalicMT"/>
        <w:iCs/>
        <w:sz w:val="20"/>
        <w:szCs w:val="20"/>
      </w:rPr>
      <w:t>DOKUMENTS IR ELEKTRONISKI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4AF3" w:rsidRPr="008669E5" w:rsidP="000473E9" w14:paraId="04847004" w14:textId="77777777">
    <w:pPr>
      <w:spacing w:before="2520" w:after="120"/>
    </w:pPr>
    <w:r w:rsidRPr="008669E5">
      <w:rPr>
        <w:noProof/>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1973580</wp:posOffset>
              </wp:positionV>
              <wp:extent cx="5838825" cy="314325"/>
              <wp:effectExtent l="0" t="0" r="9525" b="9525"/>
              <wp:wrapNone/>
              <wp:docPr id="3"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A40B4" w:rsidRPr="008669E5" w:rsidP="009A40B4" w14:textId="77777777">
                          <w:pPr>
                            <w:spacing w:after="0" w:line="194" w:lineRule="exact"/>
                            <w:ind w:left="20" w:right="-45"/>
                            <w:jc w:val="center"/>
                            <w:rPr>
                              <w:rFonts w:eastAsia="Times New Roman"/>
                              <w:sz w:val="17"/>
                              <w:szCs w:val="17"/>
                            </w:rPr>
                          </w:pPr>
                          <w:r w:rsidRPr="008669E5">
                            <w:rPr>
                              <w:rFonts w:eastAsia="Times New Roman"/>
                              <w:color w:val="231F20"/>
                              <w:sz w:val="17"/>
                              <w:szCs w:val="17"/>
                            </w:rPr>
                            <w:t>K. Vald</w:t>
                          </w:r>
                          <w:r w:rsidR="004033F4">
                            <w:rPr>
                              <w:rFonts w:eastAsia="Times New Roman"/>
                              <w:color w:val="231F20"/>
                              <w:sz w:val="17"/>
                              <w:szCs w:val="17"/>
                            </w:rPr>
                            <w:t>emāra iela 10/12, Rīga, LV-1473;</w:t>
                          </w:r>
                          <w:r w:rsidRPr="008669E5">
                            <w:rPr>
                              <w:rFonts w:eastAsia="Times New Roman"/>
                              <w:color w:val="231F20"/>
                              <w:sz w:val="17"/>
                              <w:szCs w:val="17"/>
                            </w:rPr>
                            <w:t xml:space="preserve"> tālr</w:t>
                          </w:r>
                          <w:r w:rsidR="004033F4">
                            <w:rPr>
                              <w:rFonts w:eastAsia="Times New Roman"/>
                              <w:color w:val="231F20"/>
                              <w:sz w:val="17"/>
                              <w:szCs w:val="17"/>
                            </w:rPr>
                            <w:t>.: 67210124;</w:t>
                          </w:r>
                          <w:r w:rsidRPr="008669E5">
                            <w:rPr>
                              <w:rFonts w:eastAsia="Times New Roman"/>
                              <w:color w:val="231F20"/>
                              <w:sz w:val="17"/>
                              <w:szCs w:val="17"/>
                            </w:rPr>
                            <w:t xml:space="preserve"> fakss</w:t>
                          </w:r>
                          <w:r w:rsidR="004033F4">
                            <w:rPr>
                              <w:rFonts w:eastAsia="Times New Roman"/>
                              <w:color w:val="231F20"/>
                              <w:sz w:val="17"/>
                              <w:szCs w:val="17"/>
                            </w:rPr>
                            <w:t>: 67212307;</w:t>
                          </w:r>
                          <w:r w:rsidRPr="008669E5">
                            <w:rPr>
                              <w:rFonts w:eastAsia="Times New Roman"/>
                              <w:color w:val="231F20"/>
                              <w:sz w:val="17"/>
                              <w:szCs w:val="17"/>
                            </w:rPr>
                            <w:t xml:space="preserve"> e-pasts</w:t>
                          </w:r>
                          <w:r w:rsidR="004033F4">
                            <w:rPr>
                              <w:rFonts w:eastAsia="Times New Roman"/>
                              <w:color w:val="231F20"/>
                              <w:sz w:val="17"/>
                              <w:szCs w:val="17"/>
                            </w:rPr>
                            <w:t>:</w:t>
                          </w:r>
                          <w:r w:rsidRPr="008669E5">
                            <w:rPr>
                              <w:rFonts w:eastAsia="Times New Roman"/>
                              <w:color w:val="231F20"/>
                              <w:sz w:val="17"/>
                              <w:szCs w:val="17"/>
                            </w:rPr>
                            <w:t xml:space="preserve"> kanceleja@mod.gov.lv</w:t>
                          </w:r>
                          <w:r w:rsidR="004033F4">
                            <w:rPr>
                              <w:rFonts w:eastAsia="Times New Roman"/>
                              <w:color w:val="231F20"/>
                              <w:sz w:val="17"/>
                              <w:szCs w:val="17"/>
                            </w:rPr>
                            <w:t>;</w:t>
                          </w:r>
                          <w:r w:rsidRPr="008669E5">
                            <w:rPr>
                              <w:rFonts w:eastAsia="Times New Roman"/>
                              <w:color w:val="231F20"/>
                              <w:sz w:val="17"/>
                              <w:szCs w:val="17"/>
                            </w:rPr>
                            <w:t xml:space="preserve"> www.mod.gov.lv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5.4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9A40B4" w:rsidRPr="008669E5" w:rsidP="009A40B4" w14:paraId="04847010" w14:textId="77777777">
                    <w:pPr>
                      <w:spacing w:after="0" w:line="194" w:lineRule="exact"/>
                      <w:ind w:left="20" w:right="-45"/>
                      <w:jc w:val="center"/>
                      <w:rPr>
                        <w:rFonts w:eastAsia="Times New Roman"/>
                        <w:sz w:val="17"/>
                        <w:szCs w:val="17"/>
                      </w:rPr>
                    </w:pPr>
                    <w:r w:rsidRPr="008669E5">
                      <w:rPr>
                        <w:rFonts w:eastAsia="Times New Roman"/>
                        <w:color w:val="231F20"/>
                        <w:sz w:val="17"/>
                        <w:szCs w:val="17"/>
                      </w:rPr>
                      <w:t>K. Vald</w:t>
                    </w:r>
                    <w:r w:rsidR="004033F4">
                      <w:rPr>
                        <w:rFonts w:eastAsia="Times New Roman"/>
                        <w:color w:val="231F20"/>
                        <w:sz w:val="17"/>
                        <w:szCs w:val="17"/>
                      </w:rPr>
                      <w:t>emāra iela 10/12, Rīga, LV-1473;</w:t>
                    </w:r>
                    <w:r w:rsidRPr="008669E5">
                      <w:rPr>
                        <w:rFonts w:eastAsia="Times New Roman"/>
                        <w:color w:val="231F20"/>
                        <w:sz w:val="17"/>
                        <w:szCs w:val="17"/>
                      </w:rPr>
                      <w:t xml:space="preserve"> tālr</w:t>
                    </w:r>
                    <w:r w:rsidR="004033F4">
                      <w:rPr>
                        <w:rFonts w:eastAsia="Times New Roman"/>
                        <w:color w:val="231F20"/>
                        <w:sz w:val="17"/>
                        <w:szCs w:val="17"/>
                      </w:rPr>
                      <w:t>.: 67210124;</w:t>
                    </w:r>
                    <w:r w:rsidRPr="008669E5">
                      <w:rPr>
                        <w:rFonts w:eastAsia="Times New Roman"/>
                        <w:color w:val="231F20"/>
                        <w:sz w:val="17"/>
                        <w:szCs w:val="17"/>
                      </w:rPr>
                      <w:t xml:space="preserve"> fakss</w:t>
                    </w:r>
                    <w:r w:rsidR="004033F4">
                      <w:rPr>
                        <w:rFonts w:eastAsia="Times New Roman"/>
                        <w:color w:val="231F20"/>
                        <w:sz w:val="17"/>
                        <w:szCs w:val="17"/>
                      </w:rPr>
                      <w:t>: 67212307;</w:t>
                    </w:r>
                    <w:r w:rsidRPr="008669E5">
                      <w:rPr>
                        <w:rFonts w:eastAsia="Times New Roman"/>
                        <w:color w:val="231F20"/>
                        <w:sz w:val="17"/>
                        <w:szCs w:val="17"/>
                      </w:rPr>
                      <w:t xml:space="preserve"> e-pasts</w:t>
                    </w:r>
                    <w:r w:rsidR="004033F4">
                      <w:rPr>
                        <w:rFonts w:eastAsia="Times New Roman"/>
                        <w:color w:val="231F20"/>
                        <w:sz w:val="17"/>
                        <w:szCs w:val="17"/>
                      </w:rPr>
                      <w:t>:</w:t>
                    </w:r>
                    <w:r w:rsidRPr="008669E5">
                      <w:rPr>
                        <w:rFonts w:eastAsia="Times New Roman"/>
                        <w:color w:val="231F20"/>
                        <w:sz w:val="17"/>
                        <w:szCs w:val="17"/>
                      </w:rPr>
                      <w:t xml:space="preserve"> kanceleja@mod.gov.lv</w:t>
                    </w:r>
                    <w:r w:rsidR="004033F4">
                      <w:rPr>
                        <w:rFonts w:eastAsia="Times New Roman"/>
                        <w:color w:val="231F20"/>
                        <w:sz w:val="17"/>
                        <w:szCs w:val="17"/>
                      </w:rPr>
                      <w:t>;</w:t>
                    </w:r>
                    <w:r w:rsidRPr="008669E5">
                      <w:rPr>
                        <w:rFonts w:eastAsia="Times New Roman"/>
                        <w:color w:val="231F20"/>
                        <w:sz w:val="17"/>
                        <w:szCs w:val="17"/>
                      </w:rPr>
                      <w:t xml:space="preserve"> www.mod.gov.lv</w:t>
                    </w:r>
                  </w:p>
                </w:txbxContent>
              </v:textbox>
            </v:shape>
          </w:pict>
        </mc:Fallback>
      </mc:AlternateContent>
    </w:r>
    <w:r w:rsidRPr="008669E5">
      <w:rPr>
        <w:noProof/>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1826895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2"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3.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r w:rsidRPr="008669E5">
      <w:rPr>
        <w:noProof/>
      </w:rPr>
      <w:drawing>
        <wp:anchor distT="0" distB="0" distL="114300" distR="114300" simplePos="0" relativeHeight="251658240" behindDoc="1" locked="0" layoutInCell="1" allowOverlap="1">
          <wp:simplePos x="0" y="0"/>
          <wp:positionH relativeFrom="page">
            <wp:posOffset>1117600</wp:posOffset>
          </wp:positionH>
          <wp:positionV relativeFrom="page">
            <wp:posOffset>590550</wp:posOffset>
          </wp:positionV>
          <wp:extent cx="5936615" cy="1033145"/>
          <wp:effectExtent l="0" t="0" r="6985" b="0"/>
          <wp:wrapNone/>
          <wp:docPr id="3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867503"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6615"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tbl>
    <w:tblPr>
      <w:tblW w:w="7796" w:type="dxa"/>
      <w:tblInd w:w="108" w:type="dxa"/>
      <w:tblLayout w:type="fixed"/>
      <w:tblLook w:val="0000"/>
    </w:tblPr>
    <w:tblGrid>
      <w:gridCol w:w="3969"/>
      <w:gridCol w:w="3827"/>
    </w:tblGrid>
    <w:tr w14:paraId="04847007" w14:textId="77777777" w:rsidTr="00DD3458">
      <w:tblPrEx>
        <w:tblW w:w="7796" w:type="dxa"/>
        <w:tblInd w:w="108" w:type="dxa"/>
        <w:tblLayout w:type="fixed"/>
        <w:tblLook w:val="0000"/>
      </w:tblPrEx>
      <w:trPr>
        <w:cantSplit/>
      </w:trPr>
      <w:tc>
        <w:tcPr>
          <w:tcW w:w="3969" w:type="dxa"/>
        </w:tcPr>
        <w:p w:rsidR="000473E9" w:rsidRPr="00C56EDF" w:rsidP="00DD3458" w14:paraId="04847005" w14:textId="77777777">
          <w:pPr>
            <w:pStyle w:val="Header"/>
            <w:tabs>
              <w:tab w:val="clear" w:pos="4320"/>
            </w:tabs>
            <w:spacing w:before="120"/>
            <w:rPr>
              <w:color w:val="000000"/>
              <w:lang w:eastAsia="en-US"/>
            </w:rPr>
          </w:pPr>
          <w:r w:rsidRPr="00C56EDF">
            <w:rPr>
              <w:color w:val="000000"/>
              <w:lang w:eastAsia="en-US"/>
            </w:rPr>
            <w:t>Rīgā,</w:t>
          </w:r>
          <w:r w:rsidRPr="00C56EDF">
            <w:t xml:space="preserve"> </w:t>
          </w:r>
          <w:r w:rsidRPr="00437554" w:rsidR="00437554">
            <w:rPr>
              <w:noProof/>
              <w:color w:val="000000"/>
              <w:lang w:eastAsia="en-US"/>
            </w:rPr>
            <w:t>20.08.2019</w:t>
          </w:r>
          <w:r w:rsidRPr="00437554" w:rsidR="00437554">
            <w:rPr>
              <w:color w:val="000000"/>
              <w:lang w:eastAsia="en-US"/>
            </w:rPr>
            <w:t>.</w:t>
          </w:r>
        </w:p>
      </w:tc>
      <w:tc>
        <w:tcPr>
          <w:tcW w:w="3827" w:type="dxa"/>
        </w:tcPr>
        <w:p w:rsidR="000473E9" w:rsidRPr="0099125D" w:rsidP="00DD3458" w14:paraId="04847006" w14:textId="77777777">
          <w:pPr>
            <w:pStyle w:val="Header"/>
            <w:tabs>
              <w:tab w:val="clear" w:pos="4320"/>
            </w:tabs>
            <w:spacing w:before="120"/>
            <w:rPr>
              <w:color w:val="000000"/>
              <w:lang w:val="en-US" w:eastAsia="en-US"/>
            </w:rPr>
          </w:pPr>
          <w:r>
            <w:rPr>
              <w:color w:val="000000"/>
              <w:lang w:val="en-US" w:eastAsia="en-US"/>
            </w:rPr>
            <w:t xml:space="preserve">Nr. </w:t>
          </w:r>
          <w:r>
            <w:rPr>
              <w:noProof/>
              <w:color w:val="000000"/>
              <w:lang w:val="en-US" w:eastAsia="en-US"/>
            </w:rPr>
            <w:t>MV-N/2009</w:t>
          </w:r>
        </w:p>
      </w:tc>
    </w:tr>
  </w:tbl>
  <w:p w:rsidR="008D4AF3" w:rsidRPr="008669E5" w:rsidP="008D4AF3" w14:paraId="04847008"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01"/>
    <w:rsid w:val="00006384"/>
    <w:rsid w:val="0002064A"/>
    <w:rsid w:val="00030349"/>
    <w:rsid w:val="000473E9"/>
    <w:rsid w:val="000B5336"/>
    <w:rsid w:val="000C6EB8"/>
    <w:rsid w:val="000D2D81"/>
    <w:rsid w:val="000E2E7B"/>
    <w:rsid w:val="00116021"/>
    <w:rsid w:val="00124173"/>
    <w:rsid w:val="001268C6"/>
    <w:rsid w:val="00154F73"/>
    <w:rsid w:val="00193E62"/>
    <w:rsid w:val="00195C34"/>
    <w:rsid w:val="001A1CFC"/>
    <w:rsid w:val="001C02FA"/>
    <w:rsid w:val="001D06AC"/>
    <w:rsid w:val="001D79E4"/>
    <w:rsid w:val="00265D4A"/>
    <w:rsid w:val="00275B9E"/>
    <w:rsid w:val="00275CC4"/>
    <w:rsid w:val="00290B9D"/>
    <w:rsid w:val="002B3077"/>
    <w:rsid w:val="002D7FAB"/>
    <w:rsid w:val="002E1474"/>
    <w:rsid w:val="002E5B36"/>
    <w:rsid w:val="002E75AE"/>
    <w:rsid w:val="003148EC"/>
    <w:rsid w:val="00330D43"/>
    <w:rsid w:val="0036308E"/>
    <w:rsid w:val="003D6612"/>
    <w:rsid w:val="00403257"/>
    <w:rsid w:val="004033F4"/>
    <w:rsid w:val="00437554"/>
    <w:rsid w:val="0044298A"/>
    <w:rsid w:val="004B29B1"/>
    <w:rsid w:val="004F08C0"/>
    <w:rsid w:val="00500166"/>
    <w:rsid w:val="00535564"/>
    <w:rsid w:val="005B072B"/>
    <w:rsid w:val="005B495A"/>
    <w:rsid w:val="0064477B"/>
    <w:rsid w:val="00656E81"/>
    <w:rsid w:val="00663C3A"/>
    <w:rsid w:val="00687B4C"/>
    <w:rsid w:val="006C1639"/>
    <w:rsid w:val="006C787C"/>
    <w:rsid w:val="00716695"/>
    <w:rsid w:val="00760DE7"/>
    <w:rsid w:val="007B3BA5"/>
    <w:rsid w:val="007B48EC"/>
    <w:rsid w:val="007B7238"/>
    <w:rsid w:val="007C721B"/>
    <w:rsid w:val="007E4D1F"/>
    <w:rsid w:val="007F0A95"/>
    <w:rsid w:val="00815277"/>
    <w:rsid w:val="00826B6D"/>
    <w:rsid w:val="00831C01"/>
    <w:rsid w:val="00864DBD"/>
    <w:rsid w:val="008669E5"/>
    <w:rsid w:val="00876C21"/>
    <w:rsid w:val="008D4AF3"/>
    <w:rsid w:val="00954D5A"/>
    <w:rsid w:val="0097379F"/>
    <w:rsid w:val="0099125D"/>
    <w:rsid w:val="009A40B4"/>
    <w:rsid w:val="009D041D"/>
    <w:rsid w:val="009F520A"/>
    <w:rsid w:val="00A03A13"/>
    <w:rsid w:val="00A339EF"/>
    <w:rsid w:val="00A650A4"/>
    <w:rsid w:val="00A74A5C"/>
    <w:rsid w:val="00A844DB"/>
    <w:rsid w:val="00AD76C6"/>
    <w:rsid w:val="00AD7BC9"/>
    <w:rsid w:val="00AF0E90"/>
    <w:rsid w:val="00B309C7"/>
    <w:rsid w:val="00B50134"/>
    <w:rsid w:val="00BB112A"/>
    <w:rsid w:val="00C47F57"/>
    <w:rsid w:val="00C56EDF"/>
    <w:rsid w:val="00C732CE"/>
    <w:rsid w:val="00CA407F"/>
    <w:rsid w:val="00CB348E"/>
    <w:rsid w:val="00CD416A"/>
    <w:rsid w:val="00CF634E"/>
    <w:rsid w:val="00D21FA6"/>
    <w:rsid w:val="00D31FBD"/>
    <w:rsid w:val="00D53AC1"/>
    <w:rsid w:val="00D55B4B"/>
    <w:rsid w:val="00D82F0A"/>
    <w:rsid w:val="00DD3458"/>
    <w:rsid w:val="00E365CE"/>
    <w:rsid w:val="00E71412"/>
    <w:rsid w:val="00E77EC4"/>
    <w:rsid w:val="00EF676E"/>
    <w:rsid w:val="00F0003C"/>
    <w:rsid w:val="00F02FD2"/>
    <w:rsid w:val="00F25DA3"/>
    <w:rsid w:val="00F60586"/>
    <w:rsid w:val="00FA3C20"/>
    <w:rsid w:val="00FB2E50"/>
    <w:rsid w:val="00FC6F99"/>
    <w:rsid w:val="00FF0EE8"/>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5:docId w15:val="{D82B2C58-274C-49A3-A4AD-DD2AF398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EC4"/>
    <w:pPr>
      <w:widowControl w:val="0"/>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uiPriority w:val="59"/>
    <w:rsid w:val="00275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5CC4"/>
    <w:pPr>
      <w:widowControl/>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osce.org/mc/40881?download=true"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F9706-A0FB-4062-B68B-6DE91F13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17</Pages>
  <Words>24749</Words>
  <Characters>14108</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Ingus Tonnis</dc:creator>
  <cp:lastModifiedBy>Ieva Rublevska</cp:lastModifiedBy>
  <cp:revision>15</cp:revision>
  <cp:lastPrinted>2014-12-29T13:45:00Z</cp:lastPrinted>
  <dcterms:created xsi:type="dcterms:W3CDTF">2017-10-20T13:03:00Z</dcterms:created>
  <dcterms:modified xsi:type="dcterms:W3CDTF">2019-08-19T05:39:00Z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