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694BC" w14:textId="77777777" w:rsidR="00026609" w:rsidRPr="00D01A69" w:rsidRDefault="00026609" w:rsidP="00026609">
      <w:pPr>
        <w:spacing w:after="0"/>
        <w:ind w:right="-99"/>
        <w:jc w:val="center"/>
        <w:rPr>
          <w:rFonts w:ascii="Times New Roman" w:hAnsi="Times New Roman" w:cs="Times New Roman"/>
          <w:b/>
          <w:sz w:val="24"/>
          <w:szCs w:val="24"/>
        </w:rPr>
      </w:pPr>
      <w:bookmarkStart w:id="0" w:name="bkm16"/>
      <w:bookmarkStart w:id="1" w:name="b"/>
      <w:bookmarkStart w:id="2" w:name="OLE_LINK2"/>
      <w:bookmarkStart w:id="3" w:name="OLE_LINK1"/>
      <w:bookmarkStart w:id="4" w:name="OLE_LINK3"/>
      <w:bookmarkStart w:id="5" w:name="OLE_LINK4"/>
      <w:bookmarkStart w:id="6" w:name="OLE_LINK5"/>
      <w:bookmarkStart w:id="7" w:name="_GoBack"/>
      <w:bookmarkEnd w:id="0"/>
      <w:bookmarkEnd w:id="1"/>
      <w:bookmarkEnd w:id="7"/>
      <w:r w:rsidRPr="00D01A69">
        <w:rPr>
          <w:rFonts w:ascii="Times New Roman" w:hAnsi="Times New Roman" w:cs="Times New Roman"/>
          <w:b/>
          <w:sz w:val="24"/>
          <w:szCs w:val="24"/>
        </w:rPr>
        <w:t>Ministru kabineta noteikumu projekta “</w:t>
      </w:r>
      <w:r w:rsidRPr="00D01A69">
        <w:rPr>
          <w:rFonts w:ascii="Times New Roman" w:hAnsi="Times New Roman" w:cs="Times New Roman"/>
          <w:b/>
          <w:bCs/>
          <w:sz w:val="24"/>
          <w:szCs w:val="24"/>
          <w:lang w:eastAsia="lv-LV"/>
        </w:rPr>
        <w:t>Grozījumi Ministru kabineta 2011. gada 15. februāra noteikumos Nr. 132 “Rotaļlietu drošuma noteikumi””</w:t>
      </w:r>
      <w:r w:rsidRPr="00D01A69">
        <w:rPr>
          <w:rFonts w:ascii="Times New Roman" w:hAnsi="Times New Roman" w:cs="Times New Roman"/>
          <w:b/>
          <w:sz w:val="24"/>
          <w:szCs w:val="24"/>
        </w:rPr>
        <w:t xml:space="preserve"> sākotnējās ietekmes novērtējuma </w:t>
      </w:r>
      <w:smartTag w:uri="schemas-tilde-lv/tildestengine" w:element="veidnes">
        <w:smartTagPr>
          <w:attr w:name="baseform" w:val="ziņojums"/>
          <w:attr w:name="text" w:val="ziņojums&#10;"/>
          <w:attr w:name="id" w:val="-1"/>
        </w:smartTagPr>
        <w:r w:rsidRPr="00D01A69">
          <w:rPr>
            <w:rFonts w:ascii="Times New Roman" w:hAnsi="Times New Roman" w:cs="Times New Roman"/>
            <w:b/>
            <w:sz w:val="24"/>
            <w:szCs w:val="24"/>
          </w:rPr>
          <w:t>ziņojums</w:t>
        </w:r>
      </w:smartTag>
      <w:bookmarkEnd w:id="2"/>
    </w:p>
    <w:p w14:paraId="1AD4B755" w14:textId="77777777" w:rsidR="00026609" w:rsidRPr="00D01A69" w:rsidRDefault="00026609" w:rsidP="00026609">
      <w:pPr>
        <w:pStyle w:val="naislab"/>
        <w:spacing w:before="0" w:after="0"/>
        <w:ind w:right="-99"/>
        <w:jc w:val="center"/>
        <w:outlineLvl w:val="0"/>
        <w:rPr>
          <w:b/>
        </w:rPr>
      </w:pPr>
      <w:r w:rsidRPr="00D01A69">
        <w:rPr>
          <w:b/>
        </w:rPr>
        <w:t>(anotācija)</w:t>
      </w:r>
      <w:bookmarkEnd w:id="3"/>
      <w:bookmarkEnd w:id="4"/>
      <w:bookmarkEnd w:id="5"/>
      <w:bookmarkEnd w:id="6"/>
    </w:p>
    <w:p w14:paraId="6D89F2D8" w14:textId="77777777" w:rsidR="00E5323B" w:rsidRPr="00D01A69"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01A69" w14:paraId="1D46E38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3646CC" w14:textId="77777777" w:rsidR="00655F2C" w:rsidRPr="00D01A6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Tiesību akta projekta anotācijas kopsavilkums</w:t>
            </w:r>
          </w:p>
        </w:tc>
      </w:tr>
      <w:tr w:rsidR="00E5323B" w:rsidRPr="00D01A69" w14:paraId="70466F4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3940065"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FE005AD" w14:textId="00D09D5B" w:rsidR="00E5323B" w:rsidRPr="00437F0D" w:rsidRDefault="00437F0D" w:rsidP="00A91315">
            <w:pPr>
              <w:spacing w:after="0" w:line="240" w:lineRule="auto"/>
              <w:jc w:val="both"/>
              <w:rPr>
                <w:rFonts w:ascii="Times New Roman" w:eastAsia="Times New Roman" w:hAnsi="Times New Roman" w:cs="Times New Roman"/>
                <w:bCs/>
                <w:iCs/>
                <w:color w:val="A6A6A6" w:themeColor="background1" w:themeShade="A6"/>
                <w:sz w:val="24"/>
                <w:szCs w:val="24"/>
                <w:lang w:eastAsia="lv-LV"/>
              </w:rPr>
            </w:pPr>
            <w:r w:rsidRPr="00437F0D">
              <w:rPr>
                <w:rFonts w:ascii="Times New Roman" w:hAnsi="Times New Roman" w:cs="Times New Roman"/>
                <w:sz w:val="24"/>
                <w:szCs w:val="24"/>
              </w:rPr>
              <w:t>Projekta ietekmes novērtējuma ziņojuma (anotācijas) I sadaļas 2. punkts nepārsniedz divas lapaspuses. Līdz ar to tiesību akta projekta anotācijas kopsavilkums uz šo ietekmes novērtējuma ziņojumu (anotāciju) neattiecas.</w:t>
            </w:r>
          </w:p>
        </w:tc>
      </w:tr>
    </w:tbl>
    <w:p w14:paraId="5928B251"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01A69" w14:paraId="0275B4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4DA313" w14:textId="77777777" w:rsidR="00655F2C" w:rsidRPr="00D01A69" w:rsidRDefault="00E5323B" w:rsidP="001D3C8B">
            <w:pPr>
              <w:spacing w:after="0" w:line="240" w:lineRule="auto"/>
              <w:jc w:val="center"/>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D01A69" w14:paraId="26554C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9EEB62"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B91494"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264745E" w14:textId="116935B4" w:rsidR="00BE3B46" w:rsidRPr="00D01A69" w:rsidRDefault="00427B45" w:rsidP="00D6461C">
            <w:pPr>
              <w:pStyle w:val="naisf"/>
              <w:spacing w:before="0" w:after="0"/>
              <w:ind w:left="70" w:right="23" w:firstLine="226"/>
            </w:pPr>
            <w:r w:rsidRPr="00A91315">
              <w:rPr>
                <w:bCs/>
              </w:rPr>
              <w:t>Ministru kabineta noteikumu projekt</w:t>
            </w:r>
            <w:r>
              <w:rPr>
                <w:bCs/>
              </w:rPr>
              <w:t>s</w:t>
            </w:r>
            <w:r w:rsidRPr="00A91315">
              <w:rPr>
                <w:bCs/>
              </w:rPr>
              <w:t xml:space="preserve"> “Grozījumi Ministru kabineta 2011. gada 15. februāra noteikumos Nr. 132 “Rotaļlietu drošuma noteikumi”” (turpmāk – Noteikumu projekts) </w:t>
            </w:r>
            <w:r w:rsidR="00D6461C" w:rsidRPr="00ED7893">
              <w:t xml:space="preserve"> izstrādāts, lai </w:t>
            </w:r>
            <w:r w:rsidR="00D6461C" w:rsidRPr="00ED7893">
              <w:rPr>
                <w:bCs/>
              </w:rPr>
              <w:t>Ministru kabineta 2011. gada 15. februāra noteikumos Nr. 132 “Rotaļlietu drošuma noteikumi” (turpmāk – Noteikumi Nr. 132)</w:t>
            </w:r>
            <w:r w:rsidR="00D6461C" w:rsidRPr="00ED7893">
              <w:rPr>
                <w:b/>
                <w:bCs/>
              </w:rPr>
              <w:t xml:space="preserve"> </w:t>
            </w:r>
            <w:r w:rsidR="00D6461C" w:rsidRPr="00ED7893">
              <w:t xml:space="preserve">pārņemtu normas, kas izriet </w:t>
            </w:r>
            <w:r w:rsidR="00BE3B46" w:rsidRPr="00D01A69">
              <w:t>no</w:t>
            </w:r>
            <w:r w:rsidR="00BC460D">
              <w:t xml:space="preserve"> </w:t>
            </w:r>
            <w:r w:rsidR="00E04DF2" w:rsidRPr="00E04DF2">
              <w:t>Komisijas 2018. gada 16. maija Direktīvas (ES) 2018/725, ar ko attiecībā uz hromu (VI) groza Eiropas Parlamenta un Padomes Direktīvas 2009/48/EK par rotaļlietu drošumu II pielikuma III daļas 13. punktu, lai to pielāgotu tehnikas un zinātnes attīstībai</w:t>
            </w:r>
            <w:r>
              <w:t xml:space="preserve"> (turpmāk – Direktīva </w:t>
            </w:r>
            <w:r w:rsidRPr="00E04DF2">
              <w:t>2018/725</w:t>
            </w:r>
            <w:r>
              <w:t>)</w:t>
            </w:r>
            <w:r w:rsidR="00E04DF2" w:rsidRPr="00E04DF2">
              <w:t>.</w:t>
            </w:r>
          </w:p>
          <w:p w14:paraId="02D0FBB7" w14:textId="77777777" w:rsidR="00E5323B" w:rsidRPr="00D01A69"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D01A69" w14:paraId="7F2D88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6402F2"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D1DCD9"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CD88041" w14:textId="012408DB" w:rsidR="00A96779" w:rsidRPr="003F1136" w:rsidRDefault="00BE3B46" w:rsidP="00CD5401">
            <w:pPr>
              <w:pStyle w:val="NoSpacing"/>
              <w:jc w:val="both"/>
              <w:rPr>
                <w:rFonts w:ascii="Times New Roman" w:hAnsi="Times New Roman" w:cs="Times New Roman"/>
                <w:sz w:val="24"/>
                <w:szCs w:val="24"/>
              </w:rPr>
            </w:pPr>
            <w:r w:rsidRPr="003F1136">
              <w:rPr>
                <w:rFonts w:ascii="Times New Roman" w:hAnsi="Times New Roman" w:cs="Times New Roman"/>
                <w:sz w:val="24"/>
                <w:szCs w:val="24"/>
              </w:rPr>
              <w:t xml:space="preserve">Ar Noteikumu projektu tiek noteiktas </w:t>
            </w:r>
            <w:r w:rsidR="00BA7B96">
              <w:rPr>
                <w:rFonts w:ascii="Times New Roman" w:hAnsi="Times New Roman" w:cs="Times New Roman"/>
                <w:sz w:val="24"/>
                <w:szCs w:val="24"/>
              </w:rPr>
              <w:t>stingrākas</w:t>
            </w:r>
            <w:r w:rsidR="00BA7B96" w:rsidRPr="003F1136">
              <w:rPr>
                <w:rFonts w:ascii="Times New Roman" w:hAnsi="Times New Roman" w:cs="Times New Roman"/>
                <w:sz w:val="24"/>
                <w:szCs w:val="24"/>
              </w:rPr>
              <w:t xml:space="preserve"> </w:t>
            </w:r>
            <w:r w:rsidRPr="003F1136">
              <w:rPr>
                <w:rFonts w:ascii="Times New Roman" w:hAnsi="Times New Roman" w:cs="Times New Roman"/>
                <w:sz w:val="24"/>
                <w:szCs w:val="24"/>
              </w:rPr>
              <w:t xml:space="preserve">izvirzāmās drošuma </w:t>
            </w:r>
            <w:r w:rsidRPr="00460785">
              <w:rPr>
                <w:rFonts w:ascii="Times New Roman" w:hAnsi="Times New Roman" w:cs="Times New Roman"/>
                <w:sz w:val="24"/>
                <w:szCs w:val="24"/>
              </w:rPr>
              <w:t>prasības</w:t>
            </w:r>
            <w:r w:rsidR="002E7B20" w:rsidRPr="00460785">
              <w:rPr>
                <w:rFonts w:ascii="Times New Roman" w:hAnsi="Times New Roman" w:cs="Times New Roman"/>
                <w:sz w:val="24"/>
                <w:szCs w:val="24"/>
              </w:rPr>
              <w:t xml:space="preserve"> rotaļlietām</w:t>
            </w:r>
            <w:r w:rsidRPr="00460785">
              <w:rPr>
                <w:rFonts w:ascii="Times New Roman" w:hAnsi="Times New Roman" w:cs="Times New Roman"/>
                <w:sz w:val="24"/>
                <w:szCs w:val="24"/>
              </w:rPr>
              <w:t>, nosakot un samazinot rotaļlietās pieļaujam</w:t>
            </w:r>
            <w:r w:rsidR="002E7B20" w:rsidRPr="00460785">
              <w:rPr>
                <w:rFonts w:ascii="Times New Roman" w:hAnsi="Times New Roman" w:cs="Times New Roman"/>
                <w:sz w:val="24"/>
                <w:szCs w:val="24"/>
              </w:rPr>
              <w:t>o</w:t>
            </w:r>
            <w:r w:rsidRPr="00460785">
              <w:rPr>
                <w:rFonts w:ascii="Times New Roman" w:hAnsi="Times New Roman" w:cs="Times New Roman"/>
                <w:sz w:val="24"/>
                <w:szCs w:val="24"/>
              </w:rPr>
              <w:t xml:space="preserve"> ķīmisk</w:t>
            </w:r>
            <w:r w:rsidR="00E225B2" w:rsidRPr="00460785">
              <w:rPr>
                <w:rFonts w:ascii="Times New Roman" w:hAnsi="Times New Roman" w:cs="Times New Roman"/>
                <w:sz w:val="24"/>
                <w:szCs w:val="24"/>
              </w:rPr>
              <w:t>ās</w:t>
            </w:r>
            <w:r w:rsidRPr="00460785">
              <w:rPr>
                <w:rFonts w:ascii="Times New Roman" w:hAnsi="Times New Roman" w:cs="Times New Roman"/>
                <w:sz w:val="24"/>
                <w:szCs w:val="24"/>
              </w:rPr>
              <w:t xml:space="preserve"> viel</w:t>
            </w:r>
            <w:r w:rsidR="00E225B2" w:rsidRPr="00460785">
              <w:rPr>
                <w:rFonts w:ascii="Times New Roman" w:hAnsi="Times New Roman" w:cs="Times New Roman"/>
                <w:sz w:val="24"/>
                <w:szCs w:val="24"/>
              </w:rPr>
              <w:t>as</w:t>
            </w:r>
            <w:r w:rsidR="0056065D" w:rsidRPr="00460785">
              <w:rPr>
                <w:rFonts w:ascii="Times New Roman" w:hAnsi="Times New Roman" w:cs="Times New Roman"/>
                <w:sz w:val="24"/>
                <w:szCs w:val="24"/>
              </w:rPr>
              <w:t xml:space="preserve"> </w:t>
            </w:r>
            <w:r w:rsidR="0056065D" w:rsidRPr="00427B45">
              <w:rPr>
                <w:rFonts w:ascii="Times New Roman" w:hAnsi="Times New Roman" w:cs="Times New Roman"/>
                <w:sz w:val="24"/>
                <w:szCs w:val="24"/>
              </w:rPr>
              <w:t xml:space="preserve">hroma (VI) </w:t>
            </w:r>
            <w:r w:rsidRPr="00427B45">
              <w:rPr>
                <w:rFonts w:ascii="Times New Roman" w:hAnsi="Times New Roman" w:cs="Times New Roman"/>
                <w:sz w:val="24"/>
                <w:szCs w:val="24"/>
              </w:rPr>
              <w:t xml:space="preserve"> robežvērtīb</w:t>
            </w:r>
            <w:r w:rsidR="00E225B2" w:rsidRPr="00427B45">
              <w:rPr>
                <w:rFonts w:ascii="Times New Roman" w:hAnsi="Times New Roman" w:cs="Times New Roman"/>
                <w:sz w:val="24"/>
                <w:szCs w:val="24"/>
              </w:rPr>
              <w:t>u</w:t>
            </w:r>
            <w:r w:rsidRPr="00427B45">
              <w:rPr>
                <w:rFonts w:ascii="Times New Roman" w:hAnsi="Times New Roman" w:cs="Times New Roman"/>
                <w:sz w:val="24"/>
                <w:szCs w:val="24"/>
              </w:rPr>
              <w:t>.</w:t>
            </w:r>
            <w:r w:rsidR="00FC02F7" w:rsidRPr="00427B45">
              <w:rPr>
                <w:rFonts w:ascii="Times New Roman" w:hAnsi="Times New Roman" w:cs="Times New Roman"/>
                <w:sz w:val="24"/>
                <w:szCs w:val="24"/>
              </w:rPr>
              <w:t xml:space="preserve"> </w:t>
            </w:r>
            <w:r w:rsidR="00427B45" w:rsidRPr="00427B45">
              <w:rPr>
                <w:rFonts w:ascii="Times New Roman" w:hAnsi="Times New Roman" w:cs="Times New Roman"/>
                <w:sz w:val="24"/>
                <w:szCs w:val="24"/>
              </w:rPr>
              <w:t xml:space="preserve">Atbilstoši </w:t>
            </w:r>
            <w:r w:rsidR="00427B45" w:rsidRPr="00460785">
              <w:rPr>
                <w:rFonts w:ascii="Times New Roman" w:hAnsi="Times New Roman" w:cs="Times New Roman"/>
                <w:sz w:val="24"/>
                <w:szCs w:val="24"/>
              </w:rPr>
              <w:t>Direktīvas 2018/725 2. apsvērumam p</w:t>
            </w:r>
            <w:r w:rsidR="00FC02F7" w:rsidRPr="00460785">
              <w:rPr>
                <w:rFonts w:ascii="Times New Roman" w:hAnsi="Times New Roman" w:cs="Times New Roman"/>
                <w:sz w:val="24"/>
                <w:szCs w:val="24"/>
              </w:rPr>
              <w:t>ēc Eiropas Komisijas pieprasījuma Veselības un vides apdraudējuma zinātniskā komiteja (</w:t>
            </w:r>
            <w:r w:rsidR="003F1136" w:rsidRPr="00460785">
              <w:rPr>
                <w:rFonts w:ascii="Times New Roman" w:hAnsi="Times New Roman" w:cs="Times New Roman"/>
                <w:sz w:val="24"/>
                <w:szCs w:val="24"/>
              </w:rPr>
              <w:t xml:space="preserve">turpmāk – </w:t>
            </w:r>
            <w:r w:rsidR="00FC02F7" w:rsidRPr="00460785">
              <w:rPr>
                <w:rStyle w:val="italic"/>
                <w:rFonts w:ascii="Times New Roman" w:hAnsi="Times New Roman" w:cs="Times New Roman"/>
                <w:sz w:val="24"/>
                <w:szCs w:val="24"/>
              </w:rPr>
              <w:t>SCHER</w:t>
            </w:r>
            <w:r w:rsidR="00FC02F7" w:rsidRPr="00460785">
              <w:rPr>
                <w:rFonts w:ascii="Times New Roman" w:hAnsi="Times New Roman" w:cs="Times New Roman"/>
                <w:sz w:val="24"/>
                <w:szCs w:val="24"/>
              </w:rPr>
              <w:t xml:space="preserve">) 2015. gadā novērtēja hroma (VI) </w:t>
            </w:r>
            <w:r w:rsidR="007C7B8F" w:rsidRPr="00427B45">
              <w:rPr>
                <w:rFonts w:ascii="Times New Roman" w:hAnsi="Times New Roman" w:cs="Times New Roman"/>
                <w:sz w:val="24"/>
                <w:szCs w:val="24"/>
              </w:rPr>
              <w:t>daudzuma</w:t>
            </w:r>
            <w:r w:rsidR="007C7B8F" w:rsidRPr="00460785">
              <w:rPr>
                <w:rFonts w:ascii="Times New Roman" w:hAnsi="Times New Roman" w:cs="Times New Roman"/>
                <w:sz w:val="24"/>
                <w:szCs w:val="24"/>
              </w:rPr>
              <w:t xml:space="preserve"> </w:t>
            </w:r>
            <w:r w:rsidR="00FC02F7" w:rsidRPr="00460785">
              <w:rPr>
                <w:rFonts w:ascii="Times New Roman" w:hAnsi="Times New Roman" w:cs="Times New Roman"/>
                <w:sz w:val="24"/>
                <w:szCs w:val="24"/>
              </w:rPr>
              <w:t>nozīmi mutes vēža izra</w:t>
            </w:r>
            <w:r w:rsidR="00FC02F7" w:rsidRPr="003F1136">
              <w:rPr>
                <w:rFonts w:ascii="Times New Roman" w:hAnsi="Times New Roman" w:cs="Times New Roman"/>
                <w:sz w:val="24"/>
                <w:szCs w:val="24"/>
              </w:rPr>
              <w:t>isīšanā.</w:t>
            </w:r>
            <w:r w:rsidR="00604AD9" w:rsidRPr="003F1136">
              <w:rPr>
                <w:rFonts w:ascii="Times New Roman" w:hAnsi="Times New Roman" w:cs="Times New Roman"/>
                <w:sz w:val="24"/>
                <w:szCs w:val="24"/>
              </w:rPr>
              <w:t xml:space="preserve"> </w:t>
            </w:r>
            <w:r w:rsidR="00C13F6A">
              <w:rPr>
                <w:rFonts w:ascii="Times New Roman" w:hAnsi="Times New Roman" w:cs="Times New Roman"/>
                <w:sz w:val="24"/>
                <w:szCs w:val="24"/>
              </w:rPr>
              <w:t>H</w:t>
            </w:r>
            <w:r w:rsidR="00C13F6A" w:rsidRPr="003F1136">
              <w:rPr>
                <w:rFonts w:ascii="Times New Roman" w:hAnsi="Times New Roman" w:cs="Times New Roman"/>
                <w:sz w:val="24"/>
                <w:szCs w:val="24"/>
              </w:rPr>
              <w:t>rom</w:t>
            </w:r>
            <w:r w:rsidR="00C13F6A">
              <w:rPr>
                <w:rFonts w:ascii="Times New Roman" w:hAnsi="Times New Roman" w:cs="Times New Roman"/>
                <w:sz w:val="24"/>
                <w:szCs w:val="24"/>
              </w:rPr>
              <w:t>s</w:t>
            </w:r>
            <w:r w:rsidR="00C13F6A" w:rsidRPr="003F1136">
              <w:rPr>
                <w:rFonts w:ascii="Times New Roman" w:hAnsi="Times New Roman" w:cs="Times New Roman"/>
                <w:sz w:val="24"/>
                <w:szCs w:val="24"/>
              </w:rPr>
              <w:t xml:space="preserve"> (VI)</w:t>
            </w:r>
            <w:r w:rsidR="00C13F6A">
              <w:rPr>
                <w:rFonts w:ascii="Times New Roman" w:hAnsi="Times New Roman" w:cs="Times New Roman"/>
                <w:sz w:val="24"/>
                <w:szCs w:val="24"/>
              </w:rPr>
              <w:t xml:space="preserve"> ir toksiska ķīmiska viela. Tika konstatēts</w:t>
            </w:r>
            <w:r w:rsidR="00C13F6A" w:rsidRPr="003F1136">
              <w:rPr>
                <w:rFonts w:ascii="Times New Roman" w:hAnsi="Times New Roman" w:cs="Times New Roman"/>
                <w:sz w:val="24"/>
                <w:szCs w:val="24"/>
              </w:rPr>
              <w:t xml:space="preserve"> </w:t>
            </w:r>
            <w:r w:rsidR="0056065D">
              <w:rPr>
                <w:rFonts w:ascii="Times New Roman" w:hAnsi="Times New Roman" w:cs="Times New Roman"/>
                <w:sz w:val="24"/>
                <w:szCs w:val="24"/>
              </w:rPr>
              <w:t>ka b</w:t>
            </w:r>
            <w:r w:rsidR="00A96779" w:rsidRPr="003F1136">
              <w:rPr>
                <w:rFonts w:ascii="Times New Roman" w:hAnsi="Times New Roman" w:cs="Times New Roman"/>
                <w:sz w:val="24"/>
                <w:szCs w:val="24"/>
              </w:rPr>
              <w:t>ērni tiek pakļauti hroma (VI) iedarbībai ne tikai ar rotaļlietām,</w:t>
            </w:r>
            <w:r w:rsidR="00EC6DC3">
              <w:rPr>
                <w:rFonts w:ascii="Times New Roman" w:hAnsi="Times New Roman" w:cs="Times New Roman"/>
                <w:sz w:val="24"/>
                <w:szCs w:val="24"/>
              </w:rPr>
              <w:t xml:space="preserve"> līdz ar to</w:t>
            </w:r>
            <w:r w:rsidR="003F1136">
              <w:rPr>
                <w:rFonts w:ascii="Times New Roman" w:hAnsi="Times New Roman" w:cs="Times New Roman"/>
                <w:sz w:val="24"/>
                <w:szCs w:val="24"/>
              </w:rPr>
              <w:t xml:space="preserve"> </w:t>
            </w:r>
            <w:r w:rsidR="00EC6DC3">
              <w:rPr>
                <w:rFonts w:ascii="Times New Roman" w:hAnsi="Times New Roman" w:cs="Times New Roman"/>
                <w:sz w:val="24"/>
                <w:szCs w:val="24"/>
              </w:rPr>
              <w:t>būtu jānosaka</w:t>
            </w:r>
            <w:r w:rsidR="00A96779" w:rsidRPr="003F1136">
              <w:rPr>
                <w:rFonts w:ascii="Times New Roman" w:hAnsi="Times New Roman" w:cs="Times New Roman"/>
                <w:sz w:val="28"/>
                <w:szCs w:val="28"/>
              </w:rPr>
              <w:t xml:space="preserve"> </w:t>
            </w:r>
            <w:r w:rsidR="00A96779" w:rsidRPr="003F1136">
              <w:rPr>
                <w:rFonts w:ascii="Times New Roman" w:hAnsi="Times New Roman" w:cs="Times New Roman"/>
                <w:sz w:val="24"/>
                <w:szCs w:val="24"/>
              </w:rPr>
              <w:t>noteikta praktiski drošās devas procentuālā daļa</w:t>
            </w:r>
            <w:r w:rsidR="00EC6DC3">
              <w:rPr>
                <w:rFonts w:ascii="Times New Roman" w:hAnsi="Times New Roman" w:cs="Times New Roman"/>
                <w:sz w:val="24"/>
                <w:szCs w:val="24"/>
              </w:rPr>
              <w:t>, kas</w:t>
            </w:r>
            <w:r w:rsidR="00A96779" w:rsidRPr="003F1136">
              <w:rPr>
                <w:rFonts w:ascii="Times New Roman" w:hAnsi="Times New Roman" w:cs="Times New Roman"/>
                <w:sz w:val="24"/>
                <w:szCs w:val="24"/>
              </w:rPr>
              <w:t xml:space="preserve"> jāņem par pamatu, aprēķinot hroma (VI) robežvērtību. </w:t>
            </w:r>
            <w:r w:rsidR="00F24D65" w:rsidRPr="00777DFB">
              <w:rPr>
                <w:rFonts w:ascii="Times New Roman" w:hAnsi="Times New Roman" w:cs="Times New Roman"/>
                <w:sz w:val="24"/>
                <w:szCs w:val="24"/>
              </w:rPr>
              <w:t xml:space="preserve">Atbilstoši Direktīvas 2018/725 </w:t>
            </w:r>
            <w:r w:rsidR="00F24D65">
              <w:rPr>
                <w:rFonts w:ascii="Times New Roman" w:hAnsi="Times New Roman" w:cs="Times New Roman"/>
                <w:sz w:val="24"/>
                <w:szCs w:val="24"/>
              </w:rPr>
              <w:t>3</w:t>
            </w:r>
            <w:r w:rsidR="00F24D65" w:rsidRPr="00777DFB">
              <w:rPr>
                <w:rFonts w:ascii="Times New Roman" w:hAnsi="Times New Roman" w:cs="Times New Roman"/>
                <w:sz w:val="24"/>
                <w:szCs w:val="24"/>
              </w:rPr>
              <w:t>. apsvērumam</w:t>
            </w:r>
            <w:r w:rsidR="00F24D65" w:rsidRPr="003F1136">
              <w:rPr>
                <w:rFonts w:ascii="Times New Roman" w:hAnsi="Times New Roman" w:cs="Times New Roman"/>
                <w:sz w:val="24"/>
                <w:szCs w:val="24"/>
              </w:rPr>
              <w:t xml:space="preserve"> </w:t>
            </w:r>
            <w:r w:rsidR="00A96779" w:rsidRPr="003F1136">
              <w:rPr>
                <w:rFonts w:ascii="Times New Roman" w:hAnsi="Times New Roman" w:cs="Times New Roman"/>
                <w:sz w:val="24"/>
                <w:szCs w:val="24"/>
              </w:rPr>
              <w:t xml:space="preserve">Toksikoloģijas, </w:t>
            </w:r>
            <w:proofErr w:type="spellStart"/>
            <w:r w:rsidR="00A96779" w:rsidRPr="003F1136">
              <w:rPr>
                <w:rFonts w:ascii="Times New Roman" w:hAnsi="Times New Roman" w:cs="Times New Roman"/>
                <w:sz w:val="24"/>
                <w:szCs w:val="24"/>
              </w:rPr>
              <w:t>ekotoksikoloģijas</w:t>
            </w:r>
            <w:proofErr w:type="spellEnd"/>
            <w:r w:rsidR="00A96779" w:rsidRPr="003F1136">
              <w:rPr>
                <w:rFonts w:ascii="Times New Roman" w:hAnsi="Times New Roman" w:cs="Times New Roman"/>
                <w:sz w:val="24"/>
                <w:szCs w:val="24"/>
              </w:rPr>
              <w:t xml:space="preserve"> un vides zinātniskā komiteja 2004. gada atzinumā</w:t>
            </w:r>
            <w:r w:rsidR="00136FC2" w:rsidRPr="003F1136">
              <w:rPr>
                <w:rStyle w:val="FootnoteReference"/>
                <w:rFonts w:ascii="Times New Roman" w:hAnsi="Times New Roman" w:cs="Times New Roman"/>
                <w:sz w:val="24"/>
                <w:szCs w:val="24"/>
              </w:rPr>
              <w:footnoteReference w:id="1"/>
            </w:r>
            <w:r w:rsidR="00A96779" w:rsidRPr="003F1136">
              <w:rPr>
                <w:rFonts w:ascii="Times New Roman" w:hAnsi="Times New Roman" w:cs="Times New Roman"/>
                <w:sz w:val="24"/>
                <w:szCs w:val="24"/>
              </w:rPr>
              <w:t xml:space="preserve"> ieteica hroma (VI) daudzumu, ko var uzņemt no rotaļlietām, noteikt ne vairāk kā 10 % apmērā no</w:t>
            </w:r>
            <w:r w:rsidR="00EC6DC3">
              <w:rPr>
                <w:rFonts w:ascii="Times New Roman" w:hAnsi="Times New Roman" w:cs="Times New Roman"/>
                <w:sz w:val="24"/>
                <w:szCs w:val="24"/>
              </w:rPr>
              <w:t xml:space="preserve"> </w:t>
            </w:r>
            <w:r w:rsidR="00A96779" w:rsidRPr="003F1136">
              <w:rPr>
                <w:rFonts w:ascii="Times New Roman" w:hAnsi="Times New Roman" w:cs="Times New Roman"/>
                <w:sz w:val="24"/>
                <w:szCs w:val="24"/>
              </w:rPr>
              <w:t>dien</w:t>
            </w:r>
            <w:r w:rsidR="00C13F6A">
              <w:rPr>
                <w:rFonts w:ascii="Times New Roman" w:hAnsi="Times New Roman" w:cs="Times New Roman"/>
                <w:sz w:val="24"/>
                <w:szCs w:val="24"/>
              </w:rPr>
              <w:t>ā pieļaujamās</w:t>
            </w:r>
            <w:r w:rsidR="00A96779" w:rsidRPr="003F1136">
              <w:rPr>
                <w:rFonts w:ascii="Times New Roman" w:hAnsi="Times New Roman" w:cs="Times New Roman"/>
                <w:sz w:val="24"/>
                <w:szCs w:val="24"/>
              </w:rPr>
              <w:t xml:space="preserve"> devas. </w:t>
            </w:r>
            <w:r w:rsidR="00F24D65" w:rsidRPr="00777DFB">
              <w:rPr>
                <w:rFonts w:ascii="Times New Roman" w:hAnsi="Times New Roman" w:cs="Times New Roman"/>
                <w:sz w:val="24"/>
                <w:szCs w:val="24"/>
              </w:rPr>
              <w:t xml:space="preserve">Atbilstoši Direktīvas 2018/725 </w:t>
            </w:r>
            <w:r w:rsidR="00F24D65">
              <w:rPr>
                <w:rFonts w:ascii="Times New Roman" w:hAnsi="Times New Roman" w:cs="Times New Roman"/>
                <w:sz w:val="24"/>
                <w:szCs w:val="24"/>
              </w:rPr>
              <w:t>4</w:t>
            </w:r>
            <w:r w:rsidR="00F24D65" w:rsidRPr="00777DFB">
              <w:rPr>
                <w:rFonts w:ascii="Times New Roman" w:hAnsi="Times New Roman" w:cs="Times New Roman"/>
                <w:sz w:val="24"/>
                <w:szCs w:val="24"/>
              </w:rPr>
              <w:t>. apsvērumam</w:t>
            </w:r>
            <w:r w:rsidR="00F24D65">
              <w:rPr>
                <w:rFonts w:ascii="Times New Roman" w:hAnsi="Times New Roman" w:cs="Times New Roman"/>
                <w:sz w:val="24"/>
                <w:szCs w:val="24"/>
              </w:rPr>
              <w:t xml:space="preserve"> a</w:t>
            </w:r>
            <w:r w:rsidR="00A96779" w:rsidRPr="003F1136">
              <w:rPr>
                <w:rFonts w:ascii="Times New Roman" w:hAnsi="Times New Roman" w:cs="Times New Roman"/>
                <w:sz w:val="24"/>
                <w:szCs w:val="24"/>
              </w:rPr>
              <w:t xml:space="preserve">ttiecībā uz hromu (VI) un citām ķīmiskām vielām, kas ir sevišķi </w:t>
            </w:r>
            <w:r w:rsidR="00A96779" w:rsidRPr="003F1136">
              <w:rPr>
                <w:rFonts w:ascii="Times New Roman" w:hAnsi="Times New Roman" w:cs="Times New Roman"/>
                <w:sz w:val="24"/>
                <w:szCs w:val="24"/>
              </w:rPr>
              <w:lastRenderedPageBreak/>
              <w:t>toksiskas, Direktīvas 2009/48/EK 22. apsvērumā ieteikts noteikt robežvērtības, kas ir puse no vērtības, kuru attiecīgā zinātniskā komiteja uzskata par drošu, lai nodrošinātu, ka rotaļlietās ir tikai tāds atlikums, kas ir saderīgs ar labu ražošanas praksi.</w:t>
            </w:r>
          </w:p>
          <w:tbl>
            <w:tblPr>
              <w:tblW w:w="5000" w:type="pct"/>
              <w:tblCellSpacing w:w="0" w:type="dxa"/>
              <w:tblCellMar>
                <w:left w:w="0" w:type="dxa"/>
                <w:right w:w="0" w:type="dxa"/>
              </w:tblCellMar>
              <w:tblLook w:val="04A0" w:firstRow="1" w:lastRow="0" w:firstColumn="1" w:lastColumn="0" w:noHBand="0" w:noVBand="1"/>
            </w:tblPr>
            <w:tblGrid>
              <w:gridCol w:w="6"/>
              <w:gridCol w:w="5265"/>
            </w:tblGrid>
            <w:tr w:rsidR="00A96779" w:rsidRPr="009C7C7D" w14:paraId="59724BE1" w14:textId="77777777" w:rsidTr="00A96779">
              <w:trPr>
                <w:tblCellSpacing w:w="0" w:type="dxa"/>
              </w:trPr>
              <w:tc>
                <w:tcPr>
                  <w:tcW w:w="0" w:type="auto"/>
                  <w:hideMark/>
                </w:tcPr>
                <w:p w14:paraId="08BD065F" w14:textId="77777777" w:rsidR="00A96779" w:rsidRPr="009C7C7D" w:rsidRDefault="00A96779" w:rsidP="00CD5401">
                  <w:pPr>
                    <w:pStyle w:val="NoSpacing"/>
                    <w:jc w:val="both"/>
                    <w:rPr>
                      <w:rFonts w:ascii="Times New Roman" w:hAnsi="Times New Roman" w:cs="Times New Roman"/>
                      <w:sz w:val="24"/>
                      <w:szCs w:val="24"/>
                    </w:rPr>
                  </w:pPr>
                </w:p>
              </w:tc>
              <w:tc>
                <w:tcPr>
                  <w:tcW w:w="0" w:type="auto"/>
                  <w:hideMark/>
                </w:tcPr>
                <w:p w14:paraId="56AA2C4C" w14:textId="20978C17" w:rsidR="00A96779" w:rsidRPr="009C7C7D" w:rsidRDefault="006B63AA" w:rsidP="00CD5401">
                  <w:pPr>
                    <w:pStyle w:val="NoSpacing"/>
                    <w:jc w:val="both"/>
                    <w:rPr>
                      <w:rFonts w:ascii="Times New Roman" w:hAnsi="Times New Roman" w:cs="Times New Roman"/>
                      <w:sz w:val="24"/>
                      <w:szCs w:val="24"/>
                    </w:rPr>
                  </w:pPr>
                  <w:r w:rsidRPr="00777DFB">
                    <w:rPr>
                      <w:rFonts w:ascii="Times New Roman" w:hAnsi="Times New Roman" w:cs="Times New Roman"/>
                      <w:sz w:val="24"/>
                      <w:szCs w:val="24"/>
                    </w:rPr>
                    <w:t xml:space="preserve">Atbilstoši Direktīvas 2018/725 </w:t>
                  </w:r>
                  <w:r>
                    <w:rPr>
                      <w:rFonts w:ascii="Times New Roman" w:hAnsi="Times New Roman" w:cs="Times New Roman"/>
                      <w:sz w:val="24"/>
                      <w:szCs w:val="24"/>
                    </w:rPr>
                    <w:t>7</w:t>
                  </w:r>
                  <w:r w:rsidRPr="00777DFB">
                    <w:rPr>
                      <w:rFonts w:ascii="Times New Roman" w:hAnsi="Times New Roman" w:cs="Times New Roman"/>
                      <w:sz w:val="24"/>
                      <w:szCs w:val="24"/>
                    </w:rPr>
                    <w:t>. apsvērumam</w:t>
                  </w:r>
                  <w:r w:rsidRPr="009C7C7D">
                    <w:rPr>
                      <w:rFonts w:ascii="Times New Roman" w:hAnsi="Times New Roman" w:cs="Times New Roman"/>
                      <w:sz w:val="24"/>
                      <w:szCs w:val="24"/>
                    </w:rPr>
                    <w:t xml:space="preserve"> </w:t>
                  </w:r>
                  <w:r>
                    <w:rPr>
                      <w:rFonts w:ascii="Times New Roman" w:hAnsi="Times New Roman" w:cs="Times New Roman"/>
                      <w:sz w:val="24"/>
                      <w:szCs w:val="24"/>
                    </w:rPr>
                    <w:t>ņ</w:t>
                  </w:r>
                  <w:r w:rsidR="00A96779" w:rsidRPr="009C7C7D">
                    <w:rPr>
                      <w:rFonts w:ascii="Times New Roman" w:hAnsi="Times New Roman" w:cs="Times New Roman"/>
                      <w:sz w:val="24"/>
                      <w:szCs w:val="24"/>
                    </w:rPr>
                    <w:t xml:space="preserve">emot vērā šos </w:t>
                  </w:r>
                  <w:r w:rsidR="00F24D65">
                    <w:rPr>
                      <w:rFonts w:ascii="Times New Roman" w:hAnsi="Times New Roman" w:cs="Times New Roman"/>
                      <w:sz w:val="24"/>
                      <w:szCs w:val="24"/>
                    </w:rPr>
                    <w:t>apsvērumus</w:t>
                  </w:r>
                  <w:r w:rsidR="00A96779" w:rsidRPr="009C7C7D">
                    <w:rPr>
                      <w:rFonts w:ascii="Times New Roman" w:hAnsi="Times New Roman" w:cs="Times New Roman"/>
                      <w:sz w:val="24"/>
                      <w:szCs w:val="24"/>
                    </w:rPr>
                    <w:t>, Komisijas izveidotās Rotaļlietu drošuma ekspertu grupas</w:t>
                  </w:r>
                  <w:r w:rsidR="00136FC2" w:rsidRPr="009C7C7D">
                    <w:rPr>
                      <w:rStyle w:val="FootnoteReference"/>
                      <w:rFonts w:ascii="Times New Roman" w:hAnsi="Times New Roman" w:cs="Times New Roman"/>
                      <w:sz w:val="24"/>
                      <w:szCs w:val="24"/>
                    </w:rPr>
                    <w:footnoteReference w:id="2"/>
                  </w:r>
                  <w:r w:rsidR="000B4E6A" w:rsidRPr="009C7C7D">
                    <w:rPr>
                      <w:rFonts w:ascii="Times New Roman" w:hAnsi="Times New Roman" w:cs="Times New Roman"/>
                      <w:sz w:val="24"/>
                      <w:szCs w:val="24"/>
                    </w:rPr>
                    <w:t xml:space="preserve"> </w:t>
                  </w:r>
                  <w:r w:rsidR="00A96779" w:rsidRPr="009C7C7D">
                    <w:rPr>
                      <w:rFonts w:ascii="Times New Roman" w:hAnsi="Times New Roman" w:cs="Times New Roman"/>
                      <w:sz w:val="24"/>
                      <w:szCs w:val="24"/>
                    </w:rPr>
                    <w:t>apakšgrupa “Ķīmiskās vielas”</w:t>
                  </w:r>
                  <w:r w:rsidR="000B4E6A" w:rsidRPr="009C7C7D">
                    <w:rPr>
                      <w:rFonts w:ascii="Times New Roman" w:hAnsi="Times New Roman" w:cs="Times New Roman"/>
                      <w:sz w:val="24"/>
                      <w:szCs w:val="24"/>
                    </w:rPr>
                    <w:t xml:space="preserve"> </w:t>
                  </w:r>
                  <w:r w:rsidR="00A96779" w:rsidRPr="009C7C7D">
                    <w:rPr>
                      <w:rFonts w:ascii="Times New Roman" w:hAnsi="Times New Roman" w:cs="Times New Roman"/>
                      <w:sz w:val="24"/>
                      <w:szCs w:val="24"/>
                    </w:rPr>
                    <w:t>2016. gada 14. oktobra sanāksmē ieteica pazemināt hroma (VI) robežvērtību no spēkā esošajiem</w:t>
                  </w:r>
                  <w:r w:rsidR="00EC6DC3">
                    <w:rPr>
                      <w:rFonts w:ascii="Times New Roman" w:hAnsi="Times New Roman" w:cs="Times New Roman"/>
                      <w:sz w:val="24"/>
                      <w:szCs w:val="24"/>
                    </w:rPr>
                    <w:t xml:space="preserve"> </w:t>
                  </w:r>
                  <w:r w:rsidR="00A96779" w:rsidRPr="009C7C7D">
                    <w:rPr>
                      <w:rFonts w:ascii="Times New Roman" w:hAnsi="Times New Roman" w:cs="Times New Roman"/>
                      <w:sz w:val="24"/>
                      <w:szCs w:val="24"/>
                    </w:rPr>
                    <w:t xml:space="preserve">0,2 mg/kg līdz 0,053 mg/kg. </w:t>
                  </w:r>
                  <w:r w:rsidR="00A90EFB">
                    <w:rPr>
                      <w:rFonts w:ascii="Times New Roman" w:hAnsi="Times New Roman" w:cs="Times New Roman"/>
                      <w:sz w:val="24"/>
                      <w:szCs w:val="24"/>
                    </w:rPr>
                    <w:t>Vienlaikus</w:t>
                  </w:r>
                  <w:r w:rsidR="00A96779" w:rsidRPr="009C7C7D">
                    <w:rPr>
                      <w:rFonts w:ascii="Times New Roman" w:hAnsi="Times New Roman" w:cs="Times New Roman"/>
                      <w:sz w:val="24"/>
                      <w:szCs w:val="24"/>
                    </w:rPr>
                    <w:t xml:space="preserve"> apakšgrupa ieteica ik pēc diviem gadiem pārskatīt pieejamās hroma (VI) testa metodes, lai, iespējams, noteiktu jaunu testa metodi, ar kuru var ticami noteikt zemākas koncentrācijas, līdz tiek sasniegtas </w:t>
                  </w:r>
                  <w:r w:rsidR="00A96779" w:rsidRPr="009C7C7D">
                    <w:rPr>
                      <w:rStyle w:val="italic"/>
                      <w:rFonts w:ascii="Times New Roman" w:hAnsi="Times New Roman" w:cs="Times New Roman"/>
                      <w:sz w:val="24"/>
                      <w:szCs w:val="24"/>
                    </w:rPr>
                    <w:t>SCHER</w:t>
                  </w:r>
                  <w:r w:rsidR="00A96779" w:rsidRPr="009C7C7D">
                    <w:rPr>
                      <w:rFonts w:ascii="Times New Roman" w:hAnsi="Times New Roman" w:cs="Times New Roman"/>
                      <w:sz w:val="24"/>
                      <w:szCs w:val="24"/>
                    </w:rPr>
                    <w:t xml:space="preserve"> ierosinātās robežvērtīb</w:t>
                  </w:r>
                  <w:r w:rsidR="00ED66F0">
                    <w:rPr>
                      <w:rFonts w:ascii="Times New Roman" w:hAnsi="Times New Roman" w:cs="Times New Roman"/>
                      <w:sz w:val="24"/>
                      <w:szCs w:val="24"/>
                    </w:rPr>
                    <w:t>u</w:t>
                  </w:r>
                  <w:r w:rsidR="000B4E6A" w:rsidRPr="009C7C7D">
                    <w:rPr>
                      <w:rFonts w:ascii="Times New Roman" w:hAnsi="Times New Roman" w:cs="Times New Roman"/>
                      <w:sz w:val="24"/>
                      <w:szCs w:val="24"/>
                    </w:rPr>
                    <w:t xml:space="preserve"> 0,0002 </w:t>
                  </w:r>
                  <w:proofErr w:type="spellStart"/>
                  <w:r w:rsidR="000B4E6A" w:rsidRPr="009C7C7D">
                    <w:rPr>
                      <w:rFonts w:ascii="Times New Roman" w:hAnsi="Times New Roman" w:cs="Times New Roman"/>
                      <w:sz w:val="24"/>
                      <w:szCs w:val="24"/>
                    </w:rPr>
                    <w:t>μg</w:t>
                  </w:r>
                  <w:proofErr w:type="spellEnd"/>
                  <w:r w:rsidR="000B4E6A" w:rsidRPr="009C7C7D">
                    <w:rPr>
                      <w:rFonts w:ascii="Times New Roman" w:hAnsi="Times New Roman" w:cs="Times New Roman"/>
                      <w:sz w:val="24"/>
                      <w:szCs w:val="24"/>
                    </w:rPr>
                    <w:t xml:space="preserve"> hroma (VI) uz kg ķermeņa svara dienā</w:t>
                  </w:r>
                  <w:r w:rsidR="00C13F6A">
                    <w:rPr>
                      <w:rFonts w:ascii="Times New Roman" w:hAnsi="Times New Roman" w:cs="Times New Roman"/>
                      <w:sz w:val="24"/>
                      <w:szCs w:val="24"/>
                    </w:rPr>
                    <w:t xml:space="preserve">, uzskatot to par </w:t>
                  </w:r>
                  <w:r w:rsidR="000B4E6A" w:rsidRPr="009C7C7D">
                    <w:rPr>
                      <w:rFonts w:ascii="Times New Roman" w:hAnsi="Times New Roman" w:cs="Times New Roman"/>
                      <w:sz w:val="24"/>
                      <w:szCs w:val="24"/>
                    </w:rPr>
                    <w:t>atbilstoš</w:t>
                  </w:r>
                  <w:r w:rsidR="00C13F6A">
                    <w:rPr>
                      <w:rFonts w:ascii="Times New Roman" w:hAnsi="Times New Roman" w:cs="Times New Roman"/>
                      <w:sz w:val="24"/>
                      <w:szCs w:val="24"/>
                    </w:rPr>
                    <w:t>u un</w:t>
                  </w:r>
                  <w:r w:rsidR="000B4E6A" w:rsidRPr="009C7C7D">
                    <w:rPr>
                      <w:rFonts w:ascii="Times New Roman" w:hAnsi="Times New Roman" w:cs="Times New Roman"/>
                      <w:sz w:val="24"/>
                      <w:szCs w:val="24"/>
                    </w:rPr>
                    <w:t xml:space="preserve"> praktiski droš</w:t>
                  </w:r>
                  <w:r w:rsidR="00C13F6A">
                    <w:rPr>
                      <w:rFonts w:ascii="Times New Roman" w:hAnsi="Times New Roman" w:cs="Times New Roman"/>
                      <w:sz w:val="24"/>
                      <w:szCs w:val="24"/>
                    </w:rPr>
                    <w:t>u</w:t>
                  </w:r>
                  <w:r w:rsidR="000B4E6A" w:rsidRPr="009C7C7D">
                    <w:rPr>
                      <w:rFonts w:ascii="Times New Roman" w:hAnsi="Times New Roman" w:cs="Times New Roman"/>
                      <w:sz w:val="24"/>
                      <w:szCs w:val="24"/>
                    </w:rPr>
                    <w:t xml:space="preserve"> </w:t>
                  </w:r>
                  <w:r w:rsidR="00C13F6A">
                    <w:rPr>
                      <w:rFonts w:ascii="Times New Roman" w:hAnsi="Times New Roman" w:cs="Times New Roman"/>
                      <w:sz w:val="24"/>
                      <w:szCs w:val="24"/>
                    </w:rPr>
                    <w:t>daudzumu</w:t>
                  </w:r>
                  <w:r w:rsidR="000B4E6A" w:rsidRPr="009C7C7D">
                    <w:rPr>
                      <w:rStyle w:val="FootnoteReference"/>
                      <w:rFonts w:ascii="Times New Roman" w:hAnsi="Times New Roman" w:cs="Times New Roman"/>
                      <w:sz w:val="24"/>
                      <w:szCs w:val="24"/>
                    </w:rPr>
                    <w:footnoteReference w:id="3"/>
                  </w:r>
                  <w:r w:rsidR="000B4E6A" w:rsidRPr="009C7C7D">
                    <w:rPr>
                      <w:rFonts w:ascii="Times New Roman" w:hAnsi="Times New Roman" w:cs="Times New Roman"/>
                      <w:sz w:val="24"/>
                      <w:szCs w:val="24"/>
                    </w:rPr>
                    <w:t>.</w:t>
                  </w:r>
                </w:p>
              </w:tc>
            </w:tr>
          </w:tbl>
          <w:p w14:paraId="62124FFD" w14:textId="012B519F" w:rsidR="00BE3B46" w:rsidRPr="00427B45" w:rsidRDefault="00427B45" w:rsidP="003F1136">
            <w:pPr>
              <w:pStyle w:val="naisf"/>
              <w:ind w:firstLine="0"/>
            </w:pPr>
            <w:r w:rsidRPr="00427B45">
              <w:t xml:space="preserve">Paredzēts, ka </w:t>
            </w:r>
            <w:r w:rsidR="006B63AA">
              <w:t>N</w:t>
            </w:r>
            <w:r w:rsidRPr="00427B45">
              <w:t>oteikumu projekta 1.2. apakšpunkts stājas spēkā 2019. gada 18. novembrī.</w:t>
            </w:r>
          </w:p>
          <w:p w14:paraId="739390F9" w14:textId="77777777" w:rsidR="00E5323B" w:rsidRPr="009C7C7D"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D01A69" w14:paraId="08ABC7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CD4F5C"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F6A3465"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868D478" w14:textId="45806304" w:rsidR="00E5323B" w:rsidRPr="00D01A69" w:rsidRDefault="00AD730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Ekonomikas ministrija.</w:t>
            </w:r>
          </w:p>
        </w:tc>
      </w:tr>
      <w:tr w:rsidR="00E5323B" w:rsidRPr="00D01A69" w14:paraId="17779E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20A742"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CBD6D9D"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22E353" w14:textId="77777777" w:rsidR="00E5323B" w:rsidRPr="00D01A69" w:rsidRDefault="00BE3B4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sz w:val="24"/>
                <w:szCs w:val="24"/>
              </w:rPr>
              <w:t>Nav.</w:t>
            </w:r>
          </w:p>
        </w:tc>
      </w:tr>
    </w:tbl>
    <w:p w14:paraId="631A9CA8"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01A69" w14:paraId="7A4E348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F8CFF2" w14:textId="77777777" w:rsidR="00655F2C" w:rsidRPr="00D01A69" w:rsidRDefault="00E5323B" w:rsidP="00AD7308">
            <w:pPr>
              <w:spacing w:after="0" w:line="240" w:lineRule="auto"/>
              <w:jc w:val="center"/>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D01A69" w14:paraId="38CB23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411E8B"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3D80B4"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87F5ACD" w14:textId="69636F89" w:rsidR="00E5323B" w:rsidRPr="00D01A69" w:rsidRDefault="00BE3B4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sz w:val="24"/>
                <w:szCs w:val="24"/>
              </w:rPr>
              <w:t xml:space="preserve">Patērētāji </w:t>
            </w:r>
            <w:r w:rsidR="006B63AA">
              <w:rPr>
                <w:rFonts w:ascii="Times New Roman" w:hAnsi="Times New Roman" w:cs="Times New Roman"/>
                <w:sz w:val="24"/>
                <w:szCs w:val="24"/>
              </w:rPr>
              <w:t>–</w:t>
            </w:r>
            <w:r w:rsidR="00FD0FCC" w:rsidRPr="00D01A69">
              <w:rPr>
                <w:rFonts w:ascii="Times New Roman" w:hAnsi="Times New Roman" w:cs="Times New Roman"/>
                <w:sz w:val="24"/>
                <w:szCs w:val="24"/>
              </w:rPr>
              <w:t xml:space="preserve"> </w:t>
            </w:r>
            <w:r w:rsidRPr="00D01A69">
              <w:rPr>
                <w:rFonts w:ascii="Times New Roman" w:hAnsi="Times New Roman" w:cs="Times New Roman"/>
                <w:sz w:val="24"/>
                <w:szCs w:val="24"/>
              </w:rPr>
              <w:t>bērni un viņu pieskatītāji (~ 1,</w:t>
            </w:r>
            <w:r w:rsidR="00FD0FCC" w:rsidRPr="00D01A69">
              <w:rPr>
                <w:rFonts w:ascii="Times New Roman" w:hAnsi="Times New Roman" w:cs="Times New Roman"/>
                <w:sz w:val="24"/>
                <w:szCs w:val="24"/>
              </w:rPr>
              <w:t>1</w:t>
            </w:r>
            <w:r w:rsidRPr="00D01A69">
              <w:rPr>
                <w:rFonts w:ascii="Times New Roman" w:hAnsi="Times New Roman" w:cs="Times New Roman"/>
                <w:sz w:val="24"/>
                <w:szCs w:val="24"/>
              </w:rPr>
              <w:t xml:space="preserve"> miljoni Latvijas iedzīvotāju</w:t>
            </w:r>
            <w:r w:rsidR="00460785">
              <w:rPr>
                <w:rFonts w:ascii="Times New Roman" w:hAnsi="Times New Roman" w:cs="Times New Roman"/>
                <w:sz w:val="24"/>
                <w:szCs w:val="24"/>
              </w:rPr>
              <w:t>)</w:t>
            </w:r>
            <w:r w:rsidRPr="00D01A69">
              <w:rPr>
                <w:rFonts w:ascii="Times New Roman" w:hAnsi="Times New Roman" w:cs="Times New Roman"/>
                <w:sz w:val="24"/>
                <w:szCs w:val="24"/>
              </w:rPr>
              <w:t>.</w:t>
            </w:r>
          </w:p>
        </w:tc>
      </w:tr>
      <w:tr w:rsidR="00E5323B" w:rsidRPr="00D01A69" w14:paraId="79CDBC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0C3C27"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6C983B"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518F723" w14:textId="17947E06" w:rsidR="00E5323B" w:rsidRPr="00D01A69" w:rsidRDefault="00BE3B46" w:rsidP="00DC71F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sz w:val="24"/>
                <w:szCs w:val="24"/>
              </w:rPr>
              <w:t>Sabiedrības grupām un institūcijām Noteikumu projekta tiesiskais regulējums nemaina tiesības un pienākumus, veicamās darbības</w:t>
            </w:r>
            <w:r w:rsidR="005F1078">
              <w:rPr>
                <w:rFonts w:ascii="Times New Roman" w:hAnsi="Times New Roman" w:cs="Times New Roman"/>
                <w:sz w:val="24"/>
                <w:szCs w:val="24"/>
              </w:rPr>
              <w:t>, kā arī nerada papildu administratīvo slogu</w:t>
            </w:r>
            <w:r w:rsidRPr="00D01A69">
              <w:rPr>
                <w:rFonts w:ascii="Times New Roman" w:hAnsi="Times New Roman" w:cs="Times New Roman"/>
                <w:sz w:val="24"/>
                <w:szCs w:val="24"/>
              </w:rPr>
              <w:t>.</w:t>
            </w:r>
          </w:p>
        </w:tc>
      </w:tr>
      <w:tr w:rsidR="00E5323B" w:rsidRPr="00D01A69" w14:paraId="32C280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8E89B"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C06FA2"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5874DDB" w14:textId="77777777" w:rsidR="00E5323B" w:rsidRPr="00D01A69" w:rsidRDefault="00B50EA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sz w:val="24"/>
                <w:szCs w:val="24"/>
              </w:rPr>
              <w:t>Noteikumu projekts nerada papildu izmaksas.</w:t>
            </w:r>
          </w:p>
        </w:tc>
      </w:tr>
      <w:tr w:rsidR="00E5323B" w:rsidRPr="00D01A69" w14:paraId="364C10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C02D0F"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98D8FA8"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CD1FDB" w14:textId="742AF4CD" w:rsidR="00E5323B" w:rsidRPr="00D01A69" w:rsidRDefault="00B50EA9" w:rsidP="00B50EA9">
            <w:pPr>
              <w:pStyle w:val="NormalWeb"/>
              <w:ind w:right="57" w:firstLine="375"/>
            </w:pPr>
            <w:r w:rsidRPr="00D01A69">
              <w:t xml:space="preserve">Noteikumu projektam nav tiešas finansiālas ietekmes uz patērētājiem, jo šobrīd nav pieejama informācija, ka </w:t>
            </w:r>
            <w:r w:rsidR="005E1EF4" w:rsidRPr="00D01A69">
              <w:t>ieviešot</w:t>
            </w:r>
            <w:r w:rsidRPr="00D01A69">
              <w:t xml:space="preserve"> jaunu rotaļlietu drošuma prasību tiktu paaugstinātas rotaļlietu cenas. Rotaļlietās pieļaujamo ķīmisko vielu robežvērtību noteikšana un to samazinājums var ietekmēt izmaksas rotaļlietu </w:t>
            </w:r>
            <w:r w:rsidRPr="00D01A69">
              <w:lastRenderedPageBreak/>
              <w:t>ražotājiem un citiem uzņēmējiem, tomēr konkrēts izmaksu novērtējums nav iespējams, jo nav pieejama informācija par to ražotāju un uzņēmēju skaitu, kuru ražotajās vai importētajās rotaļlietās izmanto</w:t>
            </w:r>
            <w:r w:rsidR="005E1EF4" w:rsidRPr="00D01A69">
              <w:t xml:space="preserve"> </w:t>
            </w:r>
            <w:r w:rsidRPr="00D01A69">
              <w:t>attiecīg</w:t>
            </w:r>
            <w:r w:rsidR="005E1EF4" w:rsidRPr="00D01A69">
              <w:t>o</w:t>
            </w:r>
            <w:r w:rsidRPr="00D01A69">
              <w:t xml:space="preserve"> ķīmisk</w:t>
            </w:r>
            <w:r w:rsidR="005E1EF4" w:rsidRPr="00D01A69">
              <w:t>o</w:t>
            </w:r>
            <w:r w:rsidRPr="00D01A69">
              <w:t xml:space="preserve"> viel</w:t>
            </w:r>
            <w:r w:rsidR="005E1EF4" w:rsidRPr="00D01A69">
              <w:t>u</w:t>
            </w:r>
            <w:r w:rsidRPr="00D01A69">
              <w:t>.</w:t>
            </w:r>
          </w:p>
        </w:tc>
      </w:tr>
      <w:tr w:rsidR="00E5323B" w:rsidRPr="00D01A69" w14:paraId="3B03DE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13169B"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3A570BA1"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65F8BB" w14:textId="77777777" w:rsidR="00E5323B" w:rsidRPr="00D01A69" w:rsidRDefault="00B50EA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sz w:val="24"/>
                <w:szCs w:val="24"/>
              </w:rPr>
              <w:t>Nav.</w:t>
            </w:r>
          </w:p>
        </w:tc>
      </w:tr>
    </w:tbl>
    <w:p w14:paraId="1E7104B4"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01A69" w14:paraId="325EED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E389E" w14:textId="77777777" w:rsidR="00655F2C" w:rsidRPr="00D01A69" w:rsidRDefault="00E5323B" w:rsidP="00373A41">
            <w:pPr>
              <w:spacing w:after="0" w:line="240" w:lineRule="auto"/>
              <w:jc w:val="center"/>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FD0FCC" w:rsidRPr="00D01A69" w14:paraId="225AA1E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F2610AD" w14:textId="70E6183B" w:rsidR="00FD0FCC" w:rsidRPr="00D01A69" w:rsidRDefault="007A42CB" w:rsidP="00FD0FCC">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hAnsi="Times New Roman" w:cs="Times New Roman"/>
                <w:bCs/>
                <w:iCs/>
                <w:sz w:val="24"/>
                <w:szCs w:val="24"/>
                <w:lang w:eastAsia="lv-LV"/>
              </w:rPr>
              <w:t>P</w:t>
            </w:r>
            <w:r w:rsidR="00FD0FCC" w:rsidRPr="00D01A69">
              <w:rPr>
                <w:rFonts w:ascii="Times New Roman" w:hAnsi="Times New Roman" w:cs="Times New Roman"/>
                <w:bCs/>
                <w:iCs/>
                <w:sz w:val="24"/>
                <w:szCs w:val="24"/>
                <w:lang w:eastAsia="lv-LV"/>
              </w:rPr>
              <w:t>rojekts šo jomu neskar</w:t>
            </w:r>
          </w:p>
        </w:tc>
      </w:tr>
    </w:tbl>
    <w:p w14:paraId="6D0ED817"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01A69" w14:paraId="1C16851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84D61A" w14:textId="77777777" w:rsidR="00655F2C" w:rsidRPr="00D01A69" w:rsidRDefault="00E5323B" w:rsidP="00373A41">
            <w:pPr>
              <w:spacing w:after="0" w:line="240" w:lineRule="auto"/>
              <w:jc w:val="center"/>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446683" w:rsidRPr="00D01A69" w14:paraId="17B3660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6A3D03" w14:textId="463C9362" w:rsidR="00446683" w:rsidRPr="00D01A69" w:rsidRDefault="007A42CB" w:rsidP="00446683">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hAnsi="Times New Roman" w:cs="Times New Roman"/>
                <w:bCs/>
                <w:iCs/>
                <w:sz w:val="24"/>
                <w:szCs w:val="24"/>
                <w:lang w:eastAsia="lv-LV"/>
              </w:rPr>
              <w:t>P</w:t>
            </w:r>
            <w:r w:rsidR="00446683" w:rsidRPr="00D01A69">
              <w:rPr>
                <w:rFonts w:ascii="Times New Roman" w:hAnsi="Times New Roman" w:cs="Times New Roman"/>
                <w:bCs/>
                <w:iCs/>
                <w:sz w:val="24"/>
                <w:szCs w:val="24"/>
                <w:lang w:eastAsia="lv-LV"/>
              </w:rPr>
              <w:t>rojekts šo jomu neskar</w:t>
            </w:r>
          </w:p>
        </w:tc>
      </w:tr>
    </w:tbl>
    <w:p w14:paraId="521F9790"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01A69" w14:paraId="085F58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0643AF" w14:textId="77777777" w:rsidR="00655F2C" w:rsidRPr="00D01A69" w:rsidRDefault="00E5323B" w:rsidP="00373A41">
            <w:pPr>
              <w:spacing w:after="0" w:line="240" w:lineRule="auto"/>
              <w:jc w:val="center"/>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D01A69" w14:paraId="6B0EE7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CA957A"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D54290"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A674E9B" w14:textId="4E465B35" w:rsidR="00B50EA9" w:rsidRPr="00D01A69" w:rsidRDefault="006D4CEA" w:rsidP="00243C97">
            <w:pPr>
              <w:pStyle w:val="naisf"/>
              <w:spacing w:before="0" w:after="0"/>
              <w:ind w:left="70" w:right="23" w:firstLine="0"/>
            </w:pPr>
            <w:r w:rsidRPr="00E04DF2">
              <w:t>Komisijas 2018. gada 16. maija Direktīvas (ES) 2018/725, ar ko attiecībā uz hromu (VI) groza Eiropas Parlamenta un Padomes Direktīvas 2009/48/EK par rotaļlietu drošumu II pielikuma III daļas 13. punktu, lai to pielāgotu tehnikas un zinātnes attīstībai</w:t>
            </w:r>
            <w:r>
              <w:t xml:space="preserve"> </w:t>
            </w:r>
            <w:r w:rsidR="00B50EA9" w:rsidRPr="00D01A69">
              <w:t>(transponēšanas termiņš ir 201</w:t>
            </w:r>
            <w:r w:rsidR="00C609A7" w:rsidRPr="00D01A69">
              <w:t>9</w:t>
            </w:r>
            <w:r w:rsidR="00B50EA9" w:rsidRPr="00D01A69">
              <w:t xml:space="preserve">. gada </w:t>
            </w:r>
            <w:r w:rsidR="00C609A7" w:rsidRPr="00D01A69">
              <w:t>1</w:t>
            </w:r>
            <w:r w:rsidR="00BB316D" w:rsidRPr="00D01A69">
              <w:t>8</w:t>
            </w:r>
            <w:r w:rsidR="00B50EA9" w:rsidRPr="00D01A69">
              <w:t>. novembris)</w:t>
            </w:r>
            <w:r w:rsidR="002D6EE9">
              <w:t>.</w:t>
            </w:r>
          </w:p>
          <w:p w14:paraId="7D3811C6" w14:textId="77777777" w:rsidR="00E5323B" w:rsidRPr="00D01A69" w:rsidRDefault="00E5323B" w:rsidP="00C609A7">
            <w:pPr>
              <w:pStyle w:val="naisf"/>
              <w:spacing w:before="0" w:after="0"/>
              <w:ind w:left="70" w:right="23" w:firstLine="226"/>
              <w:rPr>
                <w:iCs/>
                <w:color w:val="A6A6A6" w:themeColor="background1" w:themeShade="A6"/>
              </w:rPr>
            </w:pPr>
          </w:p>
        </w:tc>
      </w:tr>
      <w:tr w:rsidR="00E5323B" w:rsidRPr="00D01A69" w14:paraId="35C124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C926C9"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E1C5F7"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0743925" w14:textId="1CEEEB7F" w:rsidR="00E5323B" w:rsidRPr="00D01A69" w:rsidRDefault="007A42C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P</w:t>
            </w:r>
            <w:r w:rsidR="00BB055C">
              <w:rPr>
                <w:rFonts w:ascii="Times New Roman" w:hAnsi="Times New Roman" w:cs="Times New Roman"/>
                <w:sz w:val="24"/>
                <w:szCs w:val="24"/>
              </w:rPr>
              <w:t>rojekts</w:t>
            </w:r>
            <w:r w:rsidR="00B50EA9" w:rsidRPr="00D01A69">
              <w:rPr>
                <w:rFonts w:ascii="Times New Roman" w:hAnsi="Times New Roman" w:cs="Times New Roman"/>
                <w:sz w:val="24"/>
                <w:szCs w:val="24"/>
              </w:rPr>
              <w:t xml:space="preserve"> šo jomu neskar.</w:t>
            </w:r>
          </w:p>
        </w:tc>
      </w:tr>
      <w:tr w:rsidR="00E5323B" w:rsidRPr="00D01A69" w14:paraId="0DF9C1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B24714"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B5D9FD5"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C998DA" w14:textId="77777777" w:rsidR="00E5323B" w:rsidRPr="00D01A69" w:rsidRDefault="00B50EA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iCs/>
                <w:sz w:val="24"/>
                <w:szCs w:val="24"/>
              </w:rPr>
              <w:t>Nav.</w:t>
            </w:r>
          </w:p>
        </w:tc>
      </w:tr>
    </w:tbl>
    <w:p w14:paraId="4179AC92"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7"/>
        <w:gridCol w:w="2184"/>
        <w:gridCol w:w="2242"/>
        <w:gridCol w:w="2432"/>
      </w:tblGrid>
      <w:tr w:rsidR="00E5323B" w:rsidRPr="00D01A69" w14:paraId="2E25D056"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3DE31B5" w14:textId="77777777" w:rsidR="00655F2C" w:rsidRPr="00D01A69" w:rsidRDefault="00E5323B" w:rsidP="00373A41">
            <w:pPr>
              <w:spacing w:after="0" w:line="240" w:lineRule="auto"/>
              <w:jc w:val="center"/>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1. tabula</w:t>
            </w:r>
            <w:r w:rsidRPr="00D01A69">
              <w:rPr>
                <w:rFonts w:ascii="Times New Roman" w:eastAsia="Times New Roman" w:hAnsi="Times New Roman" w:cs="Times New Roman"/>
                <w:b/>
                <w:bCs/>
                <w:iCs/>
                <w:color w:val="414142"/>
                <w:sz w:val="24"/>
                <w:szCs w:val="24"/>
                <w:lang w:eastAsia="lv-LV"/>
              </w:rPr>
              <w:br/>
              <w:t>Tiesību akta projekta atbilstība ES tiesību aktiem</w:t>
            </w:r>
          </w:p>
        </w:tc>
      </w:tr>
      <w:tr w:rsidR="00ED1507" w:rsidRPr="00D01A69" w14:paraId="6F33FFB2"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156217B4" w14:textId="7F990DEC" w:rsidR="00ED1507" w:rsidRPr="009B70B6" w:rsidRDefault="009B70B6" w:rsidP="00E5323B">
            <w:pPr>
              <w:spacing w:after="0" w:line="240" w:lineRule="auto"/>
              <w:rPr>
                <w:rFonts w:ascii="Times New Roman" w:eastAsia="Times New Roman" w:hAnsi="Times New Roman" w:cs="Times New Roman"/>
                <w:b/>
                <w:bCs/>
                <w:iCs/>
                <w:color w:val="414142"/>
                <w:sz w:val="24"/>
                <w:szCs w:val="24"/>
                <w:lang w:eastAsia="lv-LV"/>
              </w:rPr>
            </w:pPr>
            <w:r w:rsidRPr="009B70B6">
              <w:rPr>
                <w:rFonts w:ascii="Times New Roman" w:hAnsi="Times New Roman" w:cs="Times New Roman"/>
                <w:sz w:val="24"/>
                <w:szCs w:val="24"/>
              </w:rPr>
              <w:t>Komisijas 2018. gada 16. maija Direktīvas (ES) 2018/725, ar ko attiecībā uz hromu (VI) groza Eiropas Parlamenta un Padomes Direktīvas 2009/48/EK par rotaļlietu drošumu II pielikuma III daļas 13. punktu, lai to pielāgotu tehnikas un zinātnes attīstībai</w:t>
            </w:r>
          </w:p>
        </w:tc>
      </w:tr>
      <w:tr w:rsidR="00E5323B" w:rsidRPr="00D01A69" w14:paraId="707148BB" w14:textId="77777777" w:rsidTr="00A83221">
        <w:trPr>
          <w:tblCellSpacing w:w="15" w:type="dxa"/>
        </w:trPr>
        <w:tc>
          <w:tcPr>
            <w:tcW w:w="1196" w:type="pct"/>
            <w:tcBorders>
              <w:top w:val="outset" w:sz="6" w:space="0" w:color="auto"/>
              <w:left w:val="outset" w:sz="6" w:space="0" w:color="auto"/>
              <w:bottom w:val="outset" w:sz="6" w:space="0" w:color="auto"/>
              <w:right w:val="outset" w:sz="6" w:space="0" w:color="auto"/>
            </w:tcBorders>
            <w:vAlign w:val="center"/>
            <w:hideMark/>
          </w:tcPr>
          <w:p w14:paraId="400C46F7"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A</w:t>
            </w:r>
          </w:p>
        </w:tc>
        <w:tc>
          <w:tcPr>
            <w:tcW w:w="1197" w:type="pct"/>
            <w:tcBorders>
              <w:top w:val="outset" w:sz="6" w:space="0" w:color="auto"/>
              <w:left w:val="outset" w:sz="6" w:space="0" w:color="auto"/>
              <w:bottom w:val="outset" w:sz="6" w:space="0" w:color="auto"/>
              <w:right w:val="outset" w:sz="6" w:space="0" w:color="auto"/>
            </w:tcBorders>
            <w:vAlign w:val="center"/>
            <w:hideMark/>
          </w:tcPr>
          <w:p w14:paraId="320B40EE"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B</w:t>
            </w:r>
          </w:p>
        </w:tc>
        <w:tc>
          <w:tcPr>
            <w:tcW w:w="1230" w:type="pct"/>
            <w:tcBorders>
              <w:top w:val="outset" w:sz="6" w:space="0" w:color="auto"/>
              <w:left w:val="outset" w:sz="6" w:space="0" w:color="auto"/>
              <w:bottom w:val="outset" w:sz="6" w:space="0" w:color="auto"/>
              <w:right w:val="outset" w:sz="6" w:space="0" w:color="auto"/>
            </w:tcBorders>
            <w:vAlign w:val="center"/>
            <w:hideMark/>
          </w:tcPr>
          <w:p w14:paraId="74C6C413"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C</w:t>
            </w:r>
          </w:p>
        </w:tc>
        <w:tc>
          <w:tcPr>
            <w:tcW w:w="1294" w:type="pct"/>
            <w:tcBorders>
              <w:top w:val="outset" w:sz="6" w:space="0" w:color="auto"/>
              <w:left w:val="outset" w:sz="6" w:space="0" w:color="auto"/>
              <w:bottom w:val="outset" w:sz="6" w:space="0" w:color="auto"/>
              <w:right w:val="outset" w:sz="6" w:space="0" w:color="auto"/>
            </w:tcBorders>
            <w:vAlign w:val="center"/>
            <w:hideMark/>
          </w:tcPr>
          <w:p w14:paraId="085CF009"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D</w:t>
            </w:r>
          </w:p>
        </w:tc>
      </w:tr>
      <w:tr w:rsidR="00E5323B" w:rsidRPr="00D01A69" w14:paraId="2E21E744" w14:textId="77777777" w:rsidTr="00A83221">
        <w:trPr>
          <w:tblCellSpacing w:w="15" w:type="dxa"/>
        </w:trPr>
        <w:tc>
          <w:tcPr>
            <w:tcW w:w="1196" w:type="pct"/>
            <w:tcBorders>
              <w:top w:val="outset" w:sz="6" w:space="0" w:color="auto"/>
              <w:left w:val="outset" w:sz="6" w:space="0" w:color="auto"/>
              <w:bottom w:val="outset" w:sz="6" w:space="0" w:color="auto"/>
              <w:right w:val="outset" w:sz="6" w:space="0" w:color="auto"/>
            </w:tcBorders>
            <w:hideMark/>
          </w:tcPr>
          <w:p w14:paraId="4500285E" w14:textId="25CF79D2" w:rsidR="00E5323B" w:rsidRPr="00D01A69" w:rsidRDefault="007B4EF1"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hAnsi="Times New Roman" w:cs="Times New Roman"/>
                <w:sz w:val="24"/>
                <w:szCs w:val="24"/>
              </w:rPr>
              <w:t>1. pants</w:t>
            </w:r>
          </w:p>
        </w:tc>
        <w:tc>
          <w:tcPr>
            <w:tcW w:w="1197" w:type="pct"/>
            <w:tcBorders>
              <w:top w:val="outset" w:sz="6" w:space="0" w:color="auto"/>
              <w:left w:val="outset" w:sz="6" w:space="0" w:color="auto"/>
              <w:bottom w:val="outset" w:sz="6" w:space="0" w:color="auto"/>
              <w:right w:val="outset" w:sz="6" w:space="0" w:color="auto"/>
            </w:tcBorders>
            <w:hideMark/>
          </w:tcPr>
          <w:p w14:paraId="3219707F" w14:textId="7A28779C" w:rsidR="00E5323B" w:rsidRPr="00D01A69" w:rsidRDefault="007B4EF1"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hAnsi="Times New Roman" w:cs="Times New Roman"/>
                <w:sz w:val="24"/>
                <w:szCs w:val="24"/>
              </w:rPr>
              <w:t>1.</w:t>
            </w:r>
            <w:r w:rsidR="00A83221" w:rsidRPr="00D01A69">
              <w:rPr>
                <w:rFonts w:ascii="Times New Roman" w:hAnsi="Times New Roman" w:cs="Times New Roman"/>
                <w:sz w:val="24"/>
                <w:szCs w:val="24"/>
              </w:rPr>
              <w:t>2</w:t>
            </w:r>
            <w:r w:rsidRPr="00D01A69">
              <w:rPr>
                <w:rFonts w:ascii="Times New Roman" w:hAnsi="Times New Roman" w:cs="Times New Roman"/>
                <w:sz w:val="24"/>
                <w:szCs w:val="24"/>
              </w:rPr>
              <w:t>. apakšpunkts</w:t>
            </w:r>
          </w:p>
        </w:tc>
        <w:tc>
          <w:tcPr>
            <w:tcW w:w="1230" w:type="pct"/>
            <w:tcBorders>
              <w:top w:val="outset" w:sz="6" w:space="0" w:color="auto"/>
              <w:left w:val="outset" w:sz="6" w:space="0" w:color="auto"/>
              <w:bottom w:val="outset" w:sz="6" w:space="0" w:color="auto"/>
              <w:right w:val="outset" w:sz="6" w:space="0" w:color="auto"/>
            </w:tcBorders>
            <w:hideMark/>
          </w:tcPr>
          <w:p w14:paraId="14FD8384" w14:textId="7716D0AF" w:rsidR="00E5323B" w:rsidRPr="00D01A69" w:rsidRDefault="009C526B" w:rsidP="00E5323B">
            <w:pPr>
              <w:spacing w:after="0" w:line="240" w:lineRule="auto"/>
              <w:rPr>
                <w:rFonts w:ascii="Times New Roman" w:eastAsia="Times New Roman" w:hAnsi="Times New Roman" w:cs="Times New Roman"/>
                <w:iCs/>
                <w:color w:val="414142"/>
                <w:sz w:val="24"/>
                <w:szCs w:val="24"/>
                <w:lang w:eastAsia="lv-LV"/>
              </w:rPr>
            </w:pPr>
            <w:r>
              <w:rPr>
                <w:rFonts w:ascii="Times New Roman" w:hAnsi="Times New Roman" w:cs="Times New Roman"/>
                <w:sz w:val="24"/>
                <w:szCs w:val="24"/>
              </w:rPr>
              <w:t>Pārņemts</w:t>
            </w:r>
            <w:r w:rsidRPr="00D01A69">
              <w:rPr>
                <w:rFonts w:ascii="Times New Roman" w:hAnsi="Times New Roman" w:cs="Times New Roman"/>
                <w:sz w:val="24"/>
                <w:szCs w:val="24"/>
              </w:rPr>
              <w:t xml:space="preserve"> </w:t>
            </w:r>
            <w:r w:rsidR="00AC3911" w:rsidRPr="00D01A69">
              <w:rPr>
                <w:rFonts w:ascii="Times New Roman" w:hAnsi="Times New Roman" w:cs="Times New Roman"/>
                <w:sz w:val="24"/>
                <w:szCs w:val="24"/>
              </w:rPr>
              <w:t>pilnībā.</w:t>
            </w:r>
          </w:p>
        </w:tc>
        <w:tc>
          <w:tcPr>
            <w:tcW w:w="1294" w:type="pct"/>
            <w:tcBorders>
              <w:top w:val="outset" w:sz="6" w:space="0" w:color="auto"/>
              <w:left w:val="outset" w:sz="6" w:space="0" w:color="auto"/>
              <w:bottom w:val="outset" w:sz="6" w:space="0" w:color="auto"/>
              <w:right w:val="outset" w:sz="6" w:space="0" w:color="auto"/>
            </w:tcBorders>
            <w:hideMark/>
          </w:tcPr>
          <w:p w14:paraId="5CAB2E73" w14:textId="6E36C92E" w:rsidR="00E5323B" w:rsidRPr="00D01A69" w:rsidRDefault="00AC3911"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hAnsi="Times New Roman" w:cs="Times New Roman"/>
                <w:sz w:val="24"/>
                <w:szCs w:val="24"/>
              </w:rPr>
              <w:t>Stingrākas prasības nav paredzētas.</w:t>
            </w:r>
          </w:p>
        </w:tc>
      </w:tr>
      <w:tr w:rsidR="00A83221" w:rsidRPr="00D01A69" w14:paraId="62659CEC" w14:textId="77777777" w:rsidTr="00A83221">
        <w:trPr>
          <w:tblCellSpacing w:w="15" w:type="dxa"/>
        </w:trPr>
        <w:tc>
          <w:tcPr>
            <w:tcW w:w="1196" w:type="pct"/>
            <w:tcBorders>
              <w:top w:val="outset" w:sz="6" w:space="0" w:color="auto"/>
              <w:left w:val="outset" w:sz="6" w:space="0" w:color="auto"/>
              <w:bottom w:val="outset" w:sz="6" w:space="0" w:color="auto"/>
              <w:right w:val="outset" w:sz="6" w:space="0" w:color="auto"/>
            </w:tcBorders>
          </w:tcPr>
          <w:p w14:paraId="0CE2A6E7" w14:textId="10978967" w:rsidR="00A83221" w:rsidRPr="00D01A69" w:rsidRDefault="00A83221" w:rsidP="00A83221">
            <w:pPr>
              <w:spacing w:after="0" w:line="240" w:lineRule="auto"/>
              <w:rPr>
                <w:rFonts w:ascii="Times New Roman" w:hAnsi="Times New Roman" w:cs="Times New Roman"/>
                <w:sz w:val="24"/>
                <w:szCs w:val="24"/>
              </w:rPr>
            </w:pPr>
            <w:r w:rsidRPr="00D01A69">
              <w:rPr>
                <w:rFonts w:ascii="Times New Roman" w:hAnsi="Times New Roman" w:cs="Times New Roman"/>
                <w:sz w:val="24"/>
                <w:szCs w:val="24"/>
              </w:rPr>
              <w:t>2. panta 1. punkts</w:t>
            </w:r>
          </w:p>
        </w:tc>
        <w:tc>
          <w:tcPr>
            <w:tcW w:w="1197" w:type="pct"/>
            <w:tcBorders>
              <w:top w:val="outset" w:sz="6" w:space="0" w:color="auto"/>
              <w:left w:val="outset" w:sz="6" w:space="0" w:color="auto"/>
              <w:bottom w:val="outset" w:sz="6" w:space="0" w:color="auto"/>
              <w:right w:val="outset" w:sz="6" w:space="0" w:color="auto"/>
            </w:tcBorders>
          </w:tcPr>
          <w:p w14:paraId="6E299E0B" w14:textId="7087CF38" w:rsidR="00A83221" w:rsidRPr="00D01A69" w:rsidRDefault="00A83221" w:rsidP="00A83221">
            <w:pPr>
              <w:spacing w:after="0" w:line="240" w:lineRule="auto"/>
              <w:rPr>
                <w:rFonts w:ascii="Times New Roman" w:hAnsi="Times New Roman" w:cs="Times New Roman"/>
                <w:sz w:val="24"/>
                <w:szCs w:val="24"/>
              </w:rPr>
            </w:pPr>
            <w:r w:rsidRPr="00D01A69">
              <w:rPr>
                <w:rFonts w:ascii="Times New Roman" w:hAnsi="Times New Roman" w:cs="Times New Roman"/>
                <w:sz w:val="24"/>
                <w:szCs w:val="24"/>
              </w:rPr>
              <w:t>1.1. apakšpunkts un 2. punkts</w:t>
            </w:r>
          </w:p>
        </w:tc>
        <w:tc>
          <w:tcPr>
            <w:tcW w:w="1230" w:type="pct"/>
            <w:tcBorders>
              <w:top w:val="outset" w:sz="6" w:space="0" w:color="auto"/>
              <w:left w:val="outset" w:sz="6" w:space="0" w:color="auto"/>
              <w:bottom w:val="outset" w:sz="6" w:space="0" w:color="auto"/>
              <w:right w:val="outset" w:sz="6" w:space="0" w:color="auto"/>
            </w:tcBorders>
          </w:tcPr>
          <w:p w14:paraId="4DA0F9B1" w14:textId="60A00CC5" w:rsidR="00A83221" w:rsidRPr="00D01A69" w:rsidRDefault="009C526B" w:rsidP="00A83221">
            <w:pPr>
              <w:spacing w:after="0" w:line="240" w:lineRule="auto"/>
              <w:rPr>
                <w:rFonts w:ascii="Times New Roman" w:hAnsi="Times New Roman" w:cs="Times New Roman"/>
                <w:sz w:val="24"/>
                <w:szCs w:val="24"/>
              </w:rPr>
            </w:pPr>
            <w:r>
              <w:rPr>
                <w:rFonts w:ascii="Times New Roman" w:hAnsi="Times New Roman" w:cs="Times New Roman"/>
                <w:sz w:val="24"/>
                <w:szCs w:val="24"/>
              </w:rPr>
              <w:t>Pārņemts</w:t>
            </w:r>
            <w:r w:rsidRPr="00D01A69">
              <w:rPr>
                <w:rFonts w:ascii="Times New Roman" w:hAnsi="Times New Roman" w:cs="Times New Roman"/>
                <w:sz w:val="24"/>
                <w:szCs w:val="24"/>
              </w:rPr>
              <w:t xml:space="preserve"> </w:t>
            </w:r>
            <w:r w:rsidR="00A83221" w:rsidRPr="00D01A69">
              <w:rPr>
                <w:rFonts w:ascii="Times New Roman" w:hAnsi="Times New Roman" w:cs="Times New Roman"/>
                <w:sz w:val="24"/>
                <w:szCs w:val="24"/>
              </w:rPr>
              <w:t>pilnībā.</w:t>
            </w:r>
          </w:p>
        </w:tc>
        <w:tc>
          <w:tcPr>
            <w:tcW w:w="1294" w:type="pct"/>
            <w:tcBorders>
              <w:top w:val="outset" w:sz="6" w:space="0" w:color="auto"/>
              <w:left w:val="outset" w:sz="6" w:space="0" w:color="auto"/>
              <w:bottom w:val="outset" w:sz="6" w:space="0" w:color="auto"/>
              <w:right w:val="outset" w:sz="6" w:space="0" w:color="auto"/>
            </w:tcBorders>
          </w:tcPr>
          <w:p w14:paraId="3397D225" w14:textId="0D1D3FC3" w:rsidR="00A83221" w:rsidRPr="00D01A69" w:rsidRDefault="00A83221" w:rsidP="00A83221">
            <w:pPr>
              <w:spacing w:after="0" w:line="240" w:lineRule="auto"/>
              <w:rPr>
                <w:rFonts w:ascii="Times New Roman" w:hAnsi="Times New Roman" w:cs="Times New Roman"/>
                <w:sz w:val="24"/>
                <w:szCs w:val="24"/>
              </w:rPr>
            </w:pPr>
            <w:r w:rsidRPr="00D01A69">
              <w:rPr>
                <w:rFonts w:ascii="Times New Roman" w:hAnsi="Times New Roman" w:cs="Times New Roman"/>
                <w:sz w:val="24"/>
                <w:szCs w:val="24"/>
              </w:rPr>
              <w:t>Stingrākas prasības nav paredzētas.</w:t>
            </w:r>
          </w:p>
        </w:tc>
      </w:tr>
      <w:tr w:rsidR="00E5323B" w:rsidRPr="00D01A69" w14:paraId="058F3590" w14:textId="77777777" w:rsidTr="00A83221">
        <w:trPr>
          <w:tblCellSpacing w:w="15" w:type="dxa"/>
        </w:trPr>
        <w:tc>
          <w:tcPr>
            <w:tcW w:w="1196" w:type="pct"/>
            <w:tcBorders>
              <w:top w:val="outset" w:sz="6" w:space="0" w:color="auto"/>
              <w:left w:val="outset" w:sz="6" w:space="0" w:color="auto"/>
              <w:bottom w:val="outset" w:sz="6" w:space="0" w:color="auto"/>
              <w:right w:val="outset" w:sz="6" w:space="0" w:color="auto"/>
            </w:tcBorders>
            <w:hideMark/>
          </w:tcPr>
          <w:p w14:paraId="2AD5AD90"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754" w:type="pct"/>
            <w:gridSpan w:val="3"/>
            <w:tcBorders>
              <w:top w:val="outset" w:sz="6" w:space="0" w:color="auto"/>
              <w:left w:val="outset" w:sz="6" w:space="0" w:color="auto"/>
              <w:bottom w:val="outset" w:sz="6" w:space="0" w:color="auto"/>
              <w:right w:val="outset" w:sz="6" w:space="0" w:color="auto"/>
            </w:tcBorders>
            <w:hideMark/>
          </w:tcPr>
          <w:p w14:paraId="62703431" w14:textId="39BB2B12" w:rsidR="00E5323B" w:rsidRPr="00D01A69" w:rsidRDefault="000D685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iCs/>
                <w:sz w:val="24"/>
                <w:szCs w:val="24"/>
              </w:rPr>
              <w:t>Noteikumu projektā iekļautās ES tiesību aktu normas neparedz rīcības brīvību dalībvalstīm.</w:t>
            </w:r>
          </w:p>
        </w:tc>
      </w:tr>
      <w:tr w:rsidR="00E5323B" w:rsidRPr="00D01A69" w14:paraId="3E0A3E2F" w14:textId="77777777" w:rsidTr="002C3F43">
        <w:trPr>
          <w:trHeight w:val="2350"/>
          <w:tblCellSpacing w:w="15" w:type="dxa"/>
        </w:trPr>
        <w:tc>
          <w:tcPr>
            <w:tcW w:w="1196" w:type="pct"/>
            <w:tcBorders>
              <w:top w:val="outset" w:sz="6" w:space="0" w:color="auto"/>
              <w:left w:val="outset" w:sz="6" w:space="0" w:color="auto"/>
              <w:bottom w:val="outset" w:sz="6" w:space="0" w:color="auto"/>
              <w:right w:val="outset" w:sz="6" w:space="0" w:color="auto"/>
            </w:tcBorders>
            <w:hideMark/>
          </w:tcPr>
          <w:p w14:paraId="62068F28"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4" w:type="pct"/>
            <w:gridSpan w:val="3"/>
            <w:tcBorders>
              <w:top w:val="outset" w:sz="6" w:space="0" w:color="auto"/>
              <w:left w:val="outset" w:sz="6" w:space="0" w:color="auto"/>
              <w:bottom w:val="outset" w:sz="6" w:space="0" w:color="auto"/>
              <w:right w:val="outset" w:sz="6" w:space="0" w:color="auto"/>
            </w:tcBorders>
            <w:hideMark/>
          </w:tcPr>
          <w:p w14:paraId="30AED410" w14:textId="14CD3943" w:rsidR="00E5323B" w:rsidRPr="00D01A69" w:rsidRDefault="00A67F7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P</w:t>
            </w:r>
            <w:r w:rsidR="009119B5" w:rsidRPr="00D01A69">
              <w:rPr>
                <w:rFonts w:ascii="Times New Roman" w:hAnsi="Times New Roman" w:cs="Times New Roman"/>
                <w:sz w:val="24"/>
                <w:szCs w:val="24"/>
              </w:rPr>
              <w:t>rojekts šo jomu neskar.</w:t>
            </w:r>
          </w:p>
        </w:tc>
      </w:tr>
      <w:tr w:rsidR="00E5323B" w:rsidRPr="00D01A69" w14:paraId="371D2710" w14:textId="77777777" w:rsidTr="00A83221">
        <w:trPr>
          <w:tblCellSpacing w:w="15" w:type="dxa"/>
        </w:trPr>
        <w:tc>
          <w:tcPr>
            <w:tcW w:w="1196" w:type="pct"/>
            <w:tcBorders>
              <w:top w:val="outset" w:sz="6" w:space="0" w:color="auto"/>
              <w:left w:val="outset" w:sz="6" w:space="0" w:color="auto"/>
              <w:bottom w:val="outset" w:sz="6" w:space="0" w:color="auto"/>
              <w:right w:val="outset" w:sz="6" w:space="0" w:color="auto"/>
            </w:tcBorders>
            <w:hideMark/>
          </w:tcPr>
          <w:p w14:paraId="2A0058C8"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Cita informācija</w:t>
            </w:r>
          </w:p>
        </w:tc>
        <w:tc>
          <w:tcPr>
            <w:tcW w:w="3754" w:type="pct"/>
            <w:gridSpan w:val="3"/>
            <w:tcBorders>
              <w:top w:val="outset" w:sz="6" w:space="0" w:color="auto"/>
              <w:left w:val="outset" w:sz="6" w:space="0" w:color="auto"/>
              <w:bottom w:val="outset" w:sz="6" w:space="0" w:color="auto"/>
              <w:right w:val="outset" w:sz="6" w:space="0" w:color="auto"/>
            </w:tcBorders>
            <w:hideMark/>
          </w:tcPr>
          <w:p w14:paraId="6A5AC3F9" w14:textId="3DBEE722" w:rsidR="00E5323B" w:rsidRPr="00D01A69" w:rsidRDefault="009119B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sz w:val="24"/>
                <w:szCs w:val="24"/>
              </w:rPr>
              <w:t>Nav.</w:t>
            </w:r>
          </w:p>
        </w:tc>
      </w:tr>
    </w:tbl>
    <w:p w14:paraId="6B390495"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01A69" w14:paraId="76CC31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71B8D3" w14:textId="77777777" w:rsidR="00655F2C" w:rsidRPr="00D01A69" w:rsidRDefault="00E5323B" w:rsidP="00373A41">
            <w:pPr>
              <w:spacing w:after="0" w:line="240" w:lineRule="auto"/>
              <w:jc w:val="center"/>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D01A69" w14:paraId="077391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8CF93F"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542B370"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AEAA974" w14:textId="080D7C4D" w:rsidR="00E5323B" w:rsidRPr="006E1745" w:rsidRDefault="00BC460D" w:rsidP="006E174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E1745">
              <w:rPr>
                <w:rFonts w:ascii="Times New Roman" w:hAnsi="Times New Roman" w:cs="Times New Roman"/>
                <w:sz w:val="24"/>
                <w:szCs w:val="24"/>
                <w:lang w:eastAsia="lv-LV"/>
              </w:rPr>
              <w:t xml:space="preserve">Pirms Noteikumu projekta  izstrādes nav veiktas  </w:t>
            </w:r>
            <w:r w:rsidRPr="006E1745">
              <w:rPr>
                <w:rFonts w:ascii="Times New Roman" w:hAnsi="Times New Roman" w:cs="Times New Roman"/>
                <w:iCs/>
                <w:sz w:val="24"/>
                <w:szCs w:val="24"/>
                <w:lang w:eastAsia="lv-LV"/>
              </w:rPr>
              <w:t>sabiedrības līdzdalības un komunikācijas aktivitātes,</w:t>
            </w:r>
            <w:r w:rsidRPr="006E1745">
              <w:rPr>
                <w:rFonts w:ascii="Times New Roman" w:hAnsi="Times New Roman" w:cs="Times New Roman"/>
                <w:sz w:val="24"/>
                <w:szCs w:val="24"/>
                <w:lang w:eastAsia="lv-LV"/>
              </w:rPr>
              <w:t xml:space="preserve"> ņemot vērā ar Noteikumu projektu ieviesto izmaiņu tehnisko raksturu, kas nerada konceptuālas izmaiņas esošajā regulējumā un neparedz ieviest jaunas politiskās iniciatīvas</w:t>
            </w:r>
            <w:r w:rsidRPr="006E1745">
              <w:rPr>
                <w:rFonts w:ascii="Times New Roman" w:hAnsi="Times New Roman" w:cs="Times New Roman"/>
                <w:iCs/>
                <w:sz w:val="24"/>
                <w:szCs w:val="24"/>
                <w:lang w:eastAsia="lv-LV"/>
              </w:rPr>
              <w:t>.</w:t>
            </w:r>
          </w:p>
        </w:tc>
      </w:tr>
      <w:tr w:rsidR="00E5323B" w:rsidRPr="00D01A69" w14:paraId="2578A7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AEE8FA"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2CB30A"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9DD2F9F" w14:textId="210506A8" w:rsidR="00E5323B" w:rsidRPr="004D5066" w:rsidRDefault="004D5066" w:rsidP="006E174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D5066">
              <w:rPr>
                <w:rFonts w:ascii="Times New Roman" w:hAnsi="Times New Roman" w:cs="Times New Roman"/>
                <w:sz w:val="24"/>
                <w:szCs w:val="24"/>
              </w:rPr>
              <w:t>Tehniski grozījumi</w:t>
            </w:r>
            <w:r w:rsidR="00936DC4">
              <w:rPr>
                <w:rFonts w:ascii="Times New Roman" w:hAnsi="Times New Roman" w:cs="Times New Roman"/>
                <w:sz w:val="24"/>
                <w:szCs w:val="24"/>
              </w:rPr>
              <w:t xml:space="preserve"> un citi grozījumi</w:t>
            </w:r>
            <w:r w:rsidRPr="004D5066">
              <w:rPr>
                <w:rFonts w:ascii="Times New Roman" w:hAnsi="Times New Roman" w:cs="Times New Roman"/>
                <w:sz w:val="24"/>
                <w:szCs w:val="24"/>
              </w:rPr>
              <w:t>, kas būtiski nemaina esošo regulējumu un neparedz ieviest jaunas politiskās iniciatīvas. Sabiedrības līdzdalība Noteikumu projekta izstrādē nav nepieciešama.</w:t>
            </w:r>
          </w:p>
        </w:tc>
      </w:tr>
      <w:tr w:rsidR="00E5323B" w:rsidRPr="00D01A69" w14:paraId="18F2BA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CFF02B"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43D61C2"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1DC3BE6" w14:textId="2C8DD9A3" w:rsidR="00E5323B" w:rsidRPr="00373A41" w:rsidRDefault="00373A4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73A41">
              <w:rPr>
                <w:rFonts w:ascii="Times New Roman" w:hAnsi="Times New Roman" w:cs="Times New Roman"/>
                <w:sz w:val="24"/>
                <w:szCs w:val="24"/>
              </w:rPr>
              <w:t>Projekts šo jomu neskar.</w:t>
            </w:r>
          </w:p>
        </w:tc>
      </w:tr>
      <w:tr w:rsidR="00E5323B" w:rsidRPr="00D01A69" w14:paraId="2DA481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D75F5B"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B720479"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0224457" w14:textId="77777777" w:rsidR="00E5323B" w:rsidRPr="00D01A69" w:rsidRDefault="00B50EA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sz w:val="24"/>
                <w:szCs w:val="24"/>
              </w:rPr>
              <w:t>Nav.</w:t>
            </w:r>
          </w:p>
        </w:tc>
      </w:tr>
    </w:tbl>
    <w:p w14:paraId="1B140777"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01A69" w14:paraId="4284B63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6F14FA" w14:textId="77777777" w:rsidR="00655F2C" w:rsidRPr="00D01A69" w:rsidRDefault="00E5323B" w:rsidP="00373A41">
            <w:pPr>
              <w:spacing w:after="0" w:line="240" w:lineRule="auto"/>
              <w:jc w:val="center"/>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D01A69" w14:paraId="645F3170" w14:textId="77777777" w:rsidTr="00B50EA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4FAF20"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3FE5996"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FBF85D0" w14:textId="75EBB396" w:rsidR="00B50EA9" w:rsidRPr="00D01A69" w:rsidRDefault="00B50EA9" w:rsidP="00B50EA9">
            <w:pPr>
              <w:pStyle w:val="naisnod"/>
              <w:spacing w:before="0" w:after="0"/>
              <w:ind w:left="57"/>
              <w:jc w:val="both"/>
              <w:rPr>
                <w:b w:val="0"/>
              </w:rPr>
            </w:pPr>
            <w:r w:rsidRPr="00D01A69">
              <w:rPr>
                <w:b w:val="0"/>
              </w:rPr>
              <w:t>Projekta izpildi nodrošina Ekonomikas ministrija, Patērētāju tiesību aizsardzības centrs, Valsts ieņēmumu dienesta Muitas pārvalde.</w:t>
            </w:r>
          </w:p>
          <w:p w14:paraId="217D70DA" w14:textId="77777777" w:rsidR="00E5323B" w:rsidRPr="00D01A69"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B50EA9" w:rsidRPr="00D01A69" w14:paraId="1FDCD856" w14:textId="77777777" w:rsidTr="00B50EA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F87226" w14:textId="77777777" w:rsidR="00B50EA9" w:rsidRPr="00D01A69" w:rsidRDefault="00B50EA9" w:rsidP="00B50EA9">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03FFB31" w14:textId="77777777" w:rsidR="00B50EA9" w:rsidRPr="00D01A69" w:rsidRDefault="00B50EA9" w:rsidP="00B50EA9">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Projekta izpildes ietekme uz pārvaldes funkcijām un institucionālo struktūru.</w:t>
            </w:r>
            <w:r w:rsidRPr="00D01A69">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194430B" w14:textId="1279A4C6" w:rsidR="00B50EA9" w:rsidRPr="00D01A69" w:rsidRDefault="00E50F7C" w:rsidP="00B50EA9">
            <w:pPr>
              <w:pStyle w:val="naisnod"/>
              <w:spacing w:before="0" w:after="0"/>
              <w:ind w:left="57"/>
              <w:jc w:val="both"/>
              <w:rPr>
                <w:b w:val="0"/>
              </w:rPr>
            </w:pPr>
            <w:r w:rsidRPr="00D01A69">
              <w:rPr>
                <w:b w:val="0"/>
              </w:rPr>
              <w:t>Noteikumu projekt</w:t>
            </w:r>
            <w:r>
              <w:rPr>
                <w:b w:val="0"/>
              </w:rPr>
              <w:t xml:space="preserve">a izpilde neietekmē </w:t>
            </w:r>
            <w:r w:rsidRPr="00E50F7C">
              <w:rPr>
                <w:b w:val="0"/>
                <w:bCs w:val="0"/>
              </w:rPr>
              <w:t xml:space="preserve">projekta izstrādē iesaistītās institūcijas cilvēkresursus, funkcijas un uzdevumus. </w:t>
            </w:r>
            <w:r w:rsidR="00B50EA9" w:rsidRPr="00D01A69">
              <w:rPr>
                <w:b w:val="0"/>
              </w:rPr>
              <w:t>Noteikumu projekts neparedz veidot jaunas valsts institūcijas, to likvidāciju vai reorganizāciju</w:t>
            </w:r>
            <w:r>
              <w:rPr>
                <w:b w:val="0"/>
              </w:rPr>
              <w:t xml:space="preserve">, un </w:t>
            </w:r>
            <w:r w:rsidR="00B50EA9" w:rsidRPr="00D01A69">
              <w:rPr>
                <w:b w:val="0"/>
              </w:rPr>
              <w:t>neparedz jaunas institūciju funkcijas vai uzdevumus.</w:t>
            </w:r>
          </w:p>
        </w:tc>
      </w:tr>
      <w:tr w:rsidR="00B50EA9" w:rsidRPr="00D01A69" w14:paraId="519FA7AA" w14:textId="77777777" w:rsidTr="00B50EA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642D36" w14:textId="77777777" w:rsidR="00B50EA9" w:rsidRPr="00D01A69" w:rsidRDefault="00B50EA9" w:rsidP="00B50EA9">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C2765E0" w14:textId="77777777" w:rsidR="00B50EA9" w:rsidRPr="00D01A69" w:rsidRDefault="00B50EA9" w:rsidP="00B50EA9">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E7C4CEC" w14:textId="77777777" w:rsidR="00B50EA9" w:rsidRPr="00D01A69" w:rsidRDefault="00B50EA9" w:rsidP="00B50EA9">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sz w:val="24"/>
                <w:szCs w:val="24"/>
              </w:rPr>
              <w:t>Nav.</w:t>
            </w:r>
          </w:p>
        </w:tc>
      </w:tr>
    </w:tbl>
    <w:p w14:paraId="3803CE5D" w14:textId="45BA7FF7" w:rsidR="00E5323B" w:rsidRDefault="00E5323B" w:rsidP="00894C55">
      <w:pPr>
        <w:spacing w:after="0" w:line="240" w:lineRule="auto"/>
        <w:rPr>
          <w:rFonts w:ascii="Times New Roman" w:hAnsi="Times New Roman" w:cs="Times New Roman"/>
          <w:sz w:val="24"/>
          <w:szCs w:val="24"/>
        </w:rPr>
      </w:pPr>
    </w:p>
    <w:p w14:paraId="1ECBFC27" w14:textId="77777777" w:rsidR="002C3F43" w:rsidRPr="00D01A69" w:rsidRDefault="002C3F43" w:rsidP="00894C55">
      <w:pPr>
        <w:spacing w:after="0" w:line="240" w:lineRule="auto"/>
        <w:rPr>
          <w:rFonts w:ascii="Times New Roman" w:hAnsi="Times New Roman" w:cs="Times New Roman"/>
          <w:sz w:val="24"/>
          <w:szCs w:val="24"/>
        </w:rPr>
      </w:pPr>
    </w:p>
    <w:p w14:paraId="5581974A" w14:textId="3DDAF767" w:rsidR="00B50EA9" w:rsidRDefault="001157FB" w:rsidP="002C3F43">
      <w:pPr>
        <w:pStyle w:val="Heading1"/>
        <w:ind w:right="-666"/>
        <w:jc w:val="both"/>
        <w:rPr>
          <w:sz w:val="24"/>
          <w:szCs w:val="24"/>
        </w:rPr>
      </w:pPr>
      <w:r>
        <w:rPr>
          <w:sz w:val="24"/>
          <w:szCs w:val="24"/>
        </w:rPr>
        <w:t>E</w:t>
      </w:r>
      <w:r w:rsidR="00B50EA9" w:rsidRPr="00D01A69">
        <w:rPr>
          <w:sz w:val="24"/>
          <w:szCs w:val="24"/>
        </w:rPr>
        <w:t>konomikas ministrs</w:t>
      </w:r>
      <w:r w:rsidR="00B50EA9" w:rsidRPr="00D01A69">
        <w:rPr>
          <w:sz w:val="24"/>
          <w:szCs w:val="24"/>
        </w:rPr>
        <w:tab/>
      </w:r>
      <w:r w:rsidR="00B50EA9" w:rsidRPr="00D01A69">
        <w:rPr>
          <w:sz w:val="24"/>
          <w:szCs w:val="24"/>
        </w:rPr>
        <w:tab/>
        <w:t xml:space="preserve">          </w:t>
      </w:r>
      <w:r w:rsidR="008F78AD">
        <w:rPr>
          <w:sz w:val="24"/>
          <w:szCs w:val="24"/>
        </w:rPr>
        <w:tab/>
        <w:t xml:space="preserve">     </w:t>
      </w:r>
      <w:r>
        <w:rPr>
          <w:sz w:val="24"/>
          <w:szCs w:val="24"/>
        </w:rPr>
        <w:tab/>
      </w:r>
      <w:r>
        <w:rPr>
          <w:sz w:val="24"/>
          <w:szCs w:val="24"/>
        </w:rPr>
        <w:tab/>
      </w:r>
      <w:r>
        <w:rPr>
          <w:sz w:val="24"/>
          <w:szCs w:val="24"/>
        </w:rPr>
        <w:tab/>
      </w:r>
      <w:r>
        <w:rPr>
          <w:sz w:val="24"/>
          <w:szCs w:val="24"/>
        </w:rPr>
        <w:tab/>
        <w:t xml:space="preserve">    </w:t>
      </w:r>
      <w:r w:rsidR="00B50EA9" w:rsidRPr="00D01A69">
        <w:rPr>
          <w:sz w:val="24"/>
          <w:szCs w:val="24"/>
        </w:rPr>
        <w:t>R. </w:t>
      </w:r>
      <w:proofErr w:type="spellStart"/>
      <w:r w:rsidR="00B50EA9" w:rsidRPr="00D01A69">
        <w:rPr>
          <w:sz w:val="24"/>
          <w:szCs w:val="24"/>
        </w:rPr>
        <w:t>Nemiro</w:t>
      </w:r>
      <w:proofErr w:type="spellEnd"/>
    </w:p>
    <w:p w14:paraId="00EAAB4E" w14:textId="77777777" w:rsidR="002C3F43" w:rsidRPr="002C3F43" w:rsidRDefault="002C3F43" w:rsidP="002C3F43">
      <w:pPr>
        <w:rPr>
          <w:lang w:eastAsia="lv-LV"/>
        </w:rPr>
      </w:pPr>
    </w:p>
    <w:p w14:paraId="72296730" w14:textId="77777777" w:rsidR="001157FB" w:rsidRDefault="00B50EA9" w:rsidP="002C3F43">
      <w:pPr>
        <w:ind w:right="-666"/>
        <w:rPr>
          <w:rFonts w:ascii="Times New Roman" w:hAnsi="Times New Roman" w:cs="Times New Roman"/>
          <w:bCs/>
          <w:sz w:val="24"/>
          <w:szCs w:val="24"/>
        </w:rPr>
      </w:pPr>
      <w:r w:rsidRPr="00D01A69">
        <w:rPr>
          <w:rFonts w:ascii="Times New Roman" w:hAnsi="Times New Roman" w:cs="Times New Roman"/>
          <w:bCs/>
          <w:sz w:val="24"/>
          <w:szCs w:val="24"/>
        </w:rPr>
        <w:t>Vīza:</w:t>
      </w:r>
    </w:p>
    <w:p w14:paraId="50D38A87" w14:textId="1452077B" w:rsidR="00B50EA9" w:rsidRPr="002C3F43" w:rsidRDefault="00B50EA9" w:rsidP="002C3F43">
      <w:pPr>
        <w:ind w:right="-666"/>
        <w:rPr>
          <w:rFonts w:ascii="Times New Roman" w:hAnsi="Times New Roman" w:cs="Times New Roman"/>
          <w:bCs/>
          <w:sz w:val="24"/>
          <w:szCs w:val="24"/>
        </w:rPr>
      </w:pPr>
      <w:r w:rsidRPr="00D01A69">
        <w:rPr>
          <w:rFonts w:ascii="Times New Roman" w:hAnsi="Times New Roman" w:cs="Times New Roman"/>
          <w:bCs/>
          <w:sz w:val="24"/>
          <w:szCs w:val="24"/>
        </w:rPr>
        <w:t xml:space="preserve">Valsts sekretārs </w:t>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t xml:space="preserve">     Ē. Eglītis</w:t>
      </w:r>
      <w:r w:rsidRPr="00D01A69">
        <w:rPr>
          <w:rFonts w:ascii="Times New Roman" w:hAnsi="Times New Roman" w:cs="Times New Roman"/>
          <w:bCs/>
          <w:sz w:val="24"/>
          <w:szCs w:val="24"/>
        </w:rPr>
        <w:tab/>
        <w:t xml:space="preserve">                </w:t>
      </w:r>
    </w:p>
    <w:p w14:paraId="5E764258" w14:textId="77777777" w:rsidR="00B50EA9" w:rsidRPr="00D01A69" w:rsidRDefault="00B50EA9" w:rsidP="00B50EA9">
      <w:pPr>
        <w:pStyle w:val="naisf"/>
        <w:spacing w:before="0" w:after="0"/>
        <w:ind w:firstLine="720"/>
      </w:pPr>
    </w:p>
    <w:p w14:paraId="79DC19FC" w14:textId="77777777" w:rsidR="00B50EA9" w:rsidRPr="00923E07" w:rsidRDefault="00B50EA9" w:rsidP="00B50EA9">
      <w:pPr>
        <w:pStyle w:val="naisf"/>
        <w:tabs>
          <w:tab w:val="left" w:pos="0"/>
        </w:tabs>
        <w:spacing w:before="0" w:after="0"/>
        <w:ind w:firstLine="0"/>
        <w:rPr>
          <w:sz w:val="20"/>
          <w:szCs w:val="20"/>
        </w:rPr>
      </w:pPr>
      <w:proofErr w:type="spellStart"/>
      <w:r w:rsidRPr="00923E07">
        <w:rPr>
          <w:sz w:val="20"/>
          <w:szCs w:val="20"/>
        </w:rPr>
        <w:t>K.Grabe</w:t>
      </w:r>
      <w:proofErr w:type="spellEnd"/>
      <w:r w:rsidRPr="00923E07">
        <w:rPr>
          <w:sz w:val="20"/>
          <w:szCs w:val="20"/>
        </w:rPr>
        <w:t>, 67013014</w:t>
      </w:r>
    </w:p>
    <w:p w14:paraId="0BDDC798" w14:textId="394BC2F6" w:rsidR="00B50EA9" w:rsidRPr="00923E07" w:rsidRDefault="00700D1C" w:rsidP="00B50EA9">
      <w:pPr>
        <w:pStyle w:val="naisf"/>
        <w:tabs>
          <w:tab w:val="left" w:pos="0"/>
        </w:tabs>
        <w:spacing w:before="0" w:after="0"/>
        <w:ind w:firstLine="0"/>
        <w:rPr>
          <w:sz w:val="20"/>
          <w:szCs w:val="20"/>
        </w:rPr>
      </w:pPr>
      <w:hyperlink r:id="rId7" w:history="1">
        <w:r w:rsidR="00243C97" w:rsidRPr="00923E07">
          <w:rPr>
            <w:rStyle w:val="Hyperlink"/>
            <w:sz w:val="20"/>
            <w:szCs w:val="20"/>
          </w:rPr>
          <w:t>Kristine.Grabe@em.gov.lv</w:t>
        </w:r>
      </w:hyperlink>
    </w:p>
    <w:p w14:paraId="563ECD30" w14:textId="77777777" w:rsidR="00894C55" w:rsidRPr="00D01A69" w:rsidRDefault="00894C55" w:rsidP="00B50EA9">
      <w:pPr>
        <w:tabs>
          <w:tab w:val="left" w:pos="6237"/>
        </w:tabs>
        <w:spacing w:after="0" w:line="240" w:lineRule="auto"/>
        <w:ind w:firstLine="720"/>
        <w:rPr>
          <w:rFonts w:ascii="Times New Roman" w:hAnsi="Times New Roman" w:cs="Times New Roman"/>
          <w:sz w:val="24"/>
          <w:szCs w:val="24"/>
        </w:rPr>
      </w:pPr>
    </w:p>
    <w:sectPr w:rsidR="00894C55" w:rsidRPr="00D01A6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2A9E2" w14:textId="77777777" w:rsidR="00700D1C" w:rsidRDefault="00700D1C" w:rsidP="00894C55">
      <w:pPr>
        <w:spacing w:after="0" w:line="240" w:lineRule="auto"/>
      </w:pPr>
      <w:r>
        <w:separator/>
      </w:r>
    </w:p>
  </w:endnote>
  <w:endnote w:type="continuationSeparator" w:id="0">
    <w:p w14:paraId="251ADB06" w14:textId="77777777" w:rsidR="00700D1C" w:rsidRDefault="00700D1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89A4" w14:textId="4482920D" w:rsidR="00894C55" w:rsidRPr="00894C55" w:rsidRDefault="00256F05">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Pr>
        <w:rFonts w:ascii="Times New Roman" w:hAnsi="Times New Roman" w:cs="Times New Roman"/>
        <w:sz w:val="20"/>
        <w:szCs w:val="20"/>
      </w:rPr>
      <w:t>18112019</w:t>
    </w:r>
    <w:r w:rsidR="009A2654">
      <w:rPr>
        <w:rFonts w:ascii="Times New Roman" w:hAnsi="Times New Roman" w:cs="Times New Roman"/>
        <w:sz w:val="20"/>
        <w:szCs w:val="20"/>
      </w:rPr>
      <w:t>_</w:t>
    </w:r>
    <w:r>
      <w:rPr>
        <w:rFonts w:ascii="Times New Roman" w:hAnsi="Times New Roman" w:cs="Times New Roman"/>
        <w:sz w:val="20"/>
        <w:szCs w:val="20"/>
      </w:rPr>
      <w:t>rotaļlietas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A953" w14:textId="77777777"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222D2" w14:textId="77777777" w:rsidR="00700D1C" w:rsidRDefault="00700D1C" w:rsidP="00894C55">
      <w:pPr>
        <w:spacing w:after="0" w:line="240" w:lineRule="auto"/>
      </w:pPr>
      <w:r>
        <w:separator/>
      </w:r>
    </w:p>
  </w:footnote>
  <w:footnote w:type="continuationSeparator" w:id="0">
    <w:p w14:paraId="3DF8CC89" w14:textId="77777777" w:rsidR="00700D1C" w:rsidRDefault="00700D1C" w:rsidP="00894C55">
      <w:pPr>
        <w:spacing w:after="0" w:line="240" w:lineRule="auto"/>
      </w:pPr>
      <w:r>
        <w:continuationSeparator/>
      </w:r>
    </w:p>
  </w:footnote>
  <w:footnote w:id="1">
    <w:p w14:paraId="082DC9AF" w14:textId="0A41FD3A" w:rsidR="00136FC2" w:rsidRPr="000B4E6A" w:rsidRDefault="00136FC2" w:rsidP="000B4E6A">
      <w:pPr>
        <w:pStyle w:val="FootnoteText"/>
        <w:jc w:val="both"/>
        <w:rPr>
          <w:rFonts w:ascii="Times New Roman" w:hAnsi="Times New Roman" w:cs="Times New Roman"/>
        </w:rPr>
      </w:pPr>
      <w:r w:rsidRPr="002C3F43">
        <w:rPr>
          <w:rStyle w:val="FootnoteReference"/>
          <w:rFonts w:ascii="Times New Roman" w:hAnsi="Times New Roman" w:cs="Times New Roman"/>
        </w:rPr>
        <w:footnoteRef/>
      </w:r>
      <w:r w:rsidRPr="002C3F43">
        <w:rPr>
          <w:rFonts w:ascii="Times New Roman" w:hAnsi="Times New Roman" w:cs="Times New Roman"/>
        </w:rPr>
        <w:t xml:space="preserve"> Toksikoloģijas, </w:t>
      </w:r>
      <w:proofErr w:type="spellStart"/>
      <w:r w:rsidRPr="002C3F43">
        <w:rPr>
          <w:rFonts w:ascii="Times New Roman" w:hAnsi="Times New Roman" w:cs="Times New Roman"/>
        </w:rPr>
        <w:t>ekotoksikoloģijas</w:t>
      </w:r>
      <w:proofErr w:type="spellEnd"/>
      <w:r w:rsidRPr="002C3F43">
        <w:rPr>
          <w:rFonts w:ascii="Times New Roman" w:hAnsi="Times New Roman" w:cs="Times New Roman"/>
        </w:rPr>
        <w:t xml:space="preserve"> un vides zinātniskā komiteja (</w:t>
      </w:r>
      <w:r w:rsidRPr="002C3F43">
        <w:rPr>
          <w:rStyle w:val="italic"/>
          <w:rFonts w:ascii="Times New Roman" w:hAnsi="Times New Roman" w:cs="Times New Roman"/>
        </w:rPr>
        <w:t>CSTEE</w:t>
      </w:r>
      <w:r w:rsidRPr="002C3F43">
        <w:rPr>
          <w:rFonts w:ascii="Times New Roman" w:hAnsi="Times New Roman" w:cs="Times New Roman"/>
        </w:rPr>
        <w:t xml:space="preserve">). Atzinums </w:t>
      </w:r>
      <w:proofErr w:type="spellStart"/>
      <w:r w:rsidRPr="002C3F43">
        <w:rPr>
          <w:rStyle w:val="italic"/>
          <w:rFonts w:ascii="Times New Roman" w:hAnsi="Times New Roman" w:cs="Times New Roman"/>
        </w:rPr>
        <w:t>Assessment</w:t>
      </w:r>
      <w:proofErr w:type="spellEnd"/>
      <w:r w:rsidRPr="002C3F43">
        <w:rPr>
          <w:rStyle w:val="italic"/>
          <w:rFonts w:ascii="Times New Roman" w:hAnsi="Times New Roman" w:cs="Times New Roman"/>
        </w:rPr>
        <w:t xml:space="preserve"> </w:t>
      </w:r>
      <w:proofErr w:type="spellStart"/>
      <w:r w:rsidRPr="002C3F43">
        <w:rPr>
          <w:rStyle w:val="italic"/>
          <w:rFonts w:ascii="Times New Roman" w:hAnsi="Times New Roman" w:cs="Times New Roman"/>
        </w:rPr>
        <w:t>of</w:t>
      </w:r>
      <w:proofErr w:type="spellEnd"/>
      <w:r w:rsidRPr="002C3F43">
        <w:rPr>
          <w:rStyle w:val="italic"/>
          <w:rFonts w:ascii="Times New Roman" w:hAnsi="Times New Roman" w:cs="Times New Roman"/>
        </w:rPr>
        <w:t xml:space="preserve"> </w:t>
      </w:r>
      <w:proofErr w:type="spellStart"/>
      <w:r w:rsidRPr="002C3F43">
        <w:rPr>
          <w:rStyle w:val="italic"/>
          <w:rFonts w:ascii="Times New Roman" w:hAnsi="Times New Roman" w:cs="Times New Roman"/>
        </w:rPr>
        <w:t>the</w:t>
      </w:r>
      <w:proofErr w:type="spellEnd"/>
      <w:r w:rsidRPr="002C3F43">
        <w:rPr>
          <w:rStyle w:val="italic"/>
          <w:rFonts w:ascii="Times New Roman" w:hAnsi="Times New Roman" w:cs="Times New Roman"/>
        </w:rPr>
        <w:t xml:space="preserve"> </w:t>
      </w:r>
      <w:proofErr w:type="spellStart"/>
      <w:r w:rsidRPr="002C3F43">
        <w:rPr>
          <w:rStyle w:val="italic"/>
          <w:rFonts w:ascii="Times New Roman" w:hAnsi="Times New Roman" w:cs="Times New Roman"/>
        </w:rPr>
        <w:t>bioavailability</w:t>
      </w:r>
      <w:proofErr w:type="spellEnd"/>
      <w:r w:rsidRPr="002C3F43">
        <w:rPr>
          <w:rStyle w:val="italic"/>
          <w:rFonts w:ascii="Times New Roman" w:hAnsi="Times New Roman" w:cs="Times New Roman"/>
        </w:rPr>
        <w:t xml:space="preserve"> </w:t>
      </w:r>
      <w:proofErr w:type="spellStart"/>
      <w:r w:rsidRPr="002C3F43">
        <w:rPr>
          <w:rStyle w:val="italic"/>
          <w:rFonts w:ascii="Times New Roman" w:hAnsi="Times New Roman" w:cs="Times New Roman"/>
        </w:rPr>
        <w:t>of</w:t>
      </w:r>
      <w:proofErr w:type="spellEnd"/>
      <w:r w:rsidRPr="002C3F43">
        <w:rPr>
          <w:rStyle w:val="italic"/>
          <w:rFonts w:ascii="Times New Roman" w:hAnsi="Times New Roman" w:cs="Times New Roman"/>
        </w:rPr>
        <w:t xml:space="preserve"> </w:t>
      </w:r>
      <w:proofErr w:type="spellStart"/>
      <w:r w:rsidRPr="002C3F43">
        <w:rPr>
          <w:rStyle w:val="italic"/>
          <w:rFonts w:ascii="Times New Roman" w:hAnsi="Times New Roman" w:cs="Times New Roman"/>
        </w:rPr>
        <w:t>certain</w:t>
      </w:r>
      <w:proofErr w:type="spellEnd"/>
      <w:r w:rsidRPr="002C3F43">
        <w:rPr>
          <w:rStyle w:val="italic"/>
          <w:rFonts w:ascii="Times New Roman" w:hAnsi="Times New Roman" w:cs="Times New Roman"/>
        </w:rPr>
        <w:t xml:space="preserve"> elements </w:t>
      </w:r>
      <w:proofErr w:type="spellStart"/>
      <w:r w:rsidRPr="002C3F43">
        <w:rPr>
          <w:rStyle w:val="italic"/>
          <w:rFonts w:ascii="Times New Roman" w:hAnsi="Times New Roman" w:cs="Times New Roman"/>
        </w:rPr>
        <w:t>in</w:t>
      </w:r>
      <w:proofErr w:type="spellEnd"/>
      <w:r w:rsidRPr="002C3F43">
        <w:rPr>
          <w:rStyle w:val="italic"/>
          <w:rFonts w:ascii="Times New Roman" w:hAnsi="Times New Roman" w:cs="Times New Roman"/>
        </w:rPr>
        <w:t xml:space="preserve"> </w:t>
      </w:r>
      <w:proofErr w:type="spellStart"/>
      <w:r w:rsidRPr="002C3F43">
        <w:rPr>
          <w:rStyle w:val="italic"/>
          <w:rFonts w:ascii="Times New Roman" w:hAnsi="Times New Roman" w:cs="Times New Roman"/>
        </w:rPr>
        <w:t>toys</w:t>
      </w:r>
      <w:proofErr w:type="spellEnd"/>
      <w:r w:rsidRPr="002C3F43">
        <w:rPr>
          <w:rFonts w:ascii="Times New Roman" w:hAnsi="Times New Roman" w:cs="Times New Roman"/>
        </w:rPr>
        <w:t xml:space="preserve">. Pieņemts 2004. gada 22. jūnijā. </w:t>
      </w:r>
      <w:r w:rsidR="00D624E2" w:rsidRPr="002C3F43">
        <w:rPr>
          <w:rFonts w:ascii="Times New Roman" w:hAnsi="Times New Roman" w:cs="Times New Roman"/>
        </w:rPr>
        <w:t>https://ec.europa.eu/health/archive/ph_risk/committees/sct/documents/out235_en.pdf</w:t>
      </w:r>
    </w:p>
  </w:footnote>
  <w:footnote w:id="2">
    <w:p w14:paraId="62E9D039" w14:textId="33276472" w:rsidR="00136FC2" w:rsidRPr="002C3F43" w:rsidRDefault="00136FC2" w:rsidP="000B4E6A">
      <w:pPr>
        <w:pStyle w:val="FootnoteText"/>
        <w:jc w:val="both"/>
        <w:rPr>
          <w:rFonts w:ascii="Times New Roman" w:hAnsi="Times New Roman" w:cs="Times New Roman"/>
        </w:rPr>
      </w:pPr>
      <w:r w:rsidRPr="002C3F43">
        <w:rPr>
          <w:rStyle w:val="FootnoteReference"/>
          <w:rFonts w:ascii="Times New Roman" w:hAnsi="Times New Roman" w:cs="Times New Roman"/>
        </w:rPr>
        <w:footnoteRef/>
      </w:r>
      <w:r w:rsidRPr="002C3F43">
        <w:rPr>
          <w:rFonts w:ascii="Times New Roman" w:hAnsi="Times New Roman" w:cs="Times New Roman"/>
        </w:rPr>
        <w:t xml:space="preserve"> Komisijas Ekspertu grupu reģistrs, Rotaļlietu drošuma ekspertu grupa (E01360). </w:t>
      </w:r>
      <w:r w:rsidR="00117454" w:rsidRPr="002C3F43">
        <w:rPr>
          <w:rFonts w:ascii="Times New Roman" w:hAnsi="Times New Roman" w:cs="Times New Roman"/>
        </w:rPr>
        <w:t>http://ec.europa.eu/transparency/regexpert/index.cfm?do=groupDetail.groupDetail&amp;groupID=1360</w:t>
      </w:r>
    </w:p>
  </w:footnote>
  <w:footnote w:id="3">
    <w:p w14:paraId="2E4F8112" w14:textId="4F9990A0" w:rsidR="000B4E6A" w:rsidRPr="009E24AF" w:rsidRDefault="000B4E6A" w:rsidP="000B4E6A">
      <w:pPr>
        <w:pStyle w:val="FootnoteText"/>
        <w:jc w:val="both"/>
        <w:rPr>
          <w:rFonts w:ascii="Times New Roman" w:hAnsi="Times New Roman" w:cs="Times New Roman"/>
        </w:rPr>
      </w:pPr>
      <w:r w:rsidRPr="002C3F43">
        <w:rPr>
          <w:rStyle w:val="FootnoteReference"/>
          <w:rFonts w:ascii="Times New Roman" w:hAnsi="Times New Roman" w:cs="Times New Roman"/>
        </w:rPr>
        <w:footnoteRef/>
      </w:r>
      <w:r w:rsidRPr="002C3F43">
        <w:rPr>
          <w:rFonts w:ascii="Times New Roman" w:hAnsi="Times New Roman" w:cs="Times New Roman"/>
        </w:rPr>
        <w:t xml:space="preserve"> Veselības un vides apdraudējuma zinātniskā komiteja (</w:t>
      </w:r>
      <w:r w:rsidRPr="002C3F43">
        <w:rPr>
          <w:rStyle w:val="italic"/>
          <w:rFonts w:ascii="Times New Roman" w:hAnsi="Times New Roman" w:cs="Times New Roman"/>
        </w:rPr>
        <w:t>SCHER</w:t>
      </w:r>
      <w:r w:rsidRPr="002C3F43">
        <w:rPr>
          <w:rFonts w:ascii="Times New Roman" w:hAnsi="Times New Roman" w:cs="Times New Roman"/>
        </w:rPr>
        <w:t>), atzinums “Hroms (VI) rotaļlietās”. Pieņemts 2015. gada 22. janvārī.</w:t>
      </w:r>
      <w:r w:rsidR="009E24AF" w:rsidRPr="002C3F43">
        <w:rPr>
          <w:rFonts w:ascii="Times New Roman" w:hAnsi="Times New Roman" w:cs="Times New Roman"/>
        </w:rPr>
        <w:t xml:space="preserve"> </w:t>
      </w:r>
      <w:r w:rsidR="004C3759" w:rsidRPr="002C3F43">
        <w:rPr>
          <w:rFonts w:ascii="Times New Roman" w:hAnsi="Times New Roman" w:cs="Times New Roman"/>
        </w:rPr>
        <w:t>https://publications.europa.eu/en/publication-detail/-/publication/cb804ad3-7ff0-491c-a6e0-050ddb900a77/language-en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8286C34"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6609"/>
    <w:rsid w:val="00033D20"/>
    <w:rsid w:val="000B4E6A"/>
    <w:rsid w:val="000D6859"/>
    <w:rsid w:val="00110EF7"/>
    <w:rsid w:val="001157FB"/>
    <w:rsid w:val="00117454"/>
    <w:rsid w:val="00136FC2"/>
    <w:rsid w:val="00152523"/>
    <w:rsid w:val="001663FF"/>
    <w:rsid w:val="001A0D1D"/>
    <w:rsid w:val="001A0F2B"/>
    <w:rsid w:val="001B3AC9"/>
    <w:rsid w:val="001D3C8B"/>
    <w:rsid w:val="001F3C13"/>
    <w:rsid w:val="00243426"/>
    <w:rsid w:val="00243C97"/>
    <w:rsid w:val="00256F05"/>
    <w:rsid w:val="002B3418"/>
    <w:rsid w:val="002C3F43"/>
    <w:rsid w:val="002C58A4"/>
    <w:rsid w:val="002D6EE9"/>
    <w:rsid w:val="002E1C05"/>
    <w:rsid w:val="002E7B20"/>
    <w:rsid w:val="00373A41"/>
    <w:rsid w:val="003B0BF9"/>
    <w:rsid w:val="003B2A8F"/>
    <w:rsid w:val="003E0791"/>
    <w:rsid w:val="003F1136"/>
    <w:rsid w:val="003F28AC"/>
    <w:rsid w:val="0040738D"/>
    <w:rsid w:val="00427B45"/>
    <w:rsid w:val="00437F0D"/>
    <w:rsid w:val="004454FE"/>
    <w:rsid w:val="00446683"/>
    <w:rsid w:val="00447C78"/>
    <w:rsid w:val="00456E40"/>
    <w:rsid w:val="00460785"/>
    <w:rsid w:val="00471F27"/>
    <w:rsid w:val="00473BE1"/>
    <w:rsid w:val="00494979"/>
    <w:rsid w:val="004C3759"/>
    <w:rsid w:val="004D5066"/>
    <w:rsid w:val="0050178F"/>
    <w:rsid w:val="0056065D"/>
    <w:rsid w:val="005E1EF4"/>
    <w:rsid w:val="005E27BD"/>
    <w:rsid w:val="005F1078"/>
    <w:rsid w:val="00604AD9"/>
    <w:rsid w:val="00655F2C"/>
    <w:rsid w:val="006B63AA"/>
    <w:rsid w:val="006D4CEA"/>
    <w:rsid w:val="006E1081"/>
    <w:rsid w:val="006E1745"/>
    <w:rsid w:val="00700D1C"/>
    <w:rsid w:val="00705D53"/>
    <w:rsid w:val="00720585"/>
    <w:rsid w:val="00734621"/>
    <w:rsid w:val="00746242"/>
    <w:rsid w:val="00773AF6"/>
    <w:rsid w:val="00783B6C"/>
    <w:rsid w:val="00795F71"/>
    <w:rsid w:val="007A42CB"/>
    <w:rsid w:val="007B4EF1"/>
    <w:rsid w:val="007C7B8F"/>
    <w:rsid w:val="007E5F7A"/>
    <w:rsid w:val="007E73AB"/>
    <w:rsid w:val="007E7524"/>
    <w:rsid w:val="00816C11"/>
    <w:rsid w:val="008314DA"/>
    <w:rsid w:val="008541D3"/>
    <w:rsid w:val="00894C55"/>
    <w:rsid w:val="008F78AD"/>
    <w:rsid w:val="009119B5"/>
    <w:rsid w:val="00923E07"/>
    <w:rsid w:val="00936DC4"/>
    <w:rsid w:val="009A2654"/>
    <w:rsid w:val="009B70B6"/>
    <w:rsid w:val="009C526B"/>
    <w:rsid w:val="009C7C7D"/>
    <w:rsid w:val="009E24AF"/>
    <w:rsid w:val="00A10FC3"/>
    <w:rsid w:val="00A15E52"/>
    <w:rsid w:val="00A6073E"/>
    <w:rsid w:val="00A67F73"/>
    <w:rsid w:val="00A83221"/>
    <w:rsid w:val="00A90EFB"/>
    <w:rsid w:val="00A91315"/>
    <w:rsid w:val="00A96779"/>
    <w:rsid w:val="00AC3911"/>
    <w:rsid w:val="00AD7308"/>
    <w:rsid w:val="00AE5567"/>
    <w:rsid w:val="00AF1239"/>
    <w:rsid w:val="00B16480"/>
    <w:rsid w:val="00B2165C"/>
    <w:rsid w:val="00B50EA9"/>
    <w:rsid w:val="00BA20AA"/>
    <w:rsid w:val="00BA7B96"/>
    <w:rsid w:val="00BB055C"/>
    <w:rsid w:val="00BB316D"/>
    <w:rsid w:val="00BC460D"/>
    <w:rsid w:val="00BD4425"/>
    <w:rsid w:val="00BE3B46"/>
    <w:rsid w:val="00C13F6A"/>
    <w:rsid w:val="00C25B49"/>
    <w:rsid w:val="00C609A7"/>
    <w:rsid w:val="00C735F6"/>
    <w:rsid w:val="00CC0D2D"/>
    <w:rsid w:val="00CD5401"/>
    <w:rsid w:val="00CE5657"/>
    <w:rsid w:val="00D01A69"/>
    <w:rsid w:val="00D133F8"/>
    <w:rsid w:val="00D14A3E"/>
    <w:rsid w:val="00D603A4"/>
    <w:rsid w:val="00D624E2"/>
    <w:rsid w:val="00D6461C"/>
    <w:rsid w:val="00DC71FB"/>
    <w:rsid w:val="00E04DF2"/>
    <w:rsid w:val="00E063DC"/>
    <w:rsid w:val="00E06D54"/>
    <w:rsid w:val="00E225B2"/>
    <w:rsid w:val="00E3716B"/>
    <w:rsid w:val="00E50F7C"/>
    <w:rsid w:val="00E5323B"/>
    <w:rsid w:val="00E8749E"/>
    <w:rsid w:val="00E90C01"/>
    <w:rsid w:val="00EA1124"/>
    <w:rsid w:val="00EA486E"/>
    <w:rsid w:val="00EB766F"/>
    <w:rsid w:val="00EC6DC3"/>
    <w:rsid w:val="00ED1507"/>
    <w:rsid w:val="00ED66F0"/>
    <w:rsid w:val="00F14B3E"/>
    <w:rsid w:val="00F24D65"/>
    <w:rsid w:val="00F45E71"/>
    <w:rsid w:val="00F57B0C"/>
    <w:rsid w:val="00FA5C87"/>
    <w:rsid w:val="00FC02F7"/>
    <w:rsid w:val="00FD0EC0"/>
    <w:rsid w:val="00FD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7648AAC"/>
  <w15:docId w15:val="{766F2F4D-246E-4F35-B48A-C3725DAD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0EA9"/>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lab">
    <w:name w:val="naislab"/>
    <w:basedOn w:val="Normal"/>
    <w:rsid w:val="00026609"/>
    <w:pPr>
      <w:spacing w:before="75" w:after="75" w:line="240" w:lineRule="auto"/>
      <w:jc w:val="right"/>
    </w:pPr>
    <w:rPr>
      <w:rFonts w:ascii="Times New Roman" w:eastAsia="Times New Roman" w:hAnsi="Times New Roman" w:cs="Times New Roman"/>
      <w:color w:val="000000"/>
      <w:sz w:val="24"/>
      <w:szCs w:val="24"/>
      <w:lang w:eastAsia="lv-LV"/>
    </w:rPr>
  </w:style>
  <w:style w:type="paragraph" w:customStyle="1" w:styleId="naisf">
    <w:name w:val="naisf"/>
    <w:basedOn w:val="Normal"/>
    <w:rsid w:val="00BE3B46"/>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NormalWeb">
    <w:name w:val="Normal (Web)"/>
    <w:basedOn w:val="Normal"/>
    <w:uiPriority w:val="99"/>
    <w:unhideWhenUsed/>
    <w:rsid w:val="00B50EA9"/>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customStyle="1" w:styleId="naisnod">
    <w:name w:val="naisnod"/>
    <w:basedOn w:val="Normal"/>
    <w:rsid w:val="00B50EA9"/>
    <w:pPr>
      <w:spacing w:before="150" w:after="150" w:line="240" w:lineRule="auto"/>
      <w:jc w:val="center"/>
    </w:pPr>
    <w:rPr>
      <w:rFonts w:ascii="Times New Roman" w:eastAsia="Times New Roman" w:hAnsi="Times New Roman" w:cs="Times New Roman"/>
      <w:b/>
      <w:bCs/>
      <w:color w:val="000000"/>
      <w:sz w:val="24"/>
      <w:szCs w:val="24"/>
      <w:lang w:eastAsia="lv-LV"/>
    </w:rPr>
  </w:style>
  <w:style w:type="character" w:customStyle="1" w:styleId="Heading1Char">
    <w:name w:val="Heading 1 Char"/>
    <w:basedOn w:val="DefaultParagraphFont"/>
    <w:link w:val="Heading1"/>
    <w:rsid w:val="00B50EA9"/>
    <w:rPr>
      <w:rFonts w:ascii="Times New Roman" w:eastAsia="Times New Roman" w:hAnsi="Times New Roman" w:cs="Times New Roman"/>
      <w:sz w:val="28"/>
      <w:szCs w:val="20"/>
      <w:lang w:eastAsia="lv-LV"/>
    </w:rPr>
  </w:style>
  <w:style w:type="character" w:styleId="UnresolvedMention">
    <w:name w:val="Unresolved Mention"/>
    <w:basedOn w:val="DefaultParagraphFont"/>
    <w:uiPriority w:val="99"/>
    <w:semiHidden/>
    <w:unhideWhenUsed/>
    <w:rsid w:val="00243C97"/>
    <w:rPr>
      <w:color w:val="605E5C"/>
      <w:shd w:val="clear" w:color="auto" w:fill="E1DFDD"/>
    </w:rPr>
  </w:style>
  <w:style w:type="character" w:customStyle="1" w:styleId="italic">
    <w:name w:val="italic"/>
    <w:basedOn w:val="DefaultParagraphFont"/>
    <w:rsid w:val="00FC02F7"/>
  </w:style>
  <w:style w:type="character" w:customStyle="1" w:styleId="super">
    <w:name w:val="super"/>
    <w:basedOn w:val="DefaultParagraphFont"/>
    <w:rsid w:val="00A96779"/>
  </w:style>
  <w:style w:type="paragraph" w:customStyle="1" w:styleId="Normal1">
    <w:name w:val="Normal1"/>
    <w:basedOn w:val="Normal"/>
    <w:rsid w:val="00A9677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D5401"/>
    <w:pPr>
      <w:spacing w:after="0" w:line="240" w:lineRule="auto"/>
    </w:pPr>
  </w:style>
  <w:style w:type="paragraph" w:styleId="FootnoteText">
    <w:name w:val="footnote text"/>
    <w:basedOn w:val="Normal"/>
    <w:link w:val="FootnoteTextChar"/>
    <w:uiPriority w:val="99"/>
    <w:semiHidden/>
    <w:unhideWhenUsed/>
    <w:rsid w:val="00604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AD9"/>
    <w:rPr>
      <w:sz w:val="20"/>
      <w:szCs w:val="20"/>
    </w:rPr>
  </w:style>
  <w:style w:type="character" w:styleId="FootnoteReference">
    <w:name w:val="footnote reference"/>
    <w:basedOn w:val="DefaultParagraphFont"/>
    <w:uiPriority w:val="99"/>
    <w:semiHidden/>
    <w:unhideWhenUsed/>
    <w:rsid w:val="00604AD9"/>
    <w:rPr>
      <w:vertAlign w:val="superscript"/>
    </w:rPr>
  </w:style>
  <w:style w:type="character" w:styleId="CommentReference">
    <w:name w:val="annotation reference"/>
    <w:basedOn w:val="DefaultParagraphFont"/>
    <w:uiPriority w:val="99"/>
    <w:semiHidden/>
    <w:unhideWhenUsed/>
    <w:rsid w:val="008F78AD"/>
    <w:rPr>
      <w:sz w:val="16"/>
      <w:szCs w:val="16"/>
    </w:rPr>
  </w:style>
  <w:style w:type="paragraph" w:styleId="CommentText">
    <w:name w:val="annotation text"/>
    <w:basedOn w:val="Normal"/>
    <w:link w:val="CommentTextChar"/>
    <w:uiPriority w:val="99"/>
    <w:semiHidden/>
    <w:unhideWhenUsed/>
    <w:rsid w:val="008F78AD"/>
    <w:pPr>
      <w:spacing w:line="240" w:lineRule="auto"/>
    </w:pPr>
    <w:rPr>
      <w:sz w:val="20"/>
      <w:szCs w:val="20"/>
    </w:rPr>
  </w:style>
  <w:style w:type="character" w:customStyle="1" w:styleId="CommentTextChar">
    <w:name w:val="Comment Text Char"/>
    <w:basedOn w:val="DefaultParagraphFont"/>
    <w:link w:val="CommentText"/>
    <w:uiPriority w:val="99"/>
    <w:semiHidden/>
    <w:rsid w:val="008F78AD"/>
    <w:rPr>
      <w:sz w:val="20"/>
      <w:szCs w:val="20"/>
    </w:rPr>
  </w:style>
  <w:style w:type="paragraph" w:styleId="CommentSubject">
    <w:name w:val="annotation subject"/>
    <w:basedOn w:val="CommentText"/>
    <w:next w:val="CommentText"/>
    <w:link w:val="CommentSubjectChar"/>
    <w:uiPriority w:val="99"/>
    <w:semiHidden/>
    <w:unhideWhenUsed/>
    <w:rsid w:val="008F78AD"/>
    <w:rPr>
      <w:b/>
      <w:bCs/>
    </w:rPr>
  </w:style>
  <w:style w:type="character" w:customStyle="1" w:styleId="CommentSubjectChar">
    <w:name w:val="Comment Subject Char"/>
    <w:basedOn w:val="CommentTextChar"/>
    <w:link w:val="CommentSubject"/>
    <w:uiPriority w:val="99"/>
    <w:semiHidden/>
    <w:rsid w:val="008F78AD"/>
    <w:rPr>
      <w:b/>
      <w:bCs/>
      <w:sz w:val="20"/>
      <w:szCs w:val="20"/>
    </w:rPr>
  </w:style>
  <w:style w:type="paragraph" w:customStyle="1" w:styleId="tv213">
    <w:name w:val="tv213"/>
    <w:basedOn w:val="Normal"/>
    <w:rsid w:val="008F78A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43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068302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e.Grabe@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3C624-8769-4BED-B073-5D68033D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5207</Words>
  <Characters>2968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Laimdota Adlere</cp:lastModifiedBy>
  <cp:revision>3</cp:revision>
  <cp:lastPrinted>2019-06-26T10:17:00Z</cp:lastPrinted>
  <dcterms:created xsi:type="dcterms:W3CDTF">2019-08-19T07:01:00Z</dcterms:created>
  <dcterms:modified xsi:type="dcterms:W3CDTF">2019-08-19T07:01:00Z</dcterms:modified>
</cp:coreProperties>
</file>