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363" w14:textId="74271D3D" w:rsidR="009C4D90" w:rsidRDefault="00AA5EC5" w:rsidP="009C4D90">
      <w:pPr>
        <w:shd w:val="clear" w:color="auto" w:fill="FFFFFF"/>
        <w:contextualSpacing/>
        <w:jc w:val="center"/>
        <w:rPr>
          <w:b/>
          <w:bCs/>
        </w:rPr>
      </w:pPr>
      <w:r>
        <w:rPr>
          <w:b/>
          <w:bCs/>
        </w:rPr>
        <w:t>Ministru kabineta n</w:t>
      </w:r>
      <w:r w:rsidRPr="00AA5EC5">
        <w:rPr>
          <w:b/>
          <w:bCs/>
        </w:rPr>
        <w:t xml:space="preserve">oteikumi par Latvijas būvnormatīvu LBN 003-19 “Būvklimatoloģija” </w:t>
      </w:r>
      <w:r w:rsidR="009C4D90" w:rsidRPr="0016606C">
        <w:rPr>
          <w:b/>
          <w:bCs/>
        </w:rPr>
        <w:t>sākotnējās ietekmes novērtējuma ziņojums (anotācija)</w:t>
      </w:r>
    </w:p>
    <w:p w14:paraId="4850556C" w14:textId="77777777" w:rsidR="009C4D90" w:rsidRPr="003D7279" w:rsidRDefault="009C4D90" w:rsidP="009C4D90">
      <w:pPr>
        <w:shd w:val="clear" w:color="auto" w:fill="FFFFFF"/>
        <w:contextualSpacing/>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1"/>
        <w:gridCol w:w="5380"/>
      </w:tblGrid>
      <w:tr w:rsidR="009C4D90" w14:paraId="42BD63FB" w14:textId="77777777" w:rsidTr="004C2BCE">
        <w:trPr>
          <w:trHeight w:val="405"/>
        </w:trPr>
        <w:tc>
          <w:tcPr>
            <w:tcW w:w="0" w:type="auto"/>
            <w:gridSpan w:val="2"/>
            <w:vAlign w:val="center"/>
            <w:hideMark/>
          </w:tcPr>
          <w:p w14:paraId="4CE9DC83" w14:textId="4072F400" w:rsidR="009C4D90" w:rsidRPr="003D7279" w:rsidRDefault="00BB23B5" w:rsidP="004C2BCE">
            <w:pPr>
              <w:contextualSpacing/>
              <w:jc w:val="center"/>
              <w:rPr>
                <w:b/>
                <w:bCs/>
              </w:rPr>
            </w:pPr>
            <w:r w:rsidRPr="00BB23B5">
              <w:rPr>
                <w:b/>
                <w:bCs/>
              </w:rPr>
              <w:t>Tiesību akta projekta anotācijas kopsavilkums</w:t>
            </w:r>
          </w:p>
        </w:tc>
      </w:tr>
      <w:tr w:rsidR="009C4D90" w14:paraId="156F2E67" w14:textId="77777777" w:rsidTr="004C2BCE">
        <w:trPr>
          <w:trHeight w:val="405"/>
        </w:trPr>
        <w:tc>
          <w:tcPr>
            <w:tcW w:w="2031" w:type="pct"/>
          </w:tcPr>
          <w:p w14:paraId="76B17E94" w14:textId="77777777" w:rsidR="009C4D90" w:rsidRPr="003D7279" w:rsidRDefault="009C4D90" w:rsidP="004C2BCE">
            <w:pPr>
              <w:contextualSpacing/>
            </w:pPr>
            <w:r w:rsidRPr="00A638EB">
              <w:t>Mērķis, risinājums un projekta spēkā stāšanās laiks (500 zīmes bez atstarpēm)</w:t>
            </w:r>
          </w:p>
        </w:tc>
        <w:tc>
          <w:tcPr>
            <w:tcW w:w="2969" w:type="pct"/>
            <w:hideMark/>
          </w:tcPr>
          <w:p w14:paraId="6CA1C77E" w14:textId="3A370D84" w:rsidR="009C4D90" w:rsidRPr="003D7279" w:rsidRDefault="00BF3973" w:rsidP="004C2BCE">
            <w:pPr>
              <w:contextualSpacing/>
              <w:jc w:val="both"/>
            </w:pPr>
            <w:r>
              <w:t>Nav attiecināms.</w:t>
            </w:r>
          </w:p>
        </w:tc>
      </w:tr>
    </w:tbl>
    <w:p w14:paraId="6553E22F" w14:textId="77777777" w:rsidR="009C4D90" w:rsidRDefault="009C4D90" w:rsidP="009C4D90">
      <w:pPr>
        <w:shd w:val="clear" w:color="auto" w:fill="FFFFFF"/>
        <w:ind w:firstLine="300"/>
        <w:contextualSpacing/>
        <w:jc w:val="center"/>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9C4D90" w14:paraId="01C1341F" w14:textId="77777777" w:rsidTr="004C2BCE">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190AD3" w14:textId="77777777" w:rsidR="009C4D90" w:rsidRPr="003D7279" w:rsidRDefault="009C4D90" w:rsidP="004C2BCE">
            <w:pPr>
              <w:contextualSpacing/>
              <w:jc w:val="center"/>
              <w:rPr>
                <w:b/>
                <w:bCs/>
              </w:rPr>
            </w:pPr>
            <w:r w:rsidRPr="003D7279">
              <w:rPr>
                <w:b/>
                <w:bCs/>
              </w:rPr>
              <w:t>I. Tiesību akta projekta izstrādes nepieciešamība</w:t>
            </w:r>
          </w:p>
        </w:tc>
      </w:tr>
      <w:tr w:rsidR="009C4D90" w14:paraId="7DB5D20E" w14:textId="77777777" w:rsidTr="004C2BCE">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BF93937" w14:textId="77777777" w:rsidR="009C4D90" w:rsidRPr="003D7279" w:rsidRDefault="009C4D90" w:rsidP="004C2BCE">
            <w:pPr>
              <w:contextualSpacing/>
              <w:jc w:val="center"/>
            </w:pPr>
            <w:r w:rsidRPr="003D7279">
              <w:t>1.</w:t>
            </w:r>
          </w:p>
        </w:tc>
        <w:tc>
          <w:tcPr>
            <w:tcW w:w="1550" w:type="pct"/>
            <w:tcBorders>
              <w:top w:val="outset" w:sz="6" w:space="0" w:color="414142"/>
              <w:left w:val="outset" w:sz="6" w:space="0" w:color="414142"/>
              <w:bottom w:val="outset" w:sz="6" w:space="0" w:color="414142"/>
              <w:right w:val="outset" w:sz="6" w:space="0" w:color="414142"/>
            </w:tcBorders>
            <w:hideMark/>
          </w:tcPr>
          <w:p w14:paraId="5314D669" w14:textId="77777777" w:rsidR="009C4D90" w:rsidRPr="003D7279" w:rsidRDefault="009C4D90" w:rsidP="004C2BCE">
            <w:pPr>
              <w:contextualSpacing/>
            </w:pPr>
            <w:r w:rsidRPr="003D7279">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1726C69" w14:textId="0EE8B602" w:rsidR="009C4D90" w:rsidRPr="00712391" w:rsidRDefault="006D19AB" w:rsidP="004C2BCE">
            <w:pPr>
              <w:contextualSpacing/>
              <w:jc w:val="both"/>
            </w:pPr>
            <w:r w:rsidRPr="00244B98">
              <w:rPr>
                <w:iCs/>
              </w:rPr>
              <w:t xml:space="preserve">Ministru kabineta noteikumu projekts </w:t>
            </w:r>
            <w:r w:rsidRPr="00EE050D">
              <w:t>„Noteikumi par Latvijas būvnormatīvu LBN 003-1</w:t>
            </w:r>
            <w:r>
              <w:t>9</w:t>
            </w:r>
            <w:r w:rsidRPr="00EE050D">
              <w:t xml:space="preserve"> „Būvklimatoloģija”” </w:t>
            </w:r>
            <w:r w:rsidRPr="00244B98">
              <w:rPr>
                <w:iCs/>
              </w:rPr>
              <w:t xml:space="preserve">izstrādāts, pamatojoties uz </w:t>
            </w:r>
            <w:r w:rsidR="009C4D90" w:rsidRPr="006D19AB">
              <w:t>Būvniecības likuma 5.</w:t>
            </w:r>
            <w:r>
              <w:t xml:space="preserve"> </w:t>
            </w:r>
            <w:r w:rsidR="009C4D90" w:rsidRPr="006D19AB">
              <w:t xml:space="preserve">panta pirmās daļas </w:t>
            </w:r>
            <w:r w:rsidR="00AA5EC5" w:rsidRPr="00712391">
              <w:t>3</w:t>
            </w:r>
            <w:r w:rsidR="009C4D90" w:rsidRPr="00712391">
              <w:t>.</w:t>
            </w:r>
            <w:r>
              <w:t xml:space="preserve"> </w:t>
            </w:r>
            <w:r w:rsidR="009C4D90" w:rsidRPr="00712391">
              <w:t>punkt</w:t>
            </w:r>
            <w:r w:rsidRPr="00712391">
              <w:t>u.</w:t>
            </w:r>
          </w:p>
        </w:tc>
      </w:tr>
      <w:tr w:rsidR="009C4D90" w14:paraId="30CD240B" w14:textId="77777777" w:rsidTr="004C2BC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486217" w14:textId="77777777" w:rsidR="009C4D90" w:rsidRPr="003D7279" w:rsidRDefault="009C4D90" w:rsidP="004C2BCE">
            <w:pPr>
              <w:contextualSpacing/>
              <w:jc w:val="center"/>
            </w:pPr>
            <w:r w:rsidRPr="003D7279">
              <w:t>2.</w:t>
            </w:r>
          </w:p>
        </w:tc>
        <w:tc>
          <w:tcPr>
            <w:tcW w:w="1550" w:type="pct"/>
            <w:tcBorders>
              <w:top w:val="outset" w:sz="6" w:space="0" w:color="414142"/>
              <w:left w:val="outset" w:sz="6" w:space="0" w:color="414142"/>
              <w:bottom w:val="outset" w:sz="6" w:space="0" w:color="414142"/>
              <w:right w:val="outset" w:sz="6" w:space="0" w:color="414142"/>
            </w:tcBorders>
            <w:hideMark/>
          </w:tcPr>
          <w:p w14:paraId="4AE7E1B3" w14:textId="77777777" w:rsidR="009C4D90" w:rsidRPr="003D7279" w:rsidRDefault="009C4D90" w:rsidP="004C2BCE">
            <w:pPr>
              <w:contextualSpacing/>
            </w:pPr>
            <w:r w:rsidRPr="003D7279">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5749F533" w14:textId="2F977FF6" w:rsidR="00EE050D" w:rsidRDefault="00EE050D" w:rsidP="00A445DD">
            <w:pPr>
              <w:contextualSpacing/>
              <w:jc w:val="both"/>
            </w:pPr>
            <w:r w:rsidRPr="00EE050D">
              <w:t>Ministru kabineta noteikumu projekt</w:t>
            </w:r>
            <w:r>
              <w:t>a</w:t>
            </w:r>
            <w:r w:rsidRPr="00EE050D">
              <w:t xml:space="preserve"> „Noteikumi par Latvijas būvnormatīvu LBN 003-1</w:t>
            </w:r>
            <w:r>
              <w:t>9</w:t>
            </w:r>
            <w:r w:rsidRPr="00EE050D">
              <w:t xml:space="preserve"> „Būvklimatoloģija”” (turpmāk – </w:t>
            </w:r>
            <w:r>
              <w:t>būvnormatīvs</w:t>
            </w:r>
            <w:r w:rsidRPr="00EE050D">
              <w:t xml:space="preserve">) </w:t>
            </w:r>
            <w:r w:rsidR="00A445DD">
              <w:t xml:space="preserve">mērķis ir atjaunot </w:t>
            </w:r>
            <w:r>
              <w:t xml:space="preserve">datus par meteoroloģiskajiem </w:t>
            </w:r>
            <w:r w:rsidRPr="00EE050D">
              <w:t>apstākļiem</w:t>
            </w:r>
            <w:r>
              <w:t xml:space="preserve"> Latvijā. </w:t>
            </w:r>
          </w:p>
          <w:p w14:paraId="113FD003" w14:textId="7835F01D" w:rsidR="00A445DD" w:rsidRDefault="00EE050D" w:rsidP="00A445DD">
            <w:pPr>
              <w:contextualSpacing/>
              <w:jc w:val="both"/>
            </w:pPr>
            <w:r w:rsidRPr="00EE050D">
              <w:t xml:space="preserve">Būvnormatīvā ietvertos </w:t>
            </w:r>
            <w:proofErr w:type="spellStart"/>
            <w:r w:rsidRPr="00EE050D">
              <w:t>klimatoloģiskos</w:t>
            </w:r>
            <w:proofErr w:type="spellEnd"/>
            <w:r w:rsidRPr="00EE050D">
              <w:t xml:space="preserve"> rādītājus piemēro inženierizpētē, būvju projektēšanā un būvdarbu veikšanā.</w:t>
            </w:r>
            <w:r>
              <w:t xml:space="preserve"> </w:t>
            </w:r>
            <w:r w:rsidRPr="00EE050D">
              <w:t xml:space="preserve">Jebkura ģeogrāfiskā punkta </w:t>
            </w:r>
            <w:proofErr w:type="spellStart"/>
            <w:r w:rsidRPr="00EE050D">
              <w:t>klimatoloģiskos</w:t>
            </w:r>
            <w:proofErr w:type="spellEnd"/>
            <w:r w:rsidRPr="00EE050D">
              <w:t xml:space="preserve"> rādītājus būvniecības vajadzībām Latvijas teritorijā nosaka pēc šī būvnormatīva pielikuma tabulās ietvertā tuvākā ģeogrāfiskā punkta </w:t>
            </w:r>
            <w:proofErr w:type="spellStart"/>
            <w:r w:rsidRPr="00EE050D">
              <w:t>klimatoloģiskajiem</w:t>
            </w:r>
            <w:proofErr w:type="spellEnd"/>
            <w:r w:rsidRPr="00EE050D">
              <w:t xml:space="preserve"> rādītājiem.</w:t>
            </w:r>
          </w:p>
          <w:p w14:paraId="31D73F1E" w14:textId="497E6B7B" w:rsidR="00BB2D19" w:rsidRDefault="00A445DD" w:rsidP="00A445DD">
            <w:pPr>
              <w:contextualSpacing/>
              <w:jc w:val="both"/>
            </w:pPr>
            <w:r>
              <w:t>Būvnormatīva tiesiskais regulējums salīdzinājumā ar līdzšinējo regulējumu pēc būtības netiek mainīts, a</w:t>
            </w:r>
            <w:r w:rsidRPr="00A445DD">
              <w:t>tjaunoti dati par met</w:t>
            </w:r>
            <w:r w:rsidR="00EE050D">
              <w:t>eo</w:t>
            </w:r>
            <w:r w:rsidRPr="00A445DD">
              <w:t xml:space="preserve">roloģiskajiem apstākļiem Latvijas teritorijā, atjaunoto datu apskatāmais intervāls </w:t>
            </w:r>
            <w:r w:rsidR="00BB2D19">
              <w:t>1989</w:t>
            </w:r>
            <w:r w:rsidRPr="00A445DD">
              <w:t>.</w:t>
            </w:r>
            <w:r w:rsidR="00FD371F">
              <w:t xml:space="preserve"> </w:t>
            </w:r>
            <w:r w:rsidR="009E532C">
              <w:t>–</w:t>
            </w:r>
            <w:r w:rsidR="00FD371F">
              <w:t xml:space="preserve"> </w:t>
            </w:r>
            <w:r w:rsidRPr="00A445DD">
              <w:t>201</w:t>
            </w:r>
            <w:r w:rsidR="00BB2D19">
              <w:t>8</w:t>
            </w:r>
            <w:r w:rsidRPr="00A445DD">
              <w:t>.gads.</w:t>
            </w:r>
          </w:p>
          <w:p w14:paraId="38921F59" w14:textId="21FFC184" w:rsidR="00BB2D19" w:rsidRDefault="00A445DD" w:rsidP="00A445DD">
            <w:pPr>
              <w:contextualSpacing/>
              <w:jc w:val="both"/>
              <w:rPr>
                <w:rStyle w:val="Strong"/>
              </w:rPr>
            </w:pPr>
            <w:r w:rsidRPr="00A445DD">
              <w:t xml:space="preserve"> Dati iegūti no </w:t>
            </w:r>
            <w:r w:rsidR="00425583">
              <w:t>v</w:t>
            </w:r>
            <w:r w:rsidR="00437052" w:rsidRPr="001322BD">
              <w:rPr>
                <w:rStyle w:val="Strong"/>
                <w:b w:val="0"/>
              </w:rPr>
              <w:t xml:space="preserve">alsts </w:t>
            </w:r>
            <w:r w:rsidR="00425583">
              <w:t>sabiedrības ar ierobežotu atbildību</w:t>
            </w:r>
            <w:r w:rsidR="00437052" w:rsidRPr="001322BD">
              <w:rPr>
                <w:rStyle w:val="Strong"/>
                <w:b w:val="0"/>
              </w:rPr>
              <w:t xml:space="preserve"> "Latvijas Vides, ģeoloģijas un meteoroloģijas centrs"</w:t>
            </w:r>
            <w:r w:rsidR="00437052" w:rsidRPr="007F6998">
              <w:rPr>
                <w:rStyle w:val="Strong"/>
                <w:b w:val="0"/>
              </w:rPr>
              <w:t xml:space="preserve"> </w:t>
            </w:r>
            <w:r w:rsidR="00BB2D19" w:rsidRPr="00BB2D19">
              <w:rPr>
                <w:rStyle w:val="Strong"/>
                <w:b w:val="0"/>
              </w:rPr>
              <w:t>n</w:t>
            </w:r>
            <w:r w:rsidR="00BB2D19" w:rsidRPr="003D3708">
              <w:rPr>
                <w:rStyle w:val="Strong"/>
                <w:b w:val="0"/>
              </w:rPr>
              <w:t>o</w:t>
            </w:r>
            <w:r w:rsidR="00BB2D19">
              <w:rPr>
                <w:rStyle w:val="Strong"/>
              </w:rPr>
              <w:t xml:space="preserve"> </w:t>
            </w:r>
            <w:r w:rsidR="00BB2D19" w:rsidRPr="003D3708">
              <w:rPr>
                <w:rStyle w:val="Strong"/>
                <w:b w:val="0"/>
                <w:bCs w:val="0"/>
              </w:rPr>
              <w:t>meteoroloģiskajām stacijām Ainaži, Alūksne, Bauska, Daugavpils, Dobele, Gulbene, Jelgava, Kolka, Liepāja, Mērsrags, Pāvilosta, Priekuļi, Rēzekne, Rīga, Rūjiena, Saldus, Skrīveri, Skulte, Stende, Ventspils, Zīlāni un Zosēni</w:t>
            </w:r>
            <w:r w:rsidR="00BB2D19">
              <w:rPr>
                <w:rStyle w:val="Strong"/>
                <w:b w:val="0"/>
                <w:bCs w:val="0"/>
              </w:rPr>
              <w:t>.</w:t>
            </w:r>
            <w:r w:rsidR="00BB2D19" w:rsidRPr="00BB2D19">
              <w:rPr>
                <w:rStyle w:val="Strong"/>
              </w:rPr>
              <w:t xml:space="preserve"> </w:t>
            </w:r>
          </w:p>
          <w:p w14:paraId="3768E04A" w14:textId="47E2A072" w:rsidR="00BB2D19" w:rsidRPr="003D3708" w:rsidRDefault="00BB2D19" w:rsidP="00A445DD">
            <w:pPr>
              <w:contextualSpacing/>
              <w:jc w:val="both"/>
              <w:rPr>
                <w:rStyle w:val="Strong"/>
                <w:b w:val="0"/>
                <w:bCs w:val="0"/>
              </w:rPr>
            </w:pPr>
            <w:r w:rsidRPr="003D3708">
              <w:rPr>
                <w:rStyle w:val="Strong"/>
                <w:b w:val="0"/>
                <w:bCs w:val="0"/>
              </w:rPr>
              <w:t xml:space="preserve">Saules </w:t>
            </w:r>
            <w:r w:rsidR="00CC225E">
              <w:rPr>
                <w:rStyle w:val="Strong"/>
                <w:b w:val="0"/>
                <w:bCs w:val="0"/>
              </w:rPr>
              <w:t>s</w:t>
            </w:r>
            <w:r w:rsidR="00CC225E" w:rsidRPr="007E6341">
              <w:rPr>
                <w:rStyle w:val="Strong"/>
                <w:b w:val="0"/>
                <w:bCs w:val="0"/>
              </w:rPr>
              <w:t>tarojuma</w:t>
            </w:r>
            <w:r w:rsidR="00CC225E" w:rsidRPr="003D3708">
              <w:rPr>
                <w:rStyle w:val="Strong"/>
                <w:b w:val="0"/>
                <w:bCs w:val="0"/>
              </w:rPr>
              <w:t xml:space="preserve"> </w:t>
            </w:r>
            <w:r w:rsidR="00985B36" w:rsidRPr="003D3708">
              <w:rPr>
                <w:rStyle w:val="Strong"/>
                <w:b w:val="0"/>
                <w:bCs w:val="0"/>
              </w:rPr>
              <w:t xml:space="preserve">piezemes novērojumi pilnā spektrā Latvijā – Rīgā, Zosēnos, Zīlānos, Dobelē (šajās novērojumu stacijās dažādos laika posmos), līdz ar to, lai aprēķinātu </w:t>
            </w:r>
            <w:r w:rsidR="00CC225E">
              <w:rPr>
                <w:rStyle w:val="Strong"/>
                <w:b w:val="0"/>
                <w:bCs w:val="0"/>
              </w:rPr>
              <w:t>s</w:t>
            </w:r>
            <w:r w:rsidR="00985B36" w:rsidRPr="003D3708">
              <w:rPr>
                <w:rStyle w:val="Strong"/>
                <w:b w:val="0"/>
                <w:bCs w:val="0"/>
              </w:rPr>
              <w:t xml:space="preserve">aules </w:t>
            </w:r>
            <w:r w:rsidR="00CC225E">
              <w:rPr>
                <w:rStyle w:val="Strong"/>
                <w:b w:val="0"/>
                <w:bCs w:val="0"/>
              </w:rPr>
              <w:t>starojuma</w:t>
            </w:r>
            <w:r w:rsidR="00CC225E" w:rsidRPr="003D3708">
              <w:rPr>
                <w:rStyle w:val="Strong"/>
                <w:b w:val="0"/>
                <w:bCs w:val="0"/>
              </w:rPr>
              <w:t xml:space="preserve"> </w:t>
            </w:r>
            <w:r w:rsidR="00985B36" w:rsidRPr="003D3708">
              <w:rPr>
                <w:rStyle w:val="Strong"/>
                <w:b w:val="0"/>
                <w:bCs w:val="0"/>
              </w:rPr>
              <w:t>daudzumu uz dažādi vērstām vertikālām virsmām 22 novērojumu stacijās, tika izmantoti EUMETSAT (</w:t>
            </w:r>
            <w:proofErr w:type="spellStart"/>
            <w:r w:rsidR="00985B36" w:rsidRPr="003D3708">
              <w:rPr>
                <w:rStyle w:val="Strong"/>
                <w:b w:val="0"/>
                <w:bCs w:val="0"/>
              </w:rPr>
              <w:t>European</w:t>
            </w:r>
            <w:proofErr w:type="spellEnd"/>
            <w:r w:rsidR="00985B36" w:rsidRPr="003D3708">
              <w:rPr>
                <w:rStyle w:val="Strong"/>
                <w:b w:val="0"/>
                <w:bCs w:val="0"/>
              </w:rPr>
              <w:t xml:space="preserve"> </w:t>
            </w:r>
            <w:proofErr w:type="spellStart"/>
            <w:r w:rsidR="00985B36" w:rsidRPr="003D3708">
              <w:rPr>
                <w:rStyle w:val="Strong"/>
                <w:b w:val="0"/>
                <w:bCs w:val="0"/>
              </w:rPr>
              <w:t>Organisation</w:t>
            </w:r>
            <w:proofErr w:type="spellEnd"/>
            <w:r w:rsidR="00985B36" w:rsidRPr="003D3708">
              <w:rPr>
                <w:rStyle w:val="Strong"/>
                <w:b w:val="0"/>
                <w:bCs w:val="0"/>
              </w:rPr>
              <w:t xml:space="preserve"> </w:t>
            </w:r>
            <w:proofErr w:type="spellStart"/>
            <w:r w:rsidR="00985B36" w:rsidRPr="003D3708">
              <w:rPr>
                <w:rStyle w:val="Strong"/>
                <w:b w:val="0"/>
                <w:bCs w:val="0"/>
              </w:rPr>
              <w:t>for</w:t>
            </w:r>
            <w:proofErr w:type="spellEnd"/>
            <w:r w:rsidR="00985B36" w:rsidRPr="003D3708">
              <w:rPr>
                <w:rStyle w:val="Strong"/>
                <w:b w:val="0"/>
                <w:bCs w:val="0"/>
              </w:rPr>
              <w:t xml:space="preserve"> </w:t>
            </w:r>
            <w:proofErr w:type="spellStart"/>
            <w:r w:rsidR="00985B36" w:rsidRPr="003D3708">
              <w:rPr>
                <w:rStyle w:val="Strong"/>
                <w:b w:val="0"/>
                <w:bCs w:val="0"/>
              </w:rPr>
              <w:t>the</w:t>
            </w:r>
            <w:proofErr w:type="spellEnd"/>
            <w:r w:rsidR="00985B36" w:rsidRPr="003D3708">
              <w:rPr>
                <w:rStyle w:val="Strong"/>
                <w:b w:val="0"/>
                <w:bCs w:val="0"/>
              </w:rPr>
              <w:t xml:space="preserve"> </w:t>
            </w:r>
            <w:proofErr w:type="spellStart"/>
            <w:r w:rsidR="00985B36" w:rsidRPr="003D3708">
              <w:rPr>
                <w:rStyle w:val="Strong"/>
                <w:b w:val="0"/>
                <w:bCs w:val="0"/>
              </w:rPr>
              <w:t>Exploitation</w:t>
            </w:r>
            <w:proofErr w:type="spellEnd"/>
            <w:r w:rsidR="00985B36" w:rsidRPr="003D3708">
              <w:rPr>
                <w:rStyle w:val="Strong"/>
                <w:b w:val="0"/>
                <w:bCs w:val="0"/>
              </w:rPr>
              <w:t xml:space="preserve"> </w:t>
            </w:r>
            <w:proofErr w:type="spellStart"/>
            <w:r w:rsidR="00985B36" w:rsidRPr="003D3708">
              <w:rPr>
                <w:rStyle w:val="Strong"/>
                <w:b w:val="0"/>
                <w:bCs w:val="0"/>
              </w:rPr>
              <w:t>of</w:t>
            </w:r>
            <w:proofErr w:type="spellEnd"/>
            <w:r w:rsidR="00985B36" w:rsidRPr="003D3708">
              <w:rPr>
                <w:rStyle w:val="Strong"/>
                <w:b w:val="0"/>
                <w:bCs w:val="0"/>
              </w:rPr>
              <w:t xml:space="preserve"> </w:t>
            </w:r>
            <w:proofErr w:type="spellStart"/>
            <w:r w:rsidR="00985B36" w:rsidRPr="003D3708">
              <w:rPr>
                <w:rStyle w:val="Strong"/>
                <w:b w:val="0"/>
                <w:bCs w:val="0"/>
              </w:rPr>
              <w:t>Meteorological</w:t>
            </w:r>
            <w:proofErr w:type="spellEnd"/>
            <w:r w:rsidR="00985B36" w:rsidRPr="003D3708">
              <w:rPr>
                <w:rStyle w:val="Strong"/>
                <w:b w:val="0"/>
                <w:bCs w:val="0"/>
              </w:rPr>
              <w:t xml:space="preserve"> </w:t>
            </w:r>
            <w:proofErr w:type="spellStart"/>
            <w:r w:rsidR="00985B36" w:rsidRPr="003D3708">
              <w:rPr>
                <w:rStyle w:val="Strong"/>
                <w:b w:val="0"/>
                <w:bCs w:val="0"/>
              </w:rPr>
              <w:t>Satellites</w:t>
            </w:r>
            <w:proofErr w:type="spellEnd"/>
            <w:r w:rsidR="00985B36" w:rsidRPr="003D3708">
              <w:rPr>
                <w:rStyle w:val="Strong"/>
                <w:b w:val="0"/>
                <w:bCs w:val="0"/>
              </w:rPr>
              <w:t xml:space="preserve">) </w:t>
            </w:r>
            <w:proofErr w:type="spellStart"/>
            <w:r w:rsidR="00985B36" w:rsidRPr="003D3708">
              <w:rPr>
                <w:rStyle w:val="Strong"/>
                <w:b w:val="0"/>
                <w:bCs w:val="0"/>
              </w:rPr>
              <w:t>apakšorganizācijas</w:t>
            </w:r>
            <w:proofErr w:type="spellEnd"/>
            <w:r w:rsidR="00985B36" w:rsidRPr="003D3708">
              <w:rPr>
                <w:rStyle w:val="Strong"/>
                <w:b w:val="0"/>
                <w:bCs w:val="0"/>
              </w:rPr>
              <w:t xml:space="preserve"> CMSAF (</w:t>
            </w:r>
            <w:proofErr w:type="spellStart"/>
            <w:r w:rsidR="00985B36" w:rsidRPr="003D3708">
              <w:rPr>
                <w:rStyle w:val="Strong"/>
                <w:b w:val="0"/>
                <w:bCs w:val="0"/>
              </w:rPr>
              <w:t>Satellite</w:t>
            </w:r>
            <w:proofErr w:type="spellEnd"/>
            <w:r w:rsidR="00985B36" w:rsidRPr="003D3708">
              <w:rPr>
                <w:rStyle w:val="Strong"/>
                <w:b w:val="0"/>
                <w:bCs w:val="0"/>
              </w:rPr>
              <w:t xml:space="preserve"> </w:t>
            </w:r>
            <w:proofErr w:type="spellStart"/>
            <w:r w:rsidR="00985B36" w:rsidRPr="003D3708">
              <w:rPr>
                <w:rStyle w:val="Strong"/>
                <w:b w:val="0"/>
                <w:bCs w:val="0"/>
              </w:rPr>
              <w:t>Application</w:t>
            </w:r>
            <w:proofErr w:type="spellEnd"/>
            <w:r w:rsidR="00985B36" w:rsidRPr="003D3708">
              <w:rPr>
                <w:rStyle w:val="Strong"/>
                <w:b w:val="0"/>
                <w:bCs w:val="0"/>
              </w:rPr>
              <w:t xml:space="preserve"> </w:t>
            </w:r>
            <w:proofErr w:type="spellStart"/>
            <w:r w:rsidR="00985B36" w:rsidRPr="003D3708">
              <w:rPr>
                <w:rStyle w:val="Strong"/>
                <w:b w:val="0"/>
                <w:bCs w:val="0"/>
              </w:rPr>
              <w:t>Facility</w:t>
            </w:r>
            <w:proofErr w:type="spellEnd"/>
            <w:r w:rsidR="00985B36" w:rsidRPr="003D3708">
              <w:rPr>
                <w:rStyle w:val="Strong"/>
                <w:b w:val="0"/>
                <w:bCs w:val="0"/>
              </w:rPr>
              <w:t xml:space="preserve"> </w:t>
            </w:r>
            <w:proofErr w:type="spellStart"/>
            <w:r w:rsidR="00985B36" w:rsidRPr="003D3708">
              <w:rPr>
                <w:rStyle w:val="Strong"/>
                <w:b w:val="0"/>
                <w:bCs w:val="0"/>
              </w:rPr>
              <w:t>of</w:t>
            </w:r>
            <w:proofErr w:type="spellEnd"/>
            <w:r w:rsidR="00985B36" w:rsidRPr="003D3708">
              <w:rPr>
                <w:rStyle w:val="Strong"/>
                <w:b w:val="0"/>
                <w:bCs w:val="0"/>
              </w:rPr>
              <w:t xml:space="preserve"> </w:t>
            </w:r>
            <w:proofErr w:type="spellStart"/>
            <w:r w:rsidR="00985B36" w:rsidRPr="003D3708">
              <w:rPr>
                <w:rStyle w:val="Strong"/>
                <w:b w:val="0"/>
                <w:bCs w:val="0"/>
              </w:rPr>
              <w:t>Climate</w:t>
            </w:r>
            <w:proofErr w:type="spellEnd"/>
            <w:r w:rsidR="00985B36" w:rsidRPr="003D3708">
              <w:rPr>
                <w:rStyle w:val="Strong"/>
                <w:b w:val="0"/>
                <w:bCs w:val="0"/>
              </w:rPr>
              <w:t xml:space="preserve"> </w:t>
            </w:r>
            <w:proofErr w:type="spellStart"/>
            <w:r w:rsidR="00985B36" w:rsidRPr="003D3708">
              <w:rPr>
                <w:rStyle w:val="Strong"/>
                <w:b w:val="0"/>
                <w:bCs w:val="0"/>
              </w:rPr>
              <w:t>Monitoring</w:t>
            </w:r>
            <w:proofErr w:type="spellEnd"/>
            <w:r w:rsidR="00985B36" w:rsidRPr="003D3708">
              <w:rPr>
                <w:rStyle w:val="Strong"/>
                <w:b w:val="0"/>
                <w:bCs w:val="0"/>
              </w:rPr>
              <w:t>) satelītu novērojumu dati.</w:t>
            </w:r>
            <w:r w:rsidR="00985B36" w:rsidRPr="0063082A">
              <w:t xml:space="preserve"> </w:t>
            </w:r>
            <w:r w:rsidR="00985B36" w:rsidRPr="003D3708">
              <w:rPr>
                <w:rStyle w:val="Strong"/>
                <w:b w:val="0"/>
                <w:bCs w:val="0"/>
              </w:rPr>
              <w:t>Lai nodrošinātu iegūto rezultātu kvalitāti, tika veikta novērojumu datu kvalitātes kontrole, līdz ar to apšaubāmas un iztrūkstošas vērtības vidējo un summāro statistisko raksturlielumu aprēķina gaitā netika ņemtas vērā. Statistiskie raksturlielumi, kuros tika novēroti mērījumu iztrūkumi, aprēķināti pēc Pasaules meteoroloģijas organizācijas norādītās metodikas (WMO, 2017a).</w:t>
            </w:r>
          </w:p>
          <w:p w14:paraId="55993135" w14:textId="21651279" w:rsidR="00985B36" w:rsidRPr="003D3708" w:rsidRDefault="00985B36" w:rsidP="00A445DD">
            <w:pPr>
              <w:contextualSpacing/>
              <w:jc w:val="both"/>
              <w:rPr>
                <w:rStyle w:val="Strong"/>
                <w:b w:val="0"/>
                <w:bCs w:val="0"/>
              </w:rPr>
            </w:pPr>
            <w:r w:rsidRPr="003D3708">
              <w:rPr>
                <w:rStyle w:val="Strong"/>
                <w:b w:val="0"/>
                <w:bCs w:val="0"/>
              </w:rPr>
              <w:lastRenderedPageBreak/>
              <w:t>Meteoroloģisko parametru varbūtības tiek aprēķinātas, izmantojot ekstremālo vērtību teoriju un bloku maksimumu metodi, kas nosaka, ka izlases bloku maksimumi konverģē uz vispārējo ekstremālās vērtības sadalījumu (</w:t>
            </w:r>
            <w:proofErr w:type="spellStart"/>
            <w:r w:rsidRPr="003D3708">
              <w:rPr>
                <w:rStyle w:val="Strong"/>
                <w:b w:val="0"/>
                <w:bCs w:val="0"/>
              </w:rPr>
              <w:t>Generalized</w:t>
            </w:r>
            <w:proofErr w:type="spellEnd"/>
            <w:r w:rsidRPr="003D3708">
              <w:rPr>
                <w:rStyle w:val="Strong"/>
                <w:b w:val="0"/>
                <w:bCs w:val="0"/>
              </w:rPr>
              <w:t xml:space="preserve"> </w:t>
            </w:r>
            <w:proofErr w:type="spellStart"/>
            <w:r w:rsidRPr="003D3708">
              <w:rPr>
                <w:rStyle w:val="Strong"/>
                <w:b w:val="0"/>
                <w:bCs w:val="0"/>
              </w:rPr>
              <w:t>Extreme</w:t>
            </w:r>
            <w:proofErr w:type="spellEnd"/>
            <w:r w:rsidRPr="003D3708">
              <w:rPr>
                <w:rStyle w:val="Strong"/>
                <w:b w:val="0"/>
                <w:bCs w:val="0"/>
              </w:rPr>
              <w:t xml:space="preserve"> </w:t>
            </w:r>
            <w:proofErr w:type="spellStart"/>
            <w:r w:rsidRPr="003D3708">
              <w:rPr>
                <w:rStyle w:val="Strong"/>
                <w:b w:val="0"/>
                <w:bCs w:val="0"/>
              </w:rPr>
              <w:t>Value</w:t>
            </w:r>
            <w:proofErr w:type="spellEnd"/>
            <w:r w:rsidRPr="003D3708">
              <w:rPr>
                <w:rStyle w:val="Strong"/>
                <w:b w:val="0"/>
                <w:bCs w:val="0"/>
              </w:rPr>
              <w:t xml:space="preserve"> </w:t>
            </w:r>
            <w:proofErr w:type="spellStart"/>
            <w:r w:rsidRPr="003D3708">
              <w:rPr>
                <w:rStyle w:val="Strong"/>
                <w:b w:val="0"/>
                <w:bCs w:val="0"/>
              </w:rPr>
              <w:t>distribution</w:t>
            </w:r>
            <w:proofErr w:type="spellEnd"/>
            <w:r w:rsidRPr="003D3708">
              <w:rPr>
                <w:rStyle w:val="Strong"/>
                <w:b w:val="0"/>
                <w:bCs w:val="0"/>
              </w:rPr>
              <w:t xml:space="preserve"> ) ar sadalījuma funkciju.</w:t>
            </w:r>
          </w:p>
          <w:p w14:paraId="1A0D2CC5" w14:textId="0ADD870A" w:rsidR="00A445DD" w:rsidRPr="0063082A" w:rsidRDefault="00A445DD">
            <w:pPr>
              <w:contextualSpacing/>
              <w:jc w:val="both"/>
            </w:pPr>
            <w:r w:rsidRPr="0063082A">
              <w:t>Gadījumos, kad būvkomersantam papildus nepieciešams kāds specifisks vai konkrēts papildus</w:t>
            </w:r>
            <w:bookmarkStart w:id="0" w:name="_GoBack"/>
            <w:bookmarkEnd w:id="0"/>
            <w:r w:rsidRPr="0063082A">
              <w:t xml:space="preserve"> </w:t>
            </w:r>
            <w:proofErr w:type="spellStart"/>
            <w:r w:rsidRPr="0063082A">
              <w:t>klimatoloģisks</w:t>
            </w:r>
            <w:proofErr w:type="spellEnd"/>
            <w:r w:rsidRPr="0063082A">
              <w:t xml:space="preserve"> rādītājs, kurš nav iekļauts būvnormatīv</w:t>
            </w:r>
            <w:r w:rsidR="00C31935" w:rsidRPr="0063082A">
              <w:t>ā</w:t>
            </w:r>
            <w:r w:rsidRPr="0063082A">
              <w:t>, to atbilstoši būvnormatīva 5.</w:t>
            </w:r>
            <w:r w:rsidR="00D040E3" w:rsidRPr="0063082A">
              <w:t xml:space="preserve"> </w:t>
            </w:r>
            <w:r w:rsidRPr="0063082A">
              <w:t>punktā noteiktajam, pieprasa Latvijas vides ģeoloģijas un meteoroloģijas centrā ar pieprasījumu</w:t>
            </w:r>
            <w:r w:rsidR="00D040E3" w:rsidRPr="0063082A">
              <w:t xml:space="preserve"> – </w:t>
            </w:r>
            <w:r w:rsidRPr="0063082A">
              <w:t>tehnisko uzdevumu. Par tehniskā uzdevuma izpildes noteikumiem puses vienojas noslēdzot līgumu.</w:t>
            </w:r>
          </w:p>
          <w:p w14:paraId="330CB1E4" w14:textId="3D9C1834" w:rsidR="00D211B1" w:rsidRPr="008431CD" w:rsidRDefault="003178EE" w:rsidP="00985B36">
            <w:pPr>
              <w:jc w:val="both"/>
            </w:pPr>
            <w:r w:rsidRPr="0063082A">
              <w:t xml:space="preserve">Būvnormatīva pielikuma </w:t>
            </w:r>
            <w:r w:rsidR="00367C97" w:rsidRPr="0063082A">
              <w:t>1</w:t>
            </w:r>
            <w:r w:rsidR="00367C97">
              <w:t>6</w:t>
            </w:r>
            <w:r w:rsidR="00D211B1">
              <w:t>.</w:t>
            </w:r>
            <w:r w:rsidR="00985B36" w:rsidRPr="0063082A">
              <w:t>-</w:t>
            </w:r>
            <w:r w:rsidR="00367C97" w:rsidRPr="0063082A">
              <w:t>2</w:t>
            </w:r>
            <w:r w:rsidR="00367C97">
              <w:t>7</w:t>
            </w:r>
            <w:r w:rsidR="009A2E9C" w:rsidRPr="0063082A">
              <w:t>.</w:t>
            </w:r>
            <w:r w:rsidRPr="0063082A">
              <w:t xml:space="preserve"> </w:t>
            </w:r>
            <w:r w:rsidR="009A2E9C" w:rsidRPr="0063082A">
              <w:t xml:space="preserve">tabulā ir noteiktas prasības saules </w:t>
            </w:r>
            <w:r w:rsidR="009A2E9C" w:rsidRPr="008431CD">
              <w:t>starojumam uz dažādi orientētām virsmām. Salīdz</w:t>
            </w:r>
            <w:r w:rsidRPr="008431CD">
              <w:t>in</w:t>
            </w:r>
            <w:r w:rsidR="009A2E9C" w:rsidRPr="008431CD">
              <w:t>ot ar iepriekšējā regulējuma 16.</w:t>
            </w:r>
            <w:r w:rsidR="00FD371F" w:rsidRPr="008431CD">
              <w:t xml:space="preserve"> </w:t>
            </w:r>
            <w:r w:rsidR="009A2E9C" w:rsidRPr="008431CD">
              <w:t>tabulu</w:t>
            </w:r>
            <w:r w:rsidR="008431CD">
              <w:t>,</w:t>
            </w:r>
            <w:r w:rsidR="009A2E9C" w:rsidRPr="008431CD">
              <w:t xml:space="preserve"> ir mainīta</w:t>
            </w:r>
            <w:proofErr w:type="gramStart"/>
            <w:r w:rsidR="009A2E9C" w:rsidRPr="008431CD">
              <w:t xml:space="preserve">  </w:t>
            </w:r>
            <w:proofErr w:type="gramEnd"/>
            <w:r w:rsidR="009A2E9C" w:rsidRPr="008431CD">
              <w:t xml:space="preserve">mērvienība  </w:t>
            </w:r>
            <w:r w:rsidR="00506738" w:rsidRPr="008431CD">
              <w:t xml:space="preserve">MJ/m² </w:t>
            </w:r>
            <w:r w:rsidR="009A2E9C" w:rsidRPr="008431CD">
              <w:t>uz kWh/m</w:t>
            </w:r>
            <w:r w:rsidR="009A2E9C" w:rsidRPr="008431CD">
              <w:rPr>
                <w:vertAlign w:val="superscript"/>
              </w:rPr>
              <w:t>2</w:t>
            </w:r>
            <w:r w:rsidR="00CE7D40" w:rsidRPr="008431CD">
              <w:t xml:space="preserve">. </w:t>
            </w:r>
            <w:r w:rsidR="00D211B1" w:rsidRPr="008431CD">
              <w:rPr>
                <w:rFonts w:eastAsia="Calibri"/>
                <w:color w:val="000000" w:themeColor="text1"/>
              </w:rPr>
              <w:t xml:space="preserve">Saules starojuma vērtības uz dažādi orientēti vertikāli vērstām sienām iegūtas, izmantojot formulas Nr.7-9 </w:t>
            </w:r>
            <w:proofErr w:type="gramStart"/>
            <w:r w:rsidR="008431CD" w:rsidRPr="008431CD">
              <w:rPr>
                <w:rFonts w:eastAsia="Calibri"/>
                <w:color w:val="000000" w:themeColor="text1"/>
              </w:rPr>
              <w:t>[</w:t>
            </w:r>
            <w:proofErr w:type="spellStart"/>
            <w:proofErr w:type="gramEnd"/>
            <w:r w:rsidR="004504EC" w:rsidRPr="008431CD">
              <w:t>Назаров</w:t>
            </w:r>
            <w:proofErr w:type="spellEnd"/>
            <w:r w:rsidR="004504EC" w:rsidRPr="008431CD">
              <w:t xml:space="preserve">, Б. И., </w:t>
            </w:r>
            <w:proofErr w:type="spellStart"/>
            <w:r w:rsidR="004504EC" w:rsidRPr="008431CD">
              <w:t>Салиев</w:t>
            </w:r>
            <w:proofErr w:type="spellEnd"/>
            <w:r w:rsidR="004504EC" w:rsidRPr="008431CD">
              <w:t xml:space="preserve">, М. А., </w:t>
            </w:r>
            <w:proofErr w:type="spellStart"/>
            <w:r w:rsidR="004504EC" w:rsidRPr="008431CD">
              <w:t>Махмудов</w:t>
            </w:r>
            <w:proofErr w:type="spellEnd"/>
            <w:r w:rsidR="004504EC" w:rsidRPr="008431CD">
              <w:t xml:space="preserve">, А. Н., </w:t>
            </w:r>
            <w:proofErr w:type="spellStart"/>
            <w:r w:rsidR="004504EC" w:rsidRPr="008431CD">
              <w:t>Абдуллаев</w:t>
            </w:r>
            <w:proofErr w:type="spellEnd"/>
            <w:r w:rsidR="004504EC" w:rsidRPr="008431CD">
              <w:t xml:space="preserve">, С. Ф., 2015. </w:t>
            </w:r>
            <w:r w:rsidR="004504EC" w:rsidRPr="008431CD">
              <w:rPr>
                <w:lang w:val="ru-RU"/>
              </w:rPr>
              <w:t xml:space="preserve">Расчёт потока суммарной радиации на наклонную плоскость солнечных приёмников в условиях аэрозольного загрязнения атмосферы. </w:t>
            </w:r>
            <w:proofErr w:type="spellStart"/>
            <w:r w:rsidR="004504EC" w:rsidRPr="008431CD">
              <w:t>Доклады</w:t>
            </w:r>
            <w:proofErr w:type="spellEnd"/>
            <w:r w:rsidR="004504EC" w:rsidRPr="008431CD">
              <w:t xml:space="preserve"> </w:t>
            </w:r>
            <w:proofErr w:type="spellStart"/>
            <w:r w:rsidR="004504EC" w:rsidRPr="008431CD">
              <w:t>Академии</w:t>
            </w:r>
            <w:proofErr w:type="spellEnd"/>
            <w:r w:rsidR="004504EC" w:rsidRPr="008431CD">
              <w:t xml:space="preserve"> </w:t>
            </w:r>
            <w:proofErr w:type="spellStart"/>
            <w:r w:rsidR="004504EC" w:rsidRPr="008431CD">
              <w:t>Наук</w:t>
            </w:r>
            <w:proofErr w:type="spellEnd"/>
            <w:r w:rsidR="004504EC" w:rsidRPr="008431CD">
              <w:t xml:space="preserve"> </w:t>
            </w:r>
            <w:proofErr w:type="spellStart"/>
            <w:r w:rsidR="004504EC" w:rsidRPr="008431CD">
              <w:t>Республики</w:t>
            </w:r>
            <w:proofErr w:type="spellEnd"/>
            <w:r w:rsidR="004504EC" w:rsidRPr="008431CD">
              <w:t xml:space="preserve"> </w:t>
            </w:r>
            <w:proofErr w:type="spellStart"/>
            <w:r w:rsidR="004504EC" w:rsidRPr="008431CD">
              <w:t>Таджикистан</w:t>
            </w:r>
            <w:proofErr w:type="spellEnd"/>
            <w:r w:rsidR="004504EC" w:rsidRPr="008431CD">
              <w:t>. 58(12), 1111–1118</w:t>
            </w:r>
            <w:r w:rsidR="008431CD" w:rsidRPr="008431CD">
              <w:t>]</w:t>
            </w:r>
            <w:r w:rsidR="004504EC" w:rsidRPr="008431CD">
              <w:rPr>
                <w:rFonts w:eastAsia="Calibri"/>
                <w:color w:val="000000" w:themeColor="text1"/>
              </w:rPr>
              <w:t xml:space="preserve"> </w:t>
            </w:r>
            <w:r w:rsidR="00D211B1" w:rsidRPr="008431CD">
              <w:rPr>
                <w:rFonts w:eastAsia="Calibri"/>
                <w:color w:val="000000" w:themeColor="text1"/>
              </w:rPr>
              <w:t xml:space="preserve">un </w:t>
            </w:r>
            <w:r w:rsidR="004504EC" w:rsidRPr="008431CD">
              <w:rPr>
                <w:rFonts w:eastAsia="Calibri"/>
                <w:color w:val="000000" w:themeColor="text1"/>
              </w:rPr>
              <w:t xml:space="preserve">formulas Nr.5 </w:t>
            </w:r>
            <w:r w:rsidR="008431CD" w:rsidRPr="008431CD">
              <w:rPr>
                <w:rFonts w:eastAsia="Calibri"/>
                <w:color w:val="000000" w:themeColor="text1"/>
              </w:rPr>
              <w:t>[</w:t>
            </w:r>
            <w:proofErr w:type="spellStart"/>
            <w:r w:rsidR="004504EC" w:rsidRPr="008431CD">
              <w:t>Hay</w:t>
            </w:r>
            <w:proofErr w:type="spellEnd"/>
            <w:r w:rsidR="004504EC" w:rsidRPr="008431CD">
              <w:t xml:space="preserve">, J. E, 1993. </w:t>
            </w:r>
            <w:proofErr w:type="spellStart"/>
            <w:r w:rsidR="004504EC" w:rsidRPr="008431CD">
              <w:t>Calculating</w:t>
            </w:r>
            <w:proofErr w:type="spellEnd"/>
            <w:r w:rsidR="004504EC" w:rsidRPr="008431CD">
              <w:t xml:space="preserve"> </w:t>
            </w:r>
            <w:proofErr w:type="spellStart"/>
            <w:r w:rsidR="004504EC" w:rsidRPr="008431CD">
              <w:t>Solar</w:t>
            </w:r>
            <w:proofErr w:type="spellEnd"/>
            <w:r w:rsidR="004504EC" w:rsidRPr="008431CD">
              <w:t xml:space="preserve"> </w:t>
            </w:r>
            <w:proofErr w:type="spellStart"/>
            <w:r w:rsidR="004504EC" w:rsidRPr="008431CD">
              <w:t>Radiation</w:t>
            </w:r>
            <w:proofErr w:type="spellEnd"/>
            <w:r w:rsidR="004504EC" w:rsidRPr="008431CD">
              <w:t xml:space="preserve"> </w:t>
            </w:r>
            <w:proofErr w:type="spellStart"/>
            <w:r w:rsidR="004504EC" w:rsidRPr="008431CD">
              <w:t>for</w:t>
            </w:r>
            <w:proofErr w:type="spellEnd"/>
            <w:r w:rsidR="004504EC" w:rsidRPr="008431CD">
              <w:t xml:space="preserve"> </w:t>
            </w:r>
            <w:proofErr w:type="spellStart"/>
            <w:r w:rsidR="004504EC" w:rsidRPr="008431CD">
              <w:t>Inclined</w:t>
            </w:r>
            <w:proofErr w:type="spellEnd"/>
            <w:r w:rsidR="004504EC" w:rsidRPr="008431CD">
              <w:t xml:space="preserve"> </w:t>
            </w:r>
            <w:proofErr w:type="spellStart"/>
            <w:r w:rsidR="004504EC" w:rsidRPr="008431CD">
              <w:t>Surfaces</w:t>
            </w:r>
            <w:proofErr w:type="spellEnd"/>
            <w:r w:rsidR="004504EC" w:rsidRPr="008431CD">
              <w:t xml:space="preserve">: </w:t>
            </w:r>
            <w:proofErr w:type="spellStart"/>
            <w:r w:rsidR="004504EC" w:rsidRPr="008431CD">
              <w:t>Practical</w:t>
            </w:r>
            <w:proofErr w:type="spellEnd"/>
            <w:r w:rsidR="004504EC" w:rsidRPr="008431CD">
              <w:t xml:space="preserve"> </w:t>
            </w:r>
            <w:proofErr w:type="spellStart"/>
            <w:r w:rsidR="004504EC" w:rsidRPr="008431CD">
              <w:t>Approaches</w:t>
            </w:r>
            <w:proofErr w:type="spellEnd"/>
            <w:r w:rsidR="004504EC" w:rsidRPr="008431CD">
              <w:t xml:space="preserve">. </w:t>
            </w:r>
            <w:proofErr w:type="spellStart"/>
            <w:r w:rsidR="004504EC" w:rsidRPr="008431CD">
              <w:t>Renewable</w:t>
            </w:r>
            <w:proofErr w:type="spellEnd"/>
            <w:r w:rsidR="004504EC" w:rsidRPr="008431CD">
              <w:t xml:space="preserve"> </w:t>
            </w:r>
            <w:proofErr w:type="spellStart"/>
            <w:r w:rsidR="004504EC" w:rsidRPr="008431CD">
              <w:t>Energy</w:t>
            </w:r>
            <w:proofErr w:type="spellEnd"/>
            <w:r w:rsidR="004504EC" w:rsidRPr="008431CD">
              <w:t>, 3(4–5), 373–380</w:t>
            </w:r>
            <w:r w:rsidR="008431CD" w:rsidRPr="008431CD">
              <w:t>]</w:t>
            </w:r>
            <w:r w:rsidR="004504EC" w:rsidRPr="008431CD">
              <w:rPr>
                <w:rFonts w:eastAsia="Calibri"/>
                <w:color w:val="000000" w:themeColor="text1"/>
              </w:rPr>
              <w:t xml:space="preserve"> </w:t>
            </w:r>
            <w:r w:rsidR="00D211B1" w:rsidRPr="008431CD">
              <w:rPr>
                <w:rFonts w:eastAsia="Calibri"/>
                <w:color w:val="000000" w:themeColor="text1"/>
              </w:rPr>
              <w:t>pārrēķinu metodes.</w:t>
            </w:r>
            <w:r w:rsidR="00D211B1" w:rsidRPr="008431CD" w:rsidDel="004C7F61">
              <w:rPr>
                <w:rFonts w:eastAsia="Calibri"/>
                <w:color w:val="000000" w:themeColor="text1"/>
              </w:rPr>
              <w:t xml:space="preserve"> </w:t>
            </w:r>
            <w:proofErr w:type="spellStart"/>
            <w:r w:rsidR="00D211B1" w:rsidRPr="008431CD">
              <w:rPr>
                <w:rFonts w:eastAsia="Calibri"/>
                <w:color w:val="000000" w:themeColor="text1"/>
              </w:rPr>
              <w:t>Назаров</w:t>
            </w:r>
            <w:proofErr w:type="spellEnd"/>
            <w:r w:rsidR="00D211B1" w:rsidRPr="008431CD">
              <w:rPr>
                <w:rFonts w:eastAsia="Calibri"/>
                <w:color w:val="000000" w:themeColor="text1"/>
              </w:rPr>
              <w:t xml:space="preserve"> </w:t>
            </w:r>
            <w:proofErr w:type="spellStart"/>
            <w:r w:rsidR="00D211B1" w:rsidRPr="008431CD">
              <w:rPr>
                <w:rFonts w:eastAsia="Calibri"/>
                <w:color w:val="000000" w:themeColor="text1"/>
              </w:rPr>
              <w:t>et</w:t>
            </w:r>
            <w:proofErr w:type="spellEnd"/>
            <w:r w:rsidR="00D211B1" w:rsidRPr="008431CD">
              <w:rPr>
                <w:rFonts w:eastAsia="Calibri"/>
                <w:color w:val="000000" w:themeColor="text1"/>
              </w:rPr>
              <w:t xml:space="preserve"> </w:t>
            </w:r>
            <w:proofErr w:type="spellStart"/>
            <w:r w:rsidR="00D211B1" w:rsidRPr="008431CD">
              <w:rPr>
                <w:rFonts w:eastAsia="Calibri"/>
                <w:color w:val="000000" w:themeColor="text1"/>
              </w:rPr>
              <w:t>al</w:t>
            </w:r>
            <w:proofErr w:type="spellEnd"/>
            <w:r w:rsidR="00D211B1" w:rsidRPr="008431CD">
              <w:rPr>
                <w:rFonts w:eastAsia="Calibri"/>
                <w:color w:val="000000" w:themeColor="text1"/>
              </w:rPr>
              <w:t xml:space="preserve"> (2015) publikācija apraksta tiešās saules starojuma komponentes aprēķinu uz dažādi orientētām virsmām, savukārt </w:t>
            </w:r>
            <w:proofErr w:type="spellStart"/>
            <w:r w:rsidR="00D211B1" w:rsidRPr="008431CD">
              <w:rPr>
                <w:rFonts w:eastAsia="Calibri"/>
                <w:color w:val="000000" w:themeColor="text1"/>
              </w:rPr>
              <w:t>Hay</w:t>
            </w:r>
            <w:proofErr w:type="spellEnd"/>
            <w:r w:rsidR="00D211B1" w:rsidRPr="008431CD">
              <w:rPr>
                <w:rFonts w:eastAsia="Calibri"/>
                <w:color w:val="000000" w:themeColor="text1"/>
              </w:rPr>
              <w:t xml:space="preserve"> (1993) apraksta izkliedētās saules starojuma komponentes aprēķinu.</w:t>
            </w:r>
          </w:p>
          <w:p w14:paraId="769096D3" w14:textId="772F53EC" w:rsidR="00B67DB9" w:rsidRDefault="00A445DD" w:rsidP="00985B36">
            <w:pPr>
              <w:jc w:val="both"/>
            </w:pPr>
            <w:r w:rsidRPr="0063082A">
              <w:t xml:space="preserve">Savukārt vēja un sniega slodžu rādītāji </w:t>
            </w:r>
            <w:r w:rsidR="00EE050D" w:rsidRPr="0063082A">
              <w:t>doti</w:t>
            </w:r>
            <w:r w:rsidRPr="0063082A">
              <w:t xml:space="preserve"> </w:t>
            </w:r>
            <w:proofErr w:type="spellStart"/>
            <w:r w:rsidRPr="0063082A">
              <w:t>Eirokodeks</w:t>
            </w:r>
            <w:r w:rsidR="00127C1E" w:rsidRPr="0063082A">
              <w:t>ā</w:t>
            </w:r>
            <w:proofErr w:type="spellEnd"/>
            <w:r w:rsidRPr="0063082A">
              <w:t xml:space="preserve"> LVS EN 1991-1-3:2003/NA:201</w:t>
            </w:r>
            <w:r w:rsidR="00EE5DC7">
              <w:t>9</w:t>
            </w:r>
            <w:r w:rsidRPr="0063082A">
              <w:t xml:space="preserve"> “</w:t>
            </w:r>
            <w:r w:rsidR="00683D34" w:rsidRPr="0063082A">
              <w:t xml:space="preserve">1. </w:t>
            </w:r>
            <w:proofErr w:type="spellStart"/>
            <w:r w:rsidRPr="0063082A">
              <w:t>Eirokodekss</w:t>
            </w:r>
            <w:proofErr w:type="spellEnd"/>
            <w:r w:rsidRPr="0063082A">
              <w:t>. Iedarbes uz konstrukcijām. 1-3.daļa: Vispārīgās iedarbes. Sniega radītās slodzes</w:t>
            </w:r>
            <w:r w:rsidR="00127C1E" w:rsidRPr="0063082A">
              <w:t>.</w:t>
            </w:r>
            <w:r w:rsidRPr="0063082A">
              <w:t xml:space="preserve"> Nacionālais pielikums” un LVS EN 1991-1-4:2005 /NA:2011 “</w:t>
            </w:r>
            <w:r w:rsidR="00683D34" w:rsidRPr="0063082A">
              <w:t xml:space="preserve">1. </w:t>
            </w:r>
            <w:proofErr w:type="spellStart"/>
            <w:r w:rsidRPr="0063082A">
              <w:t>Eirokodekss</w:t>
            </w:r>
            <w:proofErr w:type="spellEnd"/>
            <w:r w:rsidRPr="0063082A">
              <w:t>. Iedarbes uz konstrukcijām. 1-4.daļa: Vispārīgās iedarbes.</w:t>
            </w:r>
            <w:r w:rsidR="00127C1E" w:rsidRPr="0063082A">
              <w:t xml:space="preserve"> </w:t>
            </w:r>
            <w:r w:rsidRPr="0063082A">
              <w:t>Vēja iedarbes. Nacionālais pielikums”</w:t>
            </w:r>
            <w:r w:rsidR="00127C1E" w:rsidRPr="0063082A">
              <w:t>.</w:t>
            </w:r>
            <w:r w:rsidR="003178EE" w:rsidRPr="0063082A">
              <w:t xml:space="preserve"> </w:t>
            </w:r>
          </w:p>
          <w:p w14:paraId="1D67AB69" w14:textId="4C679C6A" w:rsidR="00CC225E" w:rsidRPr="00CC225E" w:rsidRDefault="00CC225E" w:rsidP="00985B36">
            <w:pPr>
              <w:jc w:val="both"/>
            </w:pPr>
            <w:r>
              <w:t>8.tabulas “Gaisa temperatūras vidējā amplitūda (</w:t>
            </w:r>
            <w:r>
              <w:rPr>
                <w:vertAlign w:val="superscript"/>
              </w:rPr>
              <w:t xml:space="preserve">o </w:t>
            </w:r>
            <w:r>
              <w:t>C)”;</w:t>
            </w:r>
          </w:p>
          <w:p w14:paraId="12F58F61" w14:textId="44B47A8B" w:rsidR="00B67DB9" w:rsidRDefault="00CC225E" w:rsidP="00985B36">
            <w:pPr>
              <w:jc w:val="both"/>
            </w:pPr>
            <w:r w:rsidRPr="00B67DB9">
              <w:t>1</w:t>
            </w:r>
            <w:r>
              <w:t>3</w:t>
            </w:r>
            <w:r w:rsidR="00B67DB9" w:rsidRPr="00B67DB9">
              <w:t>.tabula</w:t>
            </w:r>
            <w:r w:rsidR="00B67DB9">
              <w:t>s</w:t>
            </w:r>
            <w:r w:rsidR="00B67DB9" w:rsidRPr="00B67DB9">
              <w:t xml:space="preserve"> “Apledojuma – sarmas nogulumu svars uz 10 mm diametra vadiem 10 m augstumā ar dažādu varbūtību”</w:t>
            </w:r>
            <w:r w:rsidR="00B67DB9">
              <w:t>,</w:t>
            </w:r>
          </w:p>
          <w:p w14:paraId="10DF9CC9" w14:textId="5ACDFEE9" w:rsidR="00B67DB9" w:rsidRPr="003D3708" w:rsidRDefault="00B67DB9" w:rsidP="00985B36">
            <w:pPr>
              <w:jc w:val="both"/>
            </w:pPr>
            <w:r w:rsidRPr="003D3708">
              <w:t>1</w:t>
            </w:r>
            <w:r w:rsidR="00CC225E">
              <w:t>4</w:t>
            </w:r>
            <w:r w:rsidRPr="003D3708">
              <w:t>.tabulas”</w:t>
            </w:r>
            <w:r w:rsidRPr="00804521">
              <w:t xml:space="preserve"> </w:t>
            </w:r>
            <w:r w:rsidRPr="003D3708">
              <w:t>Normatīvais apledojuma slānis uz 10 mm diametra vadiem 10 m augstumā ar dažādu varbūtību”,</w:t>
            </w:r>
          </w:p>
          <w:p w14:paraId="3EDDAD00" w14:textId="5ECE3C8E" w:rsidR="00993BA8" w:rsidRPr="003D3708" w:rsidRDefault="00B67DB9" w:rsidP="003D3708">
            <w:pPr>
              <w:jc w:val="both"/>
            </w:pPr>
            <w:r w:rsidRPr="003D3708">
              <w:t>1</w:t>
            </w:r>
            <w:r w:rsidR="00CC225E">
              <w:t>5</w:t>
            </w:r>
            <w:r w:rsidRPr="003D3708">
              <w:t xml:space="preserve">.tabulas “Grunts sasaluma dziļums dabiskos apstākļos mēneša pēdējā dienā”, kā arī 2., 3., 4. attēlu dati pagaidām nav atjaunoti, </w:t>
            </w:r>
            <w:r w:rsidR="00993BA8" w:rsidRPr="003D3708">
              <w:t xml:space="preserve">to atjaunošana </w:t>
            </w:r>
            <w:r w:rsidRPr="003D3708">
              <w:t xml:space="preserve">prasa </w:t>
            </w:r>
            <w:r w:rsidR="00993BA8" w:rsidRPr="003D3708">
              <w:t>daudz vairāk laika</w:t>
            </w:r>
            <w:r w:rsidRPr="003D3708">
              <w:t xml:space="preserve"> un resursu</w:t>
            </w:r>
            <w:r w:rsidR="00993BA8" w:rsidRPr="003D3708">
              <w:t>, jo normas periodā, salīdzinot ar mūsdienām, bija pieejams vairāk novērojumu.</w:t>
            </w:r>
            <w:r w:rsidR="00804521" w:rsidRPr="003D3708">
              <w:t xml:space="preserve"> </w:t>
            </w:r>
            <w:r w:rsidRPr="003D3708">
              <w:t>Plānots šos datus atjaunot 2020.gadā</w:t>
            </w:r>
            <w:r w:rsidR="003C42D9">
              <w:t xml:space="preserve">, kā arī plānots </w:t>
            </w:r>
            <w:r w:rsidR="00CC225E">
              <w:t xml:space="preserve">sagatavot </w:t>
            </w:r>
            <w:r w:rsidR="003C42D9">
              <w:t>klimatiskos datus pa stundām apkurei/dzesēšanai gada griezumā ēku energoefektivitātes aprēķinu veikšanai.</w:t>
            </w:r>
            <w:r w:rsidR="009118FC">
              <w:t xml:space="preserve"> Līdz brīdim, kad šie dati būs pub</w:t>
            </w:r>
            <w:r w:rsidR="00167435">
              <w:t>l</w:t>
            </w:r>
            <w:r w:rsidR="009118FC">
              <w:t xml:space="preserve">icēti, var izmantot citu pieejamo informāciju, piemēram, </w:t>
            </w:r>
            <w:r w:rsidR="009118FC" w:rsidRPr="009118FC">
              <w:t>Eiropas Komisijas portālā (http://re.jrc.ec.europa.eu/pvgis/index.htm) publiski pieejamo</w:t>
            </w:r>
            <w:r w:rsidR="009118FC">
              <w:t>s</w:t>
            </w:r>
            <w:r w:rsidR="009118FC" w:rsidRPr="009118FC">
              <w:t xml:space="preserve"> klimatisko</w:t>
            </w:r>
            <w:r w:rsidR="009118FC">
              <w:t>s</w:t>
            </w:r>
            <w:r w:rsidR="009118FC" w:rsidRPr="009118FC">
              <w:t xml:space="preserve"> datu</w:t>
            </w:r>
            <w:r w:rsidR="009118FC">
              <w:t>s.</w:t>
            </w:r>
          </w:p>
          <w:p w14:paraId="0AEFE913" w14:textId="352C8382" w:rsidR="009C4D90" w:rsidRPr="00BB441A" w:rsidRDefault="00AD77BC" w:rsidP="00127C1E">
            <w:pPr>
              <w:contextualSpacing/>
              <w:jc w:val="both"/>
            </w:pPr>
            <w:r>
              <w:t xml:space="preserve">Ar </w:t>
            </w:r>
            <w:r w:rsidRPr="00AD77BC">
              <w:t>Ministru kabineta noteikumu projekt</w:t>
            </w:r>
            <w:r>
              <w:t>a</w:t>
            </w:r>
            <w:r w:rsidRPr="00AD77BC">
              <w:t xml:space="preserve"> „Noteikumi par Latvijas būvnormatīvu LBN 003-19 „Būvklimatoloģija”” </w:t>
            </w:r>
            <w:r w:rsidR="00B67DB9" w:rsidRPr="00B67DB9">
              <w:t xml:space="preserve"> spēkā stāšanos spēku zaudēs Ministru kabineta 2015. gada 30. jūnija noteikumi Nr. 338 „Noteikumi par Latvijas būvnormatīvu LBN 003-15 „Būvklimatoloģija””.</w:t>
            </w:r>
          </w:p>
        </w:tc>
      </w:tr>
      <w:tr w:rsidR="009C4D90" w14:paraId="5F81E635" w14:textId="77777777" w:rsidTr="004C2BC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8EC7EEE" w14:textId="77777777" w:rsidR="009C4D90" w:rsidRPr="003D7279" w:rsidRDefault="009C4D90" w:rsidP="004C2BCE">
            <w:pPr>
              <w:contextualSpacing/>
              <w:jc w:val="center"/>
            </w:pPr>
            <w:r w:rsidRPr="003D7279">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3CE4E7F" w14:textId="77777777" w:rsidR="009C4D90" w:rsidRPr="003D7279" w:rsidRDefault="009C4D90" w:rsidP="004C2BCE">
            <w:pPr>
              <w:contextualSpacing/>
            </w:pPr>
            <w:r w:rsidRPr="003D7279">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CA63668" w14:textId="537F85A1" w:rsidR="009C4D90" w:rsidRPr="003D7279" w:rsidRDefault="009C4D90" w:rsidP="004C2BCE">
            <w:pPr>
              <w:contextualSpacing/>
              <w:jc w:val="both"/>
            </w:pPr>
            <w:r w:rsidRPr="00FD7280">
              <w:t xml:space="preserve">Ekonomikas ministrija, </w:t>
            </w:r>
            <w:r w:rsidR="00BB2D19">
              <w:t xml:space="preserve">Valsts </w:t>
            </w:r>
            <w:r w:rsidR="00CE12FA">
              <w:t>sabiedrība ar ierobežotu atbildību</w:t>
            </w:r>
            <w:r w:rsidR="008F5493">
              <w:t xml:space="preserve"> “</w:t>
            </w:r>
            <w:r w:rsidR="00BB2D19">
              <w:t>Latvijas vides, ģeoloģijas un meteoroloģijas centrs</w:t>
            </w:r>
            <w:r w:rsidR="008F5493">
              <w:t>”</w:t>
            </w:r>
            <w:r w:rsidR="00704E52">
              <w:t>.</w:t>
            </w:r>
          </w:p>
        </w:tc>
      </w:tr>
      <w:tr w:rsidR="009C4D90" w14:paraId="39E1E26A" w14:textId="77777777" w:rsidTr="004C2BCE">
        <w:tc>
          <w:tcPr>
            <w:tcW w:w="250" w:type="pct"/>
            <w:tcBorders>
              <w:top w:val="outset" w:sz="6" w:space="0" w:color="414142"/>
              <w:left w:val="outset" w:sz="6" w:space="0" w:color="414142"/>
              <w:bottom w:val="outset" w:sz="6" w:space="0" w:color="414142"/>
              <w:right w:val="outset" w:sz="6" w:space="0" w:color="414142"/>
            </w:tcBorders>
            <w:hideMark/>
          </w:tcPr>
          <w:p w14:paraId="15696276" w14:textId="77777777" w:rsidR="009C4D90" w:rsidRPr="003D7279" w:rsidRDefault="009C4D90" w:rsidP="004C2BCE">
            <w:pPr>
              <w:contextualSpacing/>
              <w:jc w:val="center"/>
            </w:pPr>
            <w:r w:rsidRPr="003D7279">
              <w:t>4.</w:t>
            </w:r>
          </w:p>
        </w:tc>
        <w:tc>
          <w:tcPr>
            <w:tcW w:w="1550" w:type="pct"/>
            <w:tcBorders>
              <w:top w:val="outset" w:sz="6" w:space="0" w:color="414142"/>
              <w:left w:val="outset" w:sz="6" w:space="0" w:color="414142"/>
              <w:bottom w:val="outset" w:sz="6" w:space="0" w:color="414142"/>
              <w:right w:val="outset" w:sz="6" w:space="0" w:color="414142"/>
            </w:tcBorders>
            <w:hideMark/>
          </w:tcPr>
          <w:p w14:paraId="06F30F3B" w14:textId="77777777" w:rsidR="009C4D90" w:rsidRPr="003D7279" w:rsidRDefault="009C4D90" w:rsidP="004C2BCE">
            <w:pPr>
              <w:contextualSpacing/>
            </w:pPr>
            <w:r w:rsidRPr="003D7279">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59BED0D" w14:textId="77777777" w:rsidR="009C4D90" w:rsidRPr="003D7279" w:rsidRDefault="009C4D90" w:rsidP="004C2BCE">
            <w:pPr>
              <w:contextualSpacing/>
            </w:pPr>
            <w:r w:rsidRPr="003D7279">
              <w:t>Nav</w:t>
            </w:r>
          </w:p>
        </w:tc>
      </w:tr>
    </w:tbl>
    <w:p w14:paraId="29B7DC6B" w14:textId="77777777" w:rsidR="009C4D90" w:rsidRDefault="009C4D90" w:rsidP="009C4D90">
      <w:pPr>
        <w:shd w:val="clear" w:color="auto" w:fill="FFFFFF"/>
        <w:ind w:firstLine="300"/>
        <w:contextualSpacing/>
      </w:pPr>
      <w:r w:rsidRPr="003D7279">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2"/>
        <w:gridCol w:w="2717"/>
        <w:gridCol w:w="5706"/>
      </w:tblGrid>
      <w:tr w:rsidR="009C4D90" w14:paraId="5E1A0EE5" w14:textId="77777777" w:rsidTr="004C2BCE">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8FBB88" w14:textId="77777777" w:rsidR="009C4D90" w:rsidRPr="003D7279" w:rsidRDefault="009C4D90" w:rsidP="004C2BCE">
            <w:pPr>
              <w:contextualSpacing/>
              <w:jc w:val="center"/>
              <w:rPr>
                <w:b/>
                <w:bCs/>
              </w:rPr>
            </w:pPr>
            <w:r w:rsidRPr="003D7279">
              <w:rPr>
                <w:b/>
                <w:bCs/>
              </w:rPr>
              <w:t>II. Tiesību akta projekta ietekme uz sabiedrību, tautsaimniecības attīstību un administratīvo slogu</w:t>
            </w:r>
          </w:p>
        </w:tc>
      </w:tr>
      <w:tr w:rsidR="009C4D90" w14:paraId="2E9FF07B" w14:textId="77777777" w:rsidTr="00F53131">
        <w:trPr>
          <w:trHeight w:val="465"/>
        </w:trPr>
        <w:tc>
          <w:tcPr>
            <w:tcW w:w="349" w:type="pct"/>
            <w:tcBorders>
              <w:top w:val="outset" w:sz="6" w:space="0" w:color="414142"/>
              <w:left w:val="outset" w:sz="6" w:space="0" w:color="414142"/>
              <w:bottom w:val="outset" w:sz="6" w:space="0" w:color="414142"/>
              <w:right w:val="outset" w:sz="6" w:space="0" w:color="414142"/>
            </w:tcBorders>
            <w:hideMark/>
          </w:tcPr>
          <w:p w14:paraId="28BA53C4" w14:textId="77777777" w:rsidR="009C4D90" w:rsidRPr="003D7279" w:rsidRDefault="009C4D90" w:rsidP="004C2BCE">
            <w:pPr>
              <w:contextualSpacing/>
              <w:jc w:val="center"/>
            </w:pPr>
            <w:r w:rsidRPr="003D7279">
              <w:t>1.</w:t>
            </w:r>
          </w:p>
        </w:tc>
        <w:tc>
          <w:tcPr>
            <w:tcW w:w="1500" w:type="pct"/>
            <w:tcBorders>
              <w:top w:val="outset" w:sz="6" w:space="0" w:color="414142"/>
              <w:left w:val="outset" w:sz="6" w:space="0" w:color="414142"/>
              <w:bottom w:val="outset" w:sz="6" w:space="0" w:color="414142"/>
              <w:right w:val="outset" w:sz="6" w:space="0" w:color="414142"/>
            </w:tcBorders>
            <w:hideMark/>
          </w:tcPr>
          <w:p w14:paraId="0F2C4140" w14:textId="77777777" w:rsidR="009C4D90" w:rsidRPr="003D7279" w:rsidRDefault="009C4D90" w:rsidP="004C2BCE">
            <w:pPr>
              <w:contextualSpacing/>
            </w:pPr>
            <w:r w:rsidRPr="003D7279">
              <w:t>Sabiedrības mērķgrupas, kuras tiesiskais regulējums ietekmē vai varētu ietekmēt</w:t>
            </w:r>
          </w:p>
        </w:tc>
        <w:tc>
          <w:tcPr>
            <w:tcW w:w="3151" w:type="pct"/>
            <w:tcBorders>
              <w:top w:val="outset" w:sz="6" w:space="0" w:color="414142"/>
              <w:left w:val="outset" w:sz="6" w:space="0" w:color="414142"/>
              <w:bottom w:val="outset" w:sz="6" w:space="0" w:color="414142"/>
              <w:right w:val="outset" w:sz="6" w:space="0" w:color="414142"/>
            </w:tcBorders>
            <w:hideMark/>
          </w:tcPr>
          <w:p w14:paraId="56BD1372" w14:textId="07BDDA16" w:rsidR="009C4D90" w:rsidRPr="003D7279" w:rsidRDefault="00712391" w:rsidP="004C2BCE">
            <w:pPr>
              <w:contextualSpacing/>
              <w:jc w:val="both"/>
            </w:pPr>
            <w:r w:rsidRPr="00712391">
              <w:rPr>
                <w:iCs/>
              </w:rPr>
              <w:t xml:space="preserve">Plānotais tiesiskais </w:t>
            </w:r>
            <w:r w:rsidR="009A2E9C" w:rsidRPr="00712391">
              <w:t>regulējums var ietekmēt jebkuru personu,</w:t>
            </w:r>
            <w:r w:rsidR="009A2E9C" w:rsidRPr="009A2E9C">
              <w:t xml:space="preserve"> kura ierosinās un veiks būvniecību</w:t>
            </w:r>
            <w:r w:rsidR="004665A9">
              <w:t xml:space="preserve"> </w:t>
            </w:r>
            <w:r>
              <w:t>–</w:t>
            </w:r>
            <w:r w:rsidR="009A2E9C" w:rsidRPr="009A2E9C">
              <w:t xml:space="preserve"> projektētāj</w:t>
            </w:r>
            <w:r w:rsidR="00506738">
              <w:t>us</w:t>
            </w:r>
            <w:r w:rsidR="009A2E9C" w:rsidRPr="009A2E9C">
              <w:t>, būvkomersant</w:t>
            </w:r>
            <w:r w:rsidR="00506738">
              <w:t>us</w:t>
            </w:r>
            <w:r w:rsidR="009A2E9C" w:rsidRPr="009A2E9C">
              <w:t xml:space="preserve"> un </w:t>
            </w:r>
            <w:r w:rsidR="004665A9">
              <w:t>būvniecības ieceres ierosinātāj</w:t>
            </w:r>
            <w:r w:rsidR="00506738">
              <w:t>us</w:t>
            </w:r>
            <w:r w:rsidR="009A2E9C" w:rsidRPr="009A2E9C">
              <w:t xml:space="preserve">. </w:t>
            </w:r>
            <w:r w:rsidR="00AD77BC">
              <w:t>Būvnormatīva</w:t>
            </w:r>
            <w:r w:rsidR="009A2E9C" w:rsidRPr="009A2E9C">
              <w:t xml:space="preserve"> prasības būs saistošas būvniecības procesā iesaistītām fiziskām un juridiskām personām būvprojektēšanas un būvdarbu izpildes stadijā.</w:t>
            </w:r>
          </w:p>
        </w:tc>
      </w:tr>
      <w:tr w:rsidR="009C4D90" w14:paraId="108CD3EA" w14:textId="77777777" w:rsidTr="00F53131">
        <w:trPr>
          <w:trHeight w:val="510"/>
        </w:trPr>
        <w:tc>
          <w:tcPr>
            <w:tcW w:w="349" w:type="pct"/>
            <w:tcBorders>
              <w:top w:val="outset" w:sz="6" w:space="0" w:color="414142"/>
              <w:left w:val="outset" w:sz="6" w:space="0" w:color="414142"/>
              <w:bottom w:val="outset" w:sz="6" w:space="0" w:color="414142"/>
              <w:right w:val="outset" w:sz="6" w:space="0" w:color="414142"/>
            </w:tcBorders>
            <w:hideMark/>
          </w:tcPr>
          <w:p w14:paraId="48D96005" w14:textId="77777777" w:rsidR="009C4D90" w:rsidRPr="003D7279" w:rsidRDefault="009C4D90" w:rsidP="004C2BCE">
            <w:pPr>
              <w:contextualSpacing/>
              <w:jc w:val="center"/>
            </w:pPr>
            <w:r w:rsidRPr="003D7279">
              <w:t>2.</w:t>
            </w:r>
          </w:p>
        </w:tc>
        <w:tc>
          <w:tcPr>
            <w:tcW w:w="1500" w:type="pct"/>
            <w:tcBorders>
              <w:top w:val="outset" w:sz="6" w:space="0" w:color="414142"/>
              <w:left w:val="outset" w:sz="6" w:space="0" w:color="414142"/>
              <w:bottom w:val="outset" w:sz="6" w:space="0" w:color="414142"/>
              <w:right w:val="outset" w:sz="6" w:space="0" w:color="414142"/>
            </w:tcBorders>
            <w:hideMark/>
          </w:tcPr>
          <w:p w14:paraId="564588A4" w14:textId="77777777" w:rsidR="009C4D90" w:rsidRPr="003D7279" w:rsidRDefault="009C4D90" w:rsidP="004C2BCE">
            <w:pPr>
              <w:contextualSpacing/>
            </w:pPr>
            <w:r w:rsidRPr="003D7279">
              <w:t>Tiesiskā regulējuma ietekme uz tautsaimniecību un administratīvo slogu</w:t>
            </w:r>
          </w:p>
        </w:tc>
        <w:tc>
          <w:tcPr>
            <w:tcW w:w="3151" w:type="pct"/>
            <w:tcBorders>
              <w:top w:val="outset" w:sz="6" w:space="0" w:color="414142"/>
              <w:left w:val="outset" w:sz="6" w:space="0" w:color="414142"/>
              <w:bottom w:val="outset" w:sz="6" w:space="0" w:color="414142"/>
              <w:right w:val="outset" w:sz="6" w:space="0" w:color="414142"/>
            </w:tcBorders>
            <w:hideMark/>
          </w:tcPr>
          <w:p w14:paraId="4497D9D7" w14:textId="0E5C6FCE" w:rsidR="009C4D90" w:rsidRPr="003D7279" w:rsidRDefault="00701676" w:rsidP="004C2BCE">
            <w:pPr>
              <w:contextualSpacing/>
              <w:jc w:val="both"/>
            </w:pPr>
            <w:r>
              <w:t>S</w:t>
            </w:r>
            <w:r w:rsidRPr="00701676">
              <w:t>abiedrības grupām un institūcijām projekta tiesiskais regulējums nemaina tiesības un pienākumus, kā arī veicamās darbības</w:t>
            </w:r>
          </w:p>
        </w:tc>
      </w:tr>
      <w:tr w:rsidR="009C4D90" w14:paraId="47F288B1" w14:textId="77777777" w:rsidTr="00F53131">
        <w:trPr>
          <w:trHeight w:val="510"/>
        </w:trPr>
        <w:tc>
          <w:tcPr>
            <w:tcW w:w="349" w:type="pct"/>
            <w:tcBorders>
              <w:top w:val="outset" w:sz="6" w:space="0" w:color="414142"/>
              <w:left w:val="outset" w:sz="6" w:space="0" w:color="414142"/>
              <w:bottom w:val="outset" w:sz="6" w:space="0" w:color="414142"/>
              <w:right w:val="outset" w:sz="6" w:space="0" w:color="414142"/>
            </w:tcBorders>
            <w:hideMark/>
          </w:tcPr>
          <w:p w14:paraId="05AA8470" w14:textId="77777777" w:rsidR="009C4D90" w:rsidRPr="003D7279" w:rsidRDefault="009C4D90" w:rsidP="004C2BCE">
            <w:pPr>
              <w:contextualSpacing/>
              <w:jc w:val="center"/>
            </w:pPr>
            <w:r w:rsidRPr="003D7279">
              <w:t>3.</w:t>
            </w:r>
          </w:p>
        </w:tc>
        <w:tc>
          <w:tcPr>
            <w:tcW w:w="1500" w:type="pct"/>
            <w:tcBorders>
              <w:top w:val="outset" w:sz="6" w:space="0" w:color="414142"/>
              <w:left w:val="outset" w:sz="6" w:space="0" w:color="414142"/>
              <w:bottom w:val="outset" w:sz="6" w:space="0" w:color="414142"/>
              <w:right w:val="outset" w:sz="6" w:space="0" w:color="414142"/>
            </w:tcBorders>
            <w:hideMark/>
          </w:tcPr>
          <w:p w14:paraId="79A77AA6" w14:textId="77777777" w:rsidR="009C4D90" w:rsidRPr="003D7279" w:rsidRDefault="009C4D90" w:rsidP="004C2BCE">
            <w:pPr>
              <w:contextualSpacing/>
            </w:pPr>
            <w:r w:rsidRPr="003D7279">
              <w:t>Administratīvo izmaksu monetārs novērtējums</w:t>
            </w:r>
          </w:p>
        </w:tc>
        <w:tc>
          <w:tcPr>
            <w:tcW w:w="3151" w:type="pct"/>
            <w:tcBorders>
              <w:top w:val="outset" w:sz="6" w:space="0" w:color="414142"/>
              <w:left w:val="outset" w:sz="6" w:space="0" w:color="414142"/>
              <w:bottom w:val="outset" w:sz="6" w:space="0" w:color="414142"/>
              <w:right w:val="outset" w:sz="6" w:space="0" w:color="414142"/>
            </w:tcBorders>
            <w:hideMark/>
          </w:tcPr>
          <w:p w14:paraId="29193AD3" w14:textId="77777777" w:rsidR="009C4D90" w:rsidRPr="003D7279" w:rsidRDefault="009C4D90" w:rsidP="004C2BCE">
            <w:pPr>
              <w:contextualSpacing/>
              <w:jc w:val="both"/>
            </w:pPr>
            <w:r w:rsidRPr="003D7279">
              <w:t>Projekts šo jomu neskar.</w:t>
            </w:r>
          </w:p>
        </w:tc>
      </w:tr>
      <w:tr w:rsidR="00F53131" w14:paraId="76A76C82" w14:textId="77777777" w:rsidTr="00F53131">
        <w:trPr>
          <w:trHeight w:val="510"/>
        </w:trPr>
        <w:tc>
          <w:tcPr>
            <w:tcW w:w="349" w:type="pct"/>
            <w:tcBorders>
              <w:top w:val="outset" w:sz="6" w:space="0" w:color="414142"/>
              <w:left w:val="outset" w:sz="6" w:space="0" w:color="414142"/>
              <w:bottom w:val="outset" w:sz="6" w:space="0" w:color="414142"/>
              <w:right w:val="outset" w:sz="6" w:space="0" w:color="414142"/>
            </w:tcBorders>
          </w:tcPr>
          <w:p w14:paraId="1C344C6B" w14:textId="1D004F4E" w:rsidR="00F53131" w:rsidRPr="003D7279" w:rsidRDefault="00F53131" w:rsidP="004C2BCE">
            <w:pPr>
              <w:contextualSpacing/>
              <w:jc w:val="center"/>
            </w:pPr>
            <w:r>
              <w:t>4.</w:t>
            </w:r>
          </w:p>
        </w:tc>
        <w:tc>
          <w:tcPr>
            <w:tcW w:w="1500" w:type="pct"/>
            <w:tcBorders>
              <w:top w:val="outset" w:sz="6" w:space="0" w:color="414142"/>
              <w:left w:val="outset" w:sz="6" w:space="0" w:color="414142"/>
              <w:bottom w:val="outset" w:sz="6" w:space="0" w:color="414142"/>
              <w:right w:val="outset" w:sz="6" w:space="0" w:color="414142"/>
            </w:tcBorders>
          </w:tcPr>
          <w:p w14:paraId="1D646589" w14:textId="338763FE" w:rsidR="00F53131" w:rsidRPr="003D7279" w:rsidRDefault="00F53131" w:rsidP="004C2BCE">
            <w:pPr>
              <w:contextualSpacing/>
            </w:pPr>
            <w:r w:rsidRPr="00F53131">
              <w:t>Atbilstības izmaksu monetārs novērtējums</w:t>
            </w:r>
          </w:p>
        </w:tc>
        <w:tc>
          <w:tcPr>
            <w:tcW w:w="3151" w:type="pct"/>
            <w:tcBorders>
              <w:top w:val="outset" w:sz="6" w:space="0" w:color="414142"/>
              <w:left w:val="outset" w:sz="6" w:space="0" w:color="414142"/>
              <w:bottom w:val="outset" w:sz="6" w:space="0" w:color="414142"/>
              <w:right w:val="outset" w:sz="6" w:space="0" w:color="414142"/>
            </w:tcBorders>
          </w:tcPr>
          <w:p w14:paraId="2F98093E" w14:textId="3BA17E0D" w:rsidR="00F53131" w:rsidRPr="003D7279" w:rsidRDefault="00F53131" w:rsidP="004C2BCE">
            <w:pPr>
              <w:contextualSpacing/>
              <w:jc w:val="both"/>
            </w:pPr>
            <w:r w:rsidRPr="00F53131">
              <w:t>Projekts šo jomu neskar.</w:t>
            </w:r>
          </w:p>
        </w:tc>
      </w:tr>
      <w:tr w:rsidR="009C4D90" w14:paraId="32BBE0B6" w14:textId="77777777" w:rsidTr="00F53131">
        <w:trPr>
          <w:trHeight w:val="345"/>
        </w:trPr>
        <w:tc>
          <w:tcPr>
            <w:tcW w:w="349" w:type="pct"/>
            <w:tcBorders>
              <w:top w:val="outset" w:sz="6" w:space="0" w:color="414142"/>
              <w:left w:val="outset" w:sz="6" w:space="0" w:color="414142"/>
              <w:bottom w:val="outset" w:sz="6" w:space="0" w:color="414142"/>
              <w:right w:val="outset" w:sz="6" w:space="0" w:color="414142"/>
            </w:tcBorders>
            <w:hideMark/>
          </w:tcPr>
          <w:p w14:paraId="3E72D88D" w14:textId="2E409FA2" w:rsidR="009C4D90" w:rsidRPr="003D7279" w:rsidRDefault="00F53131" w:rsidP="004C2BCE">
            <w:pPr>
              <w:contextualSpacing/>
              <w:jc w:val="center"/>
            </w:pPr>
            <w:r>
              <w:t>5</w:t>
            </w:r>
            <w:r w:rsidR="009C4D90" w:rsidRPr="003D7279">
              <w:t>.</w:t>
            </w:r>
          </w:p>
        </w:tc>
        <w:tc>
          <w:tcPr>
            <w:tcW w:w="1500" w:type="pct"/>
            <w:tcBorders>
              <w:top w:val="outset" w:sz="6" w:space="0" w:color="414142"/>
              <w:left w:val="outset" w:sz="6" w:space="0" w:color="414142"/>
              <w:bottom w:val="outset" w:sz="6" w:space="0" w:color="414142"/>
              <w:right w:val="outset" w:sz="6" w:space="0" w:color="414142"/>
            </w:tcBorders>
            <w:hideMark/>
          </w:tcPr>
          <w:p w14:paraId="56EA626D" w14:textId="77777777" w:rsidR="009C4D90" w:rsidRPr="003D7279" w:rsidRDefault="009C4D90" w:rsidP="004C2BCE">
            <w:pPr>
              <w:contextualSpacing/>
            </w:pPr>
            <w:r w:rsidRPr="003D7279">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78CEDB31" w14:textId="28F8D307" w:rsidR="009C4D90" w:rsidRPr="003D7279" w:rsidRDefault="00F53131" w:rsidP="004C2BCE">
            <w:pPr>
              <w:contextualSpacing/>
              <w:jc w:val="both"/>
            </w:pPr>
            <w:r>
              <w:t>Nav</w:t>
            </w:r>
          </w:p>
        </w:tc>
      </w:tr>
    </w:tbl>
    <w:p w14:paraId="6CA86DF9" w14:textId="77777777" w:rsidR="009C4D90" w:rsidRDefault="009C4D90" w:rsidP="009C4D90">
      <w:pPr>
        <w:shd w:val="clear" w:color="auto" w:fill="FFFFFF"/>
        <w:ind w:firstLine="300"/>
        <w:contextualSpacing/>
      </w:pPr>
      <w:r w:rsidRPr="003D7279">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4D90" w14:paraId="38434417" w14:textId="77777777" w:rsidTr="004C2BC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4D8B276" w14:textId="77777777" w:rsidR="009C4D90" w:rsidRPr="003D7279" w:rsidRDefault="009C4D90" w:rsidP="004C2BCE">
            <w:pPr>
              <w:spacing w:before="100" w:beforeAutospacing="1" w:after="100" w:afterAutospacing="1" w:line="293" w:lineRule="atLeast"/>
              <w:jc w:val="center"/>
              <w:rPr>
                <w:b/>
                <w:bCs/>
              </w:rPr>
            </w:pPr>
            <w:r w:rsidRPr="003D7279">
              <w:rPr>
                <w:b/>
                <w:bCs/>
              </w:rPr>
              <w:t>III. Tiesību akta projekta ietekme uz valsts budžetu un pašvaldību budžetiem</w:t>
            </w:r>
          </w:p>
        </w:tc>
      </w:tr>
      <w:tr w:rsidR="009C4D90" w14:paraId="6CE4D47D" w14:textId="77777777" w:rsidTr="004C2BC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797FD80" w14:textId="77777777" w:rsidR="009C4D90" w:rsidRPr="003D7279" w:rsidRDefault="009C4D90" w:rsidP="004C2BCE">
            <w:pPr>
              <w:spacing w:before="100" w:beforeAutospacing="1" w:after="100" w:afterAutospacing="1" w:line="293" w:lineRule="atLeast"/>
              <w:jc w:val="center"/>
              <w:rPr>
                <w:bCs/>
              </w:rPr>
            </w:pPr>
            <w:r w:rsidRPr="003D7279">
              <w:rPr>
                <w:bCs/>
              </w:rPr>
              <w:t>Projekts šo jomu neskar</w:t>
            </w:r>
          </w:p>
        </w:tc>
      </w:tr>
    </w:tbl>
    <w:p w14:paraId="21B8BA12" w14:textId="77777777" w:rsidR="009C4D90" w:rsidRPr="003D7279" w:rsidRDefault="009C4D90" w:rsidP="009C4D90">
      <w:pPr>
        <w:shd w:val="clear" w:color="auto" w:fill="FFFFFF"/>
        <w:ind w:firstLine="300"/>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C4D90" w14:paraId="5C252C1B" w14:textId="77777777" w:rsidTr="004C2BCE">
        <w:trPr>
          <w:trHeight w:val="45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C7055A" w14:textId="77777777" w:rsidR="009C4D90" w:rsidRPr="003D7279" w:rsidRDefault="009C4D90" w:rsidP="004C2BCE">
            <w:pPr>
              <w:contextualSpacing/>
              <w:jc w:val="center"/>
              <w:rPr>
                <w:b/>
                <w:bCs/>
              </w:rPr>
            </w:pPr>
            <w:r w:rsidRPr="003D7279">
              <w:rPr>
                <w:b/>
                <w:bCs/>
              </w:rPr>
              <w:t>IV. Tiesību akta projekta ietekme uz spēkā esošo tiesību normu sistēmu</w:t>
            </w:r>
          </w:p>
        </w:tc>
      </w:tr>
      <w:tr w:rsidR="004F7DDB" w14:paraId="30E22568" w14:textId="77777777" w:rsidTr="003C09C5">
        <w:trPr>
          <w:trHeight w:val="30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CC306A2" w14:textId="7E6FAADD" w:rsidR="004F7DDB" w:rsidRPr="003C09C5" w:rsidRDefault="004F7DDB" w:rsidP="004C2BCE">
            <w:pPr>
              <w:contextualSpacing/>
              <w:jc w:val="center"/>
              <w:rPr>
                <w:bCs/>
              </w:rPr>
            </w:pPr>
            <w:r w:rsidRPr="003C09C5">
              <w:rPr>
                <w:bCs/>
              </w:rPr>
              <w:t>Projekts šo jomu neskar</w:t>
            </w:r>
          </w:p>
        </w:tc>
      </w:tr>
    </w:tbl>
    <w:p w14:paraId="22C982B5" w14:textId="77777777" w:rsidR="009C4D90" w:rsidRPr="003D7279" w:rsidRDefault="009C4D90" w:rsidP="009C4D90"/>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C4D90" w14:paraId="797A0F47" w14:textId="77777777" w:rsidTr="004C2BCE">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82AAE" w14:textId="77777777" w:rsidR="009C4D90" w:rsidRPr="003D7279" w:rsidRDefault="009C4D90" w:rsidP="004C2BCE">
            <w:pPr>
              <w:spacing w:before="100" w:beforeAutospacing="1" w:after="100" w:afterAutospacing="1" w:line="293" w:lineRule="atLeast"/>
              <w:jc w:val="center"/>
              <w:rPr>
                <w:b/>
                <w:bCs/>
              </w:rPr>
            </w:pPr>
            <w:r w:rsidRPr="003D7279">
              <w:rPr>
                <w:b/>
                <w:bCs/>
              </w:rPr>
              <w:t>V. Tiesību akta projekta atbilstība Latvijas Republikas starptautiskajām saistībām</w:t>
            </w:r>
          </w:p>
        </w:tc>
      </w:tr>
      <w:tr w:rsidR="009C4D90" w14:paraId="2293B597" w14:textId="77777777" w:rsidTr="004C2BCE">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AA90E3A" w14:textId="77777777" w:rsidR="009C4D90" w:rsidRPr="003D7279" w:rsidRDefault="009C4D90" w:rsidP="004C2BCE">
            <w:pPr>
              <w:jc w:val="center"/>
            </w:pPr>
            <w:r w:rsidRPr="003D7279">
              <w:rPr>
                <w:bCs/>
              </w:rPr>
              <w:t>Projekts šo jomu neskar</w:t>
            </w:r>
          </w:p>
        </w:tc>
      </w:tr>
    </w:tbl>
    <w:p w14:paraId="17AA38A0" w14:textId="77777777" w:rsidR="009C4D90" w:rsidRPr="003D7279" w:rsidRDefault="009C4D90" w:rsidP="009C4D90">
      <w:pPr>
        <w:shd w:val="clear" w:color="auto" w:fill="FFFFFF"/>
        <w:ind w:firstLine="300"/>
        <w:contextualSpacing/>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72"/>
        <w:gridCol w:w="2703"/>
        <w:gridCol w:w="5980"/>
      </w:tblGrid>
      <w:tr w:rsidR="009C4D90" w14:paraId="7316E01D" w14:textId="77777777" w:rsidTr="004C2BCE">
        <w:trPr>
          <w:trHeight w:val="420"/>
          <w:jc w:val="center"/>
        </w:trPr>
        <w:tc>
          <w:tcPr>
            <w:tcW w:w="10450" w:type="dxa"/>
            <w:gridSpan w:val="3"/>
            <w:tcBorders>
              <w:top w:val="outset" w:sz="6" w:space="0" w:color="414142"/>
              <w:left w:val="outset" w:sz="6" w:space="0" w:color="414142"/>
              <w:bottom w:val="outset" w:sz="6" w:space="0" w:color="414142"/>
              <w:right w:val="outset" w:sz="6" w:space="0" w:color="414142"/>
            </w:tcBorders>
            <w:vAlign w:val="center"/>
            <w:hideMark/>
          </w:tcPr>
          <w:p w14:paraId="784B12A3" w14:textId="77777777" w:rsidR="009C4D90" w:rsidRPr="003D7279" w:rsidRDefault="009C4D90" w:rsidP="004C2BCE">
            <w:pPr>
              <w:contextualSpacing/>
              <w:jc w:val="center"/>
              <w:rPr>
                <w:b/>
                <w:bCs/>
              </w:rPr>
            </w:pPr>
            <w:r w:rsidRPr="003D7279">
              <w:rPr>
                <w:b/>
                <w:bCs/>
              </w:rPr>
              <w:t>VI. Sabiedrības līdzdalība un komunikācijas aktivitātes</w:t>
            </w:r>
          </w:p>
        </w:tc>
      </w:tr>
      <w:tr w:rsidR="009C4D90" w14:paraId="5F61202F" w14:textId="77777777" w:rsidTr="004C2BCE">
        <w:trPr>
          <w:trHeight w:val="540"/>
          <w:jc w:val="center"/>
        </w:trPr>
        <w:tc>
          <w:tcPr>
            <w:tcW w:w="418" w:type="dxa"/>
            <w:tcBorders>
              <w:top w:val="outset" w:sz="6" w:space="0" w:color="414142"/>
              <w:left w:val="outset" w:sz="6" w:space="0" w:color="414142"/>
              <w:bottom w:val="outset" w:sz="6" w:space="0" w:color="414142"/>
              <w:right w:val="outset" w:sz="6" w:space="0" w:color="414142"/>
            </w:tcBorders>
            <w:hideMark/>
          </w:tcPr>
          <w:p w14:paraId="4FA09DC3" w14:textId="77777777" w:rsidR="009C4D90" w:rsidRPr="003D7279" w:rsidRDefault="009C4D90" w:rsidP="004C2BCE">
            <w:pPr>
              <w:contextualSpacing/>
            </w:pPr>
            <w:r w:rsidRPr="003D7279">
              <w:t>1.</w:t>
            </w:r>
          </w:p>
        </w:tc>
        <w:tc>
          <w:tcPr>
            <w:tcW w:w="3118" w:type="dxa"/>
            <w:tcBorders>
              <w:top w:val="outset" w:sz="6" w:space="0" w:color="414142"/>
              <w:left w:val="outset" w:sz="6" w:space="0" w:color="414142"/>
              <w:bottom w:val="outset" w:sz="6" w:space="0" w:color="414142"/>
              <w:right w:val="outset" w:sz="6" w:space="0" w:color="414142"/>
            </w:tcBorders>
            <w:hideMark/>
          </w:tcPr>
          <w:p w14:paraId="5FD12AF6" w14:textId="77777777" w:rsidR="009C4D90" w:rsidRPr="003D7279" w:rsidRDefault="009C4D90" w:rsidP="004C2BCE">
            <w:pPr>
              <w:contextualSpacing/>
            </w:pPr>
            <w:r w:rsidRPr="003D7279">
              <w:t>Plānotās sabiedrības līdzdalības un komunikācijas aktivitātes saistībā ar projektu</w:t>
            </w:r>
          </w:p>
        </w:tc>
        <w:tc>
          <w:tcPr>
            <w:tcW w:w="6914" w:type="dxa"/>
            <w:tcBorders>
              <w:top w:val="outset" w:sz="6" w:space="0" w:color="414142"/>
              <w:left w:val="outset" w:sz="6" w:space="0" w:color="414142"/>
              <w:bottom w:val="outset" w:sz="6" w:space="0" w:color="414142"/>
              <w:right w:val="outset" w:sz="6" w:space="0" w:color="414142"/>
            </w:tcBorders>
          </w:tcPr>
          <w:p w14:paraId="508AAC55" w14:textId="2FE0022D" w:rsidR="0014633F" w:rsidRDefault="00E65471" w:rsidP="0014633F">
            <w:pPr>
              <w:contextualSpacing/>
              <w:jc w:val="both"/>
            </w:pPr>
            <w:r w:rsidRPr="00E65471">
              <w:t>Noteikumu projekts tika saskaņots ar Latvijas Siltuma, gāzes un ūdens tehnoloģijas inženieru savienības Standartizācijas Tehnisko komiteju, kā arī izskatīts Latvijas Būvniecības padomes sēdē 2018.gada 17.decembrī.</w:t>
            </w:r>
            <w:r w:rsidR="0014633F">
              <w:t xml:space="preserve"> Saskaņā ar Ministru kabineta 2009. gada 25. augusta noteikumu Nr. 970 “Sabiedrības līdzdalības kārtība attīstības plānošanas procesā” 5. punktu ir nodrošināta atbilstoša sabiedrības līdzdalība laika periodā no 2019. gada 4. marta līdz 2019. gada 18. martam. https://em.gov.lv/lv/par_ministriju/sabiedribas_lidzdaliba/diskusiju_dokumenti/buvniecibas_politika/</w:t>
            </w:r>
          </w:p>
          <w:p w14:paraId="766A197F" w14:textId="73020753" w:rsidR="009C4D90" w:rsidRPr="003D7279" w:rsidRDefault="0014633F" w:rsidP="0014633F">
            <w:pPr>
              <w:contextualSpacing/>
              <w:jc w:val="both"/>
            </w:pPr>
            <w:r>
              <w:t>Tā kā noteikumu projekts ir izsludināts Valsts sekretāra sanāksmē, tas pieejams Ministru kabineta mājās lapā tīmekļa vietnē.</w:t>
            </w:r>
          </w:p>
        </w:tc>
      </w:tr>
      <w:tr w:rsidR="009C4D90" w14:paraId="0EF78BF4" w14:textId="77777777" w:rsidTr="004C2BCE">
        <w:trPr>
          <w:trHeight w:val="330"/>
          <w:jc w:val="center"/>
        </w:trPr>
        <w:tc>
          <w:tcPr>
            <w:tcW w:w="418" w:type="dxa"/>
            <w:tcBorders>
              <w:top w:val="outset" w:sz="6" w:space="0" w:color="414142"/>
              <w:left w:val="outset" w:sz="6" w:space="0" w:color="414142"/>
              <w:bottom w:val="outset" w:sz="6" w:space="0" w:color="414142"/>
              <w:right w:val="outset" w:sz="6" w:space="0" w:color="414142"/>
            </w:tcBorders>
            <w:hideMark/>
          </w:tcPr>
          <w:p w14:paraId="2C1C9F70" w14:textId="77777777" w:rsidR="009C4D90" w:rsidRPr="003D7279" w:rsidRDefault="009C4D90" w:rsidP="004C2BCE">
            <w:pPr>
              <w:contextualSpacing/>
            </w:pPr>
            <w:r w:rsidRPr="003D7279">
              <w:t>2.</w:t>
            </w:r>
          </w:p>
        </w:tc>
        <w:tc>
          <w:tcPr>
            <w:tcW w:w="3118" w:type="dxa"/>
            <w:tcBorders>
              <w:top w:val="outset" w:sz="6" w:space="0" w:color="414142"/>
              <w:left w:val="outset" w:sz="6" w:space="0" w:color="414142"/>
              <w:bottom w:val="outset" w:sz="6" w:space="0" w:color="414142"/>
              <w:right w:val="outset" w:sz="6" w:space="0" w:color="414142"/>
            </w:tcBorders>
            <w:hideMark/>
          </w:tcPr>
          <w:p w14:paraId="611D68E6" w14:textId="77777777" w:rsidR="009C4D90" w:rsidRPr="003D7279" w:rsidRDefault="009C4D90" w:rsidP="004C2BCE">
            <w:pPr>
              <w:contextualSpacing/>
            </w:pPr>
            <w:r w:rsidRPr="003D7279">
              <w:t>Sabiedrības līdzdalība projekta izstrādē</w:t>
            </w:r>
          </w:p>
        </w:tc>
        <w:tc>
          <w:tcPr>
            <w:tcW w:w="6914" w:type="dxa"/>
            <w:tcBorders>
              <w:top w:val="outset" w:sz="6" w:space="0" w:color="414142"/>
              <w:left w:val="outset" w:sz="6" w:space="0" w:color="414142"/>
              <w:bottom w:val="outset" w:sz="6" w:space="0" w:color="414142"/>
              <w:right w:val="outset" w:sz="6" w:space="0" w:color="414142"/>
            </w:tcBorders>
          </w:tcPr>
          <w:p w14:paraId="404E17E5" w14:textId="5E3664E0" w:rsidR="009C4D90" w:rsidRPr="003D7279" w:rsidRDefault="0014633F" w:rsidP="004C2BCE">
            <w:pPr>
              <w:contextualSpacing/>
              <w:jc w:val="both"/>
            </w:pPr>
            <w:r w:rsidRPr="0014633F">
              <w:t>Sabiedrības priekšlikumi vai iebildumi nav saņemti.</w:t>
            </w:r>
          </w:p>
        </w:tc>
      </w:tr>
      <w:tr w:rsidR="009C4D90" w14:paraId="3489033F" w14:textId="77777777" w:rsidTr="004C2BCE">
        <w:trPr>
          <w:trHeight w:val="465"/>
          <w:jc w:val="center"/>
        </w:trPr>
        <w:tc>
          <w:tcPr>
            <w:tcW w:w="418" w:type="dxa"/>
            <w:tcBorders>
              <w:top w:val="outset" w:sz="6" w:space="0" w:color="414142"/>
              <w:left w:val="outset" w:sz="6" w:space="0" w:color="414142"/>
              <w:bottom w:val="outset" w:sz="6" w:space="0" w:color="414142"/>
              <w:right w:val="outset" w:sz="6" w:space="0" w:color="414142"/>
            </w:tcBorders>
            <w:hideMark/>
          </w:tcPr>
          <w:p w14:paraId="49C0C85C" w14:textId="77777777" w:rsidR="009C4D90" w:rsidRPr="003D7279" w:rsidRDefault="009C4D90" w:rsidP="004C2BCE">
            <w:pPr>
              <w:contextualSpacing/>
            </w:pPr>
            <w:r w:rsidRPr="003D7279">
              <w:t>3.</w:t>
            </w:r>
          </w:p>
        </w:tc>
        <w:tc>
          <w:tcPr>
            <w:tcW w:w="3118" w:type="dxa"/>
            <w:tcBorders>
              <w:top w:val="outset" w:sz="6" w:space="0" w:color="414142"/>
              <w:left w:val="outset" w:sz="6" w:space="0" w:color="414142"/>
              <w:bottom w:val="outset" w:sz="6" w:space="0" w:color="414142"/>
              <w:right w:val="outset" w:sz="6" w:space="0" w:color="414142"/>
            </w:tcBorders>
            <w:hideMark/>
          </w:tcPr>
          <w:p w14:paraId="03D35E85" w14:textId="77777777" w:rsidR="009C4D90" w:rsidRPr="003D7279" w:rsidRDefault="009C4D90" w:rsidP="004C2BCE">
            <w:pPr>
              <w:contextualSpacing/>
            </w:pPr>
            <w:r w:rsidRPr="003D7279">
              <w:t>Sabiedrības līdzdalības rezultāti</w:t>
            </w:r>
          </w:p>
        </w:tc>
        <w:tc>
          <w:tcPr>
            <w:tcW w:w="6914" w:type="dxa"/>
            <w:tcBorders>
              <w:top w:val="outset" w:sz="6" w:space="0" w:color="414142"/>
              <w:left w:val="outset" w:sz="6" w:space="0" w:color="414142"/>
              <w:bottom w:val="outset" w:sz="6" w:space="0" w:color="414142"/>
              <w:right w:val="outset" w:sz="6" w:space="0" w:color="414142"/>
            </w:tcBorders>
          </w:tcPr>
          <w:p w14:paraId="6C73E0EE" w14:textId="0C1B34E5" w:rsidR="009C4D90" w:rsidRPr="003D7279" w:rsidRDefault="0014633F" w:rsidP="004C2BCE">
            <w:pPr>
              <w:contextualSpacing/>
              <w:jc w:val="both"/>
            </w:pPr>
            <w:r w:rsidRPr="0014633F">
              <w:t>Sabiedrības līdzdalības rezultāti tiks apkopoti pēc apspriešanas beigu termiņa.</w:t>
            </w:r>
          </w:p>
        </w:tc>
      </w:tr>
      <w:tr w:rsidR="009C4D90" w14:paraId="318D1FF5" w14:textId="77777777" w:rsidTr="004C2BCE">
        <w:trPr>
          <w:trHeight w:val="290"/>
          <w:jc w:val="center"/>
        </w:trPr>
        <w:tc>
          <w:tcPr>
            <w:tcW w:w="418" w:type="dxa"/>
            <w:tcBorders>
              <w:top w:val="outset" w:sz="6" w:space="0" w:color="414142"/>
              <w:left w:val="outset" w:sz="6" w:space="0" w:color="414142"/>
              <w:bottom w:val="outset" w:sz="6" w:space="0" w:color="414142"/>
              <w:right w:val="outset" w:sz="6" w:space="0" w:color="414142"/>
            </w:tcBorders>
            <w:hideMark/>
          </w:tcPr>
          <w:p w14:paraId="074E5A3D" w14:textId="77777777" w:rsidR="009C4D90" w:rsidRPr="003D7279" w:rsidRDefault="009C4D90" w:rsidP="004C2BCE">
            <w:pPr>
              <w:contextualSpacing/>
            </w:pPr>
            <w:r w:rsidRPr="003D7279">
              <w:t>4.</w:t>
            </w:r>
          </w:p>
        </w:tc>
        <w:tc>
          <w:tcPr>
            <w:tcW w:w="3118" w:type="dxa"/>
            <w:tcBorders>
              <w:top w:val="outset" w:sz="6" w:space="0" w:color="414142"/>
              <w:left w:val="outset" w:sz="6" w:space="0" w:color="414142"/>
              <w:bottom w:val="outset" w:sz="6" w:space="0" w:color="414142"/>
              <w:right w:val="outset" w:sz="6" w:space="0" w:color="414142"/>
            </w:tcBorders>
            <w:hideMark/>
          </w:tcPr>
          <w:p w14:paraId="63E87B2C" w14:textId="77777777" w:rsidR="009C4D90" w:rsidRPr="003D7279" w:rsidRDefault="009C4D90" w:rsidP="004C2BCE">
            <w:pPr>
              <w:contextualSpacing/>
            </w:pPr>
            <w:r w:rsidRPr="003D7279">
              <w:t>Cita informācija</w:t>
            </w:r>
          </w:p>
        </w:tc>
        <w:tc>
          <w:tcPr>
            <w:tcW w:w="6914" w:type="dxa"/>
            <w:tcBorders>
              <w:top w:val="outset" w:sz="6" w:space="0" w:color="414142"/>
              <w:left w:val="outset" w:sz="6" w:space="0" w:color="414142"/>
              <w:bottom w:val="outset" w:sz="6" w:space="0" w:color="414142"/>
              <w:right w:val="outset" w:sz="6" w:space="0" w:color="414142"/>
            </w:tcBorders>
          </w:tcPr>
          <w:p w14:paraId="68CA3CD8" w14:textId="77777777" w:rsidR="009C4D90" w:rsidRPr="003D7279" w:rsidRDefault="009C4D90" w:rsidP="004C2BCE">
            <w:pPr>
              <w:contextualSpacing/>
            </w:pPr>
            <w:r w:rsidRPr="003D7279">
              <w:t>Nav</w:t>
            </w:r>
          </w:p>
        </w:tc>
      </w:tr>
    </w:tbl>
    <w:p w14:paraId="0E0FCCA7" w14:textId="77777777" w:rsidR="009C4D90" w:rsidRPr="003D7279" w:rsidRDefault="009C4D90" w:rsidP="009C4D90">
      <w:pPr>
        <w:shd w:val="clear" w:color="auto" w:fill="FFFFFF"/>
        <w:ind w:firstLine="300"/>
        <w:contextualSpacing/>
      </w:pPr>
      <w:r w:rsidRPr="003D7279">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9C4D90" w14:paraId="7B68A3F6" w14:textId="77777777" w:rsidTr="004C2B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2AE38F" w14:textId="77777777" w:rsidR="009C4D90" w:rsidRPr="003D7279" w:rsidRDefault="009C4D90" w:rsidP="004C2BCE">
            <w:pPr>
              <w:contextualSpacing/>
              <w:jc w:val="center"/>
              <w:rPr>
                <w:b/>
                <w:bCs/>
              </w:rPr>
            </w:pPr>
            <w:r w:rsidRPr="003D7279">
              <w:rPr>
                <w:b/>
                <w:bCs/>
              </w:rPr>
              <w:t>VII. Tiesību akta projekta izpildes nodrošināšana un tās ietekme uz institūcijām</w:t>
            </w:r>
          </w:p>
        </w:tc>
      </w:tr>
      <w:tr w:rsidR="009C4D90" w14:paraId="6EF10961" w14:textId="77777777" w:rsidTr="004C2BC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8670B5A" w14:textId="77777777" w:rsidR="009C4D90" w:rsidRPr="003D7279" w:rsidRDefault="009C4D90" w:rsidP="004C2BCE">
            <w:pPr>
              <w:contextualSpacing/>
            </w:pPr>
            <w:r w:rsidRPr="003D7279">
              <w:t>1.</w:t>
            </w:r>
          </w:p>
        </w:tc>
        <w:tc>
          <w:tcPr>
            <w:tcW w:w="1900" w:type="pct"/>
            <w:tcBorders>
              <w:top w:val="outset" w:sz="6" w:space="0" w:color="414142"/>
              <w:left w:val="outset" w:sz="6" w:space="0" w:color="414142"/>
              <w:bottom w:val="outset" w:sz="6" w:space="0" w:color="414142"/>
              <w:right w:val="outset" w:sz="6" w:space="0" w:color="414142"/>
            </w:tcBorders>
            <w:hideMark/>
          </w:tcPr>
          <w:p w14:paraId="242B669F" w14:textId="77777777" w:rsidR="009C4D90" w:rsidRPr="003D7279" w:rsidRDefault="009C4D90" w:rsidP="004C2BCE">
            <w:pPr>
              <w:contextualSpacing/>
            </w:pPr>
            <w:r w:rsidRPr="003D7279">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00C9D08" w14:textId="3DFDCFC4" w:rsidR="009C4D90" w:rsidRPr="003D7279" w:rsidRDefault="005A09F9" w:rsidP="004C2BCE">
            <w:pPr>
              <w:contextualSpacing/>
              <w:jc w:val="both"/>
            </w:pPr>
            <w:r>
              <w:t>Ekonomikas ministrija</w:t>
            </w:r>
          </w:p>
        </w:tc>
      </w:tr>
      <w:tr w:rsidR="009C4D90" w14:paraId="3EBA8B78" w14:textId="77777777" w:rsidTr="004C2BCE">
        <w:trPr>
          <w:trHeight w:val="450"/>
          <w:jc w:val="center"/>
        </w:trPr>
        <w:tc>
          <w:tcPr>
            <w:tcW w:w="250" w:type="pct"/>
            <w:tcBorders>
              <w:top w:val="outset" w:sz="6" w:space="0" w:color="414142"/>
              <w:left w:val="outset" w:sz="6" w:space="0" w:color="414142"/>
              <w:bottom w:val="single" w:sz="4" w:space="0" w:color="auto"/>
              <w:right w:val="outset" w:sz="6" w:space="0" w:color="414142"/>
            </w:tcBorders>
            <w:hideMark/>
          </w:tcPr>
          <w:p w14:paraId="3001C766" w14:textId="77777777" w:rsidR="009C4D90" w:rsidRPr="003D7279" w:rsidRDefault="009C4D90" w:rsidP="004C2BCE">
            <w:pPr>
              <w:contextualSpacing/>
            </w:pPr>
            <w:r w:rsidRPr="003D7279">
              <w:t>2.</w:t>
            </w:r>
          </w:p>
        </w:tc>
        <w:tc>
          <w:tcPr>
            <w:tcW w:w="1900" w:type="pct"/>
            <w:tcBorders>
              <w:top w:val="outset" w:sz="6" w:space="0" w:color="414142"/>
              <w:left w:val="outset" w:sz="6" w:space="0" w:color="414142"/>
              <w:bottom w:val="single" w:sz="4" w:space="0" w:color="auto"/>
              <w:right w:val="outset" w:sz="6" w:space="0" w:color="414142"/>
            </w:tcBorders>
            <w:hideMark/>
          </w:tcPr>
          <w:p w14:paraId="4F4B62F4" w14:textId="77777777" w:rsidR="009C4D90" w:rsidRPr="003D7279" w:rsidRDefault="009C4D90" w:rsidP="004C2BCE">
            <w:pPr>
              <w:contextualSpacing/>
            </w:pPr>
            <w:r w:rsidRPr="003D7279">
              <w:t>Projekta izpildes ietekme uz pārvaldes funkcijām un institucionālo struktūru.</w:t>
            </w:r>
          </w:p>
          <w:p w14:paraId="1A200EBF" w14:textId="77777777" w:rsidR="009C4D90" w:rsidRPr="003D7279" w:rsidRDefault="009C4D90" w:rsidP="004C2BCE">
            <w:pPr>
              <w:contextualSpacing/>
            </w:pPr>
            <w:r w:rsidRPr="003D7279">
              <w:t>Jaunu institūciju izveide, esošu institūciju likvidācija vai reorganizācija, to ietekme uz institūcijas cilvēkresursiem</w:t>
            </w:r>
          </w:p>
        </w:tc>
        <w:tc>
          <w:tcPr>
            <w:tcW w:w="2850" w:type="pct"/>
            <w:tcBorders>
              <w:top w:val="outset" w:sz="6" w:space="0" w:color="414142"/>
              <w:left w:val="outset" w:sz="6" w:space="0" w:color="414142"/>
              <w:bottom w:val="single" w:sz="4" w:space="0" w:color="auto"/>
              <w:right w:val="outset" w:sz="6" w:space="0" w:color="414142"/>
            </w:tcBorders>
            <w:hideMark/>
          </w:tcPr>
          <w:p w14:paraId="5AE282A3" w14:textId="61549AAF" w:rsidR="009C4D90" w:rsidRPr="003D7279" w:rsidRDefault="005A09F9" w:rsidP="00185500">
            <w:pPr>
              <w:contextualSpacing/>
              <w:jc w:val="both"/>
            </w:pPr>
            <w:r>
              <w:t>P</w:t>
            </w:r>
            <w:r w:rsidR="00185500" w:rsidRPr="00185500">
              <w:t xml:space="preserve">rojekta izpilde neietekmēs </w:t>
            </w:r>
            <w:r w:rsidRPr="00185500">
              <w:t>institūcij</w:t>
            </w:r>
            <w:r>
              <w:t>as</w:t>
            </w:r>
            <w:r w:rsidRPr="00185500">
              <w:t xml:space="preserve"> </w:t>
            </w:r>
            <w:r w:rsidR="00185500" w:rsidRPr="00185500">
              <w:t>cilvēkresursus</w:t>
            </w:r>
            <w:r>
              <w:t xml:space="preserve">, jaunas institūcijas netiks veidotas </w:t>
            </w:r>
            <w:r w:rsidRPr="005A09F9">
              <w:t>un nav nepieciešams likvidēt vai reorganizēt esoš</w:t>
            </w:r>
            <w:r>
              <w:t>o</w:t>
            </w:r>
            <w:r w:rsidRPr="005A09F9">
              <w:t xml:space="preserve"> institūcij</w:t>
            </w:r>
            <w:r>
              <w:t>u</w:t>
            </w:r>
            <w:r w:rsidRPr="005A09F9">
              <w:t>.</w:t>
            </w:r>
          </w:p>
        </w:tc>
      </w:tr>
      <w:tr w:rsidR="009C4D90" w14:paraId="72993D6A" w14:textId="77777777" w:rsidTr="004C2BCE">
        <w:trPr>
          <w:trHeight w:val="390"/>
          <w:jc w:val="center"/>
        </w:trPr>
        <w:tc>
          <w:tcPr>
            <w:tcW w:w="250" w:type="pct"/>
            <w:tcBorders>
              <w:top w:val="single" w:sz="4" w:space="0" w:color="auto"/>
              <w:left w:val="single" w:sz="4" w:space="0" w:color="auto"/>
              <w:bottom w:val="single" w:sz="4" w:space="0" w:color="auto"/>
              <w:right w:val="single" w:sz="4" w:space="0" w:color="auto"/>
            </w:tcBorders>
            <w:hideMark/>
          </w:tcPr>
          <w:p w14:paraId="158555C9" w14:textId="77777777" w:rsidR="009C4D90" w:rsidRPr="003D7279" w:rsidRDefault="009C4D90" w:rsidP="004C2BCE">
            <w:pPr>
              <w:contextualSpacing/>
            </w:pPr>
            <w:r w:rsidRPr="003D7279">
              <w:t>3.</w:t>
            </w:r>
          </w:p>
        </w:tc>
        <w:tc>
          <w:tcPr>
            <w:tcW w:w="1900" w:type="pct"/>
            <w:tcBorders>
              <w:top w:val="single" w:sz="4" w:space="0" w:color="auto"/>
              <w:left w:val="single" w:sz="4" w:space="0" w:color="auto"/>
              <w:bottom w:val="single" w:sz="4" w:space="0" w:color="auto"/>
              <w:right w:val="single" w:sz="4" w:space="0" w:color="auto"/>
            </w:tcBorders>
            <w:hideMark/>
          </w:tcPr>
          <w:p w14:paraId="3738B5AB" w14:textId="77777777" w:rsidR="009C4D90" w:rsidRPr="003D7279" w:rsidRDefault="009C4D90" w:rsidP="004C2BCE">
            <w:pPr>
              <w:contextualSpacing/>
            </w:pPr>
            <w:r w:rsidRPr="003D7279">
              <w:t>Cita informācija</w:t>
            </w:r>
          </w:p>
        </w:tc>
        <w:tc>
          <w:tcPr>
            <w:tcW w:w="2850" w:type="pct"/>
            <w:tcBorders>
              <w:top w:val="single" w:sz="4" w:space="0" w:color="auto"/>
              <w:left w:val="single" w:sz="4" w:space="0" w:color="auto"/>
              <w:bottom w:val="single" w:sz="4" w:space="0" w:color="auto"/>
              <w:right w:val="single" w:sz="4" w:space="0" w:color="auto"/>
            </w:tcBorders>
            <w:hideMark/>
          </w:tcPr>
          <w:p w14:paraId="159E3D10" w14:textId="77777777" w:rsidR="009C4D90" w:rsidRPr="003D7279" w:rsidRDefault="009C4D90" w:rsidP="004C2BCE">
            <w:pPr>
              <w:contextualSpacing/>
            </w:pPr>
            <w:r w:rsidRPr="003D7279">
              <w:t>Nav</w:t>
            </w:r>
          </w:p>
        </w:tc>
      </w:tr>
    </w:tbl>
    <w:p w14:paraId="7BD60AF5" w14:textId="77777777" w:rsidR="009C4D90" w:rsidRPr="003D7279" w:rsidRDefault="009C4D90" w:rsidP="009C4D90"/>
    <w:p w14:paraId="1BF8A0AB" w14:textId="77777777" w:rsidR="00185500" w:rsidRDefault="00185500" w:rsidP="009C4D90">
      <w:pPr>
        <w:rPr>
          <w:bCs/>
        </w:rPr>
      </w:pPr>
    </w:p>
    <w:p w14:paraId="11635075" w14:textId="77777777" w:rsidR="00185500" w:rsidRDefault="00185500" w:rsidP="009C4D90">
      <w:pPr>
        <w:rPr>
          <w:bCs/>
        </w:rPr>
      </w:pPr>
    </w:p>
    <w:p w14:paraId="1CB459F1" w14:textId="2539E068" w:rsidR="00185500" w:rsidRDefault="00185500" w:rsidP="009C4D90">
      <w:pPr>
        <w:rPr>
          <w:bCs/>
        </w:rPr>
      </w:pPr>
      <w:r w:rsidRPr="00185500">
        <w:rPr>
          <w:bCs/>
        </w:rPr>
        <w:t>Ekonomikas ministrs</w:t>
      </w:r>
      <w:r w:rsidRPr="00185500">
        <w:rPr>
          <w:bCs/>
        </w:rPr>
        <w:tab/>
      </w:r>
      <w:r w:rsidRPr="00185500">
        <w:rPr>
          <w:bCs/>
        </w:rPr>
        <w:tab/>
      </w:r>
      <w:r w:rsidRPr="00185500">
        <w:rPr>
          <w:bCs/>
        </w:rPr>
        <w:tab/>
      </w:r>
      <w:r w:rsidRPr="00185500">
        <w:rPr>
          <w:bCs/>
        </w:rPr>
        <w:tab/>
      </w:r>
      <w:r w:rsidRPr="00185500">
        <w:rPr>
          <w:bCs/>
        </w:rPr>
        <w:tab/>
      </w:r>
      <w:r w:rsidRPr="00185500">
        <w:rPr>
          <w:bCs/>
        </w:rPr>
        <w:tab/>
      </w:r>
      <w:r w:rsidRPr="00185500">
        <w:rPr>
          <w:bCs/>
        </w:rPr>
        <w:tab/>
      </w:r>
      <w:r w:rsidRPr="00185500">
        <w:rPr>
          <w:bCs/>
        </w:rPr>
        <w:tab/>
      </w:r>
      <w:r w:rsidR="00C143E0">
        <w:rPr>
          <w:bCs/>
        </w:rPr>
        <w:tab/>
      </w:r>
      <w:proofErr w:type="spellStart"/>
      <w:r w:rsidR="00C143E0">
        <w:rPr>
          <w:bCs/>
        </w:rPr>
        <w:t>R.Nemiro</w:t>
      </w:r>
      <w:proofErr w:type="spellEnd"/>
    </w:p>
    <w:p w14:paraId="53AE0EBA" w14:textId="77777777" w:rsidR="00185500" w:rsidRDefault="00185500" w:rsidP="009C4D90">
      <w:pPr>
        <w:rPr>
          <w:bCs/>
        </w:rPr>
      </w:pPr>
    </w:p>
    <w:p w14:paraId="5440F90E" w14:textId="77777777" w:rsidR="009C4D90" w:rsidRDefault="009C4D90" w:rsidP="009C4D90">
      <w:pPr>
        <w:rPr>
          <w:sz w:val="20"/>
          <w:szCs w:val="20"/>
        </w:rPr>
      </w:pPr>
    </w:p>
    <w:p w14:paraId="5B9F7530" w14:textId="3912034A" w:rsidR="009C4D90" w:rsidRDefault="009C4D90" w:rsidP="009C4D90">
      <w:pPr>
        <w:rPr>
          <w:sz w:val="20"/>
          <w:szCs w:val="20"/>
        </w:rPr>
      </w:pPr>
    </w:p>
    <w:p w14:paraId="365B9536" w14:textId="6570F030" w:rsidR="00C143E0" w:rsidRDefault="009013A8" w:rsidP="009013A8">
      <w:pPr>
        <w:tabs>
          <w:tab w:val="left" w:pos="1728"/>
          <w:tab w:val="center" w:pos="4535"/>
        </w:tabs>
        <w:rPr>
          <w:sz w:val="20"/>
          <w:szCs w:val="20"/>
        </w:rPr>
      </w:pPr>
      <w:r>
        <w:rPr>
          <w:sz w:val="20"/>
          <w:szCs w:val="20"/>
        </w:rPr>
        <w:tab/>
      </w:r>
      <w:r>
        <w:rPr>
          <w:sz w:val="20"/>
          <w:szCs w:val="20"/>
        </w:rPr>
        <w:tab/>
      </w:r>
    </w:p>
    <w:p w14:paraId="7F7511B2" w14:textId="4934D260" w:rsidR="00C143E0" w:rsidRDefault="00C143E0" w:rsidP="009C4D90">
      <w:pPr>
        <w:rPr>
          <w:sz w:val="20"/>
          <w:szCs w:val="20"/>
        </w:rPr>
      </w:pPr>
    </w:p>
    <w:p w14:paraId="0A777855" w14:textId="245004FC" w:rsidR="00C143E0" w:rsidRDefault="00C143E0" w:rsidP="009C4D90">
      <w:pPr>
        <w:rPr>
          <w:sz w:val="20"/>
          <w:szCs w:val="20"/>
        </w:rPr>
      </w:pPr>
    </w:p>
    <w:p w14:paraId="2CDC028D" w14:textId="0F5AAE3F" w:rsidR="00C143E0" w:rsidRDefault="00C143E0" w:rsidP="009C4D90">
      <w:pPr>
        <w:rPr>
          <w:sz w:val="20"/>
          <w:szCs w:val="20"/>
        </w:rPr>
      </w:pPr>
    </w:p>
    <w:p w14:paraId="24DB6441" w14:textId="77777777" w:rsidR="00C143E0" w:rsidRDefault="00C143E0" w:rsidP="009C4D90">
      <w:pPr>
        <w:rPr>
          <w:sz w:val="20"/>
          <w:szCs w:val="20"/>
        </w:rPr>
      </w:pPr>
    </w:p>
    <w:p w14:paraId="0F5F89E2" w14:textId="77777777" w:rsidR="009C4D90" w:rsidRDefault="009C4D90" w:rsidP="009C4D90">
      <w:pPr>
        <w:rPr>
          <w:sz w:val="20"/>
          <w:szCs w:val="20"/>
        </w:rPr>
      </w:pPr>
    </w:p>
    <w:p w14:paraId="5F39559A" w14:textId="77777777" w:rsidR="009C4D90" w:rsidRPr="003D7279" w:rsidRDefault="009C4D90" w:rsidP="009C4D90">
      <w:pPr>
        <w:rPr>
          <w:sz w:val="20"/>
          <w:szCs w:val="20"/>
        </w:rPr>
      </w:pPr>
      <w:r>
        <w:rPr>
          <w:sz w:val="20"/>
          <w:szCs w:val="20"/>
        </w:rPr>
        <w:t>Vīksna</w:t>
      </w:r>
      <w:r w:rsidRPr="003D7279">
        <w:rPr>
          <w:sz w:val="20"/>
          <w:szCs w:val="20"/>
        </w:rPr>
        <w:t>, 67013</w:t>
      </w:r>
      <w:r>
        <w:rPr>
          <w:sz w:val="20"/>
          <w:szCs w:val="20"/>
        </w:rPr>
        <w:t>140</w:t>
      </w:r>
    </w:p>
    <w:p w14:paraId="423D9209" w14:textId="0C85A0CC" w:rsidR="00325BB1" w:rsidRDefault="009C4D90" w:rsidP="009013A8">
      <w:r>
        <w:rPr>
          <w:sz w:val="20"/>
          <w:szCs w:val="20"/>
        </w:rPr>
        <w:t>Marija.Viksna</w:t>
      </w:r>
      <w:r w:rsidRPr="003D7279">
        <w:rPr>
          <w:sz w:val="20"/>
          <w:szCs w:val="20"/>
        </w:rPr>
        <w:t>@em.gov.lv</w:t>
      </w:r>
    </w:p>
    <w:sectPr w:rsidR="00325BB1" w:rsidSect="006138CB">
      <w:headerReference w:type="default" r:id="rId6"/>
      <w:footerReference w:type="default" r:id="rId7"/>
      <w:footerReference w:type="firs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5F3D" w14:textId="77777777" w:rsidR="0085471D" w:rsidRDefault="0085471D" w:rsidP="008F5493">
      <w:r>
        <w:separator/>
      </w:r>
    </w:p>
  </w:endnote>
  <w:endnote w:type="continuationSeparator" w:id="0">
    <w:p w14:paraId="1C0B72BE" w14:textId="77777777" w:rsidR="0085471D" w:rsidRDefault="0085471D" w:rsidP="008F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3A4B" w14:textId="2267B9AD" w:rsidR="008F5493" w:rsidRPr="008F5493" w:rsidRDefault="008F5493">
    <w:pPr>
      <w:pStyle w:val="Footer"/>
      <w:rPr>
        <w:sz w:val="20"/>
        <w:szCs w:val="20"/>
      </w:rPr>
    </w:pPr>
    <w:r w:rsidRPr="008F5493">
      <w:rPr>
        <w:sz w:val="20"/>
        <w:szCs w:val="20"/>
      </w:rPr>
      <w:t>EM</w:t>
    </w:r>
    <w:r w:rsidR="00255433">
      <w:rPr>
        <w:sz w:val="20"/>
        <w:szCs w:val="20"/>
      </w:rPr>
      <w:t>A</w:t>
    </w:r>
    <w:r w:rsidRPr="008F5493">
      <w:rPr>
        <w:sz w:val="20"/>
        <w:szCs w:val="20"/>
      </w:rPr>
      <w:t>not_</w:t>
    </w:r>
    <w:r w:rsidR="001A5694">
      <w:rPr>
        <w:sz w:val="20"/>
        <w:szCs w:val="20"/>
      </w:rPr>
      <w:t>1208</w:t>
    </w:r>
    <w:r w:rsidR="001A5694" w:rsidRPr="008F5493">
      <w:rPr>
        <w:sz w:val="20"/>
        <w:szCs w:val="20"/>
      </w:rPr>
      <w:t>19</w:t>
    </w:r>
    <w:r w:rsidRPr="008F5493">
      <w:rPr>
        <w:sz w:val="20"/>
        <w:szCs w:val="20"/>
      </w:rPr>
      <w:t>_LBN003</w:t>
    </w:r>
    <w:r w:rsidR="004A7707">
      <w:rPr>
        <w:sz w:val="20"/>
        <w:szCs w:val="20"/>
      </w:rPr>
      <w:t>_19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E83" w14:textId="216B3682" w:rsidR="006138CB" w:rsidRPr="006138CB" w:rsidRDefault="006138CB">
    <w:pPr>
      <w:pStyle w:val="Footer"/>
      <w:rPr>
        <w:sz w:val="20"/>
        <w:szCs w:val="20"/>
      </w:rPr>
    </w:pPr>
    <w:r w:rsidRPr="008F5493">
      <w:rPr>
        <w:sz w:val="20"/>
        <w:szCs w:val="20"/>
      </w:rPr>
      <w:t>EM</w:t>
    </w:r>
    <w:r>
      <w:rPr>
        <w:sz w:val="20"/>
        <w:szCs w:val="20"/>
      </w:rPr>
      <w:t>A</w:t>
    </w:r>
    <w:r w:rsidRPr="008F5493">
      <w:rPr>
        <w:sz w:val="20"/>
        <w:szCs w:val="20"/>
      </w:rPr>
      <w:t>not_</w:t>
    </w:r>
    <w:r>
      <w:rPr>
        <w:sz w:val="20"/>
        <w:szCs w:val="20"/>
      </w:rPr>
      <w:t>1208</w:t>
    </w:r>
    <w:r w:rsidRPr="008F5493">
      <w:rPr>
        <w:sz w:val="20"/>
        <w:szCs w:val="20"/>
      </w:rPr>
      <w:t>19_LBN003</w:t>
    </w:r>
    <w:r>
      <w:rPr>
        <w:sz w:val="20"/>
        <w:szCs w:val="20"/>
      </w:rPr>
      <w:t>_19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8583" w14:textId="77777777" w:rsidR="0085471D" w:rsidRDefault="0085471D" w:rsidP="008F5493">
      <w:r>
        <w:separator/>
      </w:r>
    </w:p>
  </w:footnote>
  <w:footnote w:type="continuationSeparator" w:id="0">
    <w:p w14:paraId="18901BED" w14:textId="77777777" w:rsidR="0085471D" w:rsidRDefault="0085471D" w:rsidP="008F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09300"/>
      <w:docPartObj>
        <w:docPartGallery w:val="Page Numbers (Top of Page)"/>
        <w:docPartUnique/>
      </w:docPartObj>
    </w:sdtPr>
    <w:sdtEndPr>
      <w:rPr>
        <w:noProof/>
      </w:rPr>
    </w:sdtEndPr>
    <w:sdtContent>
      <w:p w14:paraId="1376E181" w14:textId="251DCCB9" w:rsidR="006138CB" w:rsidRDefault="006138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7DF9E7" w14:textId="49747344" w:rsidR="008A669A" w:rsidRPr="008A669A" w:rsidRDefault="008A669A">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90"/>
    <w:rsid w:val="000076BC"/>
    <w:rsid w:val="00071DA3"/>
    <w:rsid w:val="0008675D"/>
    <w:rsid w:val="000D7255"/>
    <w:rsid w:val="001011C7"/>
    <w:rsid w:val="00121983"/>
    <w:rsid w:val="00127C1E"/>
    <w:rsid w:val="001322BD"/>
    <w:rsid w:val="0014633F"/>
    <w:rsid w:val="00150655"/>
    <w:rsid w:val="00167435"/>
    <w:rsid w:val="00185500"/>
    <w:rsid w:val="001A5694"/>
    <w:rsid w:val="001B065D"/>
    <w:rsid w:val="001D10F2"/>
    <w:rsid w:val="001D1743"/>
    <w:rsid w:val="002337C9"/>
    <w:rsid w:val="00244B98"/>
    <w:rsid w:val="00251425"/>
    <w:rsid w:val="00255433"/>
    <w:rsid w:val="00280B92"/>
    <w:rsid w:val="002C13D9"/>
    <w:rsid w:val="003178EE"/>
    <w:rsid w:val="00325BB1"/>
    <w:rsid w:val="00367C97"/>
    <w:rsid w:val="003A0A8D"/>
    <w:rsid w:val="003C09C5"/>
    <w:rsid w:val="003C16A4"/>
    <w:rsid w:val="003C42D9"/>
    <w:rsid w:val="003D3708"/>
    <w:rsid w:val="003F019C"/>
    <w:rsid w:val="00423A63"/>
    <w:rsid w:val="00425583"/>
    <w:rsid w:val="004355C6"/>
    <w:rsid w:val="00437052"/>
    <w:rsid w:val="004504EC"/>
    <w:rsid w:val="004665A9"/>
    <w:rsid w:val="004A7707"/>
    <w:rsid w:val="004A7D66"/>
    <w:rsid w:val="004B4B87"/>
    <w:rsid w:val="004F478F"/>
    <w:rsid w:val="004F7DDB"/>
    <w:rsid w:val="00506738"/>
    <w:rsid w:val="00543EE1"/>
    <w:rsid w:val="00593AC2"/>
    <w:rsid w:val="005A09F9"/>
    <w:rsid w:val="005B33A2"/>
    <w:rsid w:val="005C571F"/>
    <w:rsid w:val="005D757D"/>
    <w:rsid w:val="006138CB"/>
    <w:rsid w:val="00617545"/>
    <w:rsid w:val="0063082A"/>
    <w:rsid w:val="00637E78"/>
    <w:rsid w:val="00683D34"/>
    <w:rsid w:val="0069377D"/>
    <w:rsid w:val="006D19AB"/>
    <w:rsid w:val="006E1544"/>
    <w:rsid w:val="006F70F5"/>
    <w:rsid w:val="00701676"/>
    <w:rsid w:val="00704E52"/>
    <w:rsid w:val="00712391"/>
    <w:rsid w:val="00722EC7"/>
    <w:rsid w:val="007703F9"/>
    <w:rsid w:val="007E6341"/>
    <w:rsid w:val="007F6998"/>
    <w:rsid w:val="00804521"/>
    <w:rsid w:val="008078A0"/>
    <w:rsid w:val="00836211"/>
    <w:rsid w:val="008431CD"/>
    <w:rsid w:val="0085471D"/>
    <w:rsid w:val="00884659"/>
    <w:rsid w:val="008A669A"/>
    <w:rsid w:val="008E145F"/>
    <w:rsid w:val="008E7617"/>
    <w:rsid w:val="008F5493"/>
    <w:rsid w:val="009013A8"/>
    <w:rsid w:val="00904B54"/>
    <w:rsid w:val="0091062E"/>
    <w:rsid w:val="009118FC"/>
    <w:rsid w:val="0092111E"/>
    <w:rsid w:val="00971D93"/>
    <w:rsid w:val="00985B36"/>
    <w:rsid w:val="00993BA8"/>
    <w:rsid w:val="009A2E9C"/>
    <w:rsid w:val="009C4D90"/>
    <w:rsid w:val="009E532C"/>
    <w:rsid w:val="00A17E2C"/>
    <w:rsid w:val="00A34ECF"/>
    <w:rsid w:val="00A37B7D"/>
    <w:rsid w:val="00A445DD"/>
    <w:rsid w:val="00A4793B"/>
    <w:rsid w:val="00A961AB"/>
    <w:rsid w:val="00AA5EC5"/>
    <w:rsid w:val="00AD77BC"/>
    <w:rsid w:val="00B55E39"/>
    <w:rsid w:val="00B67977"/>
    <w:rsid w:val="00B67DB9"/>
    <w:rsid w:val="00B7714B"/>
    <w:rsid w:val="00BA298D"/>
    <w:rsid w:val="00BB23B5"/>
    <w:rsid w:val="00BB2D19"/>
    <w:rsid w:val="00BF3973"/>
    <w:rsid w:val="00C143E0"/>
    <w:rsid w:val="00C31935"/>
    <w:rsid w:val="00C415AD"/>
    <w:rsid w:val="00CC225E"/>
    <w:rsid w:val="00CE12FA"/>
    <w:rsid w:val="00CE7D40"/>
    <w:rsid w:val="00D040E3"/>
    <w:rsid w:val="00D211B1"/>
    <w:rsid w:val="00D720E3"/>
    <w:rsid w:val="00DA09D1"/>
    <w:rsid w:val="00DC055D"/>
    <w:rsid w:val="00DE4345"/>
    <w:rsid w:val="00E65471"/>
    <w:rsid w:val="00E81303"/>
    <w:rsid w:val="00EB2D16"/>
    <w:rsid w:val="00ED2674"/>
    <w:rsid w:val="00EE050D"/>
    <w:rsid w:val="00EE5DC7"/>
    <w:rsid w:val="00F34B4A"/>
    <w:rsid w:val="00F51C6D"/>
    <w:rsid w:val="00F53131"/>
    <w:rsid w:val="00FB276C"/>
    <w:rsid w:val="00FD2EAF"/>
    <w:rsid w:val="00FD371F"/>
    <w:rsid w:val="00FD7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E345"/>
  <w15:chartTrackingRefBased/>
  <w15:docId w15:val="{4EB7E6C1-674D-46AD-BA0D-ED34A3E2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D90"/>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90"/>
    <w:rPr>
      <w:color w:val="0000FF"/>
      <w:u w:val="single"/>
    </w:rPr>
  </w:style>
  <w:style w:type="table" w:styleId="TableGrid">
    <w:name w:val="Table Grid"/>
    <w:basedOn w:val="TableNormal"/>
    <w:uiPriority w:val="59"/>
    <w:rsid w:val="009C4D9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493"/>
    <w:pPr>
      <w:tabs>
        <w:tab w:val="center" w:pos="4153"/>
        <w:tab w:val="right" w:pos="8306"/>
      </w:tabs>
    </w:pPr>
  </w:style>
  <w:style w:type="character" w:customStyle="1" w:styleId="HeaderChar">
    <w:name w:val="Header Char"/>
    <w:basedOn w:val="DefaultParagraphFont"/>
    <w:link w:val="Header"/>
    <w:uiPriority w:val="99"/>
    <w:rsid w:val="008F5493"/>
    <w:rPr>
      <w:rFonts w:eastAsia="Times New Roman" w:cs="Times New Roman"/>
      <w:sz w:val="24"/>
      <w:szCs w:val="24"/>
      <w:lang w:eastAsia="lv-LV"/>
    </w:rPr>
  </w:style>
  <w:style w:type="paragraph" w:styleId="Footer">
    <w:name w:val="footer"/>
    <w:basedOn w:val="Normal"/>
    <w:link w:val="FooterChar"/>
    <w:uiPriority w:val="99"/>
    <w:unhideWhenUsed/>
    <w:rsid w:val="008F5493"/>
    <w:pPr>
      <w:tabs>
        <w:tab w:val="center" w:pos="4153"/>
        <w:tab w:val="right" w:pos="8306"/>
      </w:tabs>
    </w:pPr>
  </w:style>
  <w:style w:type="character" w:customStyle="1" w:styleId="FooterChar">
    <w:name w:val="Footer Char"/>
    <w:basedOn w:val="DefaultParagraphFont"/>
    <w:link w:val="Footer"/>
    <w:uiPriority w:val="99"/>
    <w:rsid w:val="008F5493"/>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A445DD"/>
    <w:rPr>
      <w:color w:val="605E5C"/>
      <w:shd w:val="clear" w:color="auto" w:fill="E1DFDD"/>
    </w:rPr>
  </w:style>
  <w:style w:type="character" w:styleId="CommentReference">
    <w:name w:val="annotation reference"/>
    <w:basedOn w:val="DefaultParagraphFont"/>
    <w:uiPriority w:val="99"/>
    <w:semiHidden/>
    <w:unhideWhenUsed/>
    <w:rsid w:val="00B67977"/>
    <w:rPr>
      <w:sz w:val="16"/>
      <w:szCs w:val="16"/>
    </w:rPr>
  </w:style>
  <w:style w:type="paragraph" w:styleId="CommentText">
    <w:name w:val="annotation text"/>
    <w:basedOn w:val="Normal"/>
    <w:link w:val="CommentTextChar"/>
    <w:uiPriority w:val="99"/>
    <w:unhideWhenUsed/>
    <w:rsid w:val="00B67977"/>
    <w:rPr>
      <w:sz w:val="20"/>
      <w:szCs w:val="20"/>
    </w:rPr>
  </w:style>
  <w:style w:type="character" w:customStyle="1" w:styleId="CommentTextChar">
    <w:name w:val="Comment Text Char"/>
    <w:basedOn w:val="DefaultParagraphFont"/>
    <w:link w:val="CommentText"/>
    <w:uiPriority w:val="99"/>
    <w:rsid w:val="00B67977"/>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7977"/>
    <w:rPr>
      <w:b/>
      <w:bCs/>
    </w:rPr>
  </w:style>
  <w:style w:type="character" w:customStyle="1" w:styleId="CommentSubjectChar">
    <w:name w:val="Comment Subject Char"/>
    <w:basedOn w:val="CommentTextChar"/>
    <w:link w:val="CommentSubject"/>
    <w:uiPriority w:val="99"/>
    <w:semiHidden/>
    <w:rsid w:val="00B67977"/>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B67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77"/>
    <w:rPr>
      <w:rFonts w:ascii="Segoe UI" w:eastAsia="Times New Roman" w:hAnsi="Segoe UI" w:cs="Segoe UI"/>
      <w:sz w:val="18"/>
      <w:szCs w:val="18"/>
      <w:lang w:eastAsia="lv-LV"/>
    </w:rPr>
  </w:style>
  <w:style w:type="paragraph" w:customStyle="1" w:styleId="tv213">
    <w:name w:val="tv213"/>
    <w:basedOn w:val="Normal"/>
    <w:rsid w:val="00712391"/>
    <w:pPr>
      <w:spacing w:before="100" w:beforeAutospacing="1" w:after="100" w:afterAutospacing="1"/>
    </w:pPr>
  </w:style>
  <w:style w:type="character" w:styleId="Strong">
    <w:name w:val="Strong"/>
    <w:basedOn w:val="DefaultParagraphFont"/>
    <w:uiPriority w:val="22"/>
    <w:qFormat/>
    <w:rsid w:val="00437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Inese Lismane</cp:lastModifiedBy>
  <cp:revision>5</cp:revision>
  <cp:lastPrinted>2019-09-13T11:24:00Z</cp:lastPrinted>
  <dcterms:created xsi:type="dcterms:W3CDTF">2019-08-28T08:28:00Z</dcterms:created>
  <dcterms:modified xsi:type="dcterms:W3CDTF">2019-09-13T11:25:00Z</dcterms:modified>
</cp:coreProperties>
</file>