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C4058" w14:textId="77777777" w:rsidR="00082640" w:rsidRPr="00BB322F" w:rsidRDefault="00082640" w:rsidP="00E73D73">
      <w:pPr>
        <w:jc w:val="center"/>
        <w:rPr>
          <w:rFonts w:eastAsia="Times New Roman" w:cs="Times New Roman"/>
          <w:b/>
          <w:sz w:val="23"/>
          <w:szCs w:val="23"/>
          <w:lang w:eastAsia="lv-LV"/>
        </w:rPr>
      </w:pPr>
      <w:bookmarkStart w:id="0" w:name="OLE_LINK4"/>
      <w:bookmarkStart w:id="1" w:name="OLE_LINK3"/>
      <w:bookmarkStart w:id="2" w:name="OLE_LINK2"/>
      <w:bookmarkStart w:id="3" w:name="OLE_LINK1"/>
      <w:r w:rsidRPr="00BB322F">
        <w:rPr>
          <w:rFonts w:eastAsia="Times New Roman" w:cs="Times New Roman"/>
          <w:b/>
          <w:sz w:val="23"/>
          <w:szCs w:val="23"/>
          <w:lang w:eastAsia="lv-LV"/>
        </w:rPr>
        <w:t>Likumprojekta „Grozījum</w:t>
      </w:r>
      <w:r w:rsidR="00601BA4" w:rsidRPr="00BB322F">
        <w:rPr>
          <w:rFonts w:eastAsia="Times New Roman" w:cs="Times New Roman"/>
          <w:b/>
          <w:sz w:val="23"/>
          <w:szCs w:val="23"/>
          <w:lang w:eastAsia="lv-LV"/>
        </w:rPr>
        <w:t>i</w:t>
      </w:r>
      <w:r w:rsidRPr="00BB322F">
        <w:rPr>
          <w:rFonts w:eastAsia="Times New Roman" w:cs="Times New Roman"/>
          <w:b/>
          <w:sz w:val="23"/>
          <w:szCs w:val="23"/>
          <w:lang w:eastAsia="lv-LV"/>
        </w:rPr>
        <w:t xml:space="preserve"> likumā „Par sabiedrisko pakalpojumu regulatoriem”” </w:t>
      </w:r>
      <w:bookmarkEnd w:id="0"/>
      <w:bookmarkEnd w:id="1"/>
      <w:r w:rsidRPr="00BB322F">
        <w:rPr>
          <w:rFonts w:eastAsia="Times New Roman" w:cs="Times New Roman"/>
          <w:b/>
          <w:sz w:val="23"/>
          <w:szCs w:val="23"/>
          <w:lang w:eastAsia="lv-LV"/>
        </w:rPr>
        <w:t>sākotnējās ietekmes novērtējuma ziņojums</w:t>
      </w:r>
      <w:bookmarkEnd w:id="2"/>
      <w:bookmarkEnd w:id="3"/>
      <w:r w:rsidR="00E73D73" w:rsidRPr="00BB322F">
        <w:rPr>
          <w:rFonts w:eastAsia="Times New Roman" w:cs="Times New Roman"/>
          <w:b/>
          <w:sz w:val="23"/>
          <w:szCs w:val="23"/>
          <w:lang w:eastAsia="lv-LV"/>
        </w:rPr>
        <w:t xml:space="preserve"> </w:t>
      </w:r>
      <w:r w:rsidRPr="00BB322F">
        <w:rPr>
          <w:rFonts w:eastAsia="Times New Roman" w:cs="Times New Roman"/>
          <w:b/>
          <w:sz w:val="23"/>
          <w:szCs w:val="23"/>
          <w:lang w:eastAsia="lv-LV"/>
        </w:rPr>
        <w:t>(anotācija)</w:t>
      </w:r>
    </w:p>
    <w:p w14:paraId="403D4576" w14:textId="27A75A60" w:rsidR="00082640" w:rsidRDefault="00082640" w:rsidP="00E73D73">
      <w:pPr>
        <w:outlineLvl w:val="0"/>
        <w:rPr>
          <w:rFonts w:eastAsia="Times New Roman" w:cs="Times New Roman"/>
          <w:b/>
          <w:sz w:val="23"/>
          <w:szCs w:val="23"/>
          <w:lang w:eastAsia="lv-LV"/>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2"/>
        <w:gridCol w:w="6089"/>
      </w:tblGrid>
      <w:tr w:rsidR="0094059E" w:rsidRPr="002D7166" w14:paraId="75BFCEDD" w14:textId="77777777" w:rsidTr="002E2850">
        <w:trPr>
          <w:cantSplit/>
        </w:trPr>
        <w:tc>
          <w:tcPr>
            <w:tcW w:w="9351" w:type="dxa"/>
            <w:gridSpan w:val="2"/>
            <w:shd w:val="clear" w:color="auto" w:fill="FFFFFF"/>
            <w:vAlign w:val="center"/>
            <w:hideMark/>
          </w:tcPr>
          <w:p w14:paraId="27B21441" w14:textId="77777777" w:rsidR="0094059E" w:rsidRPr="002E2850" w:rsidRDefault="0094059E" w:rsidP="001664F1">
            <w:pPr>
              <w:jc w:val="center"/>
              <w:rPr>
                <w:rFonts w:cs="Times New Roman"/>
                <w:b/>
                <w:iCs/>
                <w:sz w:val="23"/>
                <w:szCs w:val="23"/>
              </w:rPr>
            </w:pPr>
            <w:r w:rsidRPr="002E2850">
              <w:rPr>
                <w:rFonts w:cs="Times New Roman"/>
                <w:b/>
                <w:iCs/>
                <w:sz w:val="23"/>
                <w:szCs w:val="23"/>
              </w:rPr>
              <w:t>Tiesību akta projekta anotācijas kopsavilkums</w:t>
            </w:r>
          </w:p>
        </w:tc>
      </w:tr>
      <w:tr w:rsidR="0094059E" w:rsidRPr="002D7166" w14:paraId="2CEC428B" w14:textId="77777777" w:rsidTr="002E2850">
        <w:trPr>
          <w:cantSplit/>
        </w:trPr>
        <w:tc>
          <w:tcPr>
            <w:tcW w:w="3262" w:type="dxa"/>
            <w:shd w:val="clear" w:color="auto" w:fill="FFFFFF"/>
            <w:hideMark/>
          </w:tcPr>
          <w:p w14:paraId="5A6FD88A" w14:textId="77777777" w:rsidR="0094059E" w:rsidRPr="002E2850" w:rsidRDefault="0094059E" w:rsidP="001664F1">
            <w:pPr>
              <w:rPr>
                <w:rFonts w:cs="Times New Roman"/>
                <w:iCs/>
                <w:sz w:val="23"/>
                <w:szCs w:val="23"/>
              </w:rPr>
            </w:pPr>
            <w:r w:rsidRPr="002E2850">
              <w:rPr>
                <w:rFonts w:cs="Times New Roman"/>
                <w:iCs/>
                <w:sz w:val="23"/>
                <w:szCs w:val="23"/>
              </w:rPr>
              <w:t>Mērķis, risinājums un projekta spēkā stāšanās laiks (500 zīmes bez atstarpēm)</w:t>
            </w:r>
          </w:p>
        </w:tc>
        <w:tc>
          <w:tcPr>
            <w:tcW w:w="6089" w:type="dxa"/>
            <w:shd w:val="clear" w:color="auto" w:fill="FFFFFF"/>
            <w:hideMark/>
          </w:tcPr>
          <w:p w14:paraId="0FD30179" w14:textId="31FC46FE" w:rsidR="0094059E" w:rsidRPr="002E2850" w:rsidRDefault="0098143C" w:rsidP="002E2850">
            <w:pPr>
              <w:ind w:firstLine="387"/>
              <w:jc w:val="both"/>
              <w:rPr>
                <w:rFonts w:cs="Times New Roman"/>
                <w:i/>
                <w:iCs/>
                <w:sz w:val="23"/>
                <w:szCs w:val="23"/>
              </w:rPr>
            </w:pPr>
            <w:bookmarkStart w:id="4" w:name="_Hlk1398299"/>
            <w:r w:rsidRPr="002E2850">
              <w:rPr>
                <w:rFonts w:eastAsia="Times New Roman" w:cs="Times New Roman"/>
                <w:sz w:val="23"/>
                <w:szCs w:val="23"/>
                <w:lang w:eastAsia="lv-LV"/>
              </w:rPr>
              <w:t xml:space="preserve">Likumprojekts „Grozījumi likumā „Par sabiedrisko pakalpojumu regulatoriem” (turpmāk – Likumprojekts) izstrādāts, </w:t>
            </w:r>
            <w:r w:rsidRPr="00E7732C">
              <w:rPr>
                <w:rFonts w:eastAsia="Times New Roman" w:cs="Times New Roman"/>
                <w:sz w:val="23"/>
                <w:szCs w:val="23"/>
                <w:lang w:eastAsia="lv-LV"/>
              </w:rPr>
              <w:t xml:space="preserve">lai </w:t>
            </w:r>
            <w:r w:rsidRPr="002E2850">
              <w:rPr>
                <w:color w:val="000000" w:themeColor="text1"/>
                <w:sz w:val="23"/>
                <w:szCs w:val="23"/>
              </w:rPr>
              <w:t>pārņemt</w:t>
            </w:r>
            <w:r w:rsidRPr="00E7732C">
              <w:rPr>
                <w:color w:val="000000" w:themeColor="text1"/>
                <w:sz w:val="23"/>
                <w:szCs w:val="23"/>
              </w:rPr>
              <w:t>u</w:t>
            </w:r>
            <w:r w:rsidRPr="002E2850">
              <w:rPr>
                <w:color w:val="000000" w:themeColor="text1"/>
                <w:sz w:val="23"/>
                <w:szCs w:val="23"/>
              </w:rPr>
              <w:t xml:space="preserve"> un precizēt</w:t>
            </w:r>
            <w:r w:rsidRPr="00E7732C">
              <w:rPr>
                <w:color w:val="000000" w:themeColor="text1"/>
                <w:sz w:val="23"/>
                <w:szCs w:val="23"/>
              </w:rPr>
              <w:t>u</w:t>
            </w:r>
            <w:r w:rsidRPr="002E2850">
              <w:rPr>
                <w:color w:val="000000" w:themeColor="text1"/>
                <w:sz w:val="23"/>
                <w:szCs w:val="23"/>
              </w:rPr>
              <w:t xml:space="preserve"> Latvijas Administratīvo pārkāpumu kodeksa (turpmāk – LAPK) normas par administratīvajiem pārkāpumiem, soda apmēru un kompetento iestādi sodu piemērošanā</w:t>
            </w:r>
            <w:r>
              <w:rPr>
                <w:color w:val="000000" w:themeColor="text1"/>
                <w:sz w:val="23"/>
                <w:szCs w:val="23"/>
              </w:rPr>
              <w:t xml:space="preserve">. </w:t>
            </w:r>
            <w:r w:rsidRPr="00E7732C">
              <w:rPr>
                <w:color w:val="000000" w:themeColor="text1"/>
                <w:sz w:val="23"/>
                <w:szCs w:val="23"/>
              </w:rPr>
              <w:t>Likumprojektā ietvert</w:t>
            </w:r>
            <w:r w:rsidR="00E7732C" w:rsidRPr="00E7732C">
              <w:rPr>
                <w:color w:val="000000" w:themeColor="text1"/>
                <w:sz w:val="23"/>
                <w:szCs w:val="23"/>
              </w:rPr>
              <w:t xml:space="preserve">ās normas izstrādātas ņemot vērā </w:t>
            </w:r>
            <w:r w:rsidR="00E7732C" w:rsidRPr="002E2850">
              <w:rPr>
                <w:bCs/>
                <w:sz w:val="23"/>
                <w:szCs w:val="23"/>
                <w:lang w:eastAsia="lv-LV"/>
              </w:rPr>
              <w:t>Administratīvās atbildības likumā (turpmāk – AAL) ietverto regulējumu.</w:t>
            </w:r>
            <w:r w:rsidR="00E7732C">
              <w:rPr>
                <w:bCs/>
                <w:sz w:val="23"/>
                <w:szCs w:val="23"/>
                <w:lang w:eastAsia="lv-LV"/>
              </w:rPr>
              <w:t xml:space="preserve"> Likumprojekta spēkā stāšanās laiks</w:t>
            </w:r>
            <w:r w:rsidR="007B2E53">
              <w:rPr>
                <w:bCs/>
                <w:sz w:val="23"/>
                <w:szCs w:val="23"/>
                <w:lang w:eastAsia="lv-LV"/>
              </w:rPr>
              <w:t xml:space="preserve"> </w:t>
            </w:r>
            <w:r w:rsidR="007B2E53" w:rsidRPr="002E2850">
              <w:rPr>
                <w:bCs/>
                <w:sz w:val="23"/>
                <w:szCs w:val="23"/>
                <w:lang w:eastAsia="lv-LV"/>
              </w:rPr>
              <w:t>–</w:t>
            </w:r>
            <w:r w:rsidR="007B2E53">
              <w:rPr>
                <w:bCs/>
                <w:sz w:val="23"/>
                <w:szCs w:val="23"/>
                <w:lang w:eastAsia="lv-LV"/>
              </w:rPr>
              <w:t xml:space="preserve"> </w:t>
            </w:r>
            <w:r w:rsidR="007B2E53" w:rsidRPr="00B30EBC">
              <w:rPr>
                <w:sz w:val="24"/>
                <w:szCs w:val="24"/>
              </w:rPr>
              <w:t>vienlaikus ar Administratīv</w:t>
            </w:r>
            <w:r w:rsidR="007B2E53">
              <w:rPr>
                <w:sz w:val="24"/>
                <w:szCs w:val="24"/>
              </w:rPr>
              <w:t>ās atbildības</w:t>
            </w:r>
            <w:r w:rsidR="007B2E53" w:rsidRPr="00B30EBC">
              <w:rPr>
                <w:sz w:val="24"/>
                <w:szCs w:val="24"/>
              </w:rPr>
              <w:t xml:space="preserve"> likum</w:t>
            </w:r>
            <w:r w:rsidR="008C5314">
              <w:rPr>
                <w:sz w:val="24"/>
                <w:szCs w:val="24"/>
              </w:rPr>
              <w:t>a spēkā stāšanos</w:t>
            </w:r>
            <w:r w:rsidR="00E7732C">
              <w:rPr>
                <w:bCs/>
                <w:sz w:val="23"/>
                <w:szCs w:val="23"/>
                <w:lang w:eastAsia="lv-LV"/>
              </w:rPr>
              <w:t>.</w:t>
            </w:r>
            <w:bookmarkEnd w:id="4"/>
          </w:p>
        </w:tc>
      </w:tr>
    </w:tbl>
    <w:p w14:paraId="5A42EB6A" w14:textId="544E39D7" w:rsidR="0094059E" w:rsidRDefault="0094059E" w:rsidP="00E73D73">
      <w:pPr>
        <w:outlineLvl w:val="0"/>
        <w:rPr>
          <w:rFonts w:eastAsia="Times New Roman" w:cs="Times New Roman"/>
          <w:b/>
          <w:sz w:val="23"/>
          <w:szCs w:val="23"/>
          <w:lang w:eastAsia="lv-LV"/>
        </w:rPr>
      </w:pPr>
    </w:p>
    <w:p w14:paraId="580DE25E" w14:textId="77777777" w:rsidR="0094059E" w:rsidRPr="00BB322F" w:rsidRDefault="0094059E" w:rsidP="00E73D73">
      <w:pPr>
        <w:outlineLvl w:val="0"/>
        <w:rPr>
          <w:rFonts w:eastAsia="Times New Roman" w:cs="Times New Roman"/>
          <w:b/>
          <w:sz w:val="23"/>
          <w:szCs w:val="23"/>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559"/>
        <w:gridCol w:w="1985"/>
        <w:gridCol w:w="6804"/>
      </w:tblGrid>
      <w:tr w:rsidR="00082640" w:rsidRPr="00BB322F" w14:paraId="25EE55BF" w14:textId="77777777" w:rsidTr="002D0B96">
        <w:trPr>
          <w:trHeight w:val="324"/>
          <w:tblCellSpacing w:w="15" w:type="dxa"/>
        </w:trPr>
        <w:tc>
          <w:tcPr>
            <w:tcW w:w="9288" w:type="dxa"/>
            <w:gridSpan w:val="3"/>
            <w:tcBorders>
              <w:top w:val="outset" w:sz="6" w:space="0" w:color="auto"/>
              <w:left w:val="outset" w:sz="6" w:space="0" w:color="auto"/>
              <w:bottom w:val="outset" w:sz="6" w:space="0" w:color="auto"/>
              <w:right w:val="outset" w:sz="6" w:space="0" w:color="auto"/>
            </w:tcBorders>
            <w:vAlign w:val="center"/>
            <w:hideMark/>
          </w:tcPr>
          <w:p w14:paraId="099EA360" w14:textId="77777777" w:rsidR="00082640" w:rsidRPr="00BB322F" w:rsidRDefault="00082640" w:rsidP="007B0190">
            <w:pPr>
              <w:jc w:val="center"/>
              <w:rPr>
                <w:rFonts w:eastAsia="Times New Roman" w:cs="Times New Roman"/>
                <w:b/>
                <w:bCs/>
                <w:sz w:val="23"/>
                <w:szCs w:val="23"/>
                <w:lang w:eastAsia="lv-LV"/>
              </w:rPr>
            </w:pPr>
            <w:r w:rsidRPr="00BB322F">
              <w:rPr>
                <w:rFonts w:eastAsia="Times New Roman" w:cs="Times New Roman"/>
                <w:b/>
                <w:bCs/>
                <w:sz w:val="23"/>
                <w:szCs w:val="23"/>
                <w:lang w:eastAsia="lv-LV"/>
              </w:rPr>
              <w:t>I. Tiesību akta projekta izstrādes nepieciešamība</w:t>
            </w:r>
          </w:p>
        </w:tc>
      </w:tr>
      <w:tr w:rsidR="00082640" w:rsidRPr="00BB322F" w14:paraId="3FC7C756" w14:textId="77777777" w:rsidTr="002D0B96">
        <w:trPr>
          <w:trHeight w:val="324"/>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35C38E2" w14:textId="77777777" w:rsidR="00082640" w:rsidRPr="00BB322F" w:rsidRDefault="00082640" w:rsidP="007B0190">
            <w:pPr>
              <w:jc w:val="center"/>
              <w:rPr>
                <w:rFonts w:eastAsia="Times New Roman" w:cs="Times New Roman"/>
                <w:sz w:val="23"/>
                <w:szCs w:val="23"/>
                <w:lang w:eastAsia="lv-LV"/>
              </w:rPr>
            </w:pPr>
            <w:r w:rsidRPr="00BB322F">
              <w:rPr>
                <w:rFonts w:eastAsia="Times New Roman" w:cs="Times New Roman"/>
                <w:sz w:val="23"/>
                <w:szCs w:val="23"/>
                <w:lang w:eastAsia="lv-LV"/>
              </w:rPr>
              <w:t>1.</w:t>
            </w:r>
          </w:p>
        </w:tc>
        <w:tc>
          <w:tcPr>
            <w:tcW w:w="1955" w:type="dxa"/>
            <w:tcBorders>
              <w:top w:val="outset" w:sz="6" w:space="0" w:color="auto"/>
              <w:left w:val="outset" w:sz="6" w:space="0" w:color="auto"/>
              <w:bottom w:val="outset" w:sz="6" w:space="0" w:color="auto"/>
              <w:right w:val="outset" w:sz="6" w:space="0" w:color="auto"/>
            </w:tcBorders>
            <w:hideMark/>
          </w:tcPr>
          <w:p w14:paraId="43FF0E4B" w14:textId="77777777" w:rsidR="00082640" w:rsidRPr="00BB322F" w:rsidRDefault="00082640" w:rsidP="007B0190">
            <w:pPr>
              <w:rPr>
                <w:rFonts w:eastAsia="Times New Roman" w:cs="Times New Roman"/>
                <w:sz w:val="24"/>
                <w:szCs w:val="24"/>
                <w:lang w:eastAsia="lv-LV"/>
              </w:rPr>
            </w:pPr>
            <w:r w:rsidRPr="00BB322F">
              <w:rPr>
                <w:rFonts w:eastAsia="Times New Roman" w:cs="Times New Roman"/>
                <w:sz w:val="24"/>
                <w:szCs w:val="24"/>
                <w:lang w:eastAsia="lv-LV"/>
              </w:rPr>
              <w:t>Pamatojums</w:t>
            </w:r>
          </w:p>
        </w:tc>
        <w:tc>
          <w:tcPr>
            <w:tcW w:w="6759" w:type="dxa"/>
            <w:tcBorders>
              <w:top w:val="outset" w:sz="6" w:space="0" w:color="auto"/>
              <w:left w:val="outset" w:sz="6" w:space="0" w:color="auto"/>
              <w:bottom w:val="outset" w:sz="6" w:space="0" w:color="auto"/>
              <w:right w:val="outset" w:sz="6" w:space="0" w:color="auto"/>
            </w:tcBorders>
            <w:hideMark/>
          </w:tcPr>
          <w:p w14:paraId="2AD42512" w14:textId="7D00D987" w:rsidR="00082640" w:rsidRPr="00BB322F" w:rsidRDefault="00426835" w:rsidP="007B0190">
            <w:pPr>
              <w:ind w:firstLine="425"/>
              <w:jc w:val="both"/>
              <w:rPr>
                <w:rFonts w:eastAsia="Times New Roman" w:cs="Times New Roman"/>
                <w:sz w:val="24"/>
                <w:szCs w:val="24"/>
                <w:lang w:eastAsia="lv-LV"/>
              </w:rPr>
            </w:pPr>
            <w:bookmarkStart w:id="5" w:name="_Hlk1397243"/>
            <w:r w:rsidRPr="00BB322F">
              <w:rPr>
                <w:rFonts w:eastAsia="Times New Roman" w:cs="Times New Roman"/>
                <w:sz w:val="24"/>
                <w:szCs w:val="24"/>
                <w:lang w:eastAsia="lv-LV"/>
              </w:rPr>
              <w:t>L</w:t>
            </w:r>
            <w:r w:rsidR="00082640" w:rsidRPr="00BB322F">
              <w:rPr>
                <w:rFonts w:eastAsia="Times New Roman" w:cs="Times New Roman"/>
                <w:sz w:val="24"/>
                <w:szCs w:val="24"/>
                <w:lang w:eastAsia="lv-LV"/>
              </w:rPr>
              <w:t>ikumprojekts izstrādāts:</w:t>
            </w:r>
          </w:p>
          <w:p w14:paraId="279EE481" w14:textId="77777777" w:rsidR="00082640" w:rsidRPr="00BB322F" w:rsidRDefault="00082640" w:rsidP="007B0190">
            <w:pPr>
              <w:ind w:firstLine="425"/>
              <w:jc w:val="both"/>
              <w:rPr>
                <w:rFonts w:cs="Times New Roman"/>
                <w:bCs/>
                <w:sz w:val="24"/>
                <w:szCs w:val="24"/>
                <w:shd w:val="clear" w:color="auto" w:fill="FFFFFF"/>
              </w:rPr>
            </w:pPr>
            <w:r w:rsidRPr="00BB322F">
              <w:rPr>
                <w:rFonts w:eastAsia="Times New Roman" w:cs="Times New Roman"/>
                <w:sz w:val="24"/>
                <w:szCs w:val="24"/>
                <w:lang w:eastAsia="lv-LV"/>
              </w:rPr>
              <w:t xml:space="preserve">- lai izpildītu ar </w:t>
            </w:r>
            <w:r w:rsidRPr="00BB322F">
              <w:rPr>
                <w:rFonts w:cs="Times New Roman"/>
                <w:sz w:val="24"/>
                <w:szCs w:val="24"/>
              </w:rPr>
              <w:t>Ministru kabineta 2014.gada 22.aprīļa protokola Nr.24 26.§, “</w:t>
            </w:r>
            <w:r w:rsidRPr="00BB322F">
              <w:rPr>
                <w:rFonts w:cs="Times New Roman"/>
                <w:bCs/>
                <w:sz w:val="24"/>
                <w:szCs w:val="24"/>
                <w:shd w:val="clear" w:color="auto" w:fill="FFFFFF"/>
              </w:rPr>
              <w:t>Informatīvais ziņojums “Nozaru administratīvo pārkāpumu kodifikācijas ieviešanas sistēma”” TA-775 uzliktās saistības;</w:t>
            </w:r>
          </w:p>
          <w:p w14:paraId="15B0EED9" w14:textId="77777777" w:rsidR="00082640" w:rsidRPr="00BB322F" w:rsidRDefault="00082640" w:rsidP="007B0190">
            <w:pPr>
              <w:ind w:firstLine="425"/>
              <w:jc w:val="both"/>
              <w:rPr>
                <w:rFonts w:eastAsia="Times New Roman" w:cs="Times New Roman"/>
                <w:sz w:val="24"/>
                <w:szCs w:val="24"/>
                <w:lang w:eastAsia="lv-LV"/>
              </w:rPr>
            </w:pPr>
            <w:r w:rsidRPr="00BB322F">
              <w:rPr>
                <w:rFonts w:cs="Times New Roman"/>
                <w:bCs/>
                <w:sz w:val="24"/>
                <w:szCs w:val="24"/>
                <w:shd w:val="clear" w:color="auto" w:fill="FFFFFF"/>
              </w:rPr>
              <w:t xml:space="preserve"> - lai izpildītu ar Ministru kabine</w:t>
            </w:r>
            <w:r w:rsidR="00FC7098" w:rsidRPr="00BB322F">
              <w:rPr>
                <w:rFonts w:cs="Times New Roman"/>
                <w:bCs/>
                <w:sz w:val="24"/>
                <w:szCs w:val="24"/>
                <w:shd w:val="clear" w:color="auto" w:fill="FFFFFF"/>
              </w:rPr>
              <w:t>ta 2013.gada 4.februāra rīkojuma</w:t>
            </w:r>
            <w:r w:rsidRPr="00BB322F">
              <w:rPr>
                <w:rFonts w:cs="Times New Roman"/>
                <w:bCs/>
                <w:sz w:val="24"/>
                <w:szCs w:val="24"/>
                <w:shd w:val="clear" w:color="auto" w:fill="FFFFFF"/>
              </w:rPr>
              <w:t xml:space="preserve"> Nr.38 (prot. Nr.5 30.§) “Par Administratīvo sodu sistēmas attīstības</w:t>
            </w:r>
            <w:r w:rsidR="00426835" w:rsidRPr="00BB322F">
              <w:rPr>
                <w:rFonts w:cs="Times New Roman"/>
                <w:bCs/>
                <w:sz w:val="24"/>
                <w:szCs w:val="24"/>
                <w:shd w:val="clear" w:color="auto" w:fill="FFFFFF"/>
              </w:rPr>
              <w:t xml:space="preserve"> koncepciju” uzliktās saistības.</w:t>
            </w:r>
            <w:bookmarkEnd w:id="5"/>
          </w:p>
        </w:tc>
      </w:tr>
      <w:tr w:rsidR="00082640" w:rsidRPr="00BB322F" w14:paraId="579BF270" w14:textId="77777777" w:rsidTr="002D0B96">
        <w:trPr>
          <w:trHeight w:val="20"/>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E36F32C" w14:textId="77777777" w:rsidR="00EC7573" w:rsidRDefault="00082640" w:rsidP="007B0190">
            <w:pPr>
              <w:jc w:val="center"/>
              <w:rPr>
                <w:rFonts w:eastAsia="Times New Roman" w:cs="Times New Roman"/>
                <w:sz w:val="24"/>
                <w:szCs w:val="24"/>
                <w:lang w:eastAsia="lv-LV"/>
              </w:rPr>
            </w:pPr>
            <w:r w:rsidRPr="00BB322F">
              <w:rPr>
                <w:rFonts w:eastAsia="Times New Roman" w:cs="Times New Roman"/>
                <w:sz w:val="24"/>
                <w:szCs w:val="24"/>
                <w:lang w:eastAsia="lv-LV"/>
              </w:rPr>
              <w:t>2.</w:t>
            </w:r>
          </w:p>
          <w:p w14:paraId="4D1BE362" w14:textId="77777777" w:rsidR="00EC7573" w:rsidRPr="00EC7573" w:rsidRDefault="00EC7573" w:rsidP="00D556B1">
            <w:pPr>
              <w:rPr>
                <w:rFonts w:eastAsia="Times New Roman" w:cs="Times New Roman"/>
                <w:sz w:val="24"/>
                <w:szCs w:val="24"/>
                <w:lang w:eastAsia="lv-LV"/>
              </w:rPr>
            </w:pPr>
          </w:p>
          <w:p w14:paraId="41EEFEF1" w14:textId="77777777" w:rsidR="00EC7573" w:rsidRPr="00EC7573" w:rsidRDefault="00EC7573" w:rsidP="00D556B1">
            <w:pPr>
              <w:rPr>
                <w:rFonts w:eastAsia="Times New Roman" w:cs="Times New Roman"/>
                <w:sz w:val="24"/>
                <w:szCs w:val="24"/>
                <w:lang w:eastAsia="lv-LV"/>
              </w:rPr>
            </w:pPr>
          </w:p>
          <w:p w14:paraId="08B74350" w14:textId="77777777" w:rsidR="00EC7573" w:rsidRPr="00EC7573" w:rsidRDefault="00EC7573" w:rsidP="00D556B1">
            <w:pPr>
              <w:rPr>
                <w:rFonts w:eastAsia="Times New Roman" w:cs="Times New Roman"/>
                <w:sz w:val="24"/>
                <w:szCs w:val="24"/>
                <w:lang w:eastAsia="lv-LV"/>
              </w:rPr>
            </w:pPr>
          </w:p>
          <w:p w14:paraId="799E0CC8" w14:textId="77777777" w:rsidR="00EC7573" w:rsidRPr="00EC7573" w:rsidRDefault="00EC7573" w:rsidP="00D556B1">
            <w:pPr>
              <w:rPr>
                <w:rFonts w:eastAsia="Times New Roman" w:cs="Times New Roman"/>
                <w:sz w:val="24"/>
                <w:szCs w:val="24"/>
                <w:lang w:eastAsia="lv-LV"/>
              </w:rPr>
            </w:pPr>
          </w:p>
          <w:p w14:paraId="3F5D41C1" w14:textId="77777777" w:rsidR="00EC7573" w:rsidRPr="00EC7573" w:rsidRDefault="00EC7573" w:rsidP="00D556B1">
            <w:pPr>
              <w:rPr>
                <w:rFonts w:eastAsia="Times New Roman" w:cs="Times New Roman"/>
                <w:sz w:val="24"/>
                <w:szCs w:val="24"/>
                <w:lang w:eastAsia="lv-LV"/>
              </w:rPr>
            </w:pPr>
          </w:p>
          <w:p w14:paraId="77B04E92" w14:textId="77777777" w:rsidR="00EC7573" w:rsidRPr="00EC7573" w:rsidRDefault="00EC7573" w:rsidP="00D556B1">
            <w:pPr>
              <w:rPr>
                <w:rFonts w:eastAsia="Times New Roman" w:cs="Times New Roman"/>
                <w:sz w:val="24"/>
                <w:szCs w:val="24"/>
                <w:lang w:eastAsia="lv-LV"/>
              </w:rPr>
            </w:pPr>
          </w:p>
          <w:p w14:paraId="41C31F7D" w14:textId="77777777" w:rsidR="00EC7573" w:rsidRPr="00EC7573" w:rsidRDefault="00EC7573" w:rsidP="00D556B1">
            <w:pPr>
              <w:rPr>
                <w:rFonts w:eastAsia="Times New Roman" w:cs="Times New Roman"/>
                <w:sz w:val="24"/>
                <w:szCs w:val="24"/>
                <w:lang w:eastAsia="lv-LV"/>
              </w:rPr>
            </w:pPr>
          </w:p>
          <w:p w14:paraId="759BE057" w14:textId="77777777" w:rsidR="00EC7573" w:rsidRPr="00EC7573" w:rsidRDefault="00EC7573" w:rsidP="00D556B1">
            <w:pPr>
              <w:rPr>
                <w:rFonts w:eastAsia="Times New Roman" w:cs="Times New Roman"/>
                <w:sz w:val="24"/>
                <w:szCs w:val="24"/>
                <w:lang w:eastAsia="lv-LV"/>
              </w:rPr>
            </w:pPr>
          </w:p>
          <w:p w14:paraId="77FA52F4" w14:textId="77777777" w:rsidR="00EC7573" w:rsidRPr="00EC7573" w:rsidRDefault="00EC7573" w:rsidP="00D556B1">
            <w:pPr>
              <w:rPr>
                <w:rFonts w:eastAsia="Times New Roman" w:cs="Times New Roman"/>
                <w:sz w:val="24"/>
                <w:szCs w:val="24"/>
                <w:lang w:eastAsia="lv-LV"/>
              </w:rPr>
            </w:pPr>
          </w:p>
          <w:p w14:paraId="594D4377" w14:textId="77777777" w:rsidR="00EC7573" w:rsidRPr="00EC7573" w:rsidRDefault="00EC7573" w:rsidP="00D556B1">
            <w:pPr>
              <w:rPr>
                <w:rFonts w:eastAsia="Times New Roman" w:cs="Times New Roman"/>
                <w:sz w:val="24"/>
                <w:szCs w:val="24"/>
                <w:lang w:eastAsia="lv-LV"/>
              </w:rPr>
            </w:pPr>
          </w:p>
          <w:p w14:paraId="04220A92" w14:textId="77777777" w:rsidR="00EC7573" w:rsidRPr="00EC7573" w:rsidRDefault="00EC7573" w:rsidP="00D556B1">
            <w:pPr>
              <w:rPr>
                <w:rFonts w:eastAsia="Times New Roman" w:cs="Times New Roman"/>
                <w:sz w:val="24"/>
                <w:szCs w:val="24"/>
                <w:lang w:eastAsia="lv-LV"/>
              </w:rPr>
            </w:pPr>
          </w:p>
          <w:p w14:paraId="28FC2A74" w14:textId="77777777" w:rsidR="00EC7573" w:rsidRPr="00EC7573" w:rsidRDefault="00EC7573" w:rsidP="00D556B1">
            <w:pPr>
              <w:rPr>
                <w:rFonts w:eastAsia="Times New Roman" w:cs="Times New Roman"/>
                <w:sz w:val="24"/>
                <w:szCs w:val="24"/>
                <w:lang w:eastAsia="lv-LV"/>
              </w:rPr>
            </w:pPr>
          </w:p>
          <w:p w14:paraId="6CF56C72" w14:textId="77777777" w:rsidR="00EC7573" w:rsidRPr="00EC7573" w:rsidRDefault="00EC7573" w:rsidP="00D556B1">
            <w:pPr>
              <w:rPr>
                <w:rFonts w:eastAsia="Times New Roman" w:cs="Times New Roman"/>
                <w:sz w:val="24"/>
                <w:szCs w:val="24"/>
                <w:lang w:eastAsia="lv-LV"/>
              </w:rPr>
            </w:pPr>
          </w:p>
          <w:p w14:paraId="1E4E361F" w14:textId="77777777" w:rsidR="00EC7573" w:rsidRPr="00EC7573" w:rsidRDefault="00EC7573" w:rsidP="00D556B1">
            <w:pPr>
              <w:rPr>
                <w:rFonts w:eastAsia="Times New Roman" w:cs="Times New Roman"/>
                <w:sz w:val="24"/>
                <w:szCs w:val="24"/>
                <w:lang w:eastAsia="lv-LV"/>
              </w:rPr>
            </w:pPr>
          </w:p>
          <w:p w14:paraId="397EFB89" w14:textId="77777777" w:rsidR="00EC7573" w:rsidRPr="00EC7573" w:rsidRDefault="00EC7573" w:rsidP="00D556B1">
            <w:pPr>
              <w:rPr>
                <w:rFonts w:eastAsia="Times New Roman" w:cs="Times New Roman"/>
                <w:sz w:val="24"/>
                <w:szCs w:val="24"/>
                <w:lang w:eastAsia="lv-LV"/>
              </w:rPr>
            </w:pPr>
          </w:p>
          <w:p w14:paraId="57847A0E" w14:textId="77777777" w:rsidR="00EC7573" w:rsidRPr="00EC7573" w:rsidRDefault="00EC7573" w:rsidP="00D556B1">
            <w:pPr>
              <w:rPr>
                <w:rFonts w:eastAsia="Times New Roman" w:cs="Times New Roman"/>
                <w:sz w:val="24"/>
                <w:szCs w:val="24"/>
                <w:lang w:eastAsia="lv-LV"/>
              </w:rPr>
            </w:pPr>
          </w:p>
          <w:p w14:paraId="104B4946" w14:textId="77777777" w:rsidR="00EC7573" w:rsidRPr="00EC7573" w:rsidRDefault="00EC7573" w:rsidP="00D556B1">
            <w:pPr>
              <w:rPr>
                <w:rFonts w:eastAsia="Times New Roman" w:cs="Times New Roman"/>
                <w:sz w:val="24"/>
                <w:szCs w:val="24"/>
                <w:lang w:eastAsia="lv-LV"/>
              </w:rPr>
            </w:pPr>
          </w:p>
          <w:p w14:paraId="3346C245" w14:textId="77777777" w:rsidR="00EC7573" w:rsidRPr="00EC7573" w:rsidRDefault="00EC7573" w:rsidP="00D556B1">
            <w:pPr>
              <w:rPr>
                <w:rFonts w:eastAsia="Times New Roman" w:cs="Times New Roman"/>
                <w:sz w:val="24"/>
                <w:szCs w:val="24"/>
                <w:lang w:eastAsia="lv-LV"/>
              </w:rPr>
            </w:pPr>
          </w:p>
          <w:p w14:paraId="3C97A19D" w14:textId="77777777" w:rsidR="00EC7573" w:rsidRPr="00EC7573" w:rsidRDefault="00EC7573" w:rsidP="00D556B1">
            <w:pPr>
              <w:rPr>
                <w:rFonts w:eastAsia="Times New Roman" w:cs="Times New Roman"/>
                <w:sz w:val="24"/>
                <w:szCs w:val="24"/>
                <w:lang w:eastAsia="lv-LV"/>
              </w:rPr>
            </w:pPr>
          </w:p>
          <w:p w14:paraId="201FE7FE" w14:textId="77777777" w:rsidR="00EC7573" w:rsidRPr="00EC7573" w:rsidRDefault="00EC7573" w:rsidP="00D556B1">
            <w:pPr>
              <w:rPr>
                <w:rFonts w:eastAsia="Times New Roman" w:cs="Times New Roman"/>
                <w:sz w:val="24"/>
                <w:szCs w:val="24"/>
                <w:lang w:eastAsia="lv-LV"/>
              </w:rPr>
            </w:pPr>
          </w:p>
          <w:p w14:paraId="0313BA98" w14:textId="77777777" w:rsidR="00EC7573" w:rsidRPr="00EC7573" w:rsidRDefault="00EC7573" w:rsidP="00D556B1">
            <w:pPr>
              <w:rPr>
                <w:rFonts w:eastAsia="Times New Roman" w:cs="Times New Roman"/>
                <w:sz w:val="24"/>
                <w:szCs w:val="24"/>
                <w:lang w:eastAsia="lv-LV"/>
              </w:rPr>
            </w:pPr>
          </w:p>
          <w:p w14:paraId="26E9F8FD" w14:textId="77777777" w:rsidR="00EC7573" w:rsidRPr="00EC7573" w:rsidRDefault="00EC7573" w:rsidP="00D556B1">
            <w:pPr>
              <w:rPr>
                <w:rFonts w:eastAsia="Times New Roman" w:cs="Times New Roman"/>
                <w:sz w:val="24"/>
                <w:szCs w:val="24"/>
                <w:lang w:eastAsia="lv-LV"/>
              </w:rPr>
            </w:pPr>
          </w:p>
          <w:p w14:paraId="7901DC59" w14:textId="77777777" w:rsidR="00EC7573" w:rsidRPr="00EC7573" w:rsidRDefault="00EC7573" w:rsidP="00D556B1">
            <w:pPr>
              <w:rPr>
                <w:rFonts w:eastAsia="Times New Roman" w:cs="Times New Roman"/>
                <w:sz w:val="24"/>
                <w:szCs w:val="24"/>
                <w:lang w:eastAsia="lv-LV"/>
              </w:rPr>
            </w:pPr>
          </w:p>
          <w:p w14:paraId="576F3C64" w14:textId="77777777" w:rsidR="00EC7573" w:rsidRPr="00EC7573" w:rsidRDefault="00EC7573" w:rsidP="00D556B1">
            <w:pPr>
              <w:rPr>
                <w:rFonts w:eastAsia="Times New Roman" w:cs="Times New Roman"/>
                <w:sz w:val="24"/>
                <w:szCs w:val="24"/>
                <w:lang w:eastAsia="lv-LV"/>
              </w:rPr>
            </w:pPr>
          </w:p>
          <w:p w14:paraId="616C9E1F" w14:textId="77777777" w:rsidR="00EC7573" w:rsidRPr="00EC7573" w:rsidRDefault="00EC7573" w:rsidP="00D556B1">
            <w:pPr>
              <w:rPr>
                <w:rFonts w:eastAsia="Times New Roman" w:cs="Times New Roman"/>
                <w:sz w:val="24"/>
                <w:szCs w:val="24"/>
                <w:lang w:eastAsia="lv-LV"/>
              </w:rPr>
            </w:pPr>
          </w:p>
          <w:p w14:paraId="1EFAE447" w14:textId="77777777" w:rsidR="00EC7573" w:rsidRPr="00EC7573" w:rsidRDefault="00EC7573" w:rsidP="00D556B1">
            <w:pPr>
              <w:rPr>
                <w:rFonts w:eastAsia="Times New Roman" w:cs="Times New Roman"/>
                <w:sz w:val="24"/>
                <w:szCs w:val="24"/>
                <w:lang w:eastAsia="lv-LV"/>
              </w:rPr>
            </w:pPr>
          </w:p>
          <w:p w14:paraId="1A14498B" w14:textId="77777777" w:rsidR="00EC7573" w:rsidRPr="00EC7573" w:rsidRDefault="00EC7573" w:rsidP="00D556B1">
            <w:pPr>
              <w:rPr>
                <w:rFonts w:eastAsia="Times New Roman" w:cs="Times New Roman"/>
                <w:sz w:val="24"/>
                <w:szCs w:val="24"/>
                <w:lang w:eastAsia="lv-LV"/>
              </w:rPr>
            </w:pPr>
          </w:p>
          <w:p w14:paraId="1756137E" w14:textId="77777777" w:rsidR="00EC7573" w:rsidRPr="00EC7573" w:rsidRDefault="00EC7573" w:rsidP="00D556B1">
            <w:pPr>
              <w:rPr>
                <w:rFonts w:eastAsia="Times New Roman" w:cs="Times New Roman"/>
                <w:sz w:val="24"/>
                <w:szCs w:val="24"/>
                <w:lang w:eastAsia="lv-LV"/>
              </w:rPr>
            </w:pPr>
          </w:p>
          <w:p w14:paraId="5C3692E0" w14:textId="77777777" w:rsidR="00EC7573" w:rsidRPr="00EC7573" w:rsidRDefault="00EC7573" w:rsidP="00D556B1">
            <w:pPr>
              <w:rPr>
                <w:rFonts w:eastAsia="Times New Roman" w:cs="Times New Roman"/>
                <w:sz w:val="24"/>
                <w:szCs w:val="24"/>
                <w:lang w:eastAsia="lv-LV"/>
              </w:rPr>
            </w:pPr>
          </w:p>
          <w:p w14:paraId="34AD8DDE" w14:textId="77777777" w:rsidR="00EC7573" w:rsidRPr="00EC7573" w:rsidRDefault="00EC7573" w:rsidP="00D556B1">
            <w:pPr>
              <w:rPr>
                <w:rFonts w:eastAsia="Times New Roman" w:cs="Times New Roman"/>
                <w:sz w:val="24"/>
                <w:szCs w:val="24"/>
                <w:lang w:eastAsia="lv-LV"/>
              </w:rPr>
            </w:pPr>
          </w:p>
          <w:p w14:paraId="0128461C" w14:textId="77777777" w:rsidR="00EC7573" w:rsidRPr="00EC7573" w:rsidRDefault="00EC7573" w:rsidP="00D556B1">
            <w:pPr>
              <w:rPr>
                <w:rFonts w:eastAsia="Times New Roman" w:cs="Times New Roman"/>
                <w:sz w:val="24"/>
                <w:szCs w:val="24"/>
                <w:lang w:eastAsia="lv-LV"/>
              </w:rPr>
            </w:pPr>
          </w:p>
          <w:p w14:paraId="01164617" w14:textId="77777777" w:rsidR="00EC7573" w:rsidRPr="00EC7573" w:rsidRDefault="00EC7573" w:rsidP="00D556B1">
            <w:pPr>
              <w:rPr>
                <w:rFonts w:eastAsia="Times New Roman" w:cs="Times New Roman"/>
                <w:sz w:val="24"/>
                <w:szCs w:val="24"/>
                <w:lang w:eastAsia="lv-LV"/>
              </w:rPr>
            </w:pPr>
          </w:p>
          <w:p w14:paraId="4E8B9063" w14:textId="77777777" w:rsidR="00EC7573" w:rsidRDefault="00EC7573" w:rsidP="00EC7573">
            <w:pPr>
              <w:rPr>
                <w:rFonts w:eastAsia="Times New Roman" w:cs="Times New Roman"/>
                <w:sz w:val="24"/>
                <w:szCs w:val="24"/>
                <w:lang w:eastAsia="lv-LV"/>
              </w:rPr>
            </w:pPr>
          </w:p>
          <w:p w14:paraId="5B2EF57F" w14:textId="77777777" w:rsidR="00EC7573" w:rsidRPr="00EC7573" w:rsidRDefault="00EC7573" w:rsidP="00EC7573">
            <w:pPr>
              <w:rPr>
                <w:rFonts w:eastAsia="Times New Roman" w:cs="Times New Roman"/>
                <w:sz w:val="24"/>
                <w:szCs w:val="24"/>
                <w:lang w:eastAsia="lv-LV"/>
              </w:rPr>
            </w:pPr>
          </w:p>
          <w:p w14:paraId="338CFE53" w14:textId="77777777" w:rsidR="00EC7573" w:rsidRPr="00EC7573" w:rsidRDefault="00EC7573" w:rsidP="00EC7573">
            <w:pPr>
              <w:rPr>
                <w:rFonts w:eastAsia="Times New Roman" w:cs="Times New Roman"/>
                <w:sz w:val="24"/>
                <w:szCs w:val="24"/>
                <w:lang w:eastAsia="lv-LV"/>
              </w:rPr>
            </w:pPr>
          </w:p>
          <w:p w14:paraId="4305934A" w14:textId="77777777" w:rsidR="00082640" w:rsidRPr="00EC7573" w:rsidRDefault="00082640" w:rsidP="00D556B1">
            <w:pPr>
              <w:rPr>
                <w:rFonts w:eastAsia="Times New Roman" w:cs="Times New Roman"/>
                <w:sz w:val="24"/>
                <w:szCs w:val="24"/>
                <w:lang w:eastAsia="lv-LV"/>
              </w:rPr>
            </w:pPr>
          </w:p>
        </w:tc>
        <w:tc>
          <w:tcPr>
            <w:tcW w:w="1955" w:type="dxa"/>
            <w:tcBorders>
              <w:top w:val="outset" w:sz="6" w:space="0" w:color="auto"/>
              <w:left w:val="outset" w:sz="6" w:space="0" w:color="auto"/>
              <w:bottom w:val="outset" w:sz="6" w:space="0" w:color="auto"/>
              <w:right w:val="outset" w:sz="6" w:space="0" w:color="auto"/>
            </w:tcBorders>
            <w:hideMark/>
          </w:tcPr>
          <w:p w14:paraId="47F04F41" w14:textId="77777777" w:rsidR="00EC24C3" w:rsidRPr="00BB322F" w:rsidRDefault="00082640" w:rsidP="007B0190">
            <w:pPr>
              <w:rPr>
                <w:rFonts w:eastAsia="Times New Roman" w:cs="Times New Roman"/>
                <w:sz w:val="24"/>
                <w:szCs w:val="24"/>
                <w:lang w:eastAsia="lv-LV"/>
              </w:rPr>
            </w:pPr>
            <w:r w:rsidRPr="00BB322F">
              <w:rPr>
                <w:rFonts w:eastAsia="Times New Roman" w:cs="Times New Roman"/>
                <w:sz w:val="24"/>
                <w:szCs w:val="24"/>
                <w:lang w:eastAsia="lv-LV"/>
              </w:rPr>
              <w:lastRenderedPageBreak/>
              <w:t>Pašreizējā situācija un problēmas, kuru risināšanai tiesību akta projekts izstrādāts, tiesiskā regulējuma mērķis un būtība</w:t>
            </w:r>
          </w:p>
          <w:p w14:paraId="691D547E" w14:textId="77777777" w:rsidR="00EC24C3" w:rsidRPr="00BB322F" w:rsidRDefault="00EC24C3" w:rsidP="00EC24C3">
            <w:pPr>
              <w:rPr>
                <w:rFonts w:eastAsia="Times New Roman" w:cs="Times New Roman"/>
                <w:sz w:val="24"/>
                <w:szCs w:val="24"/>
                <w:lang w:eastAsia="lv-LV"/>
              </w:rPr>
            </w:pPr>
          </w:p>
          <w:p w14:paraId="253F447C" w14:textId="77777777" w:rsidR="00EC24C3" w:rsidRPr="00BB322F" w:rsidRDefault="00EC24C3" w:rsidP="00EC24C3">
            <w:pPr>
              <w:rPr>
                <w:rFonts w:eastAsia="Times New Roman" w:cs="Times New Roman"/>
                <w:sz w:val="24"/>
                <w:szCs w:val="24"/>
                <w:lang w:eastAsia="lv-LV"/>
              </w:rPr>
            </w:pPr>
          </w:p>
          <w:p w14:paraId="0733134E" w14:textId="77777777" w:rsidR="00EC24C3" w:rsidRPr="00BB322F" w:rsidRDefault="00EC24C3" w:rsidP="00EC24C3">
            <w:pPr>
              <w:rPr>
                <w:rFonts w:eastAsia="Times New Roman" w:cs="Times New Roman"/>
                <w:sz w:val="24"/>
                <w:szCs w:val="24"/>
                <w:lang w:eastAsia="lv-LV"/>
              </w:rPr>
            </w:pPr>
          </w:p>
          <w:p w14:paraId="4D784B09" w14:textId="77777777" w:rsidR="00EC24C3" w:rsidRPr="00BB322F" w:rsidRDefault="00EC24C3" w:rsidP="00EC24C3">
            <w:pPr>
              <w:rPr>
                <w:rFonts w:eastAsia="Times New Roman" w:cs="Times New Roman"/>
                <w:sz w:val="24"/>
                <w:szCs w:val="24"/>
                <w:lang w:eastAsia="lv-LV"/>
              </w:rPr>
            </w:pPr>
          </w:p>
          <w:p w14:paraId="1AE37ED9" w14:textId="77777777" w:rsidR="00EC24C3" w:rsidRPr="00BB322F" w:rsidRDefault="00EC24C3" w:rsidP="00EC24C3">
            <w:pPr>
              <w:rPr>
                <w:rFonts w:eastAsia="Times New Roman" w:cs="Times New Roman"/>
                <w:sz w:val="24"/>
                <w:szCs w:val="24"/>
                <w:lang w:eastAsia="lv-LV"/>
              </w:rPr>
            </w:pPr>
          </w:p>
          <w:p w14:paraId="248617DC" w14:textId="77777777" w:rsidR="00EC24C3" w:rsidRPr="00BB322F" w:rsidRDefault="00EC24C3" w:rsidP="00EC24C3">
            <w:pPr>
              <w:rPr>
                <w:rFonts w:eastAsia="Times New Roman" w:cs="Times New Roman"/>
                <w:sz w:val="24"/>
                <w:szCs w:val="24"/>
                <w:lang w:eastAsia="lv-LV"/>
              </w:rPr>
            </w:pPr>
          </w:p>
          <w:p w14:paraId="474E2245" w14:textId="77777777" w:rsidR="00EC24C3" w:rsidRPr="00BB322F" w:rsidRDefault="00EC24C3" w:rsidP="00EC24C3">
            <w:pPr>
              <w:rPr>
                <w:rFonts w:eastAsia="Times New Roman" w:cs="Times New Roman"/>
                <w:sz w:val="24"/>
                <w:szCs w:val="24"/>
                <w:lang w:eastAsia="lv-LV"/>
              </w:rPr>
            </w:pPr>
          </w:p>
          <w:p w14:paraId="1B85989F" w14:textId="77777777" w:rsidR="00EC24C3" w:rsidRPr="00BB322F" w:rsidRDefault="00EC24C3" w:rsidP="00EC24C3">
            <w:pPr>
              <w:rPr>
                <w:rFonts w:eastAsia="Times New Roman" w:cs="Times New Roman"/>
                <w:sz w:val="24"/>
                <w:szCs w:val="24"/>
                <w:lang w:eastAsia="lv-LV"/>
              </w:rPr>
            </w:pPr>
          </w:p>
          <w:p w14:paraId="6F3CC049" w14:textId="77777777" w:rsidR="00EC24C3" w:rsidRPr="00BB322F" w:rsidRDefault="00EC24C3" w:rsidP="00EC24C3">
            <w:pPr>
              <w:rPr>
                <w:rFonts w:eastAsia="Times New Roman" w:cs="Times New Roman"/>
                <w:sz w:val="24"/>
                <w:szCs w:val="24"/>
                <w:lang w:eastAsia="lv-LV"/>
              </w:rPr>
            </w:pPr>
          </w:p>
          <w:p w14:paraId="08A99706" w14:textId="77777777" w:rsidR="00EC24C3" w:rsidRPr="00BB322F" w:rsidRDefault="00EC24C3" w:rsidP="00EC24C3">
            <w:pPr>
              <w:rPr>
                <w:rFonts w:eastAsia="Times New Roman" w:cs="Times New Roman"/>
                <w:sz w:val="24"/>
                <w:szCs w:val="24"/>
                <w:lang w:eastAsia="lv-LV"/>
              </w:rPr>
            </w:pPr>
          </w:p>
          <w:p w14:paraId="6D13873C" w14:textId="77777777" w:rsidR="00EC24C3" w:rsidRPr="00BB322F" w:rsidRDefault="00EC24C3" w:rsidP="00EC24C3">
            <w:pPr>
              <w:rPr>
                <w:rFonts w:eastAsia="Times New Roman" w:cs="Times New Roman"/>
                <w:sz w:val="24"/>
                <w:szCs w:val="24"/>
                <w:lang w:eastAsia="lv-LV"/>
              </w:rPr>
            </w:pPr>
          </w:p>
          <w:p w14:paraId="213802A2" w14:textId="77777777" w:rsidR="00EC24C3" w:rsidRPr="00BB322F" w:rsidRDefault="00EC24C3" w:rsidP="00EC24C3">
            <w:pPr>
              <w:rPr>
                <w:rFonts w:eastAsia="Times New Roman" w:cs="Times New Roman"/>
                <w:sz w:val="24"/>
                <w:szCs w:val="24"/>
                <w:lang w:eastAsia="lv-LV"/>
              </w:rPr>
            </w:pPr>
          </w:p>
          <w:p w14:paraId="7CC9C1D0" w14:textId="77777777" w:rsidR="00EC24C3" w:rsidRPr="00BB322F" w:rsidRDefault="00EC24C3" w:rsidP="00EC24C3">
            <w:pPr>
              <w:rPr>
                <w:rFonts w:eastAsia="Times New Roman" w:cs="Times New Roman"/>
                <w:sz w:val="24"/>
                <w:szCs w:val="24"/>
                <w:lang w:eastAsia="lv-LV"/>
              </w:rPr>
            </w:pPr>
          </w:p>
          <w:p w14:paraId="631D34E8" w14:textId="77777777" w:rsidR="00EC24C3" w:rsidRPr="00BB322F" w:rsidRDefault="00EC24C3" w:rsidP="00EC24C3">
            <w:pPr>
              <w:rPr>
                <w:rFonts w:eastAsia="Times New Roman" w:cs="Times New Roman"/>
                <w:sz w:val="24"/>
                <w:szCs w:val="24"/>
                <w:lang w:eastAsia="lv-LV"/>
              </w:rPr>
            </w:pPr>
          </w:p>
          <w:p w14:paraId="72839B4B" w14:textId="77777777" w:rsidR="00EC24C3" w:rsidRPr="00BB322F" w:rsidRDefault="00EC24C3" w:rsidP="00EC24C3">
            <w:pPr>
              <w:rPr>
                <w:rFonts w:eastAsia="Times New Roman" w:cs="Times New Roman"/>
                <w:sz w:val="24"/>
                <w:szCs w:val="24"/>
                <w:lang w:eastAsia="lv-LV"/>
              </w:rPr>
            </w:pPr>
          </w:p>
          <w:p w14:paraId="3DE9857B" w14:textId="77777777" w:rsidR="00EC24C3" w:rsidRPr="00BB322F" w:rsidRDefault="00EC24C3" w:rsidP="00EC24C3">
            <w:pPr>
              <w:rPr>
                <w:rFonts w:eastAsia="Times New Roman" w:cs="Times New Roman"/>
                <w:sz w:val="24"/>
                <w:szCs w:val="24"/>
                <w:lang w:eastAsia="lv-LV"/>
              </w:rPr>
            </w:pPr>
          </w:p>
          <w:p w14:paraId="42B295A0" w14:textId="77777777" w:rsidR="00EC24C3" w:rsidRPr="00BB322F" w:rsidRDefault="00EC24C3" w:rsidP="00EC24C3">
            <w:pPr>
              <w:rPr>
                <w:rFonts w:eastAsia="Times New Roman" w:cs="Times New Roman"/>
                <w:sz w:val="24"/>
                <w:szCs w:val="24"/>
                <w:lang w:eastAsia="lv-LV"/>
              </w:rPr>
            </w:pPr>
          </w:p>
          <w:p w14:paraId="58230213" w14:textId="56CC5730" w:rsidR="00EC24C3" w:rsidRDefault="00EC24C3" w:rsidP="00EC24C3">
            <w:pPr>
              <w:rPr>
                <w:rFonts w:eastAsia="Times New Roman" w:cs="Times New Roman"/>
                <w:sz w:val="24"/>
                <w:szCs w:val="24"/>
                <w:lang w:eastAsia="lv-LV"/>
              </w:rPr>
            </w:pPr>
          </w:p>
          <w:p w14:paraId="7839A4C6" w14:textId="77777777" w:rsidR="000F5AAB" w:rsidRPr="000F5AAB" w:rsidRDefault="000F5AAB" w:rsidP="000F5AAB">
            <w:pPr>
              <w:rPr>
                <w:rFonts w:eastAsia="Times New Roman" w:cs="Times New Roman"/>
                <w:sz w:val="24"/>
                <w:szCs w:val="24"/>
                <w:lang w:eastAsia="lv-LV"/>
              </w:rPr>
            </w:pPr>
          </w:p>
          <w:p w14:paraId="76F2AC63" w14:textId="77777777" w:rsidR="000F5AAB" w:rsidRPr="000F5AAB" w:rsidRDefault="000F5AAB" w:rsidP="000F5AAB">
            <w:pPr>
              <w:rPr>
                <w:rFonts w:eastAsia="Times New Roman" w:cs="Times New Roman"/>
                <w:sz w:val="24"/>
                <w:szCs w:val="24"/>
                <w:lang w:eastAsia="lv-LV"/>
              </w:rPr>
            </w:pPr>
          </w:p>
          <w:p w14:paraId="5DF64318" w14:textId="77777777" w:rsidR="000F5AAB" w:rsidRPr="000F5AAB" w:rsidRDefault="000F5AAB" w:rsidP="000F5AAB">
            <w:pPr>
              <w:rPr>
                <w:rFonts w:eastAsia="Times New Roman" w:cs="Times New Roman"/>
                <w:sz w:val="24"/>
                <w:szCs w:val="24"/>
                <w:lang w:eastAsia="lv-LV"/>
              </w:rPr>
            </w:pPr>
          </w:p>
          <w:p w14:paraId="0535EA89" w14:textId="77777777" w:rsidR="000F5AAB" w:rsidRPr="000F5AAB" w:rsidRDefault="000F5AAB" w:rsidP="000F5AAB">
            <w:pPr>
              <w:rPr>
                <w:rFonts w:eastAsia="Times New Roman" w:cs="Times New Roman"/>
                <w:sz w:val="24"/>
                <w:szCs w:val="24"/>
                <w:lang w:eastAsia="lv-LV"/>
              </w:rPr>
            </w:pPr>
          </w:p>
          <w:p w14:paraId="745EBA89" w14:textId="77777777" w:rsidR="000F5AAB" w:rsidRPr="000F5AAB" w:rsidRDefault="000F5AAB" w:rsidP="000F5AAB">
            <w:pPr>
              <w:rPr>
                <w:rFonts w:eastAsia="Times New Roman" w:cs="Times New Roman"/>
                <w:sz w:val="24"/>
                <w:szCs w:val="24"/>
                <w:lang w:eastAsia="lv-LV"/>
              </w:rPr>
            </w:pPr>
          </w:p>
          <w:p w14:paraId="350F1B34" w14:textId="77777777" w:rsidR="000F5AAB" w:rsidRPr="000F5AAB" w:rsidRDefault="000F5AAB" w:rsidP="000F5AAB">
            <w:pPr>
              <w:rPr>
                <w:rFonts w:eastAsia="Times New Roman" w:cs="Times New Roman"/>
                <w:sz w:val="24"/>
                <w:szCs w:val="24"/>
                <w:lang w:eastAsia="lv-LV"/>
              </w:rPr>
            </w:pPr>
          </w:p>
          <w:p w14:paraId="514588C1" w14:textId="77777777" w:rsidR="000F5AAB" w:rsidRPr="000F5AAB" w:rsidRDefault="000F5AAB" w:rsidP="000F5AAB">
            <w:pPr>
              <w:rPr>
                <w:rFonts w:eastAsia="Times New Roman" w:cs="Times New Roman"/>
                <w:sz w:val="24"/>
                <w:szCs w:val="24"/>
                <w:lang w:eastAsia="lv-LV"/>
              </w:rPr>
            </w:pPr>
          </w:p>
          <w:p w14:paraId="66BA9711" w14:textId="77777777" w:rsidR="000F5AAB" w:rsidRPr="000F5AAB" w:rsidRDefault="000F5AAB" w:rsidP="000F5AAB">
            <w:pPr>
              <w:rPr>
                <w:rFonts w:eastAsia="Times New Roman" w:cs="Times New Roman"/>
                <w:sz w:val="24"/>
                <w:szCs w:val="24"/>
                <w:lang w:eastAsia="lv-LV"/>
              </w:rPr>
            </w:pPr>
          </w:p>
          <w:p w14:paraId="20ED6810" w14:textId="77777777" w:rsidR="000F5AAB" w:rsidRPr="000F5AAB" w:rsidRDefault="000F5AAB" w:rsidP="000F5AAB">
            <w:pPr>
              <w:rPr>
                <w:rFonts w:eastAsia="Times New Roman" w:cs="Times New Roman"/>
                <w:sz w:val="24"/>
                <w:szCs w:val="24"/>
                <w:lang w:eastAsia="lv-LV"/>
              </w:rPr>
            </w:pPr>
          </w:p>
          <w:p w14:paraId="24697788" w14:textId="77777777" w:rsidR="000F5AAB" w:rsidRPr="000F5AAB" w:rsidRDefault="000F5AAB" w:rsidP="000F5AAB">
            <w:pPr>
              <w:rPr>
                <w:rFonts w:eastAsia="Times New Roman" w:cs="Times New Roman"/>
                <w:sz w:val="24"/>
                <w:szCs w:val="24"/>
                <w:lang w:eastAsia="lv-LV"/>
              </w:rPr>
            </w:pPr>
          </w:p>
          <w:p w14:paraId="177E6335" w14:textId="77777777" w:rsidR="000F5AAB" w:rsidRPr="000F5AAB" w:rsidRDefault="000F5AAB" w:rsidP="000F5AAB">
            <w:pPr>
              <w:rPr>
                <w:rFonts w:eastAsia="Times New Roman" w:cs="Times New Roman"/>
                <w:sz w:val="24"/>
                <w:szCs w:val="24"/>
                <w:lang w:eastAsia="lv-LV"/>
              </w:rPr>
            </w:pPr>
          </w:p>
          <w:p w14:paraId="1D378869" w14:textId="77777777" w:rsidR="000F5AAB" w:rsidRPr="000F5AAB" w:rsidRDefault="000F5AAB" w:rsidP="000F5AAB">
            <w:pPr>
              <w:rPr>
                <w:rFonts w:eastAsia="Times New Roman" w:cs="Times New Roman"/>
                <w:sz w:val="24"/>
                <w:szCs w:val="24"/>
                <w:lang w:eastAsia="lv-LV"/>
              </w:rPr>
            </w:pPr>
          </w:p>
          <w:p w14:paraId="4195868D" w14:textId="77777777" w:rsidR="000F5AAB" w:rsidRPr="000F5AAB" w:rsidRDefault="000F5AAB" w:rsidP="000F5AAB">
            <w:pPr>
              <w:rPr>
                <w:rFonts w:eastAsia="Times New Roman" w:cs="Times New Roman"/>
                <w:sz w:val="24"/>
                <w:szCs w:val="24"/>
                <w:lang w:eastAsia="lv-LV"/>
              </w:rPr>
            </w:pPr>
          </w:p>
          <w:p w14:paraId="3256910E" w14:textId="77777777" w:rsidR="000F5AAB" w:rsidRPr="000F5AAB" w:rsidRDefault="000F5AAB" w:rsidP="000F5AAB">
            <w:pPr>
              <w:rPr>
                <w:rFonts w:eastAsia="Times New Roman" w:cs="Times New Roman"/>
                <w:sz w:val="24"/>
                <w:szCs w:val="24"/>
                <w:lang w:eastAsia="lv-LV"/>
              </w:rPr>
            </w:pPr>
          </w:p>
          <w:p w14:paraId="4E976AD5" w14:textId="77777777" w:rsidR="000F5AAB" w:rsidRPr="000F5AAB" w:rsidRDefault="000F5AAB" w:rsidP="000F5AAB">
            <w:pPr>
              <w:rPr>
                <w:rFonts w:eastAsia="Times New Roman" w:cs="Times New Roman"/>
                <w:sz w:val="24"/>
                <w:szCs w:val="24"/>
                <w:lang w:eastAsia="lv-LV"/>
              </w:rPr>
            </w:pPr>
          </w:p>
          <w:p w14:paraId="2AA8E61F" w14:textId="77777777" w:rsidR="000F5AAB" w:rsidRPr="000F5AAB" w:rsidRDefault="000F5AAB" w:rsidP="000F5AAB">
            <w:pPr>
              <w:rPr>
                <w:rFonts w:eastAsia="Times New Roman" w:cs="Times New Roman"/>
                <w:sz w:val="24"/>
                <w:szCs w:val="24"/>
                <w:lang w:eastAsia="lv-LV"/>
              </w:rPr>
            </w:pPr>
          </w:p>
          <w:p w14:paraId="63B30ADA" w14:textId="77777777" w:rsidR="000F5AAB" w:rsidRPr="000F5AAB" w:rsidRDefault="000F5AAB" w:rsidP="000F5AAB">
            <w:pPr>
              <w:rPr>
                <w:rFonts w:eastAsia="Times New Roman" w:cs="Times New Roman"/>
                <w:sz w:val="24"/>
                <w:szCs w:val="24"/>
                <w:lang w:eastAsia="lv-LV"/>
              </w:rPr>
            </w:pPr>
          </w:p>
          <w:p w14:paraId="2A044235" w14:textId="77777777" w:rsidR="000F5AAB" w:rsidRPr="000F5AAB" w:rsidRDefault="000F5AAB" w:rsidP="000F5AAB">
            <w:pPr>
              <w:rPr>
                <w:rFonts w:eastAsia="Times New Roman" w:cs="Times New Roman"/>
                <w:sz w:val="24"/>
                <w:szCs w:val="24"/>
                <w:lang w:eastAsia="lv-LV"/>
              </w:rPr>
            </w:pPr>
          </w:p>
          <w:p w14:paraId="0082FA8D" w14:textId="77777777" w:rsidR="000F5AAB" w:rsidRPr="000F5AAB" w:rsidRDefault="000F5AAB" w:rsidP="000F5AAB">
            <w:pPr>
              <w:rPr>
                <w:rFonts w:eastAsia="Times New Roman" w:cs="Times New Roman"/>
                <w:sz w:val="24"/>
                <w:szCs w:val="24"/>
                <w:lang w:eastAsia="lv-LV"/>
              </w:rPr>
            </w:pPr>
          </w:p>
          <w:p w14:paraId="3DAF7555" w14:textId="77777777" w:rsidR="000F5AAB" w:rsidRPr="000F5AAB" w:rsidRDefault="000F5AAB" w:rsidP="000F5AAB">
            <w:pPr>
              <w:rPr>
                <w:rFonts w:eastAsia="Times New Roman" w:cs="Times New Roman"/>
                <w:sz w:val="24"/>
                <w:szCs w:val="24"/>
                <w:lang w:eastAsia="lv-LV"/>
              </w:rPr>
            </w:pPr>
          </w:p>
          <w:p w14:paraId="4EA5E45C" w14:textId="77777777" w:rsidR="000F5AAB" w:rsidRPr="000F5AAB" w:rsidRDefault="000F5AAB" w:rsidP="000F5AAB">
            <w:pPr>
              <w:rPr>
                <w:rFonts w:eastAsia="Times New Roman" w:cs="Times New Roman"/>
                <w:sz w:val="24"/>
                <w:szCs w:val="24"/>
                <w:lang w:eastAsia="lv-LV"/>
              </w:rPr>
            </w:pPr>
          </w:p>
          <w:p w14:paraId="5F857F33" w14:textId="77777777" w:rsidR="000F5AAB" w:rsidRPr="000F5AAB" w:rsidRDefault="000F5AAB" w:rsidP="000F5AAB">
            <w:pPr>
              <w:rPr>
                <w:rFonts w:eastAsia="Times New Roman" w:cs="Times New Roman"/>
                <w:sz w:val="24"/>
                <w:szCs w:val="24"/>
                <w:lang w:eastAsia="lv-LV"/>
              </w:rPr>
            </w:pPr>
          </w:p>
          <w:p w14:paraId="035766C0" w14:textId="77777777" w:rsidR="000F5AAB" w:rsidRPr="000F5AAB" w:rsidRDefault="000F5AAB" w:rsidP="000F5AAB">
            <w:pPr>
              <w:rPr>
                <w:rFonts w:eastAsia="Times New Roman" w:cs="Times New Roman"/>
                <w:sz w:val="24"/>
                <w:szCs w:val="24"/>
                <w:lang w:eastAsia="lv-LV"/>
              </w:rPr>
            </w:pPr>
          </w:p>
          <w:p w14:paraId="051F9BA5" w14:textId="77777777" w:rsidR="000F5AAB" w:rsidRPr="000F5AAB" w:rsidRDefault="000F5AAB" w:rsidP="000F5AAB">
            <w:pPr>
              <w:rPr>
                <w:rFonts w:eastAsia="Times New Roman" w:cs="Times New Roman"/>
                <w:sz w:val="24"/>
                <w:szCs w:val="24"/>
                <w:lang w:eastAsia="lv-LV"/>
              </w:rPr>
            </w:pPr>
          </w:p>
          <w:p w14:paraId="1A015E62" w14:textId="77777777" w:rsidR="000F5AAB" w:rsidRPr="000F5AAB" w:rsidRDefault="000F5AAB" w:rsidP="000F5AAB">
            <w:pPr>
              <w:rPr>
                <w:rFonts w:eastAsia="Times New Roman" w:cs="Times New Roman"/>
                <w:sz w:val="24"/>
                <w:szCs w:val="24"/>
                <w:lang w:eastAsia="lv-LV"/>
              </w:rPr>
            </w:pPr>
          </w:p>
          <w:p w14:paraId="03DC4A98" w14:textId="77777777" w:rsidR="000F5AAB" w:rsidRPr="000F5AAB" w:rsidRDefault="000F5AAB" w:rsidP="000F5AAB">
            <w:pPr>
              <w:rPr>
                <w:rFonts w:eastAsia="Times New Roman" w:cs="Times New Roman"/>
                <w:sz w:val="24"/>
                <w:szCs w:val="24"/>
                <w:lang w:eastAsia="lv-LV"/>
              </w:rPr>
            </w:pPr>
          </w:p>
          <w:p w14:paraId="6A235F7E" w14:textId="77777777" w:rsidR="000F5AAB" w:rsidRPr="000F5AAB" w:rsidRDefault="000F5AAB" w:rsidP="000F5AAB">
            <w:pPr>
              <w:rPr>
                <w:rFonts w:eastAsia="Times New Roman" w:cs="Times New Roman"/>
                <w:sz w:val="24"/>
                <w:szCs w:val="24"/>
                <w:lang w:eastAsia="lv-LV"/>
              </w:rPr>
            </w:pPr>
          </w:p>
          <w:p w14:paraId="7F4B9B76" w14:textId="77777777" w:rsidR="000F5AAB" w:rsidRPr="000F5AAB" w:rsidRDefault="000F5AAB" w:rsidP="000F5AAB">
            <w:pPr>
              <w:rPr>
                <w:rFonts w:eastAsia="Times New Roman" w:cs="Times New Roman"/>
                <w:sz w:val="24"/>
                <w:szCs w:val="24"/>
                <w:lang w:eastAsia="lv-LV"/>
              </w:rPr>
            </w:pPr>
          </w:p>
          <w:p w14:paraId="7CD7B0E2" w14:textId="77777777" w:rsidR="000F5AAB" w:rsidRPr="000F5AAB" w:rsidRDefault="000F5AAB" w:rsidP="000F5AAB">
            <w:pPr>
              <w:rPr>
                <w:rFonts w:eastAsia="Times New Roman" w:cs="Times New Roman"/>
                <w:sz w:val="24"/>
                <w:szCs w:val="24"/>
                <w:lang w:eastAsia="lv-LV"/>
              </w:rPr>
            </w:pPr>
          </w:p>
          <w:p w14:paraId="71EFA3FB" w14:textId="77777777" w:rsidR="000F5AAB" w:rsidRPr="000F5AAB" w:rsidRDefault="000F5AAB" w:rsidP="000F5AAB">
            <w:pPr>
              <w:rPr>
                <w:rFonts w:eastAsia="Times New Roman" w:cs="Times New Roman"/>
                <w:sz w:val="24"/>
                <w:szCs w:val="24"/>
                <w:lang w:eastAsia="lv-LV"/>
              </w:rPr>
            </w:pPr>
          </w:p>
          <w:p w14:paraId="53AC4859" w14:textId="77777777" w:rsidR="000F5AAB" w:rsidRPr="000F5AAB" w:rsidRDefault="000F5AAB" w:rsidP="000F5AAB">
            <w:pPr>
              <w:rPr>
                <w:rFonts w:eastAsia="Times New Roman" w:cs="Times New Roman"/>
                <w:sz w:val="24"/>
                <w:szCs w:val="24"/>
                <w:lang w:eastAsia="lv-LV"/>
              </w:rPr>
            </w:pPr>
          </w:p>
          <w:p w14:paraId="69F84F00" w14:textId="77777777" w:rsidR="000F5AAB" w:rsidRPr="000F5AAB" w:rsidRDefault="000F5AAB" w:rsidP="000F5AAB">
            <w:pPr>
              <w:rPr>
                <w:rFonts w:eastAsia="Times New Roman" w:cs="Times New Roman"/>
                <w:sz w:val="24"/>
                <w:szCs w:val="24"/>
                <w:lang w:eastAsia="lv-LV"/>
              </w:rPr>
            </w:pPr>
          </w:p>
          <w:p w14:paraId="74F07129" w14:textId="77777777" w:rsidR="000F5AAB" w:rsidRPr="000F5AAB" w:rsidRDefault="000F5AAB" w:rsidP="000F5AAB">
            <w:pPr>
              <w:rPr>
                <w:rFonts w:eastAsia="Times New Roman" w:cs="Times New Roman"/>
                <w:sz w:val="24"/>
                <w:szCs w:val="24"/>
                <w:lang w:eastAsia="lv-LV"/>
              </w:rPr>
            </w:pPr>
          </w:p>
          <w:p w14:paraId="07C39185" w14:textId="77777777" w:rsidR="000F5AAB" w:rsidRPr="000F5AAB" w:rsidRDefault="000F5AAB" w:rsidP="000F5AAB">
            <w:pPr>
              <w:rPr>
                <w:rFonts w:eastAsia="Times New Roman" w:cs="Times New Roman"/>
                <w:sz w:val="24"/>
                <w:szCs w:val="24"/>
                <w:lang w:eastAsia="lv-LV"/>
              </w:rPr>
            </w:pPr>
          </w:p>
          <w:p w14:paraId="41BDEFE0" w14:textId="77777777" w:rsidR="000F5AAB" w:rsidRPr="000F5AAB" w:rsidRDefault="000F5AAB" w:rsidP="000F5AAB">
            <w:pPr>
              <w:rPr>
                <w:rFonts w:eastAsia="Times New Roman" w:cs="Times New Roman"/>
                <w:sz w:val="24"/>
                <w:szCs w:val="24"/>
                <w:lang w:eastAsia="lv-LV"/>
              </w:rPr>
            </w:pPr>
          </w:p>
          <w:p w14:paraId="074C205F" w14:textId="77777777" w:rsidR="000F5AAB" w:rsidRPr="000F5AAB" w:rsidRDefault="000F5AAB" w:rsidP="000F5AAB">
            <w:pPr>
              <w:rPr>
                <w:rFonts w:eastAsia="Times New Roman" w:cs="Times New Roman"/>
                <w:sz w:val="24"/>
                <w:szCs w:val="24"/>
                <w:lang w:eastAsia="lv-LV"/>
              </w:rPr>
            </w:pPr>
          </w:p>
          <w:p w14:paraId="49D1E0A4" w14:textId="77777777" w:rsidR="00C77E87" w:rsidRPr="00C77E87" w:rsidRDefault="00C77E87" w:rsidP="00C77E87">
            <w:pPr>
              <w:rPr>
                <w:rFonts w:eastAsia="Times New Roman" w:cs="Times New Roman"/>
                <w:sz w:val="24"/>
                <w:szCs w:val="24"/>
                <w:lang w:eastAsia="lv-LV"/>
              </w:rPr>
            </w:pPr>
          </w:p>
          <w:p w14:paraId="79BFBC86" w14:textId="77777777" w:rsidR="00C77E87" w:rsidRPr="00C77E87" w:rsidRDefault="00C77E87" w:rsidP="00C77E87">
            <w:pPr>
              <w:rPr>
                <w:rFonts w:eastAsia="Times New Roman" w:cs="Times New Roman"/>
                <w:sz w:val="24"/>
                <w:szCs w:val="24"/>
                <w:lang w:eastAsia="lv-LV"/>
              </w:rPr>
            </w:pPr>
          </w:p>
          <w:p w14:paraId="5BD3C78F" w14:textId="77777777" w:rsidR="00C77E87" w:rsidRPr="00C77E87" w:rsidRDefault="00C77E87" w:rsidP="00C77E87">
            <w:pPr>
              <w:rPr>
                <w:rFonts w:eastAsia="Times New Roman" w:cs="Times New Roman"/>
                <w:sz w:val="24"/>
                <w:szCs w:val="24"/>
                <w:lang w:eastAsia="lv-LV"/>
              </w:rPr>
            </w:pPr>
          </w:p>
          <w:p w14:paraId="72112C99" w14:textId="77777777" w:rsidR="00C77E87" w:rsidRPr="00C77E87" w:rsidRDefault="00C77E87" w:rsidP="00C77E87">
            <w:pPr>
              <w:rPr>
                <w:rFonts w:eastAsia="Times New Roman" w:cs="Times New Roman"/>
                <w:sz w:val="24"/>
                <w:szCs w:val="24"/>
                <w:lang w:eastAsia="lv-LV"/>
              </w:rPr>
            </w:pPr>
          </w:p>
          <w:p w14:paraId="41CAE93A" w14:textId="77777777" w:rsidR="00C77E87" w:rsidRPr="00C77E87" w:rsidRDefault="00C77E87" w:rsidP="00C77E87">
            <w:pPr>
              <w:rPr>
                <w:rFonts w:eastAsia="Times New Roman" w:cs="Times New Roman"/>
                <w:sz w:val="24"/>
                <w:szCs w:val="24"/>
                <w:lang w:eastAsia="lv-LV"/>
              </w:rPr>
            </w:pPr>
          </w:p>
          <w:p w14:paraId="4029DFD3" w14:textId="77777777" w:rsidR="00C77E87" w:rsidRPr="00C77E87" w:rsidRDefault="00C77E87" w:rsidP="00C77E87">
            <w:pPr>
              <w:rPr>
                <w:rFonts w:eastAsia="Times New Roman" w:cs="Times New Roman"/>
                <w:sz w:val="24"/>
                <w:szCs w:val="24"/>
                <w:lang w:eastAsia="lv-LV"/>
              </w:rPr>
            </w:pPr>
          </w:p>
          <w:p w14:paraId="011614D8" w14:textId="77777777" w:rsidR="00C77E87" w:rsidRPr="00C77E87" w:rsidRDefault="00C77E87" w:rsidP="00C77E87">
            <w:pPr>
              <w:rPr>
                <w:rFonts w:eastAsia="Times New Roman" w:cs="Times New Roman"/>
                <w:sz w:val="24"/>
                <w:szCs w:val="24"/>
                <w:lang w:eastAsia="lv-LV"/>
              </w:rPr>
            </w:pPr>
          </w:p>
          <w:p w14:paraId="78916139" w14:textId="77777777" w:rsidR="00C77E87" w:rsidRPr="00C77E87" w:rsidRDefault="00C77E87" w:rsidP="00C77E87">
            <w:pPr>
              <w:rPr>
                <w:rFonts w:eastAsia="Times New Roman" w:cs="Times New Roman"/>
                <w:sz w:val="24"/>
                <w:szCs w:val="24"/>
                <w:lang w:eastAsia="lv-LV"/>
              </w:rPr>
            </w:pPr>
          </w:p>
          <w:p w14:paraId="61FC8517" w14:textId="77777777" w:rsidR="00C77E87" w:rsidRPr="00C77E87" w:rsidRDefault="00C77E87" w:rsidP="00C77E87">
            <w:pPr>
              <w:rPr>
                <w:rFonts w:eastAsia="Times New Roman" w:cs="Times New Roman"/>
                <w:sz w:val="24"/>
                <w:szCs w:val="24"/>
                <w:lang w:eastAsia="lv-LV"/>
              </w:rPr>
            </w:pPr>
          </w:p>
          <w:p w14:paraId="3167BBB9" w14:textId="77777777" w:rsidR="00C77E87" w:rsidRPr="00C77E87" w:rsidRDefault="00C77E87" w:rsidP="00C77E87">
            <w:pPr>
              <w:rPr>
                <w:rFonts w:eastAsia="Times New Roman" w:cs="Times New Roman"/>
                <w:sz w:val="24"/>
                <w:szCs w:val="24"/>
                <w:lang w:eastAsia="lv-LV"/>
              </w:rPr>
            </w:pPr>
          </w:p>
          <w:p w14:paraId="0DCB0782" w14:textId="77777777" w:rsidR="00C77E87" w:rsidRPr="00C77E87" w:rsidRDefault="00C77E87" w:rsidP="00C77E87">
            <w:pPr>
              <w:rPr>
                <w:rFonts w:eastAsia="Times New Roman" w:cs="Times New Roman"/>
                <w:sz w:val="24"/>
                <w:szCs w:val="24"/>
                <w:lang w:eastAsia="lv-LV"/>
              </w:rPr>
            </w:pPr>
          </w:p>
          <w:p w14:paraId="51734F78" w14:textId="77777777" w:rsidR="00C77E87" w:rsidRPr="00C77E87" w:rsidRDefault="00C77E87" w:rsidP="00C77E87">
            <w:pPr>
              <w:rPr>
                <w:rFonts w:eastAsia="Times New Roman" w:cs="Times New Roman"/>
                <w:sz w:val="24"/>
                <w:szCs w:val="24"/>
                <w:lang w:eastAsia="lv-LV"/>
              </w:rPr>
            </w:pPr>
          </w:p>
          <w:p w14:paraId="1F554DF7" w14:textId="6D583B40" w:rsidR="007D37F7" w:rsidRDefault="007D37F7" w:rsidP="007D37F7">
            <w:pPr>
              <w:rPr>
                <w:rFonts w:eastAsia="Times New Roman" w:cs="Times New Roman"/>
                <w:sz w:val="24"/>
                <w:szCs w:val="24"/>
                <w:lang w:eastAsia="lv-LV"/>
              </w:rPr>
            </w:pPr>
          </w:p>
          <w:p w14:paraId="6CE5F6DD" w14:textId="77777777" w:rsidR="00637A76" w:rsidRPr="00637A76" w:rsidRDefault="00637A76" w:rsidP="00637A76">
            <w:pPr>
              <w:rPr>
                <w:rFonts w:eastAsia="Times New Roman" w:cs="Times New Roman"/>
                <w:sz w:val="24"/>
                <w:szCs w:val="24"/>
                <w:lang w:eastAsia="lv-LV"/>
              </w:rPr>
            </w:pPr>
          </w:p>
          <w:p w14:paraId="71DAAE28" w14:textId="77777777" w:rsidR="00637A76" w:rsidRPr="00637A76" w:rsidRDefault="00637A76" w:rsidP="00637A76">
            <w:pPr>
              <w:rPr>
                <w:rFonts w:eastAsia="Times New Roman" w:cs="Times New Roman"/>
                <w:sz w:val="24"/>
                <w:szCs w:val="24"/>
                <w:lang w:eastAsia="lv-LV"/>
              </w:rPr>
            </w:pPr>
          </w:p>
          <w:p w14:paraId="009B359D" w14:textId="77777777" w:rsidR="00637A76" w:rsidRPr="00637A76" w:rsidRDefault="00637A76" w:rsidP="00637A76">
            <w:pPr>
              <w:rPr>
                <w:rFonts w:eastAsia="Times New Roman" w:cs="Times New Roman"/>
                <w:sz w:val="24"/>
                <w:szCs w:val="24"/>
                <w:lang w:eastAsia="lv-LV"/>
              </w:rPr>
            </w:pPr>
          </w:p>
          <w:p w14:paraId="230AE0F5" w14:textId="77777777" w:rsidR="00637A76" w:rsidRPr="00637A76" w:rsidRDefault="00637A76" w:rsidP="00637A76">
            <w:pPr>
              <w:rPr>
                <w:rFonts w:eastAsia="Times New Roman" w:cs="Times New Roman"/>
                <w:sz w:val="24"/>
                <w:szCs w:val="24"/>
                <w:lang w:eastAsia="lv-LV"/>
              </w:rPr>
            </w:pPr>
          </w:p>
          <w:p w14:paraId="650C05D8" w14:textId="77777777" w:rsidR="00637A76" w:rsidRPr="00637A76" w:rsidRDefault="00637A76" w:rsidP="00637A76">
            <w:pPr>
              <w:rPr>
                <w:rFonts w:eastAsia="Times New Roman" w:cs="Times New Roman"/>
                <w:sz w:val="24"/>
                <w:szCs w:val="24"/>
                <w:lang w:eastAsia="lv-LV"/>
              </w:rPr>
            </w:pPr>
          </w:p>
          <w:p w14:paraId="1EC16539" w14:textId="77777777" w:rsidR="00637A76" w:rsidRPr="00637A76" w:rsidRDefault="00637A76" w:rsidP="00637A76">
            <w:pPr>
              <w:rPr>
                <w:rFonts w:eastAsia="Times New Roman" w:cs="Times New Roman"/>
                <w:sz w:val="24"/>
                <w:szCs w:val="24"/>
                <w:lang w:eastAsia="lv-LV"/>
              </w:rPr>
            </w:pPr>
          </w:p>
          <w:p w14:paraId="1A22909A" w14:textId="77777777" w:rsidR="00637A76" w:rsidRPr="00637A76" w:rsidRDefault="00637A76" w:rsidP="00637A76">
            <w:pPr>
              <w:rPr>
                <w:rFonts w:eastAsia="Times New Roman" w:cs="Times New Roman"/>
                <w:sz w:val="24"/>
                <w:szCs w:val="24"/>
                <w:lang w:eastAsia="lv-LV"/>
              </w:rPr>
            </w:pPr>
          </w:p>
          <w:p w14:paraId="436C2DAD" w14:textId="77777777" w:rsidR="00637A76" w:rsidRPr="00637A76" w:rsidRDefault="00637A76" w:rsidP="00637A76">
            <w:pPr>
              <w:rPr>
                <w:rFonts w:eastAsia="Times New Roman" w:cs="Times New Roman"/>
                <w:sz w:val="24"/>
                <w:szCs w:val="24"/>
                <w:lang w:eastAsia="lv-LV"/>
              </w:rPr>
            </w:pPr>
          </w:p>
          <w:p w14:paraId="7D0EC4CC" w14:textId="77777777" w:rsidR="00637A76" w:rsidRPr="00637A76" w:rsidRDefault="00637A76" w:rsidP="00637A76">
            <w:pPr>
              <w:rPr>
                <w:rFonts w:eastAsia="Times New Roman" w:cs="Times New Roman"/>
                <w:sz w:val="24"/>
                <w:szCs w:val="24"/>
                <w:lang w:eastAsia="lv-LV"/>
              </w:rPr>
            </w:pPr>
          </w:p>
          <w:p w14:paraId="687A2E1A" w14:textId="77777777" w:rsidR="00637A76" w:rsidRPr="00637A76" w:rsidRDefault="00637A76" w:rsidP="00637A76">
            <w:pPr>
              <w:rPr>
                <w:rFonts w:eastAsia="Times New Roman" w:cs="Times New Roman"/>
                <w:sz w:val="24"/>
                <w:szCs w:val="24"/>
                <w:lang w:eastAsia="lv-LV"/>
              </w:rPr>
            </w:pPr>
          </w:p>
          <w:p w14:paraId="7B4E3D9A" w14:textId="77777777" w:rsidR="00637A76" w:rsidRPr="00637A76" w:rsidRDefault="00637A76" w:rsidP="00637A76">
            <w:pPr>
              <w:rPr>
                <w:rFonts w:eastAsia="Times New Roman" w:cs="Times New Roman"/>
                <w:sz w:val="24"/>
                <w:szCs w:val="24"/>
                <w:lang w:eastAsia="lv-LV"/>
              </w:rPr>
            </w:pPr>
          </w:p>
          <w:p w14:paraId="7653821A" w14:textId="77777777" w:rsidR="00637A76" w:rsidRPr="00637A76" w:rsidRDefault="00637A76" w:rsidP="00637A76">
            <w:pPr>
              <w:rPr>
                <w:rFonts w:eastAsia="Times New Roman" w:cs="Times New Roman"/>
                <w:sz w:val="24"/>
                <w:szCs w:val="24"/>
                <w:lang w:eastAsia="lv-LV"/>
              </w:rPr>
            </w:pPr>
          </w:p>
          <w:p w14:paraId="55A3EFE7" w14:textId="77777777" w:rsidR="007D37F7" w:rsidRPr="007D37F7" w:rsidRDefault="007D37F7" w:rsidP="007D37F7">
            <w:pPr>
              <w:rPr>
                <w:rFonts w:eastAsia="Times New Roman" w:cs="Times New Roman"/>
                <w:sz w:val="24"/>
                <w:szCs w:val="24"/>
                <w:lang w:eastAsia="lv-LV"/>
              </w:rPr>
            </w:pPr>
          </w:p>
          <w:p w14:paraId="2D053E44" w14:textId="77777777" w:rsidR="007D37F7" w:rsidRPr="007D37F7" w:rsidRDefault="007D37F7" w:rsidP="007D37F7">
            <w:pPr>
              <w:rPr>
                <w:rFonts w:eastAsia="Times New Roman" w:cs="Times New Roman"/>
                <w:sz w:val="24"/>
                <w:szCs w:val="24"/>
                <w:lang w:eastAsia="lv-LV"/>
              </w:rPr>
            </w:pPr>
          </w:p>
          <w:p w14:paraId="2897B7F2" w14:textId="77777777" w:rsidR="007D37F7" w:rsidRPr="007D37F7" w:rsidRDefault="007D37F7" w:rsidP="007D37F7">
            <w:pPr>
              <w:rPr>
                <w:rFonts w:eastAsia="Times New Roman" w:cs="Times New Roman"/>
                <w:sz w:val="24"/>
                <w:szCs w:val="24"/>
                <w:lang w:eastAsia="lv-LV"/>
              </w:rPr>
            </w:pPr>
          </w:p>
          <w:p w14:paraId="5A56A488" w14:textId="77777777" w:rsidR="007D37F7" w:rsidRPr="007D37F7" w:rsidRDefault="007D37F7" w:rsidP="007D37F7">
            <w:pPr>
              <w:rPr>
                <w:rFonts w:eastAsia="Times New Roman" w:cs="Times New Roman"/>
                <w:sz w:val="24"/>
                <w:szCs w:val="24"/>
                <w:lang w:eastAsia="lv-LV"/>
              </w:rPr>
            </w:pPr>
          </w:p>
          <w:p w14:paraId="23B03FC3" w14:textId="77777777" w:rsidR="007D37F7" w:rsidRPr="007D37F7" w:rsidRDefault="007D37F7" w:rsidP="007D37F7">
            <w:pPr>
              <w:rPr>
                <w:rFonts w:eastAsia="Times New Roman" w:cs="Times New Roman"/>
                <w:sz w:val="24"/>
                <w:szCs w:val="24"/>
                <w:lang w:eastAsia="lv-LV"/>
              </w:rPr>
            </w:pPr>
          </w:p>
          <w:p w14:paraId="10C85E00" w14:textId="77777777" w:rsidR="007D37F7" w:rsidRPr="007D37F7" w:rsidRDefault="007D37F7" w:rsidP="007D37F7">
            <w:pPr>
              <w:rPr>
                <w:rFonts w:eastAsia="Times New Roman" w:cs="Times New Roman"/>
                <w:sz w:val="24"/>
                <w:szCs w:val="24"/>
                <w:lang w:eastAsia="lv-LV"/>
              </w:rPr>
            </w:pPr>
          </w:p>
          <w:p w14:paraId="692B30DC" w14:textId="77777777" w:rsidR="007D37F7" w:rsidRPr="007D37F7" w:rsidRDefault="007D37F7" w:rsidP="007D37F7">
            <w:pPr>
              <w:rPr>
                <w:rFonts w:eastAsia="Times New Roman" w:cs="Times New Roman"/>
                <w:sz w:val="24"/>
                <w:szCs w:val="24"/>
                <w:lang w:eastAsia="lv-LV"/>
              </w:rPr>
            </w:pPr>
          </w:p>
          <w:p w14:paraId="67D2D9F4" w14:textId="77777777" w:rsidR="007D37F7" w:rsidRPr="007D37F7" w:rsidRDefault="007D37F7" w:rsidP="007D37F7">
            <w:pPr>
              <w:rPr>
                <w:rFonts w:eastAsia="Times New Roman" w:cs="Times New Roman"/>
                <w:sz w:val="24"/>
                <w:szCs w:val="24"/>
                <w:lang w:eastAsia="lv-LV"/>
              </w:rPr>
            </w:pPr>
          </w:p>
          <w:p w14:paraId="6DD7A838" w14:textId="77777777" w:rsidR="007D37F7" w:rsidRPr="007D37F7" w:rsidRDefault="007D37F7" w:rsidP="007D37F7">
            <w:pPr>
              <w:rPr>
                <w:rFonts w:eastAsia="Times New Roman" w:cs="Times New Roman"/>
                <w:sz w:val="24"/>
                <w:szCs w:val="24"/>
                <w:lang w:eastAsia="lv-LV"/>
              </w:rPr>
            </w:pPr>
          </w:p>
          <w:p w14:paraId="24D516B0" w14:textId="77777777" w:rsidR="007D37F7" w:rsidRPr="007D37F7" w:rsidRDefault="007D37F7" w:rsidP="007D37F7">
            <w:pPr>
              <w:rPr>
                <w:rFonts w:eastAsia="Times New Roman" w:cs="Times New Roman"/>
                <w:sz w:val="24"/>
                <w:szCs w:val="24"/>
                <w:lang w:eastAsia="lv-LV"/>
              </w:rPr>
            </w:pPr>
          </w:p>
          <w:p w14:paraId="65A64391" w14:textId="77777777" w:rsidR="007D37F7" w:rsidRPr="007D37F7" w:rsidRDefault="007D37F7" w:rsidP="007D37F7">
            <w:pPr>
              <w:rPr>
                <w:rFonts w:eastAsia="Times New Roman" w:cs="Times New Roman"/>
                <w:sz w:val="24"/>
                <w:szCs w:val="24"/>
                <w:lang w:eastAsia="lv-LV"/>
              </w:rPr>
            </w:pPr>
          </w:p>
          <w:p w14:paraId="521382C5" w14:textId="77777777" w:rsidR="00EC24C3" w:rsidRPr="00BB322F" w:rsidRDefault="00EC24C3" w:rsidP="00EC24C3">
            <w:pPr>
              <w:rPr>
                <w:rFonts w:eastAsia="Times New Roman" w:cs="Times New Roman"/>
                <w:sz w:val="24"/>
                <w:szCs w:val="24"/>
                <w:lang w:eastAsia="lv-LV"/>
              </w:rPr>
            </w:pPr>
          </w:p>
          <w:p w14:paraId="518CA0AC" w14:textId="77777777" w:rsidR="00EC24C3" w:rsidRPr="00BB322F" w:rsidRDefault="00EC24C3" w:rsidP="00EC24C3">
            <w:pPr>
              <w:rPr>
                <w:rFonts w:eastAsia="Times New Roman" w:cs="Times New Roman"/>
                <w:sz w:val="24"/>
                <w:szCs w:val="24"/>
                <w:lang w:eastAsia="lv-LV"/>
              </w:rPr>
            </w:pPr>
          </w:p>
          <w:p w14:paraId="1AFCCFE9" w14:textId="77777777" w:rsidR="00EC24C3" w:rsidRPr="00BB322F" w:rsidRDefault="00EC24C3" w:rsidP="00EC24C3">
            <w:pPr>
              <w:rPr>
                <w:rFonts w:eastAsia="Times New Roman" w:cs="Times New Roman"/>
                <w:sz w:val="24"/>
                <w:szCs w:val="24"/>
                <w:lang w:eastAsia="lv-LV"/>
              </w:rPr>
            </w:pPr>
          </w:p>
          <w:p w14:paraId="6FC0E6EC" w14:textId="77777777" w:rsidR="00EC24C3" w:rsidRPr="00BB322F" w:rsidRDefault="00EC24C3" w:rsidP="00EC24C3">
            <w:pPr>
              <w:rPr>
                <w:rFonts w:eastAsia="Times New Roman" w:cs="Times New Roman"/>
                <w:sz w:val="24"/>
                <w:szCs w:val="24"/>
                <w:lang w:eastAsia="lv-LV"/>
              </w:rPr>
            </w:pPr>
          </w:p>
          <w:p w14:paraId="5667DE4C" w14:textId="77777777" w:rsidR="00EC24C3" w:rsidRPr="00BB322F" w:rsidRDefault="00EC24C3" w:rsidP="00EC24C3">
            <w:pPr>
              <w:rPr>
                <w:rFonts w:eastAsia="Times New Roman" w:cs="Times New Roman"/>
                <w:sz w:val="24"/>
                <w:szCs w:val="24"/>
                <w:lang w:eastAsia="lv-LV"/>
              </w:rPr>
            </w:pPr>
          </w:p>
          <w:p w14:paraId="69C7FF78" w14:textId="77777777" w:rsidR="00EC24C3" w:rsidRPr="00BB322F" w:rsidRDefault="00EC24C3" w:rsidP="00EC24C3">
            <w:pPr>
              <w:rPr>
                <w:rFonts w:eastAsia="Times New Roman" w:cs="Times New Roman"/>
                <w:sz w:val="24"/>
                <w:szCs w:val="24"/>
                <w:lang w:eastAsia="lv-LV"/>
              </w:rPr>
            </w:pPr>
          </w:p>
          <w:p w14:paraId="38A09415" w14:textId="77777777" w:rsidR="00082640" w:rsidRPr="00BB322F" w:rsidRDefault="00082640" w:rsidP="00EC24C3">
            <w:pPr>
              <w:rPr>
                <w:rFonts w:eastAsia="Times New Roman" w:cs="Times New Roman"/>
                <w:sz w:val="24"/>
                <w:szCs w:val="24"/>
                <w:lang w:eastAsia="lv-LV"/>
              </w:rPr>
            </w:pPr>
          </w:p>
        </w:tc>
        <w:tc>
          <w:tcPr>
            <w:tcW w:w="6759" w:type="dxa"/>
            <w:tcBorders>
              <w:top w:val="outset" w:sz="6" w:space="0" w:color="auto"/>
              <w:left w:val="outset" w:sz="6" w:space="0" w:color="auto"/>
              <w:bottom w:val="outset" w:sz="6" w:space="0" w:color="auto"/>
              <w:right w:val="outset" w:sz="6" w:space="0" w:color="auto"/>
            </w:tcBorders>
            <w:hideMark/>
          </w:tcPr>
          <w:p w14:paraId="035DBC47" w14:textId="363C4635" w:rsidR="00082640" w:rsidRPr="00BB322F" w:rsidRDefault="00E97B3E" w:rsidP="007B0190">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Cs w:val="24"/>
                <w:lang w:val="lv-LV"/>
              </w:rPr>
            </w:pPr>
            <w:r w:rsidRPr="00BB322F">
              <w:rPr>
                <w:b/>
                <w:szCs w:val="24"/>
                <w:lang w:val="lv-LV"/>
              </w:rPr>
              <w:lastRenderedPageBreak/>
              <w:t>[1]</w:t>
            </w:r>
            <w:r w:rsidRPr="00BB322F">
              <w:rPr>
                <w:szCs w:val="24"/>
                <w:lang w:val="lv-LV"/>
              </w:rPr>
              <w:t xml:space="preserve"> </w:t>
            </w:r>
            <w:r w:rsidR="00426835" w:rsidRPr="00BB322F">
              <w:rPr>
                <w:szCs w:val="24"/>
                <w:lang w:val="lv-LV"/>
              </w:rPr>
              <w:t xml:space="preserve">Ar </w:t>
            </w:r>
            <w:r w:rsidR="00082640" w:rsidRPr="00BB322F">
              <w:rPr>
                <w:szCs w:val="24"/>
                <w:lang w:val="lv-LV"/>
              </w:rPr>
              <w:t>2013.gada 4.februār</w:t>
            </w:r>
            <w:r w:rsidR="00601BA4" w:rsidRPr="00BB322F">
              <w:rPr>
                <w:szCs w:val="24"/>
                <w:lang w:val="lv-LV"/>
              </w:rPr>
              <w:t>a</w:t>
            </w:r>
            <w:r w:rsidR="00082640" w:rsidRPr="00BB322F">
              <w:rPr>
                <w:szCs w:val="24"/>
                <w:lang w:val="lv-LV"/>
              </w:rPr>
              <w:t xml:space="preserve"> rīkojumu Nr.38 tik</w:t>
            </w:r>
            <w:r w:rsidR="00FC7098" w:rsidRPr="00BB322F">
              <w:rPr>
                <w:szCs w:val="24"/>
                <w:lang w:val="lv-LV"/>
              </w:rPr>
              <w:t>a</w:t>
            </w:r>
            <w:r w:rsidR="00082640" w:rsidRPr="00BB322F">
              <w:rPr>
                <w:szCs w:val="24"/>
                <w:lang w:val="lv-LV"/>
              </w:rPr>
              <w:t xml:space="preserve"> apstiprināt</w:t>
            </w:r>
            <w:r w:rsidR="001F64A5">
              <w:rPr>
                <w:szCs w:val="24"/>
                <w:lang w:val="lv-LV"/>
              </w:rPr>
              <w:t>a</w:t>
            </w:r>
            <w:r w:rsidR="00082640" w:rsidRPr="00BB322F">
              <w:rPr>
                <w:szCs w:val="24"/>
                <w:lang w:val="lv-LV"/>
              </w:rPr>
              <w:t xml:space="preserve"> Tieslietu ministrijas sagatavotā “Administratīvo sodu sistēmas attīstības koncepcija</w:t>
            </w:r>
            <w:r w:rsidR="00FC7098" w:rsidRPr="00BB322F">
              <w:rPr>
                <w:szCs w:val="24"/>
                <w:lang w:val="lv-LV"/>
              </w:rPr>
              <w:t>”, kurā cita starpā ir paredzēta</w:t>
            </w:r>
            <w:r w:rsidR="00082640" w:rsidRPr="00BB322F">
              <w:rPr>
                <w:szCs w:val="24"/>
                <w:lang w:val="lv-LV"/>
              </w:rPr>
              <w:t xml:space="preserve"> arī administratīvo pārkāpumu </w:t>
            </w:r>
            <w:proofErr w:type="spellStart"/>
            <w:r w:rsidR="00082640" w:rsidRPr="00BB322F">
              <w:rPr>
                <w:szCs w:val="24"/>
                <w:lang w:val="lv-LV"/>
              </w:rPr>
              <w:t>dekodifikācija</w:t>
            </w:r>
            <w:proofErr w:type="spellEnd"/>
            <w:r w:rsidR="00082640" w:rsidRPr="00BB322F">
              <w:rPr>
                <w:szCs w:val="24"/>
                <w:lang w:val="lv-LV"/>
              </w:rPr>
              <w:t xml:space="preserve"> un jauna Administratīv</w:t>
            </w:r>
            <w:r w:rsidR="00590B5F">
              <w:rPr>
                <w:szCs w:val="24"/>
                <w:lang w:val="lv-LV"/>
              </w:rPr>
              <w:t>o</w:t>
            </w:r>
            <w:r w:rsidR="00082640" w:rsidRPr="00BB322F">
              <w:rPr>
                <w:szCs w:val="24"/>
                <w:lang w:val="lv-LV"/>
              </w:rPr>
              <w:t xml:space="preserve"> pārkāpum</w:t>
            </w:r>
            <w:r w:rsidR="00F24F59">
              <w:rPr>
                <w:szCs w:val="24"/>
                <w:lang w:val="lv-LV"/>
              </w:rPr>
              <w:t>u</w:t>
            </w:r>
            <w:r w:rsidR="00082640" w:rsidRPr="00BB322F">
              <w:rPr>
                <w:szCs w:val="24"/>
                <w:lang w:val="lv-LV"/>
              </w:rPr>
              <w:t xml:space="preserve"> procesa likuma</w:t>
            </w:r>
            <w:r w:rsidR="00582BDB">
              <w:rPr>
                <w:szCs w:val="24"/>
                <w:lang w:val="lv-LV"/>
              </w:rPr>
              <w:t xml:space="preserve"> (tagad – Administratīvās atbildības likums)</w:t>
            </w:r>
            <w:r w:rsidR="00082640" w:rsidRPr="00BB322F">
              <w:rPr>
                <w:szCs w:val="24"/>
                <w:lang w:val="lv-LV"/>
              </w:rPr>
              <w:t xml:space="preserve"> izstrāde. </w:t>
            </w:r>
            <w:r w:rsidR="008B7F7E" w:rsidRPr="000509D0">
              <w:rPr>
                <w:szCs w:val="24"/>
                <w:shd w:val="clear" w:color="auto" w:fill="FFFFFF"/>
                <w:lang w:val="lv-LV"/>
              </w:rPr>
              <w:t>Likumprojektā ir ietverti administratīv</w:t>
            </w:r>
            <w:r w:rsidR="008C5314" w:rsidRPr="000509D0">
              <w:rPr>
                <w:szCs w:val="24"/>
                <w:shd w:val="clear" w:color="auto" w:fill="FFFFFF"/>
                <w:lang w:val="lv-LV"/>
              </w:rPr>
              <w:t>o</w:t>
            </w:r>
            <w:r w:rsidR="008B7F7E" w:rsidRPr="000509D0">
              <w:rPr>
                <w:szCs w:val="24"/>
                <w:shd w:val="clear" w:color="auto" w:fill="FFFFFF"/>
                <w:lang w:val="lv-LV"/>
              </w:rPr>
              <w:t xml:space="preserve"> pārkāpumu sastāvi, kas izriet no likuma “Par sabiedrisko pakalpojumu regulatoriem”</w:t>
            </w:r>
            <w:r w:rsidR="008C5314" w:rsidRPr="000509D0">
              <w:rPr>
                <w:szCs w:val="24"/>
                <w:shd w:val="clear" w:color="auto" w:fill="FFFFFF"/>
                <w:lang w:val="lv-LV"/>
              </w:rPr>
              <w:t xml:space="preserve"> (turpmāk – Likums)</w:t>
            </w:r>
            <w:r w:rsidR="008B7F7E" w:rsidRPr="000509D0">
              <w:rPr>
                <w:szCs w:val="24"/>
                <w:shd w:val="clear" w:color="auto" w:fill="FFFFFF"/>
                <w:lang w:val="lv-LV"/>
              </w:rPr>
              <w:t>.</w:t>
            </w:r>
          </w:p>
          <w:p w14:paraId="3E0CB0AE" w14:textId="1B9CC417" w:rsidR="00601BA4" w:rsidRPr="00BB322F" w:rsidRDefault="00601BA4" w:rsidP="007B0190">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Cs w:val="24"/>
                <w:lang w:val="lv-LV"/>
              </w:rPr>
            </w:pPr>
            <w:r w:rsidRPr="00BB322F">
              <w:rPr>
                <w:color w:val="000000" w:themeColor="text1"/>
                <w:szCs w:val="24"/>
                <w:lang w:val="lv-LV"/>
              </w:rPr>
              <w:t xml:space="preserve">Ar Likumprojektu tiek pārņemtas </w:t>
            </w:r>
            <w:r w:rsidR="00BB55C0" w:rsidRPr="00BB322F">
              <w:rPr>
                <w:color w:val="000000" w:themeColor="text1"/>
                <w:szCs w:val="24"/>
                <w:lang w:val="lv-LV"/>
              </w:rPr>
              <w:t>un precizētas</w:t>
            </w:r>
            <w:r w:rsidRPr="00BB322F">
              <w:rPr>
                <w:color w:val="000000" w:themeColor="text1"/>
                <w:szCs w:val="24"/>
                <w:lang w:val="lv-LV"/>
              </w:rPr>
              <w:t xml:space="preserve"> </w:t>
            </w:r>
            <w:r w:rsidR="009C1928" w:rsidRPr="00BB322F">
              <w:rPr>
                <w:color w:val="000000" w:themeColor="text1"/>
                <w:szCs w:val="24"/>
                <w:lang w:val="lv-LV"/>
              </w:rPr>
              <w:t>L</w:t>
            </w:r>
            <w:r w:rsidRPr="00BB322F">
              <w:rPr>
                <w:color w:val="000000" w:themeColor="text1"/>
                <w:szCs w:val="24"/>
                <w:lang w:val="lv-LV"/>
              </w:rPr>
              <w:t>APK normas par admini</w:t>
            </w:r>
            <w:r w:rsidR="009B0137" w:rsidRPr="00BB322F">
              <w:rPr>
                <w:color w:val="000000" w:themeColor="text1"/>
                <w:szCs w:val="24"/>
                <w:lang w:val="lv-LV"/>
              </w:rPr>
              <w:t xml:space="preserve">stratīvajiem </w:t>
            </w:r>
            <w:r w:rsidRPr="00BB322F">
              <w:rPr>
                <w:color w:val="000000" w:themeColor="text1"/>
                <w:szCs w:val="24"/>
                <w:lang w:val="lv-LV"/>
              </w:rPr>
              <w:t>pārkāpumiem</w:t>
            </w:r>
            <w:r w:rsidR="009B0137" w:rsidRPr="00BB322F">
              <w:rPr>
                <w:color w:val="000000" w:themeColor="text1"/>
                <w:szCs w:val="24"/>
                <w:lang w:val="lv-LV"/>
              </w:rPr>
              <w:t>, soda apmēru</w:t>
            </w:r>
            <w:r w:rsidRPr="00BB322F">
              <w:rPr>
                <w:color w:val="000000" w:themeColor="text1"/>
                <w:szCs w:val="24"/>
                <w:lang w:val="lv-LV"/>
              </w:rPr>
              <w:t xml:space="preserve"> un kompetento iestādi sodu piemērošanā.</w:t>
            </w:r>
          </w:p>
          <w:p w14:paraId="07E2E898" w14:textId="77777777" w:rsidR="007F3231" w:rsidRPr="00BB322F" w:rsidRDefault="007F3231" w:rsidP="007B0190">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Cs/>
                <w:szCs w:val="24"/>
                <w:lang w:val="lv-LV" w:eastAsia="lv-LV"/>
              </w:rPr>
            </w:pPr>
            <w:r w:rsidRPr="00BB322F">
              <w:rPr>
                <w:bCs/>
                <w:szCs w:val="24"/>
                <w:lang w:val="lv-LV" w:eastAsia="lv-LV"/>
              </w:rPr>
              <w:t xml:space="preserve">Ar Likumprojektu ir paredzēts noteikt:  </w:t>
            </w:r>
          </w:p>
          <w:p w14:paraId="2701B97B" w14:textId="77777777" w:rsidR="009B0137" w:rsidRPr="00BB322F" w:rsidRDefault="009B0137" w:rsidP="007B0190">
            <w:pPr>
              <w:pStyle w:val="BodyTextIndent"/>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Cs/>
                <w:szCs w:val="24"/>
                <w:lang w:val="lv-LV" w:eastAsia="lv-LV"/>
              </w:rPr>
            </w:pPr>
            <w:r w:rsidRPr="00BB322F">
              <w:rPr>
                <w:bCs/>
                <w:szCs w:val="24"/>
                <w:lang w:val="lv-LV" w:eastAsia="lv-LV"/>
              </w:rPr>
              <w:t>jomas, kurās piemēro a</w:t>
            </w:r>
            <w:r w:rsidR="007F3231" w:rsidRPr="00BB322F">
              <w:rPr>
                <w:bCs/>
                <w:szCs w:val="24"/>
                <w:lang w:val="lv-LV" w:eastAsia="lv-LV"/>
              </w:rPr>
              <w:t>dministratīvo atbildību regulējamo sabiedrisko pa</w:t>
            </w:r>
            <w:r w:rsidRPr="00BB322F">
              <w:rPr>
                <w:bCs/>
                <w:szCs w:val="24"/>
                <w:lang w:val="lv-LV" w:eastAsia="lv-LV"/>
              </w:rPr>
              <w:t>kalpojumu sniegšanā;</w:t>
            </w:r>
          </w:p>
          <w:p w14:paraId="0835683F" w14:textId="77777777" w:rsidR="009B0137" w:rsidRPr="00BB322F" w:rsidRDefault="009B0137" w:rsidP="007B0190">
            <w:pPr>
              <w:pStyle w:val="BodyTextIndent"/>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Cs/>
                <w:szCs w:val="24"/>
                <w:lang w:val="lv-LV" w:eastAsia="lv-LV"/>
              </w:rPr>
            </w:pPr>
            <w:r w:rsidRPr="00BB322F">
              <w:rPr>
                <w:bCs/>
                <w:szCs w:val="24"/>
                <w:lang w:val="lv-LV" w:eastAsia="lv-LV"/>
              </w:rPr>
              <w:t>administratīvo pārkāpumu sastāvus un par tiem paredzētos naudas sodus;</w:t>
            </w:r>
          </w:p>
          <w:p w14:paraId="03ECF416" w14:textId="7E69FF3D" w:rsidR="009B0137" w:rsidRPr="00BB322F" w:rsidRDefault="009B0137" w:rsidP="007B0190">
            <w:pPr>
              <w:pStyle w:val="BodyTextIndent"/>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Cs/>
                <w:szCs w:val="24"/>
                <w:lang w:val="lv-LV" w:eastAsia="lv-LV"/>
              </w:rPr>
            </w:pPr>
            <w:r w:rsidRPr="00BB322F">
              <w:rPr>
                <w:bCs/>
                <w:szCs w:val="24"/>
                <w:lang w:val="lv-LV" w:eastAsia="lv-LV"/>
              </w:rPr>
              <w:t>kompetento iestādi, kas var piemērot administratīvo</w:t>
            </w:r>
            <w:r w:rsidR="00E370E3">
              <w:rPr>
                <w:bCs/>
                <w:szCs w:val="24"/>
                <w:lang w:val="lv-LV" w:eastAsia="lv-LV"/>
              </w:rPr>
              <w:t>s</w:t>
            </w:r>
            <w:r w:rsidRPr="00BB322F">
              <w:rPr>
                <w:bCs/>
                <w:szCs w:val="24"/>
                <w:lang w:val="lv-LV" w:eastAsia="lv-LV"/>
              </w:rPr>
              <w:t xml:space="preserve"> sodus. </w:t>
            </w:r>
          </w:p>
          <w:p w14:paraId="345C9023" w14:textId="77777777" w:rsidR="00263E1E" w:rsidRPr="00BB322F" w:rsidRDefault="00263E1E" w:rsidP="007B0190">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
                <w:bCs/>
                <w:szCs w:val="24"/>
                <w:lang w:val="lv-LV" w:eastAsia="lv-LV"/>
              </w:rPr>
            </w:pPr>
          </w:p>
          <w:p w14:paraId="5E1265A1" w14:textId="77777777" w:rsidR="000D19E0" w:rsidRPr="00BB322F" w:rsidRDefault="00E97B3E" w:rsidP="007B0190">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Cs/>
                <w:szCs w:val="24"/>
                <w:lang w:val="lv-LV" w:eastAsia="lv-LV"/>
              </w:rPr>
            </w:pPr>
            <w:r w:rsidRPr="00BB322F">
              <w:rPr>
                <w:b/>
                <w:bCs/>
                <w:szCs w:val="24"/>
                <w:lang w:val="lv-LV" w:eastAsia="lv-LV"/>
              </w:rPr>
              <w:t>[2]</w:t>
            </w:r>
            <w:r w:rsidRPr="00BB322F">
              <w:rPr>
                <w:bCs/>
                <w:szCs w:val="24"/>
                <w:lang w:val="lv-LV" w:eastAsia="lv-LV"/>
              </w:rPr>
              <w:t xml:space="preserve"> </w:t>
            </w:r>
            <w:r w:rsidR="000D19E0" w:rsidRPr="00BB322F">
              <w:rPr>
                <w:bCs/>
                <w:szCs w:val="24"/>
                <w:lang w:val="lv-LV" w:eastAsia="lv-LV"/>
              </w:rPr>
              <w:t>Saskaņā ar LAPK 215.</w:t>
            </w:r>
            <w:r w:rsidR="000D19E0" w:rsidRPr="00BB322F">
              <w:rPr>
                <w:bCs/>
                <w:szCs w:val="24"/>
                <w:vertAlign w:val="superscript"/>
                <w:lang w:val="lv-LV" w:eastAsia="lv-LV"/>
              </w:rPr>
              <w:t>10</w:t>
            </w:r>
            <w:r w:rsidR="000D19E0" w:rsidRPr="00BB322F">
              <w:rPr>
                <w:bCs/>
                <w:szCs w:val="24"/>
                <w:lang w:val="lv-LV" w:eastAsia="lv-LV"/>
              </w:rPr>
              <w:t>panta pirmo daļu, Sabiedrisko pakalpojumu regulēšanas komisija (turpmāk – Regulators) izskata šā kodeksa 90.panta otrajā daļā, 95.panta otrajā un trešajā daļā, 148.</w:t>
            </w:r>
            <w:r w:rsidR="000D19E0" w:rsidRPr="00BB322F">
              <w:rPr>
                <w:bCs/>
                <w:szCs w:val="24"/>
                <w:vertAlign w:val="superscript"/>
                <w:lang w:val="lv-LV" w:eastAsia="lv-LV"/>
              </w:rPr>
              <w:t>1</w:t>
            </w:r>
            <w:r w:rsidR="000D19E0" w:rsidRPr="00BB322F">
              <w:rPr>
                <w:bCs/>
                <w:szCs w:val="24"/>
                <w:lang w:val="lv-LV" w:eastAsia="lv-LV"/>
              </w:rPr>
              <w:t>, 158.</w:t>
            </w:r>
            <w:r w:rsidR="000D19E0" w:rsidRPr="00BB322F">
              <w:rPr>
                <w:bCs/>
                <w:szCs w:val="24"/>
                <w:vertAlign w:val="superscript"/>
                <w:lang w:val="lv-LV" w:eastAsia="lv-LV"/>
              </w:rPr>
              <w:t>2</w:t>
            </w:r>
            <w:r w:rsidR="000D19E0" w:rsidRPr="00BB322F">
              <w:rPr>
                <w:bCs/>
                <w:szCs w:val="24"/>
                <w:lang w:val="lv-LV" w:eastAsia="lv-LV"/>
              </w:rPr>
              <w:t>, 158.</w:t>
            </w:r>
            <w:r w:rsidR="000D19E0" w:rsidRPr="00BB322F">
              <w:rPr>
                <w:bCs/>
                <w:szCs w:val="24"/>
                <w:vertAlign w:val="superscript"/>
                <w:lang w:val="lv-LV" w:eastAsia="lv-LV"/>
              </w:rPr>
              <w:t>3</w:t>
            </w:r>
            <w:r w:rsidR="000D19E0" w:rsidRPr="00BB322F">
              <w:rPr>
                <w:bCs/>
                <w:szCs w:val="24"/>
                <w:lang w:val="lv-LV" w:eastAsia="lv-LV"/>
              </w:rPr>
              <w:t>, 158.</w:t>
            </w:r>
            <w:r w:rsidR="000D19E0" w:rsidRPr="00BB322F">
              <w:rPr>
                <w:bCs/>
                <w:szCs w:val="24"/>
                <w:vertAlign w:val="superscript"/>
                <w:lang w:val="lv-LV" w:eastAsia="lv-LV"/>
              </w:rPr>
              <w:t>4</w:t>
            </w:r>
            <w:r w:rsidR="000D19E0" w:rsidRPr="00BB322F">
              <w:rPr>
                <w:bCs/>
                <w:szCs w:val="24"/>
                <w:lang w:val="lv-LV" w:eastAsia="lv-LV"/>
              </w:rPr>
              <w:t>, 158.</w:t>
            </w:r>
            <w:r w:rsidR="000D19E0" w:rsidRPr="00BB322F">
              <w:rPr>
                <w:bCs/>
                <w:szCs w:val="24"/>
                <w:vertAlign w:val="superscript"/>
                <w:lang w:val="lv-LV" w:eastAsia="lv-LV"/>
              </w:rPr>
              <w:t>5</w:t>
            </w:r>
            <w:r w:rsidR="000D19E0" w:rsidRPr="00BB322F">
              <w:rPr>
                <w:bCs/>
                <w:szCs w:val="24"/>
                <w:lang w:val="lv-LV" w:eastAsia="lv-LV"/>
              </w:rPr>
              <w:t>, 158.</w:t>
            </w:r>
            <w:r w:rsidR="000D19E0" w:rsidRPr="00BB322F">
              <w:rPr>
                <w:bCs/>
                <w:szCs w:val="24"/>
                <w:vertAlign w:val="superscript"/>
                <w:lang w:val="lv-LV" w:eastAsia="lv-LV"/>
              </w:rPr>
              <w:t>6</w:t>
            </w:r>
            <w:r w:rsidR="000D19E0" w:rsidRPr="00BB322F">
              <w:rPr>
                <w:bCs/>
                <w:szCs w:val="24"/>
                <w:lang w:val="lv-LV" w:eastAsia="lv-LV"/>
              </w:rPr>
              <w:t xml:space="preserve"> pantā un 197.pantā (lietās par gadījumiem, kad zīmogu vai plombu uzlikusi Sabiedrisko </w:t>
            </w:r>
            <w:r w:rsidR="000D19E0" w:rsidRPr="00BB322F">
              <w:rPr>
                <w:bCs/>
                <w:szCs w:val="24"/>
                <w:lang w:val="lv-LV" w:eastAsia="lv-LV"/>
              </w:rPr>
              <w:lastRenderedPageBreak/>
              <w:t>pakalpojumu regulēšanas komisijas amatpersona) paredzēto administratīvo pārkāpumu lietas.</w:t>
            </w:r>
          </w:p>
          <w:p w14:paraId="02D1C64E" w14:textId="0BF1EA2B" w:rsidR="00FC7098" w:rsidRPr="00BB322F" w:rsidRDefault="000D19E0" w:rsidP="007B0190">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00000" w:themeColor="text1"/>
                <w:szCs w:val="24"/>
                <w:lang w:val="lv-LV"/>
              </w:rPr>
            </w:pPr>
            <w:r w:rsidRPr="00BB322F">
              <w:rPr>
                <w:bCs/>
                <w:szCs w:val="24"/>
                <w:lang w:val="lv-LV" w:eastAsia="lv-LV"/>
              </w:rPr>
              <w:t>Likum</w:t>
            </w:r>
            <w:r w:rsidR="007A2EB0" w:rsidRPr="00BB322F">
              <w:rPr>
                <w:bCs/>
                <w:szCs w:val="24"/>
                <w:lang w:val="lv-LV" w:eastAsia="lv-LV"/>
              </w:rPr>
              <w:t>p</w:t>
            </w:r>
            <w:r w:rsidRPr="00BB322F">
              <w:rPr>
                <w:bCs/>
                <w:szCs w:val="24"/>
                <w:lang w:val="lv-LV" w:eastAsia="lv-LV"/>
              </w:rPr>
              <w:t>rojekta izstrādes mērķis ir saglabāt LAPK 158.</w:t>
            </w:r>
            <w:r w:rsidRPr="00BB322F">
              <w:rPr>
                <w:bCs/>
                <w:szCs w:val="24"/>
                <w:vertAlign w:val="superscript"/>
                <w:lang w:val="lv-LV" w:eastAsia="lv-LV"/>
              </w:rPr>
              <w:t>2</w:t>
            </w:r>
            <w:r w:rsidR="00D15A09" w:rsidRPr="00BB322F">
              <w:rPr>
                <w:bCs/>
                <w:szCs w:val="24"/>
                <w:lang w:val="lv-LV" w:eastAsia="lv-LV"/>
              </w:rPr>
              <w:t>,</w:t>
            </w:r>
            <w:r w:rsidRPr="00BB322F">
              <w:rPr>
                <w:bCs/>
                <w:szCs w:val="24"/>
                <w:lang w:val="lv-LV" w:eastAsia="lv-LV"/>
              </w:rPr>
              <w:t xml:space="preserve"> 158.</w:t>
            </w:r>
            <w:r w:rsidRPr="00BB322F">
              <w:rPr>
                <w:bCs/>
                <w:szCs w:val="24"/>
                <w:vertAlign w:val="superscript"/>
                <w:lang w:val="lv-LV" w:eastAsia="lv-LV"/>
              </w:rPr>
              <w:t>3</w:t>
            </w:r>
            <w:r w:rsidR="00D15A09" w:rsidRPr="00BB322F">
              <w:rPr>
                <w:bCs/>
                <w:szCs w:val="24"/>
                <w:vertAlign w:val="superscript"/>
                <w:lang w:val="lv-LV" w:eastAsia="lv-LV"/>
              </w:rPr>
              <w:t xml:space="preserve"> </w:t>
            </w:r>
            <w:r w:rsidRPr="00BB322F">
              <w:rPr>
                <w:bCs/>
                <w:szCs w:val="24"/>
                <w:lang w:val="lv-LV" w:eastAsia="lv-LV"/>
              </w:rPr>
              <w:t xml:space="preserve"> </w:t>
            </w:r>
            <w:r w:rsidR="00D15A09" w:rsidRPr="00BB322F">
              <w:rPr>
                <w:bCs/>
                <w:szCs w:val="24"/>
                <w:lang w:val="lv-LV" w:eastAsia="lv-LV"/>
              </w:rPr>
              <w:t>un 158.</w:t>
            </w:r>
            <w:r w:rsidR="00D15A09" w:rsidRPr="00BB322F">
              <w:rPr>
                <w:bCs/>
                <w:szCs w:val="24"/>
                <w:vertAlign w:val="superscript"/>
                <w:lang w:val="lv-LV" w:eastAsia="lv-LV"/>
              </w:rPr>
              <w:t>4</w:t>
            </w:r>
            <w:r w:rsidR="00D15A09" w:rsidRPr="00BB322F">
              <w:rPr>
                <w:bCs/>
                <w:szCs w:val="24"/>
                <w:lang w:val="lv-LV" w:eastAsia="lv-LV"/>
              </w:rPr>
              <w:t xml:space="preserve"> </w:t>
            </w:r>
            <w:r w:rsidRPr="00BB322F">
              <w:rPr>
                <w:bCs/>
                <w:szCs w:val="24"/>
                <w:lang w:val="lv-LV" w:eastAsia="lv-LV"/>
              </w:rPr>
              <w:t xml:space="preserve">pantā noteikto administratīvo atbildību un, ņemot vērā Administratīvo sodu sistēmas reformu, to pārcelt uz </w:t>
            </w:r>
            <w:r w:rsidR="008C5314">
              <w:rPr>
                <w:bCs/>
                <w:szCs w:val="24"/>
                <w:lang w:val="lv-LV" w:eastAsia="lv-LV"/>
              </w:rPr>
              <w:t>L</w:t>
            </w:r>
            <w:r w:rsidRPr="00BB322F">
              <w:rPr>
                <w:bCs/>
                <w:szCs w:val="24"/>
                <w:lang w:val="lv-LV" w:eastAsia="lv-LV"/>
              </w:rPr>
              <w:t xml:space="preserve">ikumu, vienlaikus tos precizējot atbilstoši </w:t>
            </w:r>
            <w:r w:rsidR="00F074D6">
              <w:rPr>
                <w:bCs/>
                <w:szCs w:val="24"/>
                <w:lang w:val="lv-LV" w:eastAsia="lv-LV"/>
              </w:rPr>
              <w:t xml:space="preserve">AAL </w:t>
            </w:r>
            <w:r w:rsidRPr="00BB322F">
              <w:rPr>
                <w:bCs/>
                <w:szCs w:val="24"/>
                <w:lang w:val="lv-LV" w:eastAsia="lv-LV"/>
              </w:rPr>
              <w:t xml:space="preserve">regulējumam un pielāgojot aktuālajai situācijai (tai skaitā novēršot spēkā esošā tiesiskā regulējuma nepilnības). </w:t>
            </w:r>
            <w:r w:rsidR="009B0137" w:rsidRPr="00BB322F">
              <w:rPr>
                <w:bCs/>
                <w:szCs w:val="24"/>
                <w:lang w:val="lv-LV" w:eastAsia="lv-LV"/>
              </w:rPr>
              <w:t>Likumprojek</w:t>
            </w:r>
            <w:r w:rsidR="00FC7098" w:rsidRPr="00BB322F">
              <w:rPr>
                <w:bCs/>
                <w:szCs w:val="24"/>
                <w:lang w:val="lv-LV" w:eastAsia="lv-LV"/>
              </w:rPr>
              <w:t>tā ir paredzēts</w:t>
            </w:r>
            <w:r w:rsidRPr="00BB322F">
              <w:rPr>
                <w:bCs/>
                <w:szCs w:val="24"/>
                <w:lang w:val="lv-LV" w:eastAsia="lv-LV"/>
              </w:rPr>
              <w:t xml:space="preserve"> noteikt</w:t>
            </w:r>
            <w:r w:rsidR="00FC7098" w:rsidRPr="00BB322F">
              <w:rPr>
                <w:bCs/>
                <w:szCs w:val="24"/>
                <w:lang w:val="lv-LV" w:eastAsia="lv-LV"/>
              </w:rPr>
              <w:t xml:space="preserve">, ka </w:t>
            </w:r>
            <w:r w:rsidR="009A3C3B" w:rsidRPr="00BB322F">
              <w:rPr>
                <w:bCs/>
                <w:szCs w:val="24"/>
                <w:lang w:val="lv-LV" w:eastAsia="lv-LV"/>
              </w:rPr>
              <w:t>Regulators</w:t>
            </w:r>
            <w:r w:rsidR="009B0137" w:rsidRPr="00BB322F">
              <w:rPr>
                <w:bCs/>
                <w:szCs w:val="24"/>
                <w:lang w:val="lv-LV" w:eastAsia="lv-LV"/>
              </w:rPr>
              <w:t xml:space="preserve"> piemēro administratīvos sodus </w:t>
            </w:r>
            <w:r w:rsidR="00633BE1">
              <w:rPr>
                <w:bCs/>
                <w:szCs w:val="24"/>
                <w:lang w:val="lv-LV" w:eastAsia="lv-LV"/>
              </w:rPr>
              <w:t xml:space="preserve">siltumapgādē, </w:t>
            </w:r>
            <w:r w:rsidR="00E97B3E" w:rsidRPr="00BB322F">
              <w:rPr>
                <w:color w:val="000000" w:themeColor="text1"/>
                <w:szCs w:val="24"/>
                <w:lang w:val="lv-LV"/>
              </w:rPr>
              <w:t>elektronisko sakaru, pasta</w:t>
            </w:r>
            <w:r w:rsidR="009B0137" w:rsidRPr="00BB322F">
              <w:rPr>
                <w:color w:val="000000" w:themeColor="text1"/>
                <w:szCs w:val="24"/>
                <w:lang w:val="lv-LV"/>
              </w:rPr>
              <w:t xml:space="preserve">, </w:t>
            </w:r>
            <w:r w:rsidR="008C5314" w:rsidRPr="00BB322F">
              <w:rPr>
                <w:color w:val="000000" w:themeColor="text1"/>
                <w:szCs w:val="24"/>
                <w:lang w:val="lv-LV"/>
              </w:rPr>
              <w:t xml:space="preserve">ūdenssaimniecības nozarēs </w:t>
            </w:r>
            <w:r w:rsidR="008C5314">
              <w:rPr>
                <w:color w:val="000000" w:themeColor="text1"/>
                <w:szCs w:val="24"/>
                <w:lang w:val="lv-LV"/>
              </w:rPr>
              <w:t xml:space="preserve">un </w:t>
            </w:r>
            <w:r w:rsidR="009B0137" w:rsidRPr="00BB322F">
              <w:rPr>
                <w:color w:val="000000" w:themeColor="text1"/>
                <w:szCs w:val="24"/>
                <w:lang w:val="lv-LV"/>
              </w:rPr>
              <w:t>sadzīves atkritumu</w:t>
            </w:r>
            <w:r w:rsidR="008C5314">
              <w:rPr>
                <w:color w:val="000000" w:themeColor="text1"/>
                <w:szCs w:val="24"/>
                <w:lang w:val="lv-LV"/>
              </w:rPr>
              <w:t xml:space="preserve"> apglabāšanā</w:t>
            </w:r>
            <w:r w:rsidR="00FF6366" w:rsidRPr="00BB322F">
              <w:rPr>
                <w:color w:val="000000" w:themeColor="text1"/>
                <w:szCs w:val="24"/>
                <w:lang w:val="lv-LV"/>
              </w:rPr>
              <w:t xml:space="preserve">. Attiecīgi šajās jomās </w:t>
            </w:r>
            <w:r w:rsidR="009C1928" w:rsidRPr="00BB322F">
              <w:rPr>
                <w:color w:val="000000" w:themeColor="text1"/>
                <w:szCs w:val="24"/>
                <w:lang w:val="lv-LV"/>
              </w:rPr>
              <w:t xml:space="preserve">Regulators </w:t>
            </w:r>
            <w:r w:rsidR="00FF6366" w:rsidRPr="00BB322F">
              <w:rPr>
                <w:color w:val="000000" w:themeColor="text1"/>
                <w:szCs w:val="24"/>
                <w:lang w:val="lv-LV"/>
              </w:rPr>
              <w:t xml:space="preserve">varēs piemērot sodus par: </w:t>
            </w:r>
          </w:p>
          <w:p w14:paraId="44B158A1" w14:textId="77777777" w:rsidR="00BB1FAA" w:rsidRPr="00BB322F" w:rsidRDefault="00BB1FAA" w:rsidP="00BB1FAA">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00000" w:themeColor="text1"/>
                <w:szCs w:val="24"/>
                <w:lang w:val="lv-LV"/>
              </w:rPr>
            </w:pPr>
            <w:r w:rsidRPr="00BB322F">
              <w:rPr>
                <w:color w:val="000000" w:themeColor="text1"/>
                <w:szCs w:val="24"/>
                <w:lang w:val="lv-LV"/>
              </w:rPr>
              <w:t>1) regulējamo sabiedrisko pakalpojumu sniegšanu bez sabiedrisko pakalpojumu licences, reģistrācijas vai nenosūtot reģistrācijas paziņojumu;</w:t>
            </w:r>
          </w:p>
          <w:p w14:paraId="48A054AC" w14:textId="3D67C42A" w:rsidR="00BB1FAA" w:rsidRPr="00EF034B" w:rsidRDefault="008744EF" w:rsidP="00BB1FAA">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Cs w:val="24"/>
                <w:lang w:val="lv-LV"/>
              </w:rPr>
            </w:pPr>
            <w:r>
              <w:rPr>
                <w:szCs w:val="24"/>
                <w:lang w:val="lv-LV"/>
              </w:rPr>
              <w:t>2</w:t>
            </w:r>
            <w:r w:rsidR="00BB1FAA" w:rsidRPr="00BB322F">
              <w:rPr>
                <w:szCs w:val="24"/>
                <w:lang w:val="lv-LV"/>
              </w:rPr>
              <w:t>) atsevišķas grāmatvedības uzskaites katram sabiedriskā pakalpojuma veidam nekārtošanu</w:t>
            </w:r>
            <w:r w:rsidR="006D08A6" w:rsidRPr="00BB322F">
              <w:rPr>
                <w:szCs w:val="24"/>
                <w:lang w:val="lv-LV"/>
              </w:rPr>
              <w:t>.</w:t>
            </w:r>
          </w:p>
          <w:p w14:paraId="17718F72" w14:textId="5B809CFC" w:rsidR="00E91F76" w:rsidRDefault="00E91F76" w:rsidP="00E91F76">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00000" w:themeColor="text1"/>
                <w:szCs w:val="24"/>
                <w:lang w:val="lv-LV"/>
              </w:rPr>
            </w:pPr>
            <w:r>
              <w:rPr>
                <w:color w:val="000000" w:themeColor="text1"/>
                <w:szCs w:val="24"/>
                <w:lang w:val="lv-LV"/>
              </w:rPr>
              <w:t>Regulatoram būs tiesības piemērot administratīvo sodu</w:t>
            </w:r>
            <w:r w:rsidRPr="00BB322F">
              <w:rPr>
                <w:color w:val="000000" w:themeColor="text1"/>
                <w:szCs w:val="24"/>
                <w:lang w:val="lv-LV"/>
              </w:rPr>
              <w:t xml:space="preserve"> </w:t>
            </w:r>
            <w:r>
              <w:rPr>
                <w:bCs/>
                <w:szCs w:val="24"/>
                <w:lang w:val="lv-LV" w:eastAsia="lv-LV"/>
              </w:rPr>
              <w:t xml:space="preserve">siltumapgādē, </w:t>
            </w:r>
            <w:r w:rsidRPr="00BB322F">
              <w:rPr>
                <w:color w:val="000000" w:themeColor="text1"/>
                <w:szCs w:val="24"/>
                <w:lang w:val="lv-LV"/>
              </w:rPr>
              <w:t xml:space="preserve">sadzīves atkritumu </w:t>
            </w:r>
            <w:r w:rsidR="008C5314">
              <w:rPr>
                <w:color w:val="000000" w:themeColor="text1"/>
                <w:szCs w:val="24"/>
                <w:lang w:val="lv-LV"/>
              </w:rPr>
              <w:t xml:space="preserve">apglabāšanā </w:t>
            </w:r>
            <w:r w:rsidRPr="00BB322F">
              <w:rPr>
                <w:color w:val="000000" w:themeColor="text1"/>
                <w:szCs w:val="24"/>
                <w:lang w:val="lv-LV"/>
              </w:rPr>
              <w:t xml:space="preserve">un ūdenssaimniecības nozarē </w:t>
            </w:r>
            <w:r>
              <w:rPr>
                <w:color w:val="000000" w:themeColor="text1"/>
                <w:szCs w:val="24"/>
                <w:lang w:val="lv-LV"/>
              </w:rPr>
              <w:t xml:space="preserve">par </w:t>
            </w:r>
            <w:r w:rsidRPr="00BB322F">
              <w:rPr>
                <w:color w:val="000000" w:themeColor="text1"/>
                <w:szCs w:val="24"/>
                <w:lang w:val="lv-LV"/>
              </w:rPr>
              <w:t>sabiedrisko pakalpojumu licences nosacījumu vai vispārējās atļaujas noteikumu pārkāpšanu</w:t>
            </w:r>
            <w:r w:rsidR="008744EF">
              <w:rPr>
                <w:color w:val="000000" w:themeColor="text1"/>
                <w:szCs w:val="24"/>
                <w:lang w:val="lv-LV"/>
              </w:rPr>
              <w:t>,</w:t>
            </w:r>
            <w:r w:rsidR="008744EF" w:rsidRPr="00BB322F">
              <w:rPr>
                <w:szCs w:val="24"/>
                <w:lang w:val="lv-LV"/>
              </w:rPr>
              <w:t xml:space="preserve"> pienākuma vai prasību neizpildi attiecībā uz tarif</w:t>
            </w:r>
            <w:r w:rsidR="008744EF">
              <w:rPr>
                <w:szCs w:val="24"/>
                <w:lang w:val="lv-LV"/>
              </w:rPr>
              <w:t>a</w:t>
            </w:r>
            <w:r w:rsidR="008744EF" w:rsidRPr="00BB322F">
              <w:rPr>
                <w:szCs w:val="24"/>
                <w:lang w:val="lv-LV"/>
              </w:rPr>
              <w:t xml:space="preserve"> piemērošanu vai tarifu projekta iesniegšanu</w:t>
            </w:r>
            <w:r w:rsidR="007B4777">
              <w:rPr>
                <w:szCs w:val="24"/>
                <w:lang w:val="lv-LV"/>
              </w:rPr>
              <w:t xml:space="preserve"> Re</w:t>
            </w:r>
            <w:r w:rsidR="008744EF" w:rsidRPr="00BB322F">
              <w:rPr>
                <w:szCs w:val="24"/>
                <w:lang w:val="lv-LV"/>
              </w:rPr>
              <w:t>gulatoram</w:t>
            </w:r>
            <w:r>
              <w:rPr>
                <w:color w:val="000000" w:themeColor="text1"/>
                <w:szCs w:val="24"/>
                <w:lang w:val="lv-LV"/>
              </w:rPr>
              <w:t>.</w:t>
            </w:r>
            <w:r w:rsidRPr="00BB322F">
              <w:rPr>
                <w:color w:val="000000" w:themeColor="text1"/>
                <w:szCs w:val="24"/>
                <w:lang w:val="lv-LV"/>
              </w:rPr>
              <w:t xml:space="preserve"> </w:t>
            </w:r>
          </w:p>
          <w:p w14:paraId="447C6DAD" w14:textId="3CDDA080" w:rsidR="005F2ACA" w:rsidRPr="00577418" w:rsidRDefault="005F2ACA" w:rsidP="005F2ACA">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Cs/>
                <w:szCs w:val="24"/>
                <w:lang w:val="lv-LV" w:eastAsia="lv-LV"/>
              </w:rPr>
            </w:pPr>
            <w:r w:rsidRPr="00BB322F">
              <w:rPr>
                <w:bCs/>
                <w:szCs w:val="24"/>
                <w:lang w:val="lv-LV" w:eastAsia="lv-LV"/>
              </w:rPr>
              <w:t xml:space="preserve">Citus LAPK noteiktos pārkāpumus, kuru izskatīšana ir Regulatora kompetencē, </w:t>
            </w:r>
            <w:r w:rsidR="00510404">
              <w:rPr>
                <w:bCs/>
                <w:szCs w:val="24"/>
                <w:lang w:val="lv-LV" w:eastAsia="lv-LV"/>
              </w:rPr>
              <w:t xml:space="preserve">un pārkāpumus par vispārējās atļaujas noteikumiem elektronisko sakaru un pasta nozarē </w:t>
            </w:r>
            <w:r w:rsidRPr="00BB322F">
              <w:rPr>
                <w:bCs/>
                <w:szCs w:val="24"/>
                <w:lang w:val="lv-LV" w:eastAsia="lv-LV"/>
              </w:rPr>
              <w:t xml:space="preserve">paredzēts iekļaut </w:t>
            </w:r>
            <w:r w:rsidR="0085416E" w:rsidRPr="00EF034B">
              <w:rPr>
                <w:bCs/>
                <w:szCs w:val="24"/>
                <w:lang w:val="lv-LV" w:eastAsia="lv-LV"/>
              </w:rPr>
              <w:t>Elektronisko sakaru likumā</w:t>
            </w:r>
            <w:r w:rsidR="0009282C">
              <w:rPr>
                <w:bCs/>
                <w:szCs w:val="24"/>
                <w:lang w:val="lv-LV" w:eastAsia="lv-LV"/>
              </w:rPr>
              <w:t xml:space="preserve"> un Pasta likumā</w:t>
            </w:r>
            <w:r w:rsidRPr="00577418">
              <w:rPr>
                <w:bCs/>
                <w:szCs w:val="24"/>
                <w:lang w:val="lv-LV" w:eastAsia="lv-LV"/>
              </w:rPr>
              <w:t xml:space="preserve">. </w:t>
            </w:r>
          </w:p>
          <w:p w14:paraId="74886827" w14:textId="77777777" w:rsidR="00262BFA" w:rsidRPr="00BB322F" w:rsidRDefault="00262BFA" w:rsidP="00262BFA">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Cs w:val="24"/>
                <w:lang w:val="lv-LV"/>
              </w:rPr>
            </w:pPr>
            <w:r w:rsidRPr="00577418">
              <w:rPr>
                <w:szCs w:val="24"/>
                <w:lang w:val="lv-LV"/>
              </w:rPr>
              <w:t xml:space="preserve">Kārtību, kādā Regulators izskata pārkāpumu lietas elektroenerģijas apgādē, noteic Elektroenerģijas tirgus likuma X nodaļa. </w:t>
            </w:r>
          </w:p>
          <w:p w14:paraId="301085FF" w14:textId="77777777" w:rsidR="00262BFA" w:rsidRPr="00BB322F" w:rsidRDefault="00262BFA">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00000" w:themeColor="text1"/>
                <w:szCs w:val="24"/>
                <w:lang w:val="lv-LV"/>
              </w:rPr>
            </w:pPr>
            <w:r w:rsidRPr="00BB322F">
              <w:rPr>
                <w:szCs w:val="24"/>
                <w:lang w:val="lv-LV"/>
              </w:rPr>
              <w:t xml:space="preserve">Kārtību, kādā Regulators izskata pārkāpumu lietas dabasgāzes apgādē, noteic Enerģētikas likuma XIV nodaļa. </w:t>
            </w:r>
          </w:p>
          <w:p w14:paraId="04F15BC9" w14:textId="77777777" w:rsidR="000D19E0" w:rsidRPr="00BB322F" w:rsidRDefault="00264A01" w:rsidP="00BB1FAA">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Cs w:val="24"/>
                <w:lang w:val="lv-LV"/>
              </w:rPr>
            </w:pPr>
            <w:r w:rsidRPr="00BB322F">
              <w:rPr>
                <w:szCs w:val="24"/>
                <w:lang w:val="lv-LV"/>
              </w:rPr>
              <w:t>Administratīvā atbildība par norādītajiem pārkāpumiem ir saglabājama šādu iemeslu dēļ:</w:t>
            </w:r>
          </w:p>
          <w:p w14:paraId="3A5AE0D2" w14:textId="54D8AE7C" w:rsidR="007A2EB0" w:rsidRPr="00BB322F" w:rsidRDefault="00264A0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Cs w:val="24"/>
                <w:lang w:val="lv-LV"/>
              </w:rPr>
            </w:pPr>
            <w:r w:rsidRPr="00BB322F">
              <w:rPr>
                <w:szCs w:val="24"/>
                <w:lang w:val="lv-LV"/>
              </w:rPr>
              <w:t>1. Nodarījuma bīstamība.</w:t>
            </w:r>
            <w:r w:rsidR="007A2EB0" w:rsidRPr="00BB322F">
              <w:rPr>
                <w:szCs w:val="24"/>
                <w:lang w:val="lv-LV"/>
              </w:rPr>
              <w:t xml:space="preserve"> Saskaņā </w:t>
            </w:r>
            <w:r w:rsidR="00504489">
              <w:rPr>
                <w:szCs w:val="24"/>
                <w:lang w:val="lv-LV"/>
              </w:rPr>
              <w:t xml:space="preserve">ar </w:t>
            </w:r>
            <w:r w:rsidR="00783E4B" w:rsidRPr="00BB322F">
              <w:rPr>
                <w:szCs w:val="24"/>
                <w:lang w:val="lv-LV"/>
              </w:rPr>
              <w:t>Likuma</w:t>
            </w:r>
            <w:r w:rsidR="007A2EB0" w:rsidRPr="00BB322F">
              <w:rPr>
                <w:szCs w:val="24"/>
                <w:lang w:val="lv-LV"/>
              </w:rPr>
              <w:t xml:space="preserve"> 5.pantu Regulators darbojas neatkarīgi un patstāvīgi, izpildot šajā likumā noteiktās funkcijas, pieņem lēmumus un izdod administratīvos aktus, lai aizstāvētu lietotāju intereses un veicinātu sabiedrisko pakalpojumu sniedzēju attīstību saskaņā ar taisnīguma, atklātības, neitralitātes, vienlīdzības un proporcionalitātes principiem.</w:t>
            </w:r>
            <w:r w:rsidR="0070008D" w:rsidRPr="00BB322F">
              <w:rPr>
                <w:szCs w:val="24"/>
                <w:lang w:val="lv-LV"/>
              </w:rPr>
              <w:t xml:space="preserve"> Lai Regulators spētu pildīt savas funkcijas un tiktu sasniegts Likuma mērķis </w:t>
            </w:r>
            <w:r w:rsidR="00684754">
              <w:rPr>
                <w:szCs w:val="24"/>
                <w:lang w:val="lv-LV"/>
              </w:rPr>
              <w:t>–</w:t>
            </w:r>
            <w:r w:rsidR="0070008D" w:rsidRPr="00BB322F">
              <w:rPr>
                <w:szCs w:val="24"/>
                <w:lang w:val="lv-LV"/>
              </w:rPr>
              <w:t xml:space="preserve"> nodrošināt iespēju saņemt nepārtrauktus, drošus un kvalitatīvus sabiedriskos pakalpojumus, kuru tarifi (cenas) atbilst ekonomiski pamatotām izmaksām, kā arī veicināt attīstību un ekonomiski pamatotu konkurenci regulējamās nozarēs, nosakot sabiedrisko pakalpojumu regulēšanas kārtību un tiesiskās attiecības sabiedrisko pakalpojumu sniegšanā, ir nepieciešams, lai sabiedrisko pakalpojumu sniedzēji ievērotu t</w:t>
            </w:r>
            <w:r w:rsidR="00633BE1">
              <w:rPr>
                <w:szCs w:val="24"/>
                <w:lang w:val="lv-LV"/>
              </w:rPr>
              <w:t>ie</w:t>
            </w:r>
            <w:r w:rsidR="0070008D" w:rsidRPr="00BB322F">
              <w:rPr>
                <w:szCs w:val="24"/>
                <w:lang w:val="lv-LV"/>
              </w:rPr>
              <w:t>m noteiktos pienākumus. Jebkurš no norādītajiem pārkāpumiem var kavēt Regulatora funkciju izpildi, tādā veidā arī aizskarot lietotāju intereses un liedzot ve</w:t>
            </w:r>
            <w:r w:rsidR="00633BE1">
              <w:rPr>
                <w:szCs w:val="24"/>
                <w:lang w:val="lv-LV"/>
              </w:rPr>
              <w:t>i</w:t>
            </w:r>
            <w:r w:rsidR="0070008D" w:rsidRPr="00BB322F">
              <w:rPr>
                <w:szCs w:val="24"/>
                <w:lang w:val="lv-LV"/>
              </w:rPr>
              <w:t xml:space="preserve">cināt sabiedrisko </w:t>
            </w:r>
            <w:r w:rsidR="0070008D" w:rsidRPr="00BB322F">
              <w:rPr>
                <w:szCs w:val="24"/>
                <w:lang w:val="lv-LV"/>
              </w:rPr>
              <w:lastRenderedPageBreak/>
              <w:t xml:space="preserve">pakalpojumu sniedzēju attīstību. </w:t>
            </w:r>
            <w:r w:rsidR="007A2EB0" w:rsidRPr="00BB322F">
              <w:rPr>
                <w:szCs w:val="24"/>
                <w:lang w:val="lv-LV"/>
              </w:rPr>
              <w:t>Ņemot vērā minēto, jebkurš no</w:t>
            </w:r>
            <w:r w:rsidR="0070008D" w:rsidRPr="00BB322F">
              <w:rPr>
                <w:szCs w:val="24"/>
                <w:lang w:val="lv-LV"/>
              </w:rPr>
              <w:t xml:space="preserve"> norādītajiem pārkāpumiem uzskatāms par bīstamu.</w:t>
            </w:r>
          </w:p>
          <w:p w14:paraId="4B6FB7F9" w14:textId="77777777" w:rsidR="00F94B96" w:rsidRPr="00BB322F" w:rsidRDefault="00264A0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Cs w:val="24"/>
                <w:lang w:val="lv-LV"/>
              </w:rPr>
            </w:pPr>
            <w:r w:rsidRPr="00BB322F">
              <w:rPr>
                <w:szCs w:val="24"/>
                <w:lang w:val="lv-LV"/>
              </w:rPr>
              <w:t>2. Sabiedriskais kaitīgums.</w:t>
            </w:r>
            <w:r w:rsidR="0070008D" w:rsidRPr="00BB322F">
              <w:rPr>
                <w:szCs w:val="24"/>
                <w:lang w:val="lv-LV"/>
              </w:rPr>
              <w:t xml:space="preserve"> </w:t>
            </w:r>
            <w:r w:rsidR="00CB5D6E" w:rsidRPr="00BB322F">
              <w:rPr>
                <w:szCs w:val="24"/>
                <w:lang w:val="lv-LV"/>
              </w:rPr>
              <w:t xml:space="preserve">Jebkurš pārkāpums traucē Regulatoram pildīt </w:t>
            </w:r>
            <w:r w:rsidR="00D15A09" w:rsidRPr="00BB322F">
              <w:rPr>
                <w:szCs w:val="24"/>
                <w:lang w:val="lv-LV"/>
              </w:rPr>
              <w:t>tā pamat</w:t>
            </w:r>
            <w:r w:rsidR="00CB5D6E" w:rsidRPr="00BB322F">
              <w:rPr>
                <w:szCs w:val="24"/>
                <w:lang w:val="lv-LV"/>
              </w:rPr>
              <w:t>funkcijas</w:t>
            </w:r>
            <w:r w:rsidR="00D15A09" w:rsidRPr="00BB322F">
              <w:rPr>
                <w:szCs w:val="24"/>
                <w:lang w:val="lv-LV"/>
              </w:rPr>
              <w:t>, kuras noteiktas Likumā. Līdz ar to tiek ierobežotas Regulatora iespējas aizstāvēt lietotāju intereses un veicināt sabiedrisko pakalpojumu sniedzēju attīstību, tādā veidā aizskarot sabiedriskās intereses. Līdz ar to</w:t>
            </w:r>
            <w:r w:rsidR="00F94B96" w:rsidRPr="00BB322F">
              <w:rPr>
                <w:szCs w:val="24"/>
                <w:lang w:val="lv-LV"/>
              </w:rPr>
              <w:t xml:space="preserve"> atbildība par pārkāpumiem</w:t>
            </w:r>
            <w:r w:rsidR="0086790E" w:rsidRPr="00BB322F">
              <w:rPr>
                <w:szCs w:val="24"/>
                <w:lang w:val="lv-LV"/>
              </w:rPr>
              <w:t xml:space="preserve"> ir iekļaujama Likumprojektā.</w:t>
            </w:r>
          </w:p>
          <w:p w14:paraId="17F1A393" w14:textId="106B1959" w:rsidR="00264A01" w:rsidRPr="00BB322F" w:rsidRDefault="00264A01" w:rsidP="00BB1FAA">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Cs w:val="24"/>
                <w:lang w:val="lv-LV"/>
              </w:rPr>
            </w:pPr>
            <w:r w:rsidRPr="00BB322F">
              <w:rPr>
                <w:szCs w:val="24"/>
                <w:lang w:val="lv-LV"/>
              </w:rPr>
              <w:t>3. Nodarījuma sekas.</w:t>
            </w:r>
            <w:r w:rsidR="0086790E" w:rsidRPr="00BB322F">
              <w:rPr>
                <w:szCs w:val="24"/>
                <w:lang w:val="lv-LV"/>
              </w:rPr>
              <w:t xml:space="preserve"> Jebkurš no pārkāpumiem traucē Regulatoram veikt tā </w:t>
            </w:r>
            <w:r w:rsidR="00502EC2" w:rsidRPr="00BB322F">
              <w:rPr>
                <w:szCs w:val="24"/>
                <w:lang w:val="lv-LV"/>
              </w:rPr>
              <w:t>pamat</w:t>
            </w:r>
            <w:r w:rsidR="0086790E" w:rsidRPr="00BB322F">
              <w:rPr>
                <w:szCs w:val="24"/>
                <w:lang w:val="lv-LV"/>
              </w:rPr>
              <w:t>funkcijas</w:t>
            </w:r>
            <w:r w:rsidR="00502EC2" w:rsidRPr="00BB322F">
              <w:rPr>
                <w:szCs w:val="24"/>
                <w:lang w:val="lv-LV"/>
              </w:rPr>
              <w:t>, kuras noteiktas Likumā</w:t>
            </w:r>
            <w:r w:rsidR="0086790E" w:rsidRPr="00BB322F">
              <w:rPr>
                <w:szCs w:val="24"/>
                <w:lang w:val="lv-LV"/>
              </w:rPr>
              <w:t>, kā rezultātā tiek aizskartas arī lietotāju</w:t>
            </w:r>
            <w:r w:rsidR="00502EC2" w:rsidRPr="00BB322F">
              <w:rPr>
                <w:szCs w:val="24"/>
                <w:lang w:val="lv-LV"/>
              </w:rPr>
              <w:t xml:space="preserve"> intereses saņemt regulētus sabiedriskos pakalpojumus, kā arī</w:t>
            </w:r>
            <w:r w:rsidR="0086790E" w:rsidRPr="00BB322F">
              <w:rPr>
                <w:szCs w:val="24"/>
                <w:lang w:val="lv-LV"/>
              </w:rPr>
              <w:t xml:space="preserve"> </w:t>
            </w:r>
            <w:r w:rsidR="00502EC2" w:rsidRPr="00BB322F">
              <w:rPr>
                <w:szCs w:val="24"/>
                <w:lang w:val="lv-LV"/>
              </w:rPr>
              <w:t>liedz ve</w:t>
            </w:r>
            <w:r w:rsidR="00633BE1">
              <w:rPr>
                <w:szCs w:val="24"/>
                <w:lang w:val="lv-LV"/>
              </w:rPr>
              <w:t>i</w:t>
            </w:r>
            <w:r w:rsidR="00502EC2" w:rsidRPr="00BB322F">
              <w:rPr>
                <w:szCs w:val="24"/>
                <w:lang w:val="lv-LV"/>
              </w:rPr>
              <w:t>cināt sabiedrisko pakalpojumu sniedzēju attīstību</w:t>
            </w:r>
            <w:r w:rsidR="0086790E" w:rsidRPr="00BB322F">
              <w:rPr>
                <w:szCs w:val="24"/>
                <w:lang w:val="lv-LV"/>
              </w:rPr>
              <w:t>. Ņemot vērā minēto, norādīto pārkāpumu radītās sekas atzīstamas par būtiskām.</w:t>
            </w:r>
          </w:p>
          <w:p w14:paraId="2C1D0942" w14:textId="77B81DAE" w:rsidR="00264A01" w:rsidRPr="00BB322F" w:rsidRDefault="0086790E" w:rsidP="00BB1FAA">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Cs w:val="24"/>
                <w:lang w:val="lv-LV"/>
              </w:rPr>
            </w:pPr>
            <w:r w:rsidRPr="00BB322F">
              <w:rPr>
                <w:szCs w:val="24"/>
                <w:lang w:val="lv-LV"/>
              </w:rPr>
              <w:t>4</w:t>
            </w:r>
            <w:r w:rsidR="00264A01" w:rsidRPr="00BB322F">
              <w:rPr>
                <w:szCs w:val="24"/>
                <w:lang w:val="lv-LV"/>
              </w:rPr>
              <w:t xml:space="preserve">. Nodarījuma </w:t>
            </w:r>
            <w:proofErr w:type="spellStart"/>
            <w:r w:rsidR="00264A01" w:rsidRPr="00BB322F">
              <w:rPr>
                <w:szCs w:val="24"/>
                <w:lang w:val="lv-LV"/>
              </w:rPr>
              <w:t>attiecināmība</w:t>
            </w:r>
            <w:proofErr w:type="spellEnd"/>
            <w:r w:rsidR="00264A01" w:rsidRPr="00BB322F">
              <w:rPr>
                <w:szCs w:val="24"/>
                <w:lang w:val="lv-LV"/>
              </w:rPr>
              <w:t xml:space="preserve"> uz publiski tiesiskajām attiecībām.</w:t>
            </w:r>
            <w:r w:rsidRPr="00BB322F">
              <w:rPr>
                <w:szCs w:val="24"/>
                <w:lang w:val="lv-LV"/>
              </w:rPr>
              <w:t xml:space="preserve"> </w:t>
            </w:r>
            <w:r w:rsidR="00502EC2" w:rsidRPr="00BB322F">
              <w:rPr>
                <w:szCs w:val="24"/>
                <w:lang w:val="lv-LV"/>
              </w:rPr>
              <w:t>Regulators ir atvasināta publisko tiesību juridiskā persona, kuram norādītie pārkāpumi traucē veikt Likumā noteiktās pamatfunkcijas. Līdz ar to arī tiek aizskartas lietotāju intereses saņemt regulētus sabiedriskos pakalpojumus, kā arī liedz ve</w:t>
            </w:r>
            <w:r w:rsidR="00633BE1">
              <w:rPr>
                <w:szCs w:val="24"/>
                <w:lang w:val="lv-LV"/>
              </w:rPr>
              <w:t>i</w:t>
            </w:r>
            <w:r w:rsidR="00502EC2" w:rsidRPr="00BB322F">
              <w:rPr>
                <w:szCs w:val="24"/>
                <w:lang w:val="lv-LV"/>
              </w:rPr>
              <w:t>cināt sabiedrisko pakalpojumu sniedzēju attīstību. Ievērojot minēto, nodarījumi ir attiecināmi uz publiski tiesiskajām attiecībām.</w:t>
            </w:r>
            <w:r w:rsidR="00783E4B" w:rsidRPr="00BB322F">
              <w:rPr>
                <w:szCs w:val="24"/>
                <w:lang w:val="lv-LV"/>
              </w:rPr>
              <w:t xml:space="preserve"> Ņemot vērā minēto un to, ka sodi nav paredzēti par civiltiesisku saistību pārkāpšanu, atbildība par tiem ir iekļaujama Likumprojektā.</w:t>
            </w:r>
          </w:p>
          <w:p w14:paraId="70F8EE0F" w14:textId="44ADFD60" w:rsidR="00264A01" w:rsidRDefault="0086790E" w:rsidP="00BB1FAA">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Cs w:val="24"/>
                <w:lang w:val="lv-LV"/>
              </w:rPr>
            </w:pPr>
            <w:r w:rsidRPr="00BB322F">
              <w:rPr>
                <w:szCs w:val="24"/>
                <w:lang w:val="lv-LV"/>
              </w:rPr>
              <w:t>5</w:t>
            </w:r>
            <w:r w:rsidR="00264A01" w:rsidRPr="00BB322F">
              <w:rPr>
                <w:szCs w:val="24"/>
                <w:lang w:val="lv-LV"/>
              </w:rPr>
              <w:t>. Administratīvais sods – piemērotākais risinājums.</w:t>
            </w:r>
            <w:r w:rsidR="00922C8B" w:rsidRPr="00BB322F">
              <w:rPr>
                <w:szCs w:val="24"/>
                <w:lang w:val="lv-LV"/>
              </w:rPr>
              <w:t xml:space="preserve"> Likumprojektā noteiktās atbildības gadījumā tiek reaģēts uz jau izdarītiem pārkāpumiem, proti, pārkāpumu negatīvās sekas jau ir iestājušās. Ievērojot minēto, prioritāte saglabājam</w:t>
            </w:r>
            <w:r w:rsidR="00783E4B" w:rsidRPr="00BB322F">
              <w:rPr>
                <w:szCs w:val="24"/>
                <w:lang w:val="lv-LV"/>
              </w:rPr>
              <w:t>a</w:t>
            </w:r>
            <w:r w:rsidR="00922C8B" w:rsidRPr="00BB322F">
              <w:rPr>
                <w:szCs w:val="24"/>
                <w:lang w:val="lv-LV"/>
              </w:rPr>
              <w:t xml:space="preserve"> administratīvā soda piemērošanai.</w:t>
            </w:r>
          </w:p>
          <w:p w14:paraId="61DE269D" w14:textId="46354915" w:rsidR="007E0910" w:rsidRPr="00BB322F" w:rsidRDefault="007E0910" w:rsidP="00BB1FAA">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Cs w:val="24"/>
                <w:lang w:val="lv-LV"/>
              </w:rPr>
            </w:pPr>
            <w:r w:rsidRPr="000509D0">
              <w:rPr>
                <w:szCs w:val="24"/>
                <w:lang w:val="lv-LV"/>
              </w:rPr>
              <w:t>Attiecībā par Latvijas Administratīvo pārkāpumu kodeksa 158.</w:t>
            </w:r>
            <w:r w:rsidRPr="000509D0">
              <w:rPr>
                <w:szCs w:val="24"/>
                <w:vertAlign w:val="superscript"/>
                <w:lang w:val="lv-LV"/>
              </w:rPr>
              <w:t>2</w:t>
            </w:r>
            <w:r w:rsidRPr="000509D0">
              <w:rPr>
                <w:szCs w:val="24"/>
                <w:lang w:val="lv-LV"/>
              </w:rPr>
              <w:t xml:space="preserve"> un 158.</w:t>
            </w:r>
            <w:r w:rsidRPr="000509D0">
              <w:rPr>
                <w:szCs w:val="24"/>
                <w:vertAlign w:val="superscript"/>
                <w:lang w:val="lv-LV"/>
              </w:rPr>
              <w:t xml:space="preserve">3 </w:t>
            </w:r>
            <w:r w:rsidRPr="000509D0">
              <w:rPr>
                <w:szCs w:val="24"/>
                <w:lang w:val="lv-LV"/>
              </w:rPr>
              <w:t xml:space="preserve">pantā paredzētajiem administratīvajiem pārkāpumiem Regulators </w:t>
            </w:r>
            <w:r w:rsidRPr="000509D0">
              <w:rPr>
                <w:szCs w:val="24"/>
                <w:shd w:val="clear" w:color="auto" w:fill="FFFFFF"/>
                <w:lang w:val="lv-LV"/>
              </w:rPr>
              <w:t>2018.gadā piemēroja 53 administratīvos sodus, 2017.gadā piemēroja 6</w:t>
            </w:r>
            <w:r w:rsidR="005C50B7" w:rsidRPr="000509D0">
              <w:rPr>
                <w:szCs w:val="24"/>
                <w:shd w:val="clear" w:color="auto" w:fill="FFFFFF"/>
                <w:lang w:val="lv-LV"/>
              </w:rPr>
              <w:t>3</w:t>
            </w:r>
            <w:r w:rsidRPr="000509D0">
              <w:rPr>
                <w:szCs w:val="24"/>
                <w:shd w:val="clear" w:color="auto" w:fill="FFFFFF"/>
                <w:lang w:val="lv-LV"/>
              </w:rPr>
              <w:t xml:space="preserve"> administratīvos sodus un 2016.gadā piemēroja </w:t>
            </w:r>
            <w:r w:rsidR="005C50B7" w:rsidRPr="000509D0">
              <w:rPr>
                <w:szCs w:val="24"/>
                <w:shd w:val="clear" w:color="auto" w:fill="FFFFFF"/>
                <w:lang w:val="lv-LV"/>
              </w:rPr>
              <w:t>77</w:t>
            </w:r>
            <w:r w:rsidRPr="000509D0">
              <w:rPr>
                <w:szCs w:val="24"/>
                <w:shd w:val="clear" w:color="auto" w:fill="FFFFFF"/>
                <w:lang w:val="lv-LV"/>
              </w:rPr>
              <w:t xml:space="preserve"> administratīvos sodus.</w:t>
            </w:r>
            <w:r w:rsidR="005C50B7" w:rsidRPr="000509D0">
              <w:rPr>
                <w:szCs w:val="24"/>
                <w:shd w:val="clear" w:color="auto" w:fill="FFFFFF"/>
                <w:lang w:val="lv-LV"/>
              </w:rPr>
              <w:t xml:space="preserve"> </w:t>
            </w:r>
            <w:r w:rsidR="005C50B7" w:rsidRPr="000509D0">
              <w:rPr>
                <w:szCs w:val="24"/>
                <w:lang w:val="lv-LV"/>
              </w:rPr>
              <w:t>Attiecībā par Latvijas Administratīvo pārkāpumu kodeksa 158.</w:t>
            </w:r>
            <w:r w:rsidR="005C50B7" w:rsidRPr="000509D0">
              <w:rPr>
                <w:szCs w:val="24"/>
                <w:vertAlign w:val="superscript"/>
                <w:lang w:val="lv-LV"/>
              </w:rPr>
              <w:t>4</w:t>
            </w:r>
            <w:r w:rsidR="005C50B7" w:rsidRPr="000509D0">
              <w:rPr>
                <w:szCs w:val="24"/>
                <w:lang w:val="lv-LV"/>
              </w:rPr>
              <w:t xml:space="preserve"> pantā paredzēto administratīvo pārkāpumu Regulators</w:t>
            </w:r>
            <w:r w:rsidR="005C50B7" w:rsidRPr="000509D0">
              <w:rPr>
                <w:szCs w:val="24"/>
                <w:shd w:val="clear" w:color="auto" w:fill="FFFFFF"/>
                <w:lang w:val="lv-LV"/>
              </w:rPr>
              <w:t xml:space="preserve"> 2017.gadā piemēroja 1 administratīvo sodu un 2016.gadā piemēroja 7 administratīvos sodus.</w:t>
            </w:r>
          </w:p>
          <w:p w14:paraId="18D1A16C" w14:textId="77777777" w:rsidR="000D19E0" w:rsidRPr="00BB322F" w:rsidRDefault="000D19E0" w:rsidP="00BB1FAA">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Cs w:val="24"/>
                <w:lang w:val="lv-LV"/>
              </w:rPr>
            </w:pPr>
          </w:p>
          <w:p w14:paraId="22DA462D" w14:textId="5F12C39F" w:rsidR="004B48FB" w:rsidRPr="000509D0" w:rsidRDefault="00262BFA" w:rsidP="004B48FB">
            <w:pPr>
              <w:shd w:val="clear" w:color="auto" w:fill="FFFFFF"/>
              <w:jc w:val="both"/>
              <w:rPr>
                <w:rFonts w:eastAsia="Times New Roman" w:cs="Times New Roman"/>
                <w:color w:val="000000"/>
                <w:sz w:val="24"/>
                <w:szCs w:val="24"/>
              </w:rPr>
            </w:pPr>
            <w:r w:rsidRPr="002E2850">
              <w:rPr>
                <w:b/>
                <w:sz w:val="24"/>
                <w:szCs w:val="24"/>
                <w:lang w:eastAsia="lv-LV"/>
              </w:rPr>
              <w:t>[3]</w:t>
            </w:r>
            <w:r w:rsidRPr="002E2850">
              <w:rPr>
                <w:sz w:val="24"/>
                <w:szCs w:val="24"/>
                <w:lang w:eastAsia="lv-LV"/>
              </w:rPr>
              <w:t xml:space="preserve"> </w:t>
            </w:r>
            <w:r w:rsidR="00426835" w:rsidRPr="002E2850">
              <w:rPr>
                <w:sz w:val="24"/>
                <w:szCs w:val="24"/>
                <w:lang w:eastAsia="lv-LV"/>
              </w:rPr>
              <w:t>Likumprojektā ir noteikts naudas soda apmērs</w:t>
            </w:r>
            <w:r w:rsidR="009A3C3B" w:rsidRPr="002E2850">
              <w:rPr>
                <w:sz w:val="24"/>
                <w:szCs w:val="24"/>
                <w:lang w:eastAsia="lv-LV"/>
              </w:rPr>
              <w:t xml:space="preserve"> atbilstoši</w:t>
            </w:r>
            <w:r w:rsidR="00DC0961" w:rsidRPr="002E2850">
              <w:rPr>
                <w:sz w:val="24"/>
                <w:szCs w:val="24"/>
                <w:lang w:eastAsia="lv-LV"/>
              </w:rPr>
              <w:t xml:space="preserve"> </w:t>
            </w:r>
            <w:r w:rsidR="00F074D6" w:rsidRPr="002E2850">
              <w:rPr>
                <w:sz w:val="24"/>
                <w:szCs w:val="24"/>
                <w:lang w:eastAsia="lv-LV"/>
              </w:rPr>
              <w:t xml:space="preserve">AAL </w:t>
            </w:r>
            <w:r w:rsidR="00066906" w:rsidRPr="002E2850">
              <w:rPr>
                <w:sz w:val="24"/>
                <w:szCs w:val="24"/>
                <w:lang w:eastAsia="lv-LV"/>
              </w:rPr>
              <w:t>16</w:t>
            </w:r>
            <w:r w:rsidR="00426835" w:rsidRPr="002E2850">
              <w:rPr>
                <w:sz w:val="24"/>
                <w:szCs w:val="24"/>
                <w:lang w:eastAsia="lv-LV"/>
              </w:rPr>
              <w:t>.panta ceturtajai</w:t>
            </w:r>
            <w:r w:rsidR="00750C41" w:rsidRPr="002E2850">
              <w:rPr>
                <w:sz w:val="24"/>
                <w:szCs w:val="24"/>
                <w:lang w:eastAsia="lv-LV"/>
              </w:rPr>
              <w:t xml:space="preserve"> daļ</w:t>
            </w:r>
            <w:r w:rsidR="00426835" w:rsidRPr="002E2850">
              <w:rPr>
                <w:sz w:val="24"/>
                <w:szCs w:val="24"/>
                <w:lang w:eastAsia="lv-LV"/>
              </w:rPr>
              <w:t>ai</w:t>
            </w:r>
            <w:r w:rsidR="00750C41" w:rsidRPr="002E2850">
              <w:rPr>
                <w:sz w:val="24"/>
                <w:szCs w:val="24"/>
                <w:lang w:eastAsia="lv-LV"/>
              </w:rPr>
              <w:t xml:space="preserve">. Saskaņā ar </w:t>
            </w:r>
            <w:r w:rsidR="00F074D6" w:rsidRPr="002E2850">
              <w:rPr>
                <w:sz w:val="24"/>
                <w:szCs w:val="24"/>
                <w:lang w:eastAsia="lv-LV"/>
              </w:rPr>
              <w:t xml:space="preserve">AAL </w:t>
            </w:r>
            <w:r w:rsidR="00750C41" w:rsidRPr="002E2850">
              <w:rPr>
                <w:sz w:val="24"/>
                <w:szCs w:val="24"/>
                <w:lang w:eastAsia="lv-LV"/>
              </w:rPr>
              <w:t>1</w:t>
            </w:r>
            <w:r w:rsidR="00FA73C8" w:rsidRPr="002E2850">
              <w:rPr>
                <w:sz w:val="24"/>
                <w:szCs w:val="24"/>
                <w:lang w:eastAsia="lv-LV"/>
              </w:rPr>
              <w:t>6</w:t>
            </w:r>
            <w:r w:rsidR="00750C41" w:rsidRPr="002E2850">
              <w:rPr>
                <w:sz w:val="24"/>
                <w:szCs w:val="24"/>
                <w:lang w:eastAsia="lv-LV"/>
              </w:rPr>
              <w:t xml:space="preserve">.panta ceturto daļu maksimālais sods juridiskām personām paredzēts </w:t>
            </w:r>
            <w:r w:rsidR="00471B31" w:rsidRPr="002E2850">
              <w:rPr>
                <w:sz w:val="24"/>
                <w:szCs w:val="24"/>
                <w:lang w:eastAsia="lv-LV"/>
              </w:rPr>
              <w:t>4000</w:t>
            </w:r>
            <w:r w:rsidR="00750C41" w:rsidRPr="002E2850">
              <w:rPr>
                <w:sz w:val="24"/>
                <w:szCs w:val="24"/>
                <w:lang w:eastAsia="lv-LV"/>
              </w:rPr>
              <w:t xml:space="preserve"> naudas soda vienības</w:t>
            </w:r>
            <w:r w:rsidR="009F0235" w:rsidRPr="002E2850">
              <w:rPr>
                <w:sz w:val="24"/>
                <w:szCs w:val="24"/>
                <w:lang w:eastAsia="lv-LV"/>
              </w:rPr>
              <w:t xml:space="preserve"> (t.i., 20 000 </w:t>
            </w:r>
            <w:proofErr w:type="spellStart"/>
            <w:r w:rsidR="009F0235" w:rsidRPr="002E2850">
              <w:rPr>
                <w:i/>
                <w:sz w:val="24"/>
                <w:szCs w:val="24"/>
                <w:lang w:eastAsia="lv-LV"/>
              </w:rPr>
              <w:t>euro</w:t>
            </w:r>
            <w:proofErr w:type="spellEnd"/>
            <w:r w:rsidR="009F0235" w:rsidRPr="002E2850">
              <w:rPr>
                <w:sz w:val="24"/>
                <w:szCs w:val="24"/>
                <w:lang w:eastAsia="lv-LV"/>
              </w:rPr>
              <w:t>)</w:t>
            </w:r>
            <w:r w:rsidR="00750C41" w:rsidRPr="002E2850">
              <w:rPr>
                <w:sz w:val="24"/>
                <w:szCs w:val="24"/>
                <w:lang w:eastAsia="lv-LV"/>
              </w:rPr>
              <w:t xml:space="preserve">. </w:t>
            </w:r>
            <w:r w:rsidR="00DE240B" w:rsidRPr="002E2850">
              <w:rPr>
                <w:sz w:val="24"/>
                <w:szCs w:val="24"/>
                <w:lang w:eastAsia="lv-LV"/>
              </w:rPr>
              <w:t>Š</w:t>
            </w:r>
            <w:r w:rsidR="00750C41" w:rsidRPr="002E2850">
              <w:rPr>
                <w:sz w:val="24"/>
                <w:szCs w:val="24"/>
                <w:lang w:eastAsia="lv-LV"/>
              </w:rPr>
              <w:t>obrīd Regulatoram saskaņā ar LAPK 158.</w:t>
            </w:r>
            <w:r w:rsidR="00750C41" w:rsidRPr="002E2850">
              <w:rPr>
                <w:sz w:val="24"/>
                <w:szCs w:val="24"/>
                <w:vertAlign w:val="superscript"/>
                <w:lang w:eastAsia="lv-LV"/>
              </w:rPr>
              <w:t>2</w:t>
            </w:r>
            <w:r w:rsidR="00750C41" w:rsidRPr="002E2850">
              <w:rPr>
                <w:sz w:val="24"/>
                <w:szCs w:val="24"/>
                <w:lang w:eastAsia="lv-LV"/>
              </w:rPr>
              <w:t>, 158.</w:t>
            </w:r>
            <w:r w:rsidR="00750C41" w:rsidRPr="002E2850">
              <w:rPr>
                <w:sz w:val="24"/>
                <w:szCs w:val="24"/>
                <w:vertAlign w:val="superscript"/>
                <w:lang w:eastAsia="lv-LV"/>
              </w:rPr>
              <w:t>3</w:t>
            </w:r>
            <w:r w:rsidR="00750C41" w:rsidRPr="002E2850">
              <w:rPr>
                <w:sz w:val="24"/>
                <w:szCs w:val="24"/>
                <w:lang w:eastAsia="lv-LV"/>
              </w:rPr>
              <w:t xml:space="preserve"> </w:t>
            </w:r>
            <w:r w:rsidR="007B0190" w:rsidRPr="002E2850">
              <w:rPr>
                <w:sz w:val="24"/>
                <w:szCs w:val="24"/>
                <w:lang w:eastAsia="lv-LV"/>
              </w:rPr>
              <w:t xml:space="preserve">un </w:t>
            </w:r>
            <w:r w:rsidR="00750C41" w:rsidRPr="002E2850">
              <w:rPr>
                <w:sz w:val="24"/>
                <w:szCs w:val="24"/>
                <w:lang w:eastAsia="lv-LV"/>
              </w:rPr>
              <w:t>158.</w:t>
            </w:r>
            <w:r w:rsidR="00750C41" w:rsidRPr="002E2850">
              <w:rPr>
                <w:sz w:val="24"/>
                <w:szCs w:val="24"/>
                <w:vertAlign w:val="superscript"/>
                <w:lang w:eastAsia="lv-LV"/>
              </w:rPr>
              <w:t>4</w:t>
            </w:r>
            <w:r w:rsidR="007B0190" w:rsidRPr="002E2850">
              <w:rPr>
                <w:sz w:val="24"/>
                <w:szCs w:val="24"/>
                <w:vertAlign w:val="superscript"/>
                <w:lang w:eastAsia="lv-LV"/>
              </w:rPr>
              <w:t xml:space="preserve"> </w:t>
            </w:r>
            <w:r w:rsidR="007B0190" w:rsidRPr="002E2850">
              <w:rPr>
                <w:sz w:val="24"/>
                <w:szCs w:val="24"/>
                <w:lang w:eastAsia="lv-LV"/>
              </w:rPr>
              <w:t>pantu i</w:t>
            </w:r>
            <w:r w:rsidR="00750C41" w:rsidRPr="002E2850">
              <w:rPr>
                <w:sz w:val="24"/>
                <w:szCs w:val="24"/>
                <w:lang w:eastAsia="lv-LV"/>
              </w:rPr>
              <w:t xml:space="preserve">r tiesības piemērot maksimālo LAPK 26.panta pirmajā daļā noteikto naudas sodu, t.i., fiziskām personām 700 </w:t>
            </w:r>
            <w:proofErr w:type="spellStart"/>
            <w:r w:rsidR="00750C41" w:rsidRPr="002E2850">
              <w:rPr>
                <w:i/>
                <w:iCs/>
                <w:sz w:val="24"/>
                <w:szCs w:val="24"/>
                <w:lang w:eastAsia="lv-LV"/>
              </w:rPr>
              <w:t>euro</w:t>
            </w:r>
            <w:proofErr w:type="spellEnd"/>
            <w:r w:rsidR="00750C41" w:rsidRPr="002E2850">
              <w:rPr>
                <w:sz w:val="24"/>
                <w:szCs w:val="24"/>
                <w:lang w:eastAsia="lv-LV"/>
              </w:rPr>
              <w:t xml:space="preserve">, savukārt juridiskām personām </w:t>
            </w:r>
            <w:r w:rsidR="00471B31" w:rsidRPr="002E2850">
              <w:rPr>
                <w:sz w:val="24"/>
                <w:szCs w:val="24"/>
                <w:lang w:eastAsia="lv-LV"/>
              </w:rPr>
              <w:t>14</w:t>
            </w:r>
            <w:r w:rsidR="001F64A5" w:rsidRPr="002E2850">
              <w:rPr>
                <w:sz w:val="24"/>
                <w:szCs w:val="24"/>
                <w:lang w:eastAsia="lv-LV"/>
              </w:rPr>
              <w:t> </w:t>
            </w:r>
            <w:r w:rsidR="00471B31" w:rsidRPr="002E2850">
              <w:rPr>
                <w:sz w:val="24"/>
                <w:szCs w:val="24"/>
                <w:lang w:eastAsia="lv-LV"/>
              </w:rPr>
              <w:t>000</w:t>
            </w:r>
            <w:r w:rsidR="00750C41" w:rsidRPr="002E2850">
              <w:rPr>
                <w:sz w:val="24"/>
                <w:szCs w:val="24"/>
                <w:lang w:eastAsia="lv-LV"/>
              </w:rPr>
              <w:t xml:space="preserve"> </w:t>
            </w:r>
            <w:proofErr w:type="spellStart"/>
            <w:r w:rsidR="00750C41" w:rsidRPr="002E2850">
              <w:rPr>
                <w:i/>
                <w:iCs/>
                <w:sz w:val="24"/>
                <w:szCs w:val="24"/>
                <w:lang w:eastAsia="lv-LV"/>
              </w:rPr>
              <w:t>euro</w:t>
            </w:r>
            <w:proofErr w:type="spellEnd"/>
            <w:r w:rsidR="00750C41" w:rsidRPr="002E2850">
              <w:rPr>
                <w:i/>
                <w:iCs/>
                <w:sz w:val="24"/>
                <w:szCs w:val="24"/>
                <w:lang w:eastAsia="lv-LV"/>
              </w:rPr>
              <w:t xml:space="preserve">. </w:t>
            </w:r>
            <w:r w:rsidR="002614D6" w:rsidRPr="002E2850">
              <w:rPr>
                <w:iCs/>
                <w:sz w:val="24"/>
                <w:szCs w:val="24"/>
                <w:lang w:eastAsia="lv-LV"/>
              </w:rPr>
              <w:t xml:space="preserve">Vienlaicīgi par regulējamo sabiedrisko pakalpojumu sniegšanu bez sabiedrisko pakalpojumu licences, reģistrācijas vai nenosūtot reģistrācijas paziņojumu ir noteikts papildsods valdes loceklim - </w:t>
            </w:r>
            <w:r w:rsidR="005C50B7">
              <w:rPr>
                <w:iCs/>
                <w:sz w:val="24"/>
                <w:szCs w:val="24"/>
                <w:lang w:eastAsia="lv-LV"/>
              </w:rPr>
              <w:t>atņemot</w:t>
            </w:r>
            <w:r w:rsidR="005C50B7" w:rsidRPr="002E2850">
              <w:rPr>
                <w:iCs/>
                <w:sz w:val="24"/>
                <w:szCs w:val="24"/>
                <w:lang w:eastAsia="lv-LV"/>
              </w:rPr>
              <w:t xml:space="preserve"> </w:t>
            </w:r>
            <w:r w:rsidR="00472BC8" w:rsidRPr="002E2850">
              <w:rPr>
                <w:iCs/>
                <w:sz w:val="24"/>
                <w:szCs w:val="24"/>
                <w:lang w:eastAsia="lv-LV"/>
              </w:rPr>
              <w:t>valdes loceklim</w:t>
            </w:r>
            <w:r w:rsidR="002614D6" w:rsidRPr="002E2850">
              <w:rPr>
                <w:iCs/>
                <w:sz w:val="24"/>
                <w:szCs w:val="24"/>
                <w:lang w:eastAsia="lv-LV"/>
              </w:rPr>
              <w:t xml:space="preserve"> </w:t>
            </w:r>
            <w:r w:rsidR="005C50B7">
              <w:rPr>
                <w:iCs/>
                <w:sz w:val="24"/>
                <w:szCs w:val="24"/>
                <w:lang w:eastAsia="lv-LV"/>
              </w:rPr>
              <w:t>tiesības uz laiku līdz pieciem gadiem ieņemt noteiktus amatus</w:t>
            </w:r>
            <w:r w:rsidR="00070014">
              <w:rPr>
                <w:iCs/>
                <w:sz w:val="24"/>
                <w:szCs w:val="24"/>
                <w:lang w:eastAsia="lv-LV"/>
              </w:rPr>
              <w:t>.</w:t>
            </w:r>
            <w:r w:rsidR="00154F41" w:rsidRPr="002E2850">
              <w:rPr>
                <w:iCs/>
                <w:sz w:val="24"/>
                <w:szCs w:val="24"/>
                <w:lang w:eastAsia="lv-LV"/>
              </w:rPr>
              <w:t xml:space="preserve"> </w:t>
            </w:r>
            <w:r w:rsidR="004B48FB" w:rsidRPr="000509D0">
              <w:rPr>
                <w:rFonts w:eastAsia="Times New Roman" w:cs="Times New Roman"/>
                <w:bCs/>
                <w:color w:val="000000"/>
                <w:sz w:val="24"/>
                <w:szCs w:val="24"/>
              </w:rPr>
              <w:t xml:space="preserve">Papildsods ir efektīvs līdzeklis, lai nodrošinātu, ka tā pati persona neturpina savas nelegālās darbības citā komercsabiedrībā. </w:t>
            </w:r>
            <w:r w:rsidR="004B48FB" w:rsidRPr="000509D0">
              <w:rPr>
                <w:rFonts w:eastAsia="Times New Roman" w:cs="Times New Roman"/>
                <w:bCs/>
                <w:color w:val="000000"/>
                <w:sz w:val="24"/>
                <w:szCs w:val="24"/>
              </w:rPr>
              <w:lastRenderedPageBreak/>
              <w:t>Komercsabiedrības valdē saskaņā ar Komerclikum</w:t>
            </w:r>
            <w:r w:rsidR="00FD6609" w:rsidRPr="000509D0">
              <w:rPr>
                <w:rFonts w:eastAsia="Times New Roman" w:cs="Times New Roman"/>
                <w:bCs/>
                <w:color w:val="000000"/>
                <w:sz w:val="24"/>
                <w:szCs w:val="24"/>
              </w:rPr>
              <w:t xml:space="preserve">u </w:t>
            </w:r>
            <w:r w:rsidR="004B48FB" w:rsidRPr="000509D0">
              <w:rPr>
                <w:rFonts w:eastAsia="Times New Roman" w:cs="Times New Roman"/>
                <w:bCs/>
                <w:color w:val="000000"/>
                <w:sz w:val="24"/>
                <w:szCs w:val="24"/>
              </w:rPr>
              <w:t xml:space="preserve">var būt tikai viens, </w:t>
            </w:r>
            <w:r w:rsidR="00C77E87" w:rsidRPr="000509D0">
              <w:rPr>
                <w:rFonts w:eastAsia="Times New Roman" w:cs="Times New Roman"/>
                <w:bCs/>
                <w:color w:val="000000"/>
                <w:sz w:val="24"/>
                <w:szCs w:val="24"/>
              </w:rPr>
              <w:t xml:space="preserve">vai </w:t>
            </w:r>
            <w:r w:rsidR="004B48FB" w:rsidRPr="000509D0">
              <w:rPr>
                <w:rFonts w:eastAsia="Times New Roman" w:cs="Times New Roman"/>
                <w:bCs/>
                <w:color w:val="000000"/>
                <w:sz w:val="24"/>
                <w:szCs w:val="24"/>
              </w:rPr>
              <w:t>arī vairāki valdes locekļi, līdz ar to papildsods tiek uzlikts katram komercsabiedrības valdes loceklim.</w:t>
            </w:r>
            <w:r w:rsidR="004B48FB" w:rsidRPr="000509D0">
              <w:rPr>
                <w:rFonts w:eastAsia="Times New Roman" w:cs="Times New Roman"/>
                <w:b/>
                <w:bCs/>
                <w:color w:val="000000"/>
                <w:sz w:val="24"/>
                <w:szCs w:val="24"/>
              </w:rPr>
              <w:t xml:space="preserve"> </w:t>
            </w:r>
            <w:r w:rsidR="004B48FB" w:rsidRPr="000509D0">
              <w:rPr>
                <w:rFonts w:eastAsia="Times New Roman" w:cs="Times New Roman"/>
                <w:color w:val="000000"/>
                <w:sz w:val="24"/>
                <w:szCs w:val="24"/>
              </w:rPr>
              <w:t xml:space="preserve">Soda mērķis ir panākt, ka komersanta amatpersona, kas izdara nopietnus pārkāpumus komercdarbības jomā, </w:t>
            </w:r>
            <w:r w:rsidR="00FD6609" w:rsidRPr="000509D0">
              <w:rPr>
                <w:rFonts w:eastAsia="Times New Roman" w:cs="Times New Roman"/>
                <w:color w:val="000000"/>
                <w:sz w:val="24"/>
                <w:szCs w:val="24"/>
              </w:rPr>
              <w:t>tiek atturēt</w:t>
            </w:r>
            <w:r w:rsidR="002E2850" w:rsidRPr="000509D0">
              <w:rPr>
                <w:rFonts w:eastAsia="Times New Roman" w:cs="Times New Roman"/>
                <w:color w:val="000000"/>
                <w:sz w:val="24"/>
                <w:szCs w:val="24"/>
              </w:rPr>
              <w:t>a</w:t>
            </w:r>
            <w:r w:rsidR="004B48FB" w:rsidRPr="000509D0">
              <w:rPr>
                <w:rFonts w:eastAsia="Times New Roman" w:cs="Times New Roman"/>
                <w:color w:val="000000"/>
                <w:sz w:val="24"/>
                <w:szCs w:val="24"/>
              </w:rPr>
              <w:t xml:space="preserve"> no vadošu amatu ieņemšanas komercsabiedrībās.</w:t>
            </w:r>
          </w:p>
          <w:p w14:paraId="3D2A7C55" w14:textId="459857D1" w:rsidR="009A3C3B" w:rsidRPr="004B48FB" w:rsidRDefault="009A3C3B" w:rsidP="007326AF">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696"/>
              <w:rPr>
                <w:iCs/>
                <w:szCs w:val="24"/>
                <w:lang w:val="lv-LV" w:eastAsia="lv-LV"/>
              </w:rPr>
            </w:pPr>
          </w:p>
          <w:p w14:paraId="21F0A964" w14:textId="45B1EEA6" w:rsidR="009A3C3B" w:rsidRPr="00BB322F" w:rsidRDefault="00F074D6" w:rsidP="007B0190">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Cs w:val="24"/>
                <w:lang w:val="lv-LV"/>
              </w:rPr>
            </w:pPr>
            <w:r w:rsidRPr="00BB322F">
              <w:rPr>
                <w:szCs w:val="24"/>
                <w:lang w:val="lv-LV" w:eastAsia="lv-LV"/>
              </w:rPr>
              <w:t>A</w:t>
            </w:r>
            <w:r>
              <w:rPr>
                <w:szCs w:val="24"/>
                <w:lang w:val="lv-LV" w:eastAsia="lv-LV"/>
              </w:rPr>
              <w:t>A</w:t>
            </w:r>
            <w:r w:rsidRPr="00BB322F">
              <w:rPr>
                <w:szCs w:val="24"/>
                <w:lang w:val="lv-LV" w:eastAsia="lv-LV"/>
              </w:rPr>
              <w:t xml:space="preserve">L </w:t>
            </w:r>
            <w:r w:rsidR="00750C41" w:rsidRPr="00BB322F">
              <w:rPr>
                <w:szCs w:val="24"/>
                <w:lang w:val="lv-LV" w:eastAsia="lv-LV"/>
              </w:rPr>
              <w:t>1</w:t>
            </w:r>
            <w:r w:rsidR="00FA73C8" w:rsidRPr="00BB322F">
              <w:rPr>
                <w:szCs w:val="24"/>
                <w:lang w:val="lv-LV" w:eastAsia="lv-LV"/>
              </w:rPr>
              <w:t>6</w:t>
            </w:r>
            <w:r w:rsidR="00750C41" w:rsidRPr="00BB322F">
              <w:rPr>
                <w:szCs w:val="24"/>
                <w:lang w:val="lv-LV" w:eastAsia="lv-LV"/>
              </w:rPr>
              <w:t xml:space="preserve">.panta </w:t>
            </w:r>
            <w:r w:rsidR="00FA73C8" w:rsidRPr="00BB322F">
              <w:rPr>
                <w:szCs w:val="24"/>
                <w:lang w:val="lv-LV" w:eastAsia="lv-LV"/>
              </w:rPr>
              <w:t xml:space="preserve">piektā </w:t>
            </w:r>
            <w:r w:rsidR="00750C41" w:rsidRPr="00BB322F">
              <w:rPr>
                <w:szCs w:val="24"/>
                <w:lang w:val="lv-LV" w:eastAsia="lv-LV"/>
              </w:rPr>
              <w:t xml:space="preserve">daļa noteic, ka </w:t>
            </w:r>
            <w:r w:rsidR="00FA73C8" w:rsidRPr="00BB322F">
              <w:rPr>
                <w:szCs w:val="24"/>
                <w:lang w:val="lv-LV"/>
              </w:rPr>
              <w:t xml:space="preserve">likumos īpaši paredzētos gadījumos sodu par pārkāpumiem finanšu, muitas un nodokļu jomā vai valsts regulēto sabiedrisko pakalpojumu nozarēs nosaka procentuāli no finanšu darījuma vērtības (summas) vai iepriekšējā pārskata gada neto apgrozījuma, vai apgrozījuma (ieņēmumiem) no saimnieciskajiem darījumiem iepriekšējā pārskata gadā, neievērojot šā panta ceturtās daļas nosacījumu par maksimālo soda apmēru, bet nepārsniedzot 30 procentus no finanšu darījuma vērtības (summas) vai 10 procentus </w:t>
            </w:r>
            <w:r w:rsidR="005467EE">
              <w:rPr>
                <w:szCs w:val="24"/>
                <w:lang w:val="lv-LV"/>
              </w:rPr>
              <w:t xml:space="preserve">no </w:t>
            </w:r>
            <w:r w:rsidR="00FA73C8" w:rsidRPr="00BB322F">
              <w:rPr>
                <w:szCs w:val="24"/>
                <w:lang w:val="lv-LV"/>
              </w:rPr>
              <w:t>iepriekšējā pārskata gada neto apgrozījuma, vai apgrozījuma (ieņēmumiem) no saimnieciskajiem darījumiem iepriekšējā pārskata gadā.</w:t>
            </w:r>
            <w:r w:rsidR="00750C41" w:rsidRPr="00BB322F">
              <w:rPr>
                <w:szCs w:val="24"/>
                <w:lang w:val="lv-LV"/>
              </w:rPr>
              <w:t xml:space="preserve"> </w:t>
            </w:r>
            <w:r w:rsidR="007A7753" w:rsidRPr="000509D0">
              <w:rPr>
                <w:szCs w:val="24"/>
                <w:lang w:val="lv-LV"/>
              </w:rPr>
              <w:t>Likumdevējs, pieņemot Administratīvās atbildības likumu, jau ir noteicis Regulatoram tiesības piemērot naudas sodu 10 procentu apmērā no juridiskās personas iepriekšējā pārskata gada neto apgrozījuma attiecīgajā regulējamā nozarē.</w:t>
            </w:r>
          </w:p>
          <w:p w14:paraId="289F1302" w14:textId="0CE5A86B" w:rsidR="0062031C" w:rsidRPr="00BB322F" w:rsidRDefault="00C77E87" w:rsidP="0062031C">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00"/>
              <w:rPr>
                <w:szCs w:val="24"/>
                <w:lang w:val="lv-LV" w:eastAsia="lv-LV"/>
              </w:rPr>
            </w:pPr>
            <w:r>
              <w:rPr>
                <w:szCs w:val="24"/>
                <w:lang w:val="lv-LV" w:eastAsia="lv-LV"/>
              </w:rPr>
              <w:t>Likumprojektā</w:t>
            </w:r>
            <w:r w:rsidR="00750C41" w:rsidRPr="00BB322F">
              <w:rPr>
                <w:szCs w:val="24"/>
                <w:lang w:val="lv-LV" w:eastAsia="lv-LV"/>
              </w:rPr>
              <w:t xml:space="preserve"> </w:t>
            </w:r>
            <w:r w:rsidR="00991367" w:rsidRPr="00BB322F">
              <w:rPr>
                <w:szCs w:val="24"/>
                <w:lang w:val="lv-LV" w:eastAsia="lv-LV"/>
              </w:rPr>
              <w:t xml:space="preserve">par būtiskiem normatīvo aktu pārkāpumiem </w:t>
            </w:r>
            <w:r w:rsidR="0006576D" w:rsidRPr="00BB322F">
              <w:rPr>
                <w:szCs w:val="24"/>
                <w:lang w:val="lv-LV" w:eastAsia="lv-LV"/>
              </w:rPr>
              <w:t xml:space="preserve">ir </w:t>
            </w:r>
            <w:r w:rsidR="00D050C3">
              <w:rPr>
                <w:szCs w:val="24"/>
                <w:lang w:val="lv-LV" w:eastAsia="lv-LV"/>
              </w:rPr>
              <w:t xml:space="preserve">paredzēts iespējamais </w:t>
            </w:r>
            <w:r w:rsidR="00750C41" w:rsidRPr="00BB322F">
              <w:rPr>
                <w:szCs w:val="24"/>
                <w:lang w:val="lv-LV" w:eastAsia="lv-LV"/>
              </w:rPr>
              <w:t xml:space="preserve">maksimālais naudas soda apmērs un naudas sods </w:t>
            </w:r>
            <w:r w:rsidR="00750C41" w:rsidRPr="00BB322F">
              <w:rPr>
                <w:szCs w:val="24"/>
                <w:lang w:val="lv-LV"/>
              </w:rPr>
              <w:t xml:space="preserve">procentuāli no </w:t>
            </w:r>
            <w:r w:rsidR="0048092D" w:rsidRPr="00BB322F">
              <w:rPr>
                <w:szCs w:val="24"/>
                <w:lang w:val="lv-LV"/>
              </w:rPr>
              <w:t xml:space="preserve">iepriekšējā </w:t>
            </w:r>
            <w:r w:rsidR="00750C41" w:rsidRPr="00BB322F">
              <w:rPr>
                <w:szCs w:val="24"/>
                <w:lang w:val="lv-LV"/>
              </w:rPr>
              <w:t>pārskata gada neto apgrozījuma</w:t>
            </w:r>
            <w:r w:rsidR="00DE240B" w:rsidRPr="00BB322F">
              <w:rPr>
                <w:szCs w:val="24"/>
                <w:lang w:val="lv-LV"/>
              </w:rPr>
              <w:t xml:space="preserve"> </w:t>
            </w:r>
            <w:r w:rsidR="00783E4B" w:rsidRPr="00BB322F">
              <w:rPr>
                <w:szCs w:val="24"/>
                <w:lang w:val="lv-LV"/>
              </w:rPr>
              <w:t xml:space="preserve">attiecīgajā regulējamā nozarē, </w:t>
            </w:r>
            <w:r w:rsidR="00DE240B" w:rsidRPr="00BB322F">
              <w:rPr>
                <w:szCs w:val="24"/>
                <w:lang w:val="lv-LV"/>
              </w:rPr>
              <w:t xml:space="preserve">nepārsniedzot desmit procentus no neto gada apgrozījuma. </w:t>
            </w:r>
            <w:r w:rsidR="0062031C" w:rsidRPr="00BB322F">
              <w:rPr>
                <w:szCs w:val="24"/>
                <w:lang w:val="lv-LV" w:eastAsia="lv-LV"/>
              </w:rPr>
              <w:t xml:space="preserve">Procentuālais sods no </w:t>
            </w:r>
            <w:r w:rsidR="0048092D" w:rsidRPr="00BB322F">
              <w:rPr>
                <w:szCs w:val="24"/>
                <w:lang w:val="lv-LV" w:eastAsia="lv-LV"/>
              </w:rPr>
              <w:t xml:space="preserve">iepriekšējā </w:t>
            </w:r>
            <w:r w:rsidR="0062031C" w:rsidRPr="00BB322F">
              <w:rPr>
                <w:szCs w:val="24"/>
                <w:lang w:val="lv-LV" w:eastAsia="lv-LV"/>
              </w:rPr>
              <w:t xml:space="preserve">pārskata gada neto apgrozījuma, neievērojot </w:t>
            </w:r>
            <w:r w:rsidR="00F074D6" w:rsidRPr="00BB322F">
              <w:rPr>
                <w:szCs w:val="24"/>
                <w:lang w:val="lv-LV" w:eastAsia="lv-LV"/>
              </w:rPr>
              <w:t>A</w:t>
            </w:r>
            <w:r w:rsidR="00F074D6">
              <w:rPr>
                <w:szCs w:val="24"/>
                <w:lang w:val="lv-LV" w:eastAsia="lv-LV"/>
              </w:rPr>
              <w:t>A</w:t>
            </w:r>
            <w:r w:rsidR="00F074D6" w:rsidRPr="00BB322F">
              <w:rPr>
                <w:szCs w:val="24"/>
                <w:lang w:val="lv-LV" w:eastAsia="lv-LV"/>
              </w:rPr>
              <w:t xml:space="preserve">L </w:t>
            </w:r>
            <w:r w:rsidR="0062031C" w:rsidRPr="00BB322F">
              <w:rPr>
                <w:szCs w:val="24"/>
                <w:lang w:val="lv-LV" w:eastAsia="lv-LV"/>
              </w:rPr>
              <w:t>1</w:t>
            </w:r>
            <w:r w:rsidR="006D08A6" w:rsidRPr="00BB322F">
              <w:rPr>
                <w:szCs w:val="24"/>
                <w:lang w:val="lv-LV" w:eastAsia="lv-LV"/>
              </w:rPr>
              <w:t>6</w:t>
            </w:r>
            <w:r w:rsidR="0062031C" w:rsidRPr="00BB322F">
              <w:rPr>
                <w:szCs w:val="24"/>
                <w:lang w:val="lv-LV" w:eastAsia="lv-LV"/>
              </w:rPr>
              <w:t xml:space="preserve">.panta ceturtās daļas nosacījumu par maksimālo soda apmēru, var tikt piemērots par šādiem pārkāpumiem: </w:t>
            </w:r>
          </w:p>
          <w:p w14:paraId="62300B3D" w14:textId="5CF60120" w:rsidR="0062031C" w:rsidRPr="00BB322F" w:rsidRDefault="00FD6609" w:rsidP="0062031C">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00000" w:themeColor="text1"/>
                <w:szCs w:val="24"/>
                <w:lang w:val="lv-LV"/>
              </w:rPr>
            </w:pPr>
            <w:r>
              <w:rPr>
                <w:color w:val="000000" w:themeColor="text1"/>
                <w:szCs w:val="24"/>
                <w:lang w:val="lv-LV"/>
              </w:rPr>
              <w:t>1</w:t>
            </w:r>
            <w:r w:rsidR="0062031C" w:rsidRPr="00BB322F">
              <w:rPr>
                <w:color w:val="000000" w:themeColor="text1"/>
                <w:szCs w:val="24"/>
                <w:lang w:val="lv-LV"/>
              </w:rPr>
              <w:t xml:space="preserve">) regulējamo sabiedrisko pakalpojumu licences nosacījumu vai vispārējās atļaujas noteikumu pārkāpšanu; </w:t>
            </w:r>
          </w:p>
          <w:p w14:paraId="682C0ED4" w14:textId="617AD727" w:rsidR="0062031C" w:rsidRDefault="00FD6609" w:rsidP="0062031C">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Cs w:val="24"/>
                <w:lang w:val="lv-LV"/>
              </w:rPr>
            </w:pPr>
            <w:r>
              <w:rPr>
                <w:color w:val="000000" w:themeColor="text1"/>
                <w:szCs w:val="24"/>
                <w:lang w:val="lv-LV"/>
              </w:rPr>
              <w:t>2</w:t>
            </w:r>
            <w:r w:rsidR="0062031C" w:rsidRPr="00BB322F">
              <w:rPr>
                <w:color w:val="000000" w:themeColor="text1"/>
                <w:szCs w:val="24"/>
                <w:lang w:val="lv-LV"/>
              </w:rPr>
              <w:t xml:space="preserve">) </w:t>
            </w:r>
            <w:r w:rsidR="00BB1FAA" w:rsidRPr="00BB322F">
              <w:rPr>
                <w:szCs w:val="24"/>
                <w:lang w:val="lv-LV"/>
              </w:rPr>
              <w:t>pienākuma vai prasību neizpildi attiecībā uz tarif</w:t>
            </w:r>
            <w:r w:rsidR="00D050C3">
              <w:rPr>
                <w:szCs w:val="24"/>
                <w:lang w:val="lv-LV"/>
              </w:rPr>
              <w:t>a</w:t>
            </w:r>
            <w:r w:rsidR="00BB1FAA" w:rsidRPr="00BB322F">
              <w:rPr>
                <w:szCs w:val="24"/>
                <w:lang w:val="lv-LV"/>
              </w:rPr>
              <w:t xml:space="preserve"> </w:t>
            </w:r>
            <w:r w:rsidR="006D38D7" w:rsidRPr="00BB322F">
              <w:rPr>
                <w:szCs w:val="24"/>
                <w:lang w:val="lv-LV"/>
              </w:rPr>
              <w:t>piemērošanu</w:t>
            </w:r>
            <w:r w:rsidR="006D08A6" w:rsidRPr="00BB322F">
              <w:rPr>
                <w:szCs w:val="24"/>
                <w:lang w:val="lv-LV"/>
              </w:rPr>
              <w:t xml:space="preserve"> vai tarifu projekta iesniegšanu.</w:t>
            </w:r>
          </w:p>
          <w:p w14:paraId="53640C01" w14:textId="409CDB8B" w:rsidR="007F1B4D" w:rsidRPr="00823624" w:rsidRDefault="00E34BF5" w:rsidP="00774854">
            <w:pPr>
              <w:ind w:firstLine="700"/>
              <w:jc w:val="both"/>
              <w:rPr>
                <w:rFonts w:cs="Times New Roman"/>
                <w:sz w:val="24"/>
                <w:szCs w:val="24"/>
              </w:rPr>
            </w:pPr>
            <w:r w:rsidRPr="00E12A44">
              <w:rPr>
                <w:rFonts w:cs="Times New Roman"/>
                <w:bCs/>
                <w:iCs/>
                <w:color w:val="000000" w:themeColor="text1"/>
                <w:sz w:val="24"/>
                <w:szCs w:val="24"/>
              </w:rPr>
              <w:t xml:space="preserve">Administratīvais sods </w:t>
            </w:r>
            <w:r w:rsidRPr="00E12A44">
              <w:rPr>
                <w:rFonts w:cs="Times New Roman"/>
                <w:sz w:val="24"/>
                <w:szCs w:val="24"/>
              </w:rPr>
              <w:t>par regulējamo sabiedrisko pakalpojumu licences nosacījumu vai vispārējās atļaujas noteikumu pārkāpšanu attieksies uz Likuma 16.panta pirmajā daļā un 18.</w:t>
            </w:r>
            <w:r w:rsidRPr="00E12A44">
              <w:rPr>
                <w:rFonts w:cs="Times New Roman"/>
                <w:sz w:val="24"/>
                <w:szCs w:val="24"/>
                <w:vertAlign w:val="superscript"/>
              </w:rPr>
              <w:t xml:space="preserve">1 </w:t>
            </w:r>
            <w:r w:rsidRPr="00E12A44">
              <w:rPr>
                <w:rFonts w:cs="Times New Roman"/>
                <w:sz w:val="24"/>
                <w:szCs w:val="24"/>
              </w:rPr>
              <w:t>panta otrajā daļā ietvertajiem nosacījumiem.</w:t>
            </w:r>
            <w:r>
              <w:rPr>
                <w:rFonts w:cs="Times New Roman"/>
                <w:sz w:val="24"/>
                <w:szCs w:val="24"/>
              </w:rPr>
              <w:t xml:space="preserve"> Licences nosacījumos ir noteikti konkrēti nosacījumi, kas katram sabiedrisko pakalpojumu sniedzējam jāievēro, jo licences esamība dod ne tikai tiesības sniegt regulējamo sabiedrisko pakalpojumu, bet arī nosaka pienākumus, kas ir obligāti ievērojami. Tieši tāpat arī vispārējās atļaujas nosacījumos ir noteikti obligātie pienākumi visiem attiecīgās nozares sabiedrisko pakalpojumu sniedzējiem. Ja kāds šos vispārējās atļaujas noteikumus neievēro, tas iegūst priekšrocības, jo var netērēt resursus, kas nepieciešami šo noteikumu ievērošanai. Piemēram, Regulatora 2014.gada 23.oktobra lēmuma Nr.1/14 </w:t>
            </w:r>
            <w:r w:rsidRPr="007B66ED">
              <w:rPr>
                <w:rFonts w:cs="Times New Roman"/>
                <w:sz w:val="24"/>
                <w:szCs w:val="24"/>
              </w:rPr>
              <w:t>“</w:t>
            </w:r>
            <w:r w:rsidRPr="00621CD3">
              <w:rPr>
                <w:rFonts w:cs="Times New Roman"/>
                <w:bCs/>
                <w:sz w:val="24"/>
                <w:szCs w:val="24"/>
              </w:rPr>
              <w:t>Vispārējās atļaujas, reģistrācijas un informācijas iesniegšanas noteikumi ūdenssaimniecības nozarē</w:t>
            </w:r>
            <w:r w:rsidRPr="007B66ED">
              <w:rPr>
                <w:rFonts w:cs="Times New Roman"/>
                <w:sz w:val="24"/>
                <w:szCs w:val="24"/>
              </w:rPr>
              <w:t xml:space="preserve">” 22.punkts noteic, ka </w:t>
            </w:r>
            <w:r w:rsidRPr="00621CD3">
              <w:rPr>
                <w:rFonts w:cs="Times New Roman"/>
                <w:sz w:val="24"/>
                <w:szCs w:val="24"/>
              </w:rPr>
              <w:t>ūdenssaimniecības pakalpojumu sniedzējam</w:t>
            </w:r>
            <w:r w:rsidRPr="00621CD3">
              <w:rPr>
                <w:rFonts w:cs="Times New Roman"/>
                <w:szCs w:val="24"/>
              </w:rPr>
              <w:t xml:space="preserve"> </w:t>
            </w:r>
            <w:r w:rsidRPr="00621CD3">
              <w:rPr>
                <w:rFonts w:cs="Times New Roman"/>
                <w:sz w:val="24"/>
                <w:szCs w:val="24"/>
              </w:rPr>
              <w:t>jānodrošina un jāuztur ūdenssaimniecības pakalpojumu sniegšanai nepieciešamie objekti.</w:t>
            </w:r>
            <w:r>
              <w:rPr>
                <w:rFonts w:cs="Times New Roman"/>
                <w:sz w:val="24"/>
                <w:szCs w:val="24"/>
              </w:rPr>
              <w:t xml:space="preserve"> Attiecīgi, ja </w:t>
            </w:r>
            <w:r>
              <w:rPr>
                <w:rFonts w:cs="Times New Roman"/>
                <w:sz w:val="24"/>
                <w:szCs w:val="24"/>
              </w:rPr>
              <w:lastRenderedPageBreak/>
              <w:t xml:space="preserve">ūdenssaimniecības pakalpojumu sniedzēji neuzturētu </w:t>
            </w:r>
            <w:r w:rsidRPr="000F343A">
              <w:rPr>
                <w:rFonts w:cs="Times New Roman"/>
                <w:sz w:val="24"/>
                <w:szCs w:val="24"/>
              </w:rPr>
              <w:t>ūdenssaimniecības pakalpojumu sniegšanai nepieciešam</w:t>
            </w:r>
            <w:r w:rsidR="00AE6E95">
              <w:rPr>
                <w:rFonts w:cs="Times New Roman"/>
                <w:sz w:val="24"/>
                <w:szCs w:val="24"/>
              </w:rPr>
              <w:t>os</w:t>
            </w:r>
            <w:r w:rsidRPr="000F343A">
              <w:rPr>
                <w:rFonts w:cs="Times New Roman"/>
                <w:sz w:val="24"/>
                <w:szCs w:val="24"/>
              </w:rPr>
              <w:t xml:space="preserve"> objekt</w:t>
            </w:r>
            <w:r>
              <w:rPr>
                <w:rFonts w:cs="Times New Roman"/>
                <w:sz w:val="24"/>
                <w:szCs w:val="24"/>
              </w:rPr>
              <w:t>us,</w:t>
            </w:r>
            <w:r w:rsidR="00214E11">
              <w:rPr>
                <w:rFonts w:cs="Times New Roman"/>
                <w:sz w:val="24"/>
                <w:szCs w:val="24"/>
              </w:rPr>
              <w:t xml:space="preserve"> lietotāji saņemtu nekvalitatīvus </w:t>
            </w:r>
            <w:proofErr w:type="spellStart"/>
            <w:r w:rsidR="009950F4">
              <w:rPr>
                <w:rFonts w:cs="Times New Roman"/>
                <w:sz w:val="24"/>
                <w:szCs w:val="24"/>
              </w:rPr>
              <w:t>ūdensaimniecības</w:t>
            </w:r>
            <w:proofErr w:type="spellEnd"/>
            <w:r w:rsidR="009950F4">
              <w:rPr>
                <w:rFonts w:cs="Times New Roman"/>
                <w:sz w:val="24"/>
                <w:szCs w:val="24"/>
              </w:rPr>
              <w:t xml:space="preserve"> pakalpojumus vai arī nesaņemtu tos vispār</w:t>
            </w:r>
            <w:r>
              <w:rPr>
                <w:rFonts w:cs="Times New Roman"/>
                <w:sz w:val="24"/>
                <w:szCs w:val="24"/>
              </w:rPr>
              <w:t>.</w:t>
            </w:r>
            <w:r w:rsidR="007F1B4D">
              <w:rPr>
                <w:rFonts w:cs="Times New Roman"/>
                <w:sz w:val="24"/>
                <w:szCs w:val="24"/>
              </w:rPr>
              <w:t xml:space="preserve"> Līdzīgs princips</w:t>
            </w:r>
            <w:r w:rsidR="00774854">
              <w:rPr>
                <w:rFonts w:cs="Times New Roman"/>
                <w:sz w:val="24"/>
                <w:szCs w:val="24"/>
              </w:rPr>
              <w:t>, kas noteic pienākumu nodrošināt un uzturēt siltumapgādes veikšanai</w:t>
            </w:r>
            <w:r w:rsidR="00084299">
              <w:rPr>
                <w:rFonts w:cs="Times New Roman"/>
                <w:sz w:val="24"/>
                <w:szCs w:val="24"/>
              </w:rPr>
              <w:t xml:space="preserve"> nepieciešamos objektus</w:t>
            </w:r>
            <w:r w:rsidR="00774854">
              <w:rPr>
                <w:rFonts w:cs="Times New Roman"/>
                <w:sz w:val="24"/>
                <w:szCs w:val="24"/>
              </w:rPr>
              <w:t xml:space="preserve"> – </w:t>
            </w:r>
            <w:r w:rsidR="007F1B4D">
              <w:rPr>
                <w:rFonts w:cs="Times New Roman"/>
                <w:sz w:val="24"/>
                <w:szCs w:val="24"/>
              </w:rPr>
              <w:t>attiecībā uz siltumenerģijas ražošanai nepieciešamo objektu uzturēšanu  siltumenerģijas ražotājam</w:t>
            </w:r>
            <w:r w:rsidR="00EF2A24">
              <w:rPr>
                <w:rFonts w:cs="Times New Roman"/>
                <w:sz w:val="24"/>
                <w:szCs w:val="24"/>
              </w:rPr>
              <w:t xml:space="preserve"> </w:t>
            </w:r>
            <w:r w:rsidR="006A497C">
              <w:rPr>
                <w:rFonts w:cs="Times New Roman"/>
                <w:sz w:val="24"/>
                <w:szCs w:val="24"/>
              </w:rPr>
              <w:t xml:space="preserve">izriet no </w:t>
            </w:r>
            <w:r w:rsidR="007F1B4D">
              <w:rPr>
                <w:rFonts w:cs="Times New Roman"/>
                <w:sz w:val="24"/>
                <w:szCs w:val="24"/>
              </w:rPr>
              <w:t>Regulatora 201</w:t>
            </w:r>
            <w:r w:rsidR="00772664">
              <w:rPr>
                <w:rFonts w:cs="Times New Roman"/>
                <w:sz w:val="24"/>
                <w:szCs w:val="24"/>
              </w:rPr>
              <w:t>9</w:t>
            </w:r>
            <w:r w:rsidR="007F1B4D">
              <w:rPr>
                <w:rFonts w:cs="Times New Roman"/>
                <w:sz w:val="24"/>
                <w:szCs w:val="24"/>
              </w:rPr>
              <w:t xml:space="preserve">.gada </w:t>
            </w:r>
            <w:r w:rsidR="00772664">
              <w:rPr>
                <w:rFonts w:cs="Times New Roman"/>
                <w:sz w:val="24"/>
                <w:szCs w:val="24"/>
              </w:rPr>
              <w:t>7</w:t>
            </w:r>
            <w:r w:rsidR="007F1B4D">
              <w:rPr>
                <w:rFonts w:cs="Times New Roman"/>
                <w:sz w:val="24"/>
                <w:szCs w:val="24"/>
              </w:rPr>
              <w:t>.</w:t>
            </w:r>
            <w:r w:rsidR="00772664">
              <w:rPr>
                <w:rFonts w:cs="Times New Roman"/>
                <w:sz w:val="24"/>
                <w:szCs w:val="24"/>
              </w:rPr>
              <w:t>marta</w:t>
            </w:r>
            <w:r w:rsidR="007F1B4D">
              <w:rPr>
                <w:rFonts w:cs="Times New Roman"/>
                <w:sz w:val="24"/>
                <w:szCs w:val="24"/>
              </w:rPr>
              <w:t xml:space="preserve"> lēmuma 1/3 “Vispārējās</w:t>
            </w:r>
            <w:r w:rsidR="00EF2A24">
              <w:rPr>
                <w:rFonts w:cs="Times New Roman"/>
                <w:sz w:val="24"/>
                <w:szCs w:val="24"/>
              </w:rPr>
              <w:t xml:space="preserve"> atļaujas </w:t>
            </w:r>
            <w:r w:rsidR="00772664">
              <w:rPr>
                <w:rFonts w:cs="Times New Roman"/>
                <w:sz w:val="24"/>
                <w:szCs w:val="24"/>
              </w:rPr>
              <w:t xml:space="preserve">un reģistrācijas </w:t>
            </w:r>
            <w:r w:rsidR="00EF2A24">
              <w:rPr>
                <w:rFonts w:cs="Times New Roman"/>
                <w:sz w:val="24"/>
                <w:szCs w:val="24"/>
              </w:rPr>
              <w:t>noteikumi enerģētikas nozarē</w:t>
            </w:r>
            <w:r w:rsidR="007F1B4D">
              <w:rPr>
                <w:rFonts w:cs="Times New Roman"/>
                <w:sz w:val="24"/>
                <w:szCs w:val="24"/>
              </w:rPr>
              <w:t>”</w:t>
            </w:r>
            <w:r w:rsidR="00EF2A24">
              <w:rPr>
                <w:rFonts w:cs="Times New Roman"/>
                <w:sz w:val="24"/>
                <w:szCs w:val="24"/>
              </w:rPr>
              <w:t xml:space="preserve"> </w:t>
            </w:r>
            <w:r w:rsidR="00772664">
              <w:rPr>
                <w:rFonts w:cs="Times New Roman"/>
                <w:sz w:val="24"/>
                <w:szCs w:val="24"/>
              </w:rPr>
              <w:t>30</w:t>
            </w:r>
            <w:r w:rsidR="00EF2A24">
              <w:rPr>
                <w:rFonts w:cs="Times New Roman"/>
                <w:sz w:val="24"/>
                <w:szCs w:val="24"/>
              </w:rPr>
              <w:t>.punkt</w:t>
            </w:r>
            <w:r w:rsidR="006A497C">
              <w:rPr>
                <w:rFonts w:cs="Times New Roman"/>
                <w:sz w:val="24"/>
                <w:szCs w:val="24"/>
              </w:rPr>
              <w:t>ā noteiktā</w:t>
            </w:r>
            <w:r w:rsidR="00084299">
              <w:rPr>
                <w:rFonts w:cs="Times New Roman"/>
                <w:sz w:val="24"/>
                <w:szCs w:val="24"/>
              </w:rPr>
              <w:t xml:space="preserve">, </w:t>
            </w:r>
            <w:r w:rsidR="006A497C">
              <w:rPr>
                <w:rFonts w:cs="Times New Roman"/>
                <w:sz w:val="24"/>
                <w:szCs w:val="24"/>
              </w:rPr>
              <w:t xml:space="preserve">savukārt, attiecībā uz siltumenerģijas pārvades un sadales pakalpojuma sniegšanai nepieciešamo objektu uzturēšanu </w:t>
            </w:r>
            <w:r w:rsidR="00084299">
              <w:rPr>
                <w:rFonts w:cs="Times New Roman"/>
                <w:sz w:val="24"/>
                <w:szCs w:val="24"/>
              </w:rPr>
              <w:t>komersantam,</w:t>
            </w:r>
            <w:r w:rsidR="006A497C">
              <w:rPr>
                <w:rFonts w:cs="Times New Roman"/>
                <w:sz w:val="24"/>
                <w:szCs w:val="24"/>
              </w:rPr>
              <w:t xml:space="preserve"> izriet no Enerģētikas likuma 8.panta 4.punkta un </w:t>
            </w:r>
            <w:r w:rsidR="00084299">
              <w:rPr>
                <w:rFonts w:cs="Times New Roman"/>
                <w:sz w:val="24"/>
                <w:szCs w:val="24"/>
              </w:rPr>
              <w:t>izsniegt</w:t>
            </w:r>
            <w:r w:rsidR="006A497C">
              <w:rPr>
                <w:rFonts w:cs="Times New Roman"/>
                <w:sz w:val="24"/>
                <w:szCs w:val="24"/>
              </w:rPr>
              <w:t>ās</w:t>
            </w:r>
            <w:r w:rsidR="00084299">
              <w:rPr>
                <w:rFonts w:cs="Times New Roman"/>
                <w:sz w:val="24"/>
                <w:szCs w:val="24"/>
              </w:rPr>
              <w:t xml:space="preserve"> licence</w:t>
            </w:r>
            <w:r w:rsidR="006A497C">
              <w:rPr>
                <w:rFonts w:cs="Times New Roman"/>
                <w:sz w:val="24"/>
                <w:szCs w:val="24"/>
              </w:rPr>
              <w:t>s</w:t>
            </w:r>
            <w:r w:rsidR="00084299">
              <w:rPr>
                <w:rFonts w:cs="Times New Roman"/>
                <w:sz w:val="24"/>
                <w:szCs w:val="24"/>
              </w:rPr>
              <w:t xml:space="preserve"> s</w:t>
            </w:r>
            <w:r w:rsidR="00F86106">
              <w:rPr>
                <w:rFonts w:cs="Times New Roman"/>
                <w:sz w:val="24"/>
                <w:szCs w:val="24"/>
              </w:rPr>
              <w:t>iltumenerģijas p</w:t>
            </w:r>
            <w:r w:rsidR="00774854">
              <w:rPr>
                <w:rFonts w:cs="Times New Roman"/>
                <w:sz w:val="24"/>
                <w:szCs w:val="24"/>
              </w:rPr>
              <w:t>ārvade</w:t>
            </w:r>
            <w:r w:rsidR="006A497C">
              <w:rPr>
                <w:rFonts w:cs="Times New Roman"/>
                <w:sz w:val="24"/>
                <w:szCs w:val="24"/>
              </w:rPr>
              <w:t>i</w:t>
            </w:r>
            <w:r w:rsidR="00774854">
              <w:rPr>
                <w:rFonts w:cs="Times New Roman"/>
                <w:sz w:val="24"/>
                <w:szCs w:val="24"/>
              </w:rPr>
              <w:t xml:space="preserve"> un sadale</w:t>
            </w:r>
            <w:r w:rsidR="006A497C">
              <w:rPr>
                <w:rFonts w:cs="Times New Roman"/>
                <w:sz w:val="24"/>
                <w:szCs w:val="24"/>
              </w:rPr>
              <w:t>i nosacījumiem.</w:t>
            </w:r>
            <w:r w:rsidR="00774854">
              <w:rPr>
                <w:rFonts w:cs="Times New Roman"/>
                <w:sz w:val="24"/>
                <w:szCs w:val="24"/>
              </w:rPr>
              <w:t xml:space="preserve"> </w:t>
            </w:r>
            <w:r w:rsidR="00C46F4B">
              <w:rPr>
                <w:rFonts w:cs="Times New Roman"/>
                <w:sz w:val="24"/>
                <w:szCs w:val="24"/>
              </w:rPr>
              <w:t xml:space="preserve">Līdz ar to arī siltumapgādē </w:t>
            </w:r>
            <w:r w:rsidR="00A165BB">
              <w:rPr>
                <w:rFonts w:cs="Times New Roman"/>
                <w:sz w:val="24"/>
                <w:szCs w:val="24"/>
              </w:rPr>
              <w:t xml:space="preserve">lietotāji var palikt bez siltumenerģijas </w:t>
            </w:r>
            <w:r w:rsidR="00C46F4B">
              <w:rPr>
                <w:rFonts w:cs="Times New Roman"/>
                <w:sz w:val="24"/>
                <w:szCs w:val="24"/>
              </w:rPr>
              <w:t>gadījumā, ja sabiedrisko pakalpojumu sniedzējs neievēro vispārējās atļaujas un licences nosacījumus.</w:t>
            </w:r>
          </w:p>
          <w:p w14:paraId="4F39CBA1" w14:textId="06682586" w:rsidR="00E34BF5" w:rsidRPr="00531948" w:rsidRDefault="00E34BF5" w:rsidP="00E34BF5">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Cs w:val="24"/>
                <w:lang w:val="lv-LV"/>
              </w:rPr>
            </w:pPr>
            <w:r w:rsidRPr="00232D01">
              <w:rPr>
                <w:bCs/>
                <w:iCs/>
                <w:color w:val="000000" w:themeColor="text1"/>
                <w:szCs w:val="24"/>
                <w:lang w:val="lv-LV"/>
              </w:rPr>
              <w:t xml:space="preserve">Administratīvais sods </w:t>
            </w:r>
            <w:r w:rsidRPr="00232D01">
              <w:rPr>
                <w:szCs w:val="24"/>
                <w:lang w:val="lv-LV"/>
              </w:rPr>
              <w:t>par pienākuma vai prasību neizpildi attiecībā uz tarif</w:t>
            </w:r>
            <w:r w:rsidR="00D050C3">
              <w:rPr>
                <w:szCs w:val="24"/>
                <w:lang w:val="lv-LV"/>
              </w:rPr>
              <w:t>a</w:t>
            </w:r>
            <w:r w:rsidRPr="00232D01">
              <w:rPr>
                <w:szCs w:val="24"/>
                <w:lang w:val="lv-LV"/>
              </w:rPr>
              <w:t xml:space="preserve"> piemērošanu vai tarifu projekta iesniegšanu attieksies uz Likuma 16.panta pirmajā daļā, 19.panta pirmajā daļā un 20.pantā  ietvertajiem nosacījumiem. </w:t>
            </w:r>
            <w:r w:rsidR="00E738D2" w:rsidRPr="00232D01">
              <w:rPr>
                <w:szCs w:val="24"/>
                <w:lang w:val="lv-LV"/>
              </w:rPr>
              <w:t>Likuma 1.pantā noteiktais mērķis ir nodrošināt iespēju saņemt nepārtrauktus, drošus un kvalitatīvus sabiedriskos pakalpojumus, kuru tarifi (cenas) atbilst ekonomiski pamatotām izmaksām, kā arī veicināt attīstību un ekonomiski pamatotu konkurenci regulējamās nozarēs. Likuma mērķi nav iespējams sasniegt, ja netiek izpildīti pienākumi vai prasības attiecībā uz tarif</w:t>
            </w:r>
            <w:r w:rsidR="00D050C3">
              <w:rPr>
                <w:szCs w:val="24"/>
                <w:lang w:val="lv-LV"/>
              </w:rPr>
              <w:t>a</w:t>
            </w:r>
            <w:r w:rsidR="00E738D2" w:rsidRPr="00232D01">
              <w:rPr>
                <w:szCs w:val="24"/>
                <w:lang w:val="lv-LV"/>
              </w:rPr>
              <w:t xml:space="preserve"> piemērošanu vai tarifu projekta iesniegšanu. </w:t>
            </w:r>
            <w:r w:rsidR="003E3A4C">
              <w:rPr>
                <w:szCs w:val="24"/>
                <w:lang w:val="lv-LV"/>
              </w:rPr>
              <w:t>N</w:t>
            </w:r>
            <w:r w:rsidRPr="00232D01">
              <w:rPr>
                <w:szCs w:val="24"/>
                <w:lang w:val="lv-LV"/>
              </w:rPr>
              <w:t>ormatīvajos aktos noteiktaj</w:t>
            </w:r>
            <w:r w:rsidR="003E3A4C">
              <w:rPr>
                <w:szCs w:val="24"/>
                <w:lang w:val="lv-LV"/>
              </w:rPr>
              <w:t>ā kārtībā neapstiprināt</w:t>
            </w:r>
            <w:r w:rsidR="00D050C3">
              <w:rPr>
                <w:szCs w:val="24"/>
                <w:lang w:val="lv-LV"/>
              </w:rPr>
              <w:t>a</w:t>
            </w:r>
            <w:r w:rsidR="003E3A4C">
              <w:rPr>
                <w:szCs w:val="24"/>
                <w:lang w:val="lv-LV"/>
              </w:rPr>
              <w:t xml:space="preserve"> tarif</w:t>
            </w:r>
            <w:r w:rsidR="00D050C3">
              <w:rPr>
                <w:szCs w:val="24"/>
                <w:lang w:val="lv-LV"/>
              </w:rPr>
              <w:t>a</w:t>
            </w:r>
            <w:r w:rsidR="003E3A4C">
              <w:rPr>
                <w:szCs w:val="24"/>
                <w:lang w:val="lv-LV"/>
              </w:rPr>
              <w:t xml:space="preserve"> piemērošana ir pretēja</w:t>
            </w:r>
            <w:r w:rsidRPr="00232D01">
              <w:rPr>
                <w:szCs w:val="24"/>
                <w:lang w:val="lv-LV"/>
              </w:rPr>
              <w:t xml:space="preserve"> </w:t>
            </w:r>
            <w:r w:rsidR="003E3A4C">
              <w:rPr>
                <w:szCs w:val="24"/>
                <w:lang w:val="lv-LV"/>
              </w:rPr>
              <w:t xml:space="preserve">lietotāju interesēm. </w:t>
            </w:r>
            <w:r w:rsidRPr="00232D01">
              <w:rPr>
                <w:szCs w:val="24"/>
                <w:lang w:val="lv-LV"/>
              </w:rPr>
              <w:t>Īpaši aktuāli tas ir regulējamo sabiedrisko pakalpojumu jomās, kurās ir neliels konkurentu skaits vai arī to nav vispār</w:t>
            </w:r>
            <w:r w:rsidR="00330BF9" w:rsidRPr="00232D01">
              <w:rPr>
                <w:szCs w:val="24"/>
                <w:lang w:val="lv-LV"/>
              </w:rPr>
              <w:t>, jo šādos gadījumos lietotājam nav iespējas izvēlēties citu sabiedrisko pakalpojumu sniedzēju</w:t>
            </w:r>
            <w:r w:rsidR="00A165BB">
              <w:rPr>
                <w:szCs w:val="24"/>
                <w:lang w:val="lv-LV"/>
              </w:rPr>
              <w:t>,</w:t>
            </w:r>
            <w:r w:rsidR="00330BF9" w:rsidRPr="00232D01">
              <w:rPr>
                <w:szCs w:val="24"/>
                <w:lang w:val="lv-LV"/>
              </w:rPr>
              <w:t xml:space="preserve"> un </w:t>
            </w:r>
            <w:r w:rsidR="001C77FA" w:rsidRPr="00232D01">
              <w:rPr>
                <w:szCs w:val="24"/>
                <w:lang w:val="lv-LV"/>
              </w:rPr>
              <w:t xml:space="preserve">lietotājs </w:t>
            </w:r>
            <w:r w:rsidR="00330BF9" w:rsidRPr="00232D01">
              <w:rPr>
                <w:szCs w:val="24"/>
                <w:lang w:val="lv-LV"/>
              </w:rPr>
              <w:t xml:space="preserve">ir spiests saņemt regulētos sabiedriskos pakalpojumus par </w:t>
            </w:r>
            <w:r w:rsidR="001C77FA" w:rsidRPr="00232D01">
              <w:rPr>
                <w:szCs w:val="24"/>
                <w:lang w:val="lv-LV"/>
              </w:rPr>
              <w:t xml:space="preserve">komersanta patvaļīgi noteiktām </w:t>
            </w:r>
            <w:r w:rsidR="00330BF9" w:rsidRPr="00232D01">
              <w:rPr>
                <w:szCs w:val="24"/>
                <w:lang w:val="lv-LV"/>
              </w:rPr>
              <w:t>cenām</w:t>
            </w:r>
            <w:r w:rsidRPr="00232D01">
              <w:rPr>
                <w:szCs w:val="24"/>
                <w:lang w:val="lv-LV"/>
              </w:rPr>
              <w:t xml:space="preserve">. </w:t>
            </w:r>
            <w:r w:rsidR="004A67FF" w:rsidRPr="00232D01">
              <w:rPr>
                <w:szCs w:val="24"/>
                <w:lang w:val="lv-LV"/>
              </w:rPr>
              <w:t>Papildu ienākumu apjoms, ko sabiedrisko pakalpojumu sniedzējs gū</w:t>
            </w:r>
            <w:r w:rsidR="00E738D2" w:rsidRPr="00232D01">
              <w:rPr>
                <w:szCs w:val="24"/>
                <w:lang w:val="lv-LV"/>
              </w:rPr>
              <w:t>tu,</w:t>
            </w:r>
            <w:r w:rsidR="004A67FF" w:rsidRPr="00232D01">
              <w:rPr>
                <w:szCs w:val="24"/>
                <w:lang w:val="lv-LV"/>
              </w:rPr>
              <w:t xml:space="preserve"> neizpildot pienākumus un prasības attiecībā uz tarif</w:t>
            </w:r>
            <w:r w:rsidR="00D050C3">
              <w:rPr>
                <w:szCs w:val="24"/>
                <w:lang w:val="lv-LV"/>
              </w:rPr>
              <w:t>a</w:t>
            </w:r>
            <w:r w:rsidR="004A67FF" w:rsidRPr="00232D01">
              <w:rPr>
                <w:szCs w:val="24"/>
                <w:lang w:val="lv-LV"/>
              </w:rPr>
              <w:t xml:space="preserve"> piemērošanu vai tarifu projekta iesniegšanu</w:t>
            </w:r>
            <w:r w:rsidR="00E738D2" w:rsidRPr="00232D01">
              <w:rPr>
                <w:szCs w:val="24"/>
                <w:lang w:val="lv-LV"/>
              </w:rPr>
              <w:t>,</w:t>
            </w:r>
            <w:r w:rsidR="004A67FF" w:rsidRPr="00232D01">
              <w:rPr>
                <w:szCs w:val="24"/>
                <w:lang w:val="lv-LV"/>
              </w:rPr>
              <w:t xml:space="preserve"> var krietni pārsniegt</w:t>
            </w:r>
            <w:r w:rsidR="00E738D2" w:rsidRPr="00232D01">
              <w:rPr>
                <w:szCs w:val="24"/>
                <w:lang w:val="lv-LV"/>
              </w:rPr>
              <w:t xml:space="preserve"> A</w:t>
            </w:r>
            <w:r w:rsidR="00F074D6" w:rsidRPr="00232D01">
              <w:rPr>
                <w:szCs w:val="24"/>
                <w:lang w:val="lv-LV"/>
              </w:rPr>
              <w:t>A</w:t>
            </w:r>
            <w:r w:rsidR="00E738D2" w:rsidRPr="00232D01">
              <w:rPr>
                <w:szCs w:val="24"/>
                <w:lang w:val="lv-LV"/>
              </w:rPr>
              <w:t>L 16.panta ceturtajā daļā noteikto maksimālo naudas sodu</w:t>
            </w:r>
            <w:r w:rsidR="00FF0E9F" w:rsidRPr="00232D01">
              <w:rPr>
                <w:szCs w:val="24"/>
                <w:lang w:val="lv-LV"/>
              </w:rPr>
              <w:t>.</w:t>
            </w:r>
            <w:r w:rsidR="00E738D2" w:rsidRPr="00232D01">
              <w:rPr>
                <w:szCs w:val="24"/>
                <w:lang w:val="lv-LV"/>
              </w:rPr>
              <w:t xml:space="preserve"> </w:t>
            </w:r>
            <w:r w:rsidRPr="00531948">
              <w:rPr>
                <w:szCs w:val="24"/>
                <w:lang w:val="lv-LV"/>
              </w:rPr>
              <w:t xml:space="preserve">Attiecībā </w:t>
            </w:r>
            <w:r w:rsidR="00F074D6" w:rsidRPr="00531948">
              <w:rPr>
                <w:szCs w:val="24"/>
                <w:lang w:val="lv-LV"/>
              </w:rPr>
              <w:t>p</w:t>
            </w:r>
            <w:r w:rsidRPr="00531948">
              <w:rPr>
                <w:szCs w:val="24"/>
                <w:lang w:val="lv-LV"/>
              </w:rPr>
              <w:t>ar tarifu projekt</w:t>
            </w:r>
            <w:r w:rsidR="00D050C3">
              <w:rPr>
                <w:szCs w:val="24"/>
                <w:lang w:val="lv-LV"/>
              </w:rPr>
              <w:t>a</w:t>
            </w:r>
            <w:r w:rsidRPr="00531948">
              <w:rPr>
                <w:szCs w:val="24"/>
                <w:lang w:val="lv-LV"/>
              </w:rPr>
              <w:t xml:space="preserve"> </w:t>
            </w:r>
            <w:r w:rsidR="00EE2E74" w:rsidRPr="00531948">
              <w:rPr>
                <w:szCs w:val="24"/>
                <w:lang w:val="lv-LV"/>
              </w:rPr>
              <w:t>iesniegšanu sabiedrisko</w:t>
            </w:r>
            <w:r w:rsidR="00F074D6" w:rsidRPr="00531948">
              <w:rPr>
                <w:szCs w:val="24"/>
                <w:lang w:val="lv-LV"/>
              </w:rPr>
              <w:t xml:space="preserve"> pakalpojumu sniedzēji nav ieinteresēti iesniegt jaunus tarifu projektus, kas paredz tarifu samazinājumu, kas savukārt noved pie </w:t>
            </w:r>
            <w:r w:rsidR="003E3A4C">
              <w:rPr>
                <w:szCs w:val="24"/>
                <w:lang w:val="lv-LV"/>
              </w:rPr>
              <w:t>lietotāju interešu aizskāruma.</w:t>
            </w:r>
            <w:r w:rsidR="00F074D6" w:rsidRPr="00531948">
              <w:rPr>
                <w:szCs w:val="24"/>
                <w:lang w:val="lv-LV"/>
              </w:rPr>
              <w:t xml:space="preserve"> </w:t>
            </w:r>
          </w:p>
          <w:p w14:paraId="7745B235" w14:textId="03260D2D" w:rsidR="007C29F7" w:rsidRPr="00BB322F" w:rsidRDefault="008808F6" w:rsidP="00E34BF5">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Cs w:val="24"/>
                <w:lang w:val="lv-LV"/>
              </w:rPr>
            </w:pPr>
            <w:r w:rsidRPr="00D556B1">
              <w:rPr>
                <w:lang w:val="lv-LV"/>
              </w:rPr>
              <w:t xml:space="preserve">Pieļaujot </w:t>
            </w:r>
            <w:r w:rsidR="003B2185">
              <w:rPr>
                <w:lang w:val="lv-LV"/>
              </w:rPr>
              <w:t>iepriekš minētos</w:t>
            </w:r>
            <w:r w:rsidRPr="00D556B1">
              <w:rPr>
                <w:lang w:val="lv-LV"/>
              </w:rPr>
              <w:t xml:space="preserve"> pārkāpumus</w:t>
            </w:r>
            <w:r w:rsidR="00D050C3">
              <w:rPr>
                <w:lang w:val="lv-LV"/>
              </w:rPr>
              <w:t>,</w:t>
            </w:r>
            <w:r w:rsidRPr="00D556B1">
              <w:rPr>
                <w:lang w:val="lv-LV"/>
              </w:rPr>
              <w:t xml:space="preserve"> sabiedrisko pakalpojumu sniedzēji varētu radīt </w:t>
            </w:r>
            <w:r w:rsidR="003801F2">
              <w:rPr>
                <w:lang w:val="lv-LV"/>
              </w:rPr>
              <w:t xml:space="preserve">gan </w:t>
            </w:r>
            <w:r w:rsidR="00FF0E9F">
              <w:rPr>
                <w:lang w:val="lv-LV"/>
              </w:rPr>
              <w:t xml:space="preserve">būtiskus </w:t>
            </w:r>
            <w:r w:rsidRPr="00D556B1">
              <w:rPr>
                <w:lang w:val="lv-LV"/>
              </w:rPr>
              <w:t xml:space="preserve">zaudējumus, </w:t>
            </w:r>
            <w:r w:rsidR="003801F2">
              <w:rPr>
                <w:lang w:val="lv-LV"/>
              </w:rPr>
              <w:t xml:space="preserve">gan arī </w:t>
            </w:r>
            <w:proofErr w:type="spellStart"/>
            <w:r w:rsidR="003801F2">
              <w:rPr>
                <w:lang w:val="lv-LV"/>
              </w:rPr>
              <w:t>priekšorcības</w:t>
            </w:r>
            <w:proofErr w:type="spellEnd"/>
            <w:r w:rsidR="003801F2">
              <w:rPr>
                <w:lang w:val="lv-LV"/>
              </w:rPr>
              <w:t xml:space="preserve">, </w:t>
            </w:r>
            <w:r w:rsidRPr="00D556B1">
              <w:rPr>
                <w:lang w:val="lv-LV"/>
              </w:rPr>
              <w:t xml:space="preserve">līdz ar to administratīvajam sodam ir jābūt </w:t>
            </w:r>
            <w:r w:rsidR="00FF0E9F">
              <w:rPr>
                <w:lang w:val="lv-LV"/>
              </w:rPr>
              <w:t xml:space="preserve">pietiekami </w:t>
            </w:r>
            <w:r w:rsidRPr="00D556B1">
              <w:rPr>
                <w:lang w:val="lv-LV"/>
              </w:rPr>
              <w:t>efektīvam, lai atturētu sabiedrisko pakalpojumu sniedzējus no šādu a</w:t>
            </w:r>
            <w:r w:rsidR="004A67FF">
              <w:rPr>
                <w:lang w:val="lv-LV"/>
              </w:rPr>
              <w:t>d</w:t>
            </w:r>
            <w:r w:rsidRPr="00D556B1">
              <w:rPr>
                <w:lang w:val="lv-LV"/>
              </w:rPr>
              <w:t xml:space="preserve">ministratīvo pārkāpumu pieļaušanas. No pieļautajiem pārkāpumiem ciestu arī lietotāji un viens no Likuma mērķiem ir nodrošināt lietotāju interešu aizstāvību. Nosakot naudas soda apmēru par iepriekš minētajiem pārkāpumiem līdz 10% no </w:t>
            </w:r>
            <w:r w:rsidR="002277B2">
              <w:rPr>
                <w:lang w:val="lv-LV"/>
              </w:rPr>
              <w:t xml:space="preserve">juridiskās personas </w:t>
            </w:r>
            <w:r w:rsidRPr="00D556B1">
              <w:rPr>
                <w:lang w:val="lv-LV"/>
              </w:rPr>
              <w:t>iepriekšējā pārskata gada neto apgrozījuma attiecīgajā regulējamā nozarē tiks nodrošināta arī preventīvā funkcija, tādejādi atturot</w:t>
            </w:r>
            <w:r w:rsidR="00E724F7">
              <w:rPr>
                <w:lang w:val="lv-LV"/>
              </w:rPr>
              <w:t xml:space="preserve"> </w:t>
            </w:r>
            <w:r w:rsidRPr="00D556B1">
              <w:rPr>
                <w:lang w:val="lv-LV"/>
              </w:rPr>
              <w:t>sabiedrisko pakalpojumu sniedzējus no administratīvo pārkāpumu veikšanas.</w:t>
            </w:r>
            <w:r w:rsidR="00800C1D">
              <w:rPr>
                <w:lang w:val="lv-LV"/>
              </w:rPr>
              <w:t xml:space="preserve"> </w:t>
            </w:r>
            <w:r w:rsidR="00800C1D">
              <w:rPr>
                <w:lang w:val="lv-LV"/>
              </w:rPr>
              <w:lastRenderedPageBreak/>
              <w:t xml:space="preserve">Vienlaicīgi arī Eiropas Savienības normatīvajos aktos ir noteikts, ka </w:t>
            </w:r>
            <w:r w:rsidR="00800C1D" w:rsidRPr="000509D0">
              <w:rPr>
                <w:color w:val="000000" w:themeColor="text1"/>
                <w:szCs w:val="24"/>
                <w:lang w:val="lv-LV"/>
              </w:rPr>
              <w:t xml:space="preserve">sankcijām par pārkāpumiem ir jābūt iedarbīgām, samērīgām un atturošām. </w:t>
            </w:r>
          </w:p>
          <w:p w14:paraId="72F0C849" w14:textId="670BFD67" w:rsidR="0062031C" w:rsidRPr="00BB322F" w:rsidRDefault="0062031C">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00"/>
              <w:rPr>
                <w:szCs w:val="24"/>
                <w:lang w:val="lv-LV" w:eastAsia="lv-LV"/>
              </w:rPr>
            </w:pPr>
          </w:p>
          <w:p w14:paraId="1A4096DA" w14:textId="5B814F4E" w:rsidR="00DE240B" w:rsidRPr="00BB322F" w:rsidRDefault="0062031C" w:rsidP="00D15A09">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696"/>
              <w:rPr>
                <w:szCs w:val="24"/>
                <w:lang w:val="lv-LV" w:eastAsia="lv-LV"/>
              </w:rPr>
            </w:pPr>
            <w:r w:rsidRPr="00BB322F">
              <w:rPr>
                <w:szCs w:val="24"/>
                <w:lang w:val="lv-LV" w:eastAsia="lv-LV"/>
              </w:rPr>
              <w:t xml:space="preserve">Procentuālais sods no </w:t>
            </w:r>
            <w:r w:rsidR="002277B2">
              <w:rPr>
                <w:szCs w:val="24"/>
                <w:lang w:val="lv-LV" w:eastAsia="lv-LV"/>
              </w:rPr>
              <w:t xml:space="preserve">juridiskās personas </w:t>
            </w:r>
            <w:r w:rsidR="0048092D" w:rsidRPr="00BB322F">
              <w:rPr>
                <w:szCs w:val="24"/>
                <w:lang w:val="lv-LV" w:eastAsia="lv-LV"/>
              </w:rPr>
              <w:t xml:space="preserve">iepriekšējā </w:t>
            </w:r>
            <w:r w:rsidRPr="00BB322F">
              <w:rPr>
                <w:szCs w:val="24"/>
                <w:lang w:val="lv-LV" w:eastAsia="lv-LV"/>
              </w:rPr>
              <w:t>pārskata gada neto apgrozījuma</w:t>
            </w:r>
            <w:r w:rsidR="006D38D7" w:rsidRPr="00BB322F">
              <w:rPr>
                <w:szCs w:val="24"/>
                <w:lang w:val="lv-LV" w:eastAsia="lv-LV"/>
              </w:rPr>
              <w:t xml:space="preserve"> attiecīgajā regulējamā nozarē</w:t>
            </w:r>
            <w:r w:rsidRPr="00BB322F">
              <w:rPr>
                <w:szCs w:val="24"/>
                <w:lang w:val="lv-LV" w:eastAsia="lv-LV"/>
              </w:rPr>
              <w:t xml:space="preserve"> nosakāms</w:t>
            </w:r>
            <w:r w:rsidR="00221DB9">
              <w:rPr>
                <w:szCs w:val="24"/>
                <w:lang w:val="lv-LV" w:eastAsia="lv-LV"/>
              </w:rPr>
              <w:t>,</w:t>
            </w:r>
            <w:r w:rsidRPr="00BB322F">
              <w:rPr>
                <w:szCs w:val="24"/>
                <w:lang w:val="lv-LV" w:eastAsia="lv-LV"/>
              </w:rPr>
              <w:t xml:space="preserve"> nepārsniedzot </w:t>
            </w:r>
            <w:r w:rsidR="00155C88">
              <w:rPr>
                <w:szCs w:val="24"/>
                <w:lang w:val="lv-LV" w:eastAsia="lv-LV"/>
              </w:rPr>
              <w:t>10</w:t>
            </w:r>
            <w:r w:rsidRPr="00BB322F">
              <w:rPr>
                <w:szCs w:val="24"/>
                <w:lang w:val="lv-LV" w:eastAsia="lv-LV"/>
              </w:rPr>
              <w:t xml:space="preserve"> procentus no</w:t>
            </w:r>
            <w:r w:rsidR="0048092D" w:rsidRPr="00BB322F">
              <w:rPr>
                <w:szCs w:val="24"/>
                <w:lang w:val="lv-LV" w:eastAsia="lv-LV"/>
              </w:rPr>
              <w:t xml:space="preserve"> iepriekšējā</w:t>
            </w:r>
            <w:r w:rsidRPr="00BB322F">
              <w:rPr>
                <w:szCs w:val="24"/>
                <w:lang w:val="lv-LV" w:eastAsia="lv-LV"/>
              </w:rPr>
              <w:t xml:space="preserve"> pārskata gada neto apgrozījuma</w:t>
            </w:r>
            <w:r w:rsidR="002277B2" w:rsidRPr="00BB322F">
              <w:rPr>
                <w:szCs w:val="24"/>
                <w:lang w:val="lv-LV" w:eastAsia="lv-LV"/>
              </w:rPr>
              <w:t xml:space="preserve"> attiecīgajā regulējamā nozarē</w:t>
            </w:r>
            <w:r w:rsidRPr="00BB322F">
              <w:rPr>
                <w:szCs w:val="24"/>
                <w:lang w:val="lv-LV" w:eastAsia="lv-LV"/>
              </w:rPr>
              <w:t>.</w:t>
            </w:r>
          </w:p>
          <w:p w14:paraId="3AE7E643" w14:textId="64D80324" w:rsidR="001646EA" w:rsidRPr="00BB322F" w:rsidRDefault="001646EA" w:rsidP="001646EA">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00"/>
              <w:rPr>
                <w:szCs w:val="24"/>
                <w:lang w:val="lv-LV" w:eastAsia="lv-LV"/>
              </w:rPr>
            </w:pPr>
            <w:r w:rsidRPr="00BB322F">
              <w:rPr>
                <w:szCs w:val="24"/>
                <w:lang w:val="lv-LV"/>
              </w:rPr>
              <w:t xml:space="preserve">Nosakot naudas </w:t>
            </w:r>
            <w:r w:rsidR="00FF0E9F">
              <w:rPr>
                <w:szCs w:val="24"/>
                <w:lang w:val="lv-LV"/>
              </w:rPr>
              <w:t xml:space="preserve">soda </w:t>
            </w:r>
            <w:r w:rsidRPr="00BB322F">
              <w:rPr>
                <w:szCs w:val="24"/>
                <w:lang w:val="lv-LV"/>
              </w:rPr>
              <w:t>apmēru</w:t>
            </w:r>
            <w:r w:rsidR="00221DB9">
              <w:rPr>
                <w:szCs w:val="24"/>
                <w:lang w:val="lv-LV"/>
              </w:rPr>
              <w:t>,</w:t>
            </w:r>
            <w:r w:rsidRPr="00BB322F">
              <w:rPr>
                <w:szCs w:val="24"/>
                <w:lang w:val="lv-LV"/>
              </w:rPr>
              <w:t xml:space="preserve"> tiks vērtētas pārkāpuma radītās sekas, atspoguļojot izdarītā pārkāpuma smagumu, lietotājiem nodarīto kaitējumu un </w:t>
            </w:r>
            <w:r w:rsidR="0062031C" w:rsidRPr="00BB322F">
              <w:rPr>
                <w:szCs w:val="24"/>
                <w:lang w:val="lv-LV"/>
              </w:rPr>
              <w:t>iespējamos komersanta ieguvumus, l</w:t>
            </w:r>
            <w:r w:rsidRPr="00BB322F">
              <w:rPr>
                <w:szCs w:val="24"/>
                <w:lang w:val="lv-LV"/>
              </w:rPr>
              <w:t>ai sods būtu efektīvs un samērīgs ar ieguvumu, kādu komersants varētu gūt vai ieguvis, pārkāpjot regulēto nozaru normatīvo aktu prasības. Nosakot naudas sodu</w:t>
            </w:r>
            <w:r w:rsidR="009A6E2E" w:rsidRPr="00BB322F">
              <w:rPr>
                <w:szCs w:val="24"/>
                <w:lang w:val="lv-LV"/>
              </w:rPr>
              <w:t>,</w:t>
            </w:r>
            <w:r w:rsidRPr="00BB322F">
              <w:rPr>
                <w:szCs w:val="24"/>
                <w:lang w:val="lv-LV"/>
              </w:rPr>
              <w:t xml:space="preserve"> Regulators tostarp vērtēs pārkāpumu un pārkāpēja veiktās darbības, kā arī konstatēto sabiedrības (lietotāju, valsts, citu sabiedrisko pakalpojumu sniedzēju) interešu aizskārumu. </w:t>
            </w:r>
          </w:p>
          <w:p w14:paraId="6D79739A" w14:textId="30904FAB" w:rsidR="00335AC0" w:rsidRPr="00BB322F" w:rsidRDefault="001646EA" w:rsidP="00373A0C">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00"/>
              <w:rPr>
                <w:szCs w:val="24"/>
                <w:lang w:val="lv-LV"/>
              </w:rPr>
            </w:pPr>
            <w:r w:rsidRPr="00BB322F">
              <w:rPr>
                <w:szCs w:val="24"/>
                <w:lang w:val="lv-LV"/>
              </w:rPr>
              <w:t xml:space="preserve"> </w:t>
            </w:r>
            <w:r w:rsidR="00F074D6" w:rsidRPr="00BB322F">
              <w:rPr>
                <w:szCs w:val="24"/>
                <w:lang w:val="lv-LV"/>
              </w:rPr>
              <w:t>A</w:t>
            </w:r>
            <w:r w:rsidR="00F074D6">
              <w:rPr>
                <w:szCs w:val="24"/>
                <w:lang w:val="lv-LV"/>
              </w:rPr>
              <w:t>A</w:t>
            </w:r>
            <w:r w:rsidR="00F074D6" w:rsidRPr="00BB322F">
              <w:rPr>
                <w:szCs w:val="24"/>
                <w:lang w:val="lv-LV"/>
              </w:rPr>
              <w:t xml:space="preserve">L </w:t>
            </w:r>
            <w:r w:rsidR="00373A0C" w:rsidRPr="00BB322F">
              <w:rPr>
                <w:szCs w:val="24"/>
                <w:lang w:val="lv-LV"/>
              </w:rPr>
              <w:t>1</w:t>
            </w:r>
            <w:r w:rsidR="006D08A6" w:rsidRPr="00BB322F">
              <w:rPr>
                <w:szCs w:val="24"/>
                <w:lang w:val="lv-LV"/>
              </w:rPr>
              <w:t>3</w:t>
            </w:r>
            <w:r w:rsidR="00373A0C" w:rsidRPr="00BB322F">
              <w:rPr>
                <w:szCs w:val="24"/>
                <w:lang w:val="lv-LV"/>
              </w:rPr>
              <w:t>.pantā noteikts, ka administratīvais sods ir ietekmēšanas līdzeklis, kas tiek piemērots administratīvo pārkāpumu izdarījušajai personai, lai aizsargātu sabiedrisko kārtību, atjaunotu taisnīgumu, sodītu par izdarīto pārkāpumu, kā arī atturētu administratīvo pārkāpumu izdarījušo personu un citas personas no turpmākas administratīvo pārkāpumu izdarīšanas.</w:t>
            </w:r>
            <w:r w:rsidR="003331A4" w:rsidRPr="00BB322F">
              <w:rPr>
                <w:szCs w:val="24"/>
                <w:lang w:val="lv-LV" w:eastAsia="lv-LV"/>
              </w:rPr>
              <w:t xml:space="preserve"> </w:t>
            </w:r>
          </w:p>
          <w:p w14:paraId="390704FD" w14:textId="65D41FA8" w:rsidR="006D38D7" w:rsidRPr="00BB322F" w:rsidRDefault="006D38D7" w:rsidP="00FB51D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0"/>
              <w:rPr>
                <w:szCs w:val="24"/>
                <w:lang w:val="lv-LV"/>
              </w:rPr>
            </w:pPr>
            <w:r w:rsidRPr="00BB322F">
              <w:rPr>
                <w:szCs w:val="24"/>
                <w:lang w:val="lv-LV"/>
              </w:rPr>
              <w:t xml:space="preserve">Naudas soda apmērs, kurš noteikts procentuāli no </w:t>
            </w:r>
            <w:r w:rsidR="002277B2">
              <w:rPr>
                <w:szCs w:val="24"/>
                <w:lang w:val="lv-LV"/>
              </w:rPr>
              <w:t xml:space="preserve">juridiskās personas </w:t>
            </w:r>
            <w:r w:rsidR="0048092D" w:rsidRPr="00BB322F">
              <w:rPr>
                <w:szCs w:val="24"/>
                <w:lang w:val="lv-LV"/>
              </w:rPr>
              <w:t xml:space="preserve">iepriekšējā </w:t>
            </w:r>
            <w:r w:rsidRPr="00BB322F">
              <w:rPr>
                <w:szCs w:val="24"/>
                <w:lang w:val="lv-LV"/>
              </w:rPr>
              <w:t>pārskata gada neto apgrozījuma attiecīgajā regulējamā nozarē, tiks piemērots gadījumos, kad izdarītais pārkāpums būs ietekmējis lietotāju tiesības saņemt regulētus sabiedriskos pakalpojumus.</w:t>
            </w:r>
          </w:p>
          <w:p w14:paraId="1EB8955E" w14:textId="2A64E7C3" w:rsidR="00DE240B" w:rsidRPr="00BB322F" w:rsidRDefault="00525642" w:rsidP="006D4338">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Cs w:val="24"/>
                <w:lang w:val="lv-LV"/>
              </w:rPr>
            </w:pPr>
            <w:r w:rsidRPr="00BB322F">
              <w:rPr>
                <w:szCs w:val="24"/>
                <w:lang w:val="lv-LV"/>
              </w:rPr>
              <w:t>Ja</w:t>
            </w:r>
            <w:r w:rsidR="00F033A9">
              <w:rPr>
                <w:szCs w:val="24"/>
                <w:lang w:val="lv-LV"/>
              </w:rPr>
              <w:t>,</w:t>
            </w:r>
            <w:r w:rsidRPr="00BB322F">
              <w:rPr>
                <w:szCs w:val="24"/>
                <w:lang w:val="lv-LV"/>
              </w:rPr>
              <w:t xml:space="preserve"> izvērtējot veikto pārkāpumu</w:t>
            </w:r>
            <w:r w:rsidR="00F033A9">
              <w:rPr>
                <w:szCs w:val="24"/>
                <w:lang w:val="lv-LV"/>
              </w:rPr>
              <w:t>,</w:t>
            </w:r>
            <w:r w:rsidRPr="00BB322F">
              <w:rPr>
                <w:szCs w:val="24"/>
                <w:lang w:val="lv-LV"/>
              </w:rPr>
              <w:t xml:space="preserve"> tiek konstatēts, ka pārkāpums ietekmējis regulējamā sabiedriskā pakalpojuma nepārtrauktību, drošību</w:t>
            </w:r>
            <w:r w:rsidR="006573B1">
              <w:rPr>
                <w:szCs w:val="24"/>
                <w:lang w:val="lv-LV"/>
              </w:rPr>
              <w:t>,</w:t>
            </w:r>
            <w:r w:rsidRPr="00BB322F">
              <w:rPr>
                <w:szCs w:val="24"/>
                <w:lang w:val="lv-LV"/>
              </w:rPr>
              <w:t xml:space="preserve"> kvalitāti</w:t>
            </w:r>
            <w:r w:rsidR="006573B1">
              <w:rPr>
                <w:szCs w:val="24"/>
                <w:lang w:val="lv-LV"/>
              </w:rPr>
              <w:t xml:space="preserve"> vai tarif</w:t>
            </w:r>
            <w:r w:rsidR="00B116A5">
              <w:rPr>
                <w:szCs w:val="24"/>
                <w:lang w:val="lv-LV"/>
              </w:rPr>
              <w:t>a</w:t>
            </w:r>
            <w:r w:rsidR="006573B1">
              <w:rPr>
                <w:szCs w:val="24"/>
                <w:lang w:val="lv-LV"/>
              </w:rPr>
              <w:t xml:space="preserve"> (cenas) atbilstību normatīvajos aktos noteiktajam</w:t>
            </w:r>
            <w:r w:rsidRPr="00BB322F">
              <w:rPr>
                <w:szCs w:val="24"/>
                <w:lang w:val="lv-LV"/>
              </w:rPr>
              <w:t xml:space="preserve">, uzskatāms, ka </w:t>
            </w:r>
            <w:r w:rsidR="006D38D7" w:rsidRPr="00BB322F">
              <w:rPr>
                <w:szCs w:val="24"/>
                <w:lang w:val="lv-LV"/>
              </w:rPr>
              <w:t>komersants ar veikto pārkāpumu ir ietekmējis lietotāju tiesības saņemt regulētus sabiedriskos pakalpojumus.</w:t>
            </w:r>
            <w:r w:rsidR="00F67F7D">
              <w:rPr>
                <w:szCs w:val="24"/>
                <w:lang w:val="lv-LV"/>
              </w:rPr>
              <w:t xml:space="preserve"> </w:t>
            </w:r>
            <w:r w:rsidR="000D276E">
              <w:rPr>
                <w:szCs w:val="24"/>
                <w:lang w:val="lv-LV"/>
              </w:rPr>
              <w:t>Viena no Regulatora funkcijām ir aizstāvēt lietotāju intereses. Gadījumā, ja komersanta pieļautais pārkāpums ietekmētu lietotāju tiesības saņemt regulētus sabiedriskos pakalpojumus, Regulators piemērotu administratīvo sodu, tādējādi vienlaicīgi aizstāvot arī lietotāju intereses.</w:t>
            </w:r>
          </w:p>
          <w:p w14:paraId="63BE5938" w14:textId="0F96DF92" w:rsidR="007B3CBA" w:rsidRPr="007B3CBA" w:rsidRDefault="007B3CBA" w:rsidP="007B3CBA">
            <w:pPr>
              <w:pStyle w:val="ListParagraph"/>
              <w:spacing w:after="160" w:line="252" w:lineRule="auto"/>
              <w:ind w:left="0" w:firstLine="652"/>
              <w:jc w:val="both"/>
              <w:rPr>
                <w:rFonts w:ascii="Times New Roman" w:hAnsi="Times New Roman" w:cs="Times New Roman"/>
                <w:sz w:val="24"/>
                <w:szCs w:val="24"/>
              </w:rPr>
            </w:pPr>
            <w:r w:rsidRPr="007B3CBA">
              <w:rPr>
                <w:rFonts w:ascii="Times New Roman" w:hAnsi="Times New Roman" w:cs="Times New Roman"/>
                <w:color w:val="000000" w:themeColor="text1"/>
                <w:sz w:val="24"/>
                <w:szCs w:val="24"/>
              </w:rPr>
              <w:t xml:space="preserve">Nosacījumi, kādi piemērojami, nosakot procentuālo naudas sodu, tiks iekļauti Regulatora vadlīnijās par administratīvo pārkāpumu lietu izskatīšanu. </w:t>
            </w:r>
            <w:bookmarkStart w:id="6" w:name="_Hlk484526232"/>
            <w:r w:rsidRPr="007B3CBA">
              <w:rPr>
                <w:rFonts w:ascii="Times New Roman" w:hAnsi="Times New Roman" w:cs="Times New Roman"/>
                <w:sz w:val="24"/>
                <w:szCs w:val="24"/>
              </w:rPr>
              <w:t xml:space="preserve">Nosakot naudas soda apmēru procentuāli no juridiskās personas iepriekšējā pārskata gada neto apgrozījuma attiecīgajā regulējamā nozarē, </w:t>
            </w:r>
            <w:r>
              <w:rPr>
                <w:rFonts w:ascii="Times New Roman" w:hAnsi="Times New Roman" w:cs="Times New Roman"/>
                <w:sz w:val="24"/>
                <w:szCs w:val="24"/>
              </w:rPr>
              <w:t>R</w:t>
            </w:r>
            <w:r w:rsidRPr="007B3CBA">
              <w:rPr>
                <w:rFonts w:ascii="Times New Roman" w:hAnsi="Times New Roman" w:cs="Times New Roman"/>
                <w:sz w:val="24"/>
                <w:szCs w:val="24"/>
              </w:rPr>
              <w:t>egulators izvērtē</w:t>
            </w:r>
            <w:r>
              <w:rPr>
                <w:rFonts w:ascii="Times New Roman" w:hAnsi="Times New Roman" w:cs="Times New Roman"/>
                <w:sz w:val="24"/>
                <w:szCs w:val="24"/>
              </w:rPr>
              <w:t>s</w:t>
            </w:r>
            <w:r w:rsidRPr="007B3CBA">
              <w:rPr>
                <w:rFonts w:ascii="Times New Roman" w:hAnsi="Times New Roman" w:cs="Times New Roman"/>
                <w:sz w:val="24"/>
                <w:szCs w:val="24"/>
              </w:rPr>
              <w:t xml:space="preserve"> pārkāpuma smagumu</w:t>
            </w:r>
            <w:r w:rsidR="00E91F76">
              <w:rPr>
                <w:rFonts w:ascii="Times New Roman" w:hAnsi="Times New Roman" w:cs="Times New Roman"/>
                <w:sz w:val="24"/>
                <w:szCs w:val="24"/>
              </w:rPr>
              <w:t>, radītās vai iespējamās sekas</w:t>
            </w:r>
            <w:r w:rsidRPr="007B3CBA">
              <w:rPr>
                <w:rFonts w:ascii="Times New Roman" w:hAnsi="Times New Roman" w:cs="Times New Roman"/>
                <w:sz w:val="24"/>
                <w:szCs w:val="24"/>
              </w:rPr>
              <w:t xml:space="preserve"> un ilgumu</w:t>
            </w:r>
            <w:bookmarkEnd w:id="6"/>
            <w:r w:rsidRPr="007B3CBA">
              <w:rPr>
                <w:rFonts w:ascii="Times New Roman" w:hAnsi="Times New Roman" w:cs="Times New Roman"/>
                <w:sz w:val="24"/>
                <w:szCs w:val="24"/>
              </w:rPr>
              <w:t xml:space="preserve">. </w:t>
            </w:r>
          </w:p>
          <w:p w14:paraId="0898E3CE" w14:textId="2ABF3B28" w:rsidR="007B3CBA" w:rsidRPr="007B3CBA" w:rsidRDefault="007B3CBA" w:rsidP="007B3CBA">
            <w:pPr>
              <w:pStyle w:val="ListParagraph"/>
              <w:spacing w:after="0" w:line="240" w:lineRule="auto"/>
              <w:ind w:left="0" w:firstLine="652"/>
              <w:jc w:val="both"/>
              <w:rPr>
                <w:rFonts w:ascii="Times New Roman" w:hAnsi="Times New Roman" w:cs="Times New Roman"/>
                <w:sz w:val="24"/>
                <w:szCs w:val="24"/>
              </w:rPr>
            </w:pPr>
            <w:r w:rsidRPr="007B3CBA">
              <w:rPr>
                <w:rFonts w:ascii="Times New Roman" w:hAnsi="Times New Roman" w:cs="Times New Roman"/>
                <w:sz w:val="24"/>
                <w:szCs w:val="24"/>
              </w:rPr>
              <w:t xml:space="preserve">Nosakot pārkāpuma smaguma pakāpi, </w:t>
            </w:r>
            <w:r>
              <w:rPr>
                <w:rFonts w:ascii="Times New Roman" w:hAnsi="Times New Roman" w:cs="Times New Roman"/>
                <w:sz w:val="24"/>
                <w:szCs w:val="24"/>
              </w:rPr>
              <w:t>R</w:t>
            </w:r>
            <w:r w:rsidRPr="007B3CBA">
              <w:rPr>
                <w:rFonts w:ascii="Times New Roman" w:hAnsi="Times New Roman" w:cs="Times New Roman"/>
                <w:sz w:val="24"/>
                <w:szCs w:val="24"/>
              </w:rPr>
              <w:t>egulators ņem</w:t>
            </w:r>
            <w:r>
              <w:rPr>
                <w:rFonts w:ascii="Times New Roman" w:hAnsi="Times New Roman" w:cs="Times New Roman"/>
                <w:sz w:val="24"/>
                <w:szCs w:val="24"/>
              </w:rPr>
              <w:t>s</w:t>
            </w:r>
            <w:r w:rsidRPr="007B3CBA">
              <w:rPr>
                <w:rFonts w:ascii="Times New Roman" w:hAnsi="Times New Roman" w:cs="Times New Roman"/>
                <w:sz w:val="24"/>
                <w:szCs w:val="24"/>
              </w:rPr>
              <w:t xml:space="preserve"> vērā</w:t>
            </w:r>
            <w:r>
              <w:rPr>
                <w:rFonts w:ascii="Times New Roman" w:hAnsi="Times New Roman" w:cs="Times New Roman"/>
                <w:sz w:val="24"/>
                <w:szCs w:val="24"/>
              </w:rPr>
              <w:t xml:space="preserve"> </w:t>
            </w:r>
            <w:r w:rsidRPr="007B3CBA">
              <w:rPr>
                <w:rFonts w:ascii="Times New Roman" w:hAnsi="Times New Roman" w:cs="Times New Roman"/>
                <w:sz w:val="24"/>
                <w:szCs w:val="24"/>
              </w:rPr>
              <w:t>pārkāpuma veidu</w:t>
            </w:r>
            <w:r>
              <w:rPr>
                <w:rFonts w:ascii="Times New Roman" w:hAnsi="Times New Roman" w:cs="Times New Roman"/>
                <w:sz w:val="24"/>
                <w:szCs w:val="24"/>
              </w:rPr>
              <w:t xml:space="preserve"> un </w:t>
            </w:r>
            <w:r w:rsidRPr="007B3CBA">
              <w:rPr>
                <w:rFonts w:ascii="Times New Roman" w:hAnsi="Times New Roman" w:cs="Times New Roman"/>
                <w:sz w:val="24"/>
                <w:szCs w:val="24"/>
              </w:rPr>
              <w:t xml:space="preserve">pārkāpuma radītās vai iespējamās sekas. Kopējo naudas soda apmēru par vienu pārkāpumu </w:t>
            </w:r>
            <w:r>
              <w:rPr>
                <w:rFonts w:cs="Times New Roman"/>
                <w:sz w:val="24"/>
                <w:szCs w:val="24"/>
              </w:rPr>
              <w:t>R</w:t>
            </w:r>
            <w:r w:rsidRPr="007B3CBA">
              <w:rPr>
                <w:rFonts w:ascii="Times New Roman" w:hAnsi="Times New Roman" w:cs="Times New Roman"/>
                <w:sz w:val="24"/>
                <w:szCs w:val="24"/>
              </w:rPr>
              <w:t>egulators aprēķin</w:t>
            </w:r>
            <w:r>
              <w:rPr>
                <w:rFonts w:cs="Times New Roman"/>
                <w:sz w:val="24"/>
                <w:szCs w:val="24"/>
              </w:rPr>
              <w:t>ās</w:t>
            </w:r>
            <w:r w:rsidRPr="007B3CBA">
              <w:rPr>
                <w:rFonts w:ascii="Times New Roman" w:hAnsi="Times New Roman" w:cs="Times New Roman"/>
                <w:sz w:val="24"/>
                <w:szCs w:val="24"/>
              </w:rPr>
              <w:t>, summējot naudas soda apmērus par pārkāpuma smagumu un ilgumu.</w:t>
            </w:r>
          </w:p>
          <w:p w14:paraId="5C5D3D5F" w14:textId="7C1BF416" w:rsidR="007B3CBA" w:rsidRPr="007B3CBA" w:rsidRDefault="007B3CBA" w:rsidP="007B3CBA">
            <w:pPr>
              <w:ind w:firstLine="652"/>
              <w:jc w:val="both"/>
              <w:rPr>
                <w:rFonts w:cs="Times New Roman"/>
                <w:bCs/>
                <w:color w:val="000000" w:themeColor="text1"/>
                <w:sz w:val="24"/>
                <w:szCs w:val="24"/>
              </w:rPr>
            </w:pPr>
            <w:bookmarkStart w:id="7" w:name="_Hlk10104374"/>
            <w:r w:rsidRPr="007B3CBA">
              <w:rPr>
                <w:rFonts w:cs="Times New Roman"/>
                <w:sz w:val="24"/>
                <w:szCs w:val="24"/>
              </w:rPr>
              <w:t>Regulators naudas sodu aprēķin</w:t>
            </w:r>
            <w:r>
              <w:rPr>
                <w:rFonts w:cs="Times New Roman"/>
                <w:sz w:val="24"/>
                <w:szCs w:val="24"/>
              </w:rPr>
              <w:t>ās</w:t>
            </w:r>
            <w:r w:rsidRPr="007B3CBA">
              <w:rPr>
                <w:rFonts w:cs="Times New Roman"/>
                <w:sz w:val="24"/>
                <w:szCs w:val="24"/>
              </w:rPr>
              <w:t xml:space="preserve"> procentos no juridiskās personas iepriekšējā pārskata gada</w:t>
            </w:r>
            <w:r w:rsidR="003801F2">
              <w:rPr>
                <w:rFonts w:cs="Times New Roman"/>
                <w:sz w:val="24"/>
                <w:szCs w:val="24"/>
              </w:rPr>
              <w:t xml:space="preserve"> pirms pārkāpuma konstatēšanas </w:t>
            </w:r>
            <w:r w:rsidR="003801F2">
              <w:rPr>
                <w:rFonts w:cs="Times New Roman"/>
                <w:sz w:val="24"/>
                <w:szCs w:val="24"/>
              </w:rPr>
              <w:lastRenderedPageBreak/>
              <w:t>dienas</w:t>
            </w:r>
            <w:r w:rsidRPr="007B3CBA">
              <w:rPr>
                <w:rFonts w:cs="Times New Roman"/>
                <w:sz w:val="24"/>
                <w:szCs w:val="24"/>
              </w:rPr>
              <w:t xml:space="preserve"> neto apgrozījuma attiecīgajā regulējamā nozarē, kurā izdarīts pārkāpums</w:t>
            </w:r>
            <w:r w:rsidR="003801F2">
              <w:rPr>
                <w:rFonts w:cs="Times New Roman"/>
                <w:sz w:val="24"/>
                <w:szCs w:val="24"/>
              </w:rPr>
              <w:t>.</w:t>
            </w:r>
            <w:r w:rsidRPr="007B3CBA">
              <w:rPr>
                <w:rFonts w:cs="Times New Roman"/>
                <w:sz w:val="24"/>
                <w:szCs w:val="24"/>
              </w:rPr>
              <w:t xml:space="preserve"> Ar iepriekšējo pārskata gadu saprot pēdējo noslēgto pārskata gadu.</w:t>
            </w:r>
          </w:p>
          <w:bookmarkEnd w:id="7"/>
          <w:p w14:paraId="2A470573" w14:textId="77777777" w:rsidR="00410EF5" w:rsidRPr="00BB322F" w:rsidRDefault="00410EF5" w:rsidP="006D4338">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
                <w:bCs/>
                <w:color w:val="000000"/>
                <w:szCs w:val="24"/>
                <w:lang w:val="lv-LV"/>
              </w:rPr>
            </w:pPr>
          </w:p>
          <w:p w14:paraId="01A8DF81" w14:textId="01B4B411" w:rsidR="006D4338" w:rsidRPr="00BB322F" w:rsidRDefault="007B0190" w:rsidP="006D4338">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Cs w:val="24"/>
                <w:lang w:val="lv-LV"/>
              </w:rPr>
            </w:pPr>
            <w:r w:rsidRPr="00BB322F">
              <w:rPr>
                <w:b/>
                <w:bCs/>
                <w:color w:val="000000"/>
                <w:szCs w:val="24"/>
                <w:lang w:val="lv-LV"/>
              </w:rPr>
              <w:t>[</w:t>
            </w:r>
            <w:r w:rsidR="001164C0" w:rsidRPr="00BB322F">
              <w:rPr>
                <w:b/>
                <w:bCs/>
                <w:color w:val="000000"/>
                <w:szCs w:val="24"/>
                <w:lang w:val="lv-LV"/>
              </w:rPr>
              <w:t>4</w:t>
            </w:r>
            <w:r w:rsidRPr="00BB322F">
              <w:rPr>
                <w:b/>
                <w:bCs/>
                <w:color w:val="000000"/>
                <w:szCs w:val="24"/>
                <w:lang w:val="lv-LV"/>
              </w:rPr>
              <w:t xml:space="preserve">] </w:t>
            </w:r>
            <w:r w:rsidR="006D4338" w:rsidRPr="00BB322F">
              <w:rPr>
                <w:szCs w:val="24"/>
                <w:lang w:val="lv-LV"/>
              </w:rPr>
              <w:t>Saskaņā ar Likum</w:t>
            </w:r>
            <w:r w:rsidR="009A6E2E" w:rsidRPr="00BB322F">
              <w:rPr>
                <w:szCs w:val="24"/>
                <w:lang w:val="lv-LV"/>
              </w:rPr>
              <w:t>a</w:t>
            </w:r>
            <w:r w:rsidR="006D4338" w:rsidRPr="00BB322F">
              <w:rPr>
                <w:szCs w:val="24"/>
                <w:lang w:val="lv-LV"/>
              </w:rPr>
              <w:t xml:space="preserve"> 7.panta trešo daļu Regulatora lēmējinstitūcija ir padome. Padome Regulatora vārdā pieņem lēmumus un izdod administratīvos aktus, kas ir saistoši konkrētiem sabiedrisko pakalpojumu sniedzējiem un lietotājiem. </w:t>
            </w:r>
          </w:p>
          <w:p w14:paraId="158D74E4" w14:textId="3F528337" w:rsidR="00DE240B" w:rsidRDefault="006D4338" w:rsidP="00D571F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Cs w:val="24"/>
                <w:lang w:val="lv-LV"/>
              </w:rPr>
            </w:pPr>
            <w:r w:rsidRPr="00BB322F">
              <w:rPr>
                <w:szCs w:val="24"/>
                <w:lang w:val="lv-LV"/>
              </w:rPr>
              <w:t>Kopumā regulējamās nozarēs, kurās Regulators ir tiesīgs izskatīt administratīv</w:t>
            </w:r>
            <w:r w:rsidR="00F033A9">
              <w:rPr>
                <w:szCs w:val="24"/>
                <w:lang w:val="lv-LV"/>
              </w:rPr>
              <w:t>o</w:t>
            </w:r>
            <w:r w:rsidRPr="00BB322F">
              <w:rPr>
                <w:szCs w:val="24"/>
                <w:lang w:val="lv-LV"/>
              </w:rPr>
              <w:t xml:space="preserve"> pārkāpum</w:t>
            </w:r>
            <w:r w:rsidR="00F033A9">
              <w:rPr>
                <w:szCs w:val="24"/>
                <w:lang w:val="lv-LV"/>
              </w:rPr>
              <w:t>u</w:t>
            </w:r>
            <w:r w:rsidRPr="00BB322F">
              <w:rPr>
                <w:szCs w:val="24"/>
                <w:lang w:val="lv-LV"/>
              </w:rPr>
              <w:t xml:space="preserve"> lietas un uzlikt administratīvos sodus saskaņā ar LAPK, ir reģistrēti aptuveni 890 sabiedrisko pakalpojumu sniedzēji. Līdz ar to ir jāņem vērā iespējamais lielais administratīvo pārkāpumu skaits, kas būtu jāizskata Regulatora padomei. Lai paredzētu izņēmumu gadījumus Likuma 7.panta trešā daļ</w:t>
            </w:r>
            <w:r w:rsidR="00E32060">
              <w:rPr>
                <w:szCs w:val="24"/>
                <w:lang w:val="lv-LV"/>
              </w:rPr>
              <w:t>ā jānosaka</w:t>
            </w:r>
            <w:r w:rsidR="00CC16C9">
              <w:rPr>
                <w:szCs w:val="24"/>
                <w:lang w:val="lv-LV"/>
              </w:rPr>
              <w:t>, ka</w:t>
            </w:r>
            <w:r w:rsidRPr="00BB322F">
              <w:rPr>
                <w:szCs w:val="24"/>
                <w:lang w:val="lv-LV"/>
              </w:rPr>
              <w:t xml:space="preserve"> </w:t>
            </w:r>
            <w:r w:rsidR="007A1F36">
              <w:rPr>
                <w:szCs w:val="24"/>
                <w:lang w:val="lv-LV"/>
              </w:rPr>
              <w:t>p</w:t>
            </w:r>
            <w:r w:rsidR="007A7753">
              <w:rPr>
                <w:szCs w:val="24"/>
                <w:lang w:val="lv-LV"/>
              </w:rPr>
              <w:t xml:space="preserve">adome nolikumā nosaka </w:t>
            </w:r>
            <w:r w:rsidR="00CC16C9" w:rsidRPr="000509D0">
              <w:rPr>
                <w:color w:val="000000" w:themeColor="text1"/>
                <w:szCs w:val="24"/>
                <w:lang w:val="lv-LV"/>
              </w:rPr>
              <w:t>Regulatora amatpersonas</w:t>
            </w:r>
            <w:r w:rsidR="002277B2" w:rsidRPr="000509D0">
              <w:rPr>
                <w:color w:val="000000" w:themeColor="text1"/>
                <w:szCs w:val="24"/>
                <w:lang w:val="lv-LV"/>
              </w:rPr>
              <w:t xml:space="preserve"> tiesības</w:t>
            </w:r>
            <w:r w:rsidR="00CC16C9" w:rsidRPr="000509D0">
              <w:rPr>
                <w:color w:val="000000" w:themeColor="text1"/>
                <w:szCs w:val="24"/>
                <w:lang w:val="lv-LV"/>
              </w:rPr>
              <w:t xml:space="preserve"> pieņemt lēmumu </w:t>
            </w:r>
            <w:r w:rsidR="007A7753" w:rsidRPr="000509D0">
              <w:rPr>
                <w:color w:val="000000" w:themeColor="text1"/>
                <w:szCs w:val="24"/>
                <w:lang w:val="lv-LV"/>
              </w:rPr>
              <w:t>R</w:t>
            </w:r>
            <w:r w:rsidR="00CC16C9" w:rsidRPr="000509D0">
              <w:rPr>
                <w:color w:val="000000" w:themeColor="text1"/>
                <w:szCs w:val="24"/>
                <w:lang w:val="lv-LV"/>
              </w:rPr>
              <w:t>egulatora vārdā un kompetences apjomu</w:t>
            </w:r>
            <w:r w:rsidRPr="00BB322F">
              <w:rPr>
                <w:szCs w:val="24"/>
                <w:lang w:val="lv-LV"/>
              </w:rPr>
              <w:t xml:space="preserve">. </w:t>
            </w:r>
            <w:r w:rsidR="00932100">
              <w:rPr>
                <w:szCs w:val="24"/>
                <w:lang w:val="lv-LV"/>
              </w:rPr>
              <w:t>Šāds pat</w:t>
            </w:r>
            <w:r w:rsidR="00B116A5">
              <w:rPr>
                <w:szCs w:val="24"/>
                <w:lang w:val="lv-LV"/>
              </w:rPr>
              <w:t>s</w:t>
            </w:r>
            <w:r w:rsidR="00932100">
              <w:rPr>
                <w:szCs w:val="24"/>
                <w:lang w:val="lv-LV"/>
              </w:rPr>
              <w:t xml:space="preserve"> deleģējums jāiekļauj arī Likuma 44.panta otrajā daļā. </w:t>
            </w:r>
            <w:r w:rsidRPr="00BB322F">
              <w:rPr>
                <w:szCs w:val="24"/>
                <w:lang w:val="lv-LV"/>
              </w:rPr>
              <w:t>Šobrīd LAPK 215.</w:t>
            </w:r>
            <w:r w:rsidRPr="00BB322F">
              <w:rPr>
                <w:szCs w:val="24"/>
                <w:vertAlign w:val="superscript"/>
                <w:lang w:val="lv-LV"/>
              </w:rPr>
              <w:t xml:space="preserve">10 </w:t>
            </w:r>
            <w:r w:rsidRPr="00BB322F">
              <w:rPr>
                <w:szCs w:val="24"/>
                <w:lang w:val="lv-LV"/>
              </w:rPr>
              <w:t>pantā ir noteikts, ka izskatīt administratīvo pārkāpumu lietas un uzlikt administratīvos sodus Regulatora vārdā ir tiesīgi:</w:t>
            </w:r>
            <w:r w:rsidR="00E73D73" w:rsidRPr="00BB322F">
              <w:rPr>
                <w:szCs w:val="24"/>
                <w:lang w:val="lv-LV"/>
              </w:rPr>
              <w:t xml:space="preserve"> 1) Regulatora padome; 2) R</w:t>
            </w:r>
            <w:r w:rsidRPr="00BB322F">
              <w:rPr>
                <w:szCs w:val="24"/>
                <w:lang w:val="lv-LV"/>
              </w:rPr>
              <w:t>egulatora priekšsēdētāja izveidota Administratīvo pārkāp</w:t>
            </w:r>
            <w:r w:rsidR="00E73D73" w:rsidRPr="00BB322F">
              <w:rPr>
                <w:szCs w:val="24"/>
                <w:lang w:val="lv-LV"/>
              </w:rPr>
              <w:t xml:space="preserve">umu lietu izskatīšanas komisija; 3) Regulatora izpilddirektors. </w:t>
            </w:r>
          </w:p>
          <w:p w14:paraId="51BB642F" w14:textId="0CE5DDF6" w:rsidR="00AC1308" w:rsidRPr="00D571F1" w:rsidRDefault="00AC1308" w:rsidP="00D571F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Cs w:val="24"/>
                <w:lang w:val="lv-LV"/>
              </w:rPr>
            </w:pPr>
            <w:r w:rsidRPr="00BB322F">
              <w:rPr>
                <w:b/>
                <w:szCs w:val="24"/>
                <w:lang w:val="lv-LV"/>
              </w:rPr>
              <w:t>[5]</w:t>
            </w:r>
            <w:r>
              <w:rPr>
                <w:b/>
                <w:szCs w:val="24"/>
                <w:lang w:val="lv-LV"/>
              </w:rPr>
              <w:t xml:space="preserve"> </w:t>
            </w:r>
            <w:r w:rsidRPr="000509D0">
              <w:rPr>
                <w:szCs w:val="24"/>
                <w:lang w:val="lv-LV"/>
              </w:rPr>
              <w:t>Nepieciešams izslēgt Likuma 18.</w:t>
            </w:r>
            <w:r w:rsidRPr="000509D0">
              <w:rPr>
                <w:szCs w:val="24"/>
                <w:vertAlign w:val="superscript"/>
                <w:lang w:val="lv-LV"/>
              </w:rPr>
              <w:t>1</w:t>
            </w:r>
            <w:r w:rsidRPr="000509D0">
              <w:rPr>
                <w:szCs w:val="24"/>
                <w:lang w:val="lv-LV"/>
              </w:rPr>
              <w:t xml:space="preserve"> panta septītās daļas 4.punktu, jo Regulatora rīcība gadījumā, ja </w:t>
            </w:r>
            <w:r w:rsidR="00E97A21" w:rsidRPr="000509D0">
              <w:rPr>
                <w:szCs w:val="24"/>
                <w:lang w:val="lv-LV"/>
              </w:rPr>
              <w:t xml:space="preserve">komersants atkārtoti pārkāpis </w:t>
            </w:r>
            <w:r w:rsidRPr="000509D0">
              <w:rPr>
                <w:lang w:val="lv-LV"/>
              </w:rPr>
              <w:t>vispārējās atļaujas noteikumu</w:t>
            </w:r>
            <w:r w:rsidR="00E97A21" w:rsidRPr="000509D0">
              <w:rPr>
                <w:lang w:val="lv-LV"/>
              </w:rPr>
              <w:t>s, ir noteikta attiecīgo nozaru speciālajos normatīvajos aktos.</w:t>
            </w:r>
          </w:p>
          <w:p w14:paraId="6ECA07D9" w14:textId="576FDE6F" w:rsidR="00991367" w:rsidRPr="00BB322F" w:rsidRDefault="007B0190" w:rsidP="00DE240B">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Cs w:val="24"/>
                <w:lang w:val="lv-LV"/>
              </w:rPr>
            </w:pPr>
            <w:r w:rsidRPr="00BB322F">
              <w:rPr>
                <w:b/>
                <w:szCs w:val="24"/>
                <w:lang w:val="lv-LV"/>
              </w:rPr>
              <w:t>[</w:t>
            </w:r>
            <w:r w:rsidR="00AC1308">
              <w:rPr>
                <w:b/>
                <w:szCs w:val="24"/>
                <w:lang w:val="lv-LV"/>
              </w:rPr>
              <w:t>6</w:t>
            </w:r>
            <w:r w:rsidRPr="00BB322F">
              <w:rPr>
                <w:b/>
                <w:szCs w:val="24"/>
                <w:lang w:val="lv-LV"/>
              </w:rPr>
              <w:t>]</w:t>
            </w:r>
            <w:r w:rsidRPr="00BB322F">
              <w:rPr>
                <w:szCs w:val="24"/>
                <w:lang w:val="lv-LV"/>
              </w:rPr>
              <w:t xml:space="preserve"> </w:t>
            </w:r>
            <w:r w:rsidR="00DB7065" w:rsidRPr="00BB322F">
              <w:rPr>
                <w:szCs w:val="24"/>
                <w:lang w:val="lv-LV"/>
              </w:rPr>
              <w:t xml:space="preserve">Ņemot vērā to, ka </w:t>
            </w:r>
            <w:r w:rsidR="00F074D6" w:rsidRPr="00BB322F">
              <w:rPr>
                <w:szCs w:val="24"/>
                <w:lang w:val="lv-LV" w:eastAsia="lv-LV"/>
              </w:rPr>
              <w:t>A</w:t>
            </w:r>
            <w:r w:rsidR="00F074D6">
              <w:rPr>
                <w:szCs w:val="24"/>
                <w:lang w:val="lv-LV" w:eastAsia="lv-LV"/>
              </w:rPr>
              <w:t>A</w:t>
            </w:r>
            <w:r w:rsidR="00F074D6" w:rsidRPr="00BB322F">
              <w:rPr>
                <w:szCs w:val="24"/>
                <w:lang w:val="lv-LV" w:eastAsia="lv-LV"/>
              </w:rPr>
              <w:t xml:space="preserve">L </w:t>
            </w:r>
            <w:r w:rsidR="00DB7065" w:rsidRPr="00BB322F">
              <w:rPr>
                <w:szCs w:val="24"/>
                <w:lang w:val="lv-LV"/>
              </w:rPr>
              <w:t xml:space="preserve">ir saistīts ar šo Likumprojektu, ir nepieciešams arī noteikt, ka </w:t>
            </w:r>
            <w:r w:rsidR="00531948" w:rsidRPr="00BB322F">
              <w:rPr>
                <w:szCs w:val="24"/>
                <w:lang w:val="lv-LV"/>
              </w:rPr>
              <w:t>Likumprojekt</w:t>
            </w:r>
            <w:r w:rsidR="00DB7065" w:rsidRPr="00BB322F">
              <w:rPr>
                <w:szCs w:val="24"/>
                <w:lang w:val="lv-LV"/>
              </w:rPr>
              <w:t xml:space="preserve">s stājas spēkā </w:t>
            </w:r>
            <w:r w:rsidR="005927C7" w:rsidRPr="00BB322F">
              <w:rPr>
                <w:szCs w:val="24"/>
                <w:lang w:val="lv-LV"/>
              </w:rPr>
              <w:t xml:space="preserve">vienlaicīgi ar </w:t>
            </w:r>
            <w:r w:rsidR="00531948">
              <w:rPr>
                <w:szCs w:val="24"/>
                <w:lang w:val="lv-LV"/>
              </w:rPr>
              <w:t>Administratīvās atbildības likumu</w:t>
            </w:r>
            <w:r w:rsidR="00BB073E" w:rsidRPr="00BB322F">
              <w:rPr>
                <w:szCs w:val="24"/>
                <w:lang w:val="lv-LV"/>
              </w:rPr>
              <w:t>.</w:t>
            </w:r>
          </w:p>
        </w:tc>
      </w:tr>
      <w:tr w:rsidR="00082640" w:rsidRPr="00BB322F" w14:paraId="0DF22D4C" w14:textId="77777777" w:rsidTr="002D0B96">
        <w:trPr>
          <w:trHeight w:val="372"/>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14B08E07" w14:textId="77777777" w:rsidR="00082640" w:rsidRPr="00BB322F" w:rsidRDefault="00082640" w:rsidP="007B0190">
            <w:pPr>
              <w:jc w:val="center"/>
              <w:rPr>
                <w:rFonts w:eastAsia="Times New Roman" w:cs="Times New Roman"/>
                <w:sz w:val="24"/>
                <w:szCs w:val="24"/>
                <w:lang w:eastAsia="lv-LV"/>
              </w:rPr>
            </w:pPr>
            <w:r w:rsidRPr="00BB322F">
              <w:rPr>
                <w:rFonts w:eastAsia="Times New Roman" w:cs="Times New Roman"/>
                <w:sz w:val="24"/>
                <w:szCs w:val="24"/>
                <w:lang w:eastAsia="lv-LV"/>
              </w:rPr>
              <w:lastRenderedPageBreak/>
              <w:t>3.</w:t>
            </w:r>
          </w:p>
        </w:tc>
        <w:tc>
          <w:tcPr>
            <w:tcW w:w="1955" w:type="dxa"/>
            <w:tcBorders>
              <w:top w:val="outset" w:sz="6" w:space="0" w:color="auto"/>
              <w:left w:val="outset" w:sz="6" w:space="0" w:color="auto"/>
              <w:bottom w:val="outset" w:sz="6" w:space="0" w:color="auto"/>
              <w:right w:val="outset" w:sz="6" w:space="0" w:color="auto"/>
            </w:tcBorders>
            <w:hideMark/>
          </w:tcPr>
          <w:p w14:paraId="54456621" w14:textId="78B28285" w:rsidR="00082640" w:rsidRPr="00BB322F" w:rsidRDefault="00082640" w:rsidP="002E2850">
            <w:pPr>
              <w:ind w:right="-95"/>
              <w:rPr>
                <w:rFonts w:eastAsia="Times New Roman" w:cs="Times New Roman"/>
                <w:sz w:val="24"/>
                <w:szCs w:val="24"/>
                <w:lang w:eastAsia="lv-LV"/>
              </w:rPr>
            </w:pPr>
            <w:r w:rsidRPr="00BB322F">
              <w:rPr>
                <w:rFonts w:eastAsia="Times New Roman" w:cs="Times New Roman"/>
                <w:sz w:val="24"/>
                <w:szCs w:val="24"/>
                <w:lang w:eastAsia="lv-LV"/>
              </w:rPr>
              <w:t>Projekta izstrādē iesaistītās institūcijas</w:t>
            </w:r>
            <w:r w:rsidR="001A5976">
              <w:rPr>
                <w:rFonts w:eastAsia="Times New Roman" w:cs="Times New Roman"/>
                <w:sz w:val="24"/>
                <w:szCs w:val="24"/>
                <w:lang w:eastAsia="lv-LV"/>
              </w:rPr>
              <w:t xml:space="preserve"> un publiskas personas kapitālsabiedrības</w:t>
            </w:r>
          </w:p>
        </w:tc>
        <w:tc>
          <w:tcPr>
            <w:tcW w:w="6759" w:type="dxa"/>
            <w:tcBorders>
              <w:top w:val="outset" w:sz="6" w:space="0" w:color="auto"/>
              <w:left w:val="outset" w:sz="6" w:space="0" w:color="auto"/>
              <w:bottom w:val="outset" w:sz="6" w:space="0" w:color="auto"/>
              <w:right w:val="outset" w:sz="6" w:space="0" w:color="auto"/>
            </w:tcBorders>
            <w:hideMark/>
          </w:tcPr>
          <w:p w14:paraId="056BD3B0" w14:textId="77777777" w:rsidR="00082640" w:rsidRPr="00BB322F" w:rsidRDefault="00082640" w:rsidP="007B0190">
            <w:pPr>
              <w:widowControl w:val="0"/>
              <w:suppressAutoHyphens/>
              <w:autoSpaceDE w:val="0"/>
              <w:autoSpaceDN w:val="0"/>
              <w:adjustRightInd w:val="0"/>
              <w:ind w:firstLine="557"/>
              <w:jc w:val="both"/>
              <w:rPr>
                <w:rFonts w:cs="Times New Roman"/>
                <w:bCs/>
                <w:sz w:val="24"/>
                <w:szCs w:val="24"/>
                <w:shd w:val="clear" w:color="auto" w:fill="FFFFFF"/>
              </w:rPr>
            </w:pPr>
            <w:r w:rsidRPr="00BB322F">
              <w:rPr>
                <w:rFonts w:eastAsia="Calibri" w:cs="Times New Roman"/>
                <w:sz w:val="24"/>
                <w:szCs w:val="24"/>
              </w:rPr>
              <w:t xml:space="preserve">Pamatojoties uz </w:t>
            </w:r>
            <w:r w:rsidRPr="00BB322F">
              <w:rPr>
                <w:rFonts w:cs="Times New Roman"/>
                <w:sz w:val="24"/>
                <w:szCs w:val="24"/>
              </w:rPr>
              <w:t>Ministru kabineta 2014.gada 22.aprīļa protokola Nr.24 26.§, “</w:t>
            </w:r>
            <w:r w:rsidRPr="00BB322F">
              <w:rPr>
                <w:rFonts w:cs="Times New Roman"/>
                <w:bCs/>
                <w:sz w:val="24"/>
                <w:szCs w:val="24"/>
                <w:shd w:val="clear" w:color="auto" w:fill="FFFFFF"/>
              </w:rPr>
              <w:t xml:space="preserve">Informatīvais ziņojums “Nozaru administratīvo pārkāpumu kodifikācijas ieviešanas sistēma”” TA-775 3.punktā paredzēto, Likumprojekts ir nodots apspriešanai Tieslietu ministrijas izveidotajā Latvijas Administratīvo pārkāpumu kodeksa pastāvīgajā darba grupā. </w:t>
            </w:r>
          </w:p>
          <w:p w14:paraId="14A4B64C" w14:textId="77777777" w:rsidR="00082640" w:rsidRPr="00BB322F" w:rsidRDefault="00082640" w:rsidP="007B0190">
            <w:pPr>
              <w:widowControl w:val="0"/>
              <w:suppressAutoHyphens/>
              <w:autoSpaceDE w:val="0"/>
              <w:autoSpaceDN w:val="0"/>
              <w:adjustRightInd w:val="0"/>
              <w:ind w:firstLine="557"/>
              <w:jc w:val="both"/>
              <w:rPr>
                <w:rFonts w:eastAsia="Calibri" w:cs="Times New Roman"/>
                <w:sz w:val="24"/>
                <w:szCs w:val="24"/>
              </w:rPr>
            </w:pPr>
            <w:r w:rsidRPr="00BB322F">
              <w:rPr>
                <w:rFonts w:cs="Times New Roman"/>
                <w:bCs/>
                <w:sz w:val="24"/>
                <w:szCs w:val="24"/>
                <w:shd w:val="clear" w:color="auto" w:fill="FFFFFF"/>
              </w:rPr>
              <w:t xml:space="preserve">Papildus norādāms, ka Likumprojekts ir izstrādāts sadarbībā ar </w:t>
            </w:r>
            <w:r w:rsidR="00DB7065" w:rsidRPr="00BB322F">
              <w:rPr>
                <w:rFonts w:cs="Times New Roman"/>
                <w:bCs/>
                <w:sz w:val="24"/>
                <w:szCs w:val="24"/>
                <w:shd w:val="clear" w:color="auto" w:fill="FFFFFF"/>
              </w:rPr>
              <w:t>Sabiedrisko pakalpojumu regulēšanas komisiju.</w:t>
            </w:r>
          </w:p>
        </w:tc>
      </w:tr>
      <w:tr w:rsidR="00082640" w:rsidRPr="00BB322F" w14:paraId="02D6014A" w14:textId="77777777" w:rsidTr="002D0B96">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1EC06C1E" w14:textId="77777777" w:rsidR="00082640" w:rsidRPr="00BB322F" w:rsidRDefault="00082640" w:rsidP="007B0190">
            <w:pPr>
              <w:jc w:val="center"/>
              <w:rPr>
                <w:rFonts w:eastAsia="Times New Roman" w:cs="Times New Roman"/>
                <w:sz w:val="24"/>
                <w:szCs w:val="24"/>
                <w:lang w:eastAsia="lv-LV"/>
              </w:rPr>
            </w:pPr>
            <w:r w:rsidRPr="00BB322F">
              <w:rPr>
                <w:rFonts w:eastAsia="Times New Roman" w:cs="Times New Roman"/>
                <w:sz w:val="24"/>
                <w:szCs w:val="24"/>
                <w:lang w:eastAsia="lv-LV"/>
              </w:rPr>
              <w:t>4.</w:t>
            </w:r>
          </w:p>
        </w:tc>
        <w:tc>
          <w:tcPr>
            <w:tcW w:w="1955" w:type="dxa"/>
            <w:tcBorders>
              <w:top w:val="outset" w:sz="6" w:space="0" w:color="auto"/>
              <w:left w:val="outset" w:sz="6" w:space="0" w:color="auto"/>
              <w:bottom w:val="outset" w:sz="6" w:space="0" w:color="auto"/>
              <w:right w:val="outset" w:sz="6" w:space="0" w:color="auto"/>
            </w:tcBorders>
            <w:hideMark/>
          </w:tcPr>
          <w:p w14:paraId="57007484" w14:textId="77777777" w:rsidR="00082640" w:rsidRPr="00BB322F" w:rsidRDefault="00082640" w:rsidP="007B0190">
            <w:pPr>
              <w:rPr>
                <w:rFonts w:eastAsia="Times New Roman" w:cs="Times New Roman"/>
                <w:sz w:val="24"/>
                <w:szCs w:val="24"/>
                <w:lang w:eastAsia="lv-LV"/>
              </w:rPr>
            </w:pPr>
            <w:r w:rsidRPr="00BB322F">
              <w:rPr>
                <w:rFonts w:eastAsia="Times New Roman" w:cs="Times New Roman"/>
                <w:sz w:val="24"/>
                <w:szCs w:val="24"/>
                <w:lang w:eastAsia="lv-LV"/>
              </w:rPr>
              <w:t>Cita informācija</w:t>
            </w:r>
          </w:p>
        </w:tc>
        <w:tc>
          <w:tcPr>
            <w:tcW w:w="6759" w:type="dxa"/>
            <w:tcBorders>
              <w:top w:val="outset" w:sz="6" w:space="0" w:color="auto"/>
              <w:left w:val="outset" w:sz="6" w:space="0" w:color="auto"/>
              <w:bottom w:val="outset" w:sz="6" w:space="0" w:color="auto"/>
              <w:right w:val="outset" w:sz="6" w:space="0" w:color="auto"/>
            </w:tcBorders>
            <w:hideMark/>
          </w:tcPr>
          <w:p w14:paraId="4782DFF1" w14:textId="77777777" w:rsidR="00082640" w:rsidRPr="00BB322F" w:rsidRDefault="00082640" w:rsidP="007B0190">
            <w:pPr>
              <w:rPr>
                <w:rFonts w:eastAsia="Times New Roman" w:cs="Times New Roman"/>
                <w:sz w:val="24"/>
                <w:szCs w:val="24"/>
                <w:lang w:eastAsia="lv-LV"/>
              </w:rPr>
            </w:pPr>
            <w:r w:rsidRPr="00BB322F">
              <w:rPr>
                <w:rFonts w:eastAsia="Times New Roman" w:cs="Times New Roman"/>
                <w:sz w:val="24"/>
                <w:szCs w:val="24"/>
                <w:lang w:eastAsia="lv-LV"/>
              </w:rPr>
              <w:t>Nav</w:t>
            </w:r>
          </w:p>
        </w:tc>
      </w:tr>
    </w:tbl>
    <w:p w14:paraId="66FC141A" w14:textId="77777777" w:rsidR="00082640" w:rsidRPr="00BB322F" w:rsidRDefault="00082640" w:rsidP="007B0190">
      <w:pPr>
        <w:rPr>
          <w:rFonts w:eastAsia="Times New Roman" w:cs="Times New Roman"/>
          <w:sz w:val="24"/>
          <w:szCs w:val="24"/>
          <w:lang w:eastAsia="lv-LV"/>
        </w:rPr>
      </w:pPr>
      <w:r w:rsidRPr="00BB322F">
        <w:rPr>
          <w:rFonts w:eastAsia="Times New Roman" w:cs="Times New Roman"/>
          <w:sz w:val="24"/>
          <w:szCs w:val="24"/>
          <w:lang w:eastAsia="lv-LV"/>
        </w:rPr>
        <w:t>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02"/>
        <w:gridCol w:w="2849"/>
        <w:gridCol w:w="5997"/>
      </w:tblGrid>
      <w:tr w:rsidR="00082640" w:rsidRPr="00BB322F" w14:paraId="4FD22936" w14:textId="77777777" w:rsidTr="002D0B96">
        <w:trPr>
          <w:trHeight w:val="448"/>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F9C0755" w14:textId="77777777" w:rsidR="00082640" w:rsidRPr="00BB322F" w:rsidRDefault="00082640" w:rsidP="007B0190">
            <w:pPr>
              <w:jc w:val="center"/>
              <w:rPr>
                <w:rFonts w:eastAsia="Times New Roman" w:cs="Times New Roman"/>
                <w:b/>
                <w:bCs/>
                <w:sz w:val="24"/>
                <w:szCs w:val="24"/>
                <w:lang w:eastAsia="lv-LV"/>
              </w:rPr>
            </w:pPr>
            <w:r w:rsidRPr="00BB322F">
              <w:rPr>
                <w:rFonts w:eastAsia="Times New Roman" w:cs="Times New Roman"/>
                <w:b/>
                <w:bCs/>
                <w:sz w:val="24"/>
                <w:szCs w:val="24"/>
                <w:lang w:eastAsia="lv-LV"/>
              </w:rPr>
              <w:t>II. Tiesību akta projekta ietekme uz sabiedrību, tautsaimniecības attīstību un administratīvo slogu</w:t>
            </w:r>
          </w:p>
        </w:tc>
      </w:tr>
      <w:tr w:rsidR="00082640" w:rsidRPr="00BB322F" w14:paraId="221D8F76" w14:textId="77777777" w:rsidTr="002D0B96">
        <w:trPr>
          <w:trHeight w:val="37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4C83D4A8" w14:textId="77777777" w:rsidR="00082640" w:rsidRPr="00BB322F" w:rsidRDefault="00082640" w:rsidP="007B0190">
            <w:pPr>
              <w:rPr>
                <w:rFonts w:eastAsia="Times New Roman" w:cs="Times New Roman"/>
                <w:sz w:val="24"/>
                <w:szCs w:val="24"/>
                <w:lang w:eastAsia="lv-LV"/>
              </w:rPr>
            </w:pPr>
            <w:r w:rsidRPr="00BB322F">
              <w:rPr>
                <w:rFonts w:eastAsia="Times New Roman" w:cs="Times New Roman"/>
                <w:sz w:val="24"/>
                <w:szCs w:val="24"/>
                <w:lang w:eastAsia="lv-LV"/>
              </w:rPr>
              <w:t>1.</w:t>
            </w:r>
          </w:p>
        </w:tc>
        <w:tc>
          <w:tcPr>
            <w:tcW w:w="1518" w:type="pct"/>
            <w:tcBorders>
              <w:top w:val="outset" w:sz="6" w:space="0" w:color="auto"/>
              <w:left w:val="outset" w:sz="6" w:space="0" w:color="auto"/>
              <w:bottom w:val="outset" w:sz="6" w:space="0" w:color="auto"/>
              <w:right w:val="outset" w:sz="6" w:space="0" w:color="auto"/>
            </w:tcBorders>
            <w:hideMark/>
          </w:tcPr>
          <w:p w14:paraId="78821B47" w14:textId="77777777" w:rsidR="00082640" w:rsidRPr="00BB322F" w:rsidRDefault="00082640" w:rsidP="007B0190">
            <w:pPr>
              <w:rPr>
                <w:rFonts w:eastAsia="Times New Roman" w:cs="Times New Roman"/>
                <w:sz w:val="24"/>
                <w:szCs w:val="24"/>
                <w:lang w:eastAsia="lv-LV"/>
              </w:rPr>
            </w:pPr>
            <w:r w:rsidRPr="00BB322F">
              <w:rPr>
                <w:rFonts w:eastAsia="Times New Roman" w:cs="Times New Roman"/>
                <w:sz w:val="24"/>
                <w:szCs w:val="24"/>
                <w:lang w:eastAsia="lv-LV"/>
              </w:rPr>
              <w:t xml:space="preserve">Sabiedrības </w:t>
            </w:r>
            <w:proofErr w:type="spellStart"/>
            <w:r w:rsidRPr="00BB322F">
              <w:rPr>
                <w:rFonts w:eastAsia="Times New Roman" w:cs="Times New Roman"/>
                <w:sz w:val="24"/>
                <w:szCs w:val="24"/>
                <w:lang w:eastAsia="lv-LV"/>
              </w:rPr>
              <w:t>mērķgrupas</w:t>
            </w:r>
            <w:proofErr w:type="spellEnd"/>
            <w:r w:rsidRPr="00BB322F">
              <w:rPr>
                <w:rFonts w:eastAsia="Times New Roman" w:cs="Times New Roman"/>
                <w:sz w:val="24"/>
                <w:szCs w:val="24"/>
                <w:lang w:eastAsia="lv-LV"/>
              </w:rPr>
              <w:t>, kuras tiesiskais regulējums ietekmē vai varētu ietekmēt</w:t>
            </w:r>
          </w:p>
        </w:tc>
        <w:tc>
          <w:tcPr>
            <w:tcW w:w="3172" w:type="pct"/>
            <w:tcBorders>
              <w:top w:val="outset" w:sz="6" w:space="0" w:color="auto"/>
              <w:left w:val="outset" w:sz="6" w:space="0" w:color="auto"/>
              <w:bottom w:val="outset" w:sz="6" w:space="0" w:color="auto"/>
              <w:right w:val="outset" w:sz="6" w:space="0" w:color="auto"/>
            </w:tcBorders>
            <w:hideMark/>
          </w:tcPr>
          <w:p w14:paraId="325D625D" w14:textId="77777777" w:rsidR="00DB7065" w:rsidRPr="00BB322F" w:rsidRDefault="00A75841" w:rsidP="007B0190">
            <w:pPr>
              <w:pStyle w:val="ListParagraph"/>
              <w:numPr>
                <w:ilvl w:val="0"/>
                <w:numId w:val="4"/>
              </w:numPr>
              <w:spacing w:after="0" w:line="240" w:lineRule="auto"/>
              <w:ind w:left="324" w:hanging="283"/>
              <w:jc w:val="both"/>
              <w:rPr>
                <w:rFonts w:ascii="Times New Roman" w:eastAsia="Calibri" w:hAnsi="Times New Roman" w:cs="Times New Roman"/>
                <w:sz w:val="24"/>
                <w:szCs w:val="24"/>
              </w:rPr>
            </w:pPr>
            <w:r w:rsidRPr="00BB322F">
              <w:rPr>
                <w:rFonts w:ascii="Times New Roman" w:eastAsia="Calibri" w:hAnsi="Times New Roman" w:cs="Times New Roman"/>
                <w:sz w:val="24"/>
                <w:szCs w:val="24"/>
              </w:rPr>
              <w:t>sabiedrisko pakalpojumu lietotāji</w:t>
            </w:r>
          </w:p>
          <w:p w14:paraId="43934F18" w14:textId="77777777" w:rsidR="00DB7065" w:rsidRPr="00BB322F" w:rsidRDefault="00A75841" w:rsidP="007B0190">
            <w:pPr>
              <w:pStyle w:val="ListParagraph"/>
              <w:numPr>
                <w:ilvl w:val="0"/>
                <w:numId w:val="4"/>
              </w:numPr>
              <w:spacing w:after="0" w:line="240" w:lineRule="auto"/>
              <w:ind w:left="324" w:hanging="283"/>
              <w:jc w:val="both"/>
              <w:rPr>
                <w:rFonts w:ascii="Times New Roman" w:eastAsia="Calibri" w:hAnsi="Times New Roman" w:cs="Times New Roman"/>
                <w:sz w:val="24"/>
                <w:szCs w:val="24"/>
              </w:rPr>
            </w:pPr>
            <w:r w:rsidRPr="00BB322F">
              <w:rPr>
                <w:rFonts w:ascii="Times New Roman" w:eastAsia="Times New Roman" w:hAnsi="Times New Roman" w:cs="Times New Roman"/>
                <w:sz w:val="24"/>
                <w:szCs w:val="24"/>
                <w:lang w:eastAsia="lv-LV"/>
              </w:rPr>
              <w:t>sabiedrisko pakalpojumu sniedzēji</w:t>
            </w:r>
            <w:r w:rsidR="00DB7065" w:rsidRPr="00BB322F">
              <w:rPr>
                <w:rFonts w:ascii="Times New Roman" w:eastAsia="Times New Roman" w:hAnsi="Times New Roman" w:cs="Times New Roman"/>
                <w:sz w:val="24"/>
                <w:szCs w:val="24"/>
                <w:lang w:eastAsia="lv-LV"/>
              </w:rPr>
              <w:t>;</w:t>
            </w:r>
          </w:p>
          <w:p w14:paraId="054E263C" w14:textId="77777777" w:rsidR="00082640" w:rsidRPr="00BB322F" w:rsidRDefault="00DB7065" w:rsidP="007B0190">
            <w:pPr>
              <w:pStyle w:val="ListParagraph"/>
              <w:numPr>
                <w:ilvl w:val="0"/>
                <w:numId w:val="4"/>
              </w:numPr>
              <w:spacing w:after="0" w:line="240" w:lineRule="auto"/>
              <w:ind w:left="324" w:hanging="283"/>
              <w:jc w:val="both"/>
              <w:rPr>
                <w:rFonts w:ascii="Times New Roman" w:eastAsia="Calibri" w:hAnsi="Times New Roman" w:cs="Times New Roman"/>
                <w:sz w:val="24"/>
                <w:szCs w:val="24"/>
              </w:rPr>
            </w:pPr>
            <w:r w:rsidRPr="00BB322F">
              <w:rPr>
                <w:rFonts w:ascii="Times New Roman" w:eastAsia="Times New Roman" w:hAnsi="Times New Roman" w:cs="Times New Roman"/>
                <w:sz w:val="24"/>
                <w:szCs w:val="24"/>
                <w:lang w:eastAsia="lv-LV"/>
              </w:rPr>
              <w:t>Sabiedrisko pakalpojumu regulēšanas komisija, kas ir tiesīga piemērot administratīvos sodus.</w:t>
            </w:r>
          </w:p>
        </w:tc>
      </w:tr>
      <w:tr w:rsidR="00082640" w:rsidRPr="00BB322F" w14:paraId="0C14188E" w14:textId="77777777" w:rsidTr="002D0B96">
        <w:trPr>
          <w:trHeight w:val="412"/>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6315562A" w14:textId="77777777" w:rsidR="00082640" w:rsidRPr="00BB322F" w:rsidRDefault="00082640" w:rsidP="007B0190">
            <w:pPr>
              <w:rPr>
                <w:rFonts w:eastAsia="Times New Roman" w:cs="Times New Roman"/>
                <w:sz w:val="24"/>
                <w:szCs w:val="24"/>
                <w:lang w:eastAsia="lv-LV"/>
              </w:rPr>
            </w:pPr>
            <w:r w:rsidRPr="00BB322F">
              <w:rPr>
                <w:rFonts w:eastAsia="Times New Roman" w:cs="Times New Roman"/>
                <w:sz w:val="24"/>
                <w:szCs w:val="24"/>
                <w:lang w:eastAsia="lv-LV"/>
              </w:rPr>
              <w:t>2.</w:t>
            </w:r>
          </w:p>
        </w:tc>
        <w:tc>
          <w:tcPr>
            <w:tcW w:w="1518" w:type="pct"/>
            <w:tcBorders>
              <w:top w:val="outset" w:sz="6" w:space="0" w:color="auto"/>
              <w:left w:val="outset" w:sz="6" w:space="0" w:color="auto"/>
              <w:bottom w:val="outset" w:sz="6" w:space="0" w:color="auto"/>
              <w:right w:val="outset" w:sz="6" w:space="0" w:color="auto"/>
            </w:tcBorders>
            <w:hideMark/>
          </w:tcPr>
          <w:p w14:paraId="44978138" w14:textId="77777777" w:rsidR="00082640" w:rsidRPr="00BB322F" w:rsidRDefault="00082640" w:rsidP="007B0190">
            <w:pPr>
              <w:rPr>
                <w:rFonts w:eastAsia="Times New Roman" w:cs="Times New Roman"/>
                <w:sz w:val="24"/>
                <w:szCs w:val="24"/>
                <w:lang w:eastAsia="lv-LV"/>
              </w:rPr>
            </w:pPr>
            <w:r w:rsidRPr="00BB322F">
              <w:rPr>
                <w:rFonts w:eastAsia="Times New Roman" w:cs="Times New Roman"/>
                <w:sz w:val="24"/>
                <w:szCs w:val="24"/>
                <w:lang w:eastAsia="lv-LV"/>
              </w:rPr>
              <w:t>Tiesiskā regulējuma ietekme uz tautsaimniecību un administratīvo slogu</w:t>
            </w:r>
          </w:p>
        </w:tc>
        <w:tc>
          <w:tcPr>
            <w:tcW w:w="3172" w:type="pct"/>
            <w:tcBorders>
              <w:top w:val="outset" w:sz="6" w:space="0" w:color="auto"/>
              <w:left w:val="outset" w:sz="6" w:space="0" w:color="auto"/>
              <w:bottom w:val="outset" w:sz="6" w:space="0" w:color="auto"/>
              <w:right w:val="outset" w:sz="6" w:space="0" w:color="auto"/>
            </w:tcBorders>
            <w:hideMark/>
          </w:tcPr>
          <w:p w14:paraId="034513C5" w14:textId="77777777" w:rsidR="00082640" w:rsidRPr="00BB322F" w:rsidRDefault="00DB7065" w:rsidP="007B0190">
            <w:pPr>
              <w:jc w:val="both"/>
              <w:rPr>
                <w:rFonts w:eastAsia="Times New Roman" w:cs="Times New Roman"/>
                <w:sz w:val="24"/>
                <w:szCs w:val="24"/>
                <w:lang w:eastAsia="lv-LV"/>
              </w:rPr>
            </w:pPr>
            <w:r w:rsidRPr="00BB322F">
              <w:rPr>
                <w:rFonts w:eastAsia="Times New Roman" w:cs="Times New Roman"/>
                <w:sz w:val="24"/>
                <w:szCs w:val="24"/>
                <w:lang w:eastAsia="lv-LV"/>
              </w:rPr>
              <w:t>Projekts šo jomu neskar</w:t>
            </w:r>
          </w:p>
        </w:tc>
      </w:tr>
      <w:tr w:rsidR="00082640" w:rsidRPr="00BB322F" w14:paraId="3E5F9EC4" w14:textId="77777777" w:rsidTr="002D0B96">
        <w:trPr>
          <w:trHeight w:val="412"/>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79FEA49A" w14:textId="77777777" w:rsidR="00082640" w:rsidRPr="00BB322F" w:rsidRDefault="00082640" w:rsidP="007B0190">
            <w:pPr>
              <w:rPr>
                <w:rFonts w:eastAsia="Times New Roman" w:cs="Times New Roman"/>
                <w:sz w:val="24"/>
                <w:szCs w:val="24"/>
                <w:lang w:eastAsia="lv-LV"/>
              </w:rPr>
            </w:pPr>
            <w:r w:rsidRPr="00BB322F">
              <w:rPr>
                <w:rFonts w:eastAsia="Times New Roman" w:cs="Times New Roman"/>
                <w:sz w:val="24"/>
                <w:szCs w:val="24"/>
                <w:lang w:eastAsia="lv-LV"/>
              </w:rPr>
              <w:lastRenderedPageBreak/>
              <w:t>3.</w:t>
            </w:r>
          </w:p>
        </w:tc>
        <w:tc>
          <w:tcPr>
            <w:tcW w:w="1518" w:type="pct"/>
            <w:tcBorders>
              <w:top w:val="outset" w:sz="6" w:space="0" w:color="auto"/>
              <w:left w:val="outset" w:sz="6" w:space="0" w:color="auto"/>
              <w:bottom w:val="outset" w:sz="6" w:space="0" w:color="auto"/>
              <w:right w:val="outset" w:sz="6" w:space="0" w:color="auto"/>
            </w:tcBorders>
            <w:hideMark/>
          </w:tcPr>
          <w:p w14:paraId="38FD8E70" w14:textId="77777777" w:rsidR="00082640" w:rsidRPr="00BB322F" w:rsidRDefault="00082640" w:rsidP="007B0190">
            <w:pPr>
              <w:rPr>
                <w:rFonts w:eastAsia="Times New Roman" w:cs="Times New Roman"/>
                <w:sz w:val="24"/>
                <w:szCs w:val="24"/>
                <w:lang w:eastAsia="lv-LV"/>
              </w:rPr>
            </w:pPr>
            <w:r w:rsidRPr="00BB322F">
              <w:rPr>
                <w:rFonts w:eastAsia="Times New Roman" w:cs="Times New Roman"/>
                <w:sz w:val="24"/>
                <w:szCs w:val="24"/>
                <w:lang w:eastAsia="lv-LV"/>
              </w:rPr>
              <w:t>Administratīvo izmaksu monetārs novērtējums</w:t>
            </w:r>
          </w:p>
        </w:tc>
        <w:tc>
          <w:tcPr>
            <w:tcW w:w="3172" w:type="pct"/>
            <w:tcBorders>
              <w:top w:val="outset" w:sz="6" w:space="0" w:color="auto"/>
              <w:left w:val="outset" w:sz="6" w:space="0" w:color="auto"/>
              <w:bottom w:val="outset" w:sz="6" w:space="0" w:color="auto"/>
              <w:right w:val="outset" w:sz="6" w:space="0" w:color="auto"/>
            </w:tcBorders>
            <w:hideMark/>
          </w:tcPr>
          <w:p w14:paraId="724E3BF8" w14:textId="77777777" w:rsidR="00082640" w:rsidRPr="00BB322F" w:rsidRDefault="00082640" w:rsidP="007B0190">
            <w:pPr>
              <w:rPr>
                <w:rFonts w:eastAsia="Times New Roman" w:cs="Times New Roman"/>
                <w:sz w:val="24"/>
                <w:szCs w:val="24"/>
                <w:lang w:eastAsia="lv-LV"/>
              </w:rPr>
            </w:pPr>
            <w:r w:rsidRPr="00BB322F">
              <w:rPr>
                <w:rFonts w:eastAsia="Times New Roman" w:cs="Times New Roman"/>
                <w:sz w:val="24"/>
                <w:szCs w:val="24"/>
                <w:lang w:eastAsia="lv-LV"/>
              </w:rPr>
              <w:t>Projekts šo jomu neskar</w:t>
            </w:r>
          </w:p>
        </w:tc>
      </w:tr>
      <w:tr w:rsidR="00E7732C" w:rsidRPr="00BB322F" w14:paraId="2AA9F33D" w14:textId="77777777" w:rsidTr="002D0B96">
        <w:trPr>
          <w:trHeight w:val="412"/>
          <w:tblCellSpacing w:w="15" w:type="dxa"/>
        </w:trPr>
        <w:tc>
          <w:tcPr>
            <w:tcW w:w="246" w:type="pct"/>
            <w:tcBorders>
              <w:top w:val="outset" w:sz="6" w:space="0" w:color="auto"/>
              <w:left w:val="outset" w:sz="6" w:space="0" w:color="auto"/>
              <w:bottom w:val="outset" w:sz="6" w:space="0" w:color="auto"/>
              <w:right w:val="outset" w:sz="6" w:space="0" w:color="auto"/>
            </w:tcBorders>
          </w:tcPr>
          <w:p w14:paraId="4ED5871E" w14:textId="77D4A25B" w:rsidR="00E7732C" w:rsidRPr="00BB322F" w:rsidRDefault="00E7732C" w:rsidP="007B0190">
            <w:pPr>
              <w:rPr>
                <w:rFonts w:eastAsia="Times New Roman" w:cs="Times New Roman"/>
                <w:sz w:val="24"/>
                <w:szCs w:val="24"/>
                <w:lang w:eastAsia="lv-LV"/>
              </w:rPr>
            </w:pPr>
            <w:r>
              <w:rPr>
                <w:rFonts w:eastAsia="Times New Roman" w:cs="Times New Roman"/>
                <w:sz w:val="24"/>
                <w:szCs w:val="24"/>
                <w:lang w:eastAsia="lv-LV"/>
              </w:rPr>
              <w:t>4.</w:t>
            </w:r>
          </w:p>
        </w:tc>
        <w:tc>
          <w:tcPr>
            <w:tcW w:w="1518" w:type="pct"/>
            <w:tcBorders>
              <w:top w:val="outset" w:sz="6" w:space="0" w:color="auto"/>
              <w:left w:val="outset" w:sz="6" w:space="0" w:color="auto"/>
              <w:bottom w:val="outset" w:sz="6" w:space="0" w:color="auto"/>
              <w:right w:val="outset" w:sz="6" w:space="0" w:color="auto"/>
            </w:tcBorders>
          </w:tcPr>
          <w:p w14:paraId="70AD6263" w14:textId="1CBCB1BE" w:rsidR="00E7732C" w:rsidRPr="00BB322F" w:rsidRDefault="00E7732C" w:rsidP="007B0190">
            <w:pPr>
              <w:rPr>
                <w:rFonts w:eastAsia="Times New Roman" w:cs="Times New Roman"/>
                <w:sz w:val="24"/>
                <w:szCs w:val="24"/>
                <w:lang w:eastAsia="lv-LV"/>
              </w:rPr>
            </w:pPr>
            <w:r>
              <w:rPr>
                <w:rFonts w:eastAsia="Times New Roman" w:cs="Times New Roman"/>
                <w:sz w:val="24"/>
                <w:szCs w:val="24"/>
                <w:lang w:eastAsia="lv-LV"/>
              </w:rPr>
              <w:t>Atbilstības izmaksu monetārs novērtējums</w:t>
            </w:r>
          </w:p>
        </w:tc>
        <w:tc>
          <w:tcPr>
            <w:tcW w:w="3172" w:type="pct"/>
            <w:tcBorders>
              <w:top w:val="outset" w:sz="6" w:space="0" w:color="auto"/>
              <w:left w:val="outset" w:sz="6" w:space="0" w:color="auto"/>
              <w:bottom w:val="outset" w:sz="6" w:space="0" w:color="auto"/>
              <w:right w:val="outset" w:sz="6" w:space="0" w:color="auto"/>
            </w:tcBorders>
          </w:tcPr>
          <w:p w14:paraId="46A45DA9" w14:textId="62377512" w:rsidR="00E7732C" w:rsidRPr="00BB322F" w:rsidRDefault="00E7732C" w:rsidP="007B0190">
            <w:pPr>
              <w:rPr>
                <w:rFonts w:eastAsia="Times New Roman" w:cs="Times New Roman"/>
                <w:sz w:val="24"/>
                <w:szCs w:val="24"/>
                <w:lang w:eastAsia="lv-LV"/>
              </w:rPr>
            </w:pPr>
            <w:r w:rsidRPr="00BB322F">
              <w:rPr>
                <w:rFonts w:eastAsia="Times New Roman" w:cs="Times New Roman"/>
                <w:sz w:val="24"/>
                <w:szCs w:val="24"/>
                <w:lang w:eastAsia="lv-LV"/>
              </w:rPr>
              <w:t>Projekts šo jomu neskar</w:t>
            </w:r>
          </w:p>
        </w:tc>
      </w:tr>
      <w:tr w:rsidR="00082640" w:rsidRPr="00BB322F" w14:paraId="5671336C" w14:textId="77777777" w:rsidTr="002D0B96">
        <w:trPr>
          <w:trHeight w:val="278"/>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755AA0D6" w14:textId="0C6CA634" w:rsidR="00082640" w:rsidRPr="00BB322F" w:rsidRDefault="00E7732C" w:rsidP="007B0190">
            <w:pPr>
              <w:rPr>
                <w:rFonts w:eastAsia="Times New Roman" w:cs="Times New Roman"/>
                <w:sz w:val="24"/>
                <w:szCs w:val="24"/>
                <w:lang w:eastAsia="lv-LV"/>
              </w:rPr>
            </w:pPr>
            <w:r>
              <w:rPr>
                <w:rFonts w:eastAsia="Times New Roman" w:cs="Times New Roman"/>
                <w:sz w:val="24"/>
                <w:szCs w:val="24"/>
                <w:lang w:eastAsia="lv-LV"/>
              </w:rPr>
              <w:t>5</w:t>
            </w:r>
            <w:r w:rsidR="00082640" w:rsidRPr="00BB322F">
              <w:rPr>
                <w:rFonts w:eastAsia="Times New Roman" w:cs="Times New Roman"/>
                <w:sz w:val="24"/>
                <w:szCs w:val="24"/>
                <w:lang w:eastAsia="lv-LV"/>
              </w:rPr>
              <w:t>.</w:t>
            </w:r>
          </w:p>
        </w:tc>
        <w:tc>
          <w:tcPr>
            <w:tcW w:w="1518" w:type="pct"/>
            <w:tcBorders>
              <w:top w:val="outset" w:sz="6" w:space="0" w:color="auto"/>
              <w:left w:val="outset" w:sz="6" w:space="0" w:color="auto"/>
              <w:bottom w:val="outset" w:sz="6" w:space="0" w:color="auto"/>
              <w:right w:val="outset" w:sz="6" w:space="0" w:color="auto"/>
            </w:tcBorders>
            <w:hideMark/>
          </w:tcPr>
          <w:p w14:paraId="30D93791" w14:textId="77777777" w:rsidR="00082640" w:rsidRPr="00BB322F" w:rsidRDefault="00082640" w:rsidP="007B0190">
            <w:pPr>
              <w:rPr>
                <w:rFonts w:eastAsia="Times New Roman" w:cs="Times New Roman"/>
                <w:sz w:val="24"/>
                <w:szCs w:val="24"/>
                <w:lang w:eastAsia="lv-LV"/>
              </w:rPr>
            </w:pPr>
            <w:r w:rsidRPr="00BB322F">
              <w:rPr>
                <w:rFonts w:eastAsia="Times New Roman" w:cs="Times New Roman"/>
                <w:sz w:val="24"/>
                <w:szCs w:val="24"/>
                <w:lang w:eastAsia="lv-LV"/>
              </w:rPr>
              <w:t>Cita informācija</w:t>
            </w:r>
          </w:p>
        </w:tc>
        <w:tc>
          <w:tcPr>
            <w:tcW w:w="3172" w:type="pct"/>
            <w:tcBorders>
              <w:top w:val="outset" w:sz="6" w:space="0" w:color="auto"/>
              <w:left w:val="outset" w:sz="6" w:space="0" w:color="auto"/>
              <w:bottom w:val="outset" w:sz="6" w:space="0" w:color="auto"/>
              <w:right w:val="outset" w:sz="6" w:space="0" w:color="auto"/>
            </w:tcBorders>
            <w:hideMark/>
          </w:tcPr>
          <w:p w14:paraId="1835790A" w14:textId="77777777" w:rsidR="00082640" w:rsidRPr="00BB322F" w:rsidRDefault="00082640" w:rsidP="007B0190">
            <w:pPr>
              <w:rPr>
                <w:rFonts w:eastAsia="Times New Roman" w:cs="Times New Roman"/>
                <w:sz w:val="24"/>
                <w:szCs w:val="24"/>
                <w:lang w:eastAsia="lv-LV"/>
              </w:rPr>
            </w:pPr>
            <w:r w:rsidRPr="00BB322F">
              <w:rPr>
                <w:rFonts w:eastAsia="Times New Roman" w:cs="Times New Roman"/>
                <w:sz w:val="24"/>
                <w:szCs w:val="24"/>
                <w:lang w:eastAsia="lv-LV"/>
              </w:rPr>
              <w:t>Nav</w:t>
            </w:r>
          </w:p>
        </w:tc>
      </w:tr>
    </w:tbl>
    <w:p w14:paraId="4FCE9851" w14:textId="77777777" w:rsidR="00E73D73" w:rsidRPr="00BB322F" w:rsidRDefault="00082640" w:rsidP="00E91331">
      <w:pPr>
        <w:rPr>
          <w:rFonts w:eastAsia="Times New Roman" w:cs="Times New Roman"/>
          <w:sz w:val="24"/>
          <w:szCs w:val="24"/>
          <w:lang w:eastAsia="lv-LV"/>
        </w:rPr>
      </w:pPr>
      <w:r w:rsidRPr="00BB322F">
        <w:rPr>
          <w:rFonts w:eastAsia="Times New Roman" w:cs="Times New Roman"/>
          <w:sz w:val="24"/>
          <w:szCs w:val="24"/>
          <w:lang w:eastAsia="lv-LV"/>
        </w:rPr>
        <w:t> </w:t>
      </w:r>
    </w:p>
    <w:tbl>
      <w:tblPr>
        <w:tblW w:w="5145" w:type="pct"/>
        <w:tblInd w:w="3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2229"/>
        <w:gridCol w:w="1131"/>
        <w:gridCol w:w="995"/>
        <w:gridCol w:w="850"/>
        <w:gridCol w:w="73"/>
        <w:gridCol w:w="922"/>
        <w:gridCol w:w="852"/>
        <w:gridCol w:w="71"/>
        <w:gridCol w:w="924"/>
        <w:gridCol w:w="1271"/>
      </w:tblGrid>
      <w:tr w:rsidR="00A506A0" w:rsidRPr="00BB322F" w14:paraId="3ED032C4" w14:textId="77777777" w:rsidTr="002D0B96">
        <w:tc>
          <w:tcPr>
            <w:tcW w:w="5000" w:type="pct"/>
            <w:gridSpan w:val="10"/>
            <w:tcBorders>
              <w:top w:val="outset" w:sz="6" w:space="0" w:color="000000"/>
              <w:left w:val="outset" w:sz="6" w:space="0" w:color="000000"/>
              <w:bottom w:val="outset" w:sz="6" w:space="0" w:color="000000"/>
              <w:right w:val="outset" w:sz="6" w:space="0" w:color="000000"/>
            </w:tcBorders>
            <w:hideMark/>
          </w:tcPr>
          <w:p w14:paraId="43B62C59" w14:textId="77777777" w:rsidR="00A506A0" w:rsidRPr="00BB322F" w:rsidRDefault="00A506A0" w:rsidP="00045555">
            <w:pPr>
              <w:pStyle w:val="NormalWeb"/>
              <w:spacing w:line="256" w:lineRule="auto"/>
              <w:jc w:val="center"/>
              <w:rPr>
                <w:b/>
                <w:bCs/>
                <w:lang w:eastAsia="en-US"/>
              </w:rPr>
            </w:pPr>
            <w:r w:rsidRPr="00BB322F">
              <w:rPr>
                <w:b/>
                <w:bCs/>
                <w:lang w:eastAsia="en-US"/>
              </w:rPr>
              <w:t>III. Tiesību akta projekta ietekme uz valsts budžetu un pašvaldību budžetiem</w:t>
            </w:r>
          </w:p>
        </w:tc>
      </w:tr>
      <w:tr w:rsidR="00A506A0" w:rsidRPr="00BB322F" w14:paraId="2CD81B18" w14:textId="77777777" w:rsidTr="002D0B96">
        <w:tc>
          <w:tcPr>
            <w:tcW w:w="1196" w:type="pct"/>
            <w:vMerge w:val="restart"/>
            <w:tcBorders>
              <w:top w:val="outset" w:sz="6" w:space="0" w:color="000000"/>
              <w:left w:val="outset" w:sz="6" w:space="0" w:color="000000"/>
              <w:bottom w:val="outset" w:sz="6" w:space="0" w:color="000000"/>
              <w:right w:val="outset" w:sz="6" w:space="0" w:color="000000"/>
            </w:tcBorders>
            <w:vAlign w:val="center"/>
            <w:hideMark/>
          </w:tcPr>
          <w:p w14:paraId="54385A46" w14:textId="77777777" w:rsidR="00A506A0" w:rsidRPr="002E2850" w:rsidRDefault="00A506A0" w:rsidP="00045555">
            <w:pPr>
              <w:pStyle w:val="NormalWeb"/>
              <w:spacing w:line="256" w:lineRule="auto"/>
              <w:jc w:val="center"/>
              <w:rPr>
                <w:b/>
                <w:bCs/>
                <w:sz w:val="19"/>
                <w:szCs w:val="19"/>
                <w:lang w:eastAsia="en-US"/>
              </w:rPr>
            </w:pPr>
            <w:r w:rsidRPr="002E2850">
              <w:rPr>
                <w:b/>
                <w:bCs/>
                <w:sz w:val="19"/>
                <w:szCs w:val="19"/>
                <w:lang w:eastAsia="en-US"/>
              </w:rPr>
              <w:t>Rādītāji</w:t>
            </w:r>
          </w:p>
        </w:tc>
        <w:tc>
          <w:tcPr>
            <w:tcW w:w="1141"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14:paraId="10EC1DCD" w14:textId="3F30CAF2" w:rsidR="00A506A0" w:rsidRPr="002E2850" w:rsidRDefault="00A506A0" w:rsidP="00F14D7C">
            <w:pPr>
              <w:pStyle w:val="NormalWeb"/>
              <w:spacing w:line="256" w:lineRule="auto"/>
              <w:jc w:val="center"/>
              <w:rPr>
                <w:b/>
                <w:bCs/>
                <w:sz w:val="19"/>
                <w:szCs w:val="19"/>
                <w:lang w:eastAsia="en-US"/>
              </w:rPr>
            </w:pPr>
            <w:r w:rsidRPr="002E2850">
              <w:rPr>
                <w:b/>
                <w:bCs/>
                <w:sz w:val="19"/>
                <w:szCs w:val="19"/>
                <w:lang w:eastAsia="en-US"/>
              </w:rPr>
              <w:t>201</w:t>
            </w:r>
            <w:r w:rsidR="00E7732C" w:rsidRPr="002E2850">
              <w:rPr>
                <w:b/>
                <w:bCs/>
                <w:sz w:val="19"/>
                <w:szCs w:val="19"/>
                <w:lang w:eastAsia="en-US"/>
              </w:rPr>
              <w:t>9</w:t>
            </w:r>
            <w:r w:rsidRPr="002E2850">
              <w:rPr>
                <w:b/>
                <w:bCs/>
                <w:sz w:val="19"/>
                <w:szCs w:val="19"/>
                <w:lang w:eastAsia="en-US"/>
              </w:rPr>
              <w:t>.gads</w:t>
            </w:r>
          </w:p>
        </w:tc>
        <w:tc>
          <w:tcPr>
            <w:tcW w:w="2664" w:type="pct"/>
            <w:gridSpan w:val="7"/>
            <w:tcBorders>
              <w:top w:val="outset" w:sz="6" w:space="0" w:color="000000"/>
              <w:left w:val="outset" w:sz="6" w:space="0" w:color="000000"/>
              <w:bottom w:val="outset" w:sz="6" w:space="0" w:color="000000"/>
              <w:right w:val="outset" w:sz="6" w:space="0" w:color="000000"/>
            </w:tcBorders>
            <w:vAlign w:val="center"/>
            <w:hideMark/>
          </w:tcPr>
          <w:p w14:paraId="4D400A4D" w14:textId="77777777" w:rsidR="00A506A0" w:rsidRPr="00BB322F" w:rsidRDefault="00A506A0" w:rsidP="00045555">
            <w:pPr>
              <w:pStyle w:val="NormalWeb"/>
              <w:spacing w:line="256" w:lineRule="auto"/>
              <w:jc w:val="center"/>
              <w:rPr>
                <w:lang w:eastAsia="en-US"/>
              </w:rPr>
            </w:pPr>
            <w:r w:rsidRPr="00BB322F">
              <w:rPr>
                <w:lang w:eastAsia="en-US"/>
              </w:rPr>
              <w:t>Turpmākie trīs gadi (</w:t>
            </w:r>
            <w:proofErr w:type="spellStart"/>
            <w:r w:rsidRPr="00BB322F">
              <w:rPr>
                <w:i/>
                <w:lang w:eastAsia="en-US"/>
              </w:rPr>
              <w:t>euro</w:t>
            </w:r>
            <w:proofErr w:type="spellEnd"/>
            <w:r w:rsidRPr="00BB322F">
              <w:rPr>
                <w:lang w:eastAsia="en-US"/>
              </w:rPr>
              <w:t>)</w:t>
            </w:r>
          </w:p>
        </w:tc>
      </w:tr>
      <w:tr w:rsidR="0018097A" w:rsidRPr="00BB322F" w14:paraId="650615A0" w14:textId="77777777" w:rsidTr="002D0B96">
        <w:tc>
          <w:tcPr>
            <w:tcW w:w="1196" w:type="pct"/>
            <w:vMerge/>
            <w:tcBorders>
              <w:top w:val="outset" w:sz="6" w:space="0" w:color="000000"/>
              <w:left w:val="outset" w:sz="6" w:space="0" w:color="000000"/>
              <w:bottom w:val="outset" w:sz="6" w:space="0" w:color="000000"/>
              <w:right w:val="outset" w:sz="6" w:space="0" w:color="000000"/>
            </w:tcBorders>
            <w:vAlign w:val="center"/>
            <w:hideMark/>
          </w:tcPr>
          <w:p w14:paraId="79942981" w14:textId="77777777" w:rsidR="00A506A0" w:rsidRPr="000C0FAB" w:rsidRDefault="00A506A0" w:rsidP="00045555">
            <w:pPr>
              <w:spacing w:line="256" w:lineRule="auto"/>
              <w:rPr>
                <w:rFonts w:eastAsia="Times New Roman" w:cs="Times New Roman"/>
                <w:b/>
                <w:bCs/>
                <w:sz w:val="19"/>
                <w:szCs w:val="19"/>
              </w:rPr>
            </w:pPr>
          </w:p>
        </w:tc>
        <w:tc>
          <w:tcPr>
            <w:tcW w:w="1141" w:type="pct"/>
            <w:gridSpan w:val="2"/>
            <w:vMerge/>
            <w:tcBorders>
              <w:top w:val="outset" w:sz="6" w:space="0" w:color="000000"/>
              <w:left w:val="outset" w:sz="6" w:space="0" w:color="000000"/>
              <w:bottom w:val="outset" w:sz="6" w:space="0" w:color="000000"/>
              <w:right w:val="outset" w:sz="6" w:space="0" w:color="000000"/>
            </w:tcBorders>
            <w:vAlign w:val="center"/>
            <w:hideMark/>
          </w:tcPr>
          <w:p w14:paraId="44092622" w14:textId="77777777" w:rsidR="00A506A0" w:rsidRPr="000C0FAB" w:rsidRDefault="00A506A0" w:rsidP="00045555">
            <w:pPr>
              <w:spacing w:line="256" w:lineRule="auto"/>
              <w:rPr>
                <w:rFonts w:eastAsia="Times New Roman" w:cs="Times New Roman"/>
                <w:b/>
                <w:bCs/>
                <w:sz w:val="19"/>
                <w:szCs w:val="19"/>
              </w:rPr>
            </w:pPr>
          </w:p>
        </w:tc>
        <w:tc>
          <w:tcPr>
            <w:tcW w:w="989" w:type="pct"/>
            <w:gridSpan w:val="3"/>
            <w:tcBorders>
              <w:top w:val="outset" w:sz="6" w:space="0" w:color="000000"/>
              <w:left w:val="outset" w:sz="6" w:space="0" w:color="000000"/>
              <w:bottom w:val="outset" w:sz="6" w:space="0" w:color="000000"/>
              <w:right w:val="outset" w:sz="6" w:space="0" w:color="000000"/>
            </w:tcBorders>
            <w:vAlign w:val="center"/>
            <w:hideMark/>
          </w:tcPr>
          <w:p w14:paraId="2E08D253" w14:textId="1E60A90B" w:rsidR="00A506A0" w:rsidRPr="00BB322F" w:rsidRDefault="00A506A0" w:rsidP="00F14D7C">
            <w:pPr>
              <w:pStyle w:val="NormalWeb"/>
              <w:spacing w:line="256" w:lineRule="auto"/>
              <w:jc w:val="center"/>
              <w:rPr>
                <w:b/>
                <w:bCs/>
                <w:lang w:eastAsia="en-US"/>
              </w:rPr>
            </w:pPr>
            <w:r w:rsidRPr="00BB322F">
              <w:rPr>
                <w:b/>
                <w:bCs/>
                <w:lang w:eastAsia="en-US"/>
              </w:rPr>
              <w:t>20</w:t>
            </w:r>
            <w:r w:rsidR="001A5976">
              <w:rPr>
                <w:b/>
                <w:bCs/>
                <w:lang w:eastAsia="en-US"/>
              </w:rPr>
              <w:t>20</w:t>
            </w:r>
          </w:p>
        </w:tc>
        <w:tc>
          <w:tcPr>
            <w:tcW w:w="991" w:type="pct"/>
            <w:gridSpan w:val="3"/>
            <w:tcBorders>
              <w:top w:val="outset" w:sz="6" w:space="0" w:color="000000"/>
              <w:left w:val="outset" w:sz="6" w:space="0" w:color="000000"/>
              <w:bottom w:val="outset" w:sz="6" w:space="0" w:color="000000"/>
              <w:right w:val="outset" w:sz="6" w:space="0" w:color="000000"/>
            </w:tcBorders>
            <w:vAlign w:val="center"/>
            <w:hideMark/>
          </w:tcPr>
          <w:p w14:paraId="23798A2E" w14:textId="60F539F1" w:rsidR="00A506A0" w:rsidRPr="00BB322F" w:rsidRDefault="00A506A0" w:rsidP="00F14D7C">
            <w:pPr>
              <w:pStyle w:val="NormalWeb"/>
              <w:spacing w:line="256" w:lineRule="auto"/>
              <w:jc w:val="center"/>
              <w:rPr>
                <w:b/>
                <w:bCs/>
                <w:lang w:eastAsia="en-US"/>
              </w:rPr>
            </w:pPr>
            <w:r w:rsidRPr="00BB322F">
              <w:rPr>
                <w:b/>
                <w:bCs/>
                <w:lang w:eastAsia="en-US"/>
              </w:rPr>
              <w:t>20</w:t>
            </w:r>
            <w:r w:rsidR="001A5976">
              <w:rPr>
                <w:b/>
                <w:bCs/>
                <w:lang w:eastAsia="en-US"/>
              </w:rPr>
              <w:t>21</w:t>
            </w:r>
          </w:p>
        </w:tc>
        <w:tc>
          <w:tcPr>
            <w:tcW w:w="684" w:type="pct"/>
            <w:tcBorders>
              <w:top w:val="outset" w:sz="6" w:space="0" w:color="000000"/>
              <w:left w:val="outset" w:sz="6" w:space="0" w:color="000000"/>
              <w:bottom w:val="outset" w:sz="6" w:space="0" w:color="000000"/>
              <w:right w:val="outset" w:sz="6" w:space="0" w:color="000000"/>
            </w:tcBorders>
            <w:vAlign w:val="center"/>
            <w:hideMark/>
          </w:tcPr>
          <w:p w14:paraId="08B6B9E4" w14:textId="3ABCC62A" w:rsidR="00A506A0" w:rsidRPr="00BB322F" w:rsidRDefault="00A506A0" w:rsidP="00F14D7C">
            <w:pPr>
              <w:pStyle w:val="NormalWeb"/>
              <w:spacing w:line="256" w:lineRule="auto"/>
              <w:jc w:val="center"/>
              <w:rPr>
                <w:b/>
                <w:bCs/>
                <w:lang w:eastAsia="en-US"/>
              </w:rPr>
            </w:pPr>
            <w:r w:rsidRPr="00BB322F">
              <w:rPr>
                <w:b/>
                <w:bCs/>
                <w:lang w:eastAsia="en-US"/>
              </w:rPr>
              <w:t>20</w:t>
            </w:r>
            <w:r w:rsidR="00F14D7C" w:rsidRPr="00BB322F">
              <w:rPr>
                <w:b/>
                <w:bCs/>
                <w:lang w:eastAsia="en-US"/>
              </w:rPr>
              <w:t>2</w:t>
            </w:r>
            <w:r w:rsidR="001A5976">
              <w:rPr>
                <w:b/>
                <w:bCs/>
                <w:lang w:eastAsia="en-US"/>
              </w:rPr>
              <w:t>2</w:t>
            </w:r>
          </w:p>
        </w:tc>
      </w:tr>
      <w:tr w:rsidR="0018097A" w:rsidRPr="00BB322F" w14:paraId="429715A0" w14:textId="77777777" w:rsidTr="002D0B96">
        <w:tc>
          <w:tcPr>
            <w:tcW w:w="1196" w:type="pct"/>
            <w:vMerge/>
            <w:tcBorders>
              <w:top w:val="outset" w:sz="6" w:space="0" w:color="000000"/>
              <w:left w:val="outset" w:sz="6" w:space="0" w:color="000000"/>
              <w:bottom w:val="outset" w:sz="6" w:space="0" w:color="000000"/>
              <w:right w:val="outset" w:sz="6" w:space="0" w:color="000000"/>
            </w:tcBorders>
            <w:vAlign w:val="center"/>
            <w:hideMark/>
          </w:tcPr>
          <w:p w14:paraId="35788500" w14:textId="77777777" w:rsidR="0018097A" w:rsidRPr="000C0FAB" w:rsidRDefault="0018097A" w:rsidP="0018097A">
            <w:pPr>
              <w:spacing w:line="256" w:lineRule="auto"/>
              <w:rPr>
                <w:rFonts w:eastAsia="Times New Roman" w:cs="Times New Roman"/>
                <w:b/>
                <w:bCs/>
                <w:sz w:val="19"/>
                <w:szCs w:val="19"/>
              </w:rPr>
            </w:pPr>
          </w:p>
        </w:tc>
        <w:tc>
          <w:tcPr>
            <w:tcW w:w="607" w:type="pct"/>
            <w:tcBorders>
              <w:top w:val="outset" w:sz="6" w:space="0" w:color="000000"/>
              <w:left w:val="outset" w:sz="6" w:space="0" w:color="000000"/>
              <w:bottom w:val="outset" w:sz="6" w:space="0" w:color="000000"/>
              <w:right w:val="outset" w:sz="6" w:space="0" w:color="000000"/>
            </w:tcBorders>
            <w:vAlign w:val="center"/>
            <w:hideMark/>
          </w:tcPr>
          <w:p w14:paraId="6B931DB9" w14:textId="770B1D82" w:rsidR="0018097A" w:rsidRPr="002E2850" w:rsidRDefault="0018097A" w:rsidP="0018097A">
            <w:pPr>
              <w:pStyle w:val="NormalWeb"/>
              <w:spacing w:line="256" w:lineRule="auto"/>
              <w:jc w:val="center"/>
              <w:rPr>
                <w:rFonts w:ascii="Cambria" w:hAnsi="Cambria"/>
                <w:sz w:val="19"/>
                <w:szCs w:val="19"/>
                <w:lang w:eastAsia="en-US"/>
              </w:rPr>
            </w:pPr>
            <w:r>
              <w:rPr>
                <w:rFonts w:ascii="Cambria" w:hAnsi="Cambria"/>
                <w:sz w:val="19"/>
                <w:szCs w:val="19"/>
                <w:lang w:eastAsia="en-US"/>
              </w:rPr>
              <w:t>s</w:t>
            </w:r>
            <w:r w:rsidRPr="002E2850">
              <w:rPr>
                <w:rFonts w:ascii="Cambria" w:hAnsi="Cambria"/>
                <w:sz w:val="19"/>
                <w:szCs w:val="19"/>
                <w:lang w:eastAsia="en-US"/>
              </w:rPr>
              <w:t>askaņā ar valsts budžetu kārtējam gadam</w:t>
            </w:r>
          </w:p>
        </w:tc>
        <w:tc>
          <w:tcPr>
            <w:tcW w:w="533" w:type="pct"/>
            <w:tcBorders>
              <w:top w:val="outset" w:sz="6" w:space="0" w:color="000000"/>
              <w:left w:val="outset" w:sz="6" w:space="0" w:color="000000"/>
              <w:bottom w:val="outset" w:sz="6" w:space="0" w:color="000000"/>
              <w:right w:val="outset" w:sz="6" w:space="0" w:color="000000"/>
            </w:tcBorders>
            <w:vAlign w:val="center"/>
            <w:hideMark/>
          </w:tcPr>
          <w:p w14:paraId="05E8426A" w14:textId="007805C8" w:rsidR="0018097A" w:rsidRPr="002E2850" w:rsidRDefault="0018097A" w:rsidP="0018097A">
            <w:pPr>
              <w:pStyle w:val="NormalWeb"/>
              <w:spacing w:line="256" w:lineRule="auto"/>
              <w:jc w:val="center"/>
              <w:rPr>
                <w:rFonts w:ascii="Cambria" w:hAnsi="Cambria"/>
                <w:sz w:val="19"/>
                <w:szCs w:val="19"/>
                <w:lang w:eastAsia="en-US"/>
              </w:rPr>
            </w:pPr>
            <w:r>
              <w:rPr>
                <w:rFonts w:ascii="Cambria" w:hAnsi="Cambria"/>
                <w:sz w:val="19"/>
                <w:szCs w:val="19"/>
                <w:lang w:eastAsia="en-US"/>
              </w:rPr>
              <w:t>i</w:t>
            </w:r>
            <w:r w:rsidRPr="002E2850">
              <w:rPr>
                <w:rFonts w:ascii="Cambria" w:hAnsi="Cambria"/>
                <w:sz w:val="19"/>
                <w:szCs w:val="19"/>
                <w:lang w:eastAsia="en-US"/>
              </w:rPr>
              <w:t>zmaiņas kārtējā gadā, salīdzinot ar valsts budžetu kārtējam gadam</w:t>
            </w:r>
          </w:p>
        </w:tc>
        <w:tc>
          <w:tcPr>
            <w:tcW w:w="456" w:type="pct"/>
            <w:tcBorders>
              <w:top w:val="outset" w:sz="6" w:space="0" w:color="000000"/>
              <w:left w:val="outset" w:sz="6" w:space="0" w:color="000000"/>
              <w:bottom w:val="outset" w:sz="6" w:space="0" w:color="000000"/>
              <w:right w:val="outset" w:sz="6" w:space="0" w:color="000000"/>
            </w:tcBorders>
            <w:vAlign w:val="center"/>
            <w:hideMark/>
          </w:tcPr>
          <w:p w14:paraId="28483746" w14:textId="7AF7865A" w:rsidR="0018097A" w:rsidRPr="00BB322F" w:rsidRDefault="0018097A" w:rsidP="0018097A">
            <w:pPr>
              <w:pStyle w:val="NormalWeb"/>
              <w:spacing w:line="256" w:lineRule="auto"/>
              <w:jc w:val="center"/>
              <w:rPr>
                <w:lang w:eastAsia="en-US"/>
              </w:rPr>
            </w:pPr>
            <w:r w:rsidRPr="002D7166">
              <w:rPr>
                <w:rFonts w:ascii="Cambria" w:hAnsi="Cambria"/>
                <w:sz w:val="19"/>
                <w:szCs w:val="19"/>
                <w:lang w:eastAsia="en-US"/>
              </w:rPr>
              <w:t>saskaņā ar vidēja termiņa budžeta ietvaru</w:t>
            </w:r>
          </w:p>
        </w:tc>
        <w:tc>
          <w:tcPr>
            <w:tcW w:w="533" w:type="pct"/>
            <w:gridSpan w:val="2"/>
            <w:tcBorders>
              <w:top w:val="outset" w:sz="6" w:space="0" w:color="000000"/>
              <w:left w:val="outset" w:sz="6" w:space="0" w:color="000000"/>
              <w:bottom w:val="outset" w:sz="6" w:space="0" w:color="000000"/>
              <w:right w:val="outset" w:sz="6" w:space="0" w:color="000000"/>
            </w:tcBorders>
            <w:vAlign w:val="center"/>
          </w:tcPr>
          <w:p w14:paraId="3A4887E4" w14:textId="0158053E" w:rsidR="0018097A" w:rsidRPr="00BB322F" w:rsidRDefault="0018097A" w:rsidP="0018097A">
            <w:pPr>
              <w:pStyle w:val="NormalWeb"/>
              <w:spacing w:line="256" w:lineRule="auto"/>
              <w:jc w:val="center"/>
              <w:rPr>
                <w:lang w:eastAsia="en-US"/>
              </w:rPr>
            </w:pPr>
            <w:r w:rsidRPr="002D7166">
              <w:rPr>
                <w:rFonts w:ascii="Cambria" w:hAnsi="Cambria"/>
                <w:sz w:val="19"/>
                <w:szCs w:val="19"/>
                <w:lang w:eastAsia="en-US"/>
              </w:rPr>
              <w:t xml:space="preserve">izmaiņas, salīdzinot ar vidēja termiņa budžeta ietvaru </w:t>
            </w:r>
            <w:r>
              <w:rPr>
                <w:rFonts w:ascii="Cambria" w:hAnsi="Cambria"/>
                <w:sz w:val="19"/>
                <w:szCs w:val="19"/>
                <w:lang w:eastAsia="en-US"/>
              </w:rPr>
              <w:t>2020</w:t>
            </w:r>
            <w:r w:rsidRPr="002D7166">
              <w:rPr>
                <w:rFonts w:ascii="Cambria" w:hAnsi="Cambria"/>
                <w:sz w:val="19"/>
                <w:szCs w:val="19"/>
                <w:lang w:eastAsia="en-US"/>
              </w:rPr>
              <w:t xml:space="preserve"> gadam</w:t>
            </w:r>
          </w:p>
        </w:tc>
        <w:tc>
          <w:tcPr>
            <w:tcW w:w="457" w:type="pct"/>
            <w:tcBorders>
              <w:top w:val="outset" w:sz="6" w:space="0" w:color="000000"/>
              <w:left w:val="outset" w:sz="6" w:space="0" w:color="000000"/>
              <w:bottom w:val="outset" w:sz="6" w:space="0" w:color="000000"/>
              <w:right w:val="outset" w:sz="6" w:space="0" w:color="000000"/>
            </w:tcBorders>
            <w:vAlign w:val="center"/>
            <w:hideMark/>
          </w:tcPr>
          <w:p w14:paraId="3ABB1C9B" w14:textId="557499A1" w:rsidR="0018097A" w:rsidRPr="00BB322F" w:rsidRDefault="0018097A" w:rsidP="0018097A">
            <w:pPr>
              <w:pStyle w:val="NormalWeb"/>
              <w:spacing w:line="256" w:lineRule="auto"/>
              <w:jc w:val="center"/>
              <w:rPr>
                <w:lang w:eastAsia="en-US"/>
              </w:rPr>
            </w:pPr>
            <w:r w:rsidRPr="002D7166">
              <w:rPr>
                <w:rFonts w:ascii="Cambria" w:hAnsi="Cambria"/>
                <w:sz w:val="19"/>
                <w:szCs w:val="19"/>
                <w:lang w:eastAsia="en-US"/>
              </w:rPr>
              <w:t>saskaņā ar vidēja termiņa budžeta ietvaru</w:t>
            </w:r>
          </w:p>
        </w:tc>
        <w:tc>
          <w:tcPr>
            <w:tcW w:w="533" w:type="pct"/>
            <w:gridSpan w:val="2"/>
            <w:tcBorders>
              <w:top w:val="outset" w:sz="6" w:space="0" w:color="000000"/>
              <w:left w:val="outset" w:sz="6" w:space="0" w:color="000000"/>
              <w:bottom w:val="outset" w:sz="6" w:space="0" w:color="000000"/>
              <w:right w:val="outset" w:sz="6" w:space="0" w:color="000000"/>
            </w:tcBorders>
            <w:vAlign w:val="center"/>
          </w:tcPr>
          <w:p w14:paraId="0B921630" w14:textId="02C25E5E" w:rsidR="0018097A" w:rsidRPr="00BB322F" w:rsidRDefault="0018097A" w:rsidP="0018097A">
            <w:pPr>
              <w:pStyle w:val="NormalWeb"/>
              <w:spacing w:line="256" w:lineRule="auto"/>
              <w:jc w:val="center"/>
              <w:rPr>
                <w:lang w:eastAsia="en-US"/>
              </w:rPr>
            </w:pPr>
            <w:r w:rsidRPr="002D7166">
              <w:rPr>
                <w:rFonts w:ascii="Cambria" w:hAnsi="Cambria"/>
                <w:sz w:val="19"/>
                <w:szCs w:val="19"/>
                <w:lang w:eastAsia="en-US"/>
              </w:rPr>
              <w:t xml:space="preserve">izmaiņas, salīdzinot ar vidēja termiņa budžeta ietvaru </w:t>
            </w:r>
            <w:r>
              <w:rPr>
                <w:rFonts w:ascii="Cambria" w:hAnsi="Cambria"/>
                <w:sz w:val="19"/>
                <w:szCs w:val="19"/>
                <w:lang w:eastAsia="en-US"/>
              </w:rPr>
              <w:t>2021</w:t>
            </w:r>
            <w:r w:rsidRPr="002D7166">
              <w:rPr>
                <w:rFonts w:ascii="Cambria" w:hAnsi="Cambria"/>
                <w:sz w:val="19"/>
                <w:szCs w:val="19"/>
                <w:lang w:eastAsia="en-US"/>
              </w:rPr>
              <w:t xml:space="preserve"> gadam</w:t>
            </w:r>
          </w:p>
        </w:tc>
        <w:tc>
          <w:tcPr>
            <w:tcW w:w="684" w:type="pct"/>
            <w:tcBorders>
              <w:top w:val="outset" w:sz="6" w:space="0" w:color="000000"/>
              <w:left w:val="outset" w:sz="6" w:space="0" w:color="000000"/>
              <w:bottom w:val="outset" w:sz="6" w:space="0" w:color="000000"/>
              <w:right w:val="outset" w:sz="6" w:space="0" w:color="000000"/>
            </w:tcBorders>
            <w:vAlign w:val="center"/>
            <w:hideMark/>
          </w:tcPr>
          <w:p w14:paraId="7E69F98A" w14:textId="5C560782" w:rsidR="0018097A" w:rsidRPr="00BB322F" w:rsidRDefault="0018097A" w:rsidP="0018097A">
            <w:pPr>
              <w:pStyle w:val="NormalWeb"/>
              <w:spacing w:line="256" w:lineRule="auto"/>
              <w:jc w:val="center"/>
              <w:rPr>
                <w:lang w:eastAsia="en-US"/>
              </w:rPr>
            </w:pPr>
            <w:r w:rsidRPr="002D7166">
              <w:rPr>
                <w:rFonts w:ascii="Cambria" w:hAnsi="Cambria"/>
                <w:sz w:val="19"/>
                <w:szCs w:val="19"/>
                <w:lang w:eastAsia="en-US"/>
              </w:rPr>
              <w:t xml:space="preserve">izmaiņas, salīdzinot ar vidēja termiņa budžeta ietvaru </w:t>
            </w:r>
            <w:r>
              <w:rPr>
                <w:rFonts w:ascii="Cambria" w:hAnsi="Cambria"/>
                <w:sz w:val="19"/>
                <w:szCs w:val="19"/>
                <w:lang w:eastAsia="en-US"/>
              </w:rPr>
              <w:br/>
              <w:t>2022</w:t>
            </w:r>
            <w:r w:rsidRPr="002D7166">
              <w:rPr>
                <w:rFonts w:ascii="Cambria" w:hAnsi="Cambria"/>
                <w:sz w:val="19"/>
                <w:szCs w:val="19"/>
                <w:lang w:eastAsia="en-US"/>
              </w:rPr>
              <w:t xml:space="preserve"> gadam</w:t>
            </w:r>
          </w:p>
        </w:tc>
      </w:tr>
      <w:tr w:rsidR="0018097A" w:rsidRPr="00BB322F" w14:paraId="407B78D4" w14:textId="77777777" w:rsidTr="002D0B96">
        <w:trPr>
          <w:trHeight w:val="112"/>
        </w:trPr>
        <w:tc>
          <w:tcPr>
            <w:tcW w:w="1196" w:type="pct"/>
            <w:tcBorders>
              <w:top w:val="outset" w:sz="6" w:space="0" w:color="000000"/>
              <w:left w:val="outset" w:sz="6" w:space="0" w:color="000000"/>
              <w:bottom w:val="outset" w:sz="6" w:space="0" w:color="000000"/>
              <w:right w:val="outset" w:sz="6" w:space="0" w:color="000000"/>
            </w:tcBorders>
            <w:vAlign w:val="center"/>
            <w:hideMark/>
          </w:tcPr>
          <w:p w14:paraId="39256395" w14:textId="77777777" w:rsidR="001A5976" w:rsidRPr="00BB322F" w:rsidRDefault="001A5976" w:rsidP="00045555">
            <w:pPr>
              <w:pStyle w:val="NormalWeb"/>
              <w:spacing w:line="256" w:lineRule="auto"/>
              <w:jc w:val="center"/>
              <w:rPr>
                <w:lang w:eastAsia="en-US"/>
              </w:rPr>
            </w:pPr>
            <w:r w:rsidRPr="00BB322F">
              <w:rPr>
                <w:lang w:eastAsia="en-US"/>
              </w:rPr>
              <w:t>1</w:t>
            </w:r>
          </w:p>
        </w:tc>
        <w:tc>
          <w:tcPr>
            <w:tcW w:w="607" w:type="pct"/>
            <w:tcBorders>
              <w:top w:val="outset" w:sz="6" w:space="0" w:color="000000"/>
              <w:left w:val="outset" w:sz="6" w:space="0" w:color="000000"/>
              <w:bottom w:val="outset" w:sz="6" w:space="0" w:color="000000"/>
              <w:right w:val="outset" w:sz="6" w:space="0" w:color="000000"/>
            </w:tcBorders>
            <w:vAlign w:val="center"/>
            <w:hideMark/>
          </w:tcPr>
          <w:p w14:paraId="6A6A1767" w14:textId="77777777" w:rsidR="001A5976" w:rsidRPr="00BB322F" w:rsidRDefault="001A5976" w:rsidP="00045555">
            <w:pPr>
              <w:pStyle w:val="NormalWeb"/>
              <w:spacing w:line="256" w:lineRule="auto"/>
              <w:jc w:val="center"/>
              <w:rPr>
                <w:lang w:eastAsia="en-US"/>
              </w:rPr>
            </w:pPr>
            <w:r w:rsidRPr="00BB322F">
              <w:rPr>
                <w:lang w:eastAsia="en-US"/>
              </w:rPr>
              <w:t>2</w:t>
            </w:r>
          </w:p>
        </w:tc>
        <w:tc>
          <w:tcPr>
            <w:tcW w:w="533" w:type="pct"/>
            <w:tcBorders>
              <w:top w:val="outset" w:sz="6" w:space="0" w:color="000000"/>
              <w:left w:val="outset" w:sz="6" w:space="0" w:color="000000"/>
              <w:bottom w:val="outset" w:sz="6" w:space="0" w:color="000000"/>
              <w:right w:val="outset" w:sz="6" w:space="0" w:color="000000"/>
            </w:tcBorders>
            <w:vAlign w:val="center"/>
            <w:hideMark/>
          </w:tcPr>
          <w:p w14:paraId="0310C72D" w14:textId="77777777" w:rsidR="001A5976" w:rsidRPr="00BB322F" w:rsidRDefault="001A5976" w:rsidP="00045555">
            <w:pPr>
              <w:pStyle w:val="NormalWeb"/>
              <w:spacing w:line="256" w:lineRule="auto"/>
              <w:jc w:val="center"/>
              <w:rPr>
                <w:lang w:eastAsia="en-US"/>
              </w:rPr>
            </w:pPr>
            <w:r w:rsidRPr="00BB322F">
              <w:rPr>
                <w:lang w:eastAsia="en-US"/>
              </w:rPr>
              <w:t>3</w:t>
            </w:r>
          </w:p>
        </w:tc>
        <w:tc>
          <w:tcPr>
            <w:tcW w:w="456" w:type="pct"/>
            <w:tcBorders>
              <w:top w:val="outset" w:sz="6" w:space="0" w:color="000000"/>
              <w:left w:val="outset" w:sz="6" w:space="0" w:color="000000"/>
              <w:bottom w:val="outset" w:sz="6" w:space="0" w:color="000000"/>
              <w:right w:val="outset" w:sz="6" w:space="0" w:color="000000"/>
            </w:tcBorders>
            <w:vAlign w:val="center"/>
            <w:hideMark/>
          </w:tcPr>
          <w:p w14:paraId="35202F2D" w14:textId="77777777" w:rsidR="001A5976" w:rsidRPr="00BB322F" w:rsidRDefault="001A5976" w:rsidP="00045555">
            <w:pPr>
              <w:pStyle w:val="NormalWeb"/>
              <w:spacing w:line="256" w:lineRule="auto"/>
              <w:jc w:val="center"/>
              <w:rPr>
                <w:lang w:eastAsia="en-US"/>
              </w:rPr>
            </w:pPr>
            <w:r w:rsidRPr="00BB322F">
              <w:rPr>
                <w:lang w:eastAsia="en-US"/>
              </w:rPr>
              <w:t>4</w:t>
            </w:r>
          </w:p>
        </w:tc>
        <w:tc>
          <w:tcPr>
            <w:tcW w:w="533" w:type="pct"/>
            <w:gridSpan w:val="2"/>
            <w:tcBorders>
              <w:top w:val="outset" w:sz="6" w:space="0" w:color="000000"/>
              <w:left w:val="outset" w:sz="6" w:space="0" w:color="000000"/>
              <w:bottom w:val="outset" w:sz="6" w:space="0" w:color="000000"/>
              <w:right w:val="outset" w:sz="6" w:space="0" w:color="000000"/>
            </w:tcBorders>
            <w:vAlign w:val="center"/>
          </w:tcPr>
          <w:p w14:paraId="35B5CD62" w14:textId="17735E06" w:rsidR="001A5976" w:rsidRPr="00BB322F" w:rsidRDefault="001A5976" w:rsidP="00045555">
            <w:pPr>
              <w:pStyle w:val="NormalWeb"/>
              <w:spacing w:line="256" w:lineRule="auto"/>
              <w:jc w:val="center"/>
              <w:rPr>
                <w:lang w:eastAsia="en-US"/>
              </w:rPr>
            </w:pPr>
            <w:r>
              <w:rPr>
                <w:lang w:eastAsia="en-US"/>
              </w:rPr>
              <w:t>5</w:t>
            </w:r>
          </w:p>
        </w:tc>
        <w:tc>
          <w:tcPr>
            <w:tcW w:w="457" w:type="pct"/>
            <w:tcBorders>
              <w:top w:val="outset" w:sz="6" w:space="0" w:color="000000"/>
              <w:left w:val="outset" w:sz="6" w:space="0" w:color="000000"/>
              <w:bottom w:val="outset" w:sz="6" w:space="0" w:color="000000"/>
              <w:right w:val="outset" w:sz="6" w:space="0" w:color="000000"/>
            </w:tcBorders>
            <w:vAlign w:val="center"/>
            <w:hideMark/>
          </w:tcPr>
          <w:p w14:paraId="5BFC15FA" w14:textId="17827F62" w:rsidR="001A5976" w:rsidRPr="00BB322F" w:rsidRDefault="001A5976" w:rsidP="00045555">
            <w:pPr>
              <w:pStyle w:val="NormalWeb"/>
              <w:spacing w:line="256" w:lineRule="auto"/>
              <w:jc w:val="center"/>
              <w:rPr>
                <w:lang w:eastAsia="en-US"/>
              </w:rPr>
            </w:pPr>
            <w:r>
              <w:rPr>
                <w:lang w:eastAsia="en-US"/>
              </w:rPr>
              <w:t>6</w:t>
            </w:r>
          </w:p>
        </w:tc>
        <w:tc>
          <w:tcPr>
            <w:tcW w:w="533" w:type="pct"/>
            <w:gridSpan w:val="2"/>
            <w:tcBorders>
              <w:top w:val="outset" w:sz="6" w:space="0" w:color="000000"/>
              <w:left w:val="outset" w:sz="6" w:space="0" w:color="000000"/>
              <w:bottom w:val="outset" w:sz="6" w:space="0" w:color="000000"/>
              <w:right w:val="outset" w:sz="6" w:space="0" w:color="000000"/>
            </w:tcBorders>
            <w:vAlign w:val="center"/>
          </w:tcPr>
          <w:p w14:paraId="1A94FFC0" w14:textId="2C8AD8E9" w:rsidR="001A5976" w:rsidRPr="00BB322F" w:rsidRDefault="001A5976" w:rsidP="00045555">
            <w:pPr>
              <w:pStyle w:val="NormalWeb"/>
              <w:spacing w:line="256" w:lineRule="auto"/>
              <w:jc w:val="center"/>
              <w:rPr>
                <w:lang w:eastAsia="en-US"/>
              </w:rPr>
            </w:pPr>
            <w:r>
              <w:rPr>
                <w:lang w:eastAsia="en-US"/>
              </w:rPr>
              <w:t>7</w:t>
            </w:r>
          </w:p>
        </w:tc>
        <w:tc>
          <w:tcPr>
            <w:tcW w:w="684" w:type="pct"/>
            <w:tcBorders>
              <w:top w:val="outset" w:sz="6" w:space="0" w:color="000000"/>
              <w:left w:val="outset" w:sz="6" w:space="0" w:color="000000"/>
              <w:bottom w:val="outset" w:sz="6" w:space="0" w:color="000000"/>
              <w:right w:val="outset" w:sz="6" w:space="0" w:color="000000"/>
            </w:tcBorders>
            <w:vAlign w:val="center"/>
            <w:hideMark/>
          </w:tcPr>
          <w:p w14:paraId="61241661" w14:textId="045D8F26" w:rsidR="001A5976" w:rsidRPr="00BB322F" w:rsidRDefault="001A5976" w:rsidP="00045555">
            <w:pPr>
              <w:pStyle w:val="NormalWeb"/>
              <w:spacing w:line="256" w:lineRule="auto"/>
              <w:jc w:val="center"/>
              <w:rPr>
                <w:lang w:eastAsia="en-US"/>
              </w:rPr>
            </w:pPr>
            <w:r>
              <w:rPr>
                <w:lang w:eastAsia="en-US"/>
              </w:rPr>
              <w:t>8</w:t>
            </w:r>
          </w:p>
        </w:tc>
      </w:tr>
      <w:tr w:rsidR="0018097A" w:rsidRPr="00BB322F" w14:paraId="6AB9C0DF" w14:textId="77777777" w:rsidTr="002D0B96">
        <w:tc>
          <w:tcPr>
            <w:tcW w:w="1196" w:type="pct"/>
            <w:tcBorders>
              <w:top w:val="outset" w:sz="6" w:space="0" w:color="000000"/>
              <w:left w:val="outset" w:sz="6" w:space="0" w:color="000000"/>
              <w:bottom w:val="outset" w:sz="6" w:space="0" w:color="000000"/>
              <w:right w:val="outset" w:sz="6" w:space="0" w:color="000000"/>
            </w:tcBorders>
            <w:hideMark/>
          </w:tcPr>
          <w:p w14:paraId="5BD744F1" w14:textId="77777777" w:rsidR="0018097A" w:rsidRPr="00BB322F" w:rsidRDefault="0018097A" w:rsidP="00045555">
            <w:pPr>
              <w:pStyle w:val="NormalWeb"/>
              <w:spacing w:line="256" w:lineRule="auto"/>
              <w:rPr>
                <w:lang w:eastAsia="en-US"/>
              </w:rPr>
            </w:pPr>
            <w:r w:rsidRPr="00BB322F">
              <w:rPr>
                <w:lang w:eastAsia="en-US"/>
              </w:rPr>
              <w:t>1. Budžeta ieņēmumi:</w:t>
            </w:r>
          </w:p>
        </w:tc>
        <w:tc>
          <w:tcPr>
            <w:tcW w:w="607" w:type="pct"/>
            <w:tcBorders>
              <w:top w:val="outset" w:sz="6" w:space="0" w:color="000000"/>
              <w:left w:val="outset" w:sz="6" w:space="0" w:color="000000"/>
              <w:bottom w:val="outset" w:sz="6" w:space="0" w:color="000000"/>
              <w:right w:val="outset" w:sz="6" w:space="0" w:color="000000"/>
            </w:tcBorders>
            <w:hideMark/>
          </w:tcPr>
          <w:p w14:paraId="6C7CA8EA" w14:textId="77777777" w:rsidR="0018097A" w:rsidRPr="00BB322F" w:rsidRDefault="0018097A" w:rsidP="00045555">
            <w:pPr>
              <w:spacing w:line="270" w:lineRule="atLeast"/>
              <w:jc w:val="center"/>
              <w:rPr>
                <w:rFonts w:cs="Times New Roman"/>
                <w:bCs/>
                <w:sz w:val="24"/>
                <w:szCs w:val="24"/>
              </w:rPr>
            </w:pPr>
            <w:r w:rsidRPr="00BB322F">
              <w:rPr>
                <w:rFonts w:cs="Times New Roman"/>
                <w:sz w:val="24"/>
                <w:szCs w:val="24"/>
              </w:rPr>
              <w:t>0</w:t>
            </w:r>
          </w:p>
        </w:tc>
        <w:tc>
          <w:tcPr>
            <w:tcW w:w="533" w:type="pct"/>
            <w:tcBorders>
              <w:top w:val="outset" w:sz="6" w:space="0" w:color="000000"/>
              <w:left w:val="outset" w:sz="6" w:space="0" w:color="000000"/>
              <w:bottom w:val="outset" w:sz="6" w:space="0" w:color="000000"/>
              <w:right w:val="outset" w:sz="6" w:space="0" w:color="000000"/>
            </w:tcBorders>
            <w:hideMark/>
          </w:tcPr>
          <w:p w14:paraId="05691146" w14:textId="77777777" w:rsidR="0018097A" w:rsidRPr="00BB322F" w:rsidRDefault="0018097A" w:rsidP="00045555">
            <w:pPr>
              <w:spacing w:line="270" w:lineRule="atLeast"/>
              <w:jc w:val="center"/>
              <w:rPr>
                <w:rFonts w:cs="Times New Roman"/>
                <w:bCs/>
                <w:sz w:val="24"/>
                <w:szCs w:val="24"/>
              </w:rPr>
            </w:pPr>
            <w:r w:rsidRPr="00BB322F">
              <w:rPr>
                <w:rFonts w:cs="Times New Roman"/>
                <w:sz w:val="24"/>
                <w:szCs w:val="24"/>
                <w:shd w:val="clear" w:color="auto" w:fill="FFFFFF"/>
              </w:rPr>
              <w:t>Nav precīzi aprēķināms</w:t>
            </w:r>
          </w:p>
        </w:tc>
        <w:tc>
          <w:tcPr>
            <w:tcW w:w="495" w:type="pct"/>
            <w:gridSpan w:val="2"/>
            <w:tcBorders>
              <w:top w:val="outset" w:sz="6" w:space="0" w:color="000000"/>
              <w:left w:val="outset" w:sz="6" w:space="0" w:color="000000"/>
              <w:bottom w:val="outset" w:sz="6" w:space="0" w:color="000000"/>
              <w:right w:val="outset" w:sz="6" w:space="0" w:color="000000"/>
            </w:tcBorders>
            <w:hideMark/>
          </w:tcPr>
          <w:p w14:paraId="4EAD00E6" w14:textId="77777777" w:rsidR="0018097A" w:rsidRPr="00BB322F" w:rsidRDefault="0018097A" w:rsidP="00045555">
            <w:pPr>
              <w:spacing w:line="270" w:lineRule="atLeast"/>
              <w:jc w:val="center"/>
              <w:rPr>
                <w:rFonts w:cs="Times New Roman"/>
                <w:bCs/>
                <w:sz w:val="24"/>
                <w:szCs w:val="24"/>
              </w:rPr>
            </w:pPr>
            <w:r w:rsidRPr="00BB322F">
              <w:rPr>
                <w:rFonts w:cs="Times New Roman"/>
                <w:sz w:val="24"/>
                <w:szCs w:val="24"/>
                <w:shd w:val="clear" w:color="auto" w:fill="FFFFFF"/>
              </w:rPr>
              <w:t>Nav precīzi aprēķināms</w:t>
            </w:r>
          </w:p>
        </w:tc>
        <w:tc>
          <w:tcPr>
            <w:tcW w:w="495" w:type="pct"/>
            <w:tcBorders>
              <w:top w:val="outset" w:sz="6" w:space="0" w:color="000000"/>
              <w:left w:val="outset" w:sz="6" w:space="0" w:color="000000"/>
              <w:bottom w:val="outset" w:sz="6" w:space="0" w:color="000000"/>
              <w:right w:val="outset" w:sz="6" w:space="0" w:color="000000"/>
            </w:tcBorders>
          </w:tcPr>
          <w:p w14:paraId="2AC84C13" w14:textId="5E084F72" w:rsidR="0018097A" w:rsidRPr="00BB322F" w:rsidRDefault="0018097A" w:rsidP="00045555">
            <w:pPr>
              <w:spacing w:line="270" w:lineRule="atLeast"/>
              <w:jc w:val="center"/>
              <w:rPr>
                <w:rFonts w:cs="Times New Roman"/>
                <w:bCs/>
                <w:sz w:val="24"/>
                <w:szCs w:val="24"/>
              </w:rPr>
            </w:pPr>
            <w:r w:rsidRPr="00BB322F">
              <w:rPr>
                <w:rFonts w:cs="Times New Roman"/>
                <w:sz w:val="24"/>
                <w:szCs w:val="24"/>
                <w:shd w:val="clear" w:color="auto" w:fill="FFFFFF"/>
              </w:rPr>
              <w:t>Nav precīzi aprēķināms</w:t>
            </w:r>
          </w:p>
        </w:tc>
        <w:tc>
          <w:tcPr>
            <w:tcW w:w="495" w:type="pct"/>
            <w:gridSpan w:val="2"/>
            <w:tcBorders>
              <w:top w:val="outset" w:sz="6" w:space="0" w:color="000000"/>
              <w:left w:val="outset" w:sz="6" w:space="0" w:color="000000"/>
              <w:bottom w:val="outset" w:sz="6" w:space="0" w:color="000000"/>
              <w:right w:val="outset" w:sz="6" w:space="0" w:color="000000"/>
            </w:tcBorders>
            <w:hideMark/>
          </w:tcPr>
          <w:p w14:paraId="54F02FC5" w14:textId="77777777" w:rsidR="0018097A" w:rsidRPr="00BB322F" w:rsidRDefault="0018097A" w:rsidP="00045555">
            <w:pPr>
              <w:spacing w:line="270" w:lineRule="atLeast"/>
              <w:jc w:val="center"/>
              <w:rPr>
                <w:rFonts w:cs="Times New Roman"/>
                <w:bCs/>
                <w:sz w:val="24"/>
                <w:szCs w:val="24"/>
              </w:rPr>
            </w:pPr>
            <w:r w:rsidRPr="00BB322F">
              <w:rPr>
                <w:rFonts w:cs="Times New Roman"/>
                <w:sz w:val="24"/>
                <w:szCs w:val="24"/>
                <w:shd w:val="clear" w:color="auto" w:fill="FFFFFF"/>
              </w:rPr>
              <w:t>Nav precīzi aprēķināms</w:t>
            </w:r>
          </w:p>
        </w:tc>
        <w:tc>
          <w:tcPr>
            <w:tcW w:w="496" w:type="pct"/>
            <w:tcBorders>
              <w:top w:val="outset" w:sz="6" w:space="0" w:color="000000"/>
              <w:left w:val="outset" w:sz="6" w:space="0" w:color="000000"/>
              <w:bottom w:val="outset" w:sz="6" w:space="0" w:color="000000"/>
              <w:right w:val="outset" w:sz="6" w:space="0" w:color="000000"/>
            </w:tcBorders>
          </w:tcPr>
          <w:p w14:paraId="611B3DBB" w14:textId="1D65690B" w:rsidR="0018097A" w:rsidRPr="00BB322F" w:rsidRDefault="0018097A" w:rsidP="00045555">
            <w:pPr>
              <w:spacing w:line="270" w:lineRule="atLeast"/>
              <w:jc w:val="center"/>
              <w:rPr>
                <w:rFonts w:cs="Times New Roman"/>
                <w:bCs/>
                <w:sz w:val="24"/>
                <w:szCs w:val="24"/>
              </w:rPr>
            </w:pPr>
            <w:r w:rsidRPr="00BB322F">
              <w:rPr>
                <w:rFonts w:cs="Times New Roman"/>
                <w:sz w:val="24"/>
                <w:szCs w:val="24"/>
                <w:shd w:val="clear" w:color="auto" w:fill="FFFFFF"/>
              </w:rPr>
              <w:t>Nav precīzi aprēķināms</w:t>
            </w:r>
          </w:p>
        </w:tc>
        <w:tc>
          <w:tcPr>
            <w:tcW w:w="684" w:type="pct"/>
            <w:tcBorders>
              <w:top w:val="outset" w:sz="6" w:space="0" w:color="000000"/>
              <w:left w:val="outset" w:sz="6" w:space="0" w:color="000000"/>
              <w:bottom w:val="outset" w:sz="6" w:space="0" w:color="000000"/>
              <w:right w:val="outset" w:sz="6" w:space="0" w:color="000000"/>
            </w:tcBorders>
            <w:hideMark/>
          </w:tcPr>
          <w:p w14:paraId="6D1C1E0D" w14:textId="77777777" w:rsidR="0018097A" w:rsidRPr="00BB322F" w:rsidRDefault="0018097A" w:rsidP="00045555">
            <w:pPr>
              <w:spacing w:line="270" w:lineRule="atLeast"/>
              <w:jc w:val="center"/>
              <w:rPr>
                <w:rFonts w:cs="Times New Roman"/>
                <w:bCs/>
                <w:sz w:val="24"/>
                <w:szCs w:val="24"/>
              </w:rPr>
            </w:pPr>
            <w:r w:rsidRPr="00BB322F">
              <w:rPr>
                <w:rFonts w:cs="Times New Roman"/>
                <w:sz w:val="24"/>
                <w:szCs w:val="24"/>
                <w:shd w:val="clear" w:color="auto" w:fill="FFFFFF"/>
              </w:rPr>
              <w:t>Nav precīzi aprēķināms</w:t>
            </w:r>
          </w:p>
        </w:tc>
      </w:tr>
      <w:tr w:rsidR="0018097A" w:rsidRPr="00BB322F" w14:paraId="45637694" w14:textId="77777777" w:rsidTr="002D0B96">
        <w:tc>
          <w:tcPr>
            <w:tcW w:w="1196" w:type="pct"/>
            <w:tcBorders>
              <w:top w:val="outset" w:sz="6" w:space="0" w:color="000000"/>
              <w:left w:val="outset" w:sz="6" w:space="0" w:color="000000"/>
              <w:bottom w:val="outset" w:sz="6" w:space="0" w:color="000000"/>
              <w:right w:val="outset" w:sz="6" w:space="0" w:color="000000"/>
            </w:tcBorders>
            <w:hideMark/>
          </w:tcPr>
          <w:p w14:paraId="7329176E" w14:textId="77777777" w:rsidR="0018097A" w:rsidRPr="00BB322F" w:rsidRDefault="0018097A" w:rsidP="00045555">
            <w:pPr>
              <w:pStyle w:val="NormalWeb"/>
              <w:spacing w:line="256" w:lineRule="auto"/>
              <w:rPr>
                <w:lang w:eastAsia="en-US"/>
              </w:rPr>
            </w:pPr>
            <w:r w:rsidRPr="00BB322F">
              <w:rPr>
                <w:lang w:eastAsia="en-US"/>
              </w:rPr>
              <w:t>1.1. valsts pamatbudžets, tai skaitā ieņēmumi no maksas pakalpo-jumiem un citi pašu ieņēmumi</w:t>
            </w:r>
          </w:p>
        </w:tc>
        <w:tc>
          <w:tcPr>
            <w:tcW w:w="607" w:type="pct"/>
            <w:tcBorders>
              <w:top w:val="outset" w:sz="6" w:space="0" w:color="000000"/>
              <w:left w:val="outset" w:sz="6" w:space="0" w:color="000000"/>
              <w:bottom w:val="outset" w:sz="6" w:space="0" w:color="000000"/>
              <w:right w:val="outset" w:sz="6" w:space="0" w:color="000000"/>
            </w:tcBorders>
            <w:hideMark/>
          </w:tcPr>
          <w:p w14:paraId="0A74D0CC" w14:textId="77777777" w:rsidR="0018097A" w:rsidRPr="00BB322F" w:rsidRDefault="0018097A" w:rsidP="00045555">
            <w:pPr>
              <w:spacing w:line="270" w:lineRule="atLeast"/>
              <w:jc w:val="center"/>
              <w:rPr>
                <w:rFonts w:cs="Times New Roman"/>
                <w:bCs/>
                <w:sz w:val="24"/>
                <w:szCs w:val="24"/>
              </w:rPr>
            </w:pPr>
            <w:r w:rsidRPr="00BB322F">
              <w:rPr>
                <w:rFonts w:cs="Times New Roman"/>
                <w:sz w:val="24"/>
                <w:szCs w:val="24"/>
              </w:rPr>
              <w:t>0</w:t>
            </w:r>
          </w:p>
        </w:tc>
        <w:tc>
          <w:tcPr>
            <w:tcW w:w="533" w:type="pct"/>
            <w:tcBorders>
              <w:top w:val="outset" w:sz="6" w:space="0" w:color="000000"/>
              <w:left w:val="outset" w:sz="6" w:space="0" w:color="000000"/>
              <w:bottom w:val="outset" w:sz="6" w:space="0" w:color="000000"/>
              <w:right w:val="outset" w:sz="6" w:space="0" w:color="000000"/>
            </w:tcBorders>
            <w:hideMark/>
          </w:tcPr>
          <w:p w14:paraId="3E7AE313" w14:textId="77777777" w:rsidR="0018097A" w:rsidRPr="00BB322F" w:rsidRDefault="0018097A" w:rsidP="00045555">
            <w:pPr>
              <w:spacing w:line="270" w:lineRule="atLeast"/>
              <w:jc w:val="center"/>
              <w:rPr>
                <w:rFonts w:cs="Times New Roman"/>
                <w:bCs/>
                <w:sz w:val="24"/>
                <w:szCs w:val="24"/>
              </w:rPr>
            </w:pPr>
            <w:r w:rsidRPr="00BB322F">
              <w:rPr>
                <w:rFonts w:cs="Times New Roman"/>
                <w:sz w:val="24"/>
                <w:szCs w:val="24"/>
                <w:shd w:val="clear" w:color="auto" w:fill="FFFFFF"/>
              </w:rPr>
              <w:t>Nav precīzi aprēķināms</w:t>
            </w:r>
          </w:p>
        </w:tc>
        <w:tc>
          <w:tcPr>
            <w:tcW w:w="495" w:type="pct"/>
            <w:gridSpan w:val="2"/>
            <w:tcBorders>
              <w:top w:val="outset" w:sz="6" w:space="0" w:color="000000"/>
              <w:left w:val="outset" w:sz="6" w:space="0" w:color="000000"/>
              <w:bottom w:val="outset" w:sz="6" w:space="0" w:color="000000"/>
              <w:right w:val="outset" w:sz="6" w:space="0" w:color="000000"/>
            </w:tcBorders>
            <w:hideMark/>
          </w:tcPr>
          <w:p w14:paraId="4BC024B8" w14:textId="77777777" w:rsidR="0018097A" w:rsidRPr="00BB322F" w:rsidRDefault="0018097A" w:rsidP="00045555">
            <w:pPr>
              <w:spacing w:line="270" w:lineRule="atLeast"/>
              <w:jc w:val="center"/>
              <w:rPr>
                <w:rFonts w:cs="Times New Roman"/>
                <w:b/>
                <w:bCs/>
                <w:sz w:val="24"/>
                <w:szCs w:val="24"/>
              </w:rPr>
            </w:pPr>
            <w:r w:rsidRPr="00BB322F">
              <w:rPr>
                <w:rFonts w:cs="Times New Roman"/>
                <w:sz w:val="24"/>
                <w:szCs w:val="24"/>
                <w:shd w:val="clear" w:color="auto" w:fill="FFFFFF"/>
              </w:rPr>
              <w:t>Nav precīzi aprēķināms</w:t>
            </w:r>
          </w:p>
        </w:tc>
        <w:tc>
          <w:tcPr>
            <w:tcW w:w="495" w:type="pct"/>
            <w:tcBorders>
              <w:top w:val="outset" w:sz="6" w:space="0" w:color="000000"/>
              <w:left w:val="outset" w:sz="6" w:space="0" w:color="000000"/>
              <w:bottom w:val="outset" w:sz="6" w:space="0" w:color="000000"/>
              <w:right w:val="outset" w:sz="6" w:space="0" w:color="000000"/>
            </w:tcBorders>
          </w:tcPr>
          <w:p w14:paraId="0B6615E4" w14:textId="254D8EFF" w:rsidR="0018097A" w:rsidRPr="00BB322F" w:rsidRDefault="0018097A" w:rsidP="00045555">
            <w:pPr>
              <w:spacing w:line="270" w:lineRule="atLeast"/>
              <w:jc w:val="center"/>
              <w:rPr>
                <w:rFonts w:cs="Times New Roman"/>
                <w:b/>
                <w:bCs/>
                <w:sz w:val="24"/>
                <w:szCs w:val="24"/>
              </w:rPr>
            </w:pPr>
            <w:r w:rsidRPr="00BB322F">
              <w:rPr>
                <w:rFonts w:cs="Times New Roman"/>
                <w:sz w:val="24"/>
                <w:szCs w:val="24"/>
                <w:shd w:val="clear" w:color="auto" w:fill="FFFFFF"/>
              </w:rPr>
              <w:t>Nav precīzi aprēķināms</w:t>
            </w:r>
          </w:p>
        </w:tc>
        <w:tc>
          <w:tcPr>
            <w:tcW w:w="495" w:type="pct"/>
            <w:gridSpan w:val="2"/>
            <w:tcBorders>
              <w:top w:val="outset" w:sz="6" w:space="0" w:color="000000"/>
              <w:left w:val="outset" w:sz="6" w:space="0" w:color="000000"/>
              <w:bottom w:val="outset" w:sz="6" w:space="0" w:color="000000"/>
              <w:right w:val="outset" w:sz="6" w:space="0" w:color="000000"/>
            </w:tcBorders>
            <w:hideMark/>
          </w:tcPr>
          <w:p w14:paraId="45D7A78E" w14:textId="77777777" w:rsidR="0018097A" w:rsidRPr="00BB322F" w:rsidRDefault="0018097A" w:rsidP="00045555">
            <w:pPr>
              <w:spacing w:line="270" w:lineRule="atLeast"/>
              <w:jc w:val="center"/>
              <w:rPr>
                <w:rFonts w:cs="Times New Roman"/>
                <w:bCs/>
                <w:sz w:val="24"/>
                <w:szCs w:val="24"/>
              </w:rPr>
            </w:pPr>
            <w:r w:rsidRPr="00BB322F">
              <w:rPr>
                <w:rFonts w:cs="Times New Roman"/>
                <w:sz w:val="24"/>
                <w:szCs w:val="24"/>
                <w:shd w:val="clear" w:color="auto" w:fill="FFFFFF"/>
              </w:rPr>
              <w:t>Nav precīzi aprēķināms</w:t>
            </w:r>
          </w:p>
        </w:tc>
        <w:tc>
          <w:tcPr>
            <w:tcW w:w="496" w:type="pct"/>
            <w:tcBorders>
              <w:top w:val="outset" w:sz="6" w:space="0" w:color="000000"/>
              <w:left w:val="outset" w:sz="6" w:space="0" w:color="000000"/>
              <w:bottom w:val="outset" w:sz="6" w:space="0" w:color="000000"/>
              <w:right w:val="outset" w:sz="6" w:space="0" w:color="000000"/>
            </w:tcBorders>
          </w:tcPr>
          <w:p w14:paraId="666271F7" w14:textId="7D43D38A" w:rsidR="0018097A" w:rsidRPr="00BB322F" w:rsidRDefault="0018097A" w:rsidP="00045555">
            <w:pPr>
              <w:spacing w:line="270" w:lineRule="atLeast"/>
              <w:jc w:val="center"/>
              <w:rPr>
                <w:rFonts w:cs="Times New Roman"/>
                <w:bCs/>
                <w:sz w:val="24"/>
                <w:szCs w:val="24"/>
              </w:rPr>
            </w:pPr>
            <w:r w:rsidRPr="00BB322F">
              <w:rPr>
                <w:rFonts w:cs="Times New Roman"/>
                <w:sz w:val="24"/>
                <w:szCs w:val="24"/>
                <w:shd w:val="clear" w:color="auto" w:fill="FFFFFF"/>
              </w:rPr>
              <w:t>Nav precīzi aprēķināms</w:t>
            </w:r>
          </w:p>
        </w:tc>
        <w:tc>
          <w:tcPr>
            <w:tcW w:w="684" w:type="pct"/>
            <w:tcBorders>
              <w:top w:val="outset" w:sz="6" w:space="0" w:color="000000"/>
              <w:left w:val="outset" w:sz="6" w:space="0" w:color="000000"/>
              <w:bottom w:val="outset" w:sz="6" w:space="0" w:color="000000"/>
              <w:right w:val="outset" w:sz="6" w:space="0" w:color="000000"/>
            </w:tcBorders>
            <w:hideMark/>
          </w:tcPr>
          <w:p w14:paraId="69BAFC07" w14:textId="77777777" w:rsidR="0018097A" w:rsidRPr="00BB322F" w:rsidRDefault="0018097A" w:rsidP="00045555">
            <w:pPr>
              <w:spacing w:line="270" w:lineRule="atLeast"/>
              <w:jc w:val="center"/>
              <w:rPr>
                <w:rFonts w:cs="Times New Roman"/>
                <w:bCs/>
                <w:sz w:val="24"/>
                <w:szCs w:val="24"/>
              </w:rPr>
            </w:pPr>
            <w:r w:rsidRPr="00BB322F">
              <w:rPr>
                <w:rFonts w:cs="Times New Roman"/>
                <w:sz w:val="24"/>
                <w:szCs w:val="24"/>
                <w:shd w:val="clear" w:color="auto" w:fill="FFFFFF"/>
              </w:rPr>
              <w:t>Nav precīzi aprēķināms</w:t>
            </w:r>
          </w:p>
        </w:tc>
      </w:tr>
      <w:tr w:rsidR="0018097A" w:rsidRPr="00BB322F" w14:paraId="78190B07" w14:textId="77777777" w:rsidTr="002D0B96">
        <w:tc>
          <w:tcPr>
            <w:tcW w:w="1196" w:type="pct"/>
            <w:tcBorders>
              <w:top w:val="outset" w:sz="6" w:space="0" w:color="000000"/>
              <w:left w:val="outset" w:sz="6" w:space="0" w:color="000000"/>
              <w:bottom w:val="outset" w:sz="6" w:space="0" w:color="000000"/>
              <w:right w:val="outset" w:sz="6" w:space="0" w:color="000000"/>
            </w:tcBorders>
            <w:hideMark/>
          </w:tcPr>
          <w:p w14:paraId="13C8E409" w14:textId="77777777" w:rsidR="0018097A" w:rsidRPr="00BB322F" w:rsidRDefault="0018097A" w:rsidP="00045555">
            <w:pPr>
              <w:pStyle w:val="NormalWeb"/>
              <w:spacing w:line="256" w:lineRule="auto"/>
              <w:rPr>
                <w:lang w:eastAsia="en-US"/>
              </w:rPr>
            </w:pPr>
            <w:r w:rsidRPr="00BB322F">
              <w:rPr>
                <w:lang w:eastAsia="en-US"/>
              </w:rPr>
              <w:t>1.2. valsts speciālais budžets</w:t>
            </w:r>
          </w:p>
        </w:tc>
        <w:tc>
          <w:tcPr>
            <w:tcW w:w="607" w:type="pct"/>
            <w:tcBorders>
              <w:top w:val="outset" w:sz="6" w:space="0" w:color="000000"/>
              <w:left w:val="outset" w:sz="6" w:space="0" w:color="000000"/>
              <w:bottom w:val="outset" w:sz="6" w:space="0" w:color="000000"/>
              <w:right w:val="outset" w:sz="6" w:space="0" w:color="000000"/>
            </w:tcBorders>
            <w:hideMark/>
          </w:tcPr>
          <w:p w14:paraId="1CE0DFB3" w14:textId="77777777" w:rsidR="0018097A" w:rsidRPr="00BB322F" w:rsidRDefault="0018097A" w:rsidP="00045555">
            <w:pPr>
              <w:spacing w:line="270" w:lineRule="atLeast"/>
              <w:jc w:val="center"/>
              <w:rPr>
                <w:rFonts w:cs="Times New Roman"/>
                <w:sz w:val="24"/>
                <w:szCs w:val="24"/>
              </w:rPr>
            </w:pPr>
            <w:r w:rsidRPr="00BB322F">
              <w:rPr>
                <w:rFonts w:cs="Times New Roman"/>
                <w:sz w:val="24"/>
                <w:szCs w:val="24"/>
              </w:rPr>
              <w:t>0</w:t>
            </w:r>
          </w:p>
        </w:tc>
        <w:tc>
          <w:tcPr>
            <w:tcW w:w="533" w:type="pct"/>
            <w:tcBorders>
              <w:top w:val="outset" w:sz="6" w:space="0" w:color="000000"/>
              <w:left w:val="outset" w:sz="6" w:space="0" w:color="000000"/>
              <w:bottom w:val="outset" w:sz="6" w:space="0" w:color="000000"/>
              <w:right w:val="outset" w:sz="6" w:space="0" w:color="000000"/>
            </w:tcBorders>
            <w:hideMark/>
          </w:tcPr>
          <w:p w14:paraId="79F292DE" w14:textId="77777777" w:rsidR="0018097A" w:rsidRPr="00BB322F" w:rsidRDefault="0018097A" w:rsidP="00045555">
            <w:pPr>
              <w:spacing w:line="270" w:lineRule="atLeast"/>
              <w:jc w:val="center"/>
              <w:rPr>
                <w:rFonts w:cs="Times New Roman"/>
                <w:sz w:val="24"/>
                <w:szCs w:val="24"/>
              </w:rPr>
            </w:pPr>
            <w:r w:rsidRPr="00BB322F">
              <w:rPr>
                <w:rFonts w:cs="Times New Roman"/>
                <w:sz w:val="24"/>
                <w:szCs w:val="24"/>
              </w:rPr>
              <w:t>0</w:t>
            </w:r>
          </w:p>
        </w:tc>
        <w:tc>
          <w:tcPr>
            <w:tcW w:w="495" w:type="pct"/>
            <w:gridSpan w:val="2"/>
            <w:tcBorders>
              <w:top w:val="outset" w:sz="6" w:space="0" w:color="000000"/>
              <w:left w:val="outset" w:sz="6" w:space="0" w:color="000000"/>
              <w:bottom w:val="outset" w:sz="6" w:space="0" w:color="000000"/>
              <w:right w:val="outset" w:sz="6" w:space="0" w:color="000000"/>
            </w:tcBorders>
            <w:hideMark/>
          </w:tcPr>
          <w:p w14:paraId="767A35B2" w14:textId="77777777" w:rsidR="0018097A" w:rsidRPr="00BB322F" w:rsidRDefault="0018097A" w:rsidP="00045555">
            <w:pPr>
              <w:spacing w:line="270" w:lineRule="atLeast"/>
              <w:jc w:val="center"/>
              <w:rPr>
                <w:rFonts w:cs="Times New Roman"/>
                <w:bCs/>
                <w:sz w:val="24"/>
                <w:szCs w:val="24"/>
              </w:rPr>
            </w:pPr>
            <w:r w:rsidRPr="00BB322F">
              <w:rPr>
                <w:rFonts w:cs="Times New Roman"/>
                <w:sz w:val="24"/>
                <w:szCs w:val="24"/>
              </w:rPr>
              <w:t>0</w:t>
            </w:r>
          </w:p>
        </w:tc>
        <w:tc>
          <w:tcPr>
            <w:tcW w:w="495" w:type="pct"/>
            <w:tcBorders>
              <w:top w:val="outset" w:sz="6" w:space="0" w:color="000000"/>
              <w:left w:val="outset" w:sz="6" w:space="0" w:color="000000"/>
              <w:bottom w:val="outset" w:sz="6" w:space="0" w:color="000000"/>
              <w:right w:val="outset" w:sz="6" w:space="0" w:color="000000"/>
            </w:tcBorders>
          </w:tcPr>
          <w:p w14:paraId="69F93B5E" w14:textId="2839BA8F" w:rsidR="0018097A" w:rsidRPr="00BB322F" w:rsidRDefault="00675A67" w:rsidP="00045555">
            <w:pPr>
              <w:spacing w:line="270" w:lineRule="atLeast"/>
              <w:jc w:val="center"/>
              <w:rPr>
                <w:rFonts w:cs="Times New Roman"/>
                <w:bCs/>
                <w:sz w:val="24"/>
                <w:szCs w:val="24"/>
              </w:rPr>
            </w:pPr>
            <w:r w:rsidRPr="00BB322F">
              <w:rPr>
                <w:rFonts w:cs="Times New Roman"/>
                <w:sz w:val="24"/>
                <w:szCs w:val="24"/>
              </w:rPr>
              <w:t>0</w:t>
            </w:r>
          </w:p>
        </w:tc>
        <w:tc>
          <w:tcPr>
            <w:tcW w:w="495" w:type="pct"/>
            <w:gridSpan w:val="2"/>
            <w:tcBorders>
              <w:top w:val="outset" w:sz="6" w:space="0" w:color="000000"/>
              <w:left w:val="outset" w:sz="6" w:space="0" w:color="000000"/>
              <w:bottom w:val="outset" w:sz="6" w:space="0" w:color="000000"/>
              <w:right w:val="outset" w:sz="6" w:space="0" w:color="000000"/>
            </w:tcBorders>
            <w:hideMark/>
          </w:tcPr>
          <w:p w14:paraId="0867E139" w14:textId="77777777" w:rsidR="0018097A" w:rsidRPr="00BB322F" w:rsidRDefault="0018097A" w:rsidP="00045555">
            <w:pPr>
              <w:spacing w:line="270" w:lineRule="atLeast"/>
              <w:jc w:val="center"/>
              <w:rPr>
                <w:rFonts w:cs="Times New Roman"/>
                <w:bCs/>
                <w:sz w:val="24"/>
                <w:szCs w:val="24"/>
              </w:rPr>
            </w:pPr>
            <w:r w:rsidRPr="00BB322F">
              <w:rPr>
                <w:rFonts w:cs="Times New Roman"/>
                <w:sz w:val="24"/>
                <w:szCs w:val="24"/>
              </w:rPr>
              <w:t>0</w:t>
            </w:r>
          </w:p>
        </w:tc>
        <w:tc>
          <w:tcPr>
            <w:tcW w:w="496" w:type="pct"/>
            <w:tcBorders>
              <w:top w:val="outset" w:sz="6" w:space="0" w:color="000000"/>
              <w:left w:val="outset" w:sz="6" w:space="0" w:color="000000"/>
              <w:bottom w:val="outset" w:sz="6" w:space="0" w:color="000000"/>
              <w:right w:val="outset" w:sz="6" w:space="0" w:color="000000"/>
            </w:tcBorders>
          </w:tcPr>
          <w:p w14:paraId="19677492" w14:textId="7168F34E" w:rsidR="0018097A" w:rsidRPr="00BB322F" w:rsidRDefault="00675A67" w:rsidP="00045555">
            <w:pPr>
              <w:spacing w:line="270" w:lineRule="atLeast"/>
              <w:jc w:val="center"/>
              <w:rPr>
                <w:rFonts w:cs="Times New Roman"/>
                <w:bCs/>
                <w:sz w:val="24"/>
                <w:szCs w:val="24"/>
              </w:rPr>
            </w:pPr>
            <w:r w:rsidRPr="00BB322F">
              <w:rPr>
                <w:rFonts w:cs="Times New Roman"/>
                <w:sz w:val="24"/>
                <w:szCs w:val="24"/>
              </w:rPr>
              <w:t>0</w:t>
            </w:r>
          </w:p>
        </w:tc>
        <w:tc>
          <w:tcPr>
            <w:tcW w:w="684" w:type="pct"/>
            <w:tcBorders>
              <w:top w:val="outset" w:sz="6" w:space="0" w:color="000000"/>
              <w:left w:val="outset" w:sz="6" w:space="0" w:color="000000"/>
              <w:bottom w:val="outset" w:sz="6" w:space="0" w:color="000000"/>
              <w:right w:val="outset" w:sz="6" w:space="0" w:color="000000"/>
            </w:tcBorders>
            <w:hideMark/>
          </w:tcPr>
          <w:p w14:paraId="30EFBC56" w14:textId="77777777" w:rsidR="0018097A" w:rsidRPr="00BB322F" w:rsidRDefault="0018097A" w:rsidP="00045555">
            <w:pPr>
              <w:spacing w:line="270" w:lineRule="atLeast"/>
              <w:jc w:val="center"/>
              <w:rPr>
                <w:rFonts w:cs="Times New Roman"/>
                <w:bCs/>
                <w:sz w:val="24"/>
                <w:szCs w:val="24"/>
              </w:rPr>
            </w:pPr>
            <w:r w:rsidRPr="00BB322F">
              <w:rPr>
                <w:rFonts w:cs="Times New Roman"/>
                <w:sz w:val="24"/>
                <w:szCs w:val="24"/>
              </w:rPr>
              <w:t>0</w:t>
            </w:r>
          </w:p>
        </w:tc>
      </w:tr>
      <w:tr w:rsidR="0018097A" w:rsidRPr="00BB322F" w14:paraId="030B9095" w14:textId="77777777" w:rsidTr="002D0B96">
        <w:tc>
          <w:tcPr>
            <w:tcW w:w="1196" w:type="pct"/>
            <w:tcBorders>
              <w:top w:val="outset" w:sz="6" w:space="0" w:color="000000"/>
              <w:left w:val="outset" w:sz="6" w:space="0" w:color="000000"/>
              <w:bottom w:val="outset" w:sz="6" w:space="0" w:color="000000"/>
              <w:right w:val="outset" w:sz="6" w:space="0" w:color="000000"/>
            </w:tcBorders>
            <w:hideMark/>
          </w:tcPr>
          <w:p w14:paraId="73C8F8EF" w14:textId="77777777" w:rsidR="0018097A" w:rsidRPr="00BB322F" w:rsidRDefault="0018097A" w:rsidP="00045555">
            <w:pPr>
              <w:pStyle w:val="NormalWeb"/>
              <w:spacing w:line="256" w:lineRule="auto"/>
              <w:rPr>
                <w:lang w:eastAsia="en-US"/>
              </w:rPr>
            </w:pPr>
            <w:r w:rsidRPr="00BB322F">
              <w:rPr>
                <w:lang w:eastAsia="en-US"/>
              </w:rPr>
              <w:t>1.3.pašvaldību budžets</w:t>
            </w:r>
          </w:p>
        </w:tc>
        <w:tc>
          <w:tcPr>
            <w:tcW w:w="607" w:type="pct"/>
            <w:tcBorders>
              <w:top w:val="outset" w:sz="6" w:space="0" w:color="000000"/>
              <w:left w:val="outset" w:sz="6" w:space="0" w:color="000000"/>
              <w:bottom w:val="outset" w:sz="6" w:space="0" w:color="000000"/>
              <w:right w:val="outset" w:sz="6" w:space="0" w:color="000000"/>
            </w:tcBorders>
            <w:hideMark/>
          </w:tcPr>
          <w:p w14:paraId="0002F086" w14:textId="77777777" w:rsidR="0018097A" w:rsidRPr="00BB322F" w:rsidRDefault="0018097A" w:rsidP="00045555">
            <w:pPr>
              <w:spacing w:line="270" w:lineRule="atLeast"/>
              <w:jc w:val="center"/>
              <w:rPr>
                <w:rFonts w:cs="Times New Roman"/>
                <w:bCs/>
                <w:sz w:val="24"/>
                <w:szCs w:val="24"/>
              </w:rPr>
            </w:pPr>
            <w:r w:rsidRPr="00BB322F">
              <w:rPr>
                <w:rFonts w:cs="Times New Roman"/>
                <w:bCs/>
                <w:sz w:val="24"/>
                <w:szCs w:val="24"/>
              </w:rPr>
              <w:t>0</w:t>
            </w:r>
          </w:p>
        </w:tc>
        <w:tc>
          <w:tcPr>
            <w:tcW w:w="533" w:type="pct"/>
            <w:tcBorders>
              <w:top w:val="outset" w:sz="6" w:space="0" w:color="000000"/>
              <w:left w:val="outset" w:sz="6" w:space="0" w:color="000000"/>
              <w:bottom w:val="outset" w:sz="6" w:space="0" w:color="000000"/>
              <w:right w:val="outset" w:sz="6" w:space="0" w:color="000000"/>
            </w:tcBorders>
            <w:hideMark/>
          </w:tcPr>
          <w:p w14:paraId="0BD1F65C" w14:textId="77777777" w:rsidR="0018097A" w:rsidRPr="00BB322F" w:rsidRDefault="0018097A" w:rsidP="00045555">
            <w:pPr>
              <w:spacing w:line="270" w:lineRule="atLeast"/>
              <w:jc w:val="center"/>
              <w:rPr>
                <w:rFonts w:cs="Times New Roman"/>
                <w:bCs/>
                <w:sz w:val="24"/>
                <w:szCs w:val="24"/>
              </w:rPr>
            </w:pPr>
            <w:r w:rsidRPr="00BB322F">
              <w:rPr>
                <w:rFonts w:cs="Times New Roman"/>
                <w:bCs/>
                <w:sz w:val="24"/>
                <w:szCs w:val="24"/>
              </w:rPr>
              <w:t>0</w:t>
            </w:r>
          </w:p>
        </w:tc>
        <w:tc>
          <w:tcPr>
            <w:tcW w:w="495" w:type="pct"/>
            <w:gridSpan w:val="2"/>
            <w:tcBorders>
              <w:top w:val="outset" w:sz="6" w:space="0" w:color="000000"/>
              <w:left w:val="outset" w:sz="6" w:space="0" w:color="000000"/>
              <w:bottom w:val="outset" w:sz="6" w:space="0" w:color="000000"/>
              <w:right w:val="outset" w:sz="6" w:space="0" w:color="000000"/>
            </w:tcBorders>
            <w:hideMark/>
          </w:tcPr>
          <w:p w14:paraId="72872508" w14:textId="77777777" w:rsidR="0018097A" w:rsidRPr="00BB322F" w:rsidRDefault="0018097A" w:rsidP="00045555">
            <w:pPr>
              <w:spacing w:line="270" w:lineRule="atLeast"/>
              <w:jc w:val="center"/>
              <w:rPr>
                <w:rFonts w:cs="Times New Roman"/>
                <w:bCs/>
                <w:sz w:val="24"/>
                <w:szCs w:val="24"/>
              </w:rPr>
            </w:pPr>
            <w:r w:rsidRPr="00BB322F">
              <w:rPr>
                <w:rFonts w:cs="Times New Roman"/>
                <w:bCs/>
                <w:sz w:val="24"/>
                <w:szCs w:val="24"/>
              </w:rPr>
              <w:t>0</w:t>
            </w:r>
          </w:p>
        </w:tc>
        <w:tc>
          <w:tcPr>
            <w:tcW w:w="495" w:type="pct"/>
            <w:tcBorders>
              <w:top w:val="outset" w:sz="6" w:space="0" w:color="000000"/>
              <w:left w:val="outset" w:sz="6" w:space="0" w:color="000000"/>
              <w:bottom w:val="outset" w:sz="6" w:space="0" w:color="000000"/>
              <w:right w:val="outset" w:sz="6" w:space="0" w:color="000000"/>
            </w:tcBorders>
          </w:tcPr>
          <w:p w14:paraId="10E4EB50" w14:textId="49B6C8A1" w:rsidR="0018097A" w:rsidRPr="00BB322F" w:rsidRDefault="00675A67" w:rsidP="00045555">
            <w:pPr>
              <w:spacing w:line="270" w:lineRule="atLeast"/>
              <w:jc w:val="center"/>
              <w:rPr>
                <w:rFonts w:cs="Times New Roman"/>
                <w:bCs/>
                <w:sz w:val="24"/>
                <w:szCs w:val="24"/>
              </w:rPr>
            </w:pPr>
            <w:r w:rsidRPr="00BB322F">
              <w:rPr>
                <w:rFonts w:cs="Times New Roman"/>
                <w:sz w:val="24"/>
                <w:szCs w:val="24"/>
              </w:rPr>
              <w:t>0</w:t>
            </w:r>
          </w:p>
        </w:tc>
        <w:tc>
          <w:tcPr>
            <w:tcW w:w="495" w:type="pct"/>
            <w:gridSpan w:val="2"/>
            <w:tcBorders>
              <w:top w:val="outset" w:sz="6" w:space="0" w:color="000000"/>
              <w:left w:val="outset" w:sz="6" w:space="0" w:color="000000"/>
              <w:bottom w:val="outset" w:sz="6" w:space="0" w:color="000000"/>
              <w:right w:val="outset" w:sz="6" w:space="0" w:color="000000"/>
            </w:tcBorders>
            <w:hideMark/>
          </w:tcPr>
          <w:p w14:paraId="14018EC1" w14:textId="77777777" w:rsidR="0018097A" w:rsidRPr="00BB322F" w:rsidRDefault="0018097A" w:rsidP="00045555">
            <w:pPr>
              <w:spacing w:line="270" w:lineRule="atLeast"/>
              <w:jc w:val="center"/>
              <w:rPr>
                <w:rFonts w:cs="Times New Roman"/>
                <w:bCs/>
                <w:sz w:val="24"/>
                <w:szCs w:val="24"/>
              </w:rPr>
            </w:pPr>
            <w:r w:rsidRPr="00BB322F">
              <w:rPr>
                <w:rFonts w:cs="Times New Roman"/>
                <w:bCs/>
                <w:sz w:val="24"/>
                <w:szCs w:val="24"/>
              </w:rPr>
              <w:t>0</w:t>
            </w:r>
          </w:p>
        </w:tc>
        <w:tc>
          <w:tcPr>
            <w:tcW w:w="496" w:type="pct"/>
            <w:tcBorders>
              <w:top w:val="outset" w:sz="6" w:space="0" w:color="000000"/>
              <w:left w:val="outset" w:sz="6" w:space="0" w:color="000000"/>
              <w:bottom w:val="outset" w:sz="6" w:space="0" w:color="000000"/>
              <w:right w:val="outset" w:sz="6" w:space="0" w:color="000000"/>
            </w:tcBorders>
          </w:tcPr>
          <w:p w14:paraId="39240CBD" w14:textId="624AF37E" w:rsidR="0018097A" w:rsidRPr="00BB322F" w:rsidRDefault="00675A67" w:rsidP="00045555">
            <w:pPr>
              <w:spacing w:line="270" w:lineRule="atLeast"/>
              <w:jc w:val="center"/>
              <w:rPr>
                <w:rFonts w:cs="Times New Roman"/>
                <w:bCs/>
                <w:sz w:val="24"/>
                <w:szCs w:val="24"/>
              </w:rPr>
            </w:pPr>
            <w:r w:rsidRPr="00BB322F">
              <w:rPr>
                <w:rFonts w:cs="Times New Roman"/>
                <w:sz w:val="24"/>
                <w:szCs w:val="24"/>
              </w:rPr>
              <w:t>0</w:t>
            </w:r>
          </w:p>
        </w:tc>
        <w:tc>
          <w:tcPr>
            <w:tcW w:w="684" w:type="pct"/>
            <w:tcBorders>
              <w:top w:val="outset" w:sz="6" w:space="0" w:color="000000"/>
              <w:left w:val="outset" w:sz="6" w:space="0" w:color="000000"/>
              <w:bottom w:val="outset" w:sz="6" w:space="0" w:color="000000"/>
              <w:right w:val="outset" w:sz="6" w:space="0" w:color="000000"/>
            </w:tcBorders>
            <w:hideMark/>
          </w:tcPr>
          <w:p w14:paraId="370983A1" w14:textId="77777777" w:rsidR="0018097A" w:rsidRPr="00BB322F" w:rsidRDefault="0018097A" w:rsidP="00045555">
            <w:pPr>
              <w:spacing w:line="270" w:lineRule="atLeast"/>
              <w:jc w:val="center"/>
              <w:rPr>
                <w:rFonts w:cs="Times New Roman"/>
                <w:bCs/>
                <w:sz w:val="24"/>
                <w:szCs w:val="24"/>
              </w:rPr>
            </w:pPr>
            <w:r w:rsidRPr="00BB322F">
              <w:rPr>
                <w:rFonts w:cs="Times New Roman"/>
                <w:bCs/>
                <w:sz w:val="24"/>
                <w:szCs w:val="24"/>
              </w:rPr>
              <w:t>0</w:t>
            </w:r>
          </w:p>
        </w:tc>
      </w:tr>
      <w:tr w:rsidR="0018097A" w:rsidRPr="00BB322F" w14:paraId="4E018A59" w14:textId="77777777" w:rsidTr="002D0B96">
        <w:tc>
          <w:tcPr>
            <w:tcW w:w="1196" w:type="pct"/>
            <w:tcBorders>
              <w:top w:val="outset" w:sz="6" w:space="0" w:color="000000"/>
              <w:left w:val="outset" w:sz="6" w:space="0" w:color="000000"/>
              <w:bottom w:val="outset" w:sz="6" w:space="0" w:color="000000"/>
              <w:right w:val="outset" w:sz="6" w:space="0" w:color="000000"/>
            </w:tcBorders>
            <w:hideMark/>
          </w:tcPr>
          <w:p w14:paraId="6DB6567A" w14:textId="77777777" w:rsidR="0018097A" w:rsidRPr="00BB322F" w:rsidRDefault="0018097A" w:rsidP="00045555">
            <w:pPr>
              <w:pStyle w:val="NormalWeb"/>
              <w:spacing w:line="256" w:lineRule="auto"/>
              <w:rPr>
                <w:lang w:eastAsia="en-US"/>
              </w:rPr>
            </w:pPr>
            <w:r w:rsidRPr="00BB322F">
              <w:rPr>
                <w:lang w:eastAsia="en-US"/>
              </w:rPr>
              <w:t>2. Budžeta izdevumi:</w:t>
            </w:r>
          </w:p>
        </w:tc>
        <w:tc>
          <w:tcPr>
            <w:tcW w:w="607" w:type="pct"/>
            <w:tcBorders>
              <w:top w:val="outset" w:sz="6" w:space="0" w:color="000000"/>
              <w:left w:val="outset" w:sz="6" w:space="0" w:color="000000"/>
              <w:bottom w:val="outset" w:sz="6" w:space="0" w:color="000000"/>
              <w:right w:val="outset" w:sz="6" w:space="0" w:color="000000"/>
            </w:tcBorders>
            <w:hideMark/>
          </w:tcPr>
          <w:p w14:paraId="072088ED" w14:textId="77777777" w:rsidR="0018097A" w:rsidRPr="00BB322F" w:rsidRDefault="0018097A" w:rsidP="00045555">
            <w:pPr>
              <w:spacing w:line="270" w:lineRule="atLeast"/>
              <w:jc w:val="center"/>
              <w:rPr>
                <w:rFonts w:cs="Times New Roman"/>
                <w:bCs/>
                <w:sz w:val="24"/>
                <w:szCs w:val="24"/>
              </w:rPr>
            </w:pPr>
            <w:r w:rsidRPr="00BB322F">
              <w:rPr>
                <w:rFonts w:cs="Times New Roman"/>
                <w:bCs/>
                <w:sz w:val="24"/>
                <w:szCs w:val="24"/>
              </w:rPr>
              <w:t>0</w:t>
            </w:r>
          </w:p>
        </w:tc>
        <w:tc>
          <w:tcPr>
            <w:tcW w:w="533" w:type="pct"/>
            <w:tcBorders>
              <w:top w:val="outset" w:sz="6" w:space="0" w:color="000000"/>
              <w:left w:val="outset" w:sz="6" w:space="0" w:color="000000"/>
              <w:bottom w:val="outset" w:sz="6" w:space="0" w:color="000000"/>
              <w:right w:val="outset" w:sz="6" w:space="0" w:color="000000"/>
            </w:tcBorders>
            <w:hideMark/>
          </w:tcPr>
          <w:p w14:paraId="0631A738" w14:textId="77777777" w:rsidR="0018097A" w:rsidRPr="00BB322F" w:rsidRDefault="0018097A" w:rsidP="00045555">
            <w:pPr>
              <w:spacing w:line="270" w:lineRule="atLeast"/>
              <w:jc w:val="center"/>
              <w:rPr>
                <w:rFonts w:cs="Times New Roman"/>
                <w:bCs/>
                <w:sz w:val="24"/>
                <w:szCs w:val="24"/>
              </w:rPr>
            </w:pPr>
            <w:r w:rsidRPr="00BB322F">
              <w:rPr>
                <w:rFonts w:cs="Times New Roman"/>
                <w:bCs/>
                <w:sz w:val="24"/>
                <w:szCs w:val="24"/>
              </w:rPr>
              <w:t>0</w:t>
            </w:r>
          </w:p>
        </w:tc>
        <w:tc>
          <w:tcPr>
            <w:tcW w:w="495" w:type="pct"/>
            <w:gridSpan w:val="2"/>
            <w:tcBorders>
              <w:top w:val="outset" w:sz="6" w:space="0" w:color="000000"/>
              <w:left w:val="outset" w:sz="6" w:space="0" w:color="000000"/>
              <w:bottom w:val="outset" w:sz="6" w:space="0" w:color="000000"/>
              <w:right w:val="outset" w:sz="6" w:space="0" w:color="000000"/>
            </w:tcBorders>
            <w:hideMark/>
          </w:tcPr>
          <w:p w14:paraId="6553F559" w14:textId="77777777" w:rsidR="0018097A" w:rsidRPr="00BB322F" w:rsidRDefault="0018097A" w:rsidP="00045555">
            <w:pPr>
              <w:spacing w:line="270" w:lineRule="atLeast"/>
              <w:jc w:val="center"/>
              <w:rPr>
                <w:rFonts w:cs="Times New Roman"/>
                <w:bCs/>
                <w:sz w:val="24"/>
                <w:szCs w:val="24"/>
              </w:rPr>
            </w:pPr>
            <w:r w:rsidRPr="00BB322F">
              <w:rPr>
                <w:rFonts w:cs="Times New Roman"/>
                <w:bCs/>
                <w:sz w:val="24"/>
                <w:szCs w:val="24"/>
              </w:rPr>
              <w:t>0</w:t>
            </w:r>
          </w:p>
        </w:tc>
        <w:tc>
          <w:tcPr>
            <w:tcW w:w="495" w:type="pct"/>
            <w:tcBorders>
              <w:top w:val="outset" w:sz="6" w:space="0" w:color="000000"/>
              <w:left w:val="outset" w:sz="6" w:space="0" w:color="000000"/>
              <w:bottom w:val="outset" w:sz="6" w:space="0" w:color="000000"/>
              <w:right w:val="outset" w:sz="6" w:space="0" w:color="000000"/>
            </w:tcBorders>
          </w:tcPr>
          <w:p w14:paraId="39E8CEE2" w14:textId="043BA9AD" w:rsidR="0018097A" w:rsidRPr="00BB322F" w:rsidRDefault="00675A67" w:rsidP="00045555">
            <w:pPr>
              <w:spacing w:line="270" w:lineRule="atLeast"/>
              <w:jc w:val="center"/>
              <w:rPr>
                <w:rFonts w:cs="Times New Roman"/>
                <w:bCs/>
                <w:sz w:val="24"/>
                <w:szCs w:val="24"/>
              </w:rPr>
            </w:pPr>
            <w:r w:rsidRPr="00BB322F">
              <w:rPr>
                <w:rFonts w:cs="Times New Roman"/>
                <w:sz w:val="24"/>
                <w:szCs w:val="24"/>
              </w:rPr>
              <w:t>0</w:t>
            </w:r>
          </w:p>
        </w:tc>
        <w:tc>
          <w:tcPr>
            <w:tcW w:w="495" w:type="pct"/>
            <w:gridSpan w:val="2"/>
            <w:tcBorders>
              <w:top w:val="outset" w:sz="6" w:space="0" w:color="000000"/>
              <w:left w:val="outset" w:sz="6" w:space="0" w:color="000000"/>
              <w:bottom w:val="outset" w:sz="6" w:space="0" w:color="000000"/>
              <w:right w:val="outset" w:sz="6" w:space="0" w:color="000000"/>
            </w:tcBorders>
            <w:hideMark/>
          </w:tcPr>
          <w:p w14:paraId="16383732" w14:textId="77777777" w:rsidR="0018097A" w:rsidRPr="00BB322F" w:rsidRDefault="0018097A" w:rsidP="00045555">
            <w:pPr>
              <w:spacing w:line="270" w:lineRule="atLeast"/>
              <w:jc w:val="center"/>
              <w:rPr>
                <w:rFonts w:cs="Times New Roman"/>
                <w:bCs/>
                <w:sz w:val="24"/>
                <w:szCs w:val="24"/>
              </w:rPr>
            </w:pPr>
            <w:r w:rsidRPr="00BB322F">
              <w:rPr>
                <w:rFonts w:cs="Times New Roman"/>
                <w:bCs/>
                <w:sz w:val="24"/>
                <w:szCs w:val="24"/>
              </w:rPr>
              <w:t>0</w:t>
            </w:r>
          </w:p>
        </w:tc>
        <w:tc>
          <w:tcPr>
            <w:tcW w:w="496" w:type="pct"/>
            <w:tcBorders>
              <w:top w:val="outset" w:sz="6" w:space="0" w:color="000000"/>
              <w:left w:val="outset" w:sz="6" w:space="0" w:color="000000"/>
              <w:bottom w:val="outset" w:sz="6" w:space="0" w:color="000000"/>
              <w:right w:val="outset" w:sz="6" w:space="0" w:color="000000"/>
            </w:tcBorders>
          </w:tcPr>
          <w:p w14:paraId="33558F24" w14:textId="706C0D66" w:rsidR="0018097A" w:rsidRPr="00BB322F" w:rsidRDefault="00675A67" w:rsidP="00045555">
            <w:pPr>
              <w:spacing w:line="270" w:lineRule="atLeast"/>
              <w:jc w:val="center"/>
              <w:rPr>
                <w:rFonts w:cs="Times New Roman"/>
                <w:bCs/>
                <w:sz w:val="24"/>
                <w:szCs w:val="24"/>
              </w:rPr>
            </w:pPr>
            <w:r w:rsidRPr="00BB322F">
              <w:rPr>
                <w:rFonts w:cs="Times New Roman"/>
                <w:sz w:val="24"/>
                <w:szCs w:val="24"/>
              </w:rPr>
              <w:t>0</w:t>
            </w:r>
          </w:p>
        </w:tc>
        <w:tc>
          <w:tcPr>
            <w:tcW w:w="684" w:type="pct"/>
            <w:tcBorders>
              <w:top w:val="outset" w:sz="6" w:space="0" w:color="000000"/>
              <w:left w:val="outset" w:sz="6" w:space="0" w:color="000000"/>
              <w:bottom w:val="outset" w:sz="6" w:space="0" w:color="000000"/>
              <w:right w:val="outset" w:sz="6" w:space="0" w:color="000000"/>
            </w:tcBorders>
            <w:hideMark/>
          </w:tcPr>
          <w:p w14:paraId="74612627" w14:textId="77777777" w:rsidR="0018097A" w:rsidRPr="00BB322F" w:rsidRDefault="0018097A" w:rsidP="00045555">
            <w:pPr>
              <w:spacing w:line="270" w:lineRule="atLeast"/>
              <w:jc w:val="center"/>
              <w:rPr>
                <w:rFonts w:cs="Times New Roman"/>
                <w:bCs/>
                <w:sz w:val="24"/>
                <w:szCs w:val="24"/>
              </w:rPr>
            </w:pPr>
            <w:r w:rsidRPr="00BB322F">
              <w:rPr>
                <w:rFonts w:cs="Times New Roman"/>
                <w:bCs/>
                <w:sz w:val="24"/>
                <w:szCs w:val="24"/>
              </w:rPr>
              <w:t>0</w:t>
            </w:r>
          </w:p>
        </w:tc>
      </w:tr>
      <w:tr w:rsidR="0018097A" w:rsidRPr="00BB322F" w14:paraId="7B18431C" w14:textId="77777777" w:rsidTr="002D0B96">
        <w:tc>
          <w:tcPr>
            <w:tcW w:w="1196" w:type="pct"/>
            <w:tcBorders>
              <w:top w:val="outset" w:sz="6" w:space="0" w:color="000000"/>
              <w:left w:val="outset" w:sz="6" w:space="0" w:color="000000"/>
              <w:bottom w:val="outset" w:sz="6" w:space="0" w:color="000000"/>
              <w:right w:val="outset" w:sz="6" w:space="0" w:color="000000"/>
            </w:tcBorders>
            <w:hideMark/>
          </w:tcPr>
          <w:p w14:paraId="2C254CA1" w14:textId="77777777" w:rsidR="0018097A" w:rsidRPr="00BB322F" w:rsidRDefault="0018097A" w:rsidP="00045555">
            <w:pPr>
              <w:pStyle w:val="NormalWeb"/>
              <w:spacing w:line="256" w:lineRule="auto"/>
              <w:rPr>
                <w:lang w:eastAsia="en-US"/>
              </w:rPr>
            </w:pPr>
            <w:r w:rsidRPr="00BB322F">
              <w:rPr>
                <w:lang w:eastAsia="en-US"/>
              </w:rPr>
              <w:t>2.1. valsts pamatbudžets</w:t>
            </w:r>
          </w:p>
        </w:tc>
        <w:tc>
          <w:tcPr>
            <w:tcW w:w="607" w:type="pct"/>
            <w:tcBorders>
              <w:top w:val="outset" w:sz="6" w:space="0" w:color="000000"/>
              <w:left w:val="outset" w:sz="6" w:space="0" w:color="000000"/>
              <w:bottom w:val="outset" w:sz="6" w:space="0" w:color="000000"/>
              <w:right w:val="outset" w:sz="6" w:space="0" w:color="000000"/>
            </w:tcBorders>
            <w:hideMark/>
          </w:tcPr>
          <w:p w14:paraId="2DF97D3A" w14:textId="77777777" w:rsidR="0018097A" w:rsidRPr="00BB322F" w:rsidRDefault="0018097A" w:rsidP="00045555">
            <w:pPr>
              <w:spacing w:line="270" w:lineRule="atLeast"/>
              <w:jc w:val="center"/>
              <w:rPr>
                <w:rFonts w:cs="Times New Roman"/>
                <w:bCs/>
                <w:sz w:val="24"/>
                <w:szCs w:val="24"/>
              </w:rPr>
            </w:pPr>
            <w:r w:rsidRPr="00BB322F">
              <w:rPr>
                <w:rFonts w:cs="Times New Roman"/>
                <w:bCs/>
                <w:sz w:val="24"/>
                <w:szCs w:val="24"/>
              </w:rPr>
              <w:t>0</w:t>
            </w:r>
          </w:p>
        </w:tc>
        <w:tc>
          <w:tcPr>
            <w:tcW w:w="533" w:type="pct"/>
            <w:tcBorders>
              <w:top w:val="outset" w:sz="6" w:space="0" w:color="000000"/>
              <w:left w:val="outset" w:sz="6" w:space="0" w:color="000000"/>
              <w:bottom w:val="outset" w:sz="6" w:space="0" w:color="000000"/>
              <w:right w:val="outset" w:sz="6" w:space="0" w:color="000000"/>
            </w:tcBorders>
            <w:hideMark/>
          </w:tcPr>
          <w:p w14:paraId="5745F183" w14:textId="77777777" w:rsidR="0018097A" w:rsidRPr="00BB322F" w:rsidRDefault="0018097A" w:rsidP="00045555">
            <w:pPr>
              <w:spacing w:line="270" w:lineRule="atLeast"/>
              <w:jc w:val="center"/>
              <w:rPr>
                <w:rFonts w:cs="Times New Roman"/>
                <w:bCs/>
                <w:sz w:val="24"/>
                <w:szCs w:val="24"/>
              </w:rPr>
            </w:pPr>
            <w:r w:rsidRPr="00BB322F">
              <w:rPr>
                <w:rFonts w:cs="Times New Roman"/>
                <w:bCs/>
                <w:sz w:val="24"/>
                <w:szCs w:val="24"/>
              </w:rPr>
              <w:t>0</w:t>
            </w:r>
          </w:p>
        </w:tc>
        <w:tc>
          <w:tcPr>
            <w:tcW w:w="495" w:type="pct"/>
            <w:gridSpan w:val="2"/>
            <w:tcBorders>
              <w:top w:val="outset" w:sz="6" w:space="0" w:color="000000"/>
              <w:left w:val="outset" w:sz="6" w:space="0" w:color="000000"/>
              <w:bottom w:val="outset" w:sz="6" w:space="0" w:color="000000"/>
              <w:right w:val="outset" w:sz="6" w:space="0" w:color="000000"/>
            </w:tcBorders>
            <w:hideMark/>
          </w:tcPr>
          <w:p w14:paraId="77C2BB03" w14:textId="77777777" w:rsidR="0018097A" w:rsidRPr="00BB322F" w:rsidRDefault="0018097A" w:rsidP="00045555">
            <w:pPr>
              <w:spacing w:line="270" w:lineRule="atLeast"/>
              <w:jc w:val="center"/>
              <w:rPr>
                <w:rFonts w:cs="Times New Roman"/>
                <w:bCs/>
                <w:sz w:val="24"/>
                <w:szCs w:val="24"/>
              </w:rPr>
            </w:pPr>
            <w:r w:rsidRPr="00BB322F">
              <w:rPr>
                <w:rFonts w:cs="Times New Roman"/>
                <w:bCs/>
                <w:sz w:val="24"/>
                <w:szCs w:val="24"/>
              </w:rPr>
              <w:t>0</w:t>
            </w:r>
          </w:p>
        </w:tc>
        <w:tc>
          <w:tcPr>
            <w:tcW w:w="495" w:type="pct"/>
            <w:tcBorders>
              <w:top w:val="outset" w:sz="6" w:space="0" w:color="000000"/>
              <w:left w:val="outset" w:sz="6" w:space="0" w:color="000000"/>
              <w:bottom w:val="outset" w:sz="6" w:space="0" w:color="000000"/>
              <w:right w:val="outset" w:sz="6" w:space="0" w:color="000000"/>
            </w:tcBorders>
          </w:tcPr>
          <w:p w14:paraId="314F0775" w14:textId="7FE8F583" w:rsidR="0018097A" w:rsidRPr="00BB322F" w:rsidRDefault="00675A67" w:rsidP="00045555">
            <w:pPr>
              <w:spacing w:line="270" w:lineRule="atLeast"/>
              <w:jc w:val="center"/>
              <w:rPr>
                <w:rFonts w:cs="Times New Roman"/>
                <w:bCs/>
                <w:sz w:val="24"/>
                <w:szCs w:val="24"/>
              </w:rPr>
            </w:pPr>
            <w:r w:rsidRPr="00BB322F">
              <w:rPr>
                <w:rFonts w:cs="Times New Roman"/>
                <w:sz w:val="24"/>
                <w:szCs w:val="24"/>
              </w:rPr>
              <w:t>0</w:t>
            </w:r>
          </w:p>
        </w:tc>
        <w:tc>
          <w:tcPr>
            <w:tcW w:w="495" w:type="pct"/>
            <w:gridSpan w:val="2"/>
            <w:tcBorders>
              <w:top w:val="outset" w:sz="6" w:space="0" w:color="000000"/>
              <w:left w:val="outset" w:sz="6" w:space="0" w:color="000000"/>
              <w:bottom w:val="outset" w:sz="6" w:space="0" w:color="000000"/>
              <w:right w:val="outset" w:sz="6" w:space="0" w:color="000000"/>
            </w:tcBorders>
            <w:hideMark/>
          </w:tcPr>
          <w:p w14:paraId="478CD1F4" w14:textId="77777777" w:rsidR="0018097A" w:rsidRPr="00BB322F" w:rsidRDefault="0018097A" w:rsidP="00045555">
            <w:pPr>
              <w:spacing w:line="270" w:lineRule="atLeast"/>
              <w:jc w:val="center"/>
              <w:rPr>
                <w:rFonts w:cs="Times New Roman"/>
                <w:bCs/>
                <w:sz w:val="24"/>
                <w:szCs w:val="24"/>
              </w:rPr>
            </w:pPr>
            <w:r w:rsidRPr="00BB322F">
              <w:rPr>
                <w:rFonts w:cs="Times New Roman"/>
                <w:bCs/>
                <w:sz w:val="24"/>
                <w:szCs w:val="24"/>
              </w:rPr>
              <w:t>0</w:t>
            </w:r>
          </w:p>
        </w:tc>
        <w:tc>
          <w:tcPr>
            <w:tcW w:w="496" w:type="pct"/>
            <w:tcBorders>
              <w:top w:val="outset" w:sz="6" w:space="0" w:color="000000"/>
              <w:left w:val="outset" w:sz="6" w:space="0" w:color="000000"/>
              <w:bottom w:val="outset" w:sz="6" w:space="0" w:color="000000"/>
              <w:right w:val="outset" w:sz="6" w:space="0" w:color="000000"/>
            </w:tcBorders>
          </w:tcPr>
          <w:p w14:paraId="3FDDD750" w14:textId="7C4B0015" w:rsidR="0018097A" w:rsidRPr="00BB322F" w:rsidRDefault="00675A67" w:rsidP="00045555">
            <w:pPr>
              <w:spacing w:line="270" w:lineRule="atLeast"/>
              <w:jc w:val="center"/>
              <w:rPr>
                <w:rFonts w:cs="Times New Roman"/>
                <w:bCs/>
                <w:sz w:val="24"/>
                <w:szCs w:val="24"/>
              </w:rPr>
            </w:pPr>
            <w:r w:rsidRPr="00BB322F">
              <w:rPr>
                <w:rFonts w:cs="Times New Roman"/>
                <w:sz w:val="24"/>
                <w:szCs w:val="24"/>
              </w:rPr>
              <w:t>0</w:t>
            </w:r>
          </w:p>
        </w:tc>
        <w:tc>
          <w:tcPr>
            <w:tcW w:w="684" w:type="pct"/>
            <w:tcBorders>
              <w:top w:val="outset" w:sz="6" w:space="0" w:color="000000"/>
              <w:left w:val="outset" w:sz="6" w:space="0" w:color="000000"/>
              <w:bottom w:val="outset" w:sz="6" w:space="0" w:color="000000"/>
              <w:right w:val="outset" w:sz="6" w:space="0" w:color="000000"/>
            </w:tcBorders>
            <w:hideMark/>
          </w:tcPr>
          <w:p w14:paraId="3C9A00AA" w14:textId="77777777" w:rsidR="0018097A" w:rsidRPr="00BB322F" w:rsidRDefault="0018097A" w:rsidP="00045555">
            <w:pPr>
              <w:spacing w:line="270" w:lineRule="atLeast"/>
              <w:jc w:val="center"/>
              <w:rPr>
                <w:rFonts w:cs="Times New Roman"/>
                <w:bCs/>
                <w:sz w:val="24"/>
                <w:szCs w:val="24"/>
              </w:rPr>
            </w:pPr>
            <w:r w:rsidRPr="00BB322F">
              <w:rPr>
                <w:rFonts w:cs="Times New Roman"/>
                <w:bCs/>
                <w:sz w:val="24"/>
                <w:szCs w:val="24"/>
              </w:rPr>
              <w:t>0</w:t>
            </w:r>
          </w:p>
        </w:tc>
      </w:tr>
      <w:tr w:rsidR="0018097A" w:rsidRPr="00BB322F" w14:paraId="34BCD5D7" w14:textId="77777777" w:rsidTr="002D0B96">
        <w:tc>
          <w:tcPr>
            <w:tcW w:w="1196" w:type="pct"/>
            <w:tcBorders>
              <w:top w:val="outset" w:sz="6" w:space="0" w:color="000000"/>
              <w:left w:val="outset" w:sz="6" w:space="0" w:color="000000"/>
              <w:bottom w:val="outset" w:sz="6" w:space="0" w:color="000000"/>
              <w:right w:val="outset" w:sz="6" w:space="0" w:color="000000"/>
            </w:tcBorders>
            <w:hideMark/>
          </w:tcPr>
          <w:p w14:paraId="6CD382B4" w14:textId="77777777" w:rsidR="0018097A" w:rsidRPr="00BB322F" w:rsidRDefault="0018097A" w:rsidP="00045555">
            <w:pPr>
              <w:pStyle w:val="NormalWeb"/>
              <w:spacing w:line="256" w:lineRule="auto"/>
              <w:rPr>
                <w:lang w:eastAsia="en-US"/>
              </w:rPr>
            </w:pPr>
            <w:r w:rsidRPr="00BB322F">
              <w:rPr>
                <w:lang w:eastAsia="en-US"/>
              </w:rPr>
              <w:t>2.2. valsts speciālais budžets</w:t>
            </w:r>
          </w:p>
        </w:tc>
        <w:tc>
          <w:tcPr>
            <w:tcW w:w="607" w:type="pct"/>
            <w:tcBorders>
              <w:top w:val="outset" w:sz="6" w:space="0" w:color="000000"/>
              <w:left w:val="outset" w:sz="6" w:space="0" w:color="000000"/>
              <w:bottom w:val="outset" w:sz="6" w:space="0" w:color="000000"/>
              <w:right w:val="outset" w:sz="6" w:space="0" w:color="000000"/>
            </w:tcBorders>
            <w:hideMark/>
          </w:tcPr>
          <w:p w14:paraId="094A2536" w14:textId="77777777" w:rsidR="0018097A" w:rsidRPr="00BB322F" w:rsidRDefault="0018097A" w:rsidP="00045555">
            <w:pPr>
              <w:spacing w:line="270" w:lineRule="atLeast"/>
              <w:jc w:val="center"/>
              <w:rPr>
                <w:rFonts w:cs="Times New Roman"/>
                <w:bCs/>
                <w:sz w:val="24"/>
                <w:szCs w:val="24"/>
              </w:rPr>
            </w:pPr>
            <w:r w:rsidRPr="00BB322F">
              <w:rPr>
                <w:rFonts w:cs="Times New Roman"/>
                <w:bCs/>
                <w:sz w:val="24"/>
                <w:szCs w:val="24"/>
              </w:rPr>
              <w:t>0</w:t>
            </w:r>
          </w:p>
        </w:tc>
        <w:tc>
          <w:tcPr>
            <w:tcW w:w="533" w:type="pct"/>
            <w:tcBorders>
              <w:top w:val="outset" w:sz="6" w:space="0" w:color="000000"/>
              <w:left w:val="outset" w:sz="6" w:space="0" w:color="000000"/>
              <w:bottom w:val="outset" w:sz="6" w:space="0" w:color="000000"/>
              <w:right w:val="outset" w:sz="6" w:space="0" w:color="000000"/>
            </w:tcBorders>
            <w:hideMark/>
          </w:tcPr>
          <w:p w14:paraId="7C8238CB" w14:textId="77777777" w:rsidR="0018097A" w:rsidRPr="00BB322F" w:rsidRDefault="0018097A" w:rsidP="00045555">
            <w:pPr>
              <w:spacing w:line="270" w:lineRule="atLeast"/>
              <w:jc w:val="center"/>
              <w:rPr>
                <w:rFonts w:cs="Times New Roman"/>
                <w:bCs/>
                <w:sz w:val="24"/>
                <w:szCs w:val="24"/>
              </w:rPr>
            </w:pPr>
            <w:r w:rsidRPr="00BB322F">
              <w:rPr>
                <w:rFonts w:cs="Times New Roman"/>
                <w:bCs/>
                <w:sz w:val="24"/>
                <w:szCs w:val="24"/>
              </w:rPr>
              <w:t>0</w:t>
            </w:r>
          </w:p>
        </w:tc>
        <w:tc>
          <w:tcPr>
            <w:tcW w:w="495" w:type="pct"/>
            <w:gridSpan w:val="2"/>
            <w:tcBorders>
              <w:top w:val="outset" w:sz="6" w:space="0" w:color="000000"/>
              <w:left w:val="outset" w:sz="6" w:space="0" w:color="000000"/>
              <w:bottom w:val="outset" w:sz="6" w:space="0" w:color="000000"/>
              <w:right w:val="outset" w:sz="6" w:space="0" w:color="000000"/>
            </w:tcBorders>
            <w:hideMark/>
          </w:tcPr>
          <w:p w14:paraId="44F7DFD7" w14:textId="77777777" w:rsidR="0018097A" w:rsidRPr="00BB322F" w:rsidRDefault="0018097A" w:rsidP="00045555">
            <w:pPr>
              <w:spacing w:line="270" w:lineRule="atLeast"/>
              <w:jc w:val="center"/>
              <w:rPr>
                <w:rFonts w:cs="Times New Roman"/>
                <w:bCs/>
                <w:sz w:val="24"/>
                <w:szCs w:val="24"/>
              </w:rPr>
            </w:pPr>
            <w:r w:rsidRPr="00BB322F">
              <w:rPr>
                <w:rFonts w:cs="Times New Roman"/>
                <w:bCs/>
                <w:sz w:val="24"/>
                <w:szCs w:val="24"/>
              </w:rPr>
              <w:t>0</w:t>
            </w:r>
          </w:p>
        </w:tc>
        <w:tc>
          <w:tcPr>
            <w:tcW w:w="495" w:type="pct"/>
            <w:tcBorders>
              <w:top w:val="outset" w:sz="6" w:space="0" w:color="000000"/>
              <w:left w:val="outset" w:sz="6" w:space="0" w:color="000000"/>
              <w:bottom w:val="outset" w:sz="6" w:space="0" w:color="000000"/>
              <w:right w:val="outset" w:sz="6" w:space="0" w:color="000000"/>
            </w:tcBorders>
          </w:tcPr>
          <w:p w14:paraId="2AC9BC15" w14:textId="271F8E1D" w:rsidR="0018097A" w:rsidRPr="00BB322F" w:rsidRDefault="00675A67" w:rsidP="00045555">
            <w:pPr>
              <w:spacing w:line="270" w:lineRule="atLeast"/>
              <w:jc w:val="center"/>
              <w:rPr>
                <w:rFonts w:cs="Times New Roman"/>
                <w:bCs/>
                <w:sz w:val="24"/>
                <w:szCs w:val="24"/>
              </w:rPr>
            </w:pPr>
            <w:r w:rsidRPr="00BB322F">
              <w:rPr>
                <w:rFonts w:cs="Times New Roman"/>
                <w:sz w:val="24"/>
                <w:szCs w:val="24"/>
              </w:rPr>
              <w:t>0</w:t>
            </w:r>
          </w:p>
        </w:tc>
        <w:tc>
          <w:tcPr>
            <w:tcW w:w="495" w:type="pct"/>
            <w:gridSpan w:val="2"/>
            <w:tcBorders>
              <w:top w:val="outset" w:sz="6" w:space="0" w:color="000000"/>
              <w:left w:val="outset" w:sz="6" w:space="0" w:color="000000"/>
              <w:bottom w:val="outset" w:sz="6" w:space="0" w:color="000000"/>
              <w:right w:val="outset" w:sz="6" w:space="0" w:color="000000"/>
            </w:tcBorders>
            <w:hideMark/>
          </w:tcPr>
          <w:p w14:paraId="5F907373" w14:textId="77777777" w:rsidR="0018097A" w:rsidRPr="00BB322F" w:rsidRDefault="0018097A" w:rsidP="00045555">
            <w:pPr>
              <w:spacing w:line="270" w:lineRule="atLeast"/>
              <w:jc w:val="center"/>
              <w:rPr>
                <w:rFonts w:cs="Times New Roman"/>
                <w:bCs/>
                <w:sz w:val="24"/>
                <w:szCs w:val="24"/>
              </w:rPr>
            </w:pPr>
            <w:r w:rsidRPr="00BB322F">
              <w:rPr>
                <w:rFonts w:cs="Times New Roman"/>
                <w:bCs/>
                <w:sz w:val="24"/>
                <w:szCs w:val="24"/>
              </w:rPr>
              <w:t>0</w:t>
            </w:r>
          </w:p>
        </w:tc>
        <w:tc>
          <w:tcPr>
            <w:tcW w:w="496" w:type="pct"/>
            <w:tcBorders>
              <w:top w:val="outset" w:sz="6" w:space="0" w:color="000000"/>
              <w:left w:val="outset" w:sz="6" w:space="0" w:color="000000"/>
              <w:bottom w:val="outset" w:sz="6" w:space="0" w:color="000000"/>
              <w:right w:val="outset" w:sz="6" w:space="0" w:color="000000"/>
            </w:tcBorders>
          </w:tcPr>
          <w:p w14:paraId="184140AE" w14:textId="644F138C" w:rsidR="0018097A" w:rsidRPr="00BB322F" w:rsidRDefault="00675A67" w:rsidP="00045555">
            <w:pPr>
              <w:spacing w:line="270" w:lineRule="atLeast"/>
              <w:jc w:val="center"/>
              <w:rPr>
                <w:rFonts w:cs="Times New Roman"/>
                <w:bCs/>
                <w:sz w:val="24"/>
                <w:szCs w:val="24"/>
              </w:rPr>
            </w:pPr>
            <w:r w:rsidRPr="00BB322F">
              <w:rPr>
                <w:rFonts w:cs="Times New Roman"/>
                <w:sz w:val="24"/>
                <w:szCs w:val="24"/>
              </w:rPr>
              <w:t>0</w:t>
            </w:r>
          </w:p>
        </w:tc>
        <w:tc>
          <w:tcPr>
            <w:tcW w:w="684" w:type="pct"/>
            <w:tcBorders>
              <w:top w:val="outset" w:sz="6" w:space="0" w:color="000000"/>
              <w:left w:val="outset" w:sz="6" w:space="0" w:color="000000"/>
              <w:bottom w:val="outset" w:sz="6" w:space="0" w:color="000000"/>
              <w:right w:val="outset" w:sz="6" w:space="0" w:color="000000"/>
            </w:tcBorders>
            <w:hideMark/>
          </w:tcPr>
          <w:p w14:paraId="1A5B1EE4" w14:textId="77777777" w:rsidR="0018097A" w:rsidRPr="00BB322F" w:rsidRDefault="0018097A" w:rsidP="00045555">
            <w:pPr>
              <w:spacing w:line="270" w:lineRule="atLeast"/>
              <w:jc w:val="center"/>
              <w:rPr>
                <w:rFonts w:cs="Times New Roman"/>
                <w:bCs/>
                <w:sz w:val="24"/>
                <w:szCs w:val="24"/>
              </w:rPr>
            </w:pPr>
            <w:r w:rsidRPr="00BB322F">
              <w:rPr>
                <w:rFonts w:cs="Times New Roman"/>
                <w:bCs/>
                <w:sz w:val="24"/>
                <w:szCs w:val="24"/>
              </w:rPr>
              <w:t>0</w:t>
            </w:r>
          </w:p>
        </w:tc>
      </w:tr>
      <w:tr w:rsidR="00675A67" w:rsidRPr="00BB322F" w14:paraId="2F5469D0" w14:textId="77777777" w:rsidTr="002D0B96">
        <w:tc>
          <w:tcPr>
            <w:tcW w:w="1196" w:type="pct"/>
            <w:tcBorders>
              <w:top w:val="outset" w:sz="6" w:space="0" w:color="000000"/>
              <w:left w:val="outset" w:sz="6" w:space="0" w:color="000000"/>
              <w:bottom w:val="outset" w:sz="6" w:space="0" w:color="000000"/>
              <w:right w:val="outset" w:sz="6" w:space="0" w:color="000000"/>
            </w:tcBorders>
            <w:hideMark/>
          </w:tcPr>
          <w:p w14:paraId="4B6457BF" w14:textId="77777777" w:rsidR="00675A67" w:rsidRPr="00BB322F" w:rsidRDefault="00675A67" w:rsidP="00045555">
            <w:pPr>
              <w:pStyle w:val="NormalWeb"/>
              <w:spacing w:line="256" w:lineRule="auto"/>
              <w:rPr>
                <w:lang w:eastAsia="en-US"/>
              </w:rPr>
            </w:pPr>
            <w:r w:rsidRPr="00BB322F">
              <w:rPr>
                <w:lang w:eastAsia="en-US"/>
              </w:rPr>
              <w:t>2.3.pašvaldību budžets</w:t>
            </w:r>
          </w:p>
        </w:tc>
        <w:tc>
          <w:tcPr>
            <w:tcW w:w="607" w:type="pct"/>
            <w:tcBorders>
              <w:top w:val="outset" w:sz="6" w:space="0" w:color="000000"/>
              <w:left w:val="outset" w:sz="6" w:space="0" w:color="000000"/>
              <w:bottom w:val="outset" w:sz="6" w:space="0" w:color="000000"/>
              <w:right w:val="outset" w:sz="6" w:space="0" w:color="000000"/>
            </w:tcBorders>
            <w:hideMark/>
          </w:tcPr>
          <w:p w14:paraId="63870E88" w14:textId="77777777" w:rsidR="00675A67" w:rsidRPr="00BB322F" w:rsidRDefault="00675A67" w:rsidP="00045555">
            <w:pPr>
              <w:spacing w:line="270" w:lineRule="atLeast"/>
              <w:jc w:val="center"/>
              <w:rPr>
                <w:rFonts w:cs="Times New Roman"/>
                <w:bCs/>
                <w:sz w:val="24"/>
                <w:szCs w:val="24"/>
              </w:rPr>
            </w:pPr>
            <w:r w:rsidRPr="00BB322F">
              <w:rPr>
                <w:rFonts w:cs="Times New Roman"/>
                <w:bCs/>
                <w:sz w:val="24"/>
                <w:szCs w:val="24"/>
              </w:rPr>
              <w:t>0</w:t>
            </w:r>
          </w:p>
        </w:tc>
        <w:tc>
          <w:tcPr>
            <w:tcW w:w="533" w:type="pct"/>
            <w:tcBorders>
              <w:top w:val="outset" w:sz="6" w:space="0" w:color="000000"/>
              <w:left w:val="outset" w:sz="6" w:space="0" w:color="000000"/>
              <w:bottom w:val="outset" w:sz="6" w:space="0" w:color="000000"/>
              <w:right w:val="outset" w:sz="6" w:space="0" w:color="000000"/>
            </w:tcBorders>
            <w:hideMark/>
          </w:tcPr>
          <w:p w14:paraId="4F455092" w14:textId="77777777" w:rsidR="00675A67" w:rsidRPr="00BB322F" w:rsidRDefault="00675A67" w:rsidP="00045555">
            <w:pPr>
              <w:spacing w:line="270" w:lineRule="atLeast"/>
              <w:jc w:val="center"/>
              <w:rPr>
                <w:rFonts w:cs="Times New Roman"/>
                <w:bCs/>
                <w:sz w:val="24"/>
                <w:szCs w:val="24"/>
              </w:rPr>
            </w:pPr>
            <w:r w:rsidRPr="00BB322F">
              <w:rPr>
                <w:rFonts w:cs="Times New Roman"/>
                <w:bCs/>
                <w:sz w:val="24"/>
                <w:szCs w:val="24"/>
              </w:rPr>
              <w:t>0</w:t>
            </w:r>
          </w:p>
        </w:tc>
        <w:tc>
          <w:tcPr>
            <w:tcW w:w="495" w:type="pct"/>
            <w:gridSpan w:val="2"/>
            <w:tcBorders>
              <w:top w:val="outset" w:sz="6" w:space="0" w:color="000000"/>
              <w:left w:val="outset" w:sz="6" w:space="0" w:color="000000"/>
              <w:bottom w:val="outset" w:sz="6" w:space="0" w:color="000000"/>
              <w:right w:val="outset" w:sz="6" w:space="0" w:color="000000"/>
            </w:tcBorders>
            <w:hideMark/>
          </w:tcPr>
          <w:p w14:paraId="1F8E2775" w14:textId="77777777" w:rsidR="00675A67" w:rsidRPr="00BB322F" w:rsidRDefault="00675A67" w:rsidP="00045555">
            <w:pPr>
              <w:spacing w:line="270" w:lineRule="atLeast"/>
              <w:jc w:val="center"/>
              <w:rPr>
                <w:rFonts w:cs="Times New Roman"/>
                <w:bCs/>
                <w:sz w:val="24"/>
                <w:szCs w:val="24"/>
              </w:rPr>
            </w:pPr>
            <w:r w:rsidRPr="00BB322F">
              <w:rPr>
                <w:rFonts w:cs="Times New Roman"/>
                <w:bCs/>
                <w:sz w:val="24"/>
                <w:szCs w:val="24"/>
              </w:rPr>
              <w:t>0</w:t>
            </w:r>
          </w:p>
        </w:tc>
        <w:tc>
          <w:tcPr>
            <w:tcW w:w="495" w:type="pct"/>
            <w:tcBorders>
              <w:top w:val="outset" w:sz="6" w:space="0" w:color="000000"/>
              <w:left w:val="outset" w:sz="6" w:space="0" w:color="000000"/>
              <w:bottom w:val="outset" w:sz="6" w:space="0" w:color="000000"/>
              <w:right w:val="outset" w:sz="6" w:space="0" w:color="000000"/>
            </w:tcBorders>
          </w:tcPr>
          <w:p w14:paraId="3130D0B9" w14:textId="009BBB31" w:rsidR="00675A67" w:rsidRPr="00BB322F" w:rsidRDefault="00675A67" w:rsidP="00045555">
            <w:pPr>
              <w:spacing w:line="270" w:lineRule="atLeast"/>
              <w:jc w:val="center"/>
              <w:rPr>
                <w:rFonts w:cs="Times New Roman"/>
                <w:bCs/>
                <w:sz w:val="24"/>
                <w:szCs w:val="24"/>
              </w:rPr>
            </w:pPr>
            <w:r w:rsidRPr="00BB322F">
              <w:rPr>
                <w:rFonts w:cs="Times New Roman"/>
                <w:sz w:val="24"/>
                <w:szCs w:val="24"/>
              </w:rPr>
              <w:t>0</w:t>
            </w:r>
          </w:p>
        </w:tc>
        <w:tc>
          <w:tcPr>
            <w:tcW w:w="495" w:type="pct"/>
            <w:gridSpan w:val="2"/>
            <w:tcBorders>
              <w:top w:val="outset" w:sz="6" w:space="0" w:color="000000"/>
              <w:left w:val="outset" w:sz="6" w:space="0" w:color="000000"/>
              <w:bottom w:val="outset" w:sz="6" w:space="0" w:color="000000"/>
              <w:right w:val="outset" w:sz="6" w:space="0" w:color="000000"/>
            </w:tcBorders>
            <w:hideMark/>
          </w:tcPr>
          <w:p w14:paraId="6246F9EE" w14:textId="77777777" w:rsidR="00675A67" w:rsidRPr="00BB322F" w:rsidRDefault="00675A67" w:rsidP="00045555">
            <w:pPr>
              <w:spacing w:line="270" w:lineRule="atLeast"/>
              <w:jc w:val="center"/>
              <w:rPr>
                <w:rFonts w:cs="Times New Roman"/>
                <w:bCs/>
                <w:sz w:val="24"/>
                <w:szCs w:val="24"/>
              </w:rPr>
            </w:pPr>
            <w:r w:rsidRPr="00BB322F">
              <w:rPr>
                <w:rFonts w:cs="Times New Roman"/>
                <w:bCs/>
                <w:sz w:val="24"/>
                <w:szCs w:val="24"/>
              </w:rPr>
              <w:t>0</w:t>
            </w:r>
          </w:p>
        </w:tc>
        <w:tc>
          <w:tcPr>
            <w:tcW w:w="496" w:type="pct"/>
            <w:tcBorders>
              <w:top w:val="outset" w:sz="6" w:space="0" w:color="000000"/>
              <w:left w:val="outset" w:sz="6" w:space="0" w:color="000000"/>
              <w:bottom w:val="outset" w:sz="6" w:space="0" w:color="000000"/>
              <w:right w:val="outset" w:sz="6" w:space="0" w:color="000000"/>
            </w:tcBorders>
          </w:tcPr>
          <w:p w14:paraId="38C42153" w14:textId="48ADCDAE" w:rsidR="00675A67" w:rsidRPr="00BB322F" w:rsidRDefault="00675A67" w:rsidP="00045555">
            <w:pPr>
              <w:spacing w:line="270" w:lineRule="atLeast"/>
              <w:jc w:val="center"/>
              <w:rPr>
                <w:rFonts w:cs="Times New Roman"/>
                <w:bCs/>
                <w:sz w:val="24"/>
                <w:szCs w:val="24"/>
              </w:rPr>
            </w:pPr>
            <w:r w:rsidRPr="00BB322F">
              <w:rPr>
                <w:rFonts w:cs="Times New Roman"/>
                <w:sz w:val="24"/>
                <w:szCs w:val="24"/>
              </w:rPr>
              <w:t>0</w:t>
            </w:r>
          </w:p>
        </w:tc>
        <w:tc>
          <w:tcPr>
            <w:tcW w:w="684" w:type="pct"/>
            <w:tcBorders>
              <w:top w:val="outset" w:sz="6" w:space="0" w:color="000000"/>
              <w:left w:val="outset" w:sz="6" w:space="0" w:color="000000"/>
              <w:bottom w:val="outset" w:sz="6" w:space="0" w:color="000000"/>
              <w:right w:val="outset" w:sz="6" w:space="0" w:color="000000"/>
            </w:tcBorders>
            <w:hideMark/>
          </w:tcPr>
          <w:p w14:paraId="573F3801" w14:textId="77777777" w:rsidR="00675A67" w:rsidRPr="00BB322F" w:rsidRDefault="00675A67" w:rsidP="00045555">
            <w:pPr>
              <w:spacing w:line="270" w:lineRule="atLeast"/>
              <w:jc w:val="center"/>
              <w:rPr>
                <w:rFonts w:cs="Times New Roman"/>
                <w:bCs/>
                <w:sz w:val="24"/>
                <w:szCs w:val="24"/>
              </w:rPr>
            </w:pPr>
            <w:r w:rsidRPr="00BB322F">
              <w:rPr>
                <w:rFonts w:cs="Times New Roman"/>
                <w:bCs/>
                <w:sz w:val="24"/>
                <w:szCs w:val="24"/>
              </w:rPr>
              <w:t>0</w:t>
            </w:r>
          </w:p>
        </w:tc>
      </w:tr>
      <w:tr w:rsidR="00675A67" w:rsidRPr="00BB322F" w14:paraId="1877329A" w14:textId="77777777" w:rsidTr="002D0B96">
        <w:tc>
          <w:tcPr>
            <w:tcW w:w="1196" w:type="pct"/>
            <w:tcBorders>
              <w:top w:val="outset" w:sz="6" w:space="0" w:color="000000"/>
              <w:left w:val="outset" w:sz="6" w:space="0" w:color="000000"/>
              <w:bottom w:val="outset" w:sz="6" w:space="0" w:color="000000"/>
              <w:right w:val="outset" w:sz="6" w:space="0" w:color="000000"/>
            </w:tcBorders>
            <w:hideMark/>
          </w:tcPr>
          <w:p w14:paraId="546C162C" w14:textId="77777777" w:rsidR="00675A67" w:rsidRPr="00BB322F" w:rsidRDefault="00675A67" w:rsidP="00045555">
            <w:pPr>
              <w:pStyle w:val="NormalWeb"/>
              <w:spacing w:line="256" w:lineRule="auto"/>
              <w:rPr>
                <w:lang w:eastAsia="en-US"/>
              </w:rPr>
            </w:pPr>
            <w:r w:rsidRPr="00BB322F">
              <w:rPr>
                <w:lang w:eastAsia="en-US"/>
              </w:rPr>
              <w:t>3. Finansiālā ietekme:</w:t>
            </w:r>
          </w:p>
        </w:tc>
        <w:tc>
          <w:tcPr>
            <w:tcW w:w="607" w:type="pct"/>
            <w:tcBorders>
              <w:top w:val="outset" w:sz="6" w:space="0" w:color="000000"/>
              <w:left w:val="outset" w:sz="6" w:space="0" w:color="000000"/>
              <w:bottom w:val="outset" w:sz="6" w:space="0" w:color="000000"/>
              <w:right w:val="outset" w:sz="6" w:space="0" w:color="000000"/>
            </w:tcBorders>
            <w:hideMark/>
          </w:tcPr>
          <w:p w14:paraId="519B6602" w14:textId="77777777" w:rsidR="00675A67" w:rsidRPr="00BB322F" w:rsidRDefault="00675A67" w:rsidP="00045555">
            <w:pPr>
              <w:spacing w:line="270" w:lineRule="atLeast"/>
              <w:jc w:val="center"/>
              <w:rPr>
                <w:rFonts w:cs="Times New Roman"/>
                <w:bCs/>
                <w:sz w:val="24"/>
                <w:szCs w:val="24"/>
              </w:rPr>
            </w:pPr>
            <w:r w:rsidRPr="00BB322F">
              <w:rPr>
                <w:rFonts w:cs="Times New Roman"/>
                <w:bCs/>
                <w:sz w:val="24"/>
                <w:szCs w:val="24"/>
              </w:rPr>
              <w:t>0</w:t>
            </w:r>
          </w:p>
        </w:tc>
        <w:tc>
          <w:tcPr>
            <w:tcW w:w="533" w:type="pct"/>
            <w:tcBorders>
              <w:top w:val="outset" w:sz="6" w:space="0" w:color="000000"/>
              <w:left w:val="outset" w:sz="6" w:space="0" w:color="000000"/>
              <w:bottom w:val="outset" w:sz="6" w:space="0" w:color="000000"/>
              <w:right w:val="outset" w:sz="6" w:space="0" w:color="000000"/>
            </w:tcBorders>
            <w:hideMark/>
          </w:tcPr>
          <w:p w14:paraId="51A53444" w14:textId="77777777" w:rsidR="00675A67" w:rsidRPr="00BB322F" w:rsidRDefault="00675A67" w:rsidP="00045555">
            <w:pPr>
              <w:spacing w:line="270" w:lineRule="atLeast"/>
              <w:jc w:val="center"/>
              <w:rPr>
                <w:rFonts w:cs="Times New Roman"/>
                <w:bCs/>
                <w:sz w:val="24"/>
                <w:szCs w:val="24"/>
              </w:rPr>
            </w:pPr>
            <w:r w:rsidRPr="00BB322F">
              <w:rPr>
                <w:rFonts w:cs="Times New Roman"/>
                <w:bCs/>
                <w:sz w:val="24"/>
                <w:szCs w:val="24"/>
              </w:rPr>
              <w:t>Nav precīzi aprēķināms</w:t>
            </w:r>
            <w:r w:rsidRPr="00BB322F" w:rsidDel="00F02D3D">
              <w:rPr>
                <w:rFonts w:cs="Times New Roman"/>
                <w:bCs/>
                <w:sz w:val="24"/>
                <w:szCs w:val="24"/>
              </w:rPr>
              <w:t xml:space="preserve"> </w:t>
            </w:r>
          </w:p>
        </w:tc>
        <w:tc>
          <w:tcPr>
            <w:tcW w:w="495" w:type="pct"/>
            <w:gridSpan w:val="2"/>
            <w:tcBorders>
              <w:top w:val="outset" w:sz="6" w:space="0" w:color="000000"/>
              <w:left w:val="outset" w:sz="6" w:space="0" w:color="000000"/>
              <w:bottom w:val="outset" w:sz="6" w:space="0" w:color="000000"/>
              <w:right w:val="outset" w:sz="6" w:space="0" w:color="000000"/>
            </w:tcBorders>
            <w:hideMark/>
          </w:tcPr>
          <w:p w14:paraId="137B68F6" w14:textId="77777777" w:rsidR="00675A67" w:rsidRPr="00BB322F" w:rsidRDefault="00675A67" w:rsidP="00045555">
            <w:pPr>
              <w:spacing w:line="270" w:lineRule="atLeast"/>
              <w:jc w:val="center"/>
              <w:rPr>
                <w:rFonts w:cs="Times New Roman"/>
                <w:bCs/>
                <w:sz w:val="24"/>
                <w:szCs w:val="24"/>
              </w:rPr>
            </w:pPr>
            <w:r w:rsidRPr="00BB322F">
              <w:rPr>
                <w:rFonts w:cs="Times New Roman"/>
                <w:bCs/>
                <w:sz w:val="24"/>
                <w:szCs w:val="24"/>
              </w:rPr>
              <w:t>Nav precīzi aprēķināms</w:t>
            </w:r>
            <w:r w:rsidRPr="00BB322F" w:rsidDel="00F02D3D">
              <w:rPr>
                <w:rFonts w:cs="Times New Roman"/>
                <w:bCs/>
                <w:sz w:val="24"/>
                <w:szCs w:val="24"/>
              </w:rPr>
              <w:t xml:space="preserve"> </w:t>
            </w:r>
          </w:p>
        </w:tc>
        <w:tc>
          <w:tcPr>
            <w:tcW w:w="495" w:type="pct"/>
            <w:tcBorders>
              <w:top w:val="outset" w:sz="6" w:space="0" w:color="000000"/>
              <w:left w:val="outset" w:sz="6" w:space="0" w:color="000000"/>
              <w:bottom w:val="outset" w:sz="6" w:space="0" w:color="000000"/>
              <w:right w:val="outset" w:sz="6" w:space="0" w:color="000000"/>
            </w:tcBorders>
          </w:tcPr>
          <w:p w14:paraId="49D2F0DD" w14:textId="0076589F" w:rsidR="00675A67" w:rsidRPr="00BB322F" w:rsidRDefault="00675A67" w:rsidP="00045555">
            <w:pPr>
              <w:spacing w:line="270" w:lineRule="atLeast"/>
              <w:jc w:val="center"/>
              <w:rPr>
                <w:rFonts w:cs="Times New Roman"/>
                <w:bCs/>
                <w:sz w:val="24"/>
                <w:szCs w:val="24"/>
              </w:rPr>
            </w:pPr>
            <w:r w:rsidRPr="00BB322F">
              <w:rPr>
                <w:rFonts w:cs="Times New Roman"/>
                <w:bCs/>
                <w:sz w:val="24"/>
                <w:szCs w:val="24"/>
              </w:rPr>
              <w:t>Nav precīzi aprēķināms</w:t>
            </w:r>
          </w:p>
        </w:tc>
        <w:tc>
          <w:tcPr>
            <w:tcW w:w="495" w:type="pct"/>
            <w:gridSpan w:val="2"/>
            <w:tcBorders>
              <w:top w:val="outset" w:sz="6" w:space="0" w:color="000000"/>
              <w:left w:val="outset" w:sz="6" w:space="0" w:color="000000"/>
              <w:bottom w:val="outset" w:sz="6" w:space="0" w:color="000000"/>
              <w:right w:val="outset" w:sz="6" w:space="0" w:color="000000"/>
            </w:tcBorders>
            <w:hideMark/>
          </w:tcPr>
          <w:p w14:paraId="0968D1A3" w14:textId="77777777" w:rsidR="00675A67" w:rsidRPr="00BB322F" w:rsidRDefault="00675A67" w:rsidP="00045555">
            <w:pPr>
              <w:spacing w:line="270" w:lineRule="atLeast"/>
              <w:jc w:val="center"/>
              <w:rPr>
                <w:rFonts w:cs="Times New Roman"/>
                <w:bCs/>
                <w:sz w:val="24"/>
                <w:szCs w:val="24"/>
              </w:rPr>
            </w:pPr>
            <w:r w:rsidRPr="00BB322F">
              <w:rPr>
                <w:rFonts w:cs="Times New Roman"/>
                <w:bCs/>
                <w:sz w:val="24"/>
                <w:szCs w:val="24"/>
              </w:rPr>
              <w:t>Nav precīzi aprēķināms</w:t>
            </w:r>
            <w:r w:rsidRPr="00BB322F" w:rsidDel="00F02D3D">
              <w:rPr>
                <w:rFonts w:cs="Times New Roman"/>
                <w:bCs/>
                <w:sz w:val="24"/>
                <w:szCs w:val="24"/>
              </w:rPr>
              <w:t xml:space="preserve"> </w:t>
            </w:r>
          </w:p>
        </w:tc>
        <w:tc>
          <w:tcPr>
            <w:tcW w:w="496" w:type="pct"/>
            <w:tcBorders>
              <w:top w:val="outset" w:sz="6" w:space="0" w:color="000000"/>
              <w:left w:val="outset" w:sz="6" w:space="0" w:color="000000"/>
              <w:bottom w:val="outset" w:sz="6" w:space="0" w:color="000000"/>
              <w:right w:val="outset" w:sz="6" w:space="0" w:color="000000"/>
            </w:tcBorders>
          </w:tcPr>
          <w:p w14:paraId="3C6F3829" w14:textId="153F1197" w:rsidR="00675A67" w:rsidRPr="00BB322F" w:rsidRDefault="00675A67" w:rsidP="00045555">
            <w:pPr>
              <w:spacing w:line="270" w:lineRule="atLeast"/>
              <w:jc w:val="center"/>
              <w:rPr>
                <w:rFonts w:cs="Times New Roman"/>
                <w:bCs/>
                <w:sz w:val="24"/>
                <w:szCs w:val="24"/>
              </w:rPr>
            </w:pPr>
            <w:r w:rsidRPr="00BB322F">
              <w:rPr>
                <w:rFonts w:cs="Times New Roman"/>
                <w:bCs/>
                <w:sz w:val="24"/>
                <w:szCs w:val="24"/>
              </w:rPr>
              <w:t>Nav precīzi aprēķināms</w:t>
            </w:r>
          </w:p>
        </w:tc>
        <w:tc>
          <w:tcPr>
            <w:tcW w:w="684" w:type="pct"/>
            <w:tcBorders>
              <w:top w:val="outset" w:sz="6" w:space="0" w:color="000000"/>
              <w:left w:val="outset" w:sz="6" w:space="0" w:color="000000"/>
              <w:bottom w:val="outset" w:sz="6" w:space="0" w:color="000000"/>
              <w:right w:val="outset" w:sz="6" w:space="0" w:color="000000"/>
            </w:tcBorders>
            <w:hideMark/>
          </w:tcPr>
          <w:p w14:paraId="11CA49A0" w14:textId="77777777" w:rsidR="00675A67" w:rsidRPr="00BB322F" w:rsidRDefault="00675A67" w:rsidP="00045555">
            <w:pPr>
              <w:spacing w:line="270" w:lineRule="atLeast"/>
              <w:jc w:val="center"/>
              <w:rPr>
                <w:rFonts w:cs="Times New Roman"/>
                <w:bCs/>
                <w:sz w:val="24"/>
                <w:szCs w:val="24"/>
              </w:rPr>
            </w:pPr>
            <w:r w:rsidRPr="00BB322F">
              <w:rPr>
                <w:rFonts w:cs="Times New Roman"/>
                <w:bCs/>
                <w:sz w:val="24"/>
                <w:szCs w:val="24"/>
              </w:rPr>
              <w:t>Nav precīzi aprēķināms</w:t>
            </w:r>
            <w:r w:rsidRPr="00BB322F" w:rsidDel="00F02D3D">
              <w:rPr>
                <w:rFonts w:cs="Times New Roman"/>
                <w:bCs/>
                <w:sz w:val="24"/>
                <w:szCs w:val="24"/>
              </w:rPr>
              <w:t xml:space="preserve"> </w:t>
            </w:r>
          </w:p>
        </w:tc>
      </w:tr>
      <w:tr w:rsidR="00675A67" w:rsidRPr="00BB322F" w14:paraId="1B54DA0B" w14:textId="77777777" w:rsidTr="002D0B96">
        <w:tc>
          <w:tcPr>
            <w:tcW w:w="1196" w:type="pct"/>
            <w:tcBorders>
              <w:top w:val="outset" w:sz="6" w:space="0" w:color="000000"/>
              <w:left w:val="outset" w:sz="6" w:space="0" w:color="000000"/>
              <w:bottom w:val="outset" w:sz="6" w:space="0" w:color="000000"/>
              <w:right w:val="outset" w:sz="6" w:space="0" w:color="000000"/>
            </w:tcBorders>
            <w:hideMark/>
          </w:tcPr>
          <w:p w14:paraId="2FDD0F9E" w14:textId="77777777" w:rsidR="00675A67" w:rsidRPr="00BB322F" w:rsidRDefault="00675A67" w:rsidP="00F14D7C">
            <w:pPr>
              <w:pStyle w:val="NormalWeb"/>
              <w:spacing w:line="256" w:lineRule="auto"/>
              <w:rPr>
                <w:lang w:eastAsia="en-US"/>
              </w:rPr>
            </w:pPr>
            <w:r w:rsidRPr="00BB322F">
              <w:rPr>
                <w:lang w:eastAsia="en-US"/>
              </w:rPr>
              <w:lastRenderedPageBreak/>
              <w:t>3.1. valsts pamatbudžets</w:t>
            </w:r>
          </w:p>
        </w:tc>
        <w:tc>
          <w:tcPr>
            <w:tcW w:w="607" w:type="pct"/>
            <w:tcBorders>
              <w:top w:val="outset" w:sz="6" w:space="0" w:color="000000"/>
              <w:left w:val="outset" w:sz="6" w:space="0" w:color="000000"/>
              <w:bottom w:val="outset" w:sz="6" w:space="0" w:color="000000"/>
              <w:right w:val="outset" w:sz="6" w:space="0" w:color="000000"/>
            </w:tcBorders>
            <w:hideMark/>
          </w:tcPr>
          <w:p w14:paraId="4EACF9CA" w14:textId="77777777" w:rsidR="00675A67" w:rsidRPr="00BB322F" w:rsidRDefault="00675A67" w:rsidP="00F14D7C">
            <w:pPr>
              <w:spacing w:line="270" w:lineRule="atLeast"/>
              <w:jc w:val="center"/>
              <w:rPr>
                <w:rFonts w:cs="Times New Roman"/>
                <w:bCs/>
                <w:sz w:val="24"/>
                <w:szCs w:val="24"/>
              </w:rPr>
            </w:pPr>
            <w:r w:rsidRPr="00BB322F">
              <w:rPr>
                <w:rFonts w:cs="Times New Roman"/>
                <w:bCs/>
                <w:sz w:val="24"/>
                <w:szCs w:val="24"/>
              </w:rPr>
              <w:t>0</w:t>
            </w:r>
          </w:p>
        </w:tc>
        <w:tc>
          <w:tcPr>
            <w:tcW w:w="533" w:type="pct"/>
            <w:tcBorders>
              <w:top w:val="outset" w:sz="6" w:space="0" w:color="000000"/>
              <w:left w:val="outset" w:sz="6" w:space="0" w:color="000000"/>
              <w:bottom w:val="outset" w:sz="6" w:space="0" w:color="000000"/>
              <w:right w:val="outset" w:sz="6" w:space="0" w:color="000000"/>
            </w:tcBorders>
            <w:hideMark/>
          </w:tcPr>
          <w:p w14:paraId="5CF7889B" w14:textId="77777777" w:rsidR="00675A67" w:rsidRPr="00BB322F" w:rsidRDefault="00675A67" w:rsidP="00F14D7C">
            <w:pPr>
              <w:spacing w:line="270" w:lineRule="atLeast"/>
              <w:jc w:val="center"/>
              <w:rPr>
                <w:rFonts w:cs="Times New Roman"/>
                <w:bCs/>
                <w:sz w:val="24"/>
                <w:szCs w:val="24"/>
              </w:rPr>
            </w:pPr>
            <w:r w:rsidRPr="00BB322F">
              <w:rPr>
                <w:rFonts w:cs="Times New Roman"/>
                <w:bCs/>
                <w:sz w:val="24"/>
                <w:szCs w:val="24"/>
              </w:rPr>
              <w:t>Nav precīzi aprēķināms</w:t>
            </w:r>
          </w:p>
        </w:tc>
        <w:tc>
          <w:tcPr>
            <w:tcW w:w="495" w:type="pct"/>
            <w:gridSpan w:val="2"/>
            <w:tcBorders>
              <w:top w:val="outset" w:sz="6" w:space="0" w:color="000000"/>
              <w:left w:val="outset" w:sz="6" w:space="0" w:color="000000"/>
              <w:bottom w:val="outset" w:sz="6" w:space="0" w:color="000000"/>
              <w:right w:val="outset" w:sz="6" w:space="0" w:color="000000"/>
            </w:tcBorders>
            <w:hideMark/>
          </w:tcPr>
          <w:p w14:paraId="4613038F" w14:textId="77777777" w:rsidR="00675A67" w:rsidRPr="00BB322F" w:rsidRDefault="00675A67" w:rsidP="00F14D7C">
            <w:pPr>
              <w:spacing w:line="270" w:lineRule="atLeast"/>
              <w:jc w:val="center"/>
              <w:rPr>
                <w:rFonts w:cs="Times New Roman"/>
                <w:bCs/>
                <w:sz w:val="24"/>
                <w:szCs w:val="24"/>
              </w:rPr>
            </w:pPr>
            <w:r w:rsidRPr="00BB322F">
              <w:rPr>
                <w:rFonts w:cs="Times New Roman"/>
                <w:bCs/>
                <w:sz w:val="24"/>
                <w:szCs w:val="24"/>
              </w:rPr>
              <w:t>Nav precīzi aprēķināms</w:t>
            </w:r>
          </w:p>
        </w:tc>
        <w:tc>
          <w:tcPr>
            <w:tcW w:w="495" w:type="pct"/>
            <w:tcBorders>
              <w:top w:val="outset" w:sz="6" w:space="0" w:color="000000"/>
              <w:left w:val="outset" w:sz="6" w:space="0" w:color="000000"/>
              <w:bottom w:val="outset" w:sz="6" w:space="0" w:color="000000"/>
              <w:right w:val="outset" w:sz="6" w:space="0" w:color="000000"/>
            </w:tcBorders>
          </w:tcPr>
          <w:p w14:paraId="1F40946D" w14:textId="627C6EF9" w:rsidR="00675A67" w:rsidRPr="00BB322F" w:rsidRDefault="00675A67" w:rsidP="00F14D7C">
            <w:pPr>
              <w:spacing w:line="270" w:lineRule="atLeast"/>
              <w:jc w:val="center"/>
              <w:rPr>
                <w:rFonts w:cs="Times New Roman"/>
                <w:bCs/>
                <w:sz w:val="24"/>
                <w:szCs w:val="24"/>
              </w:rPr>
            </w:pPr>
            <w:r w:rsidRPr="00BB322F">
              <w:rPr>
                <w:rFonts w:cs="Times New Roman"/>
                <w:bCs/>
                <w:sz w:val="24"/>
                <w:szCs w:val="24"/>
              </w:rPr>
              <w:t>Nav precīzi aprēķināms</w:t>
            </w:r>
          </w:p>
        </w:tc>
        <w:tc>
          <w:tcPr>
            <w:tcW w:w="495" w:type="pct"/>
            <w:gridSpan w:val="2"/>
            <w:tcBorders>
              <w:top w:val="outset" w:sz="6" w:space="0" w:color="000000"/>
              <w:left w:val="outset" w:sz="6" w:space="0" w:color="000000"/>
              <w:bottom w:val="outset" w:sz="6" w:space="0" w:color="000000"/>
              <w:right w:val="outset" w:sz="6" w:space="0" w:color="000000"/>
            </w:tcBorders>
            <w:hideMark/>
          </w:tcPr>
          <w:p w14:paraId="6735B34A" w14:textId="77777777" w:rsidR="00675A67" w:rsidRPr="00BB322F" w:rsidRDefault="00675A67" w:rsidP="00F14D7C">
            <w:pPr>
              <w:spacing w:line="270" w:lineRule="atLeast"/>
              <w:jc w:val="center"/>
              <w:rPr>
                <w:rFonts w:cs="Times New Roman"/>
                <w:bCs/>
                <w:sz w:val="24"/>
                <w:szCs w:val="24"/>
              </w:rPr>
            </w:pPr>
            <w:r w:rsidRPr="00BB322F">
              <w:rPr>
                <w:rFonts w:cs="Times New Roman"/>
                <w:bCs/>
                <w:sz w:val="24"/>
                <w:szCs w:val="24"/>
              </w:rPr>
              <w:t>Nav precīzi aprēķināms</w:t>
            </w:r>
          </w:p>
        </w:tc>
        <w:tc>
          <w:tcPr>
            <w:tcW w:w="496" w:type="pct"/>
            <w:tcBorders>
              <w:top w:val="outset" w:sz="6" w:space="0" w:color="000000"/>
              <w:left w:val="outset" w:sz="6" w:space="0" w:color="000000"/>
              <w:bottom w:val="outset" w:sz="6" w:space="0" w:color="000000"/>
              <w:right w:val="outset" w:sz="6" w:space="0" w:color="000000"/>
            </w:tcBorders>
          </w:tcPr>
          <w:p w14:paraId="0B8AE594" w14:textId="122C067C" w:rsidR="00675A67" w:rsidRPr="00BB322F" w:rsidRDefault="00675A67" w:rsidP="00F14D7C">
            <w:pPr>
              <w:spacing w:line="270" w:lineRule="atLeast"/>
              <w:jc w:val="center"/>
              <w:rPr>
                <w:rFonts w:cs="Times New Roman"/>
                <w:bCs/>
                <w:sz w:val="24"/>
                <w:szCs w:val="24"/>
              </w:rPr>
            </w:pPr>
            <w:r w:rsidRPr="00BB322F">
              <w:rPr>
                <w:rFonts w:cs="Times New Roman"/>
                <w:bCs/>
                <w:sz w:val="24"/>
                <w:szCs w:val="24"/>
              </w:rPr>
              <w:t>Nav precīzi aprēķināms</w:t>
            </w:r>
          </w:p>
        </w:tc>
        <w:tc>
          <w:tcPr>
            <w:tcW w:w="684" w:type="pct"/>
            <w:tcBorders>
              <w:top w:val="outset" w:sz="6" w:space="0" w:color="000000"/>
              <w:left w:val="outset" w:sz="6" w:space="0" w:color="000000"/>
              <w:bottom w:val="outset" w:sz="6" w:space="0" w:color="000000"/>
              <w:right w:val="outset" w:sz="6" w:space="0" w:color="000000"/>
            </w:tcBorders>
            <w:hideMark/>
          </w:tcPr>
          <w:p w14:paraId="6A961948" w14:textId="77777777" w:rsidR="00675A67" w:rsidRPr="00BB322F" w:rsidRDefault="00675A67" w:rsidP="00F14D7C">
            <w:pPr>
              <w:spacing w:line="270" w:lineRule="atLeast"/>
              <w:jc w:val="center"/>
              <w:rPr>
                <w:rFonts w:cs="Times New Roman"/>
                <w:bCs/>
                <w:sz w:val="24"/>
                <w:szCs w:val="24"/>
              </w:rPr>
            </w:pPr>
            <w:r w:rsidRPr="00BB322F">
              <w:rPr>
                <w:rFonts w:cs="Times New Roman"/>
                <w:bCs/>
                <w:sz w:val="24"/>
                <w:szCs w:val="24"/>
              </w:rPr>
              <w:t>Nav precīzi aprēķināms</w:t>
            </w:r>
          </w:p>
        </w:tc>
      </w:tr>
      <w:tr w:rsidR="00675A67" w:rsidRPr="00BB322F" w14:paraId="617DCE48" w14:textId="77777777" w:rsidTr="002D0B96">
        <w:tc>
          <w:tcPr>
            <w:tcW w:w="1196" w:type="pct"/>
            <w:tcBorders>
              <w:top w:val="outset" w:sz="6" w:space="0" w:color="000000"/>
              <w:left w:val="outset" w:sz="6" w:space="0" w:color="000000"/>
              <w:bottom w:val="outset" w:sz="6" w:space="0" w:color="000000"/>
              <w:right w:val="outset" w:sz="6" w:space="0" w:color="000000"/>
            </w:tcBorders>
            <w:hideMark/>
          </w:tcPr>
          <w:p w14:paraId="213D8747" w14:textId="77777777" w:rsidR="00675A67" w:rsidRPr="00BB322F" w:rsidRDefault="00675A67" w:rsidP="00F14D7C">
            <w:pPr>
              <w:pStyle w:val="NormalWeb"/>
              <w:spacing w:line="256" w:lineRule="auto"/>
              <w:rPr>
                <w:lang w:eastAsia="en-US"/>
              </w:rPr>
            </w:pPr>
            <w:r w:rsidRPr="00BB322F">
              <w:rPr>
                <w:lang w:eastAsia="en-US"/>
              </w:rPr>
              <w:t>3.2. speciālais budžets</w:t>
            </w:r>
          </w:p>
        </w:tc>
        <w:tc>
          <w:tcPr>
            <w:tcW w:w="607" w:type="pct"/>
            <w:tcBorders>
              <w:top w:val="outset" w:sz="6" w:space="0" w:color="000000"/>
              <w:left w:val="outset" w:sz="6" w:space="0" w:color="000000"/>
              <w:bottom w:val="outset" w:sz="6" w:space="0" w:color="000000"/>
              <w:right w:val="outset" w:sz="6" w:space="0" w:color="000000"/>
            </w:tcBorders>
            <w:hideMark/>
          </w:tcPr>
          <w:p w14:paraId="507B79DF" w14:textId="77777777" w:rsidR="00675A67" w:rsidRPr="00BB322F" w:rsidRDefault="00675A67" w:rsidP="00F14D7C">
            <w:pPr>
              <w:spacing w:line="270" w:lineRule="atLeast"/>
              <w:jc w:val="center"/>
              <w:rPr>
                <w:rFonts w:cs="Times New Roman"/>
                <w:bCs/>
                <w:sz w:val="24"/>
                <w:szCs w:val="24"/>
              </w:rPr>
            </w:pPr>
            <w:r w:rsidRPr="00BB322F">
              <w:rPr>
                <w:rFonts w:cs="Times New Roman"/>
                <w:bCs/>
                <w:sz w:val="24"/>
                <w:szCs w:val="24"/>
              </w:rPr>
              <w:t>0</w:t>
            </w:r>
          </w:p>
        </w:tc>
        <w:tc>
          <w:tcPr>
            <w:tcW w:w="533" w:type="pct"/>
            <w:tcBorders>
              <w:top w:val="outset" w:sz="6" w:space="0" w:color="000000"/>
              <w:left w:val="outset" w:sz="6" w:space="0" w:color="000000"/>
              <w:bottom w:val="outset" w:sz="6" w:space="0" w:color="000000"/>
              <w:right w:val="outset" w:sz="6" w:space="0" w:color="000000"/>
            </w:tcBorders>
            <w:hideMark/>
          </w:tcPr>
          <w:p w14:paraId="2BFF3A01" w14:textId="77777777" w:rsidR="00675A67" w:rsidRPr="00BB322F" w:rsidRDefault="00675A67" w:rsidP="00F14D7C">
            <w:pPr>
              <w:spacing w:line="270" w:lineRule="atLeast"/>
              <w:jc w:val="center"/>
              <w:rPr>
                <w:rFonts w:cs="Times New Roman"/>
                <w:bCs/>
                <w:sz w:val="24"/>
                <w:szCs w:val="24"/>
              </w:rPr>
            </w:pPr>
            <w:r w:rsidRPr="00BB322F">
              <w:rPr>
                <w:rFonts w:cs="Times New Roman"/>
                <w:bCs/>
                <w:sz w:val="24"/>
                <w:szCs w:val="24"/>
              </w:rPr>
              <w:t>0</w:t>
            </w:r>
          </w:p>
        </w:tc>
        <w:tc>
          <w:tcPr>
            <w:tcW w:w="495" w:type="pct"/>
            <w:gridSpan w:val="2"/>
            <w:tcBorders>
              <w:top w:val="outset" w:sz="6" w:space="0" w:color="000000"/>
              <w:left w:val="outset" w:sz="6" w:space="0" w:color="000000"/>
              <w:bottom w:val="outset" w:sz="6" w:space="0" w:color="000000"/>
              <w:right w:val="outset" w:sz="6" w:space="0" w:color="000000"/>
            </w:tcBorders>
            <w:hideMark/>
          </w:tcPr>
          <w:p w14:paraId="6558CBFA" w14:textId="77777777" w:rsidR="00675A67" w:rsidRPr="00BB322F" w:rsidRDefault="00675A67" w:rsidP="00F14D7C">
            <w:pPr>
              <w:spacing w:line="270" w:lineRule="atLeast"/>
              <w:jc w:val="center"/>
              <w:rPr>
                <w:rFonts w:cs="Times New Roman"/>
                <w:bCs/>
                <w:sz w:val="24"/>
                <w:szCs w:val="24"/>
              </w:rPr>
            </w:pPr>
            <w:r w:rsidRPr="00BB322F">
              <w:rPr>
                <w:rFonts w:cs="Times New Roman"/>
                <w:bCs/>
                <w:sz w:val="24"/>
                <w:szCs w:val="24"/>
              </w:rPr>
              <w:t>0</w:t>
            </w:r>
          </w:p>
        </w:tc>
        <w:tc>
          <w:tcPr>
            <w:tcW w:w="495" w:type="pct"/>
            <w:tcBorders>
              <w:top w:val="outset" w:sz="6" w:space="0" w:color="000000"/>
              <w:left w:val="outset" w:sz="6" w:space="0" w:color="000000"/>
              <w:bottom w:val="outset" w:sz="6" w:space="0" w:color="000000"/>
              <w:right w:val="outset" w:sz="6" w:space="0" w:color="000000"/>
            </w:tcBorders>
          </w:tcPr>
          <w:p w14:paraId="7960F19B" w14:textId="1A961475" w:rsidR="00675A67" w:rsidRPr="00BB322F" w:rsidRDefault="00675A67" w:rsidP="00F14D7C">
            <w:pPr>
              <w:spacing w:line="270" w:lineRule="atLeast"/>
              <w:jc w:val="center"/>
              <w:rPr>
                <w:rFonts w:cs="Times New Roman"/>
                <w:bCs/>
                <w:sz w:val="24"/>
                <w:szCs w:val="24"/>
              </w:rPr>
            </w:pPr>
            <w:r>
              <w:rPr>
                <w:rFonts w:cs="Times New Roman"/>
                <w:bCs/>
                <w:sz w:val="24"/>
                <w:szCs w:val="24"/>
              </w:rPr>
              <w:t>0</w:t>
            </w:r>
          </w:p>
        </w:tc>
        <w:tc>
          <w:tcPr>
            <w:tcW w:w="495" w:type="pct"/>
            <w:gridSpan w:val="2"/>
            <w:tcBorders>
              <w:top w:val="outset" w:sz="6" w:space="0" w:color="000000"/>
              <w:left w:val="outset" w:sz="6" w:space="0" w:color="000000"/>
              <w:bottom w:val="outset" w:sz="6" w:space="0" w:color="000000"/>
              <w:right w:val="outset" w:sz="6" w:space="0" w:color="000000"/>
            </w:tcBorders>
            <w:hideMark/>
          </w:tcPr>
          <w:p w14:paraId="1692E1CE" w14:textId="77777777" w:rsidR="00675A67" w:rsidRPr="00BB322F" w:rsidRDefault="00675A67" w:rsidP="00F14D7C">
            <w:pPr>
              <w:spacing w:line="270" w:lineRule="atLeast"/>
              <w:jc w:val="center"/>
              <w:rPr>
                <w:rFonts w:cs="Times New Roman"/>
                <w:bCs/>
                <w:sz w:val="24"/>
                <w:szCs w:val="24"/>
              </w:rPr>
            </w:pPr>
            <w:r w:rsidRPr="00BB322F">
              <w:rPr>
                <w:rFonts w:cs="Times New Roman"/>
                <w:bCs/>
                <w:sz w:val="24"/>
                <w:szCs w:val="24"/>
              </w:rPr>
              <w:t>0</w:t>
            </w:r>
          </w:p>
        </w:tc>
        <w:tc>
          <w:tcPr>
            <w:tcW w:w="496" w:type="pct"/>
            <w:tcBorders>
              <w:top w:val="outset" w:sz="6" w:space="0" w:color="000000"/>
              <w:left w:val="outset" w:sz="6" w:space="0" w:color="000000"/>
              <w:bottom w:val="outset" w:sz="6" w:space="0" w:color="000000"/>
              <w:right w:val="outset" w:sz="6" w:space="0" w:color="000000"/>
            </w:tcBorders>
          </w:tcPr>
          <w:p w14:paraId="1721BED2" w14:textId="1BED681E" w:rsidR="00675A67" w:rsidRPr="00BB322F" w:rsidRDefault="00675A67" w:rsidP="00F14D7C">
            <w:pPr>
              <w:spacing w:line="270" w:lineRule="atLeast"/>
              <w:jc w:val="center"/>
              <w:rPr>
                <w:rFonts w:cs="Times New Roman"/>
                <w:bCs/>
                <w:sz w:val="24"/>
                <w:szCs w:val="24"/>
              </w:rPr>
            </w:pPr>
            <w:r>
              <w:rPr>
                <w:rFonts w:cs="Times New Roman"/>
                <w:bCs/>
                <w:sz w:val="24"/>
                <w:szCs w:val="24"/>
              </w:rPr>
              <w:t>0</w:t>
            </w:r>
          </w:p>
        </w:tc>
        <w:tc>
          <w:tcPr>
            <w:tcW w:w="684" w:type="pct"/>
            <w:tcBorders>
              <w:top w:val="outset" w:sz="6" w:space="0" w:color="000000"/>
              <w:left w:val="outset" w:sz="6" w:space="0" w:color="000000"/>
              <w:bottom w:val="outset" w:sz="6" w:space="0" w:color="000000"/>
              <w:right w:val="outset" w:sz="6" w:space="0" w:color="000000"/>
            </w:tcBorders>
            <w:hideMark/>
          </w:tcPr>
          <w:p w14:paraId="04A24D58" w14:textId="77777777" w:rsidR="00675A67" w:rsidRPr="00BB322F" w:rsidRDefault="00675A67" w:rsidP="00F14D7C">
            <w:pPr>
              <w:spacing w:line="270" w:lineRule="atLeast"/>
              <w:jc w:val="center"/>
              <w:rPr>
                <w:rFonts w:cs="Times New Roman"/>
                <w:bCs/>
                <w:sz w:val="24"/>
                <w:szCs w:val="24"/>
              </w:rPr>
            </w:pPr>
            <w:r w:rsidRPr="00BB322F">
              <w:rPr>
                <w:rFonts w:cs="Times New Roman"/>
                <w:bCs/>
                <w:sz w:val="24"/>
                <w:szCs w:val="24"/>
              </w:rPr>
              <w:t>0</w:t>
            </w:r>
          </w:p>
        </w:tc>
      </w:tr>
      <w:tr w:rsidR="00675A67" w:rsidRPr="00BB322F" w14:paraId="40BAA629" w14:textId="77777777" w:rsidTr="002D0B96">
        <w:tc>
          <w:tcPr>
            <w:tcW w:w="1196" w:type="pct"/>
            <w:tcBorders>
              <w:top w:val="outset" w:sz="6" w:space="0" w:color="000000"/>
              <w:left w:val="outset" w:sz="6" w:space="0" w:color="000000"/>
              <w:bottom w:val="outset" w:sz="6" w:space="0" w:color="000000"/>
              <w:right w:val="outset" w:sz="6" w:space="0" w:color="000000"/>
            </w:tcBorders>
            <w:hideMark/>
          </w:tcPr>
          <w:p w14:paraId="325F8B88" w14:textId="77777777" w:rsidR="00675A67" w:rsidRPr="00BB322F" w:rsidRDefault="00675A67" w:rsidP="00F14D7C">
            <w:pPr>
              <w:pStyle w:val="NormalWeb"/>
              <w:spacing w:line="256" w:lineRule="auto"/>
              <w:rPr>
                <w:lang w:eastAsia="en-US"/>
              </w:rPr>
            </w:pPr>
            <w:r w:rsidRPr="00BB322F">
              <w:rPr>
                <w:lang w:eastAsia="en-US"/>
              </w:rPr>
              <w:t>3.3.pašvaldību budžets</w:t>
            </w:r>
          </w:p>
        </w:tc>
        <w:tc>
          <w:tcPr>
            <w:tcW w:w="607" w:type="pct"/>
            <w:tcBorders>
              <w:top w:val="outset" w:sz="6" w:space="0" w:color="000000"/>
              <w:left w:val="outset" w:sz="6" w:space="0" w:color="000000"/>
              <w:bottom w:val="outset" w:sz="6" w:space="0" w:color="000000"/>
              <w:right w:val="outset" w:sz="6" w:space="0" w:color="000000"/>
            </w:tcBorders>
            <w:hideMark/>
          </w:tcPr>
          <w:p w14:paraId="16789F0D" w14:textId="77777777" w:rsidR="00675A67" w:rsidRPr="00BB322F" w:rsidRDefault="00675A67" w:rsidP="00F14D7C">
            <w:pPr>
              <w:spacing w:line="270" w:lineRule="atLeast"/>
              <w:jc w:val="center"/>
              <w:rPr>
                <w:rFonts w:cs="Times New Roman"/>
                <w:bCs/>
                <w:sz w:val="24"/>
                <w:szCs w:val="24"/>
              </w:rPr>
            </w:pPr>
            <w:r w:rsidRPr="00BB322F">
              <w:rPr>
                <w:rFonts w:cs="Times New Roman"/>
                <w:bCs/>
                <w:sz w:val="24"/>
                <w:szCs w:val="24"/>
              </w:rPr>
              <w:t>0</w:t>
            </w:r>
          </w:p>
        </w:tc>
        <w:tc>
          <w:tcPr>
            <w:tcW w:w="533" w:type="pct"/>
            <w:tcBorders>
              <w:top w:val="outset" w:sz="6" w:space="0" w:color="000000"/>
              <w:left w:val="outset" w:sz="6" w:space="0" w:color="000000"/>
              <w:bottom w:val="outset" w:sz="6" w:space="0" w:color="000000"/>
              <w:right w:val="outset" w:sz="6" w:space="0" w:color="000000"/>
            </w:tcBorders>
            <w:hideMark/>
          </w:tcPr>
          <w:p w14:paraId="2C7A6381" w14:textId="77777777" w:rsidR="00675A67" w:rsidRPr="00BB322F" w:rsidRDefault="00675A67" w:rsidP="00F14D7C">
            <w:pPr>
              <w:spacing w:line="270" w:lineRule="atLeast"/>
              <w:jc w:val="center"/>
              <w:rPr>
                <w:rFonts w:cs="Times New Roman"/>
                <w:bCs/>
                <w:sz w:val="24"/>
                <w:szCs w:val="24"/>
              </w:rPr>
            </w:pPr>
            <w:r w:rsidRPr="00BB322F">
              <w:rPr>
                <w:rFonts w:cs="Times New Roman"/>
                <w:bCs/>
                <w:sz w:val="24"/>
                <w:szCs w:val="24"/>
              </w:rPr>
              <w:t>0</w:t>
            </w:r>
          </w:p>
        </w:tc>
        <w:tc>
          <w:tcPr>
            <w:tcW w:w="495" w:type="pct"/>
            <w:gridSpan w:val="2"/>
            <w:tcBorders>
              <w:top w:val="outset" w:sz="6" w:space="0" w:color="000000"/>
              <w:left w:val="outset" w:sz="6" w:space="0" w:color="000000"/>
              <w:bottom w:val="outset" w:sz="6" w:space="0" w:color="000000"/>
              <w:right w:val="outset" w:sz="6" w:space="0" w:color="000000"/>
            </w:tcBorders>
            <w:hideMark/>
          </w:tcPr>
          <w:p w14:paraId="0323D22B" w14:textId="77777777" w:rsidR="00675A67" w:rsidRPr="00BB322F" w:rsidRDefault="00675A67" w:rsidP="00F14D7C">
            <w:pPr>
              <w:spacing w:line="270" w:lineRule="atLeast"/>
              <w:jc w:val="center"/>
              <w:rPr>
                <w:rFonts w:cs="Times New Roman"/>
                <w:bCs/>
                <w:sz w:val="24"/>
                <w:szCs w:val="24"/>
              </w:rPr>
            </w:pPr>
            <w:r w:rsidRPr="00BB322F">
              <w:rPr>
                <w:rFonts w:cs="Times New Roman"/>
                <w:bCs/>
                <w:sz w:val="24"/>
                <w:szCs w:val="24"/>
              </w:rPr>
              <w:t>0</w:t>
            </w:r>
          </w:p>
        </w:tc>
        <w:tc>
          <w:tcPr>
            <w:tcW w:w="495" w:type="pct"/>
            <w:tcBorders>
              <w:top w:val="outset" w:sz="6" w:space="0" w:color="000000"/>
              <w:left w:val="outset" w:sz="6" w:space="0" w:color="000000"/>
              <w:bottom w:val="outset" w:sz="6" w:space="0" w:color="000000"/>
              <w:right w:val="outset" w:sz="6" w:space="0" w:color="000000"/>
            </w:tcBorders>
          </w:tcPr>
          <w:p w14:paraId="6E482507" w14:textId="104264C3" w:rsidR="00675A67" w:rsidRPr="00BB322F" w:rsidRDefault="00675A67" w:rsidP="00F14D7C">
            <w:pPr>
              <w:spacing w:line="270" w:lineRule="atLeast"/>
              <w:jc w:val="center"/>
              <w:rPr>
                <w:rFonts w:cs="Times New Roman"/>
                <w:bCs/>
                <w:sz w:val="24"/>
                <w:szCs w:val="24"/>
              </w:rPr>
            </w:pPr>
            <w:r>
              <w:rPr>
                <w:rFonts w:cs="Times New Roman"/>
                <w:bCs/>
                <w:sz w:val="24"/>
                <w:szCs w:val="24"/>
              </w:rPr>
              <w:t>0</w:t>
            </w:r>
          </w:p>
        </w:tc>
        <w:tc>
          <w:tcPr>
            <w:tcW w:w="495" w:type="pct"/>
            <w:gridSpan w:val="2"/>
            <w:tcBorders>
              <w:top w:val="outset" w:sz="6" w:space="0" w:color="000000"/>
              <w:left w:val="outset" w:sz="6" w:space="0" w:color="000000"/>
              <w:bottom w:val="outset" w:sz="6" w:space="0" w:color="000000"/>
              <w:right w:val="outset" w:sz="6" w:space="0" w:color="000000"/>
            </w:tcBorders>
            <w:hideMark/>
          </w:tcPr>
          <w:p w14:paraId="2D1A8804" w14:textId="77777777" w:rsidR="00675A67" w:rsidRPr="00BB322F" w:rsidRDefault="00675A67" w:rsidP="00F14D7C">
            <w:pPr>
              <w:spacing w:line="270" w:lineRule="atLeast"/>
              <w:jc w:val="center"/>
              <w:rPr>
                <w:rFonts w:cs="Times New Roman"/>
                <w:bCs/>
                <w:sz w:val="24"/>
                <w:szCs w:val="24"/>
              </w:rPr>
            </w:pPr>
            <w:r w:rsidRPr="00BB322F">
              <w:rPr>
                <w:rFonts w:cs="Times New Roman"/>
                <w:bCs/>
                <w:sz w:val="24"/>
                <w:szCs w:val="24"/>
              </w:rPr>
              <w:t>0</w:t>
            </w:r>
          </w:p>
        </w:tc>
        <w:tc>
          <w:tcPr>
            <w:tcW w:w="496" w:type="pct"/>
            <w:tcBorders>
              <w:top w:val="outset" w:sz="6" w:space="0" w:color="000000"/>
              <w:left w:val="outset" w:sz="6" w:space="0" w:color="000000"/>
              <w:bottom w:val="outset" w:sz="6" w:space="0" w:color="000000"/>
              <w:right w:val="outset" w:sz="6" w:space="0" w:color="000000"/>
            </w:tcBorders>
          </w:tcPr>
          <w:p w14:paraId="60C15D3A" w14:textId="6DE0DDB0" w:rsidR="00675A67" w:rsidRPr="00BB322F" w:rsidRDefault="00675A67" w:rsidP="00F14D7C">
            <w:pPr>
              <w:spacing w:line="270" w:lineRule="atLeast"/>
              <w:jc w:val="center"/>
              <w:rPr>
                <w:rFonts w:cs="Times New Roman"/>
                <w:bCs/>
                <w:sz w:val="24"/>
                <w:szCs w:val="24"/>
              </w:rPr>
            </w:pPr>
            <w:r>
              <w:rPr>
                <w:rFonts w:cs="Times New Roman"/>
                <w:bCs/>
                <w:sz w:val="24"/>
                <w:szCs w:val="24"/>
              </w:rPr>
              <w:t>0</w:t>
            </w:r>
          </w:p>
        </w:tc>
        <w:tc>
          <w:tcPr>
            <w:tcW w:w="684" w:type="pct"/>
            <w:tcBorders>
              <w:top w:val="outset" w:sz="6" w:space="0" w:color="000000"/>
              <w:left w:val="outset" w:sz="6" w:space="0" w:color="000000"/>
              <w:bottom w:val="outset" w:sz="6" w:space="0" w:color="000000"/>
              <w:right w:val="outset" w:sz="6" w:space="0" w:color="000000"/>
            </w:tcBorders>
            <w:hideMark/>
          </w:tcPr>
          <w:p w14:paraId="75225242" w14:textId="77777777" w:rsidR="00675A67" w:rsidRPr="00BB322F" w:rsidRDefault="00675A67" w:rsidP="00F14D7C">
            <w:pPr>
              <w:spacing w:line="270" w:lineRule="atLeast"/>
              <w:jc w:val="center"/>
              <w:rPr>
                <w:rFonts w:cs="Times New Roman"/>
                <w:bCs/>
                <w:sz w:val="24"/>
                <w:szCs w:val="24"/>
              </w:rPr>
            </w:pPr>
            <w:r w:rsidRPr="00BB322F">
              <w:rPr>
                <w:rFonts w:cs="Times New Roman"/>
                <w:bCs/>
                <w:sz w:val="24"/>
                <w:szCs w:val="24"/>
              </w:rPr>
              <w:t>0</w:t>
            </w:r>
          </w:p>
        </w:tc>
      </w:tr>
      <w:tr w:rsidR="00675A67" w:rsidRPr="00BB322F" w14:paraId="5A764247" w14:textId="77777777" w:rsidTr="002D0B96">
        <w:trPr>
          <w:trHeight w:val="1932"/>
        </w:trPr>
        <w:tc>
          <w:tcPr>
            <w:tcW w:w="1196" w:type="pct"/>
            <w:tcBorders>
              <w:top w:val="outset" w:sz="6" w:space="0" w:color="000000"/>
              <w:left w:val="outset" w:sz="6" w:space="0" w:color="000000"/>
              <w:bottom w:val="outset" w:sz="6" w:space="0" w:color="000000"/>
              <w:right w:val="outset" w:sz="6" w:space="0" w:color="000000"/>
            </w:tcBorders>
            <w:hideMark/>
          </w:tcPr>
          <w:p w14:paraId="53855A38" w14:textId="77777777" w:rsidR="00675A67" w:rsidRPr="00BB322F" w:rsidRDefault="00675A67" w:rsidP="00F14D7C">
            <w:pPr>
              <w:pStyle w:val="NormalWeb"/>
              <w:spacing w:line="256" w:lineRule="auto"/>
              <w:rPr>
                <w:lang w:eastAsia="en-US"/>
              </w:rPr>
            </w:pPr>
            <w:r w:rsidRPr="00BB322F">
              <w:rPr>
                <w:lang w:eastAsia="en-US"/>
              </w:rPr>
              <w:t>4. Finanšu līdzekļi papildu izdevumu finansēšanai (kompensējošu izdevumu samazinājumu norāda ar "+" zīmi)</w:t>
            </w:r>
          </w:p>
        </w:tc>
        <w:tc>
          <w:tcPr>
            <w:tcW w:w="607" w:type="pct"/>
            <w:tcBorders>
              <w:top w:val="outset" w:sz="6" w:space="0" w:color="000000"/>
              <w:left w:val="outset" w:sz="6" w:space="0" w:color="000000"/>
              <w:bottom w:val="outset" w:sz="6" w:space="0" w:color="000000"/>
              <w:right w:val="outset" w:sz="6" w:space="0" w:color="000000"/>
            </w:tcBorders>
            <w:hideMark/>
          </w:tcPr>
          <w:p w14:paraId="3DE302B1" w14:textId="77777777" w:rsidR="00675A67" w:rsidRPr="00BB322F" w:rsidRDefault="00675A67" w:rsidP="00F14D7C">
            <w:pPr>
              <w:spacing w:line="270" w:lineRule="atLeast"/>
              <w:jc w:val="center"/>
              <w:rPr>
                <w:rFonts w:cs="Times New Roman"/>
                <w:bCs/>
                <w:sz w:val="24"/>
                <w:szCs w:val="24"/>
              </w:rPr>
            </w:pPr>
            <w:r w:rsidRPr="00BB322F">
              <w:rPr>
                <w:rFonts w:cs="Times New Roman"/>
                <w:bCs/>
                <w:sz w:val="24"/>
                <w:szCs w:val="24"/>
              </w:rPr>
              <w:t>0</w:t>
            </w:r>
          </w:p>
        </w:tc>
        <w:tc>
          <w:tcPr>
            <w:tcW w:w="533" w:type="pct"/>
            <w:tcBorders>
              <w:top w:val="outset" w:sz="6" w:space="0" w:color="000000"/>
              <w:left w:val="outset" w:sz="6" w:space="0" w:color="000000"/>
              <w:bottom w:val="nil"/>
              <w:right w:val="outset" w:sz="6" w:space="0" w:color="000000"/>
            </w:tcBorders>
            <w:hideMark/>
          </w:tcPr>
          <w:p w14:paraId="48EB0CCD" w14:textId="77777777" w:rsidR="00675A67" w:rsidRPr="00BB322F" w:rsidRDefault="00675A67" w:rsidP="00F14D7C">
            <w:pPr>
              <w:spacing w:line="270" w:lineRule="atLeast"/>
              <w:jc w:val="center"/>
              <w:rPr>
                <w:rFonts w:cs="Times New Roman"/>
                <w:bCs/>
                <w:sz w:val="24"/>
                <w:szCs w:val="24"/>
              </w:rPr>
            </w:pPr>
            <w:r w:rsidRPr="00BB322F">
              <w:rPr>
                <w:rFonts w:cs="Times New Roman"/>
                <w:bCs/>
                <w:sz w:val="24"/>
                <w:szCs w:val="24"/>
              </w:rPr>
              <w:t>0</w:t>
            </w:r>
          </w:p>
        </w:tc>
        <w:tc>
          <w:tcPr>
            <w:tcW w:w="495" w:type="pct"/>
            <w:gridSpan w:val="2"/>
            <w:tcBorders>
              <w:top w:val="outset" w:sz="6" w:space="0" w:color="000000"/>
              <w:left w:val="outset" w:sz="6" w:space="0" w:color="000000"/>
              <w:bottom w:val="nil"/>
              <w:right w:val="outset" w:sz="6" w:space="0" w:color="000000"/>
            </w:tcBorders>
            <w:hideMark/>
          </w:tcPr>
          <w:p w14:paraId="1E80A8F1" w14:textId="77777777" w:rsidR="00675A67" w:rsidRPr="00BB322F" w:rsidRDefault="00675A67" w:rsidP="00F14D7C">
            <w:pPr>
              <w:spacing w:line="270" w:lineRule="atLeast"/>
              <w:jc w:val="center"/>
              <w:rPr>
                <w:rFonts w:cs="Times New Roman"/>
                <w:bCs/>
                <w:sz w:val="24"/>
                <w:szCs w:val="24"/>
              </w:rPr>
            </w:pPr>
            <w:r w:rsidRPr="00BB322F">
              <w:rPr>
                <w:rFonts w:cs="Times New Roman"/>
                <w:bCs/>
                <w:sz w:val="24"/>
                <w:szCs w:val="24"/>
              </w:rPr>
              <w:t>0</w:t>
            </w:r>
          </w:p>
        </w:tc>
        <w:tc>
          <w:tcPr>
            <w:tcW w:w="495" w:type="pct"/>
            <w:tcBorders>
              <w:top w:val="outset" w:sz="6" w:space="0" w:color="000000"/>
              <w:left w:val="outset" w:sz="6" w:space="0" w:color="000000"/>
              <w:bottom w:val="nil"/>
              <w:right w:val="outset" w:sz="6" w:space="0" w:color="000000"/>
            </w:tcBorders>
          </w:tcPr>
          <w:p w14:paraId="7C56FFC4" w14:textId="48DDD98D" w:rsidR="00675A67" w:rsidRPr="00BB322F" w:rsidRDefault="00675A67" w:rsidP="00F14D7C">
            <w:pPr>
              <w:spacing w:line="270" w:lineRule="atLeast"/>
              <w:jc w:val="center"/>
              <w:rPr>
                <w:rFonts w:cs="Times New Roman"/>
                <w:bCs/>
                <w:sz w:val="24"/>
                <w:szCs w:val="24"/>
              </w:rPr>
            </w:pPr>
            <w:r>
              <w:rPr>
                <w:rFonts w:cs="Times New Roman"/>
                <w:bCs/>
                <w:sz w:val="24"/>
                <w:szCs w:val="24"/>
              </w:rPr>
              <w:t>0</w:t>
            </w:r>
          </w:p>
        </w:tc>
        <w:tc>
          <w:tcPr>
            <w:tcW w:w="495" w:type="pct"/>
            <w:gridSpan w:val="2"/>
            <w:tcBorders>
              <w:top w:val="outset" w:sz="6" w:space="0" w:color="000000"/>
              <w:left w:val="outset" w:sz="6" w:space="0" w:color="000000"/>
              <w:bottom w:val="nil"/>
              <w:right w:val="outset" w:sz="6" w:space="0" w:color="000000"/>
            </w:tcBorders>
            <w:hideMark/>
          </w:tcPr>
          <w:p w14:paraId="05D12AB4" w14:textId="77777777" w:rsidR="00675A67" w:rsidRPr="00BB322F" w:rsidRDefault="00675A67" w:rsidP="00F14D7C">
            <w:pPr>
              <w:spacing w:line="270" w:lineRule="atLeast"/>
              <w:jc w:val="center"/>
              <w:rPr>
                <w:rFonts w:cs="Times New Roman"/>
                <w:bCs/>
                <w:sz w:val="24"/>
                <w:szCs w:val="24"/>
              </w:rPr>
            </w:pPr>
            <w:r w:rsidRPr="00BB322F">
              <w:rPr>
                <w:rFonts w:cs="Times New Roman"/>
                <w:bCs/>
                <w:sz w:val="24"/>
                <w:szCs w:val="24"/>
              </w:rPr>
              <w:t>0</w:t>
            </w:r>
          </w:p>
        </w:tc>
        <w:tc>
          <w:tcPr>
            <w:tcW w:w="496" w:type="pct"/>
            <w:tcBorders>
              <w:top w:val="outset" w:sz="6" w:space="0" w:color="000000"/>
              <w:left w:val="outset" w:sz="6" w:space="0" w:color="000000"/>
              <w:bottom w:val="nil"/>
              <w:right w:val="outset" w:sz="6" w:space="0" w:color="000000"/>
            </w:tcBorders>
          </w:tcPr>
          <w:p w14:paraId="309F069A" w14:textId="445FEA72" w:rsidR="00675A67" w:rsidRPr="00BB322F" w:rsidRDefault="00675A67" w:rsidP="00F14D7C">
            <w:pPr>
              <w:spacing w:line="270" w:lineRule="atLeast"/>
              <w:jc w:val="center"/>
              <w:rPr>
                <w:rFonts w:cs="Times New Roman"/>
                <w:bCs/>
                <w:sz w:val="24"/>
                <w:szCs w:val="24"/>
              </w:rPr>
            </w:pPr>
            <w:r>
              <w:rPr>
                <w:rFonts w:cs="Times New Roman"/>
                <w:bCs/>
                <w:sz w:val="24"/>
                <w:szCs w:val="24"/>
              </w:rPr>
              <w:t>0</w:t>
            </w:r>
          </w:p>
        </w:tc>
        <w:tc>
          <w:tcPr>
            <w:tcW w:w="684" w:type="pct"/>
            <w:tcBorders>
              <w:top w:val="outset" w:sz="6" w:space="0" w:color="000000"/>
              <w:left w:val="outset" w:sz="6" w:space="0" w:color="000000"/>
              <w:bottom w:val="nil"/>
              <w:right w:val="outset" w:sz="6" w:space="0" w:color="000000"/>
            </w:tcBorders>
            <w:hideMark/>
          </w:tcPr>
          <w:p w14:paraId="5FCD1A49" w14:textId="77777777" w:rsidR="00675A67" w:rsidRPr="00BB322F" w:rsidRDefault="00675A67" w:rsidP="00F14D7C">
            <w:pPr>
              <w:spacing w:line="270" w:lineRule="atLeast"/>
              <w:jc w:val="center"/>
              <w:rPr>
                <w:rFonts w:cs="Times New Roman"/>
                <w:bCs/>
                <w:sz w:val="24"/>
                <w:szCs w:val="24"/>
              </w:rPr>
            </w:pPr>
            <w:r w:rsidRPr="00BB322F">
              <w:rPr>
                <w:rFonts w:cs="Times New Roman"/>
                <w:bCs/>
                <w:sz w:val="24"/>
                <w:szCs w:val="24"/>
              </w:rPr>
              <w:t>0</w:t>
            </w:r>
          </w:p>
        </w:tc>
      </w:tr>
      <w:tr w:rsidR="00675A67" w:rsidRPr="00BB322F" w14:paraId="561CC1BF" w14:textId="77777777" w:rsidTr="002D0B96">
        <w:tc>
          <w:tcPr>
            <w:tcW w:w="1196" w:type="pct"/>
            <w:tcBorders>
              <w:top w:val="outset" w:sz="6" w:space="0" w:color="000000"/>
              <w:left w:val="outset" w:sz="6" w:space="0" w:color="000000"/>
              <w:bottom w:val="outset" w:sz="6" w:space="0" w:color="000000"/>
              <w:right w:val="outset" w:sz="6" w:space="0" w:color="000000"/>
            </w:tcBorders>
            <w:hideMark/>
          </w:tcPr>
          <w:p w14:paraId="05D97CE1" w14:textId="77777777" w:rsidR="00675A67" w:rsidRPr="00BB322F" w:rsidRDefault="00675A67" w:rsidP="00F14D7C">
            <w:pPr>
              <w:pStyle w:val="NormalWeb"/>
              <w:spacing w:line="256" w:lineRule="auto"/>
              <w:rPr>
                <w:lang w:eastAsia="en-US"/>
              </w:rPr>
            </w:pPr>
            <w:r w:rsidRPr="00BB322F">
              <w:rPr>
                <w:lang w:eastAsia="en-US"/>
              </w:rPr>
              <w:t>5. Precizēta finansiālā ietekme:</w:t>
            </w:r>
          </w:p>
        </w:tc>
        <w:tc>
          <w:tcPr>
            <w:tcW w:w="607" w:type="pct"/>
            <w:vMerge w:val="restart"/>
            <w:tcBorders>
              <w:top w:val="outset" w:sz="6" w:space="0" w:color="000000"/>
              <w:left w:val="outset" w:sz="6" w:space="0" w:color="000000"/>
              <w:bottom w:val="single" w:sz="4" w:space="0" w:color="auto"/>
              <w:right w:val="outset" w:sz="6" w:space="0" w:color="000000"/>
            </w:tcBorders>
          </w:tcPr>
          <w:p w14:paraId="03988A79" w14:textId="77777777" w:rsidR="00675A67" w:rsidRPr="00BB322F" w:rsidRDefault="00675A67" w:rsidP="00F14D7C">
            <w:pPr>
              <w:pStyle w:val="NormalWeb"/>
              <w:spacing w:line="256" w:lineRule="auto"/>
              <w:rPr>
                <w:lang w:eastAsia="en-US"/>
              </w:rPr>
            </w:pPr>
          </w:p>
        </w:tc>
        <w:tc>
          <w:tcPr>
            <w:tcW w:w="533" w:type="pct"/>
            <w:tcBorders>
              <w:top w:val="outset" w:sz="6" w:space="0" w:color="000000"/>
              <w:left w:val="outset" w:sz="6" w:space="0" w:color="000000"/>
              <w:bottom w:val="outset" w:sz="6" w:space="0" w:color="000000"/>
              <w:right w:val="outset" w:sz="6" w:space="0" w:color="000000"/>
            </w:tcBorders>
            <w:hideMark/>
          </w:tcPr>
          <w:p w14:paraId="0E05096B" w14:textId="77777777" w:rsidR="00675A67" w:rsidRPr="00BB322F" w:rsidRDefault="00675A67" w:rsidP="00F14D7C">
            <w:pPr>
              <w:spacing w:line="270" w:lineRule="atLeast"/>
              <w:jc w:val="center"/>
              <w:rPr>
                <w:rFonts w:cs="Times New Roman"/>
                <w:bCs/>
                <w:sz w:val="24"/>
                <w:szCs w:val="24"/>
              </w:rPr>
            </w:pPr>
            <w:r w:rsidRPr="00BB322F">
              <w:rPr>
                <w:rFonts w:cs="Times New Roman"/>
                <w:bCs/>
                <w:sz w:val="24"/>
                <w:szCs w:val="24"/>
              </w:rPr>
              <w:t>0</w:t>
            </w:r>
          </w:p>
        </w:tc>
        <w:tc>
          <w:tcPr>
            <w:tcW w:w="495" w:type="pct"/>
            <w:gridSpan w:val="2"/>
            <w:vMerge w:val="restart"/>
            <w:tcBorders>
              <w:top w:val="outset" w:sz="6" w:space="0" w:color="000000"/>
              <w:left w:val="outset" w:sz="6" w:space="0" w:color="000000"/>
              <w:right w:val="outset" w:sz="6" w:space="0" w:color="000000"/>
            </w:tcBorders>
          </w:tcPr>
          <w:p w14:paraId="244AC38B" w14:textId="71FBDBDB" w:rsidR="00675A67" w:rsidRPr="00BB322F" w:rsidRDefault="00675A67" w:rsidP="00F14D7C">
            <w:pPr>
              <w:spacing w:line="270" w:lineRule="atLeast"/>
              <w:jc w:val="center"/>
              <w:rPr>
                <w:rFonts w:cs="Times New Roman"/>
                <w:bCs/>
                <w:sz w:val="24"/>
                <w:szCs w:val="24"/>
              </w:rPr>
            </w:pPr>
          </w:p>
        </w:tc>
        <w:tc>
          <w:tcPr>
            <w:tcW w:w="495" w:type="pct"/>
            <w:tcBorders>
              <w:top w:val="outset" w:sz="6" w:space="0" w:color="000000"/>
              <w:left w:val="outset" w:sz="6" w:space="0" w:color="000000"/>
              <w:bottom w:val="outset" w:sz="6" w:space="0" w:color="000000"/>
              <w:right w:val="outset" w:sz="6" w:space="0" w:color="000000"/>
            </w:tcBorders>
          </w:tcPr>
          <w:p w14:paraId="72470FF5" w14:textId="33085792" w:rsidR="00675A67" w:rsidRPr="00BB322F" w:rsidRDefault="00675A67" w:rsidP="00F14D7C">
            <w:pPr>
              <w:spacing w:line="270" w:lineRule="atLeast"/>
              <w:jc w:val="center"/>
              <w:rPr>
                <w:rFonts w:cs="Times New Roman"/>
                <w:bCs/>
                <w:sz w:val="24"/>
                <w:szCs w:val="24"/>
              </w:rPr>
            </w:pPr>
            <w:r>
              <w:rPr>
                <w:rFonts w:cs="Times New Roman"/>
                <w:bCs/>
                <w:sz w:val="24"/>
                <w:szCs w:val="24"/>
              </w:rPr>
              <w:t>0</w:t>
            </w:r>
          </w:p>
        </w:tc>
        <w:tc>
          <w:tcPr>
            <w:tcW w:w="495" w:type="pct"/>
            <w:gridSpan w:val="2"/>
            <w:vMerge w:val="restart"/>
            <w:tcBorders>
              <w:top w:val="outset" w:sz="6" w:space="0" w:color="000000"/>
              <w:left w:val="outset" w:sz="6" w:space="0" w:color="000000"/>
              <w:right w:val="outset" w:sz="6" w:space="0" w:color="000000"/>
            </w:tcBorders>
            <w:hideMark/>
          </w:tcPr>
          <w:p w14:paraId="44E69B98" w14:textId="662E487B" w:rsidR="00675A67" w:rsidRPr="00BB322F" w:rsidRDefault="00675A67" w:rsidP="00F14D7C">
            <w:pPr>
              <w:spacing w:line="270" w:lineRule="atLeast"/>
              <w:jc w:val="center"/>
              <w:rPr>
                <w:rFonts w:cs="Times New Roman"/>
                <w:bCs/>
                <w:sz w:val="24"/>
                <w:szCs w:val="24"/>
              </w:rPr>
            </w:pPr>
          </w:p>
        </w:tc>
        <w:tc>
          <w:tcPr>
            <w:tcW w:w="496" w:type="pct"/>
            <w:tcBorders>
              <w:top w:val="outset" w:sz="6" w:space="0" w:color="000000"/>
              <w:left w:val="outset" w:sz="6" w:space="0" w:color="000000"/>
              <w:bottom w:val="outset" w:sz="6" w:space="0" w:color="000000"/>
              <w:right w:val="outset" w:sz="6" w:space="0" w:color="000000"/>
            </w:tcBorders>
          </w:tcPr>
          <w:p w14:paraId="2B3C0BC9" w14:textId="189F947E" w:rsidR="00675A67" w:rsidRPr="00BB322F" w:rsidRDefault="00675A67" w:rsidP="00F14D7C">
            <w:pPr>
              <w:spacing w:line="270" w:lineRule="atLeast"/>
              <w:jc w:val="center"/>
              <w:rPr>
                <w:rFonts w:cs="Times New Roman"/>
                <w:bCs/>
                <w:sz w:val="24"/>
                <w:szCs w:val="24"/>
              </w:rPr>
            </w:pPr>
            <w:r>
              <w:rPr>
                <w:rFonts w:cs="Times New Roman"/>
                <w:bCs/>
                <w:sz w:val="24"/>
                <w:szCs w:val="24"/>
              </w:rPr>
              <w:t>0</w:t>
            </w:r>
          </w:p>
        </w:tc>
        <w:tc>
          <w:tcPr>
            <w:tcW w:w="684" w:type="pct"/>
            <w:tcBorders>
              <w:top w:val="outset" w:sz="6" w:space="0" w:color="000000"/>
              <w:left w:val="outset" w:sz="6" w:space="0" w:color="000000"/>
              <w:bottom w:val="outset" w:sz="6" w:space="0" w:color="000000"/>
              <w:right w:val="outset" w:sz="6" w:space="0" w:color="000000"/>
            </w:tcBorders>
            <w:hideMark/>
          </w:tcPr>
          <w:p w14:paraId="399CF982" w14:textId="77777777" w:rsidR="00675A67" w:rsidRPr="00BB322F" w:rsidRDefault="00675A67" w:rsidP="00F14D7C">
            <w:pPr>
              <w:spacing w:line="270" w:lineRule="atLeast"/>
              <w:jc w:val="center"/>
              <w:rPr>
                <w:rFonts w:cs="Times New Roman"/>
                <w:bCs/>
                <w:sz w:val="24"/>
                <w:szCs w:val="24"/>
              </w:rPr>
            </w:pPr>
            <w:r w:rsidRPr="00BB322F">
              <w:rPr>
                <w:rFonts w:cs="Times New Roman"/>
                <w:bCs/>
                <w:sz w:val="24"/>
                <w:szCs w:val="24"/>
              </w:rPr>
              <w:t>0</w:t>
            </w:r>
          </w:p>
        </w:tc>
      </w:tr>
      <w:tr w:rsidR="00675A67" w:rsidRPr="00BB322F" w14:paraId="73EEBF6D" w14:textId="77777777" w:rsidTr="002D0B96">
        <w:tc>
          <w:tcPr>
            <w:tcW w:w="1196" w:type="pct"/>
            <w:tcBorders>
              <w:top w:val="outset" w:sz="6" w:space="0" w:color="000000"/>
              <w:left w:val="outset" w:sz="6" w:space="0" w:color="000000"/>
              <w:bottom w:val="outset" w:sz="6" w:space="0" w:color="000000"/>
              <w:right w:val="outset" w:sz="6" w:space="0" w:color="000000"/>
            </w:tcBorders>
            <w:hideMark/>
          </w:tcPr>
          <w:p w14:paraId="2841AE34" w14:textId="77777777" w:rsidR="00675A67" w:rsidRPr="00BB322F" w:rsidRDefault="00675A67" w:rsidP="00F14D7C">
            <w:pPr>
              <w:pStyle w:val="NormalWeb"/>
              <w:spacing w:line="256" w:lineRule="auto"/>
              <w:rPr>
                <w:lang w:eastAsia="en-US"/>
              </w:rPr>
            </w:pPr>
            <w:r w:rsidRPr="00BB322F">
              <w:rPr>
                <w:lang w:eastAsia="en-US"/>
              </w:rPr>
              <w:t>5.1. valsts pamatbudžets</w:t>
            </w:r>
          </w:p>
        </w:tc>
        <w:tc>
          <w:tcPr>
            <w:tcW w:w="607" w:type="pct"/>
            <w:vMerge/>
            <w:tcBorders>
              <w:top w:val="outset" w:sz="6" w:space="0" w:color="000000"/>
              <w:left w:val="outset" w:sz="6" w:space="0" w:color="000000"/>
              <w:bottom w:val="single" w:sz="4" w:space="0" w:color="auto"/>
              <w:right w:val="outset" w:sz="6" w:space="0" w:color="000000"/>
            </w:tcBorders>
            <w:vAlign w:val="center"/>
            <w:hideMark/>
          </w:tcPr>
          <w:p w14:paraId="7AC4D75B" w14:textId="77777777" w:rsidR="00675A67" w:rsidRPr="00BB322F" w:rsidRDefault="00675A67" w:rsidP="00F14D7C">
            <w:pPr>
              <w:spacing w:line="256" w:lineRule="auto"/>
              <w:rPr>
                <w:rFonts w:eastAsia="Times New Roman" w:cs="Times New Roman"/>
                <w:sz w:val="24"/>
                <w:szCs w:val="24"/>
              </w:rPr>
            </w:pPr>
          </w:p>
        </w:tc>
        <w:tc>
          <w:tcPr>
            <w:tcW w:w="533" w:type="pct"/>
            <w:tcBorders>
              <w:top w:val="outset" w:sz="6" w:space="0" w:color="000000"/>
              <w:left w:val="outset" w:sz="6" w:space="0" w:color="000000"/>
              <w:bottom w:val="outset" w:sz="6" w:space="0" w:color="000000"/>
              <w:right w:val="outset" w:sz="6" w:space="0" w:color="000000"/>
            </w:tcBorders>
            <w:hideMark/>
          </w:tcPr>
          <w:p w14:paraId="6C86AF6C" w14:textId="77777777" w:rsidR="00675A67" w:rsidRPr="00BB322F" w:rsidRDefault="00675A67" w:rsidP="00F14D7C">
            <w:pPr>
              <w:spacing w:line="270" w:lineRule="atLeast"/>
              <w:jc w:val="center"/>
              <w:rPr>
                <w:rFonts w:cs="Times New Roman"/>
                <w:bCs/>
                <w:sz w:val="24"/>
                <w:szCs w:val="24"/>
              </w:rPr>
            </w:pPr>
            <w:r w:rsidRPr="00BB322F">
              <w:rPr>
                <w:rFonts w:cs="Times New Roman"/>
                <w:bCs/>
                <w:sz w:val="24"/>
                <w:szCs w:val="24"/>
              </w:rPr>
              <w:t>0</w:t>
            </w:r>
          </w:p>
        </w:tc>
        <w:tc>
          <w:tcPr>
            <w:tcW w:w="495" w:type="pct"/>
            <w:gridSpan w:val="2"/>
            <w:vMerge/>
            <w:tcBorders>
              <w:left w:val="outset" w:sz="6" w:space="0" w:color="000000"/>
              <w:right w:val="outset" w:sz="6" w:space="0" w:color="000000"/>
            </w:tcBorders>
            <w:hideMark/>
          </w:tcPr>
          <w:p w14:paraId="6201E6BD" w14:textId="3888FFE2" w:rsidR="00675A67" w:rsidRPr="00BB322F" w:rsidRDefault="00675A67" w:rsidP="00F14D7C">
            <w:pPr>
              <w:spacing w:line="270" w:lineRule="atLeast"/>
              <w:jc w:val="center"/>
              <w:rPr>
                <w:rFonts w:cs="Times New Roman"/>
                <w:bCs/>
                <w:sz w:val="24"/>
                <w:szCs w:val="24"/>
              </w:rPr>
            </w:pPr>
          </w:p>
        </w:tc>
        <w:tc>
          <w:tcPr>
            <w:tcW w:w="495" w:type="pct"/>
            <w:tcBorders>
              <w:top w:val="outset" w:sz="6" w:space="0" w:color="000000"/>
              <w:left w:val="outset" w:sz="6" w:space="0" w:color="000000"/>
              <w:bottom w:val="outset" w:sz="6" w:space="0" w:color="000000"/>
              <w:right w:val="outset" w:sz="6" w:space="0" w:color="000000"/>
            </w:tcBorders>
          </w:tcPr>
          <w:p w14:paraId="0604BBB2" w14:textId="62143EC3" w:rsidR="00675A67" w:rsidRPr="00BB322F" w:rsidRDefault="00675A67" w:rsidP="00F14D7C">
            <w:pPr>
              <w:spacing w:line="270" w:lineRule="atLeast"/>
              <w:jc w:val="center"/>
              <w:rPr>
                <w:rFonts w:cs="Times New Roman"/>
                <w:bCs/>
                <w:sz w:val="24"/>
                <w:szCs w:val="24"/>
              </w:rPr>
            </w:pPr>
            <w:r>
              <w:rPr>
                <w:rFonts w:cs="Times New Roman"/>
                <w:bCs/>
                <w:sz w:val="24"/>
                <w:szCs w:val="24"/>
              </w:rPr>
              <w:t>0</w:t>
            </w:r>
          </w:p>
        </w:tc>
        <w:tc>
          <w:tcPr>
            <w:tcW w:w="495" w:type="pct"/>
            <w:gridSpan w:val="2"/>
            <w:vMerge/>
            <w:tcBorders>
              <w:left w:val="outset" w:sz="6" w:space="0" w:color="000000"/>
              <w:right w:val="outset" w:sz="6" w:space="0" w:color="000000"/>
            </w:tcBorders>
            <w:hideMark/>
          </w:tcPr>
          <w:p w14:paraId="3CDAA98F" w14:textId="54774EE4" w:rsidR="00675A67" w:rsidRPr="00BB322F" w:rsidRDefault="00675A67" w:rsidP="00F14D7C">
            <w:pPr>
              <w:spacing w:line="270" w:lineRule="atLeast"/>
              <w:jc w:val="center"/>
              <w:rPr>
                <w:rFonts w:cs="Times New Roman"/>
                <w:bCs/>
                <w:sz w:val="24"/>
                <w:szCs w:val="24"/>
              </w:rPr>
            </w:pPr>
          </w:p>
        </w:tc>
        <w:tc>
          <w:tcPr>
            <w:tcW w:w="496" w:type="pct"/>
            <w:tcBorders>
              <w:top w:val="outset" w:sz="6" w:space="0" w:color="000000"/>
              <w:left w:val="outset" w:sz="6" w:space="0" w:color="000000"/>
              <w:bottom w:val="outset" w:sz="6" w:space="0" w:color="000000"/>
              <w:right w:val="outset" w:sz="6" w:space="0" w:color="000000"/>
            </w:tcBorders>
          </w:tcPr>
          <w:p w14:paraId="7EA16012" w14:textId="3D105847" w:rsidR="00675A67" w:rsidRPr="00BB322F" w:rsidRDefault="00675A67" w:rsidP="00F14D7C">
            <w:pPr>
              <w:spacing w:line="270" w:lineRule="atLeast"/>
              <w:jc w:val="center"/>
              <w:rPr>
                <w:rFonts w:cs="Times New Roman"/>
                <w:bCs/>
                <w:sz w:val="24"/>
                <w:szCs w:val="24"/>
              </w:rPr>
            </w:pPr>
            <w:r>
              <w:rPr>
                <w:rFonts w:cs="Times New Roman"/>
                <w:bCs/>
                <w:sz w:val="24"/>
                <w:szCs w:val="24"/>
              </w:rPr>
              <w:t>0</w:t>
            </w:r>
          </w:p>
        </w:tc>
        <w:tc>
          <w:tcPr>
            <w:tcW w:w="684" w:type="pct"/>
            <w:tcBorders>
              <w:top w:val="outset" w:sz="6" w:space="0" w:color="000000"/>
              <w:left w:val="outset" w:sz="6" w:space="0" w:color="000000"/>
              <w:bottom w:val="outset" w:sz="6" w:space="0" w:color="000000"/>
              <w:right w:val="outset" w:sz="6" w:space="0" w:color="000000"/>
            </w:tcBorders>
            <w:hideMark/>
          </w:tcPr>
          <w:p w14:paraId="0FEF8C87" w14:textId="77777777" w:rsidR="00675A67" w:rsidRPr="00BB322F" w:rsidRDefault="00675A67" w:rsidP="00F14D7C">
            <w:pPr>
              <w:spacing w:line="270" w:lineRule="atLeast"/>
              <w:jc w:val="center"/>
              <w:rPr>
                <w:rFonts w:cs="Times New Roman"/>
                <w:bCs/>
                <w:sz w:val="24"/>
                <w:szCs w:val="24"/>
              </w:rPr>
            </w:pPr>
            <w:r w:rsidRPr="00BB322F">
              <w:rPr>
                <w:rFonts w:cs="Times New Roman"/>
                <w:bCs/>
                <w:sz w:val="24"/>
                <w:szCs w:val="24"/>
              </w:rPr>
              <w:t>0</w:t>
            </w:r>
          </w:p>
        </w:tc>
      </w:tr>
      <w:tr w:rsidR="00675A67" w:rsidRPr="00BB322F" w14:paraId="48426282" w14:textId="77777777" w:rsidTr="002D0B96">
        <w:tc>
          <w:tcPr>
            <w:tcW w:w="1196" w:type="pct"/>
            <w:tcBorders>
              <w:top w:val="outset" w:sz="6" w:space="0" w:color="000000"/>
              <w:left w:val="outset" w:sz="6" w:space="0" w:color="000000"/>
              <w:bottom w:val="outset" w:sz="6" w:space="0" w:color="000000"/>
              <w:right w:val="outset" w:sz="6" w:space="0" w:color="000000"/>
            </w:tcBorders>
            <w:hideMark/>
          </w:tcPr>
          <w:p w14:paraId="2932B521" w14:textId="77777777" w:rsidR="00675A67" w:rsidRPr="00BB322F" w:rsidRDefault="00675A67" w:rsidP="00F14D7C">
            <w:pPr>
              <w:pStyle w:val="NormalWeb"/>
              <w:spacing w:line="256" w:lineRule="auto"/>
              <w:rPr>
                <w:lang w:eastAsia="en-US"/>
              </w:rPr>
            </w:pPr>
            <w:r w:rsidRPr="00BB322F">
              <w:rPr>
                <w:lang w:eastAsia="en-US"/>
              </w:rPr>
              <w:t>5.2. speciālais budžets</w:t>
            </w:r>
          </w:p>
        </w:tc>
        <w:tc>
          <w:tcPr>
            <w:tcW w:w="607" w:type="pct"/>
            <w:vMerge/>
            <w:tcBorders>
              <w:top w:val="outset" w:sz="6" w:space="0" w:color="000000"/>
              <w:left w:val="outset" w:sz="6" w:space="0" w:color="000000"/>
              <w:bottom w:val="single" w:sz="4" w:space="0" w:color="auto"/>
              <w:right w:val="outset" w:sz="6" w:space="0" w:color="000000"/>
            </w:tcBorders>
            <w:vAlign w:val="center"/>
            <w:hideMark/>
          </w:tcPr>
          <w:p w14:paraId="195B88A2" w14:textId="77777777" w:rsidR="00675A67" w:rsidRPr="00BB322F" w:rsidRDefault="00675A67" w:rsidP="00F14D7C">
            <w:pPr>
              <w:spacing w:line="256" w:lineRule="auto"/>
              <w:rPr>
                <w:rFonts w:eastAsia="Times New Roman" w:cs="Times New Roman"/>
                <w:sz w:val="24"/>
                <w:szCs w:val="24"/>
              </w:rPr>
            </w:pPr>
          </w:p>
        </w:tc>
        <w:tc>
          <w:tcPr>
            <w:tcW w:w="533" w:type="pct"/>
            <w:tcBorders>
              <w:top w:val="outset" w:sz="6" w:space="0" w:color="000000"/>
              <w:left w:val="outset" w:sz="6" w:space="0" w:color="000000"/>
              <w:bottom w:val="outset" w:sz="6" w:space="0" w:color="000000"/>
              <w:right w:val="outset" w:sz="6" w:space="0" w:color="000000"/>
            </w:tcBorders>
            <w:hideMark/>
          </w:tcPr>
          <w:p w14:paraId="679579ED" w14:textId="77777777" w:rsidR="00675A67" w:rsidRPr="00BB322F" w:rsidRDefault="00675A67" w:rsidP="00F14D7C">
            <w:pPr>
              <w:spacing w:line="270" w:lineRule="atLeast"/>
              <w:jc w:val="center"/>
              <w:rPr>
                <w:rFonts w:cs="Times New Roman"/>
                <w:bCs/>
                <w:sz w:val="24"/>
                <w:szCs w:val="24"/>
              </w:rPr>
            </w:pPr>
            <w:r w:rsidRPr="00BB322F">
              <w:rPr>
                <w:rFonts w:cs="Times New Roman"/>
                <w:bCs/>
                <w:sz w:val="24"/>
                <w:szCs w:val="24"/>
              </w:rPr>
              <w:t>0</w:t>
            </w:r>
          </w:p>
        </w:tc>
        <w:tc>
          <w:tcPr>
            <w:tcW w:w="495" w:type="pct"/>
            <w:gridSpan w:val="2"/>
            <w:vMerge/>
            <w:tcBorders>
              <w:left w:val="outset" w:sz="6" w:space="0" w:color="000000"/>
              <w:right w:val="outset" w:sz="6" w:space="0" w:color="000000"/>
            </w:tcBorders>
            <w:hideMark/>
          </w:tcPr>
          <w:p w14:paraId="30B7283E" w14:textId="682E9B50" w:rsidR="00675A67" w:rsidRPr="00BB322F" w:rsidRDefault="00675A67" w:rsidP="00F14D7C">
            <w:pPr>
              <w:spacing w:line="270" w:lineRule="atLeast"/>
              <w:jc w:val="center"/>
              <w:rPr>
                <w:rFonts w:cs="Times New Roman"/>
                <w:bCs/>
                <w:sz w:val="24"/>
                <w:szCs w:val="24"/>
              </w:rPr>
            </w:pPr>
          </w:p>
        </w:tc>
        <w:tc>
          <w:tcPr>
            <w:tcW w:w="495" w:type="pct"/>
            <w:tcBorders>
              <w:top w:val="outset" w:sz="6" w:space="0" w:color="000000"/>
              <w:left w:val="outset" w:sz="6" w:space="0" w:color="000000"/>
              <w:bottom w:val="outset" w:sz="6" w:space="0" w:color="000000"/>
              <w:right w:val="outset" w:sz="6" w:space="0" w:color="000000"/>
            </w:tcBorders>
          </w:tcPr>
          <w:p w14:paraId="6C737973" w14:textId="3DB8A24F" w:rsidR="00675A67" w:rsidRPr="00BB322F" w:rsidRDefault="00675A67" w:rsidP="00F14D7C">
            <w:pPr>
              <w:spacing w:line="270" w:lineRule="atLeast"/>
              <w:jc w:val="center"/>
              <w:rPr>
                <w:rFonts w:cs="Times New Roman"/>
                <w:bCs/>
                <w:sz w:val="24"/>
                <w:szCs w:val="24"/>
              </w:rPr>
            </w:pPr>
            <w:r>
              <w:rPr>
                <w:rFonts w:cs="Times New Roman"/>
                <w:bCs/>
                <w:sz w:val="24"/>
                <w:szCs w:val="24"/>
              </w:rPr>
              <w:t>0</w:t>
            </w:r>
          </w:p>
        </w:tc>
        <w:tc>
          <w:tcPr>
            <w:tcW w:w="495" w:type="pct"/>
            <w:gridSpan w:val="2"/>
            <w:vMerge/>
            <w:tcBorders>
              <w:left w:val="outset" w:sz="6" w:space="0" w:color="000000"/>
              <w:right w:val="outset" w:sz="6" w:space="0" w:color="000000"/>
            </w:tcBorders>
            <w:hideMark/>
          </w:tcPr>
          <w:p w14:paraId="51507C34" w14:textId="6060F9B7" w:rsidR="00675A67" w:rsidRPr="00BB322F" w:rsidRDefault="00675A67" w:rsidP="00F14D7C">
            <w:pPr>
              <w:spacing w:line="270" w:lineRule="atLeast"/>
              <w:jc w:val="center"/>
              <w:rPr>
                <w:rFonts w:cs="Times New Roman"/>
                <w:bCs/>
                <w:sz w:val="24"/>
                <w:szCs w:val="24"/>
              </w:rPr>
            </w:pPr>
          </w:p>
        </w:tc>
        <w:tc>
          <w:tcPr>
            <w:tcW w:w="496" w:type="pct"/>
            <w:tcBorders>
              <w:top w:val="outset" w:sz="6" w:space="0" w:color="000000"/>
              <w:left w:val="outset" w:sz="6" w:space="0" w:color="000000"/>
              <w:bottom w:val="outset" w:sz="6" w:space="0" w:color="000000"/>
              <w:right w:val="outset" w:sz="6" w:space="0" w:color="000000"/>
            </w:tcBorders>
          </w:tcPr>
          <w:p w14:paraId="25071063" w14:textId="37175F9B" w:rsidR="00675A67" w:rsidRPr="00BB322F" w:rsidRDefault="00675A67" w:rsidP="00F14D7C">
            <w:pPr>
              <w:spacing w:line="270" w:lineRule="atLeast"/>
              <w:jc w:val="center"/>
              <w:rPr>
                <w:rFonts w:cs="Times New Roman"/>
                <w:bCs/>
                <w:sz w:val="24"/>
                <w:szCs w:val="24"/>
              </w:rPr>
            </w:pPr>
            <w:r>
              <w:rPr>
                <w:rFonts w:cs="Times New Roman"/>
                <w:bCs/>
                <w:sz w:val="24"/>
                <w:szCs w:val="24"/>
              </w:rPr>
              <w:t>0</w:t>
            </w:r>
          </w:p>
        </w:tc>
        <w:tc>
          <w:tcPr>
            <w:tcW w:w="684" w:type="pct"/>
            <w:tcBorders>
              <w:top w:val="outset" w:sz="6" w:space="0" w:color="000000"/>
              <w:left w:val="outset" w:sz="6" w:space="0" w:color="000000"/>
              <w:bottom w:val="outset" w:sz="6" w:space="0" w:color="000000"/>
              <w:right w:val="outset" w:sz="6" w:space="0" w:color="000000"/>
            </w:tcBorders>
            <w:hideMark/>
          </w:tcPr>
          <w:p w14:paraId="1B0C771D" w14:textId="77777777" w:rsidR="00675A67" w:rsidRPr="00BB322F" w:rsidRDefault="00675A67" w:rsidP="00F14D7C">
            <w:pPr>
              <w:spacing w:line="270" w:lineRule="atLeast"/>
              <w:jc w:val="center"/>
              <w:rPr>
                <w:rFonts w:cs="Times New Roman"/>
                <w:bCs/>
                <w:sz w:val="24"/>
                <w:szCs w:val="24"/>
              </w:rPr>
            </w:pPr>
            <w:r w:rsidRPr="00BB322F">
              <w:rPr>
                <w:rFonts w:cs="Times New Roman"/>
                <w:bCs/>
                <w:sz w:val="24"/>
                <w:szCs w:val="24"/>
              </w:rPr>
              <w:t>0</w:t>
            </w:r>
          </w:p>
        </w:tc>
      </w:tr>
      <w:tr w:rsidR="00675A67" w:rsidRPr="00BB322F" w14:paraId="2FD28816" w14:textId="77777777" w:rsidTr="002D0B96">
        <w:tc>
          <w:tcPr>
            <w:tcW w:w="1196" w:type="pct"/>
            <w:tcBorders>
              <w:top w:val="outset" w:sz="6" w:space="0" w:color="000000"/>
              <w:left w:val="outset" w:sz="6" w:space="0" w:color="000000"/>
              <w:bottom w:val="outset" w:sz="6" w:space="0" w:color="000000"/>
              <w:right w:val="outset" w:sz="6" w:space="0" w:color="000000"/>
            </w:tcBorders>
            <w:hideMark/>
          </w:tcPr>
          <w:p w14:paraId="35CA004D" w14:textId="77777777" w:rsidR="00675A67" w:rsidRPr="00BB322F" w:rsidRDefault="00675A67" w:rsidP="00F14D7C">
            <w:pPr>
              <w:pStyle w:val="NormalWeb"/>
              <w:spacing w:line="256" w:lineRule="auto"/>
              <w:rPr>
                <w:lang w:eastAsia="en-US"/>
              </w:rPr>
            </w:pPr>
            <w:r w:rsidRPr="00BB322F">
              <w:rPr>
                <w:lang w:eastAsia="en-US"/>
              </w:rPr>
              <w:t>5.3.pašvaldību budžets</w:t>
            </w:r>
          </w:p>
        </w:tc>
        <w:tc>
          <w:tcPr>
            <w:tcW w:w="607" w:type="pct"/>
            <w:vMerge/>
            <w:tcBorders>
              <w:top w:val="outset" w:sz="6" w:space="0" w:color="000000"/>
              <w:left w:val="outset" w:sz="6" w:space="0" w:color="000000"/>
              <w:bottom w:val="single" w:sz="4" w:space="0" w:color="auto"/>
              <w:right w:val="outset" w:sz="6" w:space="0" w:color="000000"/>
            </w:tcBorders>
            <w:vAlign w:val="center"/>
            <w:hideMark/>
          </w:tcPr>
          <w:p w14:paraId="217A531B" w14:textId="77777777" w:rsidR="00675A67" w:rsidRPr="00BB322F" w:rsidRDefault="00675A67" w:rsidP="00F14D7C">
            <w:pPr>
              <w:spacing w:line="256" w:lineRule="auto"/>
              <w:rPr>
                <w:rFonts w:eastAsia="Times New Roman" w:cs="Times New Roman"/>
                <w:sz w:val="24"/>
                <w:szCs w:val="24"/>
              </w:rPr>
            </w:pPr>
          </w:p>
        </w:tc>
        <w:tc>
          <w:tcPr>
            <w:tcW w:w="533" w:type="pct"/>
            <w:tcBorders>
              <w:top w:val="outset" w:sz="6" w:space="0" w:color="000000"/>
              <w:left w:val="outset" w:sz="6" w:space="0" w:color="000000"/>
              <w:bottom w:val="single" w:sz="4" w:space="0" w:color="auto"/>
              <w:right w:val="outset" w:sz="6" w:space="0" w:color="000000"/>
            </w:tcBorders>
            <w:hideMark/>
          </w:tcPr>
          <w:p w14:paraId="6CD2F112" w14:textId="77777777" w:rsidR="00675A67" w:rsidRPr="00BB322F" w:rsidRDefault="00675A67" w:rsidP="00F14D7C">
            <w:pPr>
              <w:spacing w:line="270" w:lineRule="atLeast"/>
              <w:jc w:val="center"/>
              <w:rPr>
                <w:rFonts w:cs="Times New Roman"/>
                <w:bCs/>
                <w:sz w:val="24"/>
                <w:szCs w:val="24"/>
              </w:rPr>
            </w:pPr>
            <w:r w:rsidRPr="00BB322F">
              <w:rPr>
                <w:rFonts w:cs="Times New Roman"/>
                <w:bCs/>
                <w:sz w:val="24"/>
                <w:szCs w:val="24"/>
              </w:rPr>
              <w:t>0</w:t>
            </w:r>
          </w:p>
        </w:tc>
        <w:tc>
          <w:tcPr>
            <w:tcW w:w="495" w:type="pct"/>
            <w:gridSpan w:val="2"/>
            <w:vMerge/>
            <w:tcBorders>
              <w:left w:val="outset" w:sz="6" w:space="0" w:color="000000"/>
              <w:bottom w:val="single" w:sz="4" w:space="0" w:color="auto"/>
              <w:right w:val="outset" w:sz="6" w:space="0" w:color="000000"/>
            </w:tcBorders>
            <w:hideMark/>
          </w:tcPr>
          <w:p w14:paraId="01D8AC75" w14:textId="16BFA470" w:rsidR="00675A67" w:rsidRPr="00BB322F" w:rsidRDefault="00675A67" w:rsidP="00F14D7C">
            <w:pPr>
              <w:spacing w:line="270" w:lineRule="atLeast"/>
              <w:jc w:val="center"/>
              <w:rPr>
                <w:rFonts w:cs="Times New Roman"/>
                <w:bCs/>
                <w:sz w:val="24"/>
                <w:szCs w:val="24"/>
              </w:rPr>
            </w:pPr>
          </w:p>
        </w:tc>
        <w:tc>
          <w:tcPr>
            <w:tcW w:w="495" w:type="pct"/>
            <w:tcBorders>
              <w:top w:val="outset" w:sz="6" w:space="0" w:color="000000"/>
              <w:left w:val="outset" w:sz="6" w:space="0" w:color="000000"/>
              <w:bottom w:val="single" w:sz="4" w:space="0" w:color="auto"/>
              <w:right w:val="outset" w:sz="6" w:space="0" w:color="000000"/>
            </w:tcBorders>
          </w:tcPr>
          <w:p w14:paraId="73773D91" w14:textId="6F377C39" w:rsidR="00675A67" w:rsidRPr="00BB322F" w:rsidRDefault="00675A67" w:rsidP="00F14D7C">
            <w:pPr>
              <w:spacing w:line="270" w:lineRule="atLeast"/>
              <w:jc w:val="center"/>
              <w:rPr>
                <w:rFonts w:cs="Times New Roman"/>
                <w:bCs/>
                <w:sz w:val="24"/>
                <w:szCs w:val="24"/>
              </w:rPr>
            </w:pPr>
            <w:r>
              <w:rPr>
                <w:rFonts w:cs="Times New Roman"/>
                <w:bCs/>
                <w:sz w:val="24"/>
                <w:szCs w:val="24"/>
              </w:rPr>
              <w:t>0</w:t>
            </w:r>
          </w:p>
        </w:tc>
        <w:tc>
          <w:tcPr>
            <w:tcW w:w="495" w:type="pct"/>
            <w:gridSpan w:val="2"/>
            <w:vMerge/>
            <w:tcBorders>
              <w:left w:val="outset" w:sz="6" w:space="0" w:color="000000"/>
              <w:bottom w:val="single" w:sz="4" w:space="0" w:color="auto"/>
              <w:right w:val="outset" w:sz="6" w:space="0" w:color="000000"/>
            </w:tcBorders>
            <w:hideMark/>
          </w:tcPr>
          <w:p w14:paraId="52CE1916" w14:textId="5F2412A2" w:rsidR="00675A67" w:rsidRPr="00BB322F" w:rsidRDefault="00675A67" w:rsidP="00F14D7C">
            <w:pPr>
              <w:spacing w:line="270" w:lineRule="atLeast"/>
              <w:jc w:val="center"/>
              <w:rPr>
                <w:rFonts w:cs="Times New Roman"/>
                <w:bCs/>
                <w:sz w:val="24"/>
                <w:szCs w:val="24"/>
              </w:rPr>
            </w:pPr>
          </w:p>
        </w:tc>
        <w:tc>
          <w:tcPr>
            <w:tcW w:w="496" w:type="pct"/>
            <w:tcBorders>
              <w:top w:val="outset" w:sz="6" w:space="0" w:color="000000"/>
              <w:left w:val="outset" w:sz="6" w:space="0" w:color="000000"/>
              <w:bottom w:val="single" w:sz="4" w:space="0" w:color="auto"/>
              <w:right w:val="outset" w:sz="6" w:space="0" w:color="000000"/>
            </w:tcBorders>
          </w:tcPr>
          <w:p w14:paraId="4081D199" w14:textId="16BB7F8C" w:rsidR="00675A67" w:rsidRPr="00BB322F" w:rsidRDefault="00675A67" w:rsidP="00F14D7C">
            <w:pPr>
              <w:spacing w:line="270" w:lineRule="atLeast"/>
              <w:jc w:val="center"/>
              <w:rPr>
                <w:rFonts w:cs="Times New Roman"/>
                <w:bCs/>
                <w:sz w:val="24"/>
                <w:szCs w:val="24"/>
              </w:rPr>
            </w:pPr>
            <w:r>
              <w:rPr>
                <w:rFonts w:cs="Times New Roman"/>
                <w:bCs/>
                <w:sz w:val="24"/>
                <w:szCs w:val="24"/>
              </w:rPr>
              <w:t>0</w:t>
            </w:r>
          </w:p>
        </w:tc>
        <w:tc>
          <w:tcPr>
            <w:tcW w:w="684" w:type="pct"/>
            <w:tcBorders>
              <w:top w:val="outset" w:sz="6" w:space="0" w:color="000000"/>
              <w:left w:val="outset" w:sz="6" w:space="0" w:color="000000"/>
              <w:bottom w:val="single" w:sz="4" w:space="0" w:color="auto"/>
              <w:right w:val="outset" w:sz="6" w:space="0" w:color="000000"/>
            </w:tcBorders>
            <w:hideMark/>
          </w:tcPr>
          <w:p w14:paraId="4F52A00A" w14:textId="77777777" w:rsidR="00675A67" w:rsidRPr="00BB322F" w:rsidRDefault="00675A67" w:rsidP="00F14D7C">
            <w:pPr>
              <w:spacing w:line="270" w:lineRule="atLeast"/>
              <w:jc w:val="center"/>
              <w:rPr>
                <w:rFonts w:cs="Times New Roman"/>
                <w:bCs/>
                <w:sz w:val="24"/>
                <w:szCs w:val="24"/>
              </w:rPr>
            </w:pPr>
            <w:r w:rsidRPr="00BB322F">
              <w:rPr>
                <w:rFonts w:cs="Times New Roman"/>
                <w:bCs/>
                <w:sz w:val="24"/>
                <w:szCs w:val="24"/>
              </w:rPr>
              <w:t>0</w:t>
            </w:r>
          </w:p>
        </w:tc>
      </w:tr>
      <w:tr w:rsidR="00F02D3D" w:rsidRPr="00BB322F" w14:paraId="238E3CC9" w14:textId="77777777" w:rsidTr="002D0B96">
        <w:trPr>
          <w:trHeight w:val="1599"/>
        </w:trPr>
        <w:tc>
          <w:tcPr>
            <w:tcW w:w="1196" w:type="pct"/>
            <w:tcBorders>
              <w:top w:val="outset" w:sz="6" w:space="0" w:color="000000"/>
              <w:left w:val="outset" w:sz="6" w:space="0" w:color="000000"/>
              <w:bottom w:val="nil"/>
              <w:right w:val="single" w:sz="4" w:space="0" w:color="auto"/>
            </w:tcBorders>
            <w:hideMark/>
          </w:tcPr>
          <w:p w14:paraId="3ABB6F69" w14:textId="77777777" w:rsidR="00F02D3D" w:rsidRPr="00BB322F" w:rsidRDefault="00F02D3D" w:rsidP="00F14D7C">
            <w:pPr>
              <w:pStyle w:val="NormalWeb"/>
              <w:spacing w:line="256" w:lineRule="auto"/>
              <w:rPr>
                <w:lang w:eastAsia="en-US"/>
              </w:rPr>
            </w:pPr>
            <w:r w:rsidRPr="00BB322F">
              <w:rPr>
                <w:lang w:eastAsia="en-US"/>
              </w:rPr>
              <w:t>6. Detalizēts ieņēmumu un izdevumu aprēķins (ja nepieciešams, detalizētu ieņēmumu un izdevumu aprēķinu var pievienot anotācijas pielikumā):</w:t>
            </w:r>
          </w:p>
        </w:tc>
        <w:tc>
          <w:tcPr>
            <w:tcW w:w="3804" w:type="pct"/>
            <w:gridSpan w:val="9"/>
            <w:vMerge w:val="restart"/>
            <w:tcBorders>
              <w:top w:val="single" w:sz="4" w:space="0" w:color="auto"/>
              <w:left w:val="single" w:sz="4" w:space="0" w:color="auto"/>
              <w:right w:val="single" w:sz="4" w:space="0" w:color="auto"/>
            </w:tcBorders>
          </w:tcPr>
          <w:p w14:paraId="43ADEA8F" w14:textId="77777777" w:rsidR="00F02D3D" w:rsidRPr="00BB322F" w:rsidRDefault="00F02D3D" w:rsidP="00F14D7C">
            <w:pPr>
              <w:spacing w:line="256" w:lineRule="auto"/>
              <w:jc w:val="both"/>
              <w:rPr>
                <w:rFonts w:cs="Times New Roman"/>
                <w:bCs/>
                <w:sz w:val="24"/>
                <w:szCs w:val="24"/>
              </w:rPr>
            </w:pPr>
            <w:r w:rsidRPr="00BB322F">
              <w:rPr>
                <w:rFonts w:cs="Times New Roman"/>
                <w:bCs/>
                <w:sz w:val="24"/>
                <w:szCs w:val="24"/>
              </w:rPr>
              <w:t xml:space="preserve">Likumprojekts </w:t>
            </w:r>
            <w:r w:rsidRPr="00BB322F">
              <w:rPr>
                <w:rFonts w:cs="Times New Roman"/>
                <w:bCs/>
                <w:sz w:val="24"/>
                <w:szCs w:val="24"/>
                <w:u w:val="single"/>
              </w:rPr>
              <w:t>nerada</w:t>
            </w:r>
            <w:r w:rsidRPr="00BB322F">
              <w:rPr>
                <w:rFonts w:cs="Times New Roman"/>
                <w:bCs/>
                <w:sz w:val="24"/>
                <w:szCs w:val="24"/>
              </w:rPr>
              <w:t xml:space="preserve"> papildu izdevumus valsts budžetā.</w:t>
            </w:r>
          </w:p>
          <w:p w14:paraId="020C3A82" w14:textId="77777777" w:rsidR="00F02D3D" w:rsidRPr="00BB322F" w:rsidRDefault="00F02D3D" w:rsidP="00F14D7C">
            <w:pPr>
              <w:spacing w:line="256" w:lineRule="auto"/>
              <w:jc w:val="both"/>
              <w:rPr>
                <w:rFonts w:cs="Times New Roman"/>
                <w:color w:val="000000"/>
                <w:sz w:val="24"/>
                <w:szCs w:val="24"/>
                <w:shd w:val="clear" w:color="auto" w:fill="FFFFFF"/>
              </w:rPr>
            </w:pPr>
          </w:p>
          <w:p w14:paraId="2A2D3670" w14:textId="77777777" w:rsidR="00F02D3D" w:rsidRPr="00BB322F" w:rsidRDefault="00F02D3D" w:rsidP="00F14D7C">
            <w:pPr>
              <w:spacing w:line="256" w:lineRule="auto"/>
              <w:jc w:val="both"/>
              <w:rPr>
                <w:rFonts w:cs="Times New Roman"/>
                <w:bCs/>
                <w:sz w:val="24"/>
                <w:szCs w:val="24"/>
              </w:rPr>
            </w:pPr>
            <w:r w:rsidRPr="00BB322F">
              <w:rPr>
                <w:rFonts w:cs="Times New Roman"/>
                <w:color w:val="000000"/>
                <w:sz w:val="24"/>
                <w:szCs w:val="24"/>
                <w:shd w:val="clear" w:color="auto" w:fill="FFFFFF"/>
              </w:rPr>
              <w:t>Ieņēmumu apmērs nav precīzi aprēķināms, jo tas ir atkarīgs no normatīvajos aktos noteikto prasību ievērošanas</w:t>
            </w:r>
            <w:r w:rsidRPr="00BB322F">
              <w:rPr>
                <w:rStyle w:val="apple-converted-space"/>
                <w:rFonts w:cs="Times New Roman"/>
                <w:color w:val="000000"/>
                <w:sz w:val="24"/>
                <w:szCs w:val="24"/>
                <w:shd w:val="clear" w:color="auto" w:fill="FFFFFF"/>
              </w:rPr>
              <w:t> </w:t>
            </w:r>
            <w:r w:rsidRPr="00BB322F">
              <w:rPr>
                <w:rFonts w:cs="Times New Roman"/>
                <w:color w:val="000000"/>
                <w:sz w:val="24"/>
                <w:szCs w:val="24"/>
                <w:shd w:val="clear" w:color="auto" w:fill="FFFFFF"/>
              </w:rPr>
              <w:t>no regulēto subjektu puses.</w:t>
            </w:r>
          </w:p>
        </w:tc>
      </w:tr>
      <w:tr w:rsidR="00F02D3D" w:rsidRPr="00BB322F" w14:paraId="472C4888" w14:textId="77777777" w:rsidTr="002D0B96">
        <w:trPr>
          <w:trHeight w:val="524"/>
        </w:trPr>
        <w:tc>
          <w:tcPr>
            <w:tcW w:w="1196" w:type="pct"/>
            <w:tcBorders>
              <w:top w:val="outset" w:sz="6" w:space="0" w:color="000000"/>
              <w:left w:val="outset" w:sz="6" w:space="0" w:color="000000"/>
              <w:bottom w:val="nil"/>
              <w:right w:val="single" w:sz="4" w:space="0" w:color="auto"/>
            </w:tcBorders>
            <w:hideMark/>
          </w:tcPr>
          <w:p w14:paraId="22BEAA30" w14:textId="77777777" w:rsidR="00F02D3D" w:rsidRPr="00BB322F" w:rsidRDefault="00F02D3D" w:rsidP="00F14D7C">
            <w:pPr>
              <w:pStyle w:val="NormalWeb"/>
              <w:spacing w:line="256" w:lineRule="auto"/>
              <w:rPr>
                <w:lang w:eastAsia="en-US"/>
              </w:rPr>
            </w:pPr>
            <w:r w:rsidRPr="00BB322F">
              <w:rPr>
                <w:lang w:eastAsia="en-US"/>
              </w:rPr>
              <w:t>6.1. Detalizēts ieņēmumu aprēķins</w:t>
            </w:r>
          </w:p>
        </w:tc>
        <w:tc>
          <w:tcPr>
            <w:tcW w:w="3804" w:type="pct"/>
            <w:gridSpan w:val="9"/>
            <w:vMerge/>
            <w:tcBorders>
              <w:left w:val="single" w:sz="4" w:space="0" w:color="auto"/>
              <w:right w:val="single" w:sz="4" w:space="0" w:color="auto"/>
            </w:tcBorders>
            <w:hideMark/>
          </w:tcPr>
          <w:p w14:paraId="0793ABA3" w14:textId="77777777" w:rsidR="00F02D3D" w:rsidRPr="00BB322F" w:rsidRDefault="00F02D3D" w:rsidP="00F14D7C">
            <w:pPr>
              <w:spacing w:line="256" w:lineRule="auto"/>
              <w:jc w:val="both"/>
              <w:rPr>
                <w:rFonts w:cs="Times New Roman"/>
                <w:color w:val="000000"/>
                <w:sz w:val="24"/>
                <w:szCs w:val="24"/>
                <w:shd w:val="clear" w:color="auto" w:fill="FFFFFF"/>
              </w:rPr>
            </w:pPr>
          </w:p>
        </w:tc>
      </w:tr>
      <w:tr w:rsidR="00F02D3D" w:rsidRPr="00BB322F" w14:paraId="1BDCB9FC" w14:textId="77777777" w:rsidTr="002D0B96">
        <w:trPr>
          <w:trHeight w:val="567"/>
        </w:trPr>
        <w:tc>
          <w:tcPr>
            <w:tcW w:w="1196" w:type="pct"/>
            <w:tcBorders>
              <w:top w:val="outset" w:sz="6" w:space="0" w:color="000000"/>
              <w:left w:val="outset" w:sz="6" w:space="0" w:color="000000"/>
              <w:bottom w:val="nil"/>
              <w:right w:val="single" w:sz="4" w:space="0" w:color="auto"/>
            </w:tcBorders>
            <w:hideMark/>
          </w:tcPr>
          <w:p w14:paraId="08E76BB7" w14:textId="77777777" w:rsidR="00F02D3D" w:rsidRPr="00BB322F" w:rsidRDefault="00F02D3D" w:rsidP="00F14D7C">
            <w:pPr>
              <w:pStyle w:val="NormalWeb"/>
              <w:spacing w:line="256" w:lineRule="auto"/>
              <w:rPr>
                <w:lang w:eastAsia="en-US"/>
              </w:rPr>
            </w:pPr>
            <w:r w:rsidRPr="00BB322F">
              <w:rPr>
                <w:lang w:eastAsia="en-US"/>
              </w:rPr>
              <w:t>6.2. Detalizēts izdevumu aprēķins</w:t>
            </w:r>
          </w:p>
        </w:tc>
        <w:tc>
          <w:tcPr>
            <w:tcW w:w="3804" w:type="pct"/>
            <w:gridSpan w:val="9"/>
            <w:vMerge/>
            <w:tcBorders>
              <w:left w:val="single" w:sz="4" w:space="0" w:color="auto"/>
              <w:bottom w:val="single" w:sz="4" w:space="0" w:color="auto"/>
              <w:right w:val="single" w:sz="4" w:space="0" w:color="auto"/>
            </w:tcBorders>
            <w:vAlign w:val="center"/>
          </w:tcPr>
          <w:p w14:paraId="311C0AF2" w14:textId="77777777" w:rsidR="00F02D3D" w:rsidRPr="00BB322F" w:rsidRDefault="00F02D3D" w:rsidP="00F14D7C">
            <w:pPr>
              <w:spacing w:line="256" w:lineRule="auto"/>
              <w:jc w:val="both"/>
              <w:rPr>
                <w:rFonts w:cs="Times New Roman"/>
                <w:color w:val="000000"/>
                <w:sz w:val="24"/>
                <w:szCs w:val="24"/>
                <w:shd w:val="clear" w:color="auto" w:fill="FFFFFF"/>
              </w:rPr>
            </w:pPr>
          </w:p>
        </w:tc>
      </w:tr>
      <w:tr w:rsidR="00675A67" w:rsidRPr="00BB322F" w14:paraId="78068327" w14:textId="77777777" w:rsidTr="002D0B96">
        <w:trPr>
          <w:trHeight w:val="567"/>
        </w:trPr>
        <w:tc>
          <w:tcPr>
            <w:tcW w:w="1196" w:type="pct"/>
            <w:tcBorders>
              <w:top w:val="outset" w:sz="6" w:space="0" w:color="000000"/>
              <w:left w:val="outset" w:sz="6" w:space="0" w:color="000000"/>
              <w:bottom w:val="single" w:sz="4" w:space="0" w:color="auto"/>
              <w:right w:val="single" w:sz="4" w:space="0" w:color="auto"/>
            </w:tcBorders>
          </w:tcPr>
          <w:p w14:paraId="23582F79" w14:textId="56CDE6E1" w:rsidR="00675A67" w:rsidRPr="00BB322F" w:rsidRDefault="00675A67" w:rsidP="00F14D7C">
            <w:pPr>
              <w:pStyle w:val="NormalWeb"/>
              <w:spacing w:line="256" w:lineRule="auto"/>
              <w:rPr>
                <w:lang w:eastAsia="en-US"/>
              </w:rPr>
            </w:pPr>
            <w:r>
              <w:rPr>
                <w:lang w:eastAsia="en-US"/>
              </w:rPr>
              <w:t>7. Amata vietu skaita izmaiņas</w:t>
            </w:r>
          </w:p>
        </w:tc>
        <w:tc>
          <w:tcPr>
            <w:tcW w:w="3804" w:type="pct"/>
            <w:gridSpan w:val="9"/>
            <w:tcBorders>
              <w:left w:val="single" w:sz="4" w:space="0" w:color="auto"/>
              <w:bottom w:val="single" w:sz="4" w:space="0" w:color="auto"/>
              <w:right w:val="single" w:sz="4" w:space="0" w:color="auto"/>
            </w:tcBorders>
            <w:vAlign w:val="center"/>
          </w:tcPr>
          <w:p w14:paraId="0921FD7E" w14:textId="127A79DF" w:rsidR="00675A67" w:rsidRPr="00BB322F" w:rsidRDefault="00675A67" w:rsidP="00F14D7C">
            <w:pPr>
              <w:spacing w:line="256" w:lineRule="auto"/>
              <w:jc w:val="both"/>
              <w:rPr>
                <w:rFonts w:cs="Times New Roman"/>
                <w:color w:val="000000"/>
                <w:sz w:val="24"/>
                <w:szCs w:val="24"/>
                <w:shd w:val="clear" w:color="auto" w:fill="FFFFFF"/>
              </w:rPr>
            </w:pPr>
            <w:r>
              <w:rPr>
                <w:rFonts w:cs="Times New Roman"/>
                <w:color w:val="000000"/>
                <w:sz w:val="24"/>
                <w:szCs w:val="24"/>
                <w:shd w:val="clear" w:color="auto" w:fill="FFFFFF"/>
              </w:rPr>
              <w:t>Likumprojekts nerada amata vietu skaita izmaiņas.</w:t>
            </w:r>
          </w:p>
        </w:tc>
      </w:tr>
      <w:tr w:rsidR="00F14D7C" w:rsidRPr="00BB322F" w14:paraId="716AA2C1" w14:textId="77777777" w:rsidTr="002D0B96">
        <w:tc>
          <w:tcPr>
            <w:tcW w:w="1196" w:type="pct"/>
            <w:tcBorders>
              <w:top w:val="single" w:sz="4" w:space="0" w:color="auto"/>
              <w:left w:val="outset" w:sz="6" w:space="0" w:color="000000"/>
              <w:bottom w:val="outset" w:sz="6" w:space="0" w:color="000000"/>
              <w:right w:val="outset" w:sz="6" w:space="0" w:color="000000"/>
            </w:tcBorders>
            <w:hideMark/>
          </w:tcPr>
          <w:p w14:paraId="7DD7CABD" w14:textId="14495ACB" w:rsidR="00F14D7C" w:rsidRPr="00BB322F" w:rsidRDefault="00675A67" w:rsidP="00F14D7C">
            <w:pPr>
              <w:pStyle w:val="NormalWeb"/>
              <w:spacing w:line="256" w:lineRule="auto"/>
              <w:rPr>
                <w:lang w:eastAsia="en-US"/>
              </w:rPr>
            </w:pPr>
            <w:r>
              <w:rPr>
                <w:lang w:eastAsia="en-US"/>
              </w:rPr>
              <w:t>8</w:t>
            </w:r>
            <w:r w:rsidR="00F14D7C" w:rsidRPr="00BB322F">
              <w:rPr>
                <w:lang w:eastAsia="en-US"/>
              </w:rPr>
              <w:t>. Cita informācija</w:t>
            </w:r>
          </w:p>
        </w:tc>
        <w:tc>
          <w:tcPr>
            <w:tcW w:w="3804" w:type="pct"/>
            <w:gridSpan w:val="9"/>
            <w:tcBorders>
              <w:top w:val="single" w:sz="4" w:space="0" w:color="auto"/>
              <w:left w:val="outset" w:sz="6" w:space="0" w:color="000000"/>
              <w:bottom w:val="outset" w:sz="6" w:space="0" w:color="000000"/>
              <w:right w:val="outset" w:sz="6" w:space="0" w:color="000000"/>
            </w:tcBorders>
            <w:hideMark/>
          </w:tcPr>
          <w:p w14:paraId="5A89BED4" w14:textId="77777777" w:rsidR="00F14D7C" w:rsidRPr="00BB322F" w:rsidRDefault="00F14D7C" w:rsidP="00F14D7C">
            <w:pPr>
              <w:spacing w:line="256" w:lineRule="auto"/>
              <w:jc w:val="both"/>
              <w:rPr>
                <w:rFonts w:cs="Times New Roman"/>
                <w:sz w:val="24"/>
                <w:szCs w:val="24"/>
              </w:rPr>
            </w:pPr>
            <w:r w:rsidRPr="00BB322F">
              <w:rPr>
                <w:rFonts w:cs="Times New Roman"/>
                <w:color w:val="000000"/>
                <w:sz w:val="24"/>
                <w:szCs w:val="24"/>
                <w:shd w:val="clear" w:color="auto" w:fill="FFFFFF"/>
              </w:rPr>
              <w:t>Ieņēmumi par naudas sodiem, ko par Likumprojektā paredzētajiem administratīvajiem pārkāpumiem piemēros Sabiedrisko pakalpojumu regulēšanas komisija, tiks ieskaitīti valsts pamatbudžetā.</w:t>
            </w:r>
          </w:p>
        </w:tc>
      </w:tr>
    </w:tbl>
    <w:p w14:paraId="22F2BADB" w14:textId="7013E74F" w:rsidR="00A506A0" w:rsidRDefault="00A506A0">
      <w:pPr>
        <w:rPr>
          <w:rFonts w:cs="Times New Roman"/>
          <w:sz w:val="24"/>
          <w:szCs w:val="24"/>
        </w:rPr>
      </w:pPr>
    </w:p>
    <w:p w14:paraId="469DC01A" w14:textId="2CDF8FC5" w:rsidR="00790A5E" w:rsidRDefault="00790A5E">
      <w:pPr>
        <w:spacing w:after="160" w:line="259" w:lineRule="auto"/>
        <w:rPr>
          <w:rFonts w:cs="Times New Roman"/>
          <w:sz w:val="24"/>
          <w:szCs w:val="24"/>
        </w:rPr>
      </w:pPr>
      <w:r>
        <w:rPr>
          <w:rFonts w:cs="Times New Roman"/>
          <w:sz w:val="24"/>
          <w:szCs w:val="24"/>
        </w:rPr>
        <w:br w:type="page"/>
      </w:r>
    </w:p>
    <w:p w14:paraId="179B48BE" w14:textId="77777777" w:rsidR="00790A5E" w:rsidRPr="00BB322F" w:rsidRDefault="00790A5E">
      <w:pPr>
        <w:rPr>
          <w:rFonts w:cs="Times New Roman"/>
          <w:sz w:val="24"/>
          <w:szCs w:val="24"/>
        </w:rPr>
      </w:pPr>
    </w:p>
    <w:tbl>
      <w:tblPr>
        <w:tblW w:w="5165" w:type="pct"/>
        <w:tblInd w:w="-6"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354"/>
      </w:tblGrid>
      <w:tr w:rsidR="00E91331" w:rsidRPr="00BB322F" w14:paraId="263B85F1" w14:textId="77777777" w:rsidTr="002D0B96">
        <w:trPr>
          <w:trHeight w:val="443"/>
        </w:trPr>
        <w:tc>
          <w:tcPr>
            <w:tcW w:w="9354" w:type="dxa"/>
            <w:tcBorders>
              <w:top w:val="outset" w:sz="6" w:space="0" w:color="414142"/>
              <w:left w:val="outset" w:sz="6" w:space="0" w:color="414142"/>
              <w:bottom w:val="outset" w:sz="6" w:space="0" w:color="414142"/>
              <w:right w:val="outset" w:sz="6" w:space="0" w:color="414142"/>
            </w:tcBorders>
            <w:vAlign w:val="center"/>
            <w:hideMark/>
          </w:tcPr>
          <w:p w14:paraId="54F71709" w14:textId="77777777" w:rsidR="00E91331" w:rsidRPr="00BB322F" w:rsidRDefault="00E91331" w:rsidP="00B44676">
            <w:pPr>
              <w:ind w:firstLine="300"/>
              <w:jc w:val="center"/>
              <w:rPr>
                <w:rFonts w:eastAsia="Times New Roman" w:cs="Times New Roman"/>
                <w:b/>
                <w:bCs/>
                <w:color w:val="000000" w:themeColor="text1"/>
                <w:sz w:val="24"/>
                <w:szCs w:val="24"/>
                <w:lang w:eastAsia="lv-LV"/>
              </w:rPr>
            </w:pPr>
            <w:r w:rsidRPr="00BB322F">
              <w:rPr>
                <w:rFonts w:eastAsia="Times New Roman" w:cs="Times New Roman"/>
                <w:b/>
                <w:bCs/>
                <w:color w:val="000000" w:themeColor="text1"/>
                <w:sz w:val="24"/>
                <w:szCs w:val="24"/>
                <w:lang w:eastAsia="lv-LV"/>
              </w:rPr>
              <w:t>IV. Tiesību akta projekta ietekme uz spēkā esošo tiesību normu sistēmu</w:t>
            </w:r>
          </w:p>
        </w:tc>
      </w:tr>
      <w:tr w:rsidR="00E91331" w:rsidRPr="00BB322F" w14:paraId="716AB6C6" w14:textId="77777777" w:rsidTr="002D0B96">
        <w:trPr>
          <w:trHeight w:val="261"/>
        </w:trPr>
        <w:tc>
          <w:tcPr>
            <w:tcW w:w="9354" w:type="dxa"/>
            <w:tcBorders>
              <w:top w:val="outset" w:sz="6" w:space="0" w:color="414142"/>
              <w:left w:val="outset" w:sz="6" w:space="0" w:color="414142"/>
              <w:bottom w:val="outset" w:sz="6" w:space="0" w:color="414142"/>
              <w:right w:val="outset" w:sz="6" w:space="0" w:color="414142"/>
            </w:tcBorders>
            <w:hideMark/>
          </w:tcPr>
          <w:p w14:paraId="548E47F0" w14:textId="77777777" w:rsidR="00E91331" w:rsidRPr="00BB322F" w:rsidRDefault="00E91331" w:rsidP="00B44676">
            <w:pPr>
              <w:jc w:val="center"/>
              <w:rPr>
                <w:rFonts w:eastAsia="Times New Roman" w:cs="Times New Roman"/>
                <w:color w:val="000000" w:themeColor="text1"/>
                <w:sz w:val="24"/>
                <w:szCs w:val="24"/>
                <w:lang w:eastAsia="lv-LV"/>
              </w:rPr>
            </w:pPr>
            <w:r w:rsidRPr="00BB322F">
              <w:rPr>
                <w:rFonts w:cs="Times New Roman"/>
                <w:sz w:val="24"/>
                <w:szCs w:val="24"/>
                <w:lang w:eastAsia="lv-LV"/>
              </w:rPr>
              <w:t>Projekts šo jomu neskar.</w:t>
            </w:r>
          </w:p>
        </w:tc>
      </w:tr>
    </w:tbl>
    <w:p w14:paraId="25F2BC0C" w14:textId="3B426223" w:rsidR="00E91331" w:rsidRDefault="00E91331" w:rsidP="00E91331">
      <w:pPr>
        <w:rPr>
          <w:rFonts w:eastAsia="Times New Roman" w:cs="Times New Roman"/>
          <w:color w:val="000000" w:themeColor="text1"/>
          <w:sz w:val="24"/>
          <w:szCs w:val="24"/>
          <w:lang w:eastAsia="lv-LV"/>
        </w:rPr>
      </w:pPr>
    </w:p>
    <w:p w14:paraId="7CBBACA2" w14:textId="77777777" w:rsidR="00790A5E" w:rsidRPr="00BB322F" w:rsidRDefault="00790A5E" w:rsidP="00E91331">
      <w:pPr>
        <w:rPr>
          <w:rFonts w:eastAsia="Times New Roman" w:cs="Times New Roman"/>
          <w:color w:val="000000" w:themeColor="text1"/>
          <w:sz w:val="24"/>
          <w:szCs w:val="24"/>
          <w:lang w:eastAsia="lv-LV"/>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8"/>
      </w:tblGrid>
      <w:tr w:rsidR="00E91331" w:rsidRPr="00BB322F" w14:paraId="5E5B77FE" w14:textId="77777777" w:rsidTr="002D0B96">
        <w:trPr>
          <w:trHeight w:val="426"/>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C24E469" w14:textId="77777777" w:rsidR="00E91331" w:rsidRPr="00BB322F" w:rsidRDefault="00E91331" w:rsidP="00B44676">
            <w:pPr>
              <w:ind w:firstLine="300"/>
              <w:jc w:val="center"/>
              <w:rPr>
                <w:rFonts w:eastAsia="Times New Roman" w:cs="Times New Roman"/>
                <w:b/>
                <w:bCs/>
                <w:color w:val="000000" w:themeColor="text1"/>
                <w:sz w:val="24"/>
                <w:szCs w:val="24"/>
                <w:lang w:eastAsia="lv-LV"/>
              </w:rPr>
            </w:pPr>
            <w:r w:rsidRPr="00BB322F">
              <w:rPr>
                <w:rFonts w:eastAsia="Times New Roman" w:cs="Times New Roman"/>
                <w:b/>
                <w:bCs/>
                <w:color w:val="000000" w:themeColor="text1"/>
                <w:sz w:val="24"/>
                <w:szCs w:val="24"/>
                <w:lang w:eastAsia="lv-LV"/>
              </w:rPr>
              <w:t>V. Tiesību akta projekta atbilstība Latvijas Republikas starptautiskajām saistībām</w:t>
            </w:r>
          </w:p>
        </w:tc>
      </w:tr>
      <w:tr w:rsidR="00E91331" w:rsidRPr="00BB322F" w14:paraId="7552E907" w14:textId="77777777" w:rsidTr="002D0B96">
        <w:trPr>
          <w:trHeight w:val="217"/>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617422F" w14:textId="77777777" w:rsidR="00E91331" w:rsidRPr="00BB322F" w:rsidRDefault="00E91331" w:rsidP="00B44676">
            <w:pPr>
              <w:ind w:firstLine="300"/>
              <w:jc w:val="center"/>
              <w:rPr>
                <w:rFonts w:eastAsia="Times New Roman" w:cs="Times New Roman"/>
                <w:b/>
                <w:bCs/>
                <w:color w:val="000000" w:themeColor="text1"/>
                <w:sz w:val="24"/>
                <w:szCs w:val="24"/>
                <w:lang w:eastAsia="lv-LV"/>
              </w:rPr>
            </w:pPr>
            <w:r w:rsidRPr="00BB322F">
              <w:rPr>
                <w:rFonts w:cs="Times New Roman"/>
                <w:sz w:val="24"/>
                <w:szCs w:val="24"/>
                <w:lang w:eastAsia="lv-LV"/>
              </w:rPr>
              <w:t>Projekts šo jomu neskar.</w:t>
            </w:r>
          </w:p>
        </w:tc>
      </w:tr>
    </w:tbl>
    <w:p w14:paraId="08C29760" w14:textId="77777777" w:rsidR="00E91331" w:rsidRPr="00BB322F" w:rsidRDefault="00E91331" w:rsidP="007B0190">
      <w:pPr>
        <w:rPr>
          <w:rFonts w:eastAsia="Times New Roman" w:cs="Times New Roman"/>
          <w:color w:val="000000" w:themeColor="text1"/>
          <w:sz w:val="24"/>
          <w:szCs w:val="24"/>
          <w:lang w:eastAsia="lv-LV"/>
        </w:rPr>
      </w:pPr>
    </w:p>
    <w:p w14:paraId="2B9E6533" w14:textId="77777777" w:rsidR="00A506A0" w:rsidRPr="00BB322F" w:rsidRDefault="00A506A0" w:rsidP="007B0190">
      <w:pPr>
        <w:rPr>
          <w:rFonts w:eastAsia="Times New Roman" w:cs="Times New Roman"/>
          <w:color w:val="000000" w:themeColor="text1"/>
          <w:sz w:val="24"/>
          <w:szCs w:val="24"/>
          <w:lang w:eastAsia="lv-LV"/>
        </w:rPr>
      </w:pPr>
    </w:p>
    <w:tbl>
      <w:tblPr>
        <w:tblW w:w="5162"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03"/>
        <w:gridCol w:w="1508"/>
        <w:gridCol w:w="8683"/>
      </w:tblGrid>
      <w:tr w:rsidR="00082640" w:rsidRPr="00BB322F" w14:paraId="024F72F4" w14:textId="77777777" w:rsidTr="009A4F1D">
        <w:trPr>
          <w:trHeight w:val="336"/>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69D0ED8" w14:textId="77777777" w:rsidR="00082640" w:rsidRPr="00BB322F" w:rsidRDefault="00082640" w:rsidP="007B0190">
            <w:pPr>
              <w:jc w:val="center"/>
              <w:rPr>
                <w:rFonts w:eastAsia="Times New Roman" w:cs="Times New Roman"/>
                <w:b/>
                <w:bCs/>
                <w:sz w:val="24"/>
                <w:szCs w:val="24"/>
                <w:lang w:eastAsia="lv-LV"/>
              </w:rPr>
            </w:pPr>
            <w:r w:rsidRPr="00BB322F">
              <w:rPr>
                <w:rFonts w:eastAsia="Times New Roman" w:cs="Times New Roman"/>
                <w:b/>
                <w:bCs/>
                <w:sz w:val="24"/>
                <w:szCs w:val="24"/>
                <w:lang w:eastAsia="lv-LV"/>
              </w:rPr>
              <w:t>VI. Sabiedrības līdzdalība un komunikācijas aktivitātes</w:t>
            </w:r>
          </w:p>
        </w:tc>
      </w:tr>
      <w:tr w:rsidR="00082640" w:rsidRPr="00BB322F" w14:paraId="10C241D4" w14:textId="77777777" w:rsidTr="009A4F1D">
        <w:trPr>
          <w:trHeight w:val="432"/>
          <w:tblCellSpacing w:w="15" w:type="dxa"/>
          <w:jc w:val="center"/>
        </w:trPr>
        <w:tc>
          <w:tcPr>
            <w:tcW w:w="138" w:type="pct"/>
            <w:tcBorders>
              <w:top w:val="outset" w:sz="6" w:space="0" w:color="auto"/>
              <w:left w:val="outset" w:sz="6" w:space="0" w:color="auto"/>
              <w:bottom w:val="outset" w:sz="6" w:space="0" w:color="auto"/>
              <w:right w:val="outset" w:sz="6" w:space="0" w:color="auto"/>
            </w:tcBorders>
            <w:hideMark/>
          </w:tcPr>
          <w:p w14:paraId="3CF99F22" w14:textId="77777777" w:rsidR="00082640" w:rsidRPr="00BB322F" w:rsidRDefault="00082640" w:rsidP="007B0190">
            <w:pPr>
              <w:rPr>
                <w:rFonts w:eastAsia="Times New Roman" w:cs="Times New Roman"/>
                <w:sz w:val="24"/>
                <w:szCs w:val="24"/>
                <w:lang w:eastAsia="lv-LV"/>
              </w:rPr>
            </w:pPr>
            <w:r w:rsidRPr="00BB322F">
              <w:rPr>
                <w:rFonts w:eastAsia="Times New Roman" w:cs="Times New Roman"/>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4F5AA070" w14:textId="77777777" w:rsidR="00082640" w:rsidRPr="00BB322F" w:rsidRDefault="00082640" w:rsidP="007B0190">
            <w:pPr>
              <w:rPr>
                <w:rFonts w:eastAsia="Times New Roman" w:cs="Times New Roman"/>
                <w:sz w:val="24"/>
                <w:szCs w:val="24"/>
                <w:lang w:eastAsia="lv-LV"/>
              </w:rPr>
            </w:pPr>
            <w:r w:rsidRPr="00BB322F">
              <w:rPr>
                <w:rFonts w:eastAsia="Times New Roman" w:cs="Times New Roman"/>
                <w:sz w:val="24"/>
                <w:szCs w:val="24"/>
                <w:lang w:eastAsia="lv-LV"/>
              </w:rPr>
              <w:t>Plānotās sabiedrības līdzdalības un komunikācijas aktivitātes saistībā ar projektu</w:t>
            </w:r>
          </w:p>
        </w:tc>
        <w:tc>
          <w:tcPr>
            <w:tcW w:w="3480" w:type="pct"/>
            <w:tcBorders>
              <w:top w:val="outset" w:sz="6" w:space="0" w:color="auto"/>
              <w:left w:val="outset" w:sz="6" w:space="0" w:color="auto"/>
              <w:bottom w:val="outset" w:sz="6" w:space="0" w:color="auto"/>
              <w:right w:val="outset" w:sz="6" w:space="0" w:color="auto"/>
            </w:tcBorders>
            <w:hideMark/>
          </w:tcPr>
          <w:p w14:paraId="62C9C54C" w14:textId="77777777" w:rsidR="005659DA" w:rsidRPr="00BB322F" w:rsidRDefault="005659DA" w:rsidP="005659DA">
            <w:pPr>
              <w:widowControl w:val="0"/>
              <w:suppressAutoHyphens/>
              <w:autoSpaceDE w:val="0"/>
              <w:autoSpaceDN w:val="0"/>
              <w:adjustRightInd w:val="0"/>
              <w:ind w:firstLine="566"/>
              <w:jc w:val="both"/>
              <w:rPr>
                <w:rFonts w:cs="Times New Roman"/>
                <w:sz w:val="24"/>
                <w:szCs w:val="24"/>
                <w:lang w:eastAsia="lv-LV"/>
              </w:rPr>
            </w:pPr>
            <w:r w:rsidRPr="00BB322F">
              <w:rPr>
                <w:rFonts w:eastAsia="Calibri" w:cs="Times New Roman"/>
                <w:sz w:val="24"/>
                <w:szCs w:val="24"/>
              </w:rPr>
              <w:t>Likumprojekts ir nodots apspriešanai Tieslietu ministrijas</w:t>
            </w:r>
            <w:r w:rsidRPr="00BB322F">
              <w:rPr>
                <w:rFonts w:eastAsia="Times New Roman" w:cs="Times New Roman"/>
                <w:iCs/>
                <w:color w:val="000000"/>
                <w:sz w:val="24"/>
                <w:szCs w:val="24"/>
              </w:rPr>
              <w:t xml:space="preserve"> Administratīvo pārkāpumu kodeksa pastāvīgās darba grupas pārstāvjiem. </w:t>
            </w:r>
          </w:p>
          <w:p w14:paraId="71A2E1ED" w14:textId="42692B91" w:rsidR="00082640" w:rsidRPr="00BB322F" w:rsidRDefault="005659DA" w:rsidP="005659DA">
            <w:pPr>
              <w:widowControl w:val="0"/>
              <w:suppressAutoHyphens/>
              <w:autoSpaceDE w:val="0"/>
              <w:autoSpaceDN w:val="0"/>
              <w:adjustRightInd w:val="0"/>
              <w:ind w:firstLine="564"/>
              <w:jc w:val="both"/>
              <w:rPr>
                <w:rFonts w:cs="Times New Roman"/>
                <w:sz w:val="24"/>
                <w:szCs w:val="24"/>
                <w:lang w:eastAsia="lv-LV"/>
              </w:rPr>
            </w:pPr>
            <w:r w:rsidRPr="00BB322F">
              <w:rPr>
                <w:rStyle w:val="st1"/>
                <w:rFonts w:cs="Times New Roman"/>
                <w:bCs/>
                <w:sz w:val="24"/>
                <w:szCs w:val="24"/>
              </w:rPr>
              <w:t>S</w:t>
            </w:r>
            <w:r w:rsidRPr="00BB322F">
              <w:rPr>
                <w:rFonts w:cs="Times New Roman"/>
                <w:iCs/>
                <w:sz w:val="24"/>
                <w:szCs w:val="24"/>
              </w:rPr>
              <w:t xml:space="preserve">abiedrības līdzdalība projekta izstrādē nodrošināta, divas nedēļas pirms likumprojekta izsludināšanas Valsts sekretāru sanāksmē to publicējot Ekonomikas ministrijas </w:t>
            </w:r>
            <w:r w:rsidR="00B116A5">
              <w:rPr>
                <w:rFonts w:cs="Times New Roman"/>
                <w:iCs/>
                <w:sz w:val="24"/>
                <w:szCs w:val="24"/>
              </w:rPr>
              <w:t>tīmekļvietnē</w:t>
            </w:r>
            <w:r w:rsidRPr="00BB322F">
              <w:rPr>
                <w:rFonts w:cs="Times New Roman"/>
                <w:iCs/>
                <w:sz w:val="24"/>
                <w:szCs w:val="24"/>
              </w:rPr>
              <w:t>, kā arī tik</w:t>
            </w:r>
            <w:r w:rsidR="005D5585">
              <w:rPr>
                <w:rFonts w:cs="Times New Roman"/>
                <w:iCs/>
                <w:sz w:val="24"/>
                <w:szCs w:val="24"/>
              </w:rPr>
              <w:t>s</w:t>
            </w:r>
            <w:r w:rsidRPr="00BB322F">
              <w:rPr>
                <w:rFonts w:cs="Times New Roman"/>
                <w:iCs/>
                <w:sz w:val="24"/>
                <w:szCs w:val="24"/>
              </w:rPr>
              <w:t xml:space="preserve"> nodrošināta turpmākā likumprojekta saskaņošanas gaitā pēc tā izsludināšanas Valsts sekretāru sanāksmē.</w:t>
            </w:r>
          </w:p>
        </w:tc>
      </w:tr>
      <w:tr w:rsidR="00082640" w:rsidRPr="00BB322F" w14:paraId="34501D8D" w14:textId="77777777" w:rsidTr="009A4F1D">
        <w:trPr>
          <w:trHeight w:val="264"/>
          <w:tblCellSpacing w:w="15" w:type="dxa"/>
          <w:jc w:val="center"/>
        </w:trPr>
        <w:tc>
          <w:tcPr>
            <w:tcW w:w="138" w:type="pct"/>
            <w:tcBorders>
              <w:top w:val="outset" w:sz="6" w:space="0" w:color="auto"/>
              <w:left w:val="outset" w:sz="6" w:space="0" w:color="auto"/>
              <w:bottom w:val="outset" w:sz="6" w:space="0" w:color="auto"/>
              <w:right w:val="outset" w:sz="6" w:space="0" w:color="auto"/>
            </w:tcBorders>
            <w:hideMark/>
          </w:tcPr>
          <w:p w14:paraId="076417E5" w14:textId="77777777" w:rsidR="00082640" w:rsidRPr="00BB322F" w:rsidRDefault="00082640" w:rsidP="007B0190">
            <w:pPr>
              <w:rPr>
                <w:rFonts w:eastAsia="Times New Roman" w:cs="Times New Roman"/>
                <w:sz w:val="24"/>
                <w:szCs w:val="24"/>
                <w:lang w:eastAsia="lv-LV"/>
              </w:rPr>
            </w:pPr>
            <w:r w:rsidRPr="00BB322F">
              <w:rPr>
                <w:rFonts w:eastAsia="Times New Roman" w:cs="Times New Roman"/>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25F5504F" w14:textId="77777777" w:rsidR="00082640" w:rsidRPr="00BB322F" w:rsidRDefault="00082640" w:rsidP="007B0190">
            <w:pPr>
              <w:rPr>
                <w:rFonts w:eastAsia="Times New Roman" w:cs="Times New Roman"/>
                <w:sz w:val="24"/>
                <w:szCs w:val="24"/>
                <w:lang w:eastAsia="lv-LV"/>
              </w:rPr>
            </w:pPr>
            <w:r w:rsidRPr="00BB322F">
              <w:rPr>
                <w:rFonts w:eastAsia="Times New Roman" w:cs="Times New Roman"/>
                <w:sz w:val="24"/>
                <w:szCs w:val="24"/>
                <w:lang w:eastAsia="lv-LV"/>
              </w:rPr>
              <w:t>Sabiedrības līdzdalība projekta izstrādē</w:t>
            </w:r>
          </w:p>
        </w:tc>
        <w:tc>
          <w:tcPr>
            <w:tcW w:w="3480" w:type="pct"/>
            <w:tcBorders>
              <w:top w:val="outset" w:sz="6" w:space="0" w:color="auto"/>
              <w:left w:val="outset" w:sz="6" w:space="0" w:color="auto"/>
              <w:bottom w:val="outset" w:sz="6" w:space="0" w:color="auto"/>
              <w:right w:val="outset" w:sz="6" w:space="0" w:color="auto"/>
            </w:tcBorders>
            <w:hideMark/>
          </w:tcPr>
          <w:p w14:paraId="4F16AF4E" w14:textId="1A707DF0" w:rsidR="00082640" w:rsidRPr="00BB322F" w:rsidRDefault="005D5585" w:rsidP="007B0190">
            <w:pPr>
              <w:rPr>
                <w:rFonts w:eastAsia="Times New Roman" w:cs="Times New Roman"/>
                <w:sz w:val="24"/>
                <w:szCs w:val="24"/>
                <w:lang w:eastAsia="lv-LV"/>
              </w:rPr>
            </w:pPr>
            <w:r w:rsidRPr="008E769D">
              <w:rPr>
                <w:rFonts w:eastAsia="Times New Roman" w:cs="Times New Roman"/>
                <w:sz w:val="24"/>
                <w:szCs w:val="24"/>
                <w:lang w:eastAsia="lv-LV"/>
              </w:rPr>
              <w:t xml:space="preserve">Lai informētu sabiedrību par </w:t>
            </w:r>
            <w:r w:rsidRPr="008E769D">
              <w:rPr>
                <w:rFonts w:eastAsia="Times New Roman" w:cs="Times New Roman"/>
                <w:sz w:val="24"/>
                <w:szCs w:val="24"/>
                <w:shd w:val="clear" w:color="auto" w:fill="FFFFFF"/>
                <w:lang w:eastAsia="lv-LV"/>
              </w:rPr>
              <w:t>likum</w:t>
            </w:r>
            <w:r w:rsidRPr="008E769D">
              <w:rPr>
                <w:rFonts w:eastAsia="Times New Roman" w:cs="Times New Roman"/>
                <w:sz w:val="24"/>
                <w:szCs w:val="24"/>
                <w:lang w:eastAsia="lv-LV"/>
              </w:rPr>
              <w:t xml:space="preserve">projektu un dotu iespēju izteikt par to viedokli, likumprojekts </w:t>
            </w:r>
            <w:r>
              <w:rPr>
                <w:rFonts w:eastAsia="Times New Roman" w:cs="Times New Roman"/>
                <w:sz w:val="24"/>
                <w:szCs w:val="24"/>
                <w:lang w:eastAsia="lv-LV"/>
              </w:rPr>
              <w:t>un tā anotācija</w:t>
            </w:r>
            <w:r w:rsidRPr="008E769D">
              <w:rPr>
                <w:rFonts w:eastAsia="Times New Roman" w:cs="Times New Roman"/>
                <w:sz w:val="24"/>
                <w:szCs w:val="24"/>
                <w:lang w:eastAsia="lv-LV"/>
              </w:rPr>
              <w:t xml:space="preserve"> ievietoti Ekonomikas ministrijas mājas lapā: </w:t>
            </w:r>
            <w:hyperlink r:id="rId8" w:history="1">
              <w:r w:rsidRPr="008E769D">
                <w:rPr>
                  <w:rStyle w:val="Hyperlink"/>
                  <w:rFonts w:eastAsia="Times New Roman" w:cs="Times New Roman"/>
                  <w:sz w:val="24"/>
                  <w:szCs w:val="24"/>
                  <w:lang w:eastAsia="lv-LV"/>
                </w:rPr>
                <w:t>https://em.gov.lv/lv/par_ministriju/sabiedribas_lidzdaliba/diskusijai_nodotie_dokumenti/</w:t>
              </w:r>
            </w:hyperlink>
            <w:r w:rsidRPr="008E769D">
              <w:rPr>
                <w:rFonts w:eastAsia="Times New Roman" w:cs="Times New Roman"/>
                <w:sz w:val="24"/>
                <w:szCs w:val="24"/>
                <w:lang w:eastAsia="lv-LV"/>
              </w:rPr>
              <w:t xml:space="preserve"> </w:t>
            </w:r>
          </w:p>
        </w:tc>
      </w:tr>
      <w:tr w:rsidR="00082640" w:rsidRPr="00BB322F" w14:paraId="26BD7BBF" w14:textId="77777777" w:rsidTr="009A4F1D">
        <w:trPr>
          <w:trHeight w:val="372"/>
          <w:tblCellSpacing w:w="15" w:type="dxa"/>
          <w:jc w:val="center"/>
        </w:trPr>
        <w:tc>
          <w:tcPr>
            <w:tcW w:w="138" w:type="pct"/>
            <w:tcBorders>
              <w:top w:val="outset" w:sz="6" w:space="0" w:color="auto"/>
              <w:left w:val="outset" w:sz="6" w:space="0" w:color="auto"/>
              <w:bottom w:val="outset" w:sz="6" w:space="0" w:color="auto"/>
              <w:right w:val="outset" w:sz="6" w:space="0" w:color="auto"/>
            </w:tcBorders>
            <w:hideMark/>
          </w:tcPr>
          <w:p w14:paraId="008A7861" w14:textId="77777777" w:rsidR="00082640" w:rsidRPr="00BB322F" w:rsidRDefault="00082640" w:rsidP="007B0190">
            <w:pPr>
              <w:rPr>
                <w:rFonts w:eastAsia="Times New Roman" w:cs="Times New Roman"/>
                <w:sz w:val="24"/>
                <w:szCs w:val="24"/>
                <w:lang w:eastAsia="lv-LV"/>
              </w:rPr>
            </w:pPr>
            <w:r w:rsidRPr="00BB322F">
              <w:rPr>
                <w:rFonts w:eastAsia="Times New Roman" w:cs="Times New Roman"/>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5B38BFA8" w14:textId="77777777" w:rsidR="00082640" w:rsidRPr="00BB322F" w:rsidRDefault="00082640" w:rsidP="007B0190">
            <w:pPr>
              <w:rPr>
                <w:rFonts w:eastAsia="Times New Roman" w:cs="Times New Roman"/>
                <w:sz w:val="24"/>
                <w:szCs w:val="24"/>
                <w:lang w:eastAsia="lv-LV"/>
              </w:rPr>
            </w:pPr>
            <w:r w:rsidRPr="00BB322F">
              <w:rPr>
                <w:rFonts w:eastAsia="Times New Roman" w:cs="Times New Roman"/>
                <w:sz w:val="24"/>
                <w:szCs w:val="24"/>
                <w:lang w:eastAsia="lv-LV"/>
              </w:rPr>
              <w:t>Sabiedrības līdzdalības rezultāti</w:t>
            </w:r>
          </w:p>
        </w:tc>
        <w:tc>
          <w:tcPr>
            <w:tcW w:w="3480" w:type="pct"/>
            <w:tcBorders>
              <w:top w:val="outset" w:sz="6" w:space="0" w:color="auto"/>
              <w:left w:val="outset" w:sz="6" w:space="0" w:color="auto"/>
              <w:bottom w:val="outset" w:sz="6" w:space="0" w:color="auto"/>
              <w:right w:val="outset" w:sz="6" w:space="0" w:color="auto"/>
            </w:tcBorders>
            <w:hideMark/>
          </w:tcPr>
          <w:p w14:paraId="2B1D867F" w14:textId="6D38F30B" w:rsidR="00082640" w:rsidRPr="00BB322F" w:rsidRDefault="005C0F65" w:rsidP="007B0190">
            <w:pPr>
              <w:rPr>
                <w:rFonts w:eastAsia="Times New Roman" w:cs="Times New Roman"/>
                <w:sz w:val="24"/>
                <w:szCs w:val="24"/>
                <w:lang w:eastAsia="lv-LV"/>
              </w:rPr>
            </w:pPr>
            <w:r>
              <w:rPr>
                <w:rFonts w:eastAsia="Times New Roman" w:cs="Times New Roman"/>
                <w:sz w:val="24"/>
                <w:szCs w:val="24"/>
                <w:lang w:eastAsia="lv-LV"/>
              </w:rPr>
              <w:t xml:space="preserve">Pēc likumprojekta izsludināšanas </w:t>
            </w:r>
            <w:r w:rsidRPr="00BB322F">
              <w:rPr>
                <w:rFonts w:cs="Times New Roman"/>
                <w:iCs/>
                <w:sz w:val="24"/>
                <w:szCs w:val="24"/>
              </w:rPr>
              <w:t>Valsts sekretāru sanāksmē</w:t>
            </w:r>
            <w:r>
              <w:rPr>
                <w:rFonts w:cs="Times New Roman"/>
                <w:iCs/>
                <w:sz w:val="24"/>
                <w:szCs w:val="24"/>
              </w:rPr>
              <w:t xml:space="preserve"> Latvijas Darba devēju konfederācija sniedza atzinumu, iebilstot pret likumprojekta turpmāku virzību, kamēr nav pieņemts Administratīvo pārkāpumu procesa likums (tagad – Administratīvās atbildības likums), kā arī iebilstot par kritērijiem sodu noteikšanai un to apmēru. Turpmākā likumprojekta saskaņošanas gaitā Latvijas Darba devēju konfederācijas paustajam viedoklim </w:t>
            </w:r>
            <w:proofErr w:type="spellStart"/>
            <w:r>
              <w:rPr>
                <w:rFonts w:cs="Times New Roman"/>
                <w:iCs/>
                <w:sz w:val="24"/>
                <w:szCs w:val="24"/>
              </w:rPr>
              <w:t>pivienojās</w:t>
            </w:r>
            <w:proofErr w:type="spellEnd"/>
            <w:r>
              <w:rPr>
                <w:rFonts w:cs="Times New Roman"/>
                <w:iCs/>
                <w:sz w:val="24"/>
                <w:szCs w:val="24"/>
              </w:rPr>
              <w:t xml:space="preserve"> arī biedrības “Latvijas Tirdzniecības un rūpniecības kamera”, “</w:t>
            </w:r>
            <w:r w:rsidRPr="005C0F65">
              <w:rPr>
                <w:rFonts w:cs="Times New Roman"/>
                <w:iCs/>
                <w:sz w:val="24"/>
                <w:szCs w:val="24"/>
              </w:rPr>
              <w:t xml:space="preserve">Latvijas </w:t>
            </w:r>
            <w:r w:rsidR="00C10CFB">
              <w:rPr>
                <w:rFonts w:cs="Times New Roman"/>
                <w:iCs/>
                <w:sz w:val="24"/>
                <w:szCs w:val="24"/>
              </w:rPr>
              <w:t>I</w:t>
            </w:r>
            <w:r w:rsidRPr="005C0F65">
              <w:rPr>
                <w:rFonts w:cs="Times New Roman"/>
                <w:iCs/>
                <w:sz w:val="24"/>
                <w:szCs w:val="24"/>
              </w:rPr>
              <w:t>nformācijas un tehnoloģijas asociācija</w:t>
            </w:r>
            <w:r>
              <w:rPr>
                <w:rFonts w:cs="Times New Roman"/>
                <w:iCs/>
                <w:sz w:val="24"/>
                <w:szCs w:val="24"/>
              </w:rPr>
              <w:t>”</w:t>
            </w:r>
            <w:r w:rsidR="00C10CFB">
              <w:rPr>
                <w:rFonts w:cs="Times New Roman"/>
                <w:iCs/>
                <w:sz w:val="24"/>
                <w:szCs w:val="24"/>
              </w:rPr>
              <w:t>, “Latvijas Interneta asociācija”. Minēto biedrību iebildumi un viedokļi ir ņemti vērā, saskaņojot risinājumus vairākās starpinstitūciju sanāksmēs un elektroniskās saskaņošanas laikā, attiecīgi veicot precizējumus likumprojektā un tā anotācijā.</w:t>
            </w:r>
          </w:p>
        </w:tc>
      </w:tr>
      <w:tr w:rsidR="00082640" w:rsidRPr="00BB322F" w14:paraId="74A14A2B" w14:textId="77777777" w:rsidTr="009A4F1D">
        <w:trPr>
          <w:trHeight w:val="372"/>
          <w:tblCellSpacing w:w="15" w:type="dxa"/>
          <w:jc w:val="center"/>
        </w:trPr>
        <w:tc>
          <w:tcPr>
            <w:tcW w:w="138" w:type="pct"/>
            <w:tcBorders>
              <w:top w:val="outset" w:sz="6" w:space="0" w:color="auto"/>
              <w:left w:val="outset" w:sz="6" w:space="0" w:color="auto"/>
              <w:bottom w:val="outset" w:sz="6" w:space="0" w:color="auto"/>
              <w:right w:val="outset" w:sz="6" w:space="0" w:color="auto"/>
            </w:tcBorders>
            <w:hideMark/>
          </w:tcPr>
          <w:p w14:paraId="4E411E69" w14:textId="77777777" w:rsidR="00082640" w:rsidRPr="00BB322F" w:rsidRDefault="00082640" w:rsidP="007B0190">
            <w:pPr>
              <w:rPr>
                <w:rFonts w:eastAsia="Times New Roman" w:cs="Times New Roman"/>
                <w:sz w:val="24"/>
                <w:szCs w:val="24"/>
                <w:lang w:eastAsia="lv-LV"/>
              </w:rPr>
            </w:pPr>
            <w:r w:rsidRPr="00BB322F">
              <w:rPr>
                <w:rFonts w:eastAsia="Times New Roman" w:cs="Times New Roman"/>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33387BAF" w14:textId="77777777" w:rsidR="00082640" w:rsidRPr="00BB322F" w:rsidRDefault="00082640" w:rsidP="007B0190">
            <w:pPr>
              <w:rPr>
                <w:rFonts w:eastAsia="Times New Roman" w:cs="Times New Roman"/>
                <w:sz w:val="24"/>
                <w:szCs w:val="24"/>
                <w:lang w:eastAsia="lv-LV"/>
              </w:rPr>
            </w:pPr>
            <w:r w:rsidRPr="00BB322F">
              <w:rPr>
                <w:rFonts w:eastAsia="Times New Roman" w:cs="Times New Roman"/>
                <w:sz w:val="24"/>
                <w:szCs w:val="24"/>
                <w:lang w:eastAsia="lv-LV"/>
              </w:rPr>
              <w:t>Cita informācija</w:t>
            </w:r>
          </w:p>
        </w:tc>
        <w:tc>
          <w:tcPr>
            <w:tcW w:w="3480" w:type="pct"/>
            <w:tcBorders>
              <w:top w:val="outset" w:sz="6" w:space="0" w:color="auto"/>
              <w:left w:val="outset" w:sz="6" w:space="0" w:color="auto"/>
              <w:bottom w:val="outset" w:sz="6" w:space="0" w:color="auto"/>
              <w:right w:val="outset" w:sz="6" w:space="0" w:color="auto"/>
            </w:tcBorders>
            <w:hideMark/>
          </w:tcPr>
          <w:p w14:paraId="18EDC4BD" w14:textId="77777777" w:rsidR="00082640" w:rsidRPr="00BB322F" w:rsidRDefault="00082640" w:rsidP="007B0190">
            <w:pPr>
              <w:rPr>
                <w:rFonts w:eastAsia="Times New Roman" w:cs="Times New Roman"/>
                <w:sz w:val="24"/>
                <w:szCs w:val="24"/>
                <w:lang w:eastAsia="lv-LV"/>
              </w:rPr>
            </w:pPr>
            <w:r w:rsidRPr="00BB322F">
              <w:rPr>
                <w:rFonts w:eastAsia="Times New Roman" w:cs="Times New Roman"/>
                <w:sz w:val="24"/>
                <w:szCs w:val="24"/>
                <w:lang w:eastAsia="lv-LV"/>
              </w:rPr>
              <w:t>Nav</w:t>
            </w:r>
          </w:p>
        </w:tc>
      </w:tr>
    </w:tbl>
    <w:p w14:paraId="6AA746B5" w14:textId="46DAAD79" w:rsidR="00082640" w:rsidRDefault="00082640" w:rsidP="007B0190">
      <w:pPr>
        <w:rPr>
          <w:rFonts w:eastAsia="Times New Roman" w:cs="Times New Roman"/>
          <w:sz w:val="24"/>
          <w:szCs w:val="24"/>
          <w:lang w:eastAsia="lv-LV"/>
        </w:rPr>
      </w:pPr>
      <w:r w:rsidRPr="00BB322F">
        <w:rPr>
          <w:rFonts w:eastAsia="Times New Roman" w:cs="Times New Roman"/>
          <w:sz w:val="24"/>
          <w:szCs w:val="24"/>
          <w:lang w:eastAsia="lv-LV"/>
        </w:rPr>
        <w:t> </w:t>
      </w:r>
    </w:p>
    <w:p w14:paraId="4E3DE714" w14:textId="77777777" w:rsidR="00790A5E" w:rsidRPr="00BB322F" w:rsidRDefault="00790A5E" w:rsidP="007B0190">
      <w:pPr>
        <w:rPr>
          <w:rFonts w:eastAsia="Times New Roman" w:cs="Times New Roman"/>
          <w:sz w:val="24"/>
          <w:szCs w:val="24"/>
          <w:lang w:eastAsia="lv-LV"/>
        </w:rPr>
      </w:pPr>
      <w:bookmarkStart w:id="8" w:name="_GoBack"/>
      <w:bookmarkEnd w:id="8"/>
    </w:p>
    <w:tbl>
      <w:tblPr>
        <w:tblW w:w="5083"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1"/>
        <w:gridCol w:w="3402"/>
        <w:gridCol w:w="5312"/>
      </w:tblGrid>
      <w:tr w:rsidR="00082640" w:rsidRPr="00BB322F" w14:paraId="6362C1AD" w14:textId="77777777" w:rsidTr="002D0B96">
        <w:trPr>
          <w:trHeight w:val="300"/>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E508DF5" w14:textId="77777777" w:rsidR="00082640" w:rsidRPr="00BB322F" w:rsidRDefault="00082640" w:rsidP="007B0190">
            <w:pPr>
              <w:jc w:val="center"/>
              <w:rPr>
                <w:rFonts w:eastAsia="Times New Roman" w:cs="Times New Roman"/>
                <w:b/>
                <w:bCs/>
                <w:sz w:val="24"/>
                <w:szCs w:val="24"/>
                <w:lang w:eastAsia="lv-LV"/>
              </w:rPr>
            </w:pPr>
            <w:r w:rsidRPr="00BB322F">
              <w:rPr>
                <w:rFonts w:eastAsia="Times New Roman" w:cs="Times New Roman"/>
                <w:b/>
                <w:bCs/>
                <w:sz w:val="24"/>
                <w:szCs w:val="24"/>
                <w:lang w:eastAsia="lv-LV"/>
              </w:rPr>
              <w:t>VII. Tiesību akta projekta izpildes nodrošināšana un tās ietekme uz institūcijām</w:t>
            </w:r>
          </w:p>
        </w:tc>
      </w:tr>
      <w:tr w:rsidR="00082640" w:rsidRPr="00BB322F" w14:paraId="17B54CD3" w14:textId="77777777" w:rsidTr="002D0B96">
        <w:trPr>
          <w:trHeight w:val="336"/>
          <w:tblCellSpacing w:w="15" w:type="dxa"/>
          <w:jc w:val="center"/>
        </w:trPr>
        <w:tc>
          <w:tcPr>
            <w:tcW w:w="243" w:type="pct"/>
            <w:tcBorders>
              <w:top w:val="outset" w:sz="6" w:space="0" w:color="auto"/>
              <w:left w:val="outset" w:sz="6" w:space="0" w:color="auto"/>
              <w:bottom w:val="outset" w:sz="6" w:space="0" w:color="auto"/>
              <w:right w:val="outset" w:sz="6" w:space="0" w:color="auto"/>
            </w:tcBorders>
            <w:hideMark/>
          </w:tcPr>
          <w:p w14:paraId="5EACE33C" w14:textId="77777777" w:rsidR="00082640" w:rsidRPr="00BB322F" w:rsidRDefault="00082640" w:rsidP="007B0190">
            <w:pPr>
              <w:rPr>
                <w:rFonts w:eastAsia="Times New Roman" w:cs="Times New Roman"/>
                <w:sz w:val="24"/>
                <w:szCs w:val="24"/>
                <w:lang w:eastAsia="lv-LV"/>
              </w:rPr>
            </w:pPr>
            <w:r w:rsidRPr="00BB322F">
              <w:rPr>
                <w:rFonts w:eastAsia="Times New Roman" w:cs="Times New Roman"/>
                <w:sz w:val="24"/>
                <w:szCs w:val="24"/>
                <w:lang w:eastAsia="lv-LV"/>
              </w:rPr>
              <w:t>1.</w:t>
            </w:r>
          </w:p>
        </w:tc>
        <w:tc>
          <w:tcPr>
            <w:tcW w:w="1844" w:type="pct"/>
            <w:tcBorders>
              <w:top w:val="outset" w:sz="6" w:space="0" w:color="auto"/>
              <w:left w:val="outset" w:sz="6" w:space="0" w:color="auto"/>
              <w:bottom w:val="outset" w:sz="6" w:space="0" w:color="auto"/>
              <w:right w:val="outset" w:sz="6" w:space="0" w:color="auto"/>
            </w:tcBorders>
            <w:hideMark/>
          </w:tcPr>
          <w:p w14:paraId="29966963" w14:textId="77777777" w:rsidR="00082640" w:rsidRPr="00BB322F" w:rsidRDefault="00082640" w:rsidP="007B0190">
            <w:pPr>
              <w:rPr>
                <w:rFonts w:eastAsia="Times New Roman" w:cs="Times New Roman"/>
                <w:sz w:val="24"/>
                <w:szCs w:val="24"/>
                <w:lang w:eastAsia="lv-LV"/>
              </w:rPr>
            </w:pPr>
            <w:r w:rsidRPr="00BB322F">
              <w:rPr>
                <w:rFonts w:eastAsia="Times New Roman" w:cs="Times New Roman"/>
                <w:sz w:val="24"/>
                <w:szCs w:val="24"/>
                <w:lang w:eastAsia="lv-LV"/>
              </w:rPr>
              <w:t>Projekta izpildē iesaistītās institūcijas</w:t>
            </w:r>
          </w:p>
        </w:tc>
        <w:tc>
          <w:tcPr>
            <w:tcW w:w="2848" w:type="pct"/>
            <w:tcBorders>
              <w:top w:val="outset" w:sz="6" w:space="0" w:color="auto"/>
              <w:left w:val="outset" w:sz="6" w:space="0" w:color="auto"/>
              <w:bottom w:val="outset" w:sz="6" w:space="0" w:color="auto"/>
              <w:right w:val="outset" w:sz="6" w:space="0" w:color="auto"/>
            </w:tcBorders>
            <w:hideMark/>
          </w:tcPr>
          <w:p w14:paraId="0A55C6B9" w14:textId="77777777" w:rsidR="00082640" w:rsidRPr="00BB322F" w:rsidRDefault="00082640" w:rsidP="007B0190">
            <w:pPr>
              <w:rPr>
                <w:rFonts w:eastAsia="Times New Roman" w:cs="Times New Roman"/>
                <w:sz w:val="24"/>
                <w:szCs w:val="24"/>
                <w:lang w:eastAsia="lv-LV"/>
              </w:rPr>
            </w:pPr>
            <w:r w:rsidRPr="00BB322F">
              <w:rPr>
                <w:rFonts w:eastAsia="Times New Roman" w:cs="Times New Roman"/>
                <w:bCs/>
                <w:sz w:val="24"/>
                <w:szCs w:val="24"/>
                <w:lang w:eastAsia="lv-LV"/>
              </w:rPr>
              <w:t xml:space="preserve">Projekta izpildi nodrošina </w:t>
            </w:r>
            <w:r w:rsidR="00DB7065" w:rsidRPr="00BB322F">
              <w:rPr>
                <w:rFonts w:eastAsia="Times New Roman" w:cs="Times New Roman"/>
                <w:bCs/>
                <w:sz w:val="24"/>
                <w:szCs w:val="24"/>
                <w:lang w:eastAsia="lv-LV"/>
              </w:rPr>
              <w:t>Sabiedrisko pakalpojumu regulēšanas komisija.</w:t>
            </w:r>
          </w:p>
        </w:tc>
      </w:tr>
      <w:tr w:rsidR="00082640" w:rsidRPr="00BB322F" w14:paraId="752336C2" w14:textId="77777777" w:rsidTr="002D0B96">
        <w:trPr>
          <w:trHeight w:val="360"/>
          <w:tblCellSpacing w:w="15" w:type="dxa"/>
          <w:jc w:val="center"/>
        </w:trPr>
        <w:tc>
          <w:tcPr>
            <w:tcW w:w="243" w:type="pct"/>
            <w:tcBorders>
              <w:top w:val="outset" w:sz="6" w:space="0" w:color="auto"/>
              <w:left w:val="outset" w:sz="6" w:space="0" w:color="auto"/>
              <w:bottom w:val="outset" w:sz="6" w:space="0" w:color="auto"/>
              <w:right w:val="outset" w:sz="6" w:space="0" w:color="auto"/>
            </w:tcBorders>
            <w:hideMark/>
          </w:tcPr>
          <w:p w14:paraId="2150F52C" w14:textId="77777777" w:rsidR="00082640" w:rsidRPr="00BB322F" w:rsidRDefault="00082640" w:rsidP="007B0190">
            <w:pPr>
              <w:rPr>
                <w:rFonts w:eastAsia="Times New Roman" w:cs="Times New Roman"/>
                <w:sz w:val="24"/>
                <w:szCs w:val="24"/>
                <w:lang w:eastAsia="lv-LV"/>
              </w:rPr>
            </w:pPr>
            <w:r w:rsidRPr="00BB322F">
              <w:rPr>
                <w:rFonts w:eastAsia="Times New Roman" w:cs="Times New Roman"/>
                <w:sz w:val="24"/>
                <w:szCs w:val="24"/>
                <w:lang w:eastAsia="lv-LV"/>
              </w:rPr>
              <w:t>2.</w:t>
            </w:r>
          </w:p>
        </w:tc>
        <w:tc>
          <w:tcPr>
            <w:tcW w:w="1844" w:type="pct"/>
            <w:tcBorders>
              <w:top w:val="outset" w:sz="6" w:space="0" w:color="auto"/>
              <w:left w:val="outset" w:sz="6" w:space="0" w:color="auto"/>
              <w:bottom w:val="outset" w:sz="6" w:space="0" w:color="auto"/>
              <w:right w:val="outset" w:sz="6" w:space="0" w:color="auto"/>
            </w:tcBorders>
            <w:hideMark/>
          </w:tcPr>
          <w:p w14:paraId="39DA6D81" w14:textId="77777777" w:rsidR="00082640" w:rsidRPr="00BB322F" w:rsidRDefault="00082640" w:rsidP="007B0190">
            <w:pPr>
              <w:rPr>
                <w:rFonts w:eastAsia="Times New Roman" w:cs="Times New Roman"/>
                <w:sz w:val="24"/>
                <w:szCs w:val="24"/>
                <w:lang w:eastAsia="lv-LV"/>
              </w:rPr>
            </w:pPr>
            <w:r w:rsidRPr="00BB322F">
              <w:rPr>
                <w:rFonts w:eastAsia="Times New Roman" w:cs="Times New Roman"/>
                <w:sz w:val="24"/>
                <w:szCs w:val="24"/>
                <w:lang w:eastAsia="lv-LV"/>
              </w:rPr>
              <w:t xml:space="preserve">Projekta izpildes ietekme uz pārvaldes funkcijām un institucionālo struktūru. </w:t>
            </w:r>
          </w:p>
          <w:p w14:paraId="0BA7C383" w14:textId="77777777" w:rsidR="00082640" w:rsidRPr="00BB322F" w:rsidRDefault="00082640" w:rsidP="007B0190">
            <w:pPr>
              <w:rPr>
                <w:rFonts w:eastAsia="Times New Roman" w:cs="Times New Roman"/>
                <w:sz w:val="24"/>
                <w:szCs w:val="24"/>
                <w:lang w:eastAsia="lv-LV"/>
              </w:rPr>
            </w:pPr>
          </w:p>
          <w:p w14:paraId="3E041D4E" w14:textId="77777777" w:rsidR="00082640" w:rsidRPr="00BB322F" w:rsidRDefault="00082640" w:rsidP="007B0190">
            <w:pPr>
              <w:rPr>
                <w:rFonts w:eastAsia="Times New Roman" w:cs="Times New Roman"/>
                <w:sz w:val="24"/>
                <w:szCs w:val="24"/>
                <w:lang w:eastAsia="lv-LV"/>
              </w:rPr>
            </w:pPr>
            <w:r w:rsidRPr="00BB322F">
              <w:rPr>
                <w:rFonts w:eastAsia="Times New Roman" w:cs="Times New Roman"/>
                <w:sz w:val="24"/>
                <w:szCs w:val="24"/>
                <w:lang w:eastAsia="lv-LV"/>
              </w:rPr>
              <w:t xml:space="preserve">Jaunu institūciju izveide, esošu institūciju likvidācija vai </w:t>
            </w:r>
            <w:r w:rsidRPr="00BB322F">
              <w:rPr>
                <w:rFonts w:eastAsia="Times New Roman" w:cs="Times New Roman"/>
                <w:sz w:val="24"/>
                <w:szCs w:val="24"/>
                <w:lang w:eastAsia="lv-LV"/>
              </w:rPr>
              <w:lastRenderedPageBreak/>
              <w:t>reorganizācija, to ietekme uz institūcijas cilvēkresursiem</w:t>
            </w:r>
          </w:p>
        </w:tc>
        <w:tc>
          <w:tcPr>
            <w:tcW w:w="2848" w:type="pct"/>
            <w:tcBorders>
              <w:top w:val="outset" w:sz="6" w:space="0" w:color="auto"/>
              <w:left w:val="outset" w:sz="6" w:space="0" w:color="auto"/>
              <w:bottom w:val="outset" w:sz="6" w:space="0" w:color="auto"/>
              <w:right w:val="outset" w:sz="6" w:space="0" w:color="auto"/>
            </w:tcBorders>
            <w:hideMark/>
          </w:tcPr>
          <w:p w14:paraId="3EE51353" w14:textId="77777777" w:rsidR="00082640" w:rsidRPr="00BB322F" w:rsidRDefault="00082640" w:rsidP="007B0190">
            <w:pPr>
              <w:rPr>
                <w:rFonts w:eastAsia="Times New Roman" w:cs="Times New Roman"/>
                <w:sz w:val="24"/>
                <w:szCs w:val="24"/>
                <w:lang w:eastAsia="lv-LV"/>
              </w:rPr>
            </w:pPr>
            <w:r w:rsidRPr="00BB322F">
              <w:rPr>
                <w:rFonts w:eastAsia="Times New Roman" w:cs="Times New Roman"/>
                <w:bCs/>
                <w:sz w:val="24"/>
                <w:szCs w:val="24"/>
                <w:lang w:eastAsia="lv-LV"/>
              </w:rPr>
              <w:lastRenderedPageBreak/>
              <w:t>Pārvaldes funkcijas nemainās. Projekts neparedz veidot jaunas valsts institūcijas.</w:t>
            </w:r>
          </w:p>
        </w:tc>
      </w:tr>
      <w:tr w:rsidR="00082640" w:rsidRPr="00BB322F" w14:paraId="462CB185" w14:textId="77777777" w:rsidTr="002D0B96">
        <w:trPr>
          <w:trHeight w:val="312"/>
          <w:tblCellSpacing w:w="15" w:type="dxa"/>
          <w:jc w:val="center"/>
        </w:trPr>
        <w:tc>
          <w:tcPr>
            <w:tcW w:w="243" w:type="pct"/>
            <w:tcBorders>
              <w:top w:val="outset" w:sz="6" w:space="0" w:color="auto"/>
              <w:left w:val="outset" w:sz="6" w:space="0" w:color="auto"/>
              <w:bottom w:val="outset" w:sz="6" w:space="0" w:color="auto"/>
              <w:right w:val="outset" w:sz="6" w:space="0" w:color="auto"/>
            </w:tcBorders>
            <w:hideMark/>
          </w:tcPr>
          <w:p w14:paraId="62F8A7FC" w14:textId="77777777" w:rsidR="00082640" w:rsidRPr="00BB322F" w:rsidRDefault="00082640" w:rsidP="007B0190">
            <w:pPr>
              <w:rPr>
                <w:rFonts w:eastAsia="Times New Roman" w:cs="Times New Roman"/>
                <w:sz w:val="24"/>
                <w:szCs w:val="24"/>
                <w:lang w:eastAsia="lv-LV"/>
              </w:rPr>
            </w:pPr>
            <w:r w:rsidRPr="00BB322F">
              <w:rPr>
                <w:rFonts w:eastAsia="Times New Roman" w:cs="Times New Roman"/>
                <w:sz w:val="24"/>
                <w:szCs w:val="24"/>
                <w:lang w:eastAsia="lv-LV"/>
              </w:rPr>
              <w:t>3.</w:t>
            </w:r>
          </w:p>
        </w:tc>
        <w:tc>
          <w:tcPr>
            <w:tcW w:w="1844" w:type="pct"/>
            <w:tcBorders>
              <w:top w:val="outset" w:sz="6" w:space="0" w:color="auto"/>
              <w:left w:val="outset" w:sz="6" w:space="0" w:color="auto"/>
              <w:bottom w:val="outset" w:sz="6" w:space="0" w:color="auto"/>
              <w:right w:val="outset" w:sz="6" w:space="0" w:color="auto"/>
            </w:tcBorders>
            <w:hideMark/>
          </w:tcPr>
          <w:p w14:paraId="785163F5" w14:textId="77777777" w:rsidR="00082640" w:rsidRPr="00BB322F" w:rsidRDefault="00082640" w:rsidP="007B0190">
            <w:pPr>
              <w:rPr>
                <w:rFonts w:eastAsia="Times New Roman" w:cs="Times New Roman"/>
                <w:sz w:val="24"/>
                <w:szCs w:val="24"/>
                <w:lang w:eastAsia="lv-LV"/>
              </w:rPr>
            </w:pPr>
            <w:r w:rsidRPr="00BB322F">
              <w:rPr>
                <w:rFonts w:eastAsia="Times New Roman" w:cs="Times New Roman"/>
                <w:sz w:val="24"/>
                <w:szCs w:val="24"/>
                <w:lang w:eastAsia="lv-LV"/>
              </w:rPr>
              <w:t>Cita informācija</w:t>
            </w:r>
          </w:p>
        </w:tc>
        <w:tc>
          <w:tcPr>
            <w:tcW w:w="2848" w:type="pct"/>
            <w:tcBorders>
              <w:top w:val="outset" w:sz="6" w:space="0" w:color="auto"/>
              <w:left w:val="outset" w:sz="6" w:space="0" w:color="auto"/>
              <w:bottom w:val="outset" w:sz="6" w:space="0" w:color="auto"/>
              <w:right w:val="outset" w:sz="6" w:space="0" w:color="auto"/>
            </w:tcBorders>
            <w:hideMark/>
          </w:tcPr>
          <w:p w14:paraId="6574A00B" w14:textId="77777777" w:rsidR="00082640" w:rsidRPr="00BB322F" w:rsidRDefault="00082640" w:rsidP="007B0190">
            <w:pPr>
              <w:rPr>
                <w:rFonts w:eastAsia="Times New Roman" w:cs="Times New Roman"/>
                <w:sz w:val="24"/>
                <w:szCs w:val="24"/>
                <w:lang w:eastAsia="lv-LV"/>
              </w:rPr>
            </w:pPr>
            <w:r w:rsidRPr="00BB322F">
              <w:rPr>
                <w:rFonts w:eastAsia="Times New Roman" w:cs="Times New Roman"/>
                <w:sz w:val="24"/>
                <w:szCs w:val="24"/>
                <w:lang w:eastAsia="lv-LV"/>
              </w:rPr>
              <w:t>Nav</w:t>
            </w:r>
          </w:p>
        </w:tc>
      </w:tr>
    </w:tbl>
    <w:p w14:paraId="3BA307E5" w14:textId="77777777" w:rsidR="00082640" w:rsidRPr="00BB322F" w:rsidRDefault="00082640" w:rsidP="007B0190">
      <w:pPr>
        <w:rPr>
          <w:rFonts w:eastAsia="Times New Roman" w:cs="Times New Roman"/>
          <w:color w:val="000000"/>
          <w:sz w:val="23"/>
          <w:szCs w:val="23"/>
          <w:lang w:eastAsia="lv-LV"/>
        </w:rPr>
      </w:pPr>
    </w:p>
    <w:p w14:paraId="7872A817" w14:textId="77777777" w:rsidR="00E73D73" w:rsidRPr="00BB322F" w:rsidRDefault="00E73D73" w:rsidP="007B0190">
      <w:pPr>
        <w:rPr>
          <w:rFonts w:eastAsia="Times New Roman" w:cs="Times New Roman"/>
          <w:color w:val="000000"/>
          <w:sz w:val="23"/>
          <w:szCs w:val="23"/>
          <w:lang w:eastAsia="lv-LV"/>
        </w:rPr>
      </w:pPr>
    </w:p>
    <w:p w14:paraId="7118717D" w14:textId="7B8C85F8" w:rsidR="00272DCE" w:rsidRPr="00BB322F" w:rsidRDefault="00140043" w:rsidP="00272DCE">
      <w:pPr>
        <w:tabs>
          <w:tab w:val="right" w:pos="8080"/>
        </w:tabs>
        <w:jc w:val="both"/>
        <w:rPr>
          <w:rFonts w:cs="Times New Roman"/>
          <w:sz w:val="24"/>
          <w:szCs w:val="24"/>
        </w:rPr>
      </w:pPr>
      <w:r>
        <w:rPr>
          <w:rFonts w:cs="Times New Roman"/>
          <w:sz w:val="24"/>
          <w:szCs w:val="24"/>
        </w:rPr>
        <w:t>E</w:t>
      </w:r>
      <w:r w:rsidR="00272DCE" w:rsidRPr="00BB322F">
        <w:rPr>
          <w:rFonts w:cs="Times New Roman"/>
          <w:sz w:val="24"/>
          <w:szCs w:val="24"/>
        </w:rPr>
        <w:t>konomikas ministrs</w:t>
      </w:r>
      <w:r w:rsidR="00272DCE" w:rsidRPr="00BB322F">
        <w:rPr>
          <w:rFonts w:cs="Times New Roman"/>
          <w:sz w:val="24"/>
          <w:szCs w:val="24"/>
        </w:rPr>
        <w:tab/>
      </w:r>
      <w:r>
        <w:rPr>
          <w:rFonts w:cs="Times New Roman"/>
          <w:sz w:val="24"/>
          <w:szCs w:val="24"/>
        </w:rPr>
        <w:t>R</w:t>
      </w:r>
      <w:r w:rsidR="00272DCE" w:rsidRPr="00BB322F">
        <w:rPr>
          <w:rFonts w:cs="Times New Roman"/>
          <w:sz w:val="24"/>
          <w:szCs w:val="24"/>
        </w:rPr>
        <w:t xml:space="preserve">. </w:t>
      </w:r>
      <w:proofErr w:type="spellStart"/>
      <w:r>
        <w:rPr>
          <w:rFonts w:cs="Times New Roman"/>
          <w:sz w:val="24"/>
          <w:szCs w:val="24"/>
        </w:rPr>
        <w:t>Nemiro</w:t>
      </w:r>
      <w:proofErr w:type="spellEnd"/>
      <w:r w:rsidRPr="00BB322F">
        <w:rPr>
          <w:rFonts w:cs="Times New Roman"/>
          <w:sz w:val="24"/>
          <w:szCs w:val="24"/>
        </w:rPr>
        <w:t xml:space="preserve">       </w:t>
      </w:r>
    </w:p>
    <w:p w14:paraId="51C6C40B" w14:textId="77777777" w:rsidR="00272DCE" w:rsidRPr="00BB322F" w:rsidRDefault="00272DCE" w:rsidP="00272DCE">
      <w:pPr>
        <w:tabs>
          <w:tab w:val="right" w:pos="8080"/>
        </w:tabs>
        <w:jc w:val="both"/>
        <w:rPr>
          <w:rFonts w:cs="Times New Roman"/>
          <w:sz w:val="24"/>
          <w:szCs w:val="24"/>
        </w:rPr>
      </w:pPr>
    </w:p>
    <w:p w14:paraId="515BA8BF" w14:textId="77777777" w:rsidR="00E73D73" w:rsidRPr="00BB322F" w:rsidRDefault="00E73D73" w:rsidP="00E73D73">
      <w:pPr>
        <w:jc w:val="both"/>
        <w:rPr>
          <w:rFonts w:cs="Times New Roman"/>
          <w:sz w:val="24"/>
          <w:szCs w:val="24"/>
        </w:rPr>
      </w:pPr>
      <w:r w:rsidRPr="00BB322F">
        <w:rPr>
          <w:rFonts w:cs="Times New Roman"/>
          <w:sz w:val="24"/>
          <w:szCs w:val="24"/>
        </w:rPr>
        <w:t>Iesniedzējs:</w:t>
      </w:r>
    </w:p>
    <w:p w14:paraId="44657D8E" w14:textId="4C6CAF12" w:rsidR="00272DCE" w:rsidRPr="00BB322F" w:rsidRDefault="006D4338" w:rsidP="006D4338">
      <w:pPr>
        <w:tabs>
          <w:tab w:val="right" w:pos="8080"/>
        </w:tabs>
        <w:jc w:val="both"/>
        <w:rPr>
          <w:rFonts w:cs="Times New Roman"/>
          <w:sz w:val="24"/>
          <w:szCs w:val="24"/>
        </w:rPr>
      </w:pPr>
      <w:r w:rsidRPr="00BB322F">
        <w:rPr>
          <w:rFonts w:cs="Times New Roman"/>
          <w:sz w:val="24"/>
          <w:szCs w:val="24"/>
        </w:rPr>
        <w:t>valsts sekretārs</w:t>
      </w:r>
      <w:r w:rsidRPr="00BB322F">
        <w:rPr>
          <w:rFonts w:cs="Times New Roman"/>
          <w:sz w:val="24"/>
          <w:szCs w:val="24"/>
        </w:rPr>
        <w:tab/>
      </w:r>
      <w:r w:rsidR="00C333FE">
        <w:rPr>
          <w:rFonts w:cs="Times New Roman"/>
          <w:sz w:val="24"/>
          <w:szCs w:val="24"/>
        </w:rPr>
        <w:t>Ē</w:t>
      </w:r>
      <w:r w:rsidRPr="00BB322F">
        <w:rPr>
          <w:rFonts w:cs="Times New Roman"/>
          <w:sz w:val="24"/>
          <w:szCs w:val="24"/>
        </w:rPr>
        <w:t xml:space="preserve">. </w:t>
      </w:r>
      <w:r w:rsidR="00C333FE">
        <w:rPr>
          <w:rFonts w:cs="Times New Roman"/>
          <w:sz w:val="24"/>
          <w:szCs w:val="24"/>
        </w:rPr>
        <w:t>Eglītis</w:t>
      </w:r>
    </w:p>
    <w:p w14:paraId="048E8615" w14:textId="77777777" w:rsidR="00272DCE" w:rsidRPr="00BB322F" w:rsidRDefault="00272DCE" w:rsidP="00272DCE">
      <w:pPr>
        <w:rPr>
          <w:rFonts w:cs="Times New Roman"/>
          <w:sz w:val="23"/>
          <w:szCs w:val="23"/>
        </w:rPr>
      </w:pPr>
    </w:p>
    <w:p w14:paraId="3DA7EBF8" w14:textId="0AA9883D" w:rsidR="00272DCE" w:rsidRPr="00BB322F" w:rsidRDefault="005F4390" w:rsidP="00272DCE">
      <w:pPr>
        <w:rPr>
          <w:rFonts w:cs="Times New Roman"/>
          <w:sz w:val="20"/>
          <w:szCs w:val="20"/>
        </w:rPr>
      </w:pPr>
      <w:r>
        <w:rPr>
          <w:rFonts w:cs="Times New Roman"/>
          <w:sz w:val="20"/>
          <w:szCs w:val="20"/>
        </w:rPr>
        <w:t>J. Bulāns</w:t>
      </w:r>
    </w:p>
    <w:p w14:paraId="6E146148" w14:textId="3561F966" w:rsidR="006D4338" w:rsidRPr="00BB322F" w:rsidRDefault="00272DCE" w:rsidP="00272DCE">
      <w:pPr>
        <w:rPr>
          <w:rFonts w:cs="Times New Roman"/>
          <w:sz w:val="20"/>
          <w:szCs w:val="20"/>
        </w:rPr>
      </w:pPr>
      <w:r w:rsidRPr="00BB322F">
        <w:rPr>
          <w:rFonts w:cs="Times New Roman"/>
          <w:sz w:val="20"/>
          <w:szCs w:val="20"/>
        </w:rPr>
        <w:t>67013</w:t>
      </w:r>
      <w:r w:rsidR="005F4390">
        <w:rPr>
          <w:rFonts w:cs="Times New Roman"/>
          <w:sz w:val="20"/>
          <w:szCs w:val="20"/>
        </w:rPr>
        <w:t>156</w:t>
      </w:r>
      <w:r w:rsidRPr="00BB322F">
        <w:rPr>
          <w:rFonts w:cs="Times New Roman"/>
          <w:sz w:val="20"/>
          <w:szCs w:val="20"/>
        </w:rPr>
        <w:t xml:space="preserve">; </w:t>
      </w:r>
      <w:hyperlink r:id="rId9" w:history="1">
        <w:r w:rsidR="005F4390" w:rsidRPr="000243C9">
          <w:rPr>
            <w:rStyle w:val="Hyperlink"/>
            <w:rFonts w:cs="Times New Roman"/>
            <w:sz w:val="20"/>
            <w:szCs w:val="20"/>
          </w:rPr>
          <w:t>Juris.Bulans@em.gov.lv</w:t>
        </w:r>
      </w:hyperlink>
      <w:r w:rsidR="002810F1" w:rsidRPr="00BB322F">
        <w:rPr>
          <w:rFonts w:cs="Times New Roman"/>
          <w:sz w:val="20"/>
          <w:szCs w:val="20"/>
        </w:rPr>
        <w:t xml:space="preserve"> </w:t>
      </w:r>
    </w:p>
    <w:p w14:paraId="1EE4FF58" w14:textId="77777777" w:rsidR="00082640" w:rsidRPr="00EF034B" w:rsidRDefault="00082640" w:rsidP="007B0190">
      <w:pPr>
        <w:suppressAutoHyphens/>
        <w:rPr>
          <w:rFonts w:eastAsia="Times New Roman" w:cs="Times New Roman"/>
          <w:sz w:val="20"/>
          <w:szCs w:val="20"/>
          <w:lang w:eastAsia="lv-LV"/>
        </w:rPr>
      </w:pPr>
    </w:p>
    <w:p w14:paraId="522493EE" w14:textId="24DC38E5" w:rsidR="006D4338" w:rsidRPr="00EF034B" w:rsidRDefault="00D556B1" w:rsidP="006D4338">
      <w:pPr>
        <w:rPr>
          <w:rFonts w:cs="Times New Roman"/>
          <w:sz w:val="20"/>
          <w:szCs w:val="20"/>
        </w:rPr>
      </w:pPr>
      <w:bookmarkStart w:id="9" w:name="_Hlk525041972"/>
      <w:r>
        <w:rPr>
          <w:rFonts w:cs="Times New Roman"/>
          <w:sz w:val="20"/>
          <w:szCs w:val="20"/>
        </w:rPr>
        <w:t>V.</w:t>
      </w:r>
      <w:r w:rsidR="005F4390">
        <w:rPr>
          <w:rFonts w:cs="Times New Roman"/>
          <w:sz w:val="20"/>
          <w:szCs w:val="20"/>
        </w:rPr>
        <w:t> </w:t>
      </w:r>
      <w:r>
        <w:rPr>
          <w:rFonts w:cs="Times New Roman"/>
          <w:sz w:val="20"/>
          <w:szCs w:val="20"/>
        </w:rPr>
        <w:t>Grinberga</w:t>
      </w:r>
    </w:p>
    <w:p w14:paraId="604BFDCE" w14:textId="77777777" w:rsidR="006D4338" w:rsidRPr="00BB322F" w:rsidRDefault="006D4338" w:rsidP="006D4338">
      <w:pPr>
        <w:rPr>
          <w:rFonts w:cs="Times New Roman"/>
          <w:sz w:val="20"/>
          <w:szCs w:val="20"/>
        </w:rPr>
      </w:pPr>
      <w:r w:rsidRPr="00823624">
        <w:rPr>
          <w:rFonts w:cs="Times New Roman"/>
          <w:sz w:val="20"/>
          <w:szCs w:val="20"/>
        </w:rPr>
        <w:t>670972</w:t>
      </w:r>
      <w:r w:rsidR="00D556B1">
        <w:rPr>
          <w:rFonts w:cs="Times New Roman"/>
          <w:sz w:val="20"/>
          <w:szCs w:val="20"/>
        </w:rPr>
        <w:t>27</w:t>
      </w:r>
      <w:r w:rsidRPr="00823624">
        <w:rPr>
          <w:rFonts w:cs="Times New Roman"/>
          <w:sz w:val="20"/>
          <w:szCs w:val="20"/>
        </w:rPr>
        <w:t xml:space="preserve">; </w:t>
      </w:r>
      <w:hyperlink r:id="rId10" w:history="1">
        <w:r w:rsidR="00D556B1" w:rsidRPr="0056589F">
          <w:rPr>
            <w:rStyle w:val="Hyperlink"/>
            <w:rFonts w:cs="Times New Roman"/>
            <w:sz w:val="20"/>
            <w:szCs w:val="20"/>
          </w:rPr>
          <w:t>Vita.Grinberga@sprk.gov.lv</w:t>
        </w:r>
      </w:hyperlink>
      <w:bookmarkEnd w:id="9"/>
    </w:p>
    <w:p w14:paraId="5E54BAB3" w14:textId="18A06BBA" w:rsidR="00B84DA6" w:rsidRDefault="00B84DA6" w:rsidP="007B0190">
      <w:pPr>
        <w:rPr>
          <w:rFonts w:cs="Times New Roman"/>
          <w:sz w:val="23"/>
          <w:szCs w:val="23"/>
        </w:rPr>
      </w:pPr>
      <w:bookmarkStart w:id="10" w:name="c"/>
      <w:bookmarkEnd w:id="10"/>
    </w:p>
    <w:p w14:paraId="5D5175A4" w14:textId="191B01D4" w:rsidR="00D571F1" w:rsidRPr="00D571F1" w:rsidRDefault="00D571F1" w:rsidP="00D571F1">
      <w:pPr>
        <w:rPr>
          <w:rFonts w:cs="Times New Roman"/>
          <w:sz w:val="23"/>
          <w:szCs w:val="23"/>
        </w:rPr>
      </w:pPr>
    </w:p>
    <w:p w14:paraId="3C21CF0C" w14:textId="7810DF90" w:rsidR="00D571F1" w:rsidRPr="00D571F1" w:rsidRDefault="00D571F1" w:rsidP="00D571F1">
      <w:pPr>
        <w:rPr>
          <w:rFonts w:cs="Times New Roman"/>
          <w:sz w:val="23"/>
          <w:szCs w:val="23"/>
        </w:rPr>
      </w:pPr>
    </w:p>
    <w:p w14:paraId="3A5DA035" w14:textId="34D7E5B3" w:rsidR="00D571F1" w:rsidRPr="00D571F1" w:rsidRDefault="00D571F1" w:rsidP="00D571F1">
      <w:pPr>
        <w:rPr>
          <w:rFonts w:cs="Times New Roman"/>
          <w:sz w:val="23"/>
          <w:szCs w:val="23"/>
        </w:rPr>
      </w:pPr>
    </w:p>
    <w:p w14:paraId="5993D2B3" w14:textId="17071298" w:rsidR="00D571F1" w:rsidRPr="00D571F1" w:rsidRDefault="00D571F1" w:rsidP="00D571F1">
      <w:pPr>
        <w:rPr>
          <w:rFonts w:cs="Times New Roman"/>
          <w:sz w:val="23"/>
          <w:szCs w:val="23"/>
        </w:rPr>
      </w:pPr>
    </w:p>
    <w:p w14:paraId="05610479" w14:textId="75F552B9" w:rsidR="00D571F1" w:rsidRPr="00D571F1" w:rsidRDefault="00D571F1" w:rsidP="00D571F1">
      <w:pPr>
        <w:rPr>
          <w:rFonts w:cs="Times New Roman"/>
          <w:sz w:val="23"/>
          <w:szCs w:val="23"/>
        </w:rPr>
      </w:pPr>
    </w:p>
    <w:p w14:paraId="5F7368F5" w14:textId="698E729E" w:rsidR="00D571F1" w:rsidRPr="00D571F1" w:rsidRDefault="00D571F1" w:rsidP="00D571F1">
      <w:pPr>
        <w:rPr>
          <w:rFonts w:cs="Times New Roman"/>
          <w:sz w:val="23"/>
          <w:szCs w:val="23"/>
        </w:rPr>
      </w:pPr>
    </w:p>
    <w:p w14:paraId="18CFFBA8" w14:textId="7DF610DA" w:rsidR="00D571F1" w:rsidRPr="00D571F1" w:rsidRDefault="00D571F1" w:rsidP="00D571F1">
      <w:pPr>
        <w:rPr>
          <w:rFonts w:cs="Times New Roman"/>
          <w:sz w:val="23"/>
          <w:szCs w:val="23"/>
        </w:rPr>
      </w:pPr>
    </w:p>
    <w:p w14:paraId="63F17D92" w14:textId="426B25FA" w:rsidR="00D571F1" w:rsidRPr="00D571F1" w:rsidRDefault="00D571F1" w:rsidP="00D571F1">
      <w:pPr>
        <w:tabs>
          <w:tab w:val="left" w:pos="975"/>
        </w:tabs>
        <w:rPr>
          <w:rFonts w:cs="Times New Roman"/>
          <w:sz w:val="23"/>
          <w:szCs w:val="23"/>
        </w:rPr>
      </w:pPr>
      <w:r>
        <w:rPr>
          <w:rFonts w:cs="Times New Roman"/>
          <w:sz w:val="23"/>
          <w:szCs w:val="23"/>
        </w:rPr>
        <w:tab/>
      </w:r>
    </w:p>
    <w:sectPr w:rsidR="00D571F1" w:rsidRPr="00D571F1" w:rsidSect="00E73D73">
      <w:headerReference w:type="default" r:id="rId11"/>
      <w:footerReference w:type="default" r:id="rId12"/>
      <w:footerReference w:type="first" r:id="rId13"/>
      <w:pgSz w:w="11906" w:h="16838"/>
      <w:pgMar w:top="1701"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9AC6C" w14:textId="77777777" w:rsidR="00F82B15" w:rsidRDefault="00F82B15" w:rsidP="00272DCE">
      <w:r>
        <w:separator/>
      </w:r>
    </w:p>
  </w:endnote>
  <w:endnote w:type="continuationSeparator" w:id="0">
    <w:p w14:paraId="76C2EA30" w14:textId="77777777" w:rsidR="00F82B15" w:rsidRDefault="00F82B15" w:rsidP="0027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55A50" w14:textId="6ED8EB95" w:rsidR="00637A76" w:rsidRPr="00790A5E" w:rsidRDefault="00790A5E">
    <w:pPr>
      <w:pStyle w:val="Footer"/>
      <w:rPr>
        <w:sz w:val="20"/>
        <w:szCs w:val="20"/>
      </w:rPr>
    </w:pPr>
    <w:r w:rsidRPr="00790A5E">
      <w:rPr>
        <w:sz w:val="20"/>
        <w:szCs w:val="20"/>
        <w:lang w:eastAsia="lv-LV"/>
      </w:rPr>
      <w:t>EMAnot_160717_reg_APK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7D354" w14:textId="15F9CC58" w:rsidR="007C29F7" w:rsidRPr="00790A5E" w:rsidRDefault="00790A5E" w:rsidP="005F4390">
    <w:pPr>
      <w:jc w:val="both"/>
      <w:rPr>
        <w:sz w:val="20"/>
        <w:szCs w:val="20"/>
      </w:rPr>
    </w:pPr>
    <w:r w:rsidRPr="00790A5E">
      <w:rPr>
        <w:sz w:val="20"/>
        <w:szCs w:val="20"/>
      </w:rPr>
      <w:t>EMAnot_160719_reg_APK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9277C" w14:textId="77777777" w:rsidR="00F82B15" w:rsidRDefault="00F82B15" w:rsidP="00272DCE">
      <w:r>
        <w:separator/>
      </w:r>
    </w:p>
  </w:footnote>
  <w:footnote w:type="continuationSeparator" w:id="0">
    <w:p w14:paraId="219043A7" w14:textId="77777777" w:rsidR="00F82B15" w:rsidRDefault="00F82B15" w:rsidP="00272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99181"/>
      <w:docPartObj>
        <w:docPartGallery w:val="Page Numbers (Top of Page)"/>
        <w:docPartUnique/>
      </w:docPartObj>
    </w:sdtPr>
    <w:sdtEndPr>
      <w:rPr>
        <w:noProof/>
      </w:rPr>
    </w:sdtEndPr>
    <w:sdtContent>
      <w:p w14:paraId="382CE53C" w14:textId="2BA5E040" w:rsidR="007C29F7" w:rsidRDefault="007C29F7">
        <w:pPr>
          <w:pStyle w:val="Header"/>
          <w:jc w:val="right"/>
        </w:pPr>
        <w:r>
          <w:fldChar w:fldCharType="begin"/>
        </w:r>
        <w:r>
          <w:instrText xml:space="preserve"> PAGE   \* MERGEFORMAT </w:instrText>
        </w:r>
        <w:r>
          <w:fldChar w:fldCharType="separate"/>
        </w:r>
        <w:r w:rsidR="00BF271A">
          <w:rPr>
            <w:noProof/>
          </w:rPr>
          <w:t>4</w:t>
        </w:r>
        <w:r>
          <w:rPr>
            <w:noProof/>
          </w:rPr>
          <w:fldChar w:fldCharType="end"/>
        </w:r>
      </w:p>
    </w:sdtContent>
  </w:sdt>
  <w:p w14:paraId="2D630EB5" w14:textId="77777777" w:rsidR="007C29F7" w:rsidRDefault="007C2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3763"/>
    <w:multiLevelType w:val="hybridMultilevel"/>
    <w:tmpl w:val="8CC49C3E"/>
    <w:lvl w:ilvl="0" w:tplc="AD6A4A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7F122B0"/>
    <w:multiLevelType w:val="hybridMultilevel"/>
    <w:tmpl w:val="BFC0D7FC"/>
    <w:lvl w:ilvl="0" w:tplc="04260011">
      <w:start w:val="1"/>
      <w:numFmt w:val="decimal"/>
      <w:lvlText w:val="%1)"/>
      <w:lvlJc w:val="left"/>
      <w:pPr>
        <w:ind w:left="1420" w:hanging="360"/>
      </w:pPr>
    </w:lvl>
    <w:lvl w:ilvl="1" w:tplc="04260019" w:tentative="1">
      <w:start w:val="1"/>
      <w:numFmt w:val="lowerLetter"/>
      <w:lvlText w:val="%2."/>
      <w:lvlJc w:val="left"/>
      <w:pPr>
        <w:ind w:left="2140" w:hanging="360"/>
      </w:pPr>
    </w:lvl>
    <w:lvl w:ilvl="2" w:tplc="0426001B" w:tentative="1">
      <w:start w:val="1"/>
      <w:numFmt w:val="lowerRoman"/>
      <w:lvlText w:val="%3."/>
      <w:lvlJc w:val="right"/>
      <w:pPr>
        <w:ind w:left="2860" w:hanging="180"/>
      </w:pPr>
    </w:lvl>
    <w:lvl w:ilvl="3" w:tplc="0426000F" w:tentative="1">
      <w:start w:val="1"/>
      <w:numFmt w:val="decimal"/>
      <w:lvlText w:val="%4."/>
      <w:lvlJc w:val="left"/>
      <w:pPr>
        <w:ind w:left="3580" w:hanging="360"/>
      </w:pPr>
    </w:lvl>
    <w:lvl w:ilvl="4" w:tplc="04260019" w:tentative="1">
      <w:start w:val="1"/>
      <w:numFmt w:val="lowerLetter"/>
      <w:lvlText w:val="%5."/>
      <w:lvlJc w:val="left"/>
      <w:pPr>
        <w:ind w:left="4300" w:hanging="360"/>
      </w:pPr>
    </w:lvl>
    <w:lvl w:ilvl="5" w:tplc="0426001B" w:tentative="1">
      <w:start w:val="1"/>
      <w:numFmt w:val="lowerRoman"/>
      <w:lvlText w:val="%6."/>
      <w:lvlJc w:val="right"/>
      <w:pPr>
        <w:ind w:left="5020" w:hanging="180"/>
      </w:pPr>
    </w:lvl>
    <w:lvl w:ilvl="6" w:tplc="0426000F" w:tentative="1">
      <w:start w:val="1"/>
      <w:numFmt w:val="decimal"/>
      <w:lvlText w:val="%7."/>
      <w:lvlJc w:val="left"/>
      <w:pPr>
        <w:ind w:left="5740" w:hanging="360"/>
      </w:pPr>
    </w:lvl>
    <w:lvl w:ilvl="7" w:tplc="04260019" w:tentative="1">
      <w:start w:val="1"/>
      <w:numFmt w:val="lowerLetter"/>
      <w:lvlText w:val="%8."/>
      <w:lvlJc w:val="left"/>
      <w:pPr>
        <w:ind w:left="6460" w:hanging="360"/>
      </w:pPr>
    </w:lvl>
    <w:lvl w:ilvl="8" w:tplc="0426001B" w:tentative="1">
      <w:start w:val="1"/>
      <w:numFmt w:val="lowerRoman"/>
      <w:lvlText w:val="%9."/>
      <w:lvlJc w:val="right"/>
      <w:pPr>
        <w:ind w:left="7180" w:hanging="180"/>
      </w:pPr>
    </w:lvl>
  </w:abstractNum>
  <w:abstractNum w:abstractNumId="2" w15:restartNumberingAfterBreak="0">
    <w:nsid w:val="1A671984"/>
    <w:multiLevelType w:val="hybridMultilevel"/>
    <w:tmpl w:val="87868A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B246CBE"/>
    <w:multiLevelType w:val="hybridMultilevel"/>
    <w:tmpl w:val="0DDE7004"/>
    <w:lvl w:ilvl="0" w:tplc="A9CA1EBA">
      <w:start w:val="1"/>
      <w:numFmt w:val="decimal"/>
      <w:lvlText w:val="(%1)"/>
      <w:lvlJc w:val="left"/>
      <w:pPr>
        <w:ind w:left="786" w:hanging="360"/>
      </w:pPr>
      <w:rPr>
        <w:rFonts w:hint="default"/>
      </w:rPr>
    </w:lvl>
    <w:lvl w:ilvl="1" w:tplc="B4942ED4">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0435DD6"/>
    <w:multiLevelType w:val="hybridMultilevel"/>
    <w:tmpl w:val="CB34451E"/>
    <w:lvl w:ilvl="0" w:tplc="49C477DC">
      <w:start w:val="1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38E3B0C"/>
    <w:multiLevelType w:val="hybridMultilevel"/>
    <w:tmpl w:val="FD066A74"/>
    <w:lvl w:ilvl="0" w:tplc="04260011">
      <w:start w:val="1"/>
      <w:numFmt w:val="decimal"/>
      <w:lvlText w:val="%1)"/>
      <w:lvlJc w:val="left"/>
      <w:pPr>
        <w:ind w:left="1800" w:hanging="360"/>
      </w:p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609A46E7"/>
    <w:multiLevelType w:val="hybridMultilevel"/>
    <w:tmpl w:val="C8062650"/>
    <w:lvl w:ilvl="0" w:tplc="D12032F8">
      <w:start w:val="1"/>
      <w:numFmt w:val="decimal"/>
      <w:lvlText w:val="%1)"/>
      <w:lvlJc w:val="left"/>
      <w:pPr>
        <w:ind w:left="1060" w:hanging="360"/>
      </w:pPr>
      <w:rPr>
        <w:rFonts w:hint="default"/>
      </w:rPr>
    </w:lvl>
    <w:lvl w:ilvl="1" w:tplc="04260019" w:tentative="1">
      <w:start w:val="1"/>
      <w:numFmt w:val="lowerLetter"/>
      <w:lvlText w:val="%2."/>
      <w:lvlJc w:val="left"/>
      <w:pPr>
        <w:ind w:left="1780" w:hanging="360"/>
      </w:pPr>
    </w:lvl>
    <w:lvl w:ilvl="2" w:tplc="0426001B" w:tentative="1">
      <w:start w:val="1"/>
      <w:numFmt w:val="lowerRoman"/>
      <w:lvlText w:val="%3."/>
      <w:lvlJc w:val="right"/>
      <w:pPr>
        <w:ind w:left="2500" w:hanging="180"/>
      </w:pPr>
    </w:lvl>
    <w:lvl w:ilvl="3" w:tplc="0426000F" w:tentative="1">
      <w:start w:val="1"/>
      <w:numFmt w:val="decimal"/>
      <w:lvlText w:val="%4."/>
      <w:lvlJc w:val="left"/>
      <w:pPr>
        <w:ind w:left="3220" w:hanging="360"/>
      </w:pPr>
    </w:lvl>
    <w:lvl w:ilvl="4" w:tplc="04260019" w:tentative="1">
      <w:start w:val="1"/>
      <w:numFmt w:val="lowerLetter"/>
      <w:lvlText w:val="%5."/>
      <w:lvlJc w:val="left"/>
      <w:pPr>
        <w:ind w:left="3940" w:hanging="360"/>
      </w:pPr>
    </w:lvl>
    <w:lvl w:ilvl="5" w:tplc="0426001B" w:tentative="1">
      <w:start w:val="1"/>
      <w:numFmt w:val="lowerRoman"/>
      <w:lvlText w:val="%6."/>
      <w:lvlJc w:val="right"/>
      <w:pPr>
        <w:ind w:left="4660" w:hanging="180"/>
      </w:pPr>
    </w:lvl>
    <w:lvl w:ilvl="6" w:tplc="0426000F" w:tentative="1">
      <w:start w:val="1"/>
      <w:numFmt w:val="decimal"/>
      <w:lvlText w:val="%7."/>
      <w:lvlJc w:val="left"/>
      <w:pPr>
        <w:ind w:left="5380" w:hanging="360"/>
      </w:pPr>
    </w:lvl>
    <w:lvl w:ilvl="7" w:tplc="04260019" w:tentative="1">
      <w:start w:val="1"/>
      <w:numFmt w:val="lowerLetter"/>
      <w:lvlText w:val="%8."/>
      <w:lvlJc w:val="left"/>
      <w:pPr>
        <w:ind w:left="6100" w:hanging="360"/>
      </w:pPr>
    </w:lvl>
    <w:lvl w:ilvl="8" w:tplc="0426001B" w:tentative="1">
      <w:start w:val="1"/>
      <w:numFmt w:val="lowerRoman"/>
      <w:lvlText w:val="%9."/>
      <w:lvlJc w:val="right"/>
      <w:pPr>
        <w:ind w:left="6820" w:hanging="180"/>
      </w:pPr>
    </w:lvl>
  </w:abstractNum>
  <w:abstractNum w:abstractNumId="7" w15:restartNumberingAfterBreak="0">
    <w:nsid w:val="6DCF6FA1"/>
    <w:multiLevelType w:val="hybridMultilevel"/>
    <w:tmpl w:val="8B86118A"/>
    <w:lvl w:ilvl="0" w:tplc="FDD69E90">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0"/>
  </w:num>
  <w:num w:numId="3">
    <w:abstractNumId w:val="4"/>
  </w:num>
  <w:num w:numId="4">
    <w:abstractNumId w:val="2"/>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39"/>
    <w:rsid w:val="00004CFF"/>
    <w:rsid w:val="000129F5"/>
    <w:rsid w:val="00027130"/>
    <w:rsid w:val="00037D57"/>
    <w:rsid w:val="00045555"/>
    <w:rsid w:val="00050417"/>
    <w:rsid w:val="000509D0"/>
    <w:rsid w:val="000640C7"/>
    <w:rsid w:val="0006576D"/>
    <w:rsid w:val="00066906"/>
    <w:rsid w:val="00070014"/>
    <w:rsid w:val="00082640"/>
    <w:rsid w:val="00084299"/>
    <w:rsid w:val="0009282C"/>
    <w:rsid w:val="000A5DC9"/>
    <w:rsid w:val="000B746C"/>
    <w:rsid w:val="000C01A7"/>
    <w:rsid w:val="000C0FAB"/>
    <w:rsid w:val="000C24D7"/>
    <w:rsid w:val="000C2B35"/>
    <w:rsid w:val="000D19E0"/>
    <w:rsid w:val="000D276E"/>
    <w:rsid w:val="000D32B9"/>
    <w:rsid w:val="000F5AAB"/>
    <w:rsid w:val="00107E16"/>
    <w:rsid w:val="00107EA0"/>
    <w:rsid w:val="00112BC2"/>
    <w:rsid w:val="001164C0"/>
    <w:rsid w:val="0011709B"/>
    <w:rsid w:val="001271D4"/>
    <w:rsid w:val="001364A2"/>
    <w:rsid w:val="00140043"/>
    <w:rsid w:val="0014258D"/>
    <w:rsid w:val="00145375"/>
    <w:rsid w:val="00154F41"/>
    <w:rsid w:val="00155C88"/>
    <w:rsid w:val="001646EA"/>
    <w:rsid w:val="00170C6D"/>
    <w:rsid w:val="00177FF0"/>
    <w:rsid w:val="0018097A"/>
    <w:rsid w:val="00186CEC"/>
    <w:rsid w:val="001A2D12"/>
    <w:rsid w:val="001A5976"/>
    <w:rsid w:val="001B7AD5"/>
    <w:rsid w:val="001C77FA"/>
    <w:rsid w:val="001D3A84"/>
    <w:rsid w:val="001E2F85"/>
    <w:rsid w:val="001E58B8"/>
    <w:rsid w:val="001E5922"/>
    <w:rsid w:val="001F23BB"/>
    <w:rsid w:val="001F64A5"/>
    <w:rsid w:val="00200C47"/>
    <w:rsid w:val="0020122E"/>
    <w:rsid w:val="00210D82"/>
    <w:rsid w:val="00214E11"/>
    <w:rsid w:val="00216217"/>
    <w:rsid w:val="00221DB9"/>
    <w:rsid w:val="00223D99"/>
    <w:rsid w:val="002277B2"/>
    <w:rsid w:val="00232D01"/>
    <w:rsid w:val="0024114E"/>
    <w:rsid w:val="002614D6"/>
    <w:rsid w:val="00262BFA"/>
    <w:rsid w:val="00263E1E"/>
    <w:rsid w:val="00264A01"/>
    <w:rsid w:val="00272DCE"/>
    <w:rsid w:val="002810F1"/>
    <w:rsid w:val="002D0B96"/>
    <w:rsid w:val="002D3FBB"/>
    <w:rsid w:val="002E262F"/>
    <w:rsid w:val="002E2850"/>
    <w:rsid w:val="002E7810"/>
    <w:rsid w:val="00316457"/>
    <w:rsid w:val="00327F15"/>
    <w:rsid w:val="00330BF9"/>
    <w:rsid w:val="003331A4"/>
    <w:rsid w:val="00335867"/>
    <w:rsid w:val="00335AC0"/>
    <w:rsid w:val="003518FC"/>
    <w:rsid w:val="00354D61"/>
    <w:rsid w:val="00373A0C"/>
    <w:rsid w:val="003801F2"/>
    <w:rsid w:val="0038216F"/>
    <w:rsid w:val="00384535"/>
    <w:rsid w:val="003A101B"/>
    <w:rsid w:val="003B0027"/>
    <w:rsid w:val="003B2185"/>
    <w:rsid w:val="003E3A4C"/>
    <w:rsid w:val="003F7FA1"/>
    <w:rsid w:val="00407F48"/>
    <w:rsid w:val="00410EF5"/>
    <w:rsid w:val="0042178C"/>
    <w:rsid w:val="00426227"/>
    <w:rsid w:val="00426835"/>
    <w:rsid w:val="00430C0B"/>
    <w:rsid w:val="00437215"/>
    <w:rsid w:val="00440D53"/>
    <w:rsid w:val="00441C24"/>
    <w:rsid w:val="00445880"/>
    <w:rsid w:val="0044698F"/>
    <w:rsid w:val="004506F9"/>
    <w:rsid w:val="00450D44"/>
    <w:rsid w:val="004671A3"/>
    <w:rsid w:val="00471B31"/>
    <w:rsid w:val="00472BC8"/>
    <w:rsid w:val="00473F21"/>
    <w:rsid w:val="0048092D"/>
    <w:rsid w:val="00483261"/>
    <w:rsid w:val="00483AC9"/>
    <w:rsid w:val="004948D4"/>
    <w:rsid w:val="00495460"/>
    <w:rsid w:val="004A17B1"/>
    <w:rsid w:val="004A67FF"/>
    <w:rsid w:val="004B48FB"/>
    <w:rsid w:val="004B64E5"/>
    <w:rsid w:val="004B6D24"/>
    <w:rsid w:val="004D499C"/>
    <w:rsid w:val="004D7CF0"/>
    <w:rsid w:val="004E0482"/>
    <w:rsid w:val="004E6663"/>
    <w:rsid w:val="00502EC2"/>
    <w:rsid w:val="00504489"/>
    <w:rsid w:val="00510404"/>
    <w:rsid w:val="00525642"/>
    <w:rsid w:val="0052578F"/>
    <w:rsid w:val="00531948"/>
    <w:rsid w:val="005467EE"/>
    <w:rsid w:val="00546909"/>
    <w:rsid w:val="005659DA"/>
    <w:rsid w:val="00576450"/>
    <w:rsid w:val="00577418"/>
    <w:rsid w:val="00582BDB"/>
    <w:rsid w:val="00590B5F"/>
    <w:rsid w:val="005927C7"/>
    <w:rsid w:val="0059520A"/>
    <w:rsid w:val="005A7604"/>
    <w:rsid w:val="005A77BA"/>
    <w:rsid w:val="005B3384"/>
    <w:rsid w:val="005C0F65"/>
    <w:rsid w:val="005C2CE2"/>
    <w:rsid w:val="005C50B7"/>
    <w:rsid w:val="005C5430"/>
    <w:rsid w:val="005D5585"/>
    <w:rsid w:val="005E7D30"/>
    <w:rsid w:val="005F2ACA"/>
    <w:rsid w:val="005F4390"/>
    <w:rsid w:val="00601BA4"/>
    <w:rsid w:val="00606310"/>
    <w:rsid w:val="0062031C"/>
    <w:rsid w:val="00633BE1"/>
    <w:rsid w:val="00637A76"/>
    <w:rsid w:val="0064431E"/>
    <w:rsid w:val="00651644"/>
    <w:rsid w:val="006573B1"/>
    <w:rsid w:val="00675667"/>
    <w:rsid w:val="00675A67"/>
    <w:rsid w:val="00684754"/>
    <w:rsid w:val="006869A0"/>
    <w:rsid w:val="00695CC9"/>
    <w:rsid w:val="006A325A"/>
    <w:rsid w:val="006A497C"/>
    <w:rsid w:val="006A6BD5"/>
    <w:rsid w:val="006B7795"/>
    <w:rsid w:val="006D08A6"/>
    <w:rsid w:val="006D38D7"/>
    <w:rsid w:val="006D4338"/>
    <w:rsid w:val="006E5754"/>
    <w:rsid w:val="0070008D"/>
    <w:rsid w:val="00704977"/>
    <w:rsid w:val="007136DF"/>
    <w:rsid w:val="007326AF"/>
    <w:rsid w:val="00744522"/>
    <w:rsid w:val="0074502A"/>
    <w:rsid w:val="00750C41"/>
    <w:rsid w:val="007514BC"/>
    <w:rsid w:val="00751AB2"/>
    <w:rsid w:val="0075607F"/>
    <w:rsid w:val="00772664"/>
    <w:rsid w:val="00774854"/>
    <w:rsid w:val="00783E4B"/>
    <w:rsid w:val="00790A5E"/>
    <w:rsid w:val="00790D42"/>
    <w:rsid w:val="00794748"/>
    <w:rsid w:val="00794F58"/>
    <w:rsid w:val="007979AC"/>
    <w:rsid w:val="007A1F36"/>
    <w:rsid w:val="007A2EB0"/>
    <w:rsid w:val="007A7753"/>
    <w:rsid w:val="007A7F2B"/>
    <w:rsid w:val="007B0190"/>
    <w:rsid w:val="007B2E53"/>
    <w:rsid w:val="007B3CBA"/>
    <w:rsid w:val="007B3F67"/>
    <w:rsid w:val="007B4777"/>
    <w:rsid w:val="007B66ED"/>
    <w:rsid w:val="007C29F7"/>
    <w:rsid w:val="007C4499"/>
    <w:rsid w:val="007D13A7"/>
    <w:rsid w:val="007D37F7"/>
    <w:rsid w:val="007E02FA"/>
    <w:rsid w:val="007E08AA"/>
    <w:rsid w:val="007E0910"/>
    <w:rsid w:val="007E3116"/>
    <w:rsid w:val="007E3623"/>
    <w:rsid w:val="007E629D"/>
    <w:rsid w:val="007F1B4D"/>
    <w:rsid w:val="007F3231"/>
    <w:rsid w:val="00800C1D"/>
    <w:rsid w:val="00805F43"/>
    <w:rsid w:val="00823624"/>
    <w:rsid w:val="00845A41"/>
    <w:rsid w:val="008464C7"/>
    <w:rsid w:val="0085416E"/>
    <w:rsid w:val="0086790E"/>
    <w:rsid w:val="0087352C"/>
    <w:rsid w:val="008744EF"/>
    <w:rsid w:val="008756CF"/>
    <w:rsid w:val="00877195"/>
    <w:rsid w:val="008808F6"/>
    <w:rsid w:val="00881A13"/>
    <w:rsid w:val="0088472F"/>
    <w:rsid w:val="008902D9"/>
    <w:rsid w:val="00893C3A"/>
    <w:rsid w:val="008941D7"/>
    <w:rsid w:val="008B325C"/>
    <w:rsid w:val="008B3A39"/>
    <w:rsid w:val="008B694D"/>
    <w:rsid w:val="008B754F"/>
    <w:rsid w:val="008B7F7E"/>
    <w:rsid w:val="008C5314"/>
    <w:rsid w:val="008D4F4E"/>
    <w:rsid w:val="008E7F3F"/>
    <w:rsid w:val="00901211"/>
    <w:rsid w:val="00915FD3"/>
    <w:rsid w:val="00916E64"/>
    <w:rsid w:val="009202B6"/>
    <w:rsid w:val="00922C8B"/>
    <w:rsid w:val="00922FDB"/>
    <w:rsid w:val="00924615"/>
    <w:rsid w:val="009264A1"/>
    <w:rsid w:val="00926FE8"/>
    <w:rsid w:val="00932100"/>
    <w:rsid w:val="00932C24"/>
    <w:rsid w:val="009335E2"/>
    <w:rsid w:val="009340D2"/>
    <w:rsid w:val="0094059E"/>
    <w:rsid w:val="00976247"/>
    <w:rsid w:val="009811D1"/>
    <w:rsid w:val="0098143C"/>
    <w:rsid w:val="009835E4"/>
    <w:rsid w:val="0098601A"/>
    <w:rsid w:val="00991367"/>
    <w:rsid w:val="009950F4"/>
    <w:rsid w:val="009A0F7F"/>
    <w:rsid w:val="009A3C3B"/>
    <w:rsid w:val="009A4F1D"/>
    <w:rsid w:val="009A6E2E"/>
    <w:rsid w:val="009B0137"/>
    <w:rsid w:val="009B44C3"/>
    <w:rsid w:val="009C1928"/>
    <w:rsid w:val="009C1A8B"/>
    <w:rsid w:val="009D3550"/>
    <w:rsid w:val="009E4175"/>
    <w:rsid w:val="009E4BB0"/>
    <w:rsid w:val="009F0235"/>
    <w:rsid w:val="00A07EED"/>
    <w:rsid w:val="00A108FD"/>
    <w:rsid w:val="00A1560C"/>
    <w:rsid w:val="00A165BB"/>
    <w:rsid w:val="00A33B6B"/>
    <w:rsid w:val="00A354D2"/>
    <w:rsid w:val="00A444CD"/>
    <w:rsid w:val="00A506A0"/>
    <w:rsid w:val="00A705C4"/>
    <w:rsid w:val="00A75841"/>
    <w:rsid w:val="00A86192"/>
    <w:rsid w:val="00A86647"/>
    <w:rsid w:val="00AA5B62"/>
    <w:rsid w:val="00AA724C"/>
    <w:rsid w:val="00AC1308"/>
    <w:rsid w:val="00AC3CDF"/>
    <w:rsid w:val="00AC5C78"/>
    <w:rsid w:val="00AE3A4F"/>
    <w:rsid w:val="00AE6E95"/>
    <w:rsid w:val="00B0159D"/>
    <w:rsid w:val="00B116A5"/>
    <w:rsid w:val="00B149AC"/>
    <w:rsid w:val="00B16E3B"/>
    <w:rsid w:val="00B31C13"/>
    <w:rsid w:val="00B44676"/>
    <w:rsid w:val="00B60445"/>
    <w:rsid w:val="00B67BF0"/>
    <w:rsid w:val="00B715C2"/>
    <w:rsid w:val="00B773C4"/>
    <w:rsid w:val="00B84DA6"/>
    <w:rsid w:val="00B85B74"/>
    <w:rsid w:val="00B9093A"/>
    <w:rsid w:val="00BA5A8E"/>
    <w:rsid w:val="00BB073E"/>
    <w:rsid w:val="00BB1FAA"/>
    <w:rsid w:val="00BB322F"/>
    <w:rsid w:val="00BB55C0"/>
    <w:rsid w:val="00BC1B6E"/>
    <w:rsid w:val="00BE068F"/>
    <w:rsid w:val="00BE0A64"/>
    <w:rsid w:val="00BE194C"/>
    <w:rsid w:val="00BE263B"/>
    <w:rsid w:val="00BE7C39"/>
    <w:rsid w:val="00BF271A"/>
    <w:rsid w:val="00C10CFB"/>
    <w:rsid w:val="00C14408"/>
    <w:rsid w:val="00C1633C"/>
    <w:rsid w:val="00C171FB"/>
    <w:rsid w:val="00C20535"/>
    <w:rsid w:val="00C25CFE"/>
    <w:rsid w:val="00C31C80"/>
    <w:rsid w:val="00C333FE"/>
    <w:rsid w:val="00C46F4B"/>
    <w:rsid w:val="00C47A61"/>
    <w:rsid w:val="00C5157F"/>
    <w:rsid w:val="00C517C6"/>
    <w:rsid w:val="00C77E87"/>
    <w:rsid w:val="00C81585"/>
    <w:rsid w:val="00CA0E66"/>
    <w:rsid w:val="00CA14C6"/>
    <w:rsid w:val="00CB0AF7"/>
    <w:rsid w:val="00CB5D6E"/>
    <w:rsid w:val="00CC16C9"/>
    <w:rsid w:val="00CC240E"/>
    <w:rsid w:val="00CD3389"/>
    <w:rsid w:val="00CD4456"/>
    <w:rsid w:val="00CE0FDB"/>
    <w:rsid w:val="00CE2F27"/>
    <w:rsid w:val="00CE52B6"/>
    <w:rsid w:val="00CF59F9"/>
    <w:rsid w:val="00D0288D"/>
    <w:rsid w:val="00D050C3"/>
    <w:rsid w:val="00D13C5F"/>
    <w:rsid w:val="00D15A09"/>
    <w:rsid w:val="00D25D97"/>
    <w:rsid w:val="00D274F4"/>
    <w:rsid w:val="00D36971"/>
    <w:rsid w:val="00D37107"/>
    <w:rsid w:val="00D4747A"/>
    <w:rsid w:val="00D51EBF"/>
    <w:rsid w:val="00D556B1"/>
    <w:rsid w:val="00D571F1"/>
    <w:rsid w:val="00D70AC2"/>
    <w:rsid w:val="00D87CBF"/>
    <w:rsid w:val="00D96E1E"/>
    <w:rsid w:val="00DA1AEE"/>
    <w:rsid w:val="00DB54F0"/>
    <w:rsid w:val="00DB7065"/>
    <w:rsid w:val="00DC0961"/>
    <w:rsid w:val="00DC1D37"/>
    <w:rsid w:val="00DE240B"/>
    <w:rsid w:val="00DF0FE5"/>
    <w:rsid w:val="00E02378"/>
    <w:rsid w:val="00E04ADB"/>
    <w:rsid w:val="00E12A44"/>
    <w:rsid w:val="00E31243"/>
    <w:rsid w:val="00E32060"/>
    <w:rsid w:val="00E32D43"/>
    <w:rsid w:val="00E34BF5"/>
    <w:rsid w:val="00E370E3"/>
    <w:rsid w:val="00E371CA"/>
    <w:rsid w:val="00E44FB9"/>
    <w:rsid w:val="00E45113"/>
    <w:rsid w:val="00E52A54"/>
    <w:rsid w:val="00E6788E"/>
    <w:rsid w:val="00E724F7"/>
    <w:rsid w:val="00E738D2"/>
    <w:rsid w:val="00E73D73"/>
    <w:rsid w:val="00E76956"/>
    <w:rsid w:val="00E76ECD"/>
    <w:rsid w:val="00E7732C"/>
    <w:rsid w:val="00E80F23"/>
    <w:rsid w:val="00E817E5"/>
    <w:rsid w:val="00E87728"/>
    <w:rsid w:val="00E91331"/>
    <w:rsid w:val="00E91F76"/>
    <w:rsid w:val="00E95435"/>
    <w:rsid w:val="00E97A21"/>
    <w:rsid w:val="00E97B3E"/>
    <w:rsid w:val="00EB0C09"/>
    <w:rsid w:val="00EC24C3"/>
    <w:rsid w:val="00EC41D4"/>
    <w:rsid w:val="00EC5050"/>
    <w:rsid w:val="00EC7573"/>
    <w:rsid w:val="00ED29C2"/>
    <w:rsid w:val="00EE1EBA"/>
    <w:rsid w:val="00EE2E74"/>
    <w:rsid w:val="00EE40E9"/>
    <w:rsid w:val="00EE4262"/>
    <w:rsid w:val="00EF034B"/>
    <w:rsid w:val="00EF0B1E"/>
    <w:rsid w:val="00EF0C70"/>
    <w:rsid w:val="00EF2A24"/>
    <w:rsid w:val="00F0175C"/>
    <w:rsid w:val="00F02D3D"/>
    <w:rsid w:val="00F033A9"/>
    <w:rsid w:val="00F065B0"/>
    <w:rsid w:val="00F074D6"/>
    <w:rsid w:val="00F13AB9"/>
    <w:rsid w:val="00F14D7C"/>
    <w:rsid w:val="00F24F59"/>
    <w:rsid w:val="00F34139"/>
    <w:rsid w:val="00F401E4"/>
    <w:rsid w:val="00F5708E"/>
    <w:rsid w:val="00F67F7D"/>
    <w:rsid w:val="00F77163"/>
    <w:rsid w:val="00F82B15"/>
    <w:rsid w:val="00F86106"/>
    <w:rsid w:val="00F91286"/>
    <w:rsid w:val="00F91E9C"/>
    <w:rsid w:val="00F92B34"/>
    <w:rsid w:val="00F936AC"/>
    <w:rsid w:val="00F93D59"/>
    <w:rsid w:val="00F94B96"/>
    <w:rsid w:val="00F968F9"/>
    <w:rsid w:val="00FA3D4B"/>
    <w:rsid w:val="00FA4166"/>
    <w:rsid w:val="00FA73C8"/>
    <w:rsid w:val="00FB51D1"/>
    <w:rsid w:val="00FC7098"/>
    <w:rsid w:val="00FD34B8"/>
    <w:rsid w:val="00FD4605"/>
    <w:rsid w:val="00FD6609"/>
    <w:rsid w:val="00FF0E9F"/>
    <w:rsid w:val="00FF3E63"/>
    <w:rsid w:val="00FF63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CC3BCC5"/>
  <w15:chartTrackingRefBased/>
  <w15:docId w15:val="{A1832424-DDF7-4DE3-83DD-271E78DD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640"/>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640"/>
    <w:pPr>
      <w:spacing w:after="200" w:line="276" w:lineRule="auto"/>
      <w:ind w:left="720"/>
      <w:contextualSpacing/>
    </w:pPr>
    <w:rPr>
      <w:rFonts w:asciiTheme="minorHAnsi" w:hAnsiTheme="minorHAnsi"/>
      <w:sz w:val="22"/>
    </w:rPr>
  </w:style>
  <w:style w:type="paragraph" w:styleId="BodyTextIndent">
    <w:name w:val="Body Text Indent"/>
    <w:basedOn w:val="Normal"/>
    <w:link w:val="BodyTextIndentChar"/>
    <w:rsid w:val="00082640"/>
    <w:pPr>
      <w:spacing w:line="240" w:lineRule="atLeast"/>
      <w:ind w:firstLine="720"/>
      <w:jc w:val="both"/>
    </w:pPr>
    <w:rPr>
      <w:rFonts w:eastAsia="Times New Roman" w:cs="Times New Roman"/>
      <w:sz w:val="24"/>
      <w:szCs w:val="20"/>
      <w:lang w:val="en-US"/>
    </w:rPr>
  </w:style>
  <w:style w:type="character" w:customStyle="1" w:styleId="BodyTextIndentChar">
    <w:name w:val="Body Text Indent Char"/>
    <w:basedOn w:val="DefaultParagraphFont"/>
    <w:link w:val="BodyTextIndent"/>
    <w:rsid w:val="00082640"/>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082640"/>
    <w:rPr>
      <w:color w:val="0563C1" w:themeColor="hyperlink"/>
      <w:u w:val="single"/>
    </w:rPr>
  </w:style>
  <w:style w:type="paragraph" w:styleId="BalloonText">
    <w:name w:val="Balloon Text"/>
    <w:basedOn w:val="Normal"/>
    <w:link w:val="BalloonTextChar"/>
    <w:uiPriority w:val="99"/>
    <w:semiHidden/>
    <w:unhideWhenUsed/>
    <w:rsid w:val="00DB70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065"/>
    <w:rPr>
      <w:rFonts w:ascii="Segoe UI" w:hAnsi="Segoe UI" w:cs="Segoe UI"/>
      <w:sz w:val="18"/>
      <w:szCs w:val="18"/>
    </w:rPr>
  </w:style>
  <w:style w:type="paragraph" w:customStyle="1" w:styleId="tv213">
    <w:name w:val="tv213"/>
    <w:basedOn w:val="Normal"/>
    <w:rsid w:val="00991367"/>
    <w:pPr>
      <w:spacing w:before="100" w:beforeAutospacing="1" w:after="100" w:afterAutospacing="1"/>
    </w:pPr>
    <w:rPr>
      <w:rFonts w:cs="Times New Roman"/>
      <w:sz w:val="24"/>
      <w:szCs w:val="24"/>
      <w:lang w:eastAsia="lv-LV"/>
    </w:rPr>
  </w:style>
  <w:style w:type="paragraph" w:styleId="Header">
    <w:name w:val="header"/>
    <w:basedOn w:val="Normal"/>
    <w:link w:val="HeaderChar"/>
    <w:uiPriority w:val="99"/>
    <w:unhideWhenUsed/>
    <w:rsid w:val="00272DCE"/>
    <w:pPr>
      <w:tabs>
        <w:tab w:val="center" w:pos="4153"/>
        <w:tab w:val="right" w:pos="8306"/>
      </w:tabs>
    </w:pPr>
  </w:style>
  <w:style w:type="character" w:customStyle="1" w:styleId="HeaderChar">
    <w:name w:val="Header Char"/>
    <w:basedOn w:val="DefaultParagraphFont"/>
    <w:link w:val="Header"/>
    <w:uiPriority w:val="99"/>
    <w:rsid w:val="00272DCE"/>
    <w:rPr>
      <w:rFonts w:ascii="Times New Roman" w:hAnsi="Times New Roman"/>
      <w:sz w:val="28"/>
    </w:rPr>
  </w:style>
  <w:style w:type="paragraph" w:styleId="Footer">
    <w:name w:val="footer"/>
    <w:basedOn w:val="Normal"/>
    <w:link w:val="FooterChar"/>
    <w:uiPriority w:val="99"/>
    <w:unhideWhenUsed/>
    <w:rsid w:val="00272DCE"/>
    <w:pPr>
      <w:tabs>
        <w:tab w:val="center" w:pos="4153"/>
        <w:tab w:val="right" w:pos="8306"/>
      </w:tabs>
    </w:pPr>
  </w:style>
  <w:style w:type="character" w:customStyle="1" w:styleId="FooterChar">
    <w:name w:val="Footer Char"/>
    <w:basedOn w:val="DefaultParagraphFont"/>
    <w:link w:val="Footer"/>
    <w:uiPriority w:val="99"/>
    <w:rsid w:val="00272DCE"/>
    <w:rPr>
      <w:rFonts w:ascii="Times New Roman" w:hAnsi="Times New Roman"/>
      <w:sz w:val="28"/>
    </w:rPr>
  </w:style>
  <w:style w:type="character" w:customStyle="1" w:styleId="st1">
    <w:name w:val="st1"/>
    <w:uiPriority w:val="99"/>
    <w:rsid w:val="005659DA"/>
  </w:style>
  <w:style w:type="character" w:styleId="CommentReference">
    <w:name w:val="annotation reference"/>
    <w:basedOn w:val="DefaultParagraphFont"/>
    <w:uiPriority w:val="99"/>
    <w:semiHidden/>
    <w:unhideWhenUsed/>
    <w:rsid w:val="00050417"/>
    <w:rPr>
      <w:sz w:val="16"/>
      <w:szCs w:val="16"/>
    </w:rPr>
  </w:style>
  <w:style w:type="paragraph" w:styleId="CommentText">
    <w:name w:val="annotation text"/>
    <w:basedOn w:val="Normal"/>
    <w:link w:val="CommentTextChar"/>
    <w:uiPriority w:val="99"/>
    <w:semiHidden/>
    <w:unhideWhenUsed/>
    <w:rsid w:val="00050417"/>
    <w:rPr>
      <w:sz w:val="20"/>
      <w:szCs w:val="20"/>
    </w:rPr>
  </w:style>
  <w:style w:type="character" w:customStyle="1" w:styleId="CommentTextChar">
    <w:name w:val="Comment Text Char"/>
    <w:basedOn w:val="DefaultParagraphFont"/>
    <w:link w:val="CommentText"/>
    <w:uiPriority w:val="99"/>
    <w:semiHidden/>
    <w:rsid w:val="0005041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0417"/>
    <w:rPr>
      <w:b/>
      <w:bCs/>
    </w:rPr>
  </w:style>
  <w:style w:type="character" w:customStyle="1" w:styleId="CommentSubjectChar">
    <w:name w:val="Comment Subject Char"/>
    <w:basedOn w:val="CommentTextChar"/>
    <w:link w:val="CommentSubject"/>
    <w:uiPriority w:val="99"/>
    <w:semiHidden/>
    <w:rsid w:val="00050417"/>
    <w:rPr>
      <w:rFonts w:ascii="Times New Roman" w:hAnsi="Times New Roman"/>
      <w:b/>
      <w:bCs/>
      <w:sz w:val="20"/>
      <w:szCs w:val="20"/>
    </w:rPr>
  </w:style>
  <w:style w:type="paragraph" w:styleId="NormalWeb">
    <w:name w:val="Normal (Web)"/>
    <w:basedOn w:val="Normal"/>
    <w:unhideWhenUsed/>
    <w:rsid w:val="00A506A0"/>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A506A0"/>
  </w:style>
  <w:style w:type="paragraph" w:styleId="Revision">
    <w:name w:val="Revision"/>
    <w:hidden/>
    <w:uiPriority w:val="99"/>
    <w:semiHidden/>
    <w:rsid w:val="009A6E2E"/>
    <w:pPr>
      <w:spacing w:after="0" w:line="240" w:lineRule="auto"/>
    </w:pPr>
    <w:rPr>
      <w:rFonts w:ascii="Times New Roman" w:hAnsi="Times New Roman"/>
      <w:sz w:val="28"/>
    </w:rPr>
  </w:style>
  <w:style w:type="character" w:customStyle="1" w:styleId="UnresolvedMention1">
    <w:name w:val="Unresolved Mention1"/>
    <w:basedOn w:val="DefaultParagraphFont"/>
    <w:uiPriority w:val="99"/>
    <w:semiHidden/>
    <w:unhideWhenUsed/>
    <w:rsid w:val="00D556B1"/>
    <w:rPr>
      <w:color w:val="605E5C"/>
      <w:shd w:val="clear" w:color="auto" w:fill="E1DFDD"/>
    </w:rPr>
  </w:style>
  <w:style w:type="character" w:styleId="UnresolvedMention">
    <w:name w:val="Unresolved Mention"/>
    <w:basedOn w:val="DefaultParagraphFont"/>
    <w:uiPriority w:val="99"/>
    <w:semiHidden/>
    <w:unhideWhenUsed/>
    <w:rsid w:val="005F4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7109">
      <w:bodyDiv w:val="1"/>
      <w:marLeft w:val="0"/>
      <w:marRight w:val="0"/>
      <w:marTop w:val="0"/>
      <w:marBottom w:val="0"/>
      <w:divBdr>
        <w:top w:val="none" w:sz="0" w:space="0" w:color="auto"/>
        <w:left w:val="none" w:sz="0" w:space="0" w:color="auto"/>
        <w:bottom w:val="none" w:sz="0" w:space="0" w:color="auto"/>
        <w:right w:val="none" w:sz="0" w:space="0" w:color="auto"/>
      </w:divBdr>
    </w:div>
    <w:div w:id="158859908">
      <w:bodyDiv w:val="1"/>
      <w:marLeft w:val="0"/>
      <w:marRight w:val="0"/>
      <w:marTop w:val="0"/>
      <w:marBottom w:val="0"/>
      <w:divBdr>
        <w:top w:val="none" w:sz="0" w:space="0" w:color="auto"/>
        <w:left w:val="none" w:sz="0" w:space="0" w:color="auto"/>
        <w:bottom w:val="none" w:sz="0" w:space="0" w:color="auto"/>
        <w:right w:val="none" w:sz="0" w:space="0" w:color="auto"/>
      </w:divBdr>
    </w:div>
    <w:div w:id="678116371">
      <w:bodyDiv w:val="1"/>
      <w:marLeft w:val="0"/>
      <w:marRight w:val="0"/>
      <w:marTop w:val="0"/>
      <w:marBottom w:val="0"/>
      <w:divBdr>
        <w:top w:val="none" w:sz="0" w:space="0" w:color="auto"/>
        <w:left w:val="none" w:sz="0" w:space="0" w:color="auto"/>
        <w:bottom w:val="none" w:sz="0" w:space="0" w:color="auto"/>
        <w:right w:val="none" w:sz="0" w:space="0" w:color="auto"/>
      </w:divBdr>
    </w:div>
    <w:div w:id="730153627">
      <w:bodyDiv w:val="1"/>
      <w:marLeft w:val="0"/>
      <w:marRight w:val="0"/>
      <w:marTop w:val="0"/>
      <w:marBottom w:val="0"/>
      <w:divBdr>
        <w:top w:val="none" w:sz="0" w:space="0" w:color="auto"/>
        <w:left w:val="none" w:sz="0" w:space="0" w:color="auto"/>
        <w:bottom w:val="none" w:sz="0" w:space="0" w:color="auto"/>
        <w:right w:val="none" w:sz="0" w:space="0" w:color="auto"/>
      </w:divBdr>
    </w:div>
    <w:div w:id="1197541882">
      <w:bodyDiv w:val="1"/>
      <w:marLeft w:val="0"/>
      <w:marRight w:val="0"/>
      <w:marTop w:val="0"/>
      <w:marBottom w:val="0"/>
      <w:divBdr>
        <w:top w:val="none" w:sz="0" w:space="0" w:color="auto"/>
        <w:left w:val="none" w:sz="0" w:space="0" w:color="auto"/>
        <w:bottom w:val="none" w:sz="0" w:space="0" w:color="auto"/>
        <w:right w:val="none" w:sz="0" w:space="0" w:color="auto"/>
      </w:divBdr>
    </w:div>
    <w:div w:id="1697348223">
      <w:bodyDiv w:val="1"/>
      <w:marLeft w:val="0"/>
      <w:marRight w:val="0"/>
      <w:marTop w:val="0"/>
      <w:marBottom w:val="0"/>
      <w:divBdr>
        <w:top w:val="none" w:sz="0" w:space="0" w:color="auto"/>
        <w:left w:val="none" w:sz="0" w:space="0" w:color="auto"/>
        <w:bottom w:val="none" w:sz="0" w:space="0" w:color="auto"/>
        <w:right w:val="none" w:sz="0" w:space="0" w:color="auto"/>
      </w:divBdr>
    </w:div>
    <w:div w:id="1738045424">
      <w:bodyDiv w:val="1"/>
      <w:marLeft w:val="0"/>
      <w:marRight w:val="0"/>
      <w:marTop w:val="0"/>
      <w:marBottom w:val="0"/>
      <w:divBdr>
        <w:top w:val="none" w:sz="0" w:space="0" w:color="auto"/>
        <w:left w:val="none" w:sz="0" w:space="0" w:color="auto"/>
        <w:bottom w:val="none" w:sz="0" w:space="0" w:color="auto"/>
        <w:right w:val="none" w:sz="0" w:space="0" w:color="auto"/>
      </w:divBdr>
    </w:div>
    <w:div w:id="181563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par_ministriju/sabiedribas_lidzdaliba/diskusijai_nodotie_doku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ta.Grinberga@sprk.gov.lv" TargetMode="External"/><Relationship Id="rId4" Type="http://schemas.openxmlformats.org/officeDocument/2006/relationships/settings" Target="settings.xml"/><Relationship Id="rId9" Type="http://schemas.openxmlformats.org/officeDocument/2006/relationships/hyperlink" Target="mailto:Juris.Bulans@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CA7B4-9FC0-4A73-A60B-5455F1B1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16420</Words>
  <Characters>9360</Characters>
  <Application>Microsoft Office Word</Application>
  <DocSecurity>0</DocSecurity>
  <Lines>78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EM</Company>
  <LinksUpToDate>false</LinksUpToDate>
  <CharactersWithSpaces>25729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 Ševčuks</dc:creator>
  <cp:keywords/>
  <dc:description/>
  <cp:lastModifiedBy>Juris Bulāns</cp:lastModifiedBy>
  <cp:revision>3</cp:revision>
  <cp:lastPrinted>2019-05-28T14:50:00Z</cp:lastPrinted>
  <dcterms:created xsi:type="dcterms:W3CDTF">2019-07-16T13:01:00Z</dcterms:created>
  <dcterms:modified xsi:type="dcterms:W3CDTF">2019-07-16T13:04:00Z</dcterms:modified>
  <cp:contentStatus>Final</cp:contentStatus>
</cp:coreProperties>
</file>