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DF518" w14:textId="77777777" w:rsidR="00286064" w:rsidRPr="008B7F6D" w:rsidRDefault="00286064" w:rsidP="00523E44">
      <w:pPr>
        <w:spacing w:line="240" w:lineRule="auto"/>
        <w:ind w:firstLine="720"/>
        <w:jc w:val="center"/>
        <w:rPr>
          <w:rFonts w:ascii="Times New Roman" w:hAnsi="Times New Roman"/>
          <w:b/>
          <w:sz w:val="24"/>
          <w:szCs w:val="24"/>
        </w:rPr>
      </w:pPr>
      <w:r w:rsidRPr="008B7F6D">
        <w:rPr>
          <w:rFonts w:ascii="Times New Roman" w:hAnsi="Times New Roman"/>
          <w:b/>
          <w:sz w:val="24"/>
          <w:szCs w:val="24"/>
        </w:rPr>
        <w:t xml:space="preserve">Ministru kabineta noteikumu projekta </w:t>
      </w:r>
      <w:r w:rsidR="00736626" w:rsidRPr="008B7F6D">
        <w:rPr>
          <w:rFonts w:ascii="Times New Roman" w:hAnsi="Times New Roman"/>
          <w:b/>
          <w:sz w:val="24"/>
          <w:szCs w:val="24"/>
        </w:rPr>
        <w:t>"</w:t>
      </w:r>
      <w:r w:rsidRPr="008B7F6D">
        <w:rPr>
          <w:rFonts w:ascii="Times New Roman" w:hAnsi="Times New Roman"/>
          <w:b/>
          <w:sz w:val="24"/>
          <w:szCs w:val="24"/>
        </w:rPr>
        <w:t xml:space="preserve">Grozījumi Ministru kabineta 2016. gada 15. marta noteikumos Nr. 160 </w:t>
      </w:r>
      <w:r w:rsidR="00933F6C" w:rsidRPr="008B7F6D">
        <w:rPr>
          <w:rFonts w:ascii="Times New Roman" w:hAnsi="Times New Roman"/>
          <w:b/>
          <w:sz w:val="24"/>
          <w:szCs w:val="24"/>
        </w:rPr>
        <w:t>"</w:t>
      </w:r>
      <w:r w:rsidRPr="008B7F6D">
        <w:rPr>
          <w:rFonts w:ascii="Times New Roman" w:hAnsi="Times New Roman"/>
          <w:b/>
          <w:sz w:val="24"/>
          <w:szCs w:val="24"/>
        </w:rPr>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322B07" w:rsidRPr="008B7F6D">
        <w:rPr>
          <w:rFonts w:ascii="Times New Roman" w:hAnsi="Times New Roman"/>
          <w:b/>
          <w:sz w:val="24"/>
          <w:szCs w:val="24"/>
        </w:rPr>
        <w:t>"</w:t>
      </w:r>
      <w:r w:rsidRPr="008B7F6D">
        <w:rPr>
          <w:rFonts w:ascii="Times New Roman" w:hAnsi="Times New Roman"/>
          <w:b/>
          <w:sz w:val="24"/>
          <w:szCs w:val="24"/>
        </w:rPr>
        <w:t xml:space="preserve"> sākotnējās ietekmes novērtējuma ziņojums (anotācija)</w:t>
      </w:r>
    </w:p>
    <w:tbl>
      <w:tblPr>
        <w:tblW w:w="567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43"/>
        <w:gridCol w:w="5696"/>
      </w:tblGrid>
      <w:tr w:rsidR="00A96CB5" w:rsidRPr="008B7F6D" w14:paraId="4600C562" w14:textId="77777777" w:rsidTr="00444397">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05C086D1" w14:textId="77777777" w:rsidR="00D810E2" w:rsidRPr="008B7F6D" w:rsidRDefault="00D810E2" w:rsidP="00DE24D7">
            <w:pPr>
              <w:spacing w:after="0" w:line="240" w:lineRule="auto"/>
              <w:rPr>
                <w:rFonts w:ascii="Times New Roman" w:eastAsia="Times New Roman" w:hAnsi="Times New Roman"/>
                <w:b/>
                <w:bCs/>
                <w:iCs/>
                <w:sz w:val="24"/>
                <w:szCs w:val="24"/>
                <w:lang w:eastAsia="lv-LV"/>
              </w:rPr>
            </w:pPr>
            <w:r w:rsidRPr="008B7F6D">
              <w:rPr>
                <w:rFonts w:ascii="Times New Roman" w:eastAsia="Times New Roman" w:hAnsi="Times New Roman"/>
                <w:b/>
                <w:bCs/>
                <w:iCs/>
                <w:sz w:val="24"/>
                <w:szCs w:val="24"/>
                <w:lang w:eastAsia="lv-LV"/>
              </w:rPr>
              <w:t>Tiesību akta projekta anotācijas kopsavilkums</w:t>
            </w:r>
          </w:p>
        </w:tc>
      </w:tr>
      <w:tr w:rsidR="00A96CB5" w:rsidRPr="008B7F6D" w14:paraId="1D6AA98D" w14:textId="77777777" w:rsidTr="00444397">
        <w:trPr>
          <w:trHeight w:val="649"/>
          <w:tblCellSpacing w:w="15" w:type="dxa"/>
        </w:trPr>
        <w:tc>
          <w:tcPr>
            <w:tcW w:w="2028" w:type="pct"/>
            <w:tcBorders>
              <w:top w:val="outset" w:sz="6" w:space="0" w:color="auto"/>
              <w:left w:val="outset" w:sz="6" w:space="0" w:color="auto"/>
              <w:bottom w:val="outset" w:sz="6" w:space="0" w:color="auto"/>
              <w:right w:val="outset" w:sz="6" w:space="0" w:color="auto"/>
            </w:tcBorders>
            <w:hideMark/>
          </w:tcPr>
          <w:p w14:paraId="26A1290E" w14:textId="77777777" w:rsidR="00D810E2" w:rsidRPr="008B7F6D" w:rsidRDefault="00D810E2"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Mērķis, risinājums un projekta spēkā stāšanās laiks (500 zīmes bez atstarpēm)</w:t>
            </w:r>
          </w:p>
        </w:tc>
        <w:tc>
          <w:tcPr>
            <w:tcW w:w="2925" w:type="pct"/>
            <w:tcBorders>
              <w:top w:val="outset" w:sz="6" w:space="0" w:color="auto"/>
              <w:left w:val="outset" w:sz="6" w:space="0" w:color="auto"/>
              <w:bottom w:val="outset" w:sz="6" w:space="0" w:color="auto"/>
              <w:right w:val="outset" w:sz="6" w:space="0" w:color="auto"/>
            </w:tcBorders>
            <w:hideMark/>
          </w:tcPr>
          <w:p w14:paraId="0FB0B982" w14:textId="77777777" w:rsidR="00112DD1" w:rsidRPr="008B7F6D" w:rsidRDefault="002D5BA1" w:rsidP="00012BFA">
            <w:pPr>
              <w:spacing w:after="0" w:line="240" w:lineRule="auto"/>
              <w:jc w:val="both"/>
              <w:rPr>
                <w:rFonts w:ascii="Times New Roman" w:hAnsi="Times New Roman"/>
                <w:sz w:val="24"/>
                <w:szCs w:val="24"/>
              </w:rPr>
            </w:pPr>
            <w:r w:rsidRPr="008B7F6D">
              <w:rPr>
                <w:rFonts w:ascii="Times New Roman" w:eastAsia="Times New Roman" w:hAnsi="Times New Roman"/>
                <w:iCs/>
                <w:sz w:val="24"/>
                <w:szCs w:val="24"/>
                <w:lang w:eastAsia="lv-LV"/>
              </w:rPr>
              <w:t>Veikt</w:t>
            </w:r>
            <w:r w:rsidR="00112DD1" w:rsidRPr="008B7F6D">
              <w:rPr>
                <w:rFonts w:ascii="Times New Roman" w:eastAsia="Times New Roman" w:hAnsi="Times New Roman"/>
                <w:iCs/>
                <w:sz w:val="24"/>
                <w:szCs w:val="24"/>
                <w:lang w:eastAsia="lv-LV"/>
              </w:rPr>
              <w:t xml:space="preserve"> </w:t>
            </w:r>
            <w:r w:rsidR="00EF37C0" w:rsidRPr="008B7F6D">
              <w:rPr>
                <w:rFonts w:ascii="Times New Roman" w:eastAsia="Times New Roman" w:hAnsi="Times New Roman"/>
                <w:iCs/>
                <w:sz w:val="24"/>
                <w:szCs w:val="24"/>
                <w:lang w:eastAsia="lv-LV"/>
              </w:rPr>
              <w:t xml:space="preserve">Ekonomikas ministrijas ierosinātus </w:t>
            </w:r>
            <w:r w:rsidRPr="008B7F6D">
              <w:rPr>
                <w:rFonts w:ascii="Times New Roman" w:eastAsia="Times New Roman" w:hAnsi="Times New Roman"/>
                <w:iCs/>
                <w:sz w:val="24"/>
                <w:szCs w:val="24"/>
                <w:lang w:eastAsia="lv-LV"/>
              </w:rPr>
              <w:t>grozījumus Ministru kabineta 2016. gada 15. marta noteikum</w:t>
            </w:r>
            <w:r w:rsidR="00112DD1" w:rsidRPr="008B7F6D">
              <w:rPr>
                <w:rFonts w:ascii="Times New Roman" w:eastAsia="Times New Roman" w:hAnsi="Times New Roman"/>
                <w:iCs/>
                <w:sz w:val="24"/>
                <w:szCs w:val="24"/>
                <w:lang w:eastAsia="lv-LV"/>
              </w:rPr>
              <w:t>o</w:t>
            </w:r>
            <w:r w:rsidRPr="008B7F6D">
              <w:rPr>
                <w:rFonts w:ascii="Times New Roman" w:eastAsia="Times New Roman" w:hAnsi="Times New Roman"/>
                <w:iCs/>
                <w:sz w:val="24"/>
                <w:szCs w:val="24"/>
                <w:lang w:eastAsia="lv-LV"/>
              </w:rPr>
              <w:t xml:space="preserve">s Nr. 160 </w:t>
            </w:r>
            <w:r w:rsidRPr="008B7F6D">
              <w:rPr>
                <w:rFonts w:ascii="Times New Roman" w:hAnsi="Times New Roman"/>
                <w:sz w:val="24"/>
                <w:szCs w:val="24"/>
              </w:rPr>
              <w:t xml:space="preserve">"Darbības programmas "Izaugsme un nodarbinātība" 4.2.1. specifiskā atbalsta mērķa "Veicināt energoefektivitātes paaugstināšanu valsts un dzīvojamās ēkās" 4.2.1.1. specifiskā atbalsta mērķa pasākuma "Veicināt energoefektivitātes paaugstināšanu dzīvojamās ēkās" </w:t>
            </w:r>
            <w:r w:rsidR="00186E1E" w:rsidRPr="008B7F6D">
              <w:rPr>
                <w:rFonts w:ascii="Times New Roman" w:hAnsi="Times New Roman"/>
                <w:sz w:val="24"/>
                <w:szCs w:val="24"/>
              </w:rPr>
              <w:t xml:space="preserve">īstenošanas noteikumi" (turpmāk – </w:t>
            </w:r>
            <w:r w:rsidR="00012BFA">
              <w:rPr>
                <w:rFonts w:ascii="Times New Roman" w:hAnsi="Times New Roman"/>
                <w:sz w:val="24"/>
                <w:szCs w:val="24"/>
              </w:rPr>
              <w:t>Noteikumu projekts</w:t>
            </w:r>
            <w:r w:rsidR="00186E1E" w:rsidRPr="008B7F6D">
              <w:rPr>
                <w:rFonts w:ascii="Times New Roman" w:hAnsi="Times New Roman"/>
                <w:sz w:val="24"/>
                <w:szCs w:val="24"/>
              </w:rPr>
              <w:t xml:space="preserve">) </w:t>
            </w:r>
            <w:r w:rsidR="00112DD1" w:rsidRPr="008B7F6D">
              <w:rPr>
                <w:rFonts w:ascii="Times New Roman" w:hAnsi="Times New Roman"/>
                <w:sz w:val="24"/>
                <w:szCs w:val="24"/>
              </w:rPr>
              <w:t xml:space="preserve">ar mērķi </w:t>
            </w:r>
            <w:r w:rsidR="00264B8C">
              <w:rPr>
                <w:rFonts w:ascii="Times New Roman" w:hAnsi="Times New Roman"/>
                <w:sz w:val="24"/>
                <w:szCs w:val="24"/>
              </w:rPr>
              <w:t>veikt redakcionālus precizējumus</w:t>
            </w:r>
            <w:r w:rsidR="006252B0" w:rsidRPr="008B7F6D">
              <w:rPr>
                <w:rFonts w:ascii="Times New Roman" w:hAnsi="Times New Roman"/>
                <w:sz w:val="24"/>
                <w:szCs w:val="24"/>
              </w:rPr>
              <w:t xml:space="preserve">, kā arī </w:t>
            </w:r>
            <w:r w:rsidR="003157D6" w:rsidRPr="003157D6">
              <w:rPr>
                <w:rFonts w:ascii="Times New Roman" w:hAnsi="Times New Roman"/>
                <w:sz w:val="24"/>
                <w:szCs w:val="24"/>
              </w:rPr>
              <w:t xml:space="preserve">novirzīt daļu no pašreiz finanšu instrumenta īstenošanai pieejamā finansējuma </w:t>
            </w:r>
            <w:proofErr w:type="spellStart"/>
            <w:r w:rsidR="003157D6" w:rsidRPr="003157D6">
              <w:rPr>
                <w:rFonts w:ascii="Times New Roman" w:hAnsi="Times New Roman"/>
                <w:sz w:val="24"/>
                <w:szCs w:val="24"/>
              </w:rPr>
              <w:t>grantu</w:t>
            </w:r>
            <w:proofErr w:type="spellEnd"/>
            <w:r w:rsidR="003157D6" w:rsidRPr="003157D6">
              <w:rPr>
                <w:rFonts w:ascii="Times New Roman" w:hAnsi="Times New Roman"/>
                <w:sz w:val="24"/>
                <w:szCs w:val="24"/>
              </w:rPr>
              <w:t xml:space="preserve"> instrumenta īstenošanai.</w:t>
            </w:r>
          </w:p>
          <w:p w14:paraId="09C96548" w14:textId="77777777" w:rsidR="00112DD1" w:rsidRPr="008B7F6D" w:rsidRDefault="00112DD1" w:rsidP="00C74F60">
            <w:pPr>
              <w:spacing w:after="0" w:line="240" w:lineRule="auto"/>
              <w:jc w:val="both"/>
              <w:rPr>
                <w:rFonts w:ascii="Times New Roman" w:eastAsia="Times New Roman" w:hAnsi="Times New Roman"/>
                <w:iCs/>
                <w:sz w:val="24"/>
                <w:szCs w:val="24"/>
                <w:lang w:eastAsia="lv-LV"/>
              </w:rPr>
            </w:pPr>
            <w:r w:rsidRPr="008B7F6D">
              <w:rPr>
                <w:rFonts w:ascii="Times New Roman" w:hAnsi="Times New Roman"/>
                <w:sz w:val="24"/>
                <w:szCs w:val="24"/>
              </w:rPr>
              <w:t xml:space="preserve"> </w:t>
            </w:r>
          </w:p>
          <w:p w14:paraId="0E3F1F5A" w14:textId="77777777" w:rsidR="00D810E2" w:rsidRPr="008B7F6D" w:rsidRDefault="00592DD8" w:rsidP="007E2904">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Noteikumu projekts</w:t>
            </w:r>
            <w:r w:rsidR="00DE7333" w:rsidRPr="008B7F6D">
              <w:rPr>
                <w:rFonts w:ascii="Times New Roman" w:eastAsia="Times New Roman" w:hAnsi="Times New Roman"/>
                <w:iCs/>
                <w:sz w:val="24"/>
                <w:szCs w:val="24"/>
                <w:lang w:eastAsia="lv-LV"/>
              </w:rPr>
              <w:t xml:space="preserve"> paredz:</w:t>
            </w:r>
          </w:p>
          <w:p w14:paraId="26A268E8" w14:textId="77777777" w:rsidR="008B5A63" w:rsidRDefault="00012BFA" w:rsidP="003667EB">
            <w:pPr>
              <w:pStyle w:val="ListParagraph"/>
              <w:numPr>
                <w:ilvl w:val="0"/>
                <w:numId w:val="34"/>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novirzīt </w:t>
            </w:r>
            <w:r w:rsidR="003157D6" w:rsidRPr="00012BFA">
              <w:rPr>
                <w:rFonts w:ascii="Times New Roman" w:eastAsia="Times New Roman" w:hAnsi="Times New Roman"/>
                <w:iCs/>
                <w:sz w:val="24"/>
                <w:szCs w:val="24"/>
                <w:lang w:eastAsia="lv-LV"/>
              </w:rPr>
              <w:t xml:space="preserve">no pašreiz finanšu instrumenta </w:t>
            </w:r>
            <w:r w:rsidR="003157D6">
              <w:rPr>
                <w:rFonts w:ascii="Times New Roman" w:eastAsia="Times New Roman" w:hAnsi="Times New Roman"/>
                <w:iCs/>
                <w:sz w:val="24"/>
                <w:szCs w:val="24"/>
                <w:lang w:eastAsia="lv-LV"/>
              </w:rPr>
              <w:t xml:space="preserve">īstenošanai </w:t>
            </w:r>
            <w:r w:rsidR="003157D6" w:rsidRPr="00012BFA">
              <w:rPr>
                <w:rFonts w:ascii="Times New Roman" w:eastAsia="Times New Roman" w:hAnsi="Times New Roman"/>
                <w:iCs/>
                <w:sz w:val="24"/>
                <w:szCs w:val="24"/>
                <w:lang w:eastAsia="lv-LV"/>
              </w:rPr>
              <w:t>pieejam</w:t>
            </w:r>
            <w:r w:rsidR="003157D6">
              <w:rPr>
                <w:rFonts w:ascii="Times New Roman" w:eastAsia="Times New Roman" w:hAnsi="Times New Roman"/>
                <w:iCs/>
                <w:sz w:val="24"/>
                <w:szCs w:val="24"/>
                <w:lang w:eastAsia="lv-LV"/>
              </w:rPr>
              <w:t>o</w:t>
            </w:r>
            <w:r w:rsidR="003157D6" w:rsidRPr="00012BFA">
              <w:rPr>
                <w:rFonts w:ascii="Times New Roman" w:eastAsia="Times New Roman" w:hAnsi="Times New Roman"/>
                <w:iCs/>
                <w:sz w:val="24"/>
                <w:szCs w:val="24"/>
                <w:lang w:eastAsia="lv-LV"/>
              </w:rPr>
              <w:t xml:space="preserve"> finansējum</w:t>
            </w:r>
            <w:r w:rsidR="003157D6">
              <w:rPr>
                <w:rFonts w:ascii="Times New Roman" w:eastAsia="Times New Roman" w:hAnsi="Times New Roman"/>
                <w:iCs/>
                <w:sz w:val="24"/>
                <w:szCs w:val="24"/>
                <w:lang w:eastAsia="lv-LV"/>
              </w:rPr>
              <w:t>u</w:t>
            </w:r>
            <w:r w:rsidR="003157D6">
              <w:rPr>
                <w:rFonts w:ascii="Times New Roman" w:eastAsia="Times New Roman" w:hAnsi="Times New Roman"/>
                <w:i/>
                <w:iCs/>
                <w:sz w:val="24"/>
                <w:szCs w:val="24"/>
                <w:lang w:eastAsia="lv-LV"/>
              </w:rPr>
              <w:t xml:space="preserve"> </w:t>
            </w:r>
            <w:r w:rsidR="001E50AA">
              <w:rPr>
                <w:rFonts w:ascii="Times New Roman" w:eastAsia="Times New Roman" w:hAnsi="Times New Roman"/>
                <w:iCs/>
                <w:sz w:val="24"/>
                <w:szCs w:val="24"/>
                <w:lang w:eastAsia="lv-LV"/>
              </w:rPr>
              <w:t>1</w:t>
            </w:r>
            <w:r w:rsidR="00146210">
              <w:rPr>
                <w:rFonts w:ascii="Times New Roman" w:eastAsia="Times New Roman" w:hAnsi="Times New Roman"/>
                <w:iCs/>
                <w:sz w:val="24"/>
                <w:szCs w:val="24"/>
                <w:lang w:eastAsia="lv-LV"/>
              </w:rPr>
              <w:t>0</w:t>
            </w:r>
            <w:r w:rsidR="001E50AA">
              <w:rPr>
                <w:rFonts w:ascii="Times New Roman" w:eastAsia="Times New Roman" w:hAnsi="Times New Roman"/>
                <w:iCs/>
                <w:sz w:val="24"/>
                <w:szCs w:val="24"/>
                <w:lang w:eastAsia="lv-LV"/>
              </w:rPr>
              <w:t xml:space="preserve"> 000 000 </w:t>
            </w:r>
            <w:proofErr w:type="spellStart"/>
            <w:r w:rsidR="008B5A63" w:rsidRPr="008B7F6D">
              <w:rPr>
                <w:rFonts w:ascii="Times New Roman" w:eastAsia="Times New Roman" w:hAnsi="Times New Roman"/>
                <w:i/>
                <w:iCs/>
                <w:sz w:val="24"/>
                <w:szCs w:val="24"/>
                <w:lang w:eastAsia="lv-LV"/>
              </w:rPr>
              <w:t>euro</w:t>
            </w:r>
            <w:proofErr w:type="spellEnd"/>
            <w:r w:rsidR="001A417B">
              <w:rPr>
                <w:rFonts w:ascii="Times New Roman" w:eastAsia="Times New Roman" w:hAnsi="Times New Roman"/>
                <w:i/>
                <w:iCs/>
                <w:sz w:val="24"/>
                <w:szCs w:val="24"/>
                <w:lang w:eastAsia="lv-LV"/>
              </w:rPr>
              <w:t xml:space="preserve"> </w:t>
            </w:r>
            <w:r w:rsidR="003157D6" w:rsidRPr="00530350">
              <w:rPr>
                <w:rFonts w:ascii="Times New Roman" w:eastAsia="Times New Roman" w:hAnsi="Times New Roman"/>
                <w:iCs/>
                <w:sz w:val="24"/>
                <w:szCs w:val="24"/>
                <w:lang w:eastAsia="lv-LV"/>
              </w:rPr>
              <w:t>apmērā</w:t>
            </w:r>
            <w:r w:rsidR="00A751D9">
              <w:rPr>
                <w:rFonts w:ascii="Times New Roman" w:eastAsia="Times New Roman" w:hAnsi="Times New Roman"/>
                <w:i/>
                <w:iCs/>
                <w:sz w:val="24"/>
                <w:szCs w:val="24"/>
                <w:lang w:eastAsia="lv-LV"/>
              </w:rPr>
              <w:t xml:space="preserve"> </w:t>
            </w:r>
            <w:r w:rsidR="00531E3D" w:rsidRPr="00012BFA">
              <w:rPr>
                <w:rFonts w:ascii="Times New Roman" w:eastAsia="Times New Roman" w:hAnsi="Times New Roman"/>
                <w:iCs/>
                <w:sz w:val="24"/>
                <w:szCs w:val="24"/>
                <w:lang w:eastAsia="lv-LV"/>
              </w:rPr>
              <w:t xml:space="preserve">uz </w:t>
            </w:r>
            <w:proofErr w:type="spellStart"/>
            <w:r w:rsidR="00531E3D" w:rsidRPr="00012BFA">
              <w:rPr>
                <w:rFonts w:ascii="Times New Roman" w:eastAsia="Times New Roman" w:hAnsi="Times New Roman"/>
                <w:iCs/>
                <w:sz w:val="24"/>
                <w:szCs w:val="24"/>
                <w:lang w:eastAsia="lv-LV"/>
              </w:rPr>
              <w:t>grant</w:t>
            </w:r>
            <w:r w:rsidR="002E5563">
              <w:rPr>
                <w:rFonts w:ascii="Times New Roman" w:eastAsia="Times New Roman" w:hAnsi="Times New Roman"/>
                <w:iCs/>
                <w:sz w:val="24"/>
                <w:szCs w:val="24"/>
                <w:lang w:eastAsia="lv-LV"/>
              </w:rPr>
              <w:t>a</w:t>
            </w:r>
            <w:proofErr w:type="spellEnd"/>
            <w:r w:rsidR="002E5563">
              <w:rPr>
                <w:rFonts w:ascii="Times New Roman" w:eastAsia="Times New Roman" w:hAnsi="Times New Roman"/>
                <w:iCs/>
                <w:sz w:val="24"/>
                <w:szCs w:val="24"/>
                <w:lang w:eastAsia="lv-LV"/>
              </w:rPr>
              <w:t xml:space="preserve"> daļu</w:t>
            </w:r>
            <w:r w:rsidR="0023122B" w:rsidRPr="00012BFA">
              <w:rPr>
                <w:rFonts w:ascii="Times New Roman" w:eastAsia="Times New Roman" w:hAnsi="Times New Roman"/>
                <w:iCs/>
                <w:sz w:val="24"/>
                <w:szCs w:val="24"/>
                <w:lang w:eastAsia="lv-LV"/>
              </w:rPr>
              <w:t>;</w:t>
            </w:r>
          </w:p>
          <w:p w14:paraId="3F9F6260" w14:textId="77777777" w:rsidR="005E453C" w:rsidRDefault="00BF5ED7" w:rsidP="009976E3">
            <w:pPr>
              <w:pStyle w:val="ListParagraph"/>
              <w:numPr>
                <w:ilvl w:val="0"/>
                <w:numId w:val="34"/>
              </w:numPr>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precizēt uzraudzības rādītāju sasniedzamās vērtības;</w:t>
            </w:r>
          </w:p>
          <w:p w14:paraId="608DCB66" w14:textId="77777777" w:rsidR="005E453C" w:rsidRPr="005E453C" w:rsidRDefault="006E721C" w:rsidP="009976E3">
            <w:pPr>
              <w:pStyle w:val="ListParagraph"/>
              <w:numPr>
                <w:ilvl w:val="0"/>
                <w:numId w:val="34"/>
              </w:numPr>
              <w:jc w:val="both"/>
              <w:rPr>
                <w:rFonts w:ascii="Times New Roman" w:eastAsia="Times New Roman" w:hAnsi="Times New Roman"/>
                <w:iCs/>
                <w:sz w:val="24"/>
                <w:szCs w:val="24"/>
                <w:lang w:eastAsia="lv-LV"/>
              </w:rPr>
            </w:pPr>
            <w:r>
              <w:rPr>
                <w:rFonts w:ascii="Times New Roman" w:hAnsi="Times New Roman"/>
                <w:sz w:val="24"/>
                <w:szCs w:val="24"/>
                <w:lang w:eastAsia="lv-LV"/>
              </w:rPr>
              <w:t>s</w:t>
            </w:r>
            <w:r w:rsidRPr="006E721C">
              <w:rPr>
                <w:rFonts w:ascii="Times New Roman" w:hAnsi="Times New Roman"/>
                <w:sz w:val="24"/>
                <w:szCs w:val="24"/>
                <w:lang w:eastAsia="lv-LV"/>
              </w:rPr>
              <w:t>vītrot nosacījumu, ka energoefektivitātes paaugstināšanas pasākumu īstenošanas izmaksām jāatbilst vidējām tirgus cenām</w:t>
            </w:r>
            <w:r>
              <w:rPr>
                <w:rFonts w:ascii="Times New Roman" w:hAnsi="Times New Roman"/>
                <w:sz w:val="24"/>
                <w:szCs w:val="24"/>
                <w:lang w:eastAsia="lv-LV"/>
              </w:rPr>
              <w:t>;</w:t>
            </w:r>
          </w:p>
          <w:p w14:paraId="3AC0EFAE" w14:textId="77777777" w:rsidR="00531E3D" w:rsidRDefault="003157D6" w:rsidP="009976E3">
            <w:pPr>
              <w:pStyle w:val="ListParagraph"/>
              <w:numPr>
                <w:ilvl w:val="0"/>
                <w:numId w:val="34"/>
              </w:numPr>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pagarināt atbalsta sniegšanas termiņu</w:t>
            </w:r>
            <w:r w:rsidRPr="001219F7">
              <w:rPr>
                <w:rFonts w:ascii="Times New Roman" w:eastAsia="Times New Roman" w:hAnsi="Times New Roman"/>
                <w:iCs/>
                <w:sz w:val="24"/>
                <w:szCs w:val="24"/>
                <w:lang w:eastAsia="lv-LV"/>
              </w:rPr>
              <w:t xml:space="preserve"> </w:t>
            </w:r>
            <w:r w:rsidR="001219F7" w:rsidRPr="001219F7">
              <w:rPr>
                <w:rFonts w:ascii="Times New Roman" w:eastAsia="Times New Roman" w:hAnsi="Times New Roman"/>
                <w:iCs/>
                <w:sz w:val="24"/>
                <w:szCs w:val="24"/>
                <w:lang w:eastAsia="lv-LV"/>
              </w:rPr>
              <w:t>līdz 2023. gada 31. decembrim</w:t>
            </w:r>
            <w:r w:rsidR="00531E3D">
              <w:rPr>
                <w:rFonts w:ascii="Times New Roman" w:eastAsia="Times New Roman" w:hAnsi="Times New Roman"/>
                <w:iCs/>
                <w:sz w:val="24"/>
                <w:szCs w:val="24"/>
                <w:lang w:eastAsia="lv-LV"/>
              </w:rPr>
              <w:t>;</w:t>
            </w:r>
          </w:p>
          <w:p w14:paraId="16B7C812" w14:textId="77777777" w:rsidR="00325AC5" w:rsidRPr="008B7F6D" w:rsidRDefault="00530350" w:rsidP="009976E3">
            <w:pPr>
              <w:pStyle w:val="ListParagraph"/>
              <w:numPr>
                <w:ilvl w:val="0"/>
                <w:numId w:val="34"/>
              </w:numPr>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noteikt atbalsta piešķiršanas brīdi;</w:t>
            </w:r>
          </w:p>
          <w:p w14:paraId="2383168F" w14:textId="77777777" w:rsidR="003667EB" w:rsidRPr="008B7F6D" w:rsidRDefault="003667EB" w:rsidP="003667EB">
            <w:pPr>
              <w:pStyle w:val="ListParagraph"/>
              <w:numPr>
                <w:ilvl w:val="0"/>
                <w:numId w:val="34"/>
              </w:numPr>
              <w:spacing w:after="0" w:line="240" w:lineRule="auto"/>
              <w:jc w:val="both"/>
              <w:rPr>
                <w:rFonts w:ascii="Times New Roman" w:eastAsia="Times New Roman" w:hAnsi="Times New Roman"/>
                <w:iCs/>
                <w:sz w:val="24"/>
                <w:szCs w:val="24"/>
                <w:lang w:eastAsia="lv-LV"/>
              </w:rPr>
            </w:pPr>
            <w:bookmarkStart w:id="0" w:name="_Hlk9502264"/>
            <w:r w:rsidRPr="008B7F6D">
              <w:rPr>
                <w:rFonts w:ascii="Times New Roman" w:eastAsia="Times New Roman" w:hAnsi="Times New Roman"/>
                <w:iCs/>
                <w:sz w:val="24"/>
                <w:szCs w:val="24"/>
                <w:lang w:eastAsia="lv-LV"/>
              </w:rPr>
              <w:t>tehnisku grozījumu veikšanu</w:t>
            </w:r>
            <w:r w:rsidR="0023122B" w:rsidRPr="008B7F6D">
              <w:rPr>
                <w:rFonts w:ascii="Times New Roman" w:eastAsia="Times New Roman" w:hAnsi="Times New Roman"/>
                <w:iCs/>
                <w:sz w:val="24"/>
                <w:szCs w:val="24"/>
                <w:lang w:eastAsia="lv-LV"/>
              </w:rPr>
              <w:t>.</w:t>
            </w:r>
          </w:p>
          <w:bookmarkEnd w:id="0"/>
          <w:p w14:paraId="77053261" w14:textId="77777777" w:rsidR="00DE7333" w:rsidRPr="008B7F6D" w:rsidRDefault="00174A31" w:rsidP="00DE7333">
            <w:pPr>
              <w:spacing w:after="0" w:line="240" w:lineRule="auto"/>
              <w:jc w:val="both"/>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 xml:space="preserve">Noteikumu projekts stāsies spēkā </w:t>
            </w:r>
            <w:r w:rsidR="003D0AE2">
              <w:rPr>
                <w:rFonts w:ascii="Times New Roman" w:eastAsia="Times New Roman" w:hAnsi="Times New Roman"/>
                <w:iCs/>
                <w:sz w:val="24"/>
                <w:szCs w:val="24"/>
                <w:lang w:eastAsia="lv-LV"/>
              </w:rPr>
              <w:t>pēc tā publicēšanas Latvijas Vēstnesī.</w:t>
            </w:r>
          </w:p>
        </w:tc>
      </w:tr>
    </w:tbl>
    <w:p w14:paraId="1FF758DF" w14:textId="77777777" w:rsidR="00D810E2" w:rsidRPr="008B7F6D" w:rsidRDefault="00D810E2" w:rsidP="00D810E2">
      <w:pPr>
        <w:spacing w:line="240" w:lineRule="auto"/>
        <w:rPr>
          <w:rFonts w:ascii="Times New Roman" w:hAnsi="Times New Roman"/>
          <w:b/>
          <w:sz w:val="24"/>
          <w:szCs w:val="24"/>
        </w:rPr>
      </w:pPr>
    </w:p>
    <w:tbl>
      <w:tblPr>
        <w:tblW w:w="9579"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775"/>
        <w:gridCol w:w="6798"/>
        <w:gridCol w:w="6"/>
      </w:tblGrid>
      <w:tr w:rsidR="00A96CB5" w:rsidRPr="008B7F6D" w14:paraId="328313EF" w14:textId="77777777" w:rsidTr="00B83CED">
        <w:trPr>
          <w:gridAfter w:val="1"/>
          <w:wAfter w:w="6" w:type="dxa"/>
        </w:trPr>
        <w:tc>
          <w:tcPr>
            <w:tcW w:w="9573"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6F1923E6" w14:textId="77777777" w:rsidR="00286064" w:rsidRPr="008B7F6D" w:rsidRDefault="00286064" w:rsidP="00C81002">
            <w:pPr>
              <w:spacing w:after="0" w:line="240" w:lineRule="auto"/>
              <w:jc w:val="center"/>
              <w:rPr>
                <w:rFonts w:ascii="Times New Roman" w:eastAsia="Times New Roman" w:hAnsi="Times New Roman"/>
                <w:b/>
                <w:sz w:val="24"/>
                <w:szCs w:val="24"/>
                <w:lang w:eastAsia="lv-LV"/>
              </w:rPr>
            </w:pPr>
            <w:r w:rsidRPr="008B7F6D">
              <w:rPr>
                <w:rFonts w:ascii="Times New Roman" w:eastAsia="Times New Roman" w:hAnsi="Times New Roman"/>
                <w:b/>
                <w:sz w:val="24"/>
                <w:szCs w:val="24"/>
                <w:lang w:eastAsia="lv-LV"/>
              </w:rPr>
              <w:t>I. Tiesību akta projekta izstrādes nepieciešamība</w:t>
            </w:r>
          </w:p>
        </w:tc>
      </w:tr>
      <w:tr w:rsidR="00A96CB5" w:rsidRPr="008B7F6D" w14:paraId="42B8F6B1" w14:textId="77777777" w:rsidTr="00C51791">
        <w:trPr>
          <w:trHeight w:val="983"/>
        </w:trPr>
        <w:tc>
          <w:tcPr>
            <w:tcW w:w="277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A08885" w14:textId="77777777" w:rsidR="000E2466" w:rsidRPr="000E2466" w:rsidRDefault="00286064" w:rsidP="00C51791">
            <w:pPr>
              <w:spacing w:after="0" w:line="240" w:lineRule="auto"/>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1. Pamatojums</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4EA24835" w14:textId="77777777" w:rsidR="00286064" w:rsidRPr="008B7F6D" w:rsidRDefault="00286064" w:rsidP="00C51791">
            <w:pPr>
              <w:spacing w:after="0" w:line="240" w:lineRule="auto"/>
              <w:ind w:firstLine="539"/>
              <w:jc w:val="both"/>
              <w:rPr>
                <w:rFonts w:ascii="Times New Roman" w:hAnsi="Times New Roman"/>
                <w:sz w:val="24"/>
                <w:szCs w:val="24"/>
              </w:rPr>
            </w:pPr>
            <w:r w:rsidRPr="008B7F6D">
              <w:rPr>
                <w:rFonts w:ascii="Times New Roman" w:hAnsi="Times New Roman"/>
                <w:sz w:val="24"/>
                <w:szCs w:val="24"/>
              </w:rPr>
              <w:t>Eiropas Savienības struktūrfondu un Kohēzijas fonda 2014.</w:t>
            </w:r>
            <w:r w:rsidR="00C97371">
              <w:rPr>
                <w:rFonts w:ascii="Times New Roman" w:hAnsi="Times New Roman"/>
                <w:sz w:val="24"/>
                <w:szCs w:val="24"/>
              </w:rPr>
              <w:t xml:space="preserve"> </w:t>
            </w:r>
            <w:r w:rsidRPr="008B7F6D">
              <w:rPr>
                <w:rFonts w:ascii="Times New Roman" w:hAnsi="Times New Roman"/>
                <w:sz w:val="24"/>
                <w:szCs w:val="24"/>
              </w:rPr>
              <w:t>-2020. gada plānošanas perioda vadības likuma 20. panta 13. un 14. punkt</w:t>
            </w:r>
            <w:r w:rsidR="00917A08" w:rsidRPr="008B7F6D">
              <w:rPr>
                <w:rFonts w:ascii="Times New Roman" w:hAnsi="Times New Roman"/>
                <w:sz w:val="24"/>
                <w:szCs w:val="24"/>
              </w:rPr>
              <w:t>s</w:t>
            </w:r>
            <w:r w:rsidR="004F712C" w:rsidRPr="008B7F6D">
              <w:rPr>
                <w:rFonts w:ascii="Times New Roman" w:hAnsi="Times New Roman"/>
                <w:sz w:val="24"/>
                <w:szCs w:val="24"/>
              </w:rPr>
              <w:t xml:space="preserve"> un Publisk</w:t>
            </w:r>
            <w:r w:rsidR="00F74D5F" w:rsidRPr="008B7F6D">
              <w:rPr>
                <w:rFonts w:ascii="Times New Roman" w:hAnsi="Times New Roman"/>
                <w:sz w:val="24"/>
                <w:szCs w:val="24"/>
              </w:rPr>
              <w:t>o</w:t>
            </w:r>
            <w:r w:rsidR="004F712C" w:rsidRPr="008B7F6D">
              <w:rPr>
                <w:rFonts w:ascii="Times New Roman" w:hAnsi="Times New Roman"/>
                <w:sz w:val="24"/>
                <w:szCs w:val="24"/>
              </w:rPr>
              <w:t xml:space="preserve"> iepirkuma likuma 7.</w:t>
            </w:r>
            <w:r w:rsidR="00C97371">
              <w:rPr>
                <w:rFonts w:ascii="Times New Roman" w:hAnsi="Times New Roman"/>
                <w:sz w:val="24"/>
                <w:szCs w:val="24"/>
              </w:rPr>
              <w:t xml:space="preserve"> </w:t>
            </w:r>
            <w:r w:rsidR="004F712C" w:rsidRPr="008B7F6D">
              <w:rPr>
                <w:rFonts w:ascii="Times New Roman" w:hAnsi="Times New Roman"/>
                <w:sz w:val="24"/>
                <w:szCs w:val="24"/>
              </w:rPr>
              <w:t>panta pirmā daļa.</w:t>
            </w:r>
          </w:p>
        </w:tc>
      </w:tr>
      <w:tr w:rsidR="00A96CB5" w:rsidRPr="008B7F6D" w14:paraId="1DDECD60" w14:textId="77777777" w:rsidTr="00AD051D">
        <w:trPr>
          <w:trHeight w:val="1074"/>
        </w:trPr>
        <w:tc>
          <w:tcPr>
            <w:tcW w:w="277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CDCAB2F" w14:textId="77777777" w:rsidR="00286064" w:rsidRDefault="00286064" w:rsidP="00C81002">
            <w:pPr>
              <w:spacing w:after="0" w:line="240" w:lineRule="auto"/>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2. Pašreizējā situācija un problēmas, kuru risināšanai tiesību akta projekts izstrādāts, tiesiskā regulējuma mērķis un būtība</w:t>
            </w:r>
          </w:p>
          <w:p w14:paraId="489FFD78" w14:textId="77777777" w:rsidR="00F811A5" w:rsidRPr="00F811A5" w:rsidRDefault="00F811A5" w:rsidP="00F811A5">
            <w:pPr>
              <w:rPr>
                <w:rFonts w:ascii="Times New Roman" w:eastAsia="Times New Roman" w:hAnsi="Times New Roman"/>
                <w:sz w:val="24"/>
                <w:szCs w:val="24"/>
                <w:lang w:eastAsia="lv-LV"/>
              </w:rPr>
            </w:pPr>
          </w:p>
          <w:p w14:paraId="3CCBC4CD" w14:textId="77777777" w:rsidR="00F811A5" w:rsidRPr="00F811A5" w:rsidRDefault="00F811A5" w:rsidP="00F811A5">
            <w:pPr>
              <w:rPr>
                <w:rFonts w:ascii="Times New Roman" w:eastAsia="Times New Roman" w:hAnsi="Times New Roman"/>
                <w:sz w:val="24"/>
                <w:szCs w:val="24"/>
                <w:lang w:eastAsia="lv-LV"/>
              </w:rPr>
            </w:pPr>
          </w:p>
          <w:p w14:paraId="7049CF00" w14:textId="77777777" w:rsidR="00F811A5" w:rsidRPr="00F811A5" w:rsidRDefault="00F811A5" w:rsidP="00F811A5">
            <w:pPr>
              <w:rPr>
                <w:rFonts w:ascii="Times New Roman" w:eastAsia="Times New Roman" w:hAnsi="Times New Roman"/>
                <w:sz w:val="24"/>
                <w:szCs w:val="24"/>
                <w:lang w:eastAsia="lv-LV"/>
              </w:rPr>
            </w:pPr>
          </w:p>
          <w:p w14:paraId="5A972DBB" w14:textId="77777777" w:rsidR="00F811A5" w:rsidRPr="00F811A5" w:rsidRDefault="00F811A5" w:rsidP="00F811A5">
            <w:pPr>
              <w:rPr>
                <w:rFonts w:ascii="Times New Roman" w:eastAsia="Times New Roman" w:hAnsi="Times New Roman"/>
                <w:sz w:val="24"/>
                <w:szCs w:val="24"/>
                <w:lang w:eastAsia="lv-LV"/>
              </w:rPr>
            </w:pPr>
          </w:p>
          <w:p w14:paraId="74C24D26" w14:textId="77777777" w:rsidR="00F811A5" w:rsidRPr="00F811A5" w:rsidRDefault="00F811A5" w:rsidP="00F811A5">
            <w:pPr>
              <w:rPr>
                <w:rFonts w:ascii="Times New Roman" w:eastAsia="Times New Roman" w:hAnsi="Times New Roman"/>
                <w:sz w:val="24"/>
                <w:szCs w:val="24"/>
                <w:lang w:eastAsia="lv-LV"/>
              </w:rPr>
            </w:pPr>
          </w:p>
          <w:p w14:paraId="5D16B26C" w14:textId="77777777" w:rsidR="00F811A5" w:rsidRPr="00F811A5" w:rsidRDefault="00F811A5" w:rsidP="00F811A5">
            <w:pPr>
              <w:rPr>
                <w:rFonts w:ascii="Times New Roman" w:eastAsia="Times New Roman" w:hAnsi="Times New Roman"/>
                <w:sz w:val="24"/>
                <w:szCs w:val="24"/>
                <w:lang w:eastAsia="lv-LV"/>
              </w:rPr>
            </w:pPr>
          </w:p>
          <w:p w14:paraId="4AC7D0BF" w14:textId="77777777" w:rsidR="00F811A5" w:rsidRPr="00F811A5" w:rsidRDefault="00F811A5" w:rsidP="00F811A5">
            <w:pPr>
              <w:rPr>
                <w:rFonts w:ascii="Times New Roman" w:eastAsia="Times New Roman" w:hAnsi="Times New Roman"/>
                <w:sz w:val="24"/>
                <w:szCs w:val="24"/>
                <w:lang w:eastAsia="lv-LV"/>
              </w:rPr>
            </w:pPr>
          </w:p>
          <w:p w14:paraId="6E9FFE5C" w14:textId="77777777" w:rsidR="00F811A5" w:rsidRPr="00F811A5" w:rsidRDefault="00F811A5" w:rsidP="00F811A5">
            <w:pPr>
              <w:rPr>
                <w:rFonts w:ascii="Times New Roman" w:eastAsia="Times New Roman" w:hAnsi="Times New Roman"/>
                <w:sz w:val="24"/>
                <w:szCs w:val="24"/>
                <w:lang w:eastAsia="lv-LV"/>
              </w:rPr>
            </w:pPr>
          </w:p>
          <w:p w14:paraId="0AEDFA7F" w14:textId="77777777" w:rsidR="00F811A5" w:rsidRPr="00F811A5" w:rsidRDefault="00F811A5" w:rsidP="00F811A5">
            <w:pPr>
              <w:rPr>
                <w:rFonts w:ascii="Times New Roman" w:eastAsia="Times New Roman" w:hAnsi="Times New Roman"/>
                <w:sz w:val="24"/>
                <w:szCs w:val="24"/>
                <w:lang w:eastAsia="lv-LV"/>
              </w:rPr>
            </w:pPr>
          </w:p>
          <w:p w14:paraId="66AFA357" w14:textId="77777777" w:rsidR="00F811A5" w:rsidRPr="00F811A5" w:rsidRDefault="00F811A5" w:rsidP="00F811A5">
            <w:pPr>
              <w:rPr>
                <w:rFonts w:ascii="Times New Roman" w:eastAsia="Times New Roman" w:hAnsi="Times New Roman"/>
                <w:sz w:val="24"/>
                <w:szCs w:val="24"/>
                <w:lang w:eastAsia="lv-LV"/>
              </w:rPr>
            </w:pPr>
          </w:p>
          <w:p w14:paraId="7B1A2C33" w14:textId="77777777" w:rsidR="00F811A5" w:rsidRPr="00F811A5" w:rsidRDefault="00F811A5" w:rsidP="00F811A5">
            <w:pPr>
              <w:rPr>
                <w:rFonts w:ascii="Times New Roman" w:eastAsia="Times New Roman" w:hAnsi="Times New Roman"/>
                <w:sz w:val="24"/>
                <w:szCs w:val="24"/>
                <w:lang w:eastAsia="lv-LV"/>
              </w:rPr>
            </w:pPr>
          </w:p>
          <w:p w14:paraId="361E9A70" w14:textId="77777777" w:rsidR="00F811A5" w:rsidRPr="00F811A5" w:rsidRDefault="00F811A5" w:rsidP="00F811A5">
            <w:pPr>
              <w:rPr>
                <w:rFonts w:ascii="Times New Roman" w:eastAsia="Times New Roman" w:hAnsi="Times New Roman"/>
                <w:sz w:val="24"/>
                <w:szCs w:val="24"/>
                <w:lang w:eastAsia="lv-LV"/>
              </w:rPr>
            </w:pPr>
          </w:p>
          <w:p w14:paraId="4F17828B" w14:textId="77777777" w:rsidR="009717B4" w:rsidRPr="009717B4" w:rsidRDefault="009717B4" w:rsidP="00101044">
            <w:pPr>
              <w:rPr>
                <w:rFonts w:ascii="Times New Roman" w:eastAsia="Times New Roman" w:hAnsi="Times New Roman"/>
                <w:sz w:val="24"/>
                <w:szCs w:val="24"/>
                <w:lang w:eastAsia="lv-LV"/>
              </w:rPr>
            </w:pPr>
          </w:p>
          <w:p w14:paraId="53F7EFC1" w14:textId="77777777" w:rsidR="009717B4" w:rsidRPr="009717B4" w:rsidRDefault="009717B4" w:rsidP="00101044">
            <w:pPr>
              <w:rPr>
                <w:rFonts w:ascii="Times New Roman" w:eastAsia="Times New Roman" w:hAnsi="Times New Roman"/>
                <w:sz w:val="24"/>
                <w:szCs w:val="24"/>
                <w:lang w:eastAsia="lv-LV"/>
              </w:rPr>
            </w:pPr>
          </w:p>
          <w:p w14:paraId="69B5901C" w14:textId="77777777" w:rsidR="009717B4" w:rsidRPr="009717B4" w:rsidRDefault="009717B4" w:rsidP="00101044">
            <w:pPr>
              <w:rPr>
                <w:rFonts w:ascii="Times New Roman" w:eastAsia="Times New Roman" w:hAnsi="Times New Roman"/>
                <w:sz w:val="24"/>
                <w:szCs w:val="24"/>
                <w:lang w:eastAsia="lv-LV"/>
              </w:rPr>
            </w:pPr>
          </w:p>
          <w:p w14:paraId="75666992" w14:textId="77777777" w:rsidR="009717B4" w:rsidRPr="009717B4" w:rsidRDefault="009717B4" w:rsidP="00101044">
            <w:pPr>
              <w:rPr>
                <w:rFonts w:ascii="Times New Roman" w:eastAsia="Times New Roman" w:hAnsi="Times New Roman"/>
                <w:sz w:val="24"/>
                <w:szCs w:val="24"/>
                <w:lang w:eastAsia="lv-LV"/>
              </w:rPr>
            </w:pPr>
          </w:p>
          <w:p w14:paraId="74ECF95A" w14:textId="77777777" w:rsidR="009717B4" w:rsidRPr="009717B4" w:rsidRDefault="009717B4" w:rsidP="00101044">
            <w:pPr>
              <w:rPr>
                <w:rFonts w:ascii="Times New Roman" w:eastAsia="Times New Roman" w:hAnsi="Times New Roman"/>
                <w:sz w:val="24"/>
                <w:szCs w:val="24"/>
                <w:lang w:eastAsia="lv-LV"/>
              </w:rPr>
            </w:pPr>
          </w:p>
          <w:p w14:paraId="4226E084" w14:textId="77777777" w:rsidR="009717B4" w:rsidRPr="009717B4" w:rsidRDefault="009717B4" w:rsidP="00101044">
            <w:pPr>
              <w:rPr>
                <w:rFonts w:ascii="Times New Roman" w:eastAsia="Times New Roman" w:hAnsi="Times New Roman"/>
                <w:sz w:val="24"/>
                <w:szCs w:val="24"/>
                <w:lang w:eastAsia="lv-LV"/>
              </w:rPr>
            </w:pPr>
          </w:p>
          <w:p w14:paraId="687FF44E" w14:textId="77777777" w:rsidR="009717B4" w:rsidRPr="009717B4" w:rsidRDefault="009717B4" w:rsidP="00101044">
            <w:pPr>
              <w:rPr>
                <w:rFonts w:ascii="Times New Roman" w:eastAsia="Times New Roman" w:hAnsi="Times New Roman"/>
                <w:sz w:val="24"/>
                <w:szCs w:val="24"/>
                <w:lang w:eastAsia="lv-LV"/>
              </w:rPr>
            </w:pPr>
          </w:p>
          <w:p w14:paraId="0FCC31B3" w14:textId="77777777" w:rsidR="009717B4" w:rsidRPr="009717B4" w:rsidRDefault="009717B4" w:rsidP="00101044">
            <w:pPr>
              <w:rPr>
                <w:rFonts w:ascii="Times New Roman" w:eastAsia="Times New Roman" w:hAnsi="Times New Roman"/>
                <w:sz w:val="24"/>
                <w:szCs w:val="24"/>
                <w:lang w:eastAsia="lv-LV"/>
              </w:rPr>
            </w:pPr>
          </w:p>
          <w:p w14:paraId="279B5FF1" w14:textId="77777777" w:rsidR="009717B4" w:rsidRPr="009717B4" w:rsidRDefault="009717B4" w:rsidP="00101044">
            <w:pPr>
              <w:rPr>
                <w:rFonts w:ascii="Times New Roman" w:eastAsia="Times New Roman" w:hAnsi="Times New Roman"/>
                <w:sz w:val="24"/>
                <w:szCs w:val="24"/>
                <w:lang w:eastAsia="lv-LV"/>
              </w:rPr>
            </w:pPr>
          </w:p>
          <w:p w14:paraId="0EBC7812" w14:textId="77777777" w:rsidR="009717B4" w:rsidRPr="009717B4" w:rsidRDefault="009717B4" w:rsidP="00101044">
            <w:pPr>
              <w:rPr>
                <w:rFonts w:ascii="Times New Roman" w:eastAsia="Times New Roman" w:hAnsi="Times New Roman"/>
                <w:sz w:val="24"/>
                <w:szCs w:val="24"/>
                <w:lang w:eastAsia="lv-LV"/>
              </w:rPr>
            </w:pPr>
          </w:p>
          <w:p w14:paraId="6F570402" w14:textId="77777777" w:rsidR="009717B4" w:rsidRPr="009717B4" w:rsidRDefault="009717B4" w:rsidP="00101044">
            <w:pPr>
              <w:rPr>
                <w:rFonts w:ascii="Times New Roman" w:eastAsia="Times New Roman" w:hAnsi="Times New Roman"/>
                <w:sz w:val="24"/>
                <w:szCs w:val="24"/>
                <w:lang w:eastAsia="lv-LV"/>
              </w:rPr>
            </w:pPr>
          </w:p>
          <w:p w14:paraId="7841A6C7" w14:textId="77777777" w:rsidR="009717B4" w:rsidRPr="009717B4" w:rsidRDefault="009717B4" w:rsidP="00101044">
            <w:pPr>
              <w:rPr>
                <w:rFonts w:ascii="Times New Roman" w:eastAsia="Times New Roman" w:hAnsi="Times New Roman"/>
                <w:sz w:val="24"/>
                <w:szCs w:val="24"/>
                <w:lang w:eastAsia="lv-LV"/>
              </w:rPr>
            </w:pPr>
          </w:p>
          <w:p w14:paraId="09A8096C" w14:textId="77777777" w:rsidR="00286064" w:rsidRPr="008B7F6D" w:rsidRDefault="00286064" w:rsidP="00C81002">
            <w:pPr>
              <w:rPr>
                <w:rFonts w:ascii="Times New Roman" w:eastAsia="Times New Roman" w:hAnsi="Times New Roman"/>
                <w:sz w:val="24"/>
                <w:szCs w:val="24"/>
                <w:lang w:eastAsia="lv-LV"/>
              </w:rPr>
            </w:pPr>
          </w:p>
          <w:p w14:paraId="0E7E21B8" w14:textId="77777777" w:rsidR="00286064" w:rsidRPr="008B7F6D" w:rsidRDefault="00286064" w:rsidP="00C81002">
            <w:pPr>
              <w:rPr>
                <w:rFonts w:ascii="Times New Roman" w:eastAsia="Times New Roman" w:hAnsi="Times New Roman"/>
                <w:sz w:val="24"/>
                <w:szCs w:val="24"/>
                <w:lang w:eastAsia="lv-LV"/>
              </w:rPr>
            </w:pPr>
          </w:p>
          <w:p w14:paraId="17E04D23" w14:textId="77777777" w:rsidR="00286064" w:rsidRPr="008B7F6D" w:rsidRDefault="00286064" w:rsidP="00C81002">
            <w:pPr>
              <w:rPr>
                <w:rFonts w:ascii="Times New Roman" w:eastAsia="Times New Roman" w:hAnsi="Times New Roman"/>
                <w:sz w:val="24"/>
                <w:szCs w:val="24"/>
                <w:lang w:eastAsia="lv-LV"/>
              </w:rPr>
            </w:pPr>
          </w:p>
          <w:p w14:paraId="12FC0186" w14:textId="77777777" w:rsidR="00286064" w:rsidRPr="008B7F6D" w:rsidRDefault="00286064" w:rsidP="00C81002">
            <w:pPr>
              <w:rPr>
                <w:rFonts w:ascii="Times New Roman" w:eastAsia="Times New Roman" w:hAnsi="Times New Roman"/>
                <w:sz w:val="24"/>
                <w:szCs w:val="24"/>
                <w:lang w:eastAsia="lv-LV"/>
              </w:rPr>
            </w:pPr>
          </w:p>
          <w:p w14:paraId="68D321EE" w14:textId="77777777" w:rsidR="00286064" w:rsidRPr="008B7F6D" w:rsidRDefault="00286064" w:rsidP="00C81002">
            <w:pPr>
              <w:rPr>
                <w:rFonts w:ascii="Times New Roman" w:eastAsia="Times New Roman" w:hAnsi="Times New Roman"/>
                <w:sz w:val="24"/>
                <w:szCs w:val="24"/>
                <w:lang w:eastAsia="lv-LV"/>
              </w:rPr>
            </w:pPr>
          </w:p>
          <w:p w14:paraId="06C9A6C5" w14:textId="77777777" w:rsidR="00286064" w:rsidRPr="008B7F6D" w:rsidRDefault="00286064" w:rsidP="00C81002">
            <w:pPr>
              <w:rPr>
                <w:rFonts w:ascii="Times New Roman" w:eastAsia="Times New Roman" w:hAnsi="Times New Roman"/>
                <w:sz w:val="24"/>
                <w:szCs w:val="24"/>
                <w:lang w:eastAsia="lv-LV"/>
              </w:rPr>
            </w:pPr>
          </w:p>
          <w:p w14:paraId="010F77FC" w14:textId="77777777" w:rsidR="00286064" w:rsidRPr="008B7F6D" w:rsidRDefault="00286064" w:rsidP="00C81002">
            <w:pPr>
              <w:rPr>
                <w:rFonts w:ascii="Times New Roman" w:eastAsia="Times New Roman" w:hAnsi="Times New Roman"/>
                <w:sz w:val="24"/>
                <w:szCs w:val="24"/>
                <w:lang w:eastAsia="lv-LV"/>
              </w:rPr>
            </w:pPr>
          </w:p>
          <w:p w14:paraId="497ABCAA" w14:textId="77777777" w:rsidR="00286064" w:rsidRPr="008B7F6D" w:rsidRDefault="00286064" w:rsidP="00C81002">
            <w:pPr>
              <w:rPr>
                <w:rFonts w:ascii="Times New Roman" w:eastAsia="Times New Roman" w:hAnsi="Times New Roman"/>
                <w:sz w:val="24"/>
                <w:szCs w:val="24"/>
                <w:lang w:eastAsia="lv-LV"/>
              </w:rPr>
            </w:pPr>
          </w:p>
          <w:p w14:paraId="04A48F7E" w14:textId="77777777" w:rsidR="00286064" w:rsidRPr="008B7F6D" w:rsidRDefault="00286064" w:rsidP="00C81002">
            <w:pPr>
              <w:rPr>
                <w:rFonts w:ascii="Times New Roman" w:eastAsia="Times New Roman" w:hAnsi="Times New Roman"/>
                <w:sz w:val="24"/>
                <w:szCs w:val="24"/>
                <w:lang w:eastAsia="lv-LV"/>
              </w:rPr>
            </w:pPr>
          </w:p>
          <w:p w14:paraId="38218986" w14:textId="77777777" w:rsidR="00286064" w:rsidRPr="008B7F6D" w:rsidRDefault="00286064" w:rsidP="00C81002">
            <w:pPr>
              <w:jc w:val="center"/>
              <w:rPr>
                <w:rFonts w:ascii="Times New Roman" w:eastAsia="Times New Roman" w:hAnsi="Times New Roman"/>
                <w:sz w:val="24"/>
                <w:szCs w:val="24"/>
                <w:lang w:eastAsia="lv-LV"/>
              </w:rPr>
            </w:pP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79A5AEB8" w14:textId="77777777" w:rsidR="0023122B" w:rsidRPr="008B7F6D" w:rsidRDefault="00EF38D4" w:rsidP="0023122B">
            <w:pPr>
              <w:spacing w:after="0" w:line="240" w:lineRule="auto"/>
              <w:ind w:firstLine="479"/>
              <w:jc w:val="both"/>
              <w:rPr>
                <w:rFonts w:ascii="Times New Roman" w:hAnsi="Times New Roman"/>
                <w:sz w:val="24"/>
                <w:szCs w:val="24"/>
              </w:rPr>
            </w:pPr>
            <w:r w:rsidRPr="008B7F6D">
              <w:rPr>
                <w:rFonts w:ascii="Times New Roman" w:eastAsiaTheme="minorHAnsi" w:hAnsi="Times New Roman"/>
                <w:sz w:val="24"/>
                <w:szCs w:val="24"/>
              </w:rPr>
              <w:lastRenderedPageBreak/>
              <w:t xml:space="preserve">Ekonomikas ministrija ir izstrādājusi </w:t>
            </w:r>
            <w:r w:rsidR="003157D6">
              <w:rPr>
                <w:rFonts w:ascii="Times New Roman" w:eastAsiaTheme="minorHAnsi" w:hAnsi="Times New Roman"/>
                <w:sz w:val="24"/>
                <w:szCs w:val="24"/>
              </w:rPr>
              <w:t>Noteikumu projektu</w:t>
            </w:r>
            <w:r w:rsidR="0047682D" w:rsidRPr="008B7F6D">
              <w:rPr>
                <w:rFonts w:ascii="Times New Roman" w:hAnsi="Times New Roman"/>
                <w:sz w:val="24"/>
                <w:szCs w:val="24"/>
              </w:rPr>
              <w:t xml:space="preserve">, lai </w:t>
            </w:r>
            <w:r w:rsidR="00264B8C">
              <w:rPr>
                <w:rFonts w:ascii="Times New Roman" w:hAnsi="Times New Roman"/>
                <w:sz w:val="24"/>
                <w:szCs w:val="24"/>
              </w:rPr>
              <w:t>redakcionāli precizētu</w:t>
            </w:r>
            <w:r w:rsidR="0023122B" w:rsidRPr="008B7F6D">
              <w:rPr>
                <w:rFonts w:ascii="Times New Roman" w:hAnsi="Times New Roman"/>
                <w:sz w:val="24"/>
                <w:szCs w:val="24"/>
              </w:rPr>
              <w:t xml:space="preserve"> </w:t>
            </w:r>
            <w:r w:rsidR="00412E7E" w:rsidRPr="00D110C6">
              <w:rPr>
                <w:rFonts w:ascii="Times New Roman" w:hAnsi="Times New Roman"/>
                <w:sz w:val="24"/>
                <w:szCs w:val="24"/>
              </w:rPr>
              <w:t>Ministru kabineta 2016. gada 15. marta noteikum</w:t>
            </w:r>
            <w:r w:rsidR="00412E7E">
              <w:rPr>
                <w:rFonts w:ascii="Times New Roman" w:hAnsi="Times New Roman"/>
                <w:sz w:val="24"/>
                <w:szCs w:val="24"/>
              </w:rPr>
              <w:t>us</w:t>
            </w:r>
            <w:r w:rsidR="00412E7E" w:rsidRPr="00D110C6">
              <w:rPr>
                <w:rFonts w:ascii="Times New Roman" w:hAnsi="Times New Roman"/>
                <w:sz w:val="24"/>
                <w:szCs w:val="24"/>
              </w:rPr>
              <w:t xml:space="preserve">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0559AA" w:rsidRPr="00D110C6">
              <w:rPr>
                <w:rFonts w:ascii="Times New Roman" w:hAnsi="Times New Roman"/>
                <w:sz w:val="24"/>
                <w:szCs w:val="24"/>
              </w:rPr>
              <w:t>"</w:t>
            </w:r>
            <w:r w:rsidR="00412E7E">
              <w:rPr>
                <w:rFonts w:ascii="Times New Roman" w:hAnsi="Times New Roman"/>
                <w:sz w:val="24"/>
                <w:szCs w:val="24"/>
              </w:rPr>
              <w:t xml:space="preserve"> (turpmāk -</w:t>
            </w:r>
            <w:r w:rsidR="00D110C6">
              <w:rPr>
                <w:rFonts w:ascii="Times New Roman" w:hAnsi="Times New Roman"/>
                <w:sz w:val="24"/>
                <w:szCs w:val="24"/>
              </w:rPr>
              <w:t xml:space="preserve"> </w:t>
            </w:r>
            <w:r w:rsidR="0023122B" w:rsidRPr="008B7F6D">
              <w:rPr>
                <w:rFonts w:ascii="Times New Roman" w:hAnsi="Times New Roman"/>
                <w:sz w:val="24"/>
                <w:szCs w:val="24"/>
              </w:rPr>
              <w:t xml:space="preserve">MK </w:t>
            </w:r>
            <w:r w:rsidR="00412E7E" w:rsidRPr="008B7F6D">
              <w:rPr>
                <w:rFonts w:ascii="Times New Roman" w:hAnsi="Times New Roman"/>
                <w:sz w:val="24"/>
                <w:szCs w:val="24"/>
              </w:rPr>
              <w:t>noteikum</w:t>
            </w:r>
            <w:r w:rsidR="00412E7E">
              <w:rPr>
                <w:rFonts w:ascii="Times New Roman" w:hAnsi="Times New Roman"/>
                <w:sz w:val="24"/>
                <w:szCs w:val="24"/>
              </w:rPr>
              <w:t>i</w:t>
            </w:r>
            <w:r w:rsidR="00412E7E" w:rsidRPr="008B7F6D">
              <w:rPr>
                <w:rFonts w:ascii="Times New Roman" w:hAnsi="Times New Roman"/>
                <w:sz w:val="24"/>
                <w:szCs w:val="24"/>
              </w:rPr>
              <w:t xml:space="preserve"> </w:t>
            </w:r>
            <w:r w:rsidR="0023122B" w:rsidRPr="008B7F6D">
              <w:rPr>
                <w:rFonts w:ascii="Times New Roman" w:hAnsi="Times New Roman"/>
                <w:sz w:val="24"/>
                <w:szCs w:val="24"/>
              </w:rPr>
              <w:t>Nr. 160</w:t>
            </w:r>
            <w:r w:rsidR="00412E7E">
              <w:rPr>
                <w:rFonts w:ascii="Times New Roman" w:hAnsi="Times New Roman"/>
                <w:sz w:val="24"/>
                <w:szCs w:val="24"/>
              </w:rPr>
              <w:t>)</w:t>
            </w:r>
            <w:r w:rsidR="0023122B" w:rsidRPr="008B7F6D">
              <w:rPr>
                <w:rFonts w:ascii="Times New Roman" w:hAnsi="Times New Roman"/>
                <w:sz w:val="24"/>
                <w:szCs w:val="24"/>
              </w:rPr>
              <w:t xml:space="preserve">, kā arī, lai </w:t>
            </w:r>
            <w:r w:rsidR="00412E7E" w:rsidRPr="008B7F6D">
              <w:rPr>
                <w:rFonts w:ascii="Times New Roman" w:hAnsi="Times New Roman"/>
                <w:sz w:val="24"/>
                <w:szCs w:val="24"/>
              </w:rPr>
              <w:t>p</w:t>
            </w:r>
            <w:r w:rsidR="00412E7E">
              <w:rPr>
                <w:rFonts w:ascii="Times New Roman" w:hAnsi="Times New Roman"/>
                <w:sz w:val="24"/>
                <w:szCs w:val="24"/>
              </w:rPr>
              <w:t xml:space="preserve">alielinātu MK noteikumos Nr. 160 </w:t>
            </w:r>
            <w:r w:rsidR="00412E7E">
              <w:rPr>
                <w:rFonts w:ascii="Times New Roman" w:hAnsi="Times New Roman"/>
                <w:sz w:val="24"/>
                <w:szCs w:val="24"/>
              </w:rPr>
              <w:lastRenderedPageBreak/>
              <w:t xml:space="preserve">noteikto </w:t>
            </w:r>
            <w:proofErr w:type="spellStart"/>
            <w:r w:rsidR="00412E7E">
              <w:rPr>
                <w:rFonts w:ascii="Times New Roman" w:hAnsi="Times New Roman"/>
                <w:sz w:val="24"/>
                <w:szCs w:val="24"/>
              </w:rPr>
              <w:t>granta</w:t>
            </w:r>
            <w:proofErr w:type="spellEnd"/>
            <w:r w:rsidR="00412E7E">
              <w:rPr>
                <w:rFonts w:ascii="Times New Roman" w:hAnsi="Times New Roman"/>
                <w:sz w:val="24"/>
                <w:szCs w:val="24"/>
              </w:rPr>
              <w:t xml:space="preserve"> apjomu, kā rezultātā tiktu nodrošināts lielāks </w:t>
            </w:r>
            <w:r w:rsidR="00412E7E" w:rsidRPr="00191E98">
              <w:rPr>
                <w:rFonts w:ascii="Times New Roman" w:hAnsi="Times New Roman"/>
                <w:sz w:val="24"/>
                <w:szCs w:val="24"/>
              </w:rPr>
              <w:t>mājsaimniecīb</w:t>
            </w:r>
            <w:r w:rsidR="00412E7E">
              <w:rPr>
                <w:rFonts w:ascii="Times New Roman" w:hAnsi="Times New Roman"/>
                <w:sz w:val="24"/>
                <w:szCs w:val="24"/>
              </w:rPr>
              <w:t>u skaits</w:t>
            </w:r>
            <w:r w:rsidR="00412E7E" w:rsidRPr="00191E98">
              <w:rPr>
                <w:rFonts w:ascii="Times New Roman" w:hAnsi="Times New Roman"/>
                <w:sz w:val="24"/>
                <w:szCs w:val="24"/>
              </w:rPr>
              <w:t xml:space="preserve"> ar uzlabotu enerģijas patēriņa klasifikāciju</w:t>
            </w:r>
            <w:r w:rsidR="00412E7E">
              <w:rPr>
                <w:rFonts w:ascii="Times New Roman" w:hAnsi="Times New Roman"/>
                <w:sz w:val="24"/>
                <w:szCs w:val="24"/>
              </w:rPr>
              <w:t>.</w:t>
            </w:r>
            <w:r w:rsidR="0023122B" w:rsidRPr="008B7F6D">
              <w:rPr>
                <w:rFonts w:ascii="Times New Roman" w:hAnsi="Times New Roman"/>
                <w:sz w:val="24"/>
                <w:szCs w:val="24"/>
              </w:rPr>
              <w:t xml:space="preserve"> </w:t>
            </w:r>
          </w:p>
          <w:p w14:paraId="642CCF43" w14:textId="77777777" w:rsidR="00B92258" w:rsidRPr="008B7F6D" w:rsidRDefault="00412E7E" w:rsidP="00943FD1">
            <w:pPr>
              <w:spacing w:after="240" w:line="240" w:lineRule="auto"/>
              <w:ind w:firstLine="476"/>
              <w:jc w:val="both"/>
              <w:rPr>
                <w:rFonts w:ascii="Times New Roman" w:hAnsi="Times New Roman"/>
                <w:sz w:val="24"/>
                <w:szCs w:val="24"/>
              </w:rPr>
            </w:pPr>
            <w:r>
              <w:rPr>
                <w:rFonts w:ascii="Times New Roman" w:hAnsi="Times New Roman"/>
                <w:sz w:val="24"/>
                <w:szCs w:val="24"/>
              </w:rPr>
              <w:t>Noteikumu</w:t>
            </w:r>
            <w:r w:rsidRPr="008B7F6D">
              <w:rPr>
                <w:rFonts w:ascii="Times New Roman" w:hAnsi="Times New Roman"/>
                <w:sz w:val="24"/>
                <w:szCs w:val="24"/>
              </w:rPr>
              <w:t xml:space="preserve"> </w:t>
            </w:r>
            <w:r w:rsidR="00107A0D" w:rsidRPr="008B7F6D">
              <w:rPr>
                <w:rFonts w:ascii="Times New Roman" w:hAnsi="Times New Roman"/>
                <w:sz w:val="24"/>
                <w:szCs w:val="24"/>
              </w:rPr>
              <w:t>projekts paredz šādas izmaiņas</w:t>
            </w:r>
            <w:r>
              <w:rPr>
                <w:rFonts w:ascii="Times New Roman" w:hAnsi="Times New Roman"/>
                <w:sz w:val="24"/>
                <w:szCs w:val="24"/>
              </w:rPr>
              <w:t xml:space="preserve"> </w:t>
            </w:r>
            <w:r w:rsidRPr="008B7F6D">
              <w:rPr>
                <w:rFonts w:ascii="Times New Roman" w:hAnsi="Times New Roman"/>
                <w:sz w:val="24"/>
                <w:szCs w:val="24"/>
              </w:rPr>
              <w:t>MK noteikumos Nr. 160</w:t>
            </w:r>
            <w:r w:rsidR="00107A0D" w:rsidRPr="008B7F6D">
              <w:rPr>
                <w:rFonts w:ascii="Times New Roman" w:hAnsi="Times New Roman"/>
                <w:sz w:val="24"/>
                <w:szCs w:val="24"/>
              </w:rPr>
              <w:t>:</w:t>
            </w:r>
          </w:p>
          <w:p w14:paraId="26183873" w14:textId="77777777" w:rsidR="00191B21" w:rsidRDefault="00191B21" w:rsidP="00191B21">
            <w:pPr>
              <w:pStyle w:val="ListParagraph"/>
              <w:numPr>
                <w:ilvl w:val="0"/>
                <w:numId w:val="1"/>
              </w:numPr>
              <w:spacing w:after="0" w:line="240" w:lineRule="auto"/>
              <w:ind w:left="720" w:right="-1"/>
              <w:jc w:val="both"/>
              <w:rPr>
                <w:rFonts w:ascii="Times New Roman" w:hAnsi="Times New Roman"/>
                <w:b/>
                <w:i/>
                <w:sz w:val="24"/>
                <w:szCs w:val="24"/>
                <w:u w:val="single"/>
              </w:rPr>
            </w:pPr>
            <w:r>
              <w:rPr>
                <w:rFonts w:ascii="Times New Roman" w:hAnsi="Times New Roman"/>
                <w:b/>
                <w:i/>
                <w:sz w:val="24"/>
                <w:szCs w:val="24"/>
                <w:u w:val="single"/>
              </w:rPr>
              <w:t xml:space="preserve">Precizēt </w:t>
            </w:r>
            <w:r w:rsidRPr="00191B21">
              <w:rPr>
                <w:rFonts w:ascii="Times New Roman" w:hAnsi="Times New Roman"/>
                <w:b/>
                <w:i/>
                <w:sz w:val="24"/>
                <w:szCs w:val="24"/>
                <w:u w:val="single"/>
              </w:rPr>
              <w:t>4.2.1.1. pasākuma finansējuma sadalījumu</w:t>
            </w:r>
            <w:r>
              <w:rPr>
                <w:rFonts w:ascii="Times New Roman" w:hAnsi="Times New Roman"/>
                <w:b/>
                <w:i/>
                <w:sz w:val="24"/>
                <w:szCs w:val="24"/>
                <w:u w:val="single"/>
              </w:rPr>
              <w:t>.</w:t>
            </w:r>
          </w:p>
          <w:p w14:paraId="0A3A57F7" w14:textId="77777777" w:rsidR="00843E71" w:rsidRDefault="00696F88" w:rsidP="000D31F5">
            <w:pPr>
              <w:spacing w:after="0" w:line="240" w:lineRule="auto"/>
              <w:ind w:firstLine="540"/>
              <w:jc w:val="both"/>
              <w:rPr>
                <w:rFonts w:ascii="Times New Roman" w:hAnsi="Times New Roman"/>
                <w:sz w:val="24"/>
                <w:szCs w:val="24"/>
              </w:rPr>
            </w:pPr>
            <w:r>
              <w:rPr>
                <w:rFonts w:ascii="Times New Roman" w:hAnsi="Times New Roman"/>
                <w:sz w:val="24"/>
                <w:szCs w:val="24"/>
              </w:rPr>
              <w:t xml:space="preserve">Šī brīža </w:t>
            </w:r>
            <w:r w:rsidR="0018344B" w:rsidRPr="0018344B">
              <w:rPr>
                <w:rFonts w:ascii="Times New Roman" w:hAnsi="Times New Roman"/>
                <w:sz w:val="24"/>
                <w:szCs w:val="24"/>
              </w:rPr>
              <w:t>MK noteikumu Nr. 160 redakcijā noteikts</w:t>
            </w:r>
            <w:r w:rsidR="0018344B">
              <w:rPr>
                <w:rFonts w:ascii="Times New Roman" w:hAnsi="Times New Roman"/>
                <w:sz w:val="24"/>
                <w:szCs w:val="24"/>
              </w:rPr>
              <w:t xml:space="preserve">, ka kopējais </w:t>
            </w:r>
            <w:r w:rsidR="0018344B" w:rsidRPr="0018344B">
              <w:rPr>
                <w:rFonts w:ascii="Times New Roman" w:hAnsi="Times New Roman"/>
                <w:sz w:val="24"/>
                <w:szCs w:val="24"/>
              </w:rPr>
              <w:t xml:space="preserve"> attiecināmais finansējuma apmērs </w:t>
            </w:r>
            <w:proofErr w:type="spellStart"/>
            <w:r w:rsidR="0018344B" w:rsidRPr="0018344B">
              <w:rPr>
                <w:rFonts w:ascii="Times New Roman" w:hAnsi="Times New Roman"/>
                <w:sz w:val="24"/>
                <w:szCs w:val="24"/>
              </w:rPr>
              <w:t>grantu</w:t>
            </w:r>
            <w:proofErr w:type="spellEnd"/>
            <w:r w:rsidR="0018344B" w:rsidRPr="0018344B">
              <w:rPr>
                <w:rFonts w:ascii="Times New Roman" w:hAnsi="Times New Roman"/>
                <w:sz w:val="24"/>
                <w:szCs w:val="24"/>
              </w:rPr>
              <w:t xml:space="preserve"> un </w:t>
            </w:r>
            <w:r w:rsidR="00412E7E">
              <w:rPr>
                <w:rFonts w:ascii="Times New Roman" w:hAnsi="Times New Roman"/>
                <w:sz w:val="24"/>
                <w:szCs w:val="24"/>
              </w:rPr>
              <w:t xml:space="preserve">akciju sabiedrības “Attīstības finanšu institūcija Altum” (turpmāk – </w:t>
            </w:r>
            <w:r w:rsidR="00412E7E" w:rsidRPr="00E97657">
              <w:rPr>
                <w:rFonts w:ascii="Times New Roman" w:hAnsi="Times New Roman"/>
                <w:sz w:val="24"/>
                <w:szCs w:val="24"/>
              </w:rPr>
              <w:t>Altum</w:t>
            </w:r>
            <w:r w:rsidR="00412E7E">
              <w:rPr>
                <w:rFonts w:ascii="Times New Roman" w:hAnsi="Times New Roman"/>
                <w:sz w:val="24"/>
                <w:szCs w:val="24"/>
              </w:rPr>
              <w:t>)</w:t>
            </w:r>
            <w:r w:rsidR="0005305B" w:rsidRPr="00E97657">
              <w:rPr>
                <w:rFonts w:ascii="Times New Roman" w:hAnsi="Times New Roman"/>
                <w:sz w:val="24"/>
                <w:szCs w:val="24"/>
              </w:rPr>
              <w:t xml:space="preserve"> </w:t>
            </w:r>
            <w:r w:rsidR="0018344B" w:rsidRPr="0018344B">
              <w:rPr>
                <w:rFonts w:ascii="Times New Roman" w:hAnsi="Times New Roman"/>
                <w:sz w:val="24"/>
                <w:szCs w:val="24"/>
              </w:rPr>
              <w:t>projekta vadības un īstenošanas, kā arī konsultatīvā atbalsta izmaksām ir 134</w:t>
            </w:r>
            <w:r w:rsidR="002159CD">
              <w:rPr>
                <w:rFonts w:ascii="Times New Roman" w:hAnsi="Times New Roman"/>
                <w:sz w:val="24"/>
                <w:szCs w:val="24"/>
              </w:rPr>
              <w:t> </w:t>
            </w:r>
            <w:r w:rsidR="0018344B" w:rsidRPr="0018344B">
              <w:rPr>
                <w:rFonts w:ascii="Times New Roman" w:hAnsi="Times New Roman"/>
                <w:sz w:val="24"/>
                <w:szCs w:val="24"/>
              </w:rPr>
              <w:t xml:space="preserve">450 909 </w:t>
            </w:r>
            <w:r w:rsidR="0018344B" w:rsidRPr="0018344B">
              <w:rPr>
                <w:rFonts w:ascii="Times New Roman" w:hAnsi="Times New Roman"/>
                <w:i/>
                <w:sz w:val="24"/>
                <w:szCs w:val="24"/>
              </w:rPr>
              <w:t>euro</w:t>
            </w:r>
            <w:r w:rsidR="0018344B" w:rsidRPr="0018344B">
              <w:rPr>
                <w:rFonts w:ascii="Times New Roman" w:hAnsi="Times New Roman"/>
                <w:sz w:val="24"/>
                <w:szCs w:val="24"/>
              </w:rPr>
              <w:t xml:space="preserve">, ieskaitot Eiropas Reģionālās attīstības fonda </w:t>
            </w:r>
            <w:r w:rsidR="00C20E04" w:rsidRPr="0018344B">
              <w:rPr>
                <w:rFonts w:ascii="Times New Roman" w:hAnsi="Times New Roman"/>
                <w:sz w:val="24"/>
                <w:szCs w:val="24"/>
              </w:rPr>
              <w:t xml:space="preserve">finansējumu </w:t>
            </w:r>
            <w:r w:rsidR="00C20E04">
              <w:rPr>
                <w:rFonts w:ascii="Times New Roman" w:hAnsi="Times New Roman"/>
                <w:sz w:val="24"/>
                <w:szCs w:val="24"/>
              </w:rPr>
              <w:t xml:space="preserve">(turpmāk – ERAF) </w:t>
            </w:r>
            <w:r w:rsidR="0018344B" w:rsidRPr="0018344B">
              <w:rPr>
                <w:rFonts w:ascii="Times New Roman" w:hAnsi="Times New Roman"/>
                <w:sz w:val="24"/>
                <w:szCs w:val="24"/>
              </w:rPr>
              <w:t xml:space="preserve">114 387 317 </w:t>
            </w:r>
            <w:r w:rsidR="0018344B" w:rsidRPr="0018344B">
              <w:rPr>
                <w:rFonts w:ascii="Times New Roman" w:hAnsi="Times New Roman"/>
                <w:i/>
                <w:sz w:val="24"/>
                <w:szCs w:val="24"/>
              </w:rPr>
              <w:t>euro</w:t>
            </w:r>
            <w:r w:rsidR="0018344B" w:rsidRPr="0018344B">
              <w:rPr>
                <w:rFonts w:ascii="Times New Roman" w:hAnsi="Times New Roman"/>
                <w:sz w:val="24"/>
                <w:szCs w:val="24"/>
              </w:rPr>
              <w:t xml:space="preserve"> </w:t>
            </w:r>
            <w:r w:rsidR="00412E7E">
              <w:rPr>
                <w:rFonts w:ascii="Times New Roman" w:hAnsi="Times New Roman"/>
                <w:sz w:val="24"/>
                <w:szCs w:val="24"/>
              </w:rPr>
              <w:t xml:space="preserve">apmērā </w:t>
            </w:r>
            <w:r w:rsidR="0018344B" w:rsidRPr="0018344B">
              <w:rPr>
                <w:rFonts w:ascii="Times New Roman" w:hAnsi="Times New Roman"/>
                <w:sz w:val="24"/>
                <w:szCs w:val="24"/>
              </w:rPr>
              <w:t xml:space="preserve">un valsts budžeta finansējumu 20 063 592 </w:t>
            </w:r>
            <w:r w:rsidR="0018344B" w:rsidRPr="0018344B">
              <w:rPr>
                <w:rFonts w:ascii="Times New Roman" w:hAnsi="Times New Roman"/>
                <w:i/>
                <w:sz w:val="24"/>
                <w:szCs w:val="24"/>
              </w:rPr>
              <w:t>euro</w:t>
            </w:r>
            <w:r w:rsidR="002159CD">
              <w:rPr>
                <w:rFonts w:ascii="Times New Roman" w:hAnsi="Times New Roman"/>
                <w:i/>
                <w:sz w:val="24"/>
                <w:szCs w:val="24"/>
              </w:rPr>
              <w:t xml:space="preserve"> </w:t>
            </w:r>
            <w:r w:rsidR="00412E7E" w:rsidRPr="002159CD">
              <w:rPr>
                <w:rFonts w:ascii="Times New Roman" w:hAnsi="Times New Roman"/>
                <w:sz w:val="24"/>
                <w:szCs w:val="24"/>
              </w:rPr>
              <w:t>apmērā</w:t>
            </w:r>
            <w:r w:rsidR="0018344B">
              <w:rPr>
                <w:rFonts w:ascii="Times New Roman" w:hAnsi="Times New Roman"/>
                <w:sz w:val="24"/>
                <w:szCs w:val="24"/>
              </w:rPr>
              <w:t>.</w:t>
            </w:r>
          </w:p>
          <w:p w14:paraId="7B4D5D71" w14:textId="77777777" w:rsidR="00317CDC" w:rsidRDefault="0018344B" w:rsidP="000D31F5">
            <w:pPr>
              <w:spacing w:after="0" w:line="240" w:lineRule="auto"/>
              <w:ind w:firstLine="540"/>
              <w:jc w:val="both"/>
              <w:rPr>
                <w:rFonts w:ascii="Times New Roman" w:hAnsi="Times New Roman"/>
                <w:sz w:val="24"/>
                <w:szCs w:val="24"/>
              </w:rPr>
            </w:pPr>
            <w:r>
              <w:rPr>
                <w:rFonts w:ascii="Times New Roman" w:hAnsi="Times New Roman"/>
                <w:sz w:val="24"/>
                <w:szCs w:val="24"/>
              </w:rPr>
              <w:t>Vienlaikus kopējais</w:t>
            </w:r>
            <w:r w:rsidRPr="0018344B">
              <w:rPr>
                <w:rFonts w:ascii="Times New Roman" w:hAnsi="Times New Roman"/>
                <w:sz w:val="24"/>
                <w:szCs w:val="24"/>
              </w:rPr>
              <w:t xml:space="preserve"> attiecināmais </w:t>
            </w:r>
            <w:r>
              <w:rPr>
                <w:rFonts w:ascii="Times New Roman" w:hAnsi="Times New Roman"/>
                <w:sz w:val="24"/>
                <w:szCs w:val="24"/>
              </w:rPr>
              <w:t>ERAF</w:t>
            </w:r>
            <w:r w:rsidRPr="0018344B">
              <w:rPr>
                <w:rFonts w:ascii="Times New Roman" w:hAnsi="Times New Roman"/>
                <w:sz w:val="24"/>
                <w:szCs w:val="24"/>
              </w:rPr>
              <w:t xml:space="preserve"> finansējuma apmērs</w:t>
            </w:r>
            <w:r>
              <w:rPr>
                <w:rFonts w:ascii="Times New Roman" w:hAnsi="Times New Roman"/>
                <w:sz w:val="24"/>
                <w:szCs w:val="24"/>
              </w:rPr>
              <w:t xml:space="preserve"> </w:t>
            </w:r>
            <w:r w:rsidRPr="0018344B">
              <w:rPr>
                <w:rFonts w:ascii="Times New Roman" w:hAnsi="Times New Roman"/>
                <w:sz w:val="24"/>
                <w:szCs w:val="24"/>
              </w:rPr>
              <w:t>finanšu instrumentam, tai skaitā aizdevumu, garantiju un finanšu instrumenta pārvaldības izmaksām</w:t>
            </w:r>
            <w:r>
              <w:rPr>
                <w:rFonts w:ascii="Times New Roman" w:hAnsi="Times New Roman"/>
                <w:sz w:val="24"/>
                <w:szCs w:val="24"/>
              </w:rPr>
              <w:t xml:space="preserve"> ir </w:t>
            </w:r>
            <w:r w:rsidRPr="0018344B">
              <w:rPr>
                <w:rFonts w:ascii="Times New Roman" w:hAnsi="Times New Roman"/>
                <w:sz w:val="24"/>
                <w:szCs w:val="24"/>
              </w:rPr>
              <w:t xml:space="preserve">32 011 823 </w:t>
            </w:r>
            <w:r w:rsidRPr="0018344B">
              <w:rPr>
                <w:rFonts w:ascii="Times New Roman" w:hAnsi="Times New Roman"/>
                <w:i/>
                <w:sz w:val="24"/>
                <w:szCs w:val="24"/>
              </w:rPr>
              <w:t>euro</w:t>
            </w:r>
            <w:r w:rsidR="002159CD">
              <w:rPr>
                <w:rFonts w:ascii="Times New Roman" w:hAnsi="Times New Roman"/>
                <w:sz w:val="24"/>
                <w:szCs w:val="24"/>
              </w:rPr>
              <w:t xml:space="preserve"> </w:t>
            </w:r>
            <w:r w:rsidR="00412E7E">
              <w:rPr>
                <w:rFonts w:ascii="Times New Roman" w:hAnsi="Times New Roman"/>
                <w:sz w:val="24"/>
                <w:szCs w:val="24"/>
              </w:rPr>
              <w:t>(ERAF</w:t>
            </w:r>
            <w:r w:rsidR="00412E7E" w:rsidRPr="0018344B">
              <w:rPr>
                <w:rFonts w:ascii="Times New Roman" w:hAnsi="Times New Roman"/>
                <w:sz w:val="24"/>
                <w:szCs w:val="24"/>
              </w:rPr>
              <w:t xml:space="preserve"> finansējum</w:t>
            </w:r>
            <w:r w:rsidR="00412E7E">
              <w:rPr>
                <w:rFonts w:ascii="Times New Roman" w:hAnsi="Times New Roman"/>
                <w:sz w:val="24"/>
                <w:szCs w:val="24"/>
              </w:rPr>
              <w:t>s</w:t>
            </w:r>
            <w:r w:rsidRPr="0018344B">
              <w:rPr>
                <w:rFonts w:ascii="Times New Roman" w:hAnsi="Times New Roman"/>
                <w:sz w:val="24"/>
                <w:szCs w:val="24"/>
              </w:rPr>
              <w:t xml:space="preserve"> 27 106 000 </w:t>
            </w:r>
            <w:r w:rsidRPr="0018344B">
              <w:rPr>
                <w:rFonts w:ascii="Times New Roman" w:hAnsi="Times New Roman"/>
                <w:i/>
                <w:sz w:val="24"/>
                <w:szCs w:val="24"/>
              </w:rPr>
              <w:t>euro</w:t>
            </w:r>
            <w:r w:rsidRPr="0018344B">
              <w:rPr>
                <w:rFonts w:ascii="Times New Roman" w:hAnsi="Times New Roman"/>
                <w:sz w:val="24"/>
                <w:szCs w:val="24"/>
              </w:rPr>
              <w:t xml:space="preserve"> un valsts budžeta līdzfinansējum</w:t>
            </w:r>
            <w:r w:rsidR="00412E7E">
              <w:rPr>
                <w:rFonts w:ascii="Times New Roman" w:hAnsi="Times New Roman"/>
                <w:sz w:val="24"/>
                <w:szCs w:val="24"/>
              </w:rPr>
              <w:t>s</w:t>
            </w:r>
            <w:r w:rsidRPr="0018344B">
              <w:rPr>
                <w:rFonts w:ascii="Times New Roman" w:hAnsi="Times New Roman"/>
                <w:sz w:val="24"/>
                <w:szCs w:val="24"/>
              </w:rPr>
              <w:t xml:space="preserve"> 4</w:t>
            </w:r>
            <w:r w:rsidR="002159CD">
              <w:rPr>
                <w:rFonts w:ascii="Times New Roman" w:hAnsi="Times New Roman"/>
                <w:sz w:val="24"/>
                <w:szCs w:val="24"/>
              </w:rPr>
              <w:t> </w:t>
            </w:r>
            <w:r w:rsidRPr="0018344B">
              <w:rPr>
                <w:rFonts w:ascii="Times New Roman" w:hAnsi="Times New Roman"/>
                <w:sz w:val="24"/>
                <w:szCs w:val="24"/>
              </w:rPr>
              <w:t>905</w:t>
            </w:r>
            <w:r w:rsidR="002159CD">
              <w:rPr>
                <w:rFonts w:ascii="Times New Roman" w:hAnsi="Times New Roman"/>
                <w:sz w:val="24"/>
                <w:szCs w:val="24"/>
              </w:rPr>
              <w:t> </w:t>
            </w:r>
            <w:r w:rsidRPr="0018344B">
              <w:rPr>
                <w:rFonts w:ascii="Times New Roman" w:hAnsi="Times New Roman"/>
                <w:sz w:val="24"/>
                <w:szCs w:val="24"/>
              </w:rPr>
              <w:t xml:space="preserve">823 </w:t>
            </w:r>
            <w:r w:rsidRPr="0018344B">
              <w:rPr>
                <w:rFonts w:ascii="Times New Roman" w:hAnsi="Times New Roman"/>
                <w:i/>
                <w:sz w:val="24"/>
                <w:szCs w:val="24"/>
              </w:rPr>
              <w:t>euro</w:t>
            </w:r>
            <w:r w:rsidR="00412E7E">
              <w:rPr>
                <w:rFonts w:ascii="Times New Roman" w:hAnsi="Times New Roman"/>
                <w:sz w:val="24"/>
                <w:szCs w:val="24"/>
              </w:rPr>
              <w:t>)</w:t>
            </w:r>
            <w:r w:rsidR="008F0DA2" w:rsidRPr="002159CD">
              <w:rPr>
                <w:rFonts w:ascii="Times New Roman" w:hAnsi="Times New Roman"/>
                <w:sz w:val="24"/>
                <w:szCs w:val="24"/>
              </w:rPr>
              <w:t>,</w:t>
            </w:r>
            <w:r w:rsidR="008F0DA2">
              <w:rPr>
                <w:rFonts w:ascii="Times New Roman" w:hAnsi="Times New Roman"/>
                <w:sz w:val="24"/>
                <w:szCs w:val="24"/>
              </w:rPr>
              <w:t xml:space="preserve"> kas nozīmē, ka proporcija starp finansējuma apmēru </w:t>
            </w:r>
            <w:proofErr w:type="spellStart"/>
            <w:r w:rsidR="008F0DA2">
              <w:rPr>
                <w:rFonts w:ascii="Times New Roman" w:hAnsi="Times New Roman"/>
                <w:sz w:val="24"/>
                <w:szCs w:val="24"/>
              </w:rPr>
              <w:t>grantu</w:t>
            </w:r>
            <w:proofErr w:type="spellEnd"/>
            <w:r w:rsidR="008F0DA2">
              <w:rPr>
                <w:rFonts w:ascii="Times New Roman" w:hAnsi="Times New Roman"/>
                <w:sz w:val="24"/>
                <w:szCs w:val="24"/>
              </w:rPr>
              <w:t xml:space="preserve"> un finanšu instrument</w:t>
            </w:r>
            <w:r w:rsidR="00531E3D">
              <w:rPr>
                <w:rFonts w:ascii="Times New Roman" w:hAnsi="Times New Roman"/>
                <w:sz w:val="24"/>
                <w:szCs w:val="24"/>
              </w:rPr>
              <w:t>a</w:t>
            </w:r>
            <w:r w:rsidR="008F0DA2">
              <w:rPr>
                <w:rFonts w:ascii="Times New Roman" w:hAnsi="Times New Roman"/>
                <w:sz w:val="24"/>
                <w:szCs w:val="24"/>
              </w:rPr>
              <w:t xml:space="preserve"> atbalstam attiecīgi ir 80,77%  un 19,23% no kopējā attiecināmā finansējuma.</w:t>
            </w:r>
          </w:p>
          <w:p w14:paraId="6206B986" w14:textId="77777777" w:rsidR="00980AD5" w:rsidRPr="00980AD5" w:rsidRDefault="000559AA" w:rsidP="00980AD5">
            <w:pPr>
              <w:spacing w:after="0" w:line="240" w:lineRule="auto"/>
              <w:ind w:firstLine="540"/>
              <w:jc w:val="both"/>
              <w:rPr>
                <w:rFonts w:ascii="Times New Roman" w:hAnsi="Times New Roman"/>
                <w:sz w:val="24"/>
                <w:szCs w:val="24"/>
              </w:rPr>
            </w:pPr>
            <w:r>
              <w:rPr>
                <w:rFonts w:ascii="Times New Roman" w:hAnsi="Times New Roman"/>
                <w:sz w:val="24"/>
                <w:szCs w:val="24"/>
              </w:rPr>
              <w:t>L</w:t>
            </w:r>
            <w:r w:rsidR="00C20E04">
              <w:rPr>
                <w:rFonts w:ascii="Times New Roman" w:hAnsi="Times New Roman"/>
                <w:sz w:val="24"/>
                <w:szCs w:val="24"/>
              </w:rPr>
              <w:t xml:space="preserve">īdz 2019.gada 23.maijam </w:t>
            </w:r>
            <w:r w:rsidR="00C20E04" w:rsidRPr="00980AD5">
              <w:rPr>
                <w:rFonts w:ascii="Times New Roman" w:hAnsi="Times New Roman"/>
                <w:sz w:val="24"/>
                <w:szCs w:val="24"/>
              </w:rPr>
              <w:t xml:space="preserve">Altum </w:t>
            </w:r>
            <w:r w:rsidR="00C20E04">
              <w:rPr>
                <w:rFonts w:ascii="Times New Roman" w:hAnsi="Times New Roman"/>
                <w:sz w:val="24"/>
                <w:szCs w:val="24"/>
              </w:rPr>
              <w:t>d</w:t>
            </w:r>
            <w:r w:rsidR="00C20E04" w:rsidRPr="00626E3D">
              <w:rPr>
                <w:rFonts w:ascii="Times New Roman" w:hAnsi="Times New Roman"/>
                <w:sz w:val="24"/>
                <w:szCs w:val="24"/>
              </w:rPr>
              <w:t>arbības programmas "Izaugsme un nodarbinātība" 4.2.1. specifiskā atbalsta mērķa "Veicināt energoefektivitātes paaugstināšanu valsts un dzīvojamās ēkās" 4.2.1.1. specifiskā atbalsta mērķa pasākuma "Veicināt energoefektivitātes paaugstināšanu dzīvojamās ēkās"</w:t>
            </w:r>
            <w:r w:rsidR="00C20E04">
              <w:rPr>
                <w:rFonts w:ascii="Times New Roman" w:hAnsi="Times New Roman"/>
                <w:sz w:val="24"/>
                <w:szCs w:val="24"/>
              </w:rPr>
              <w:t xml:space="preserve"> (turpmāk – 4.2.1.1. pasākums)</w:t>
            </w:r>
            <w:r w:rsidR="00C20E04" w:rsidRPr="00626E3D">
              <w:rPr>
                <w:rFonts w:ascii="Times New Roman" w:hAnsi="Times New Roman"/>
                <w:sz w:val="24"/>
                <w:szCs w:val="24"/>
              </w:rPr>
              <w:t xml:space="preserve"> </w:t>
            </w:r>
            <w:r w:rsidR="00C20E04">
              <w:rPr>
                <w:rFonts w:ascii="Times New Roman" w:hAnsi="Times New Roman"/>
                <w:sz w:val="24"/>
                <w:szCs w:val="24"/>
              </w:rPr>
              <w:t xml:space="preserve">ietvaros </w:t>
            </w:r>
            <w:r w:rsidR="00C20E04" w:rsidRPr="00980AD5">
              <w:rPr>
                <w:rFonts w:ascii="Times New Roman" w:hAnsi="Times New Roman"/>
                <w:sz w:val="24"/>
                <w:szCs w:val="24"/>
              </w:rPr>
              <w:t>ir apstiprināj</w:t>
            </w:r>
            <w:r w:rsidR="00C20E04">
              <w:rPr>
                <w:rFonts w:ascii="Times New Roman" w:hAnsi="Times New Roman"/>
                <w:sz w:val="24"/>
                <w:szCs w:val="24"/>
              </w:rPr>
              <w:t>usi</w:t>
            </w:r>
            <w:r w:rsidR="00C20E04" w:rsidRPr="00980AD5">
              <w:rPr>
                <w:rFonts w:ascii="Times New Roman" w:hAnsi="Times New Roman"/>
                <w:sz w:val="24"/>
                <w:szCs w:val="24"/>
              </w:rPr>
              <w:t xml:space="preserve"> 16 aizdevumus 3</w:t>
            </w:r>
            <w:r w:rsidR="00C20E04">
              <w:rPr>
                <w:rFonts w:ascii="Times New Roman" w:hAnsi="Times New Roman"/>
                <w:sz w:val="24"/>
                <w:szCs w:val="24"/>
              </w:rPr>
              <w:t>,</w:t>
            </w:r>
            <w:r w:rsidR="00C20E04" w:rsidRPr="00980AD5">
              <w:rPr>
                <w:rFonts w:ascii="Times New Roman" w:hAnsi="Times New Roman"/>
                <w:sz w:val="24"/>
                <w:szCs w:val="24"/>
              </w:rPr>
              <w:t xml:space="preserve">09 milj. </w:t>
            </w:r>
            <w:r w:rsidR="00C20E04" w:rsidRPr="00EF59F1">
              <w:rPr>
                <w:rFonts w:ascii="Times New Roman" w:hAnsi="Times New Roman"/>
                <w:i/>
                <w:sz w:val="24"/>
                <w:szCs w:val="24"/>
              </w:rPr>
              <w:t>euro</w:t>
            </w:r>
            <w:r w:rsidR="00C20E04">
              <w:rPr>
                <w:rFonts w:ascii="Times New Roman" w:hAnsi="Times New Roman"/>
                <w:i/>
                <w:sz w:val="24"/>
                <w:szCs w:val="24"/>
              </w:rPr>
              <w:t xml:space="preserve"> </w:t>
            </w:r>
            <w:r w:rsidR="00C20E04" w:rsidRPr="00EF59F1">
              <w:rPr>
                <w:rFonts w:ascii="Times New Roman" w:hAnsi="Times New Roman"/>
                <w:sz w:val="24"/>
                <w:szCs w:val="24"/>
              </w:rPr>
              <w:t>apmērā</w:t>
            </w:r>
            <w:r w:rsidR="00C20E04" w:rsidRPr="00980AD5">
              <w:rPr>
                <w:rFonts w:ascii="Times New Roman" w:hAnsi="Times New Roman"/>
                <w:sz w:val="24"/>
                <w:szCs w:val="24"/>
              </w:rPr>
              <w:t xml:space="preserve"> un izsnie</w:t>
            </w:r>
            <w:r w:rsidR="00C20E04">
              <w:rPr>
                <w:rFonts w:ascii="Times New Roman" w:hAnsi="Times New Roman"/>
                <w:sz w:val="24"/>
                <w:szCs w:val="24"/>
              </w:rPr>
              <w:t>gusi</w:t>
            </w:r>
            <w:r w:rsidR="00C20E04" w:rsidRPr="00980AD5">
              <w:rPr>
                <w:rFonts w:ascii="Times New Roman" w:hAnsi="Times New Roman"/>
                <w:sz w:val="24"/>
                <w:szCs w:val="24"/>
              </w:rPr>
              <w:t xml:space="preserve"> 111 </w:t>
            </w:r>
            <w:r w:rsidR="00980AD5" w:rsidRPr="00980AD5">
              <w:rPr>
                <w:rFonts w:ascii="Times New Roman" w:hAnsi="Times New Roman"/>
                <w:sz w:val="24"/>
                <w:szCs w:val="24"/>
              </w:rPr>
              <w:t>garantijas 18</w:t>
            </w:r>
            <w:r w:rsidR="00EF59F1">
              <w:rPr>
                <w:rFonts w:ascii="Times New Roman" w:hAnsi="Times New Roman"/>
                <w:sz w:val="24"/>
                <w:szCs w:val="24"/>
              </w:rPr>
              <w:t>,</w:t>
            </w:r>
            <w:r w:rsidR="00980AD5" w:rsidRPr="00980AD5">
              <w:rPr>
                <w:rFonts w:ascii="Times New Roman" w:hAnsi="Times New Roman"/>
                <w:sz w:val="24"/>
                <w:szCs w:val="24"/>
              </w:rPr>
              <w:t xml:space="preserve">20 milj. </w:t>
            </w:r>
            <w:r w:rsidR="00980AD5" w:rsidRPr="00EF59F1">
              <w:rPr>
                <w:rFonts w:ascii="Times New Roman" w:hAnsi="Times New Roman"/>
                <w:i/>
                <w:sz w:val="24"/>
                <w:szCs w:val="24"/>
              </w:rPr>
              <w:t>euro</w:t>
            </w:r>
            <w:r w:rsidR="00EF59F1">
              <w:rPr>
                <w:rFonts w:ascii="Times New Roman" w:hAnsi="Times New Roman"/>
                <w:sz w:val="24"/>
                <w:szCs w:val="24"/>
              </w:rPr>
              <w:t xml:space="preserve"> apmērā. </w:t>
            </w:r>
            <w:r w:rsidR="00980AD5" w:rsidRPr="00980AD5">
              <w:rPr>
                <w:rFonts w:ascii="Times New Roman" w:hAnsi="Times New Roman"/>
                <w:sz w:val="24"/>
                <w:szCs w:val="24"/>
              </w:rPr>
              <w:t xml:space="preserve"> </w:t>
            </w:r>
            <w:r w:rsidR="00EF59F1">
              <w:rPr>
                <w:rFonts w:ascii="Times New Roman" w:hAnsi="Times New Roman"/>
                <w:sz w:val="24"/>
                <w:szCs w:val="24"/>
              </w:rPr>
              <w:t>Tika secināts, ka a</w:t>
            </w:r>
            <w:r w:rsidR="00980AD5" w:rsidRPr="00980AD5">
              <w:rPr>
                <w:rFonts w:ascii="Times New Roman" w:hAnsi="Times New Roman"/>
                <w:sz w:val="24"/>
                <w:szCs w:val="24"/>
              </w:rPr>
              <w:t>izdevumus izmanto 10</w:t>
            </w:r>
            <w:r w:rsidR="00EF59F1">
              <w:rPr>
                <w:rFonts w:ascii="Times New Roman" w:hAnsi="Times New Roman"/>
                <w:sz w:val="24"/>
                <w:szCs w:val="24"/>
              </w:rPr>
              <w:t>,</w:t>
            </w:r>
            <w:r w:rsidR="00980AD5" w:rsidRPr="00980AD5">
              <w:rPr>
                <w:rFonts w:ascii="Times New Roman" w:hAnsi="Times New Roman"/>
                <w:sz w:val="24"/>
                <w:szCs w:val="24"/>
              </w:rPr>
              <w:t xml:space="preserve">3% no </w:t>
            </w:r>
            <w:proofErr w:type="spellStart"/>
            <w:r w:rsidR="00980AD5" w:rsidRPr="00980AD5">
              <w:rPr>
                <w:rFonts w:ascii="Times New Roman" w:hAnsi="Times New Roman"/>
                <w:sz w:val="24"/>
                <w:szCs w:val="24"/>
              </w:rPr>
              <w:t>Altum</w:t>
            </w:r>
            <w:proofErr w:type="spellEnd"/>
            <w:r w:rsidR="00980AD5" w:rsidRPr="00980AD5">
              <w:rPr>
                <w:rFonts w:ascii="Times New Roman" w:hAnsi="Times New Roman"/>
                <w:sz w:val="24"/>
                <w:szCs w:val="24"/>
              </w:rPr>
              <w:t xml:space="preserve"> apstiprinātajiem </w:t>
            </w:r>
            <w:proofErr w:type="spellStart"/>
            <w:r w:rsidR="00980AD5" w:rsidRPr="00980AD5">
              <w:rPr>
                <w:rFonts w:ascii="Times New Roman" w:hAnsi="Times New Roman"/>
                <w:sz w:val="24"/>
                <w:szCs w:val="24"/>
              </w:rPr>
              <w:t>grantu</w:t>
            </w:r>
            <w:proofErr w:type="spellEnd"/>
            <w:r w:rsidR="00980AD5" w:rsidRPr="00980AD5">
              <w:rPr>
                <w:rFonts w:ascii="Times New Roman" w:hAnsi="Times New Roman"/>
                <w:sz w:val="24"/>
                <w:szCs w:val="24"/>
              </w:rPr>
              <w:t xml:space="preserve"> saņēmējiem un garantijas </w:t>
            </w:r>
            <w:r w:rsidR="00EF59F1">
              <w:rPr>
                <w:rFonts w:ascii="Times New Roman" w:hAnsi="Times New Roman"/>
                <w:sz w:val="24"/>
                <w:szCs w:val="24"/>
              </w:rPr>
              <w:t>–</w:t>
            </w:r>
            <w:r w:rsidR="00980AD5" w:rsidRPr="00980AD5">
              <w:rPr>
                <w:rFonts w:ascii="Times New Roman" w:hAnsi="Times New Roman"/>
                <w:sz w:val="24"/>
                <w:szCs w:val="24"/>
              </w:rPr>
              <w:t xml:space="preserve"> 71</w:t>
            </w:r>
            <w:r w:rsidR="00EF59F1">
              <w:rPr>
                <w:rFonts w:ascii="Times New Roman" w:hAnsi="Times New Roman"/>
                <w:sz w:val="24"/>
                <w:szCs w:val="24"/>
              </w:rPr>
              <w:t>,</w:t>
            </w:r>
            <w:r w:rsidR="00980AD5" w:rsidRPr="00980AD5">
              <w:rPr>
                <w:rFonts w:ascii="Times New Roman" w:hAnsi="Times New Roman"/>
                <w:sz w:val="24"/>
                <w:szCs w:val="24"/>
              </w:rPr>
              <w:t xml:space="preserve">2%. </w:t>
            </w:r>
            <w:r w:rsidR="00D8101E">
              <w:rPr>
                <w:rFonts w:ascii="Times New Roman" w:hAnsi="Times New Roman"/>
                <w:sz w:val="24"/>
                <w:szCs w:val="24"/>
              </w:rPr>
              <w:t>K</w:t>
            </w:r>
            <w:r w:rsidR="00980AD5" w:rsidRPr="00980AD5">
              <w:rPr>
                <w:rFonts w:ascii="Times New Roman" w:hAnsi="Times New Roman"/>
                <w:sz w:val="24"/>
                <w:szCs w:val="24"/>
              </w:rPr>
              <w:t xml:space="preserve">opējais rezervētais </w:t>
            </w:r>
            <w:r w:rsidR="00D8101E">
              <w:rPr>
                <w:rFonts w:ascii="Times New Roman" w:hAnsi="Times New Roman"/>
                <w:sz w:val="24"/>
                <w:szCs w:val="24"/>
              </w:rPr>
              <w:t xml:space="preserve">publiskais </w:t>
            </w:r>
            <w:r w:rsidR="00980AD5" w:rsidRPr="00980AD5">
              <w:rPr>
                <w:rFonts w:ascii="Times New Roman" w:hAnsi="Times New Roman"/>
                <w:sz w:val="24"/>
                <w:szCs w:val="24"/>
              </w:rPr>
              <w:t xml:space="preserve">finansējums finanšu instrumenta </w:t>
            </w:r>
            <w:r w:rsidR="00EF59F1">
              <w:rPr>
                <w:rFonts w:ascii="Times New Roman" w:hAnsi="Times New Roman"/>
                <w:sz w:val="24"/>
                <w:szCs w:val="24"/>
              </w:rPr>
              <w:t>atbalstam</w:t>
            </w:r>
            <w:r w:rsidR="00980AD5" w:rsidRPr="00980AD5">
              <w:rPr>
                <w:rFonts w:ascii="Times New Roman" w:hAnsi="Times New Roman"/>
                <w:sz w:val="24"/>
                <w:szCs w:val="24"/>
              </w:rPr>
              <w:t xml:space="preserve"> </w:t>
            </w:r>
            <w:r w:rsidR="00D8101E">
              <w:rPr>
                <w:rFonts w:ascii="Times New Roman" w:hAnsi="Times New Roman"/>
                <w:sz w:val="24"/>
                <w:szCs w:val="24"/>
              </w:rPr>
              <w:t xml:space="preserve">(neieskaitot vadības izmaksas) </w:t>
            </w:r>
            <w:r w:rsidR="00EF59F1">
              <w:rPr>
                <w:rFonts w:ascii="Times New Roman" w:hAnsi="Times New Roman"/>
                <w:sz w:val="24"/>
                <w:szCs w:val="24"/>
              </w:rPr>
              <w:t xml:space="preserve">uz 2019.gada </w:t>
            </w:r>
            <w:r w:rsidR="00980AD5" w:rsidRPr="00980AD5">
              <w:rPr>
                <w:rFonts w:ascii="Times New Roman" w:hAnsi="Times New Roman"/>
                <w:sz w:val="24"/>
                <w:szCs w:val="24"/>
              </w:rPr>
              <w:t>23.</w:t>
            </w:r>
            <w:r w:rsidR="00EF59F1">
              <w:rPr>
                <w:rFonts w:ascii="Times New Roman" w:hAnsi="Times New Roman"/>
                <w:sz w:val="24"/>
                <w:szCs w:val="24"/>
              </w:rPr>
              <w:t>maiju</w:t>
            </w:r>
            <w:r w:rsidR="00980AD5" w:rsidRPr="00980AD5">
              <w:rPr>
                <w:rFonts w:ascii="Times New Roman" w:hAnsi="Times New Roman"/>
                <w:sz w:val="24"/>
                <w:szCs w:val="24"/>
              </w:rPr>
              <w:t xml:space="preserve"> sasniedza </w:t>
            </w:r>
            <w:r w:rsidR="00D8101E">
              <w:rPr>
                <w:rFonts w:ascii="Times New Roman" w:hAnsi="Times New Roman"/>
                <w:sz w:val="24"/>
                <w:szCs w:val="24"/>
              </w:rPr>
              <w:t>3,89</w:t>
            </w:r>
            <w:r w:rsidR="00980AD5" w:rsidRPr="00980AD5">
              <w:rPr>
                <w:rFonts w:ascii="Times New Roman" w:hAnsi="Times New Roman"/>
                <w:sz w:val="24"/>
                <w:szCs w:val="24"/>
              </w:rPr>
              <w:t xml:space="preserve"> milj. </w:t>
            </w:r>
            <w:r w:rsidR="00EF59F1" w:rsidRPr="00EF59F1">
              <w:rPr>
                <w:rFonts w:ascii="Times New Roman" w:hAnsi="Times New Roman"/>
                <w:i/>
                <w:sz w:val="24"/>
                <w:szCs w:val="24"/>
              </w:rPr>
              <w:t>euro</w:t>
            </w:r>
            <w:r w:rsidR="0069134C">
              <w:rPr>
                <w:rFonts w:ascii="Times New Roman" w:hAnsi="Times New Roman"/>
                <w:sz w:val="24"/>
                <w:szCs w:val="24"/>
              </w:rPr>
              <w:t xml:space="preserve">, </w:t>
            </w:r>
            <w:r w:rsidR="0069134C" w:rsidRPr="0069134C">
              <w:rPr>
                <w:rFonts w:ascii="Times New Roman" w:hAnsi="Times New Roman"/>
                <w:sz w:val="24"/>
                <w:szCs w:val="24"/>
              </w:rPr>
              <w:t xml:space="preserve">no kuriem aizdevumi ir </w:t>
            </w:r>
            <w:r w:rsidR="00D8101E">
              <w:rPr>
                <w:rFonts w:ascii="Times New Roman" w:hAnsi="Times New Roman"/>
                <w:sz w:val="24"/>
                <w:szCs w:val="24"/>
              </w:rPr>
              <w:t>0,93</w:t>
            </w:r>
            <w:r w:rsidR="0069134C" w:rsidRPr="0069134C">
              <w:rPr>
                <w:rFonts w:ascii="Times New Roman" w:hAnsi="Times New Roman"/>
                <w:sz w:val="24"/>
                <w:szCs w:val="24"/>
              </w:rPr>
              <w:t xml:space="preserve"> milj. </w:t>
            </w:r>
            <w:r w:rsidR="0069134C" w:rsidRPr="00D8101E">
              <w:rPr>
                <w:rFonts w:ascii="Times New Roman" w:hAnsi="Times New Roman"/>
                <w:iCs/>
                <w:sz w:val="24"/>
                <w:szCs w:val="24"/>
              </w:rPr>
              <w:t>euro</w:t>
            </w:r>
            <w:r w:rsidR="00D8101E" w:rsidRPr="00D8101E">
              <w:rPr>
                <w:rFonts w:ascii="Times New Roman" w:hAnsi="Times New Roman"/>
                <w:iCs/>
                <w:sz w:val="24"/>
                <w:szCs w:val="24"/>
              </w:rPr>
              <w:t xml:space="preserve"> (publiskais finansējums sastāda 30% no aizdevuma kopsummas)</w:t>
            </w:r>
            <w:r w:rsidR="0069134C" w:rsidRPr="0069134C">
              <w:rPr>
                <w:rFonts w:ascii="Times New Roman" w:hAnsi="Times New Roman"/>
                <w:sz w:val="24"/>
                <w:szCs w:val="24"/>
              </w:rPr>
              <w:t xml:space="preserve"> </w:t>
            </w:r>
            <w:r w:rsidR="00D8101E">
              <w:rPr>
                <w:rFonts w:ascii="Times New Roman" w:hAnsi="Times New Roman"/>
                <w:sz w:val="24"/>
                <w:szCs w:val="24"/>
              </w:rPr>
              <w:t>un garantijām 2,96 milj. euro (multiplikators 6,15)</w:t>
            </w:r>
            <w:r w:rsidR="0069134C">
              <w:rPr>
                <w:rFonts w:ascii="Times New Roman" w:hAnsi="Times New Roman"/>
                <w:sz w:val="24"/>
                <w:szCs w:val="24"/>
              </w:rPr>
              <w:t>.</w:t>
            </w:r>
            <w:r w:rsidR="00980AD5" w:rsidRPr="00980AD5">
              <w:rPr>
                <w:rFonts w:ascii="Times New Roman" w:hAnsi="Times New Roman"/>
                <w:sz w:val="24"/>
                <w:szCs w:val="24"/>
              </w:rPr>
              <w:t xml:space="preserve"> Altum prognozē, ka saglabājoties pašreizējam pieprasījumam</w:t>
            </w:r>
            <w:r w:rsidR="00C20E04">
              <w:rPr>
                <w:rFonts w:ascii="Times New Roman" w:hAnsi="Times New Roman"/>
                <w:sz w:val="24"/>
                <w:szCs w:val="24"/>
              </w:rPr>
              <w:t>,</w:t>
            </w:r>
            <w:r w:rsidR="00980AD5" w:rsidRPr="00980AD5">
              <w:rPr>
                <w:rFonts w:ascii="Times New Roman" w:hAnsi="Times New Roman"/>
                <w:sz w:val="24"/>
                <w:szCs w:val="24"/>
              </w:rPr>
              <w:t xml:space="preserve"> līdz </w:t>
            </w:r>
            <w:r w:rsidR="00C20E04" w:rsidRPr="00980AD5">
              <w:rPr>
                <w:rFonts w:ascii="Times New Roman" w:hAnsi="Times New Roman"/>
                <w:sz w:val="24"/>
                <w:szCs w:val="24"/>
              </w:rPr>
              <w:t>4.2.1.1. pasākuma</w:t>
            </w:r>
            <w:r w:rsidR="00C20E04">
              <w:rPr>
                <w:rFonts w:ascii="Times New Roman" w:hAnsi="Times New Roman"/>
                <w:sz w:val="24"/>
                <w:szCs w:val="24"/>
              </w:rPr>
              <w:t xml:space="preserve"> atbalsta sniegšanas</w:t>
            </w:r>
            <w:r w:rsidR="00C20E04" w:rsidRPr="00980AD5">
              <w:rPr>
                <w:rFonts w:ascii="Times New Roman" w:hAnsi="Times New Roman"/>
                <w:sz w:val="24"/>
                <w:szCs w:val="24"/>
              </w:rPr>
              <w:t xml:space="preserve"> beigām</w:t>
            </w:r>
            <w:r w:rsidR="00C20E04">
              <w:rPr>
                <w:rFonts w:ascii="Times New Roman" w:hAnsi="Times New Roman"/>
                <w:sz w:val="24"/>
                <w:szCs w:val="24"/>
              </w:rPr>
              <w:t>,</w:t>
            </w:r>
            <w:r w:rsidR="00C20E04" w:rsidRPr="00980AD5">
              <w:rPr>
                <w:rFonts w:ascii="Times New Roman" w:hAnsi="Times New Roman"/>
                <w:sz w:val="24"/>
                <w:szCs w:val="24"/>
              </w:rPr>
              <w:t xml:space="preserve"> finanšu instrumenta </w:t>
            </w:r>
            <w:r w:rsidR="00C20E04">
              <w:rPr>
                <w:rFonts w:ascii="Times New Roman" w:hAnsi="Times New Roman"/>
                <w:sz w:val="24"/>
                <w:szCs w:val="24"/>
              </w:rPr>
              <w:t>īstenošanai</w:t>
            </w:r>
            <w:r w:rsidR="00C20E04" w:rsidRPr="00980AD5">
              <w:rPr>
                <w:rFonts w:ascii="Times New Roman" w:hAnsi="Times New Roman"/>
                <w:sz w:val="24"/>
                <w:szCs w:val="24"/>
              </w:rPr>
              <w:t xml:space="preserve"> izmantotā publiskā finansējuma apjoms sasniegs </w:t>
            </w:r>
            <w:r w:rsidR="00C20E04">
              <w:rPr>
                <w:rFonts w:ascii="Times New Roman" w:hAnsi="Times New Roman"/>
                <w:sz w:val="24"/>
                <w:szCs w:val="24"/>
              </w:rPr>
              <w:t>20</w:t>
            </w:r>
            <w:r w:rsidR="00C20E04" w:rsidRPr="00980AD5">
              <w:rPr>
                <w:rFonts w:ascii="Times New Roman" w:hAnsi="Times New Roman"/>
                <w:sz w:val="24"/>
                <w:szCs w:val="24"/>
              </w:rPr>
              <w:t xml:space="preserve"> 091 114 </w:t>
            </w:r>
            <w:r w:rsidR="00C20E04" w:rsidRPr="00D660F0">
              <w:rPr>
                <w:rFonts w:ascii="Times New Roman" w:hAnsi="Times New Roman"/>
                <w:i/>
                <w:sz w:val="24"/>
                <w:szCs w:val="24"/>
              </w:rPr>
              <w:t>euro</w:t>
            </w:r>
            <w:r w:rsidR="00C20E04">
              <w:rPr>
                <w:rFonts w:ascii="Times New Roman" w:hAnsi="Times New Roman"/>
                <w:sz w:val="24"/>
                <w:szCs w:val="24"/>
              </w:rPr>
              <w:t xml:space="preserve">, kas ir aptuveni par trešdaļu mazāk kā šobrīd plānots un norādīts MK noteikumos Nr. 160. Līdz ar to, lai nodrošinātu pēc iespējas lielāku skaitu daudzdzīvokļu ēku atjaunošanu, nepieciešams pārdalīt daļu finansējuma no </w:t>
            </w:r>
            <w:r w:rsidR="00C20E04" w:rsidRPr="0018344B">
              <w:rPr>
                <w:rFonts w:ascii="Times New Roman" w:hAnsi="Times New Roman"/>
                <w:sz w:val="24"/>
                <w:szCs w:val="24"/>
              </w:rPr>
              <w:t>finanšu instrumenta</w:t>
            </w:r>
            <w:r w:rsidR="00C20E04">
              <w:rPr>
                <w:rFonts w:ascii="Times New Roman" w:hAnsi="Times New Roman"/>
                <w:sz w:val="24"/>
                <w:szCs w:val="24"/>
              </w:rPr>
              <w:t xml:space="preserve"> uz </w:t>
            </w:r>
            <w:proofErr w:type="spellStart"/>
            <w:r w:rsidR="00C20E04">
              <w:rPr>
                <w:rFonts w:ascii="Times New Roman" w:hAnsi="Times New Roman"/>
                <w:sz w:val="24"/>
                <w:szCs w:val="24"/>
              </w:rPr>
              <w:t>grantu</w:t>
            </w:r>
            <w:proofErr w:type="spellEnd"/>
            <w:r w:rsidR="00C20E04">
              <w:rPr>
                <w:rFonts w:ascii="Times New Roman" w:hAnsi="Times New Roman"/>
                <w:sz w:val="24"/>
                <w:szCs w:val="24"/>
              </w:rPr>
              <w:t>.</w:t>
            </w:r>
            <w:r w:rsidR="00C72D18">
              <w:rPr>
                <w:rFonts w:ascii="Times New Roman" w:hAnsi="Times New Roman"/>
                <w:sz w:val="24"/>
                <w:szCs w:val="24"/>
              </w:rPr>
              <w:t xml:space="preserve"> Papildus, ņemot vērā finanšu instrumentu finansējuma samazinājumu, nepieciešams precizēt arī izsniedzamo garantiju un aizdevumu skaitu.</w:t>
            </w:r>
          </w:p>
          <w:p w14:paraId="37084516" w14:textId="77777777" w:rsidR="00C20E04" w:rsidRDefault="00C20E04" w:rsidP="00C20E04">
            <w:pPr>
              <w:spacing w:after="0" w:line="240" w:lineRule="auto"/>
              <w:ind w:firstLine="540"/>
              <w:jc w:val="both"/>
              <w:rPr>
                <w:rFonts w:ascii="Times New Roman" w:hAnsi="Times New Roman"/>
                <w:sz w:val="24"/>
                <w:szCs w:val="24"/>
              </w:rPr>
            </w:pPr>
            <w:r>
              <w:rPr>
                <w:rFonts w:ascii="Times New Roman" w:hAnsi="Times New Roman"/>
                <w:sz w:val="24"/>
                <w:szCs w:val="24"/>
              </w:rPr>
              <w:t xml:space="preserve">Ņemot vērā, ka uz 2019.gada </w:t>
            </w:r>
            <w:r w:rsidRPr="00980AD5">
              <w:rPr>
                <w:rFonts w:ascii="Times New Roman" w:hAnsi="Times New Roman"/>
                <w:sz w:val="24"/>
                <w:szCs w:val="24"/>
              </w:rPr>
              <w:t>23.</w:t>
            </w:r>
            <w:r>
              <w:rPr>
                <w:rFonts w:ascii="Times New Roman" w:hAnsi="Times New Roman"/>
                <w:sz w:val="24"/>
                <w:szCs w:val="24"/>
              </w:rPr>
              <w:t>maiju</w:t>
            </w:r>
            <w:r w:rsidRPr="00980AD5">
              <w:rPr>
                <w:rFonts w:ascii="Times New Roman" w:hAnsi="Times New Roman"/>
                <w:sz w:val="24"/>
                <w:szCs w:val="24"/>
              </w:rPr>
              <w:t xml:space="preserve"> Altum ir iesniegti 525 projekti par 94 milj. </w:t>
            </w:r>
            <w:r w:rsidRPr="00D660F0">
              <w:rPr>
                <w:rFonts w:ascii="Times New Roman" w:hAnsi="Times New Roman"/>
                <w:i/>
                <w:sz w:val="24"/>
                <w:szCs w:val="24"/>
              </w:rPr>
              <w:t>euro</w:t>
            </w:r>
            <w:r>
              <w:rPr>
                <w:rFonts w:ascii="Times New Roman" w:hAnsi="Times New Roman"/>
                <w:i/>
                <w:sz w:val="24"/>
                <w:szCs w:val="24"/>
              </w:rPr>
              <w:t xml:space="preserve"> </w:t>
            </w:r>
            <w:r w:rsidRPr="00947A66">
              <w:rPr>
                <w:rFonts w:ascii="Times New Roman" w:hAnsi="Times New Roman"/>
                <w:sz w:val="24"/>
                <w:szCs w:val="24"/>
              </w:rPr>
              <w:t>(grant</w:t>
            </w:r>
            <w:r>
              <w:rPr>
                <w:rFonts w:ascii="Times New Roman" w:hAnsi="Times New Roman"/>
                <w:sz w:val="24"/>
                <w:szCs w:val="24"/>
              </w:rPr>
              <w:t>s</w:t>
            </w:r>
            <w:r w:rsidRPr="00947A66">
              <w:rPr>
                <w:rFonts w:ascii="Times New Roman" w:hAnsi="Times New Roman"/>
                <w:sz w:val="24"/>
                <w:szCs w:val="24"/>
              </w:rPr>
              <w:t>), kas</w:t>
            </w:r>
            <w:r w:rsidR="00530350">
              <w:rPr>
                <w:rFonts w:ascii="Times New Roman" w:hAnsi="Times New Roman"/>
                <w:sz w:val="24"/>
                <w:szCs w:val="24"/>
              </w:rPr>
              <w:t xml:space="preserve"> ir </w:t>
            </w:r>
            <w:r w:rsidRPr="00980AD5">
              <w:rPr>
                <w:rFonts w:ascii="Times New Roman" w:hAnsi="Times New Roman"/>
                <w:sz w:val="24"/>
                <w:szCs w:val="24"/>
              </w:rPr>
              <w:t xml:space="preserve">80% no </w:t>
            </w:r>
            <w:proofErr w:type="spellStart"/>
            <w:r w:rsidRPr="00980AD5">
              <w:rPr>
                <w:rFonts w:ascii="Times New Roman" w:hAnsi="Times New Roman"/>
                <w:sz w:val="24"/>
                <w:szCs w:val="24"/>
              </w:rPr>
              <w:t>grantiem</w:t>
            </w:r>
            <w:proofErr w:type="spellEnd"/>
            <w:r w:rsidRPr="00980AD5">
              <w:rPr>
                <w:rFonts w:ascii="Times New Roman" w:hAnsi="Times New Roman"/>
                <w:sz w:val="24"/>
                <w:szCs w:val="24"/>
              </w:rPr>
              <w:t xml:space="preserve"> pieejamā finansējuma</w:t>
            </w:r>
            <w:r>
              <w:rPr>
                <w:rFonts w:ascii="Times New Roman" w:hAnsi="Times New Roman"/>
                <w:sz w:val="24"/>
                <w:szCs w:val="24"/>
              </w:rPr>
              <w:t xml:space="preserve">, </w:t>
            </w:r>
            <w:r w:rsidRPr="00980AD5">
              <w:rPr>
                <w:rFonts w:ascii="Times New Roman" w:hAnsi="Times New Roman"/>
                <w:sz w:val="24"/>
                <w:szCs w:val="24"/>
              </w:rPr>
              <w:t>1</w:t>
            </w:r>
            <w:r>
              <w:rPr>
                <w:rFonts w:ascii="Times New Roman" w:hAnsi="Times New Roman"/>
                <w:sz w:val="24"/>
                <w:szCs w:val="24"/>
              </w:rPr>
              <w:t>0</w:t>
            </w:r>
            <w:r w:rsidRPr="00980AD5">
              <w:rPr>
                <w:rFonts w:ascii="Times New Roman" w:hAnsi="Times New Roman"/>
                <w:sz w:val="24"/>
                <w:szCs w:val="24"/>
              </w:rPr>
              <w:t xml:space="preserve"> 000 000 </w:t>
            </w:r>
            <w:proofErr w:type="spellStart"/>
            <w:r w:rsidRPr="00D660F0">
              <w:rPr>
                <w:rFonts w:ascii="Times New Roman" w:hAnsi="Times New Roman"/>
                <w:i/>
                <w:sz w:val="24"/>
                <w:szCs w:val="24"/>
              </w:rPr>
              <w:t>euro</w:t>
            </w:r>
            <w:proofErr w:type="spellEnd"/>
            <w:r w:rsidRPr="00980AD5">
              <w:rPr>
                <w:rFonts w:ascii="Times New Roman" w:hAnsi="Times New Roman"/>
                <w:sz w:val="24"/>
                <w:szCs w:val="24"/>
              </w:rPr>
              <w:t xml:space="preserve"> novirzī</w:t>
            </w:r>
            <w:r>
              <w:rPr>
                <w:rFonts w:ascii="Times New Roman" w:hAnsi="Times New Roman"/>
                <w:sz w:val="24"/>
                <w:szCs w:val="24"/>
              </w:rPr>
              <w:t>šana</w:t>
            </w:r>
            <w:r w:rsidRPr="00980AD5">
              <w:rPr>
                <w:rFonts w:ascii="Times New Roman" w:hAnsi="Times New Roman"/>
                <w:sz w:val="24"/>
                <w:szCs w:val="24"/>
              </w:rPr>
              <w:t xml:space="preserve"> </w:t>
            </w:r>
            <w:proofErr w:type="spellStart"/>
            <w:r w:rsidRPr="00980AD5">
              <w:rPr>
                <w:rFonts w:ascii="Times New Roman" w:hAnsi="Times New Roman"/>
                <w:sz w:val="24"/>
                <w:szCs w:val="24"/>
              </w:rPr>
              <w:t>grantu</w:t>
            </w:r>
            <w:proofErr w:type="spellEnd"/>
            <w:r w:rsidRPr="00980AD5">
              <w:rPr>
                <w:rFonts w:ascii="Times New Roman" w:hAnsi="Times New Roman"/>
                <w:sz w:val="24"/>
                <w:szCs w:val="24"/>
              </w:rPr>
              <w:t xml:space="preserve"> instrumenta </w:t>
            </w:r>
            <w:r>
              <w:rPr>
                <w:rFonts w:ascii="Times New Roman" w:hAnsi="Times New Roman"/>
                <w:sz w:val="24"/>
                <w:szCs w:val="24"/>
              </w:rPr>
              <w:t>īstenošanai</w:t>
            </w:r>
            <w:r w:rsidRPr="00980AD5" w:rsidDel="00473FEC">
              <w:rPr>
                <w:rFonts w:ascii="Times New Roman" w:hAnsi="Times New Roman"/>
                <w:sz w:val="24"/>
                <w:szCs w:val="24"/>
              </w:rPr>
              <w:t xml:space="preserve"> </w:t>
            </w:r>
            <w:r w:rsidRPr="00980AD5">
              <w:rPr>
                <w:rFonts w:ascii="Times New Roman" w:hAnsi="Times New Roman"/>
                <w:sz w:val="24"/>
                <w:szCs w:val="24"/>
              </w:rPr>
              <w:t xml:space="preserve">nodrošinās iespēju papildus sniegt </w:t>
            </w:r>
            <w:proofErr w:type="spellStart"/>
            <w:r>
              <w:rPr>
                <w:rFonts w:ascii="Times New Roman" w:hAnsi="Times New Roman"/>
                <w:sz w:val="24"/>
                <w:szCs w:val="24"/>
              </w:rPr>
              <w:t>grantu</w:t>
            </w:r>
            <w:proofErr w:type="spellEnd"/>
            <w:r w:rsidRPr="00980AD5">
              <w:rPr>
                <w:rFonts w:ascii="Times New Roman" w:hAnsi="Times New Roman"/>
                <w:sz w:val="24"/>
                <w:szCs w:val="24"/>
              </w:rPr>
              <w:t xml:space="preserve"> </w:t>
            </w:r>
            <w:r>
              <w:rPr>
                <w:rFonts w:ascii="Times New Roman" w:hAnsi="Times New Roman"/>
                <w:sz w:val="24"/>
                <w:szCs w:val="24"/>
              </w:rPr>
              <w:t>aptuveni 5</w:t>
            </w:r>
            <w:r w:rsidRPr="00980AD5">
              <w:rPr>
                <w:rFonts w:ascii="Times New Roman" w:hAnsi="Times New Roman"/>
                <w:sz w:val="24"/>
                <w:szCs w:val="24"/>
              </w:rPr>
              <w:t xml:space="preserve">0 </w:t>
            </w:r>
            <w:r>
              <w:rPr>
                <w:rFonts w:ascii="Times New Roman" w:hAnsi="Times New Roman"/>
                <w:sz w:val="24"/>
                <w:szCs w:val="24"/>
              </w:rPr>
              <w:t xml:space="preserve">ēkām </w:t>
            </w:r>
            <w:r w:rsidRPr="00980AD5">
              <w:rPr>
                <w:rFonts w:ascii="Times New Roman" w:hAnsi="Times New Roman"/>
                <w:sz w:val="24"/>
                <w:szCs w:val="24"/>
              </w:rPr>
              <w:t>energoefektivitātes uzlabošana</w:t>
            </w:r>
            <w:r>
              <w:rPr>
                <w:rFonts w:ascii="Times New Roman" w:hAnsi="Times New Roman"/>
                <w:sz w:val="24"/>
                <w:szCs w:val="24"/>
              </w:rPr>
              <w:t>i.</w:t>
            </w:r>
            <w:r w:rsidR="00CD27B5">
              <w:rPr>
                <w:rFonts w:ascii="Times New Roman" w:hAnsi="Times New Roman"/>
                <w:sz w:val="24"/>
                <w:szCs w:val="24"/>
              </w:rPr>
              <w:t xml:space="preserve"> Vienlaikus palielināts arī </w:t>
            </w:r>
            <w:r w:rsidR="00CD27B5" w:rsidRPr="008B7F6D">
              <w:rPr>
                <w:rFonts w:ascii="Times New Roman" w:hAnsi="Times New Roman"/>
                <w:sz w:val="24"/>
                <w:szCs w:val="24"/>
              </w:rPr>
              <w:t>MK noteikum</w:t>
            </w:r>
            <w:r w:rsidR="00CD27B5">
              <w:rPr>
                <w:rFonts w:ascii="Times New Roman" w:hAnsi="Times New Roman"/>
                <w:sz w:val="24"/>
                <w:szCs w:val="24"/>
              </w:rPr>
              <w:t>u</w:t>
            </w:r>
            <w:r w:rsidR="00CD27B5" w:rsidRPr="008B7F6D">
              <w:rPr>
                <w:rFonts w:ascii="Times New Roman" w:hAnsi="Times New Roman"/>
                <w:sz w:val="24"/>
                <w:szCs w:val="24"/>
              </w:rPr>
              <w:t xml:space="preserve"> Nr. 160</w:t>
            </w:r>
            <w:r w:rsidR="00CD27B5">
              <w:rPr>
                <w:rFonts w:ascii="Times New Roman" w:hAnsi="Times New Roman"/>
                <w:sz w:val="24"/>
                <w:szCs w:val="24"/>
              </w:rPr>
              <w:t xml:space="preserve"> </w:t>
            </w:r>
            <w:r w:rsidR="00CD27B5" w:rsidRPr="00CD27B5">
              <w:rPr>
                <w:rFonts w:ascii="Times New Roman" w:hAnsi="Times New Roman"/>
                <w:sz w:val="24"/>
                <w:szCs w:val="24"/>
              </w:rPr>
              <w:t xml:space="preserve">5.1.1.apakšpunktā noteiktais </w:t>
            </w:r>
            <w:r w:rsidR="00CD27B5">
              <w:rPr>
                <w:rFonts w:ascii="Times New Roman" w:hAnsi="Times New Roman"/>
                <w:sz w:val="24"/>
                <w:szCs w:val="24"/>
              </w:rPr>
              <w:t xml:space="preserve">sasniedzamais uzraudzības rādītājs - </w:t>
            </w:r>
            <w:r w:rsidR="00CD27B5" w:rsidRPr="00CD27B5">
              <w:rPr>
                <w:rFonts w:ascii="Times New Roman" w:hAnsi="Times New Roman"/>
                <w:sz w:val="24"/>
                <w:szCs w:val="24"/>
              </w:rPr>
              <w:t>atbalstīto mājsaimniecību skaits</w:t>
            </w:r>
            <w:r w:rsidR="00CD27B5">
              <w:rPr>
                <w:rFonts w:ascii="Times New Roman" w:hAnsi="Times New Roman"/>
                <w:sz w:val="24"/>
                <w:szCs w:val="24"/>
              </w:rPr>
              <w:t xml:space="preserve"> – par 1900 vienībām no </w:t>
            </w:r>
            <w:r w:rsidR="00CD27B5" w:rsidRPr="00CD27B5">
              <w:rPr>
                <w:rFonts w:ascii="Times New Roman" w:hAnsi="Times New Roman"/>
                <w:sz w:val="24"/>
                <w:szCs w:val="24"/>
              </w:rPr>
              <w:t>14 286 uz</w:t>
            </w:r>
            <w:r w:rsidR="00CD27B5">
              <w:rPr>
                <w:rFonts w:ascii="Times New Roman" w:hAnsi="Times New Roman"/>
                <w:sz w:val="24"/>
                <w:szCs w:val="24"/>
              </w:rPr>
              <w:t xml:space="preserve"> 16 186, ņemot vērā līdz šim apstiprināto projektu vidējo rādītāju</w:t>
            </w:r>
            <w:r w:rsidR="00FD0B93">
              <w:rPr>
                <w:rFonts w:ascii="Times New Roman" w:hAnsi="Times New Roman"/>
                <w:sz w:val="24"/>
                <w:szCs w:val="24"/>
              </w:rPr>
              <w:t>, kas ir 38 mājsaimniecības uz vienu projektu.</w:t>
            </w:r>
          </w:p>
          <w:p w14:paraId="534F3D0D" w14:textId="77777777" w:rsidR="00191B21" w:rsidRDefault="00191B21" w:rsidP="002159CD">
            <w:pPr>
              <w:spacing w:after="0" w:line="240" w:lineRule="auto"/>
              <w:jc w:val="both"/>
              <w:rPr>
                <w:rFonts w:ascii="Times New Roman" w:hAnsi="Times New Roman"/>
                <w:sz w:val="24"/>
                <w:szCs w:val="24"/>
              </w:rPr>
            </w:pPr>
          </w:p>
          <w:p w14:paraId="21E5F052" w14:textId="77777777" w:rsidR="00401F90" w:rsidRDefault="00401F90" w:rsidP="00401F90">
            <w:pPr>
              <w:pStyle w:val="ListParagraph"/>
              <w:numPr>
                <w:ilvl w:val="0"/>
                <w:numId w:val="1"/>
              </w:numPr>
              <w:spacing w:after="0" w:line="240" w:lineRule="auto"/>
              <w:ind w:left="720" w:right="-1"/>
              <w:jc w:val="both"/>
              <w:rPr>
                <w:rFonts w:ascii="Times New Roman" w:hAnsi="Times New Roman"/>
                <w:b/>
                <w:i/>
                <w:sz w:val="24"/>
                <w:szCs w:val="24"/>
                <w:u w:val="single"/>
              </w:rPr>
            </w:pPr>
            <w:r>
              <w:rPr>
                <w:rFonts w:ascii="Times New Roman" w:hAnsi="Times New Roman"/>
                <w:b/>
                <w:i/>
                <w:sz w:val="24"/>
                <w:szCs w:val="24"/>
                <w:u w:val="single"/>
              </w:rPr>
              <w:lastRenderedPageBreak/>
              <w:t>Precizēt pieteikumu iesniegšanas kārtību.</w:t>
            </w:r>
          </w:p>
          <w:p w14:paraId="0D41300A" w14:textId="77777777" w:rsidR="00401F90" w:rsidRDefault="00401F90" w:rsidP="00401F90">
            <w:pPr>
              <w:pStyle w:val="Heading2"/>
              <w:spacing w:line="240" w:lineRule="auto"/>
              <w:ind w:firstLine="551"/>
              <w:jc w:val="both"/>
              <w:rPr>
                <w:i w:val="0"/>
              </w:rPr>
            </w:pPr>
            <w:r>
              <w:rPr>
                <w:i w:val="0"/>
              </w:rPr>
              <w:t>Šī brīža MK noteikumu Nr. 160 redakcijā noteikts, ka no 2018. gada 1. janvāra pilnvarotajai personai jāiesniedz pieteikums par energoefektivitātes paaugstināšanas pasākumu tehnisko</w:t>
            </w:r>
            <w:r>
              <w:t xml:space="preserve"> </w:t>
            </w:r>
            <w:r>
              <w:rPr>
                <w:i w:val="0"/>
              </w:rPr>
              <w:t xml:space="preserve">dokumentāciju </w:t>
            </w:r>
            <w:r>
              <w:rPr>
                <w:b/>
                <w:i w:val="0"/>
              </w:rPr>
              <w:t>vai</w:t>
            </w:r>
            <w:r>
              <w:rPr>
                <w:i w:val="0"/>
              </w:rPr>
              <w:t xml:space="preserve"> jāiesniedz </w:t>
            </w:r>
            <w:proofErr w:type="spellStart"/>
            <w:r>
              <w:rPr>
                <w:i w:val="0"/>
              </w:rPr>
              <w:t>Altum</w:t>
            </w:r>
            <w:proofErr w:type="spellEnd"/>
            <w:r>
              <w:rPr>
                <w:i w:val="0"/>
              </w:rPr>
              <w:t xml:space="preserve"> </w:t>
            </w:r>
            <w:proofErr w:type="spellStart"/>
            <w:r>
              <w:rPr>
                <w:i w:val="0"/>
              </w:rPr>
              <w:t>granta</w:t>
            </w:r>
            <w:proofErr w:type="spellEnd"/>
            <w:r>
              <w:rPr>
                <w:i w:val="0"/>
              </w:rPr>
              <w:t xml:space="preserve"> pieteikums. Līdz ar to rodas neskaidrības, vai abiem pieteikumiem jābūt iesniegtiem no 2018. gada 1. janvāra, vai arī vienam no noteiktajiem.</w:t>
            </w:r>
          </w:p>
          <w:p w14:paraId="18DCB698" w14:textId="77777777" w:rsidR="00401F90" w:rsidRDefault="00401F90" w:rsidP="00401F90">
            <w:pPr>
              <w:pStyle w:val="Heading2"/>
              <w:spacing w:line="240" w:lineRule="auto"/>
              <w:ind w:firstLine="551"/>
              <w:jc w:val="both"/>
              <w:rPr>
                <w:i w:val="0"/>
              </w:rPr>
            </w:pPr>
            <w:r>
              <w:rPr>
                <w:i w:val="0"/>
              </w:rPr>
              <w:t xml:space="preserve">Vēršam uzmanību, ka MK noteikumos Nr. 160 noteikts, ka tehniskās dokumentācijas sagatavošanas izmaksas ir attiecināmas no 2017. gada 1. janvāra. Tikai tad, kad pilnvarotā persona par tehnisko dokumentāciju saņēmusi pozitīvu atzinumu no Altum, saskaņā ar MK noteikumiem Nr. 160, jāiesniedz </w:t>
            </w:r>
            <w:proofErr w:type="spellStart"/>
            <w:r>
              <w:rPr>
                <w:i w:val="0"/>
              </w:rPr>
              <w:t>granta</w:t>
            </w:r>
            <w:proofErr w:type="spellEnd"/>
            <w:r>
              <w:rPr>
                <w:i w:val="0"/>
              </w:rPr>
              <w:t xml:space="preserve"> pieteikums.</w:t>
            </w:r>
          </w:p>
          <w:p w14:paraId="66559938" w14:textId="77777777" w:rsidR="00401F90" w:rsidRDefault="00401F90" w:rsidP="00401F90">
            <w:pPr>
              <w:pStyle w:val="Heading2"/>
              <w:spacing w:line="240" w:lineRule="auto"/>
              <w:ind w:firstLine="551"/>
              <w:jc w:val="both"/>
              <w:rPr>
                <w:i w:val="0"/>
              </w:rPr>
            </w:pPr>
            <w:r>
              <w:rPr>
                <w:i w:val="0"/>
              </w:rPr>
              <w:t xml:space="preserve">Pamatojoties uz iepriekš minēto, izriet, ka tikai </w:t>
            </w:r>
            <w:proofErr w:type="spellStart"/>
            <w:r>
              <w:rPr>
                <w:i w:val="0"/>
              </w:rPr>
              <w:t>granta</w:t>
            </w:r>
            <w:proofErr w:type="spellEnd"/>
            <w:r>
              <w:rPr>
                <w:i w:val="0"/>
              </w:rPr>
              <w:t xml:space="preserve"> pieteikumam jābūt iesniegtam sākot ar 2018. gada 1. janvāri. Ņemot vērā, ka tehniskās dokumentācijas sagatavošanas izmaksas tiek attiecinātas no 2017. gada 1. janvāra un nepieciešamais laiks  tehniskās dokumentācijas sagatavošanai un saskaņošanai vidēji ilgst no 8 mēnešiem līdz pat gadam (vai pat ilgāk), pieteikums, lai saņemtu pozitīvu atzinumu no Altum par energoefektivitātes paaugstināšanas pasākumu tehnisko dokumentāciju, var tikt iesniegts pirms 2018. gada 1. janvāra. </w:t>
            </w:r>
          </w:p>
          <w:p w14:paraId="7CE3D56D" w14:textId="77777777" w:rsidR="00401F90" w:rsidRPr="00317CDC" w:rsidRDefault="00974BB1" w:rsidP="00401F90">
            <w:pPr>
              <w:pStyle w:val="Heading2"/>
              <w:spacing w:line="240" w:lineRule="auto"/>
              <w:ind w:firstLine="551"/>
              <w:jc w:val="both"/>
              <w:rPr>
                <w:i w:val="0"/>
              </w:rPr>
            </w:pPr>
            <w:r>
              <w:rPr>
                <w:i w:val="0"/>
              </w:rPr>
              <w:t>N</w:t>
            </w:r>
            <w:r w:rsidR="00401F90" w:rsidRPr="00317CDC">
              <w:rPr>
                <w:i w:val="0"/>
              </w:rPr>
              <w:t>eviena pilnvarotā persona nav izmantojusi iespēju izmaksas attiecināt ņemot vērā noteikto iesniegšanas datumu MK noteikumu Nr.160 39.</w:t>
            </w:r>
            <w:r w:rsidR="00401F90">
              <w:rPr>
                <w:i w:val="0"/>
              </w:rPr>
              <w:t xml:space="preserve"> </w:t>
            </w:r>
            <w:r w:rsidR="00401F90" w:rsidRPr="00317CDC">
              <w:rPr>
                <w:i w:val="0"/>
              </w:rPr>
              <w:t>punktā noteiktajam pieteikumam tehniskās dokumentācijas izvērtēšanai.</w:t>
            </w:r>
          </w:p>
          <w:p w14:paraId="4B7FBFDE" w14:textId="77777777" w:rsidR="00317CDC" w:rsidRPr="008B7F6D" w:rsidRDefault="00317CDC" w:rsidP="000D31F5">
            <w:pPr>
              <w:spacing w:after="0" w:line="240" w:lineRule="auto"/>
              <w:ind w:firstLine="540"/>
              <w:jc w:val="both"/>
              <w:rPr>
                <w:rFonts w:ascii="Times New Roman" w:hAnsi="Times New Roman"/>
                <w:sz w:val="24"/>
                <w:szCs w:val="24"/>
              </w:rPr>
            </w:pPr>
          </w:p>
          <w:p w14:paraId="7EF0787E" w14:textId="77777777" w:rsidR="006638E4" w:rsidRPr="008B7F6D" w:rsidRDefault="00BB7ACF" w:rsidP="0080526B">
            <w:pPr>
              <w:pStyle w:val="ListParagraph"/>
              <w:numPr>
                <w:ilvl w:val="0"/>
                <w:numId w:val="1"/>
              </w:numPr>
              <w:spacing w:after="0" w:line="240" w:lineRule="auto"/>
              <w:ind w:left="0" w:right="-1" w:firstLine="360"/>
              <w:jc w:val="both"/>
              <w:rPr>
                <w:rFonts w:ascii="Times New Roman" w:hAnsi="Times New Roman"/>
                <w:b/>
                <w:i/>
                <w:sz w:val="24"/>
                <w:szCs w:val="24"/>
                <w:u w:val="single"/>
              </w:rPr>
            </w:pPr>
            <w:r>
              <w:rPr>
                <w:rFonts w:ascii="Times New Roman" w:hAnsi="Times New Roman"/>
                <w:b/>
                <w:i/>
                <w:sz w:val="24"/>
                <w:szCs w:val="24"/>
                <w:u w:val="single"/>
              </w:rPr>
              <w:t xml:space="preserve">Svītrot nosacījumu, ka </w:t>
            </w:r>
            <w:r w:rsidRPr="00BB7ACF">
              <w:rPr>
                <w:rFonts w:ascii="Times New Roman" w:hAnsi="Times New Roman"/>
                <w:b/>
                <w:i/>
                <w:sz w:val="24"/>
                <w:szCs w:val="24"/>
                <w:u w:val="single"/>
              </w:rPr>
              <w:t>energoefektivitātes paaugstināšanas pasākumu īstenošanas izmaksām jāatbilst vidējām tirgus cenām</w:t>
            </w:r>
            <w:r>
              <w:rPr>
                <w:rFonts w:ascii="Times New Roman" w:hAnsi="Times New Roman"/>
                <w:b/>
                <w:i/>
                <w:sz w:val="24"/>
                <w:szCs w:val="24"/>
                <w:u w:val="single"/>
              </w:rPr>
              <w:t>.</w:t>
            </w:r>
          </w:p>
          <w:p w14:paraId="6A4B7999" w14:textId="77777777" w:rsidR="00076AEC" w:rsidRPr="008B7F6D" w:rsidRDefault="00076AEC" w:rsidP="00967F26">
            <w:pPr>
              <w:spacing w:after="0" w:line="240" w:lineRule="auto"/>
              <w:ind w:right="114" w:firstLine="567"/>
              <w:jc w:val="both"/>
              <w:rPr>
                <w:rFonts w:ascii="Times New Roman" w:hAnsi="Times New Roman"/>
                <w:b/>
                <w:sz w:val="24"/>
                <w:szCs w:val="24"/>
              </w:rPr>
            </w:pPr>
          </w:p>
          <w:p w14:paraId="6C84DE49" w14:textId="77777777" w:rsidR="00BB7ACF" w:rsidRDefault="002E66B6" w:rsidP="00BB7ACF">
            <w:pPr>
              <w:pStyle w:val="Heading2"/>
              <w:spacing w:line="240" w:lineRule="auto"/>
              <w:ind w:firstLine="551"/>
              <w:jc w:val="both"/>
              <w:rPr>
                <w:i w:val="0"/>
              </w:rPr>
            </w:pPr>
            <w:r w:rsidRPr="00BB7ACF">
              <w:rPr>
                <w:i w:val="0"/>
              </w:rPr>
              <w:t xml:space="preserve">Ņemot vērā Eiropas Parlamenta un Padomes Regulas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 33. panta 1.punktā noteikto, saimnieciskuma, lietderības un efektivitātes principi jau tiek ievēroti, nosakot </w:t>
            </w:r>
            <w:proofErr w:type="spellStart"/>
            <w:r w:rsidRPr="00BB7ACF">
              <w:rPr>
                <w:i w:val="0"/>
              </w:rPr>
              <w:t>granta</w:t>
            </w:r>
            <w:proofErr w:type="spellEnd"/>
            <w:r w:rsidRPr="00BB7ACF">
              <w:rPr>
                <w:i w:val="0"/>
              </w:rPr>
              <w:t xml:space="preserve"> intensitāti, attiecināmo un neattiecināmo izmaksu apjomu energoefektivitātes kalkulatora ietvaros saskaņā ar MK noteikumu Nr.160 53.punktu. </w:t>
            </w:r>
            <w:r w:rsidR="00BB7ACF">
              <w:rPr>
                <w:i w:val="0"/>
              </w:rPr>
              <w:t>E</w:t>
            </w:r>
            <w:r w:rsidRPr="00BB7ACF">
              <w:rPr>
                <w:i w:val="0"/>
              </w:rPr>
              <w:t xml:space="preserve">nergoefektivitātes kalkulators nodrošina projekta izmaksu kontroli un vienotu pieeju šo izmaksu vērtēšanai visiem projektu iesniedzējiem. </w:t>
            </w:r>
            <w:r w:rsidR="00BB7ACF">
              <w:rPr>
                <w:i w:val="0"/>
              </w:rPr>
              <w:t>E</w:t>
            </w:r>
            <w:r w:rsidRPr="00BB7ACF">
              <w:rPr>
                <w:i w:val="0"/>
              </w:rPr>
              <w:t xml:space="preserve">nergoefektivitātes kalkulators </w:t>
            </w:r>
            <w:r w:rsidR="00BB7ACF">
              <w:rPr>
                <w:i w:val="0"/>
              </w:rPr>
              <w:t xml:space="preserve">jau šobrīd </w:t>
            </w:r>
            <w:r w:rsidRPr="00BB7ACF">
              <w:rPr>
                <w:i w:val="0"/>
              </w:rPr>
              <w:t xml:space="preserve">nodrošina, ka projekts ir ekonomiski pamatots un ieguldītās investīcijas atmaksājas 30 gadu periodā, tāpēc projekta iesniedzējiem nebūtu jānosaka papildu izmaksu ierobežojoši nosacījumi. Līdz ar to </w:t>
            </w:r>
            <w:r w:rsidR="00BB7ACF">
              <w:rPr>
                <w:i w:val="0"/>
              </w:rPr>
              <w:t>nepieciešams</w:t>
            </w:r>
            <w:r w:rsidR="00BB7ACF">
              <w:t xml:space="preserve"> </w:t>
            </w:r>
            <w:r w:rsidR="00BB7ACF" w:rsidRPr="00BB7ACF">
              <w:rPr>
                <w:i w:val="0"/>
              </w:rPr>
              <w:t>precizēt MK noteikumus Nr. 160</w:t>
            </w:r>
            <w:r w:rsidR="00BB7ACF">
              <w:rPr>
                <w:i w:val="0"/>
              </w:rPr>
              <w:t xml:space="preserve">, svītrojot nosacījumu, ka </w:t>
            </w:r>
            <w:r w:rsidR="00BB7ACF" w:rsidRPr="00BB7ACF">
              <w:rPr>
                <w:i w:val="0"/>
              </w:rPr>
              <w:t>energoefektivitātes paaugstināšanas pasākumu īstenošanas izmaks</w:t>
            </w:r>
            <w:r w:rsidR="00BB7ACF">
              <w:rPr>
                <w:i w:val="0"/>
              </w:rPr>
              <w:t>ām jā</w:t>
            </w:r>
            <w:r w:rsidR="00BB7ACF" w:rsidRPr="00BB7ACF">
              <w:rPr>
                <w:i w:val="0"/>
              </w:rPr>
              <w:t>atbilst vidējām tirgus cenām.</w:t>
            </w:r>
          </w:p>
          <w:p w14:paraId="40509274" w14:textId="77777777" w:rsidR="001D5902" w:rsidRPr="001D5902" w:rsidRDefault="00840550" w:rsidP="001D5902">
            <w:pPr>
              <w:pStyle w:val="Heading2"/>
              <w:spacing w:line="240" w:lineRule="auto"/>
              <w:ind w:firstLine="551"/>
              <w:jc w:val="both"/>
            </w:pPr>
            <w:r>
              <w:rPr>
                <w:i w:val="0"/>
              </w:rPr>
              <w:t xml:space="preserve">Vienlaikus, lai nodrošinātu </w:t>
            </w:r>
            <w:r w:rsidRPr="00840550">
              <w:rPr>
                <w:i w:val="0"/>
              </w:rPr>
              <w:t>atklātu, pārredzamu, samērīgu un nediskriminējošu procedūru, izvairoties no interešu konfliktiem</w:t>
            </w:r>
            <w:r w:rsidR="00FD2C84">
              <w:rPr>
                <w:i w:val="0"/>
              </w:rPr>
              <w:t xml:space="preserve"> </w:t>
            </w:r>
            <w:r w:rsidR="00FD2C84" w:rsidRPr="00FD2C84">
              <w:rPr>
                <w:i w:val="0"/>
              </w:rPr>
              <w:t>un nodrošinot energoefektivitātes paaugstināšanas pasākumu īstenošanas izmaksas atbilstoši tirgus cenām</w:t>
            </w:r>
            <w:r>
              <w:rPr>
                <w:i w:val="0"/>
              </w:rPr>
              <w:t xml:space="preserve">, Altum izstrādātās vadlīnijas </w:t>
            </w:r>
            <w:r>
              <w:rPr>
                <w:i w:val="0"/>
              </w:rPr>
              <w:lastRenderedPageBreak/>
              <w:t>“N</w:t>
            </w:r>
            <w:r w:rsidRPr="00840550">
              <w:rPr>
                <w:i w:val="0"/>
              </w:rPr>
              <w:t>orādījumi piegādātāju atlases veikšanas jomā</w:t>
            </w:r>
            <w:r>
              <w:rPr>
                <w:i w:val="0"/>
              </w:rPr>
              <w:t>”</w:t>
            </w:r>
            <w:r w:rsidR="00FD2C84">
              <w:rPr>
                <w:i w:val="0"/>
              </w:rPr>
              <w:t xml:space="preserve"> (turpmāk – Vadlīnijas)</w:t>
            </w:r>
            <w:r>
              <w:rPr>
                <w:i w:val="0"/>
              </w:rPr>
              <w:t xml:space="preserve"> paredz, ka </w:t>
            </w:r>
            <w:r w:rsidR="00FD2C84" w:rsidRPr="00FD2C84">
              <w:rPr>
                <w:i w:val="0"/>
              </w:rPr>
              <w:t>pilnvarotā persona, kura nav pasūtītājs Publisko iepirkumu likuma izpratnē, piegādātāju atlases procedūru veic Vadlīniju 5.sadaļā „Piegādātāju atlases procedūra” noteiktajā kārtībā</w:t>
            </w:r>
            <w:r w:rsidR="00FD2C84">
              <w:rPr>
                <w:i w:val="0"/>
              </w:rPr>
              <w:t xml:space="preserve">. Kārtība </w:t>
            </w:r>
            <w:r w:rsidR="00FD2C84" w:rsidRPr="00FD2C84">
              <w:rPr>
                <w:i w:val="0"/>
              </w:rPr>
              <w:t>pieprasa, lai pretendents savā piedāvājumā norāda apakšuzņēmējus, kurus plānots piesaistīt līguma izpildē</w:t>
            </w:r>
            <w:r w:rsidR="00FD2C84">
              <w:rPr>
                <w:i w:val="0"/>
              </w:rPr>
              <w:t xml:space="preserve"> pievienojot apakšuzņēmēja apliecinājumus par dalību piegādātāju atlases procedūrā. Kārtība paredz, ka p</w:t>
            </w:r>
            <w:r w:rsidR="00FD2C84" w:rsidRPr="00FD2C84">
              <w:rPr>
                <w:i w:val="0"/>
              </w:rPr>
              <w:t>irms uzsākt piedāvājumu vērtēšanu, pilnvarotā persona, aizpildot Vadlīnijām 2.pielikumā pievienoto veidlapu „Apliecinājums par interešu konflikta neesamību”, apliecina interešu konflikta neesamību ar piegādātājiem, kas atlases procedūrā iesnieguši savus piedāvājumus. Pilnvarotā persona nevērtē un noraida tā pretendenta piedāvājumu, ar kuru pilnvarotā persona atrodas interešu konfliktā MK noteikumu Nr.160 izpratnē.</w:t>
            </w:r>
            <w:r w:rsidR="00EB0364">
              <w:rPr>
                <w:i w:val="0"/>
              </w:rPr>
              <w:t xml:space="preserve"> Tai pat laikā </w:t>
            </w:r>
            <w:r w:rsidR="001D5902" w:rsidRPr="001D5902">
              <w:rPr>
                <w:i w:val="0"/>
              </w:rPr>
              <w:t>interešu konflikta regulējums netiek attiecināts uz piegādātāja vai tā apakšuzņēmēja darbiniekiem</w:t>
            </w:r>
            <w:r w:rsidR="00EB0364">
              <w:rPr>
                <w:i w:val="0"/>
              </w:rPr>
              <w:t>, jo programma</w:t>
            </w:r>
            <w:r w:rsidR="009D1826">
              <w:rPr>
                <w:i w:val="0"/>
              </w:rPr>
              <w:t>s ietvaros finansējuma saņēmējs, kas ir daudzdzīvokļu ēkas iedzīvotājs</w:t>
            </w:r>
            <w:r w:rsidR="00B06B1E">
              <w:rPr>
                <w:i w:val="0"/>
              </w:rPr>
              <w:t xml:space="preserve"> var atrasties tādā situācijā, ka piegādātājs</w:t>
            </w:r>
            <w:r w:rsidR="00E071B6">
              <w:rPr>
                <w:i w:val="0"/>
              </w:rPr>
              <w:t xml:space="preserve">, kurš uzvarējis </w:t>
            </w:r>
            <w:r w:rsidR="00E071B6" w:rsidRPr="00E071B6">
              <w:rPr>
                <w:i w:val="0"/>
              </w:rPr>
              <w:t>piegādātāju atlases</w:t>
            </w:r>
            <w:r w:rsidR="00E071B6">
              <w:rPr>
                <w:i w:val="0"/>
              </w:rPr>
              <w:t xml:space="preserve"> procedūrā, ir uzņēmums, kurā dzīvokļa īpašnieks ikdienās strādā konkrētā profesijā, kas saistīta ar būvniecības nozari. Tādejādi Altum, kas ir programmas īstenotājs, nevar pārbaudīt šādu padziļinātu prasības izpildi ņemot vērā faktu, ka dzīvokļu īpašnieku maiņa ir neizbēgams process un pilnvarotā personā nevarēs paredzēt vai kāds no dzīvokļu īpašniekiem nav kāda piegādātāja vai piegādātāja apakšuzņēmuma darbinieks. </w:t>
            </w:r>
          </w:p>
          <w:p w14:paraId="6E0F3066" w14:textId="77777777" w:rsidR="00E97657" w:rsidRDefault="00E97657" w:rsidP="00076AEC">
            <w:pPr>
              <w:spacing w:after="0" w:line="240" w:lineRule="auto"/>
              <w:ind w:right="114" w:firstLine="567"/>
              <w:jc w:val="both"/>
              <w:rPr>
                <w:rFonts w:ascii="Times New Roman" w:hAnsi="Times New Roman"/>
                <w:sz w:val="24"/>
                <w:szCs w:val="24"/>
              </w:rPr>
            </w:pPr>
          </w:p>
          <w:p w14:paraId="57C0A51A" w14:textId="77777777" w:rsidR="00E97657" w:rsidRPr="00E97657" w:rsidRDefault="00E97657" w:rsidP="00894B96">
            <w:pPr>
              <w:pStyle w:val="ListParagraph"/>
              <w:numPr>
                <w:ilvl w:val="0"/>
                <w:numId w:val="1"/>
              </w:numPr>
              <w:spacing w:after="0" w:line="240" w:lineRule="auto"/>
              <w:ind w:left="115" w:right="-1" w:firstLine="245"/>
              <w:jc w:val="both"/>
              <w:rPr>
                <w:rFonts w:ascii="Times New Roman" w:hAnsi="Times New Roman"/>
                <w:sz w:val="24"/>
                <w:szCs w:val="24"/>
              </w:rPr>
            </w:pPr>
            <w:r>
              <w:rPr>
                <w:rFonts w:ascii="Times New Roman" w:hAnsi="Times New Roman"/>
                <w:b/>
                <w:i/>
                <w:sz w:val="24"/>
                <w:szCs w:val="24"/>
                <w:u w:val="single"/>
              </w:rPr>
              <w:t>Precizēt a</w:t>
            </w:r>
            <w:r w:rsidRPr="00E97657">
              <w:rPr>
                <w:rFonts w:ascii="Times New Roman" w:hAnsi="Times New Roman"/>
                <w:b/>
                <w:i/>
                <w:sz w:val="24"/>
                <w:szCs w:val="24"/>
                <w:u w:val="single"/>
              </w:rPr>
              <w:t>izdevuma energoefektivitātes paaugstināšanas pasākumu īstenošanai atmaksas termiņ</w:t>
            </w:r>
            <w:r>
              <w:rPr>
                <w:rFonts w:ascii="Times New Roman" w:hAnsi="Times New Roman"/>
                <w:b/>
                <w:i/>
                <w:sz w:val="24"/>
                <w:szCs w:val="24"/>
                <w:u w:val="single"/>
              </w:rPr>
              <w:t>u</w:t>
            </w:r>
            <w:r w:rsidR="003E39D1">
              <w:rPr>
                <w:rFonts w:ascii="Times New Roman" w:hAnsi="Times New Roman"/>
                <w:b/>
                <w:i/>
                <w:sz w:val="24"/>
                <w:szCs w:val="24"/>
                <w:u w:val="single"/>
              </w:rPr>
              <w:t>.</w:t>
            </w:r>
          </w:p>
          <w:p w14:paraId="148AAD97" w14:textId="77777777" w:rsidR="00E97657" w:rsidRDefault="00264B8C" w:rsidP="00076AEC">
            <w:pPr>
              <w:spacing w:after="0" w:line="240" w:lineRule="auto"/>
              <w:ind w:right="114" w:firstLine="567"/>
              <w:jc w:val="both"/>
              <w:rPr>
                <w:rFonts w:ascii="Times New Roman" w:hAnsi="Times New Roman"/>
                <w:sz w:val="24"/>
                <w:szCs w:val="24"/>
              </w:rPr>
            </w:pPr>
            <w:r>
              <w:rPr>
                <w:rFonts w:ascii="Times New Roman" w:hAnsi="Times New Roman"/>
                <w:sz w:val="24"/>
                <w:szCs w:val="24"/>
              </w:rPr>
              <w:t>N</w:t>
            </w:r>
            <w:r w:rsidRPr="00E97657">
              <w:rPr>
                <w:rFonts w:ascii="Times New Roman" w:hAnsi="Times New Roman"/>
                <w:sz w:val="24"/>
                <w:szCs w:val="24"/>
              </w:rPr>
              <w:t xml:space="preserve">epieciešams veikt </w:t>
            </w:r>
            <w:r>
              <w:rPr>
                <w:rFonts w:ascii="Times New Roman" w:hAnsi="Times New Roman"/>
                <w:sz w:val="24"/>
                <w:szCs w:val="24"/>
              </w:rPr>
              <w:t>g</w:t>
            </w:r>
            <w:r w:rsidRPr="00E97657">
              <w:rPr>
                <w:rFonts w:ascii="Times New Roman" w:hAnsi="Times New Roman"/>
                <w:sz w:val="24"/>
                <w:szCs w:val="24"/>
              </w:rPr>
              <w:t>rozījumu</w:t>
            </w:r>
            <w:r>
              <w:rPr>
                <w:rFonts w:ascii="Times New Roman" w:hAnsi="Times New Roman"/>
                <w:sz w:val="24"/>
                <w:szCs w:val="24"/>
              </w:rPr>
              <w:t>s MK noteikumos Nr. 160</w:t>
            </w:r>
            <w:r w:rsidRPr="00E97657">
              <w:rPr>
                <w:rFonts w:ascii="Times New Roman" w:hAnsi="Times New Roman"/>
                <w:sz w:val="24"/>
                <w:szCs w:val="24"/>
              </w:rPr>
              <w:t>, lai sniegtu potenciālajiem klientiem aktuālu informāciju atbilstoši</w:t>
            </w:r>
            <w:r>
              <w:t xml:space="preserve"> </w:t>
            </w:r>
            <w:r w:rsidRPr="00E97657">
              <w:rPr>
                <w:rFonts w:ascii="Times New Roman" w:hAnsi="Times New Roman"/>
                <w:sz w:val="24"/>
                <w:szCs w:val="24"/>
              </w:rPr>
              <w:t>Altum piedāvātajam aizdevuma</w:t>
            </w:r>
            <w:r>
              <w:rPr>
                <w:rFonts w:ascii="Times New Roman" w:hAnsi="Times New Roman"/>
                <w:sz w:val="24"/>
                <w:szCs w:val="24"/>
              </w:rPr>
              <w:t>m</w:t>
            </w:r>
            <w:r w:rsidR="00106EF0">
              <w:rPr>
                <w:rFonts w:ascii="Times New Roman" w:hAnsi="Times New Roman"/>
                <w:sz w:val="24"/>
                <w:szCs w:val="24"/>
              </w:rPr>
              <w:t xml:space="preserve"> un labotu iepriekšējos grozījumos veikto </w:t>
            </w:r>
            <w:r w:rsidR="001A358E">
              <w:rPr>
                <w:rFonts w:ascii="Times New Roman" w:hAnsi="Times New Roman"/>
                <w:sz w:val="24"/>
                <w:szCs w:val="24"/>
              </w:rPr>
              <w:t>neprecizitāti</w:t>
            </w:r>
            <w:r w:rsidR="00106EF0">
              <w:rPr>
                <w:rFonts w:ascii="Times New Roman" w:hAnsi="Times New Roman"/>
                <w:sz w:val="24"/>
                <w:szCs w:val="24"/>
              </w:rPr>
              <w:t>, ka līdz ar grozījumiem investīciju atmaksas termiņā (no 20 uz 30 gadiem) tika grozīts arī Altum aizdevuma</w:t>
            </w:r>
            <w:r w:rsidR="002E64B0">
              <w:rPr>
                <w:rFonts w:ascii="Times New Roman" w:hAnsi="Times New Roman"/>
                <w:sz w:val="24"/>
                <w:szCs w:val="24"/>
              </w:rPr>
              <w:t xml:space="preserve"> atmaksas</w:t>
            </w:r>
            <w:r w:rsidR="00106EF0">
              <w:rPr>
                <w:rFonts w:ascii="Times New Roman" w:hAnsi="Times New Roman"/>
                <w:sz w:val="24"/>
                <w:szCs w:val="24"/>
              </w:rPr>
              <w:t xml:space="preserve"> termiņš</w:t>
            </w:r>
            <w:r w:rsidR="002E64B0">
              <w:rPr>
                <w:rFonts w:ascii="Times New Roman" w:hAnsi="Times New Roman"/>
                <w:sz w:val="24"/>
                <w:szCs w:val="24"/>
              </w:rPr>
              <w:t xml:space="preserve"> (</w:t>
            </w:r>
            <w:r w:rsidR="00F9714C">
              <w:rPr>
                <w:rFonts w:ascii="Times New Roman" w:hAnsi="Times New Roman"/>
                <w:sz w:val="24"/>
                <w:szCs w:val="24"/>
              </w:rPr>
              <w:t>no</w:t>
            </w:r>
            <w:r w:rsidR="002E64B0">
              <w:rPr>
                <w:rFonts w:ascii="Times New Roman" w:hAnsi="Times New Roman"/>
                <w:sz w:val="24"/>
                <w:szCs w:val="24"/>
              </w:rPr>
              <w:t xml:space="preserve"> 20 </w:t>
            </w:r>
            <w:r w:rsidR="00F9714C">
              <w:rPr>
                <w:rFonts w:ascii="Times New Roman" w:hAnsi="Times New Roman"/>
                <w:sz w:val="24"/>
                <w:szCs w:val="24"/>
              </w:rPr>
              <w:t xml:space="preserve">uz 30 </w:t>
            </w:r>
            <w:r w:rsidR="002E64B0">
              <w:rPr>
                <w:rFonts w:ascii="Times New Roman" w:hAnsi="Times New Roman"/>
                <w:sz w:val="24"/>
                <w:szCs w:val="24"/>
              </w:rPr>
              <w:t>gadi</w:t>
            </w:r>
            <w:r w:rsidR="00F9714C">
              <w:rPr>
                <w:rFonts w:ascii="Times New Roman" w:hAnsi="Times New Roman"/>
                <w:sz w:val="24"/>
                <w:szCs w:val="24"/>
              </w:rPr>
              <w:t>em</w:t>
            </w:r>
            <w:r w:rsidR="002E64B0">
              <w:rPr>
                <w:rFonts w:ascii="Times New Roman" w:hAnsi="Times New Roman"/>
                <w:sz w:val="24"/>
                <w:szCs w:val="24"/>
              </w:rPr>
              <w:t>)</w:t>
            </w:r>
            <w:r w:rsidR="00106EF0">
              <w:rPr>
                <w:rFonts w:ascii="Times New Roman" w:hAnsi="Times New Roman"/>
                <w:sz w:val="24"/>
                <w:szCs w:val="24"/>
              </w:rPr>
              <w:t>, lai gan</w:t>
            </w:r>
            <w:r w:rsidR="00426AB2">
              <w:rPr>
                <w:rFonts w:ascii="Times New Roman" w:hAnsi="Times New Roman"/>
                <w:sz w:val="24"/>
                <w:szCs w:val="24"/>
              </w:rPr>
              <w:t xml:space="preserve"> </w:t>
            </w:r>
            <w:r w:rsidR="00106EF0">
              <w:rPr>
                <w:rFonts w:ascii="Times New Roman" w:hAnsi="Times New Roman"/>
                <w:sz w:val="24"/>
                <w:szCs w:val="24"/>
              </w:rPr>
              <w:t xml:space="preserve">Altum </w:t>
            </w:r>
            <w:r w:rsidR="002E64B0">
              <w:rPr>
                <w:rFonts w:ascii="Times New Roman" w:hAnsi="Times New Roman"/>
                <w:sz w:val="24"/>
                <w:szCs w:val="24"/>
              </w:rPr>
              <w:t>programm</w:t>
            </w:r>
            <w:r w:rsidR="000F02F3">
              <w:rPr>
                <w:rFonts w:ascii="Times New Roman" w:hAnsi="Times New Roman"/>
                <w:sz w:val="24"/>
                <w:szCs w:val="24"/>
              </w:rPr>
              <w:t>a</w:t>
            </w:r>
            <w:r w:rsidR="002E64B0">
              <w:rPr>
                <w:rFonts w:ascii="Times New Roman" w:hAnsi="Times New Roman"/>
                <w:sz w:val="24"/>
                <w:szCs w:val="24"/>
              </w:rPr>
              <w:t xml:space="preserve">s ietvaros nepiedāvā </w:t>
            </w:r>
            <w:r w:rsidR="00106EF0">
              <w:rPr>
                <w:rFonts w:ascii="Times New Roman" w:hAnsi="Times New Roman"/>
                <w:sz w:val="24"/>
                <w:szCs w:val="24"/>
              </w:rPr>
              <w:t>aizdevumus, k</w:t>
            </w:r>
            <w:r w:rsidR="00282CE1">
              <w:rPr>
                <w:rFonts w:ascii="Times New Roman" w:hAnsi="Times New Roman"/>
                <w:sz w:val="24"/>
                <w:szCs w:val="24"/>
              </w:rPr>
              <w:t>a</w:t>
            </w:r>
            <w:r w:rsidR="00106EF0">
              <w:rPr>
                <w:rFonts w:ascii="Times New Roman" w:hAnsi="Times New Roman"/>
                <w:sz w:val="24"/>
                <w:szCs w:val="24"/>
              </w:rPr>
              <w:t xml:space="preserve">s pārsniedz 20 gadu termiņu. </w:t>
            </w:r>
            <w:r w:rsidR="000F02F3">
              <w:rPr>
                <w:rFonts w:ascii="Times New Roman" w:hAnsi="Times New Roman"/>
                <w:sz w:val="24"/>
                <w:szCs w:val="24"/>
              </w:rPr>
              <w:t>Līdz ar to</w:t>
            </w:r>
            <w:r w:rsidR="00F9714C">
              <w:rPr>
                <w:rFonts w:ascii="Times New Roman" w:hAnsi="Times New Roman"/>
                <w:sz w:val="24"/>
                <w:szCs w:val="24"/>
              </w:rPr>
              <w:t>, lai nemaldinātu gala labuma guvējus</w:t>
            </w:r>
            <w:r w:rsidR="006C2551">
              <w:rPr>
                <w:rFonts w:ascii="Times New Roman" w:hAnsi="Times New Roman"/>
                <w:sz w:val="24"/>
                <w:szCs w:val="24"/>
              </w:rPr>
              <w:t>,</w:t>
            </w:r>
            <w:r w:rsidR="00F9714C">
              <w:rPr>
                <w:rFonts w:ascii="Times New Roman" w:hAnsi="Times New Roman"/>
                <w:sz w:val="24"/>
                <w:szCs w:val="24"/>
              </w:rPr>
              <w:t xml:space="preserve"> nepieciešams veikt tehniskus grozījumus</w:t>
            </w:r>
            <w:r w:rsidR="006C2551">
              <w:rPr>
                <w:rFonts w:ascii="Times New Roman" w:hAnsi="Times New Roman"/>
                <w:sz w:val="24"/>
                <w:szCs w:val="24"/>
              </w:rPr>
              <w:t xml:space="preserve">, kas </w:t>
            </w:r>
            <w:r w:rsidR="006C2551" w:rsidRPr="006C2551">
              <w:rPr>
                <w:rFonts w:ascii="Times New Roman" w:hAnsi="Times New Roman"/>
                <w:sz w:val="24"/>
                <w:szCs w:val="24"/>
              </w:rPr>
              <w:t>neatstās ietekmi uz finansējuma saņēmēju un gala labuma guvējiem, kā arī nebūs nepieciešams veikt grozījumus jau noslēgtajos līg</w:t>
            </w:r>
            <w:r w:rsidR="006C2551">
              <w:rPr>
                <w:rFonts w:ascii="Times New Roman" w:hAnsi="Times New Roman"/>
                <w:sz w:val="24"/>
                <w:szCs w:val="24"/>
              </w:rPr>
              <w:t>u</w:t>
            </w:r>
            <w:r w:rsidR="006C2551" w:rsidRPr="006C2551">
              <w:rPr>
                <w:rFonts w:ascii="Times New Roman" w:hAnsi="Times New Roman"/>
                <w:sz w:val="24"/>
                <w:szCs w:val="24"/>
              </w:rPr>
              <w:t>m</w:t>
            </w:r>
            <w:r w:rsidR="006C2551">
              <w:rPr>
                <w:rFonts w:ascii="Times New Roman" w:hAnsi="Times New Roman"/>
                <w:sz w:val="24"/>
                <w:szCs w:val="24"/>
              </w:rPr>
              <w:t>o</w:t>
            </w:r>
            <w:r w:rsidR="006C2551" w:rsidRPr="006C2551">
              <w:rPr>
                <w:rFonts w:ascii="Times New Roman" w:hAnsi="Times New Roman"/>
                <w:sz w:val="24"/>
                <w:szCs w:val="24"/>
              </w:rPr>
              <w:t>s ar gala labuma guvējiem.</w:t>
            </w:r>
            <w:r w:rsidR="00F9714C">
              <w:rPr>
                <w:rFonts w:ascii="Times New Roman" w:hAnsi="Times New Roman"/>
                <w:sz w:val="24"/>
                <w:szCs w:val="24"/>
              </w:rPr>
              <w:t xml:space="preserve"> Papildus, lai gan g</w:t>
            </w:r>
            <w:r w:rsidR="000F02F3">
              <w:rPr>
                <w:rFonts w:ascii="Times New Roman" w:hAnsi="Times New Roman"/>
                <w:sz w:val="24"/>
                <w:szCs w:val="24"/>
              </w:rPr>
              <w:t xml:space="preserve">rozījumu rezultātā </w:t>
            </w:r>
            <w:r w:rsidR="00B51635" w:rsidRPr="00B51635">
              <w:rPr>
                <w:rFonts w:ascii="Times New Roman" w:hAnsi="Times New Roman"/>
                <w:sz w:val="24"/>
                <w:szCs w:val="24"/>
              </w:rPr>
              <w:t xml:space="preserve">nav iespējama </w:t>
            </w:r>
            <w:r w:rsidR="00B51635">
              <w:rPr>
                <w:rFonts w:ascii="Times New Roman" w:hAnsi="Times New Roman"/>
                <w:sz w:val="24"/>
                <w:szCs w:val="24"/>
              </w:rPr>
              <w:t>gala labuma guvēju</w:t>
            </w:r>
            <w:r w:rsidR="00B51635" w:rsidRPr="00B51635">
              <w:rPr>
                <w:rFonts w:ascii="Times New Roman" w:hAnsi="Times New Roman"/>
                <w:sz w:val="24"/>
                <w:szCs w:val="24"/>
              </w:rPr>
              <w:t xml:space="preserve"> tiesiskā stāvokļa pasliktināšanās</w:t>
            </w:r>
            <w:r w:rsidR="00F9714C">
              <w:rPr>
                <w:rFonts w:ascii="Times New Roman" w:hAnsi="Times New Roman"/>
                <w:sz w:val="24"/>
                <w:szCs w:val="24"/>
              </w:rPr>
              <w:t>, Ekonomikas ministrija veiks projektu iesniedzēju informēšanu par veiktajiem grozījumiem gan E</w:t>
            </w:r>
            <w:r w:rsidR="008E1AF8">
              <w:rPr>
                <w:rFonts w:ascii="Times New Roman" w:hAnsi="Times New Roman"/>
                <w:sz w:val="24"/>
                <w:szCs w:val="24"/>
              </w:rPr>
              <w:t>konomik</w:t>
            </w:r>
            <w:r w:rsidR="002516F4">
              <w:rPr>
                <w:rFonts w:ascii="Times New Roman" w:hAnsi="Times New Roman"/>
                <w:sz w:val="24"/>
                <w:szCs w:val="24"/>
              </w:rPr>
              <w:t>as</w:t>
            </w:r>
            <w:r w:rsidR="008E1AF8">
              <w:rPr>
                <w:rFonts w:ascii="Times New Roman" w:hAnsi="Times New Roman"/>
                <w:sz w:val="24"/>
                <w:szCs w:val="24"/>
              </w:rPr>
              <w:t xml:space="preserve"> </w:t>
            </w:r>
            <w:r w:rsidR="002516F4">
              <w:rPr>
                <w:rFonts w:ascii="Times New Roman" w:hAnsi="Times New Roman"/>
                <w:sz w:val="24"/>
                <w:szCs w:val="24"/>
              </w:rPr>
              <w:t>m</w:t>
            </w:r>
            <w:r w:rsidR="008E1AF8">
              <w:rPr>
                <w:rFonts w:ascii="Times New Roman" w:hAnsi="Times New Roman"/>
                <w:sz w:val="24"/>
                <w:szCs w:val="24"/>
              </w:rPr>
              <w:t>inistrijas</w:t>
            </w:r>
            <w:r w:rsidR="00F9714C">
              <w:rPr>
                <w:rFonts w:ascii="Times New Roman" w:hAnsi="Times New Roman"/>
                <w:sz w:val="24"/>
                <w:szCs w:val="24"/>
              </w:rPr>
              <w:t xml:space="preserve"> tīmekļa vietnē, gan </w:t>
            </w:r>
            <w:r w:rsidR="00033DA0">
              <w:rPr>
                <w:rFonts w:ascii="Times New Roman" w:hAnsi="Times New Roman"/>
                <w:sz w:val="24"/>
                <w:szCs w:val="24"/>
              </w:rPr>
              <w:t>Altu</w:t>
            </w:r>
            <w:r w:rsidR="002D7664">
              <w:rPr>
                <w:rFonts w:ascii="Times New Roman" w:hAnsi="Times New Roman"/>
                <w:sz w:val="24"/>
                <w:szCs w:val="24"/>
              </w:rPr>
              <w:t>m, gan platformā “Dzīvo siltāk”</w:t>
            </w:r>
            <w:r w:rsidR="00B51635">
              <w:rPr>
                <w:rFonts w:ascii="Times New Roman" w:hAnsi="Times New Roman"/>
                <w:sz w:val="24"/>
                <w:szCs w:val="24"/>
              </w:rPr>
              <w:t>.</w:t>
            </w:r>
          </w:p>
          <w:p w14:paraId="273236D9" w14:textId="77777777" w:rsidR="0005305B" w:rsidRDefault="0005305B" w:rsidP="00076AEC">
            <w:pPr>
              <w:spacing w:after="0" w:line="240" w:lineRule="auto"/>
              <w:ind w:right="114" w:firstLine="567"/>
              <w:jc w:val="both"/>
              <w:rPr>
                <w:rFonts w:ascii="Times New Roman" w:hAnsi="Times New Roman"/>
                <w:sz w:val="24"/>
                <w:szCs w:val="24"/>
              </w:rPr>
            </w:pPr>
          </w:p>
          <w:p w14:paraId="4C6EF720" w14:textId="77777777" w:rsidR="00C20E04" w:rsidRPr="00E97657" w:rsidRDefault="0005305B" w:rsidP="00C20E04">
            <w:pPr>
              <w:pStyle w:val="ListParagraph"/>
              <w:numPr>
                <w:ilvl w:val="0"/>
                <w:numId w:val="1"/>
              </w:numPr>
              <w:spacing w:after="0" w:line="240" w:lineRule="auto"/>
              <w:ind w:left="0" w:right="-1" w:firstLine="360"/>
              <w:jc w:val="both"/>
              <w:rPr>
                <w:rFonts w:ascii="Times New Roman" w:hAnsi="Times New Roman"/>
                <w:sz w:val="24"/>
                <w:szCs w:val="24"/>
              </w:rPr>
            </w:pPr>
            <w:r>
              <w:rPr>
                <w:rFonts w:ascii="Times New Roman" w:hAnsi="Times New Roman"/>
                <w:b/>
                <w:i/>
                <w:sz w:val="24"/>
                <w:szCs w:val="24"/>
                <w:u w:val="single"/>
              </w:rPr>
              <w:t>P</w:t>
            </w:r>
            <w:r w:rsidRPr="0005305B">
              <w:rPr>
                <w:rFonts w:ascii="Times New Roman" w:hAnsi="Times New Roman"/>
                <w:b/>
                <w:i/>
                <w:sz w:val="24"/>
                <w:szCs w:val="24"/>
                <w:u w:val="single"/>
              </w:rPr>
              <w:t xml:space="preserve">agarināt </w:t>
            </w:r>
            <w:r w:rsidR="00C20E04" w:rsidRPr="0005305B">
              <w:rPr>
                <w:rFonts w:ascii="Times New Roman" w:hAnsi="Times New Roman"/>
                <w:b/>
                <w:i/>
                <w:sz w:val="24"/>
                <w:szCs w:val="24"/>
                <w:u w:val="single"/>
              </w:rPr>
              <w:t>termiņu</w:t>
            </w:r>
            <w:r w:rsidR="00C20E04">
              <w:rPr>
                <w:rFonts w:ascii="Times New Roman" w:hAnsi="Times New Roman"/>
                <w:b/>
                <w:i/>
                <w:sz w:val="24"/>
                <w:szCs w:val="24"/>
                <w:u w:val="single"/>
              </w:rPr>
              <w:t>, kādā</w:t>
            </w:r>
            <w:r w:rsidR="00C20E04" w:rsidRPr="0005305B">
              <w:rPr>
                <w:rFonts w:ascii="Times New Roman" w:hAnsi="Times New Roman"/>
                <w:b/>
                <w:i/>
                <w:sz w:val="24"/>
                <w:szCs w:val="24"/>
                <w:u w:val="single"/>
              </w:rPr>
              <w:t xml:space="preserve"> </w:t>
            </w:r>
            <w:proofErr w:type="spellStart"/>
            <w:r w:rsidR="00C20E04" w:rsidRPr="0005305B">
              <w:rPr>
                <w:rFonts w:ascii="Times New Roman" w:hAnsi="Times New Roman"/>
                <w:b/>
                <w:i/>
                <w:sz w:val="24"/>
                <w:szCs w:val="24"/>
                <w:u w:val="single"/>
              </w:rPr>
              <w:t>Altum</w:t>
            </w:r>
            <w:proofErr w:type="spellEnd"/>
            <w:r w:rsidR="00C20E04" w:rsidRPr="0005305B">
              <w:rPr>
                <w:rFonts w:ascii="Times New Roman" w:hAnsi="Times New Roman"/>
                <w:b/>
                <w:i/>
                <w:sz w:val="24"/>
                <w:szCs w:val="24"/>
                <w:u w:val="single"/>
              </w:rPr>
              <w:t xml:space="preserve"> projekta</w:t>
            </w:r>
            <w:r w:rsidR="00C20E04">
              <w:rPr>
                <w:rFonts w:ascii="Times New Roman" w:hAnsi="Times New Roman"/>
                <w:b/>
                <w:i/>
                <w:sz w:val="24"/>
                <w:szCs w:val="24"/>
                <w:u w:val="single"/>
              </w:rPr>
              <w:t xml:space="preserve">m piešķir </w:t>
            </w:r>
            <w:proofErr w:type="spellStart"/>
            <w:r w:rsidR="00C20E04">
              <w:rPr>
                <w:rFonts w:ascii="Times New Roman" w:hAnsi="Times New Roman"/>
                <w:b/>
                <w:i/>
                <w:sz w:val="24"/>
                <w:szCs w:val="24"/>
                <w:u w:val="single"/>
              </w:rPr>
              <w:t>grantu</w:t>
            </w:r>
            <w:proofErr w:type="spellEnd"/>
            <w:r w:rsidR="00C20E04" w:rsidRPr="0005305B">
              <w:rPr>
                <w:rFonts w:ascii="Times New Roman" w:hAnsi="Times New Roman"/>
                <w:b/>
                <w:i/>
                <w:sz w:val="24"/>
                <w:szCs w:val="24"/>
                <w:u w:val="single"/>
              </w:rPr>
              <w:t xml:space="preserve"> un finanšu instrument</w:t>
            </w:r>
            <w:r w:rsidR="00C20E04">
              <w:rPr>
                <w:rFonts w:ascii="Times New Roman" w:hAnsi="Times New Roman"/>
                <w:b/>
                <w:i/>
                <w:sz w:val="24"/>
                <w:szCs w:val="24"/>
                <w:u w:val="single"/>
              </w:rPr>
              <w:t>u.</w:t>
            </w:r>
          </w:p>
          <w:p w14:paraId="580B6DBA" w14:textId="77777777" w:rsidR="003E39D1" w:rsidRDefault="003E39D1" w:rsidP="003E39D1">
            <w:pPr>
              <w:spacing w:after="0" w:line="240" w:lineRule="auto"/>
              <w:ind w:right="114" w:firstLine="567"/>
              <w:jc w:val="both"/>
              <w:rPr>
                <w:rFonts w:ascii="Times New Roman" w:hAnsi="Times New Roman"/>
                <w:sz w:val="24"/>
                <w:szCs w:val="24"/>
              </w:rPr>
            </w:pPr>
            <w:r>
              <w:rPr>
                <w:rFonts w:ascii="Times New Roman" w:hAnsi="Times New Roman"/>
                <w:sz w:val="24"/>
                <w:szCs w:val="24"/>
              </w:rPr>
              <w:t xml:space="preserve">MK noteikumu Nr. 160 esošā redakcija nosaka, ka atbalsts tiek sniegts ne ilgāk kā </w:t>
            </w:r>
            <w:r w:rsidRPr="003353FD">
              <w:rPr>
                <w:rFonts w:ascii="Times New Roman" w:hAnsi="Times New Roman"/>
                <w:sz w:val="24"/>
                <w:szCs w:val="24"/>
              </w:rPr>
              <w:t>līdz 2022. gada 31. decembrim, izņemot</w:t>
            </w:r>
            <w:r>
              <w:rPr>
                <w:rFonts w:ascii="Times New Roman" w:hAnsi="Times New Roman"/>
                <w:sz w:val="24"/>
                <w:szCs w:val="24"/>
              </w:rPr>
              <w:t xml:space="preserve"> </w:t>
            </w:r>
            <w:r w:rsidRPr="003353FD">
              <w:rPr>
                <w:rFonts w:ascii="Times New Roman" w:hAnsi="Times New Roman"/>
                <w:sz w:val="24"/>
                <w:szCs w:val="24"/>
              </w:rPr>
              <w:t>Altum finanšu instrumenta pārvaldības izmaksas, kas nepārsniedz regulas Nr. 480/2014 13. panta 2. un 3. punktā minētos ierobežojumus un kas veiktas no 2015. gada 30. aprīļa</w:t>
            </w:r>
            <w:r>
              <w:rPr>
                <w:rFonts w:ascii="Times New Roman" w:hAnsi="Times New Roman"/>
                <w:sz w:val="24"/>
                <w:szCs w:val="24"/>
              </w:rPr>
              <w:t>.</w:t>
            </w:r>
          </w:p>
          <w:p w14:paraId="497D5003" w14:textId="77777777" w:rsidR="003E39D1" w:rsidRDefault="003E39D1" w:rsidP="003E39D1">
            <w:pPr>
              <w:spacing w:after="0" w:line="240" w:lineRule="auto"/>
              <w:ind w:right="114" w:firstLine="567"/>
              <w:jc w:val="both"/>
              <w:rPr>
                <w:rFonts w:ascii="Times New Roman" w:hAnsi="Times New Roman"/>
                <w:sz w:val="24"/>
                <w:szCs w:val="24"/>
              </w:rPr>
            </w:pPr>
            <w:r w:rsidRPr="00E27625">
              <w:rPr>
                <w:rFonts w:ascii="Times New Roman" w:hAnsi="Times New Roman"/>
                <w:sz w:val="24"/>
                <w:szCs w:val="24"/>
              </w:rPr>
              <w:lastRenderedPageBreak/>
              <w:t>Ņemot vērā</w:t>
            </w:r>
            <w:r>
              <w:rPr>
                <w:rFonts w:ascii="Times New Roman" w:hAnsi="Times New Roman"/>
                <w:sz w:val="24"/>
                <w:szCs w:val="24"/>
              </w:rPr>
              <w:t xml:space="preserve"> lielo projektu skaitu, kas tiek iesniegti Altum vērtēšanā, kā arī to, ka projekta iesniedzējiem </w:t>
            </w:r>
            <w:r w:rsidRPr="0005305B">
              <w:rPr>
                <w:rFonts w:ascii="Times New Roman" w:hAnsi="Times New Roman"/>
                <w:sz w:val="24"/>
                <w:szCs w:val="24"/>
              </w:rPr>
              <w:t>10%</w:t>
            </w:r>
            <w:r>
              <w:rPr>
                <w:rFonts w:ascii="Times New Roman" w:hAnsi="Times New Roman"/>
                <w:sz w:val="24"/>
                <w:szCs w:val="24"/>
              </w:rPr>
              <w:t xml:space="preserve"> </w:t>
            </w:r>
            <w:proofErr w:type="spellStart"/>
            <w:r>
              <w:rPr>
                <w:rFonts w:ascii="Times New Roman" w:hAnsi="Times New Roman"/>
                <w:sz w:val="24"/>
                <w:szCs w:val="24"/>
              </w:rPr>
              <w:t>granta</w:t>
            </w:r>
            <w:proofErr w:type="spellEnd"/>
            <w:r>
              <w:rPr>
                <w:rFonts w:ascii="Times New Roman" w:hAnsi="Times New Roman"/>
                <w:sz w:val="24"/>
                <w:szCs w:val="24"/>
              </w:rPr>
              <w:t xml:space="preserve"> daļa</w:t>
            </w:r>
            <w:r w:rsidRPr="0005305B">
              <w:rPr>
                <w:rFonts w:ascii="Times New Roman" w:hAnsi="Times New Roman"/>
                <w:sz w:val="24"/>
                <w:szCs w:val="24"/>
              </w:rPr>
              <w:t xml:space="preserve"> tiek izmaksāt</w:t>
            </w:r>
            <w:r>
              <w:rPr>
                <w:rFonts w:ascii="Times New Roman" w:hAnsi="Times New Roman"/>
                <w:sz w:val="24"/>
                <w:szCs w:val="24"/>
              </w:rPr>
              <w:t>a</w:t>
            </w:r>
            <w:r w:rsidRPr="0005305B">
              <w:rPr>
                <w:rFonts w:ascii="Times New Roman" w:hAnsi="Times New Roman"/>
                <w:sz w:val="24"/>
                <w:szCs w:val="24"/>
              </w:rPr>
              <w:t xml:space="preserve"> </w:t>
            </w:r>
            <w:r>
              <w:rPr>
                <w:rFonts w:ascii="Times New Roman" w:hAnsi="Times New Roman"/>
                <w:sz w:val="24"/>
                <w:szCs w:val="24"/>
              </w:rPr>
              <w:t>tikai pēc</w:t>
            </w:r>
            <w:r w:rsidRPr="0005305B">
              <w:rPr>
                <w:rFonts w:ascii="Times New Roman" w:hAnsi="Times New Roman"/>
                <w:sz w:val="24"/>
                <w:szCs w:val="24"/>
              </w:rPr>
              <w:t xml:space="preserve"> </w:t>
            </w:r>
            <w:r>
              <w:rPr>
                <w:rFonts w:ascii="Times New Roman" w:hAnsi="Times New Roman"/>
                <w:sz w:val="24"/>
                <w:szCs w:val="24"/>
              </w:rPr>
              <w:t>būves</w:t>
            </w:r>
            <w:r w:rsidRPr="0005305B">
              <w:rPr>
                <w:rFonts w:ascii="Times New Roman" w:hAnsi="Times New Roman"/>
                <w:sz w:val="24"/>
                <w:szCs w:val="24"/>
              </w:rPr>
              <w:t xml:space="preserve"> nodošanas ekspluatācijā</w:t>
            </w:r>
            <w:r>
              <w:rPr>
                <w:rFonts w:ascii="Times New Roman" w:hAnsi="Times New Roman"/>
                <w:sz w:val="24"/>
                <w:szCs w:val="24"/>
              </w:rPr>
              <w:t xml:space="preserve">, nepieciešams padarināt MK noteikumos Nr. 160 noteikto termiņu par 1 gadu, t.i. - noteikt, ka atbalsts tiek sniegts līdz </w:t>
            </w:r>
            <w:r w:rsidRPr="00CC75FA">
              <w:rPr>
                <w:rFonts w:ascii="Times New Roman" w:hAnsi="Times New Roman"/>
                <w:sz w:val="24"/>
                <w:szCs w:val="24"/>
              </w:rPr>
              <w:t>2023. gada 31. decembrim</w:t>
            </w:r>
            <w:r>
              <w:rPr>
                <w:rFonts w:ascii="Times New Roman" w:hAnsi="Times New Roman"/>
                <w:sz w:val="24"/>
                <w:szCs w:val="24"/>
              </w:rPr>
              <w:t xml:space="preserve">, kas būtu arī atbilstošs </w:t>
            </w:r>
            <w:r w:rsidRPr="00E27625">
              <w:rPr>
                <w:rFonts w:ascii="Times New Roman" w:hAnsi="Times New Roman"/>
                <w:sz w:val="24"/>
                <w:szCs w:val="24"/>
              </w:rPr>
              <w:t xml:space="preserve">Eiropas Parlamenta un Padomes Regulā (ES) Nr.1303/2013 III nodaļas 65.panta 2. punktā noteikto </w:t>
            </w:r>
            <w:r w:rsidRPr="00CC75FA">
              <w:rPr>
                <w:rFonts w:ascii="Times New Roman" w:hAnsi="Times New Roman"/>
                <w:sz w:val="24"/>
                <w:szCs w:val="24"/>
              </w:rPr>
              <w:t>"</w:t>
            </w:r>
            <w:r w:rsidRPr="00BF3D0B">
              <w:rPr>
                <w:rFonts w:ascii="Times New Roman" w:hAnsi="Times New Roman"/>
                <w:i/>
                <w:sz w:val="24"/>
                <w:szCs w:val="24"/>
              </w:rPr>
              <w:t xml:space="preserve">Izdevumi ir atbilstīgi ieguldījumam no ESI fondiem, ja tie radušies atbalsta saņēmējam un samaksāti laikposmā no dienas, kad programma iesniegta Komisijai, vai no 2014. gada 1. janvāra - atkarībā no tā, kurš no minētajiem termiņiem ir agrāks, - līdz 2023.gada 31.decembrim. </w:t>
            </w:r>
            <w:r w:rsidR="006C3658">
              <w:rPr>
                <w:rFonts w:ascii="Times New Roman" w:hAnsi="Times New Roman"/>
                <w:i/>
                <w:sz w:val="24"/>
                <w:szCs w:val="24"/>
              </w:rPr>
              <w:t>…</w:t>
            </w:r>
            <w:r w:rsidRPr="00CC75FA">
              <w:rPr>
                <w:rFonts w:ascii="Times New Roman" w:hAnsi="Times New Roman"/>
                <w:sz w:val="24"/>
                <w:szCs w:val="24"/>
              </w:rPr>
              <w:t>"</w:t>
            </w:r>
            <w:r>
              <w:rPr>
                <w:rFonts w:ascii="Times New Roman" w:hAnsi="Times New Roman"/>
                <w:sz w:val="24"/>
                <w:szCs w:val="24"/>
              </w:rPr>
              <w:t>.</w:t>
            </w:r>
          </w:p>
          <w:p w14:paraId="67735BF4" w14:textId="77777777" w:rsidR="002E6FD8" w:rsidRDefault="002E6FD8" w:rsidP="009958C4">
            <w:pPr>
              <w:spacing w:after="0" w:line="240" w:lineRule="auto"/>
              <w:ind w:right="114" w:firstLine="567"/>
              <w:jc w:val="both"/>
              <w:rPr>
                <w:rFonts w:ascii="Times New Roman" w:hAnsi="Times New Roman"/>
                <w:sz w:val="24"/>
                <w:szCs w:val="24"/>
              </w:rPr>
            </w:pPr>
          </w:p>
          <w:p w14:paraId="4F9B89D0" w14:textId="77777777" w:rsidR="002E6FD8" w:rsidRPr="002E6FD8" w:rsidRDefault="00530350" w:rsidP="002E6FD8">
            <w:pPr>
              <w:pStyle w:val="ListParagraph"/>
              <w:numPr>
                <w:ilvl w:val="0"/>
                <w:numId w:val="1"/>
              </w:numPr>
              <w:spacing w:after="0" w:line="240" w:lineRule="auto"/>
              <w:ind w:left="0" w:right="-1" w:firstLine="360"/>
              <w:jc w:val="both"/>
              <w:rPr>
                <w:rFonts w:ascii="Times New Roman" w:hAnsi="Times New Roman"/>
                <w:b/>
                <w:i/>
                <w:sz w:val="24"/>
                <w:szCs w:val="24"/>
                <w:u w:val="single"/>
              </w:rPr>
            </w:pPr>
            <w:r>
              <w:rPr>
                <w:rFonts w:ascii="Times New Roman" w:hAnsi="Times New Roman"/>
                <w:b/>
                <w:i/>
                <w:sz w:val="24"/>
                <w:szCs w:val="24"/>
                <w:u w:val="single"/>
              </w:rPr>
              <w:t xml:space="preserve">Precizēt </w:t>
            </w:r>
            <w:r w:rsidR="002E6FD8" w:rsidRPr="002E6FD8">
              <w:rPr>
                <w:rFonts w:ascii="Times New Roman" w:hAnsi="Times New Roman"/>
                <w:b/>
                <w:i/>
                <w:sz w:val="24"/>
                <w:szCs w:val="24"/>
                <w:u w:val="single"/>
              </w:rPr>
              <w:t>atbalsta piešķiršanas brīdi.</w:t>
            </w:r>
          </w:p>
          <w:p w14:paraId="1D02D92A" w14:textId="77777777" w:rsidR="002E6FD8" w:rsidRPr="002E6FD8" w:rsidRDefault="00E82FBC" w:rsidP="002E6FD8">
            <w:pPr>
              <w:spacing w:after="0" w:line="240" w:lineRule="auto"/>
              <w:ind w:right="114" w:firstLine="567"/>
              <w:jc w:val="both"/>
              <w:rPr>
                <w:rFonts w:ascii="Times New Roman" w:hAnsi="Times New Roman"/>
                <w:sz w:val="24"/>
                <w:szCs w:val="24"/>
              </w:rPr>
            </w:pPr>
            <w:r>
              <w:rPr>
                <w:rFonts w:ascii="Times New Roman" w:hAnsi="Times New Roman"/>
                <w:sz w:val="24"/>
                <w:szCs w:val="24"/>
              </w:rPr>
              <w:t>MK noteikum</w:t>
            </w:r>
            <w:r w:rsidR="002E6FD8">
              <w:rPr>
                <w:rFonts w:ascii="Times New Roman" w:hAnsi="Times New Roman"/>
                <w:sz w:val="24"/>
                <w:szCs w:val="24"/>
              </w:rPr>
              <w:t>u</w:t>
            </w:r>
            <w:r>
              <w:rPr>
                <w:rFonts w:ascii="Times New Roman" w:hAnsi="Times New Roman"/>
                <w:sz w:val="24"/>
                <w:szCs w:val="24"/>
              </w:rPr>
              <w:t xml:space="preserve"> Nr. 160</w:t>
            </w:r>
            <w:r w:rsidR="002E6FD8">
              <w:rPr>
                <w:rFonts w:ascii="Times New Roman" w:hAnsi="Times New Roman"/>
                <w:sz w:val="24"/>
                <w:szCs w:val="24"/>
              </w:rPr>
              <w:t xml:space="preserve"> </w:t>
            </w:r>
            <w:r w:rsidR="002E6FD8" w:rsidRPr="002E6FD8">
              <w:rPr>
                <w:rFonts w:ascii="Times New Roman" w:hAnsi="Times New Roman"/>
                <w:sz w:val="24"/>
                <w:szCs w:val="24"/>
              </w:rPr>
              <w:t>esošajā redakcijā nenosaka atbalsta piešķiršanas brīdi projektu iesniedzējiem, kam atbalsts tiek sniegts saskaņā ar Komisijas regulu Nr.1407/2013. Atbalsta piešķiršanas brīža identificēšana ir būtisks priekšnosacījums korektai interpretācijai par datumu, kurā atbalsts ir ticis piešķirts tā saņēmējam.</w:t>
            </w:r>
            <w:r w:rsidR="004A04D2">
              <w:rPr>
                <w:rFonts w:ascii="Times New Roman" w:hAnsi="Times New Roman"/>
                <w:sz w:val="24"/>
                <w:szCs w:val="24"/>
              </w:rPr>
              <w:t xml:space="preserve"> </w:t>
            </w:r>
            <w:r w:rsidR="002E6FD8" w:rsidRPr="002E6FD8">
              <w:rPr>
                <w:rFonts w:ascii="Times New Roman" w:hAnsi="Times New Roman"/>
                <w:sz w:val="24"/>
                <w:szCs w:val="24"/>
              </w:rPr>
              <w:t xml:space="preserve">Komisijas regulas Nr.1407/2013 3.panta ceturtajā punktā norādīts, ka </w:t>
            </w:r>
            <w:proofErr w:type="spellStart"/>
            <w:r w:rsidR="002E6FD8" w:rsidRPr="00530350">
              <w:rPr>
                <w:rFonts w:ascii="Times New Roman" w:hAnsi="Times New Roman"/>
                <w:i/>
                <w:sz w:val="24"/>
                <w:szCs w:val="24"/>
              </w:rPr>
              <w:t>de</w:t>
            </w:r>
            <w:proofErr w:type="spellEnd"/>
            <w:r w:rsidR="002E6FD8" w:rsidRPr="00530350">
              <w:rPr>
                <w:rFonts w:ascii="Times New Roman" w:hAnsi="Times New Roman"/>
                <w:i/>
                <w:sz w:val="24"/>
                <w:szCs w:val="24"/>
              </w:rPr>
              <w:t xml:space="preserve"> </w:t>
            </w:r>
            <w:proofErr w:type="spellStart"/>
            <w:r w:rsidR="002E6FD8" w:rsidRPr="00530350">
              <w:rPr>
                <w:rFonts w:ascii="Times New Roman" w:hAnsi="Times New Roman"/>
                <w:i/>
                <w:sz w:val="24"/>
                <w:szCs w:val="24"/>
              </w:rPr>
              <w:t>minimis</w:t>
            </w:r>
            <w:proofErr w:type="spellEnd"/>
            <w:r w:rsidR="002E6FD8" w:rsidRPr="002E6FD8">
              <w:rPr>
                <w:rFonts w:ascii="Times New Roman" w:hAnsi="Times New Roman"/>
                <w:sz w:val="24"/>
                <w:szCs w:val="24"/>
              </w:rPr>
              <w:t xml:space="preserve"> atbalstu uzskata par piešķirtu brīdī, kad saskaņā ar piemērojamo valsts tiesisko regulējumu ir piešķirtas likumīgās tiesības saņemt atbalstu, neatkarīgi no datuma, kurā </w:t>
            </w:r>
            <w:proofErr w:type="spellStart"/>
            <w:r w:rsidR="002E6FD8" w:rsidRPr="00530350">
              <w:rPr>
                <w:rFonts w:ascii="Times New Roman" w:hAnsi="Times New Roman"/>
                <w:i/>
                <w:sz w:val="24"/>
                <w:szCs w:val="24"/>
              </w:rPr>
              <w:t>de</w:t>
            </w:r>
            <w:proofErr w:type="spellEnd"/>
            <w:r w:rsidR="002E6FD8" w:rsidRPr="00530350">
              <w:rPr>
                <w:rFonts w:ascii="Times New Roman" w:hAnsi="Times New Roman"/>
                <w:i/>
                <w:sz w:val="24"/>
                <w:szCs w:val="24"/>
              </w:rPr>
              <w:t xml:space="preserve"> </w:t>
            </w:r>
            <w:proofErr w:type="spellStart"/>
            <w:r w:rsidR="002E6FD8" w:rsidRPr="00530350">
              <w:rPr>
                <w:rFonts w:ascii="Times New Roman" w:hAnsi="Times New Roman"/>
                <w:i/>
                <w:sz w:val="24"/>
                <w:szCs w:val="24"/>
              </w:rPr>
              <w:t>minimis</w:t>
            </w:r>
            <w:proofErr w:type="spellEnd"/>
            <w:r w:rsidR="002E6FD8" w:rsidRPr="002E6FD8">
              <w:rPr>
                <w:rFonts w:ascii="Times New Roman" w:hAnsi="Times New Roman"/>
                <w:sz w:val="24"/>
                <w:szCs w:val="24"/>
              </w:rPr>
              <w:t xml:space="preserve"> atbalsts uzņēmumam izmaksāts.</w:t>
            </w:r>
          </w:p>
          <w:p w14:paraId="1151E99E" w14:textId="77777777" w:rsidR="00E82FBC" w:rsidRDefault="002E6FD8" w:rsidP="002E6FD8">
            <w:pPr>
              <w:spacing w:after="0" w:line="240" w:lineRule="auto"/>
              <w:ind w:right="114" w:firstLine="567"/>
              <w:jc w:val="both"/>
              <w:rPr>
                <w:rFonts w:ascii="Times New Roman" w:hAnsi="Times New Roman"/>
                <w:sz w:val="24"/>
                <w:szCs w:val="24"/>
              </w:rPr>
            </w:pPr>
            <w:r w:rsidRPr="002E6FD8">
              <w:rPr>
                <w:rFonts w:ascii="Times New Roman" w:hAnsi="Times New Roman"/>
                <w:sz w:val="24"/>
                <w:szCs w:val="24"/>
              </w:rPr>
              <w:t>Ņemot vērā</w:t>
            </w:r>
            <w:r w:rsidR="004A04D2">
              <w:rPr>
                <w:rFonts w:ascii="Times New Roman" w:hAnsi="Times New Roman"/>
                <w:sz w:val="24"/>
                <w:szCs w:val="24"/>
              </w:rPr>
              <w:t xml:space="preserve"> </w:t>
            </w:r>
            <w:r w:rsidRPr="002E6FD8">
              <w:rPr>
                <w:rFonts w:ascii="Times New Roman" w:hAnsi="Times New Roman"/>
                <w:sz w:val="24"/>
                <w:szCs w:val="24"/>
              </w:rPr>
              <w:t xml:space="preserve">minēto, </w:t>
            </w:r>
            <w:r>
              <w:rPr>
                <w:rFonts w:ascii="Times New Roman" w:hAnsi="Times New Roman"/>
                <w:sz w:val="24"/>
                <w:szCs w:val="24"/>
              </w:rPr>
              <w:t>MK noteikumu Nr. 160 izpratnē</w:t>
            </w:r>
            <w:r w:rsidRPr="002E6FD8">
              <w:rPr>
                <w:rFonts w:ascii="Times New Roman" w:hAnsi="Times New Roman"/>
                <w:sz w:val="24"/>
                <w:szCs w:val="24"/>
              </w:rPr>
              <w:t xml:space="preserve"> </w:t>
            </w:r>
            <w:r w:rsidR="00BF7E99">
              <w:rPr>
                <w:rFonts w:ascii="Times New Roman" w:hAnsi="Times New Roman"/>
                <w:sz w:val="24"/>
                <w:szCs w:val="24"/>
              </w:rPr>
              <w:t>a</w:t>
            </w:r>
            <w:r w:rsidR="00BF7E99" w:rsidRPr="00BF7E99">
              <w:rPr>
                <w:rFonts w:ascii="Times New Roman" w:hAnsi="Times New Roman"/>
                <w:sz w:val="24"/>
                <w:szCs w:val="24"/>
              </w:rPr>
              <w:t xml:space="preserve">tbalsta piešķiršanas brīdis ir diena, kad sabiedrība "Altum" pieņem lēmumu par </w:t>
            </w:r>
            <w:proofErr w:type="spellStart"/>
            <w:r w:rsidR="00BF7E99" w:rsidRPr="00BF7E99">
              <w:rPr>
                <w:rFonts w:ascii="Times New Roman" w:hAnsi="Times New Roman"/>
                <w:sz w:val="24"/>
                <w:szCs w:val="24"/>
              </w:rPr>
              <w:t>granta</w:t>
            </w:r>
            <w:proofErr w:type="spellEnd"/>
            <w:r w:rsidR="00BF7E99" w:rsidRPr="00BF7E99">
              <w:rPr>
                <w:rFonts w:ascii="Times New Roman" w:hAnsi="Times New Roman"/>
                <w:sz w:val="24"/>
                <w:szCs w:val="24"/>
              </w:rPr>
              <w:t>, aizdevuma vai garantijas piešķiršanu</w:t>
            </w:r>
            <w:r w:rsidRPr="002E6FD8">
              <w:rPr>
                <w:rFonts w:ascii="Times New Roman" w:hAnsi="Times New Roman"/>
                <w:sz w:val="24"/>
                <w:szCs w:val="24"/>
              </w:rPr>
              <w:t>.</w:t>
            </w:r>
          </w:p>
          <w:p w14:paraId="0E7BFF35" w14:textId="77777777" w:rsidR="006C377E" w:rsidRDefault="006C377E" w:rsidP="002E6FD8">
            <w:pPr>
              <w:spacing w:after="0" w:line="240" w:lineRule="auto"/>
              <w:ind w:right="114" w:firstLine="567"/>
              <w:jc w:val="both"/>
              <w:rPr>
                <w:rFonts w:ascii="Times New Roman" w:hAnsi="Times New Roman"/>
                <w:sz w:val="24"/>
                <w:szCs w:val="24"/>
              </w:rPr>
            </w:pPr>
          </w:p>
          <w:p w14:paraId="45FA5F8F" w14:textId="77777777" w:rsidR="006C377E" w:rsidRPr="00606B47" w:rsidRDefault="005745DF" w:rsidP="006C377E">
            <w:pPr>
              <w:pStyle w:val="ListParagraph"/>
              <w:numPr>
                <w:ilvl w:val="0"/>
                <w:numId w:val="1"/>
              </w:numPr>
              <w:spacing w:after="0" w:line="240" w:lineRule="auto"/>
              <w:ind w:left="0" w:right="-1" w:firstLine="360"/>
              <w:jc w:val="both"/>
              <w:rPr>
                <w:rFonts w:ascii="Times New Roman" w:hAnsi="Times New Roman"/>
                <w:sz w:val="24"/>
                <w:szCs w:val="24"/>
              </w:rPr>
            </w:pPr>
            <w:r w:rsidRPr="00606B47">
              <w:rPr>
                <w:rFonts w:ascii="Times New Roman" w:hAnsi="Times New Roman"/>
                <w:b/>
                <w:i/>
                <w:sz w:val="24"/>
                <w:szCs w:val="24"/>
                <w:u w:val="single"/>
              </w:rPr>
              <w:t>T</w:t>
            </w:r>
            <w:r w:rsidR="006C377E" w:rsidRPr="00606B47">
              <w:rPr>
                <w:rFonts w:ascii="Times New Roman" w:hAnsi="Times New Roman"/>
                <w:b/>
                <w:i/>
                <w:sz w:val="24"/>
                <w:szCs w:val="24"/>
                <w:u w:val="single"/>
              </w:rPr>
              <w:t>ehniski precizējumi</w:t>
            </w:r>
          </w:p>
          <w:p w14:paraId="3130B97B" w14:textId="77777777" w:rsidR="00BD6799" w:rsidRDefault="00290C60" w:rsidP="00606B47">
            <w:pPr>
              <w:spacing w:after="0" w:line="240" w:lineRule="auto"/>
              <w:ind w:right="114" w:firstLine="567"/>
              <w:jc w:val="both"/>
              <w:rPr>
                <w:rFonts w:ascii="Times New Roman" w:hAnsi="Times New Roman"/>
                <w:sz w:val="24"/>
                <w:szCs w:val="24"/>
              </w:rPr>
            </w:pPr>
            <w:r>
              <w:rPr>
                <w:rFonts w:ascii="Times New Roman" w:hAnsi="Times New Roman"/>
                <w:sz w:val="24"/>
                <w:szCs w:val="24"/>
              </w:rPr>
              <w:t>MK noteikumu Nr. 160</w:t>
            </w:r>
            <w:r w:rsidR="00606B47">
              <w:rPr>
                <w:rFonts w:ascii="Times New Roman" w:hAnsi="Times New Roman"/>
                <w:sz w:val="24"/>
                <w:szCs w:val="24"/>
              </w:rPr>
              <w:t xml:space="preserve"> esošajā redakcijā tika konstatētas vairākas redakcionālas neprecizitātes, </w:t>
            </w:r>
            <w:r w:rsidR="00B32FF8">
              <w:rPr>
                <w:rFonts w:ascii="Times New Roman" w:hAnsi="Times New Roman"/>
                <w:sz w:val="24"/>
                <w:szCs w:val="24"/>
              </w:rPr>
              <w:t>kuras nepieciešams precizēt atbilstoši</w:t>
            </w:r>
            <w:r w:rsidR="00BD4C7B">
              <w:rPr>
                <w:rFonts w:ascii="Times New Roman" w:hAnsi="Times New Roman"/>
                <w:sz w:val="24"/>
                <w:szCs w:val="24"/>
              </w:rPr>
              <w:t xml:space="preserve"> esošajai</w:t>
            </w:r>
            <w:r w:rsidR="00B32FF8">
              <w:rPr>
                <w:rFonts w:ascii="Times New Roman" w:hAnsi="Times New Roman"/>
                <w:sz w:val="24"/>
                <w:szCs w:val="24"/>
              </w:rPr>
              <w:t xml:space="preserve"> situācijai. MK noteikumu Nr.160 2.7.apakšpunktā minētā </w:t>
            </w:r>
            <w:r w:rsidR="00B32FF8" w:rsidRPr="00B32FF8">
              <w:rPr>
                <w:rFonts w:ascii="Times New Roman" w:hAnsi="Times New Roman"/>
                <w:sz w:val="24"/>
                <w:szCs w:val="24"/>
              </w:rPr>
              <w:t>regul</w:t>
            </w:r>
            <w:r w:rsidR="00B32FF8">
              <w:rPr>
                <w:rFonts w:ascii="Times New Roman" w:hAnsi="Times New Roman"/>
                <w:sz w:val="24"/>
                <w:szCs w:val="24"/>
              </w:rPr>
              <w:t>a</w:t>
            </w:r>
            <w:r w:rsidR="00B32FF8" w:rsidRPr="00B32FF8">
              <w:rPr>
                <w:rFonts w:ascii="Times New Roman" w:hAnsi="Times New Roman"/>
                <w:sz w:val="24"/>
                <w:szCs w:val="24"/>
              </w:rPr>
              <w:t xml:space="preserve"> </w:t>
            </w:r>
            <w:r w:rsidR="00B32FF8">
              <w:rPr>
                <w:rFonts w:ascii="Times New Roman" w:hAnsi="Times New Roman"/>
                <w:sz w:val="24"/>
                <w:szCs w:val="24"/>
              </w:rPr>
              <w:t xml:space="preserve">neeksistē, jo ir </w:t>
            </w:r>
            <w:r w:rsidR="000E1D40">
              <w:rPr>
                <w:rFonts w:ascii="Times New Roman" w:hAnsi="Times New Roman"/>
                <w:sz w:val="24"/>
                <w:szCs w:val="24"/>
              </w:rPr>
              <w:t xml:space="preserve">norādīts </w:t>
            </w:r>
            <w:r w:rsidR="00B32FF8">
              <w:rPr>
                <w:rFonts w:ascii="Times New Roman" w:hAnsi="Times New Roman"/>
                <w:sz w:val="24"/>
                <w:szCs w:val="24"/>
              </w:rPr>
              <w:t xml:space="preserve">neprecīzs </w:t>
            </w:r>
            <w:r w:rsidR="000E1D40">
              <w:rPr>
                <w:rFonts w:ascii="Times New Roman" w:hAnsi="Times New Roman"/>
                <w:sz w:val="24"/>
                <w:szCs w:val="24"/>
              </w:rPr>
              <w:t xml:space="preserve">tās </w:t>
            </w:r>
            <w:r w:rsidR="00B32FF8">
              <w:rPr>
                <w:rFonts w:ascii="Times New Roman" w:hAnsi="Times New Roman"/>
                <w:sz w:val="24"/>
                <w:szCs w:val="24"/>
              </w:rPr>
              <w:t>numurs, tādejādi maldinot atbalsta saņēmējus.</w:t>
            </w:r>
          </w:p>
          <w:p w14:paraId="354876EE" w14:textId="77777777" w:rsidR="00BD4C7B" w:rsidRDefault="00BD4C7B" w:rsidP="00606B47">
            <w:pPr>
              <w:spacing w:after="0" w:line="240" w:lineRule="auto"/>
              <w:ind w:right="114" w:firstLine="567"/>
              <w:jc w:val="both"/>
              <w:rPr>
                <w:rFonts w:ascii="Times New Roman" w:hAnsi="Times New Roman"/>
                <w:sz w:val="24"/>
                <w:szCs w:val="24"/>
              </w:rPr>
            </w:pPr>
            <w:r>
              <w:rPr>
                <w:rFonts w:ascii="Times New Roman" w:hAnsi="Times New Roman"/>
                <w:sz w:val="24"/>
                <w:szCs w:val="24"/>
              </w:rPr>
              <w:t>Vienlaikus nepieciešams precizēt arī MK noteikumu Nr. 160  2.12., 39.4. un 39.5. apakšpunktu redakcijas, l</w:t>
            </w:r>
            <w:r w:rsidRPr="00BD6799">
              <w:rPr>
                <w:rFonts w:ascii="Times New Roman" w:hAnsi="Times New Roman"/>
                <w:sz w:val="24"/>
                <w:szCs w:val="24"/>
              </w:rPr>
              <w:t xml:space="preserve">ai </w:t>
            </w:r>
            <w:r>
              <w:rPr>
                <w:rFonts w:ascii="Times New Roman" w:hAnsi="Times New Roman"/>
                <w:sz w:val="24"/>
                <w:szCs w:val="24"/>
              </w:rPr>
              <w:t>ārējās atsauces formulētu vispārīgā formā, nenorādot konkrētu</w:t>
            </w:r>
            <w:r w:rsidR="00BB7ACF">
              <w:rPr>
                <w:rFonts w:ascii="Times New Roman" w:hAnsi="Times New Roman"/>
                <w:sz w:val="24"/>
                <w:szCs w:val="24"/>
              </w:rPr>
              <w:t>s</w:t>
            </w:r>
            <w:r>
              <w:rPr>
                <w:rFonts w:ascii="Times New Roman" w:hAnsi="Times New Roman"/>
                <w:sz w:val="24"/>
                <w:szCs w:val="24"/>
              </w:rPr>
              <w:t xml:space="preserve"> MK noteikumu</w:t>
            </w:r>
            <w:r w:rsidR="00BB7ACF">
              <w:rPr>
                <w:rFonts w:ascii="Times New Roman" w:hAnsi="Times New Roman"/>
                <w:sz w:val="24"/>
                <w:szCs w:val="24"/>
              </w:rPr>
              <w:t>s</w:t>
            </w:r>
            <w:r>
              <w:rPr>
                <w:rFonts w:ascii="Times New Roman" w:hAnsi="Times New Roman"/>
                <w:sz w:val="24"/>
                <w:szCs w:val="24"/>
              </w:rPr>
              <w:t>, tādā veidā izvairoties no situācijām, kad kāds no normatīviem aktiem zaudētu spēku un būtu nepieciešams veikt grozījumus arī MK noteikumos Nr. 160, kuros ietverta</w:t>
            </w:r>
            <w:r w:rsidR="00BB7ACF">
              <w:rPr>
                <w:rFonts w:ascii="Times New Roman" w:hAnsi="Times New Roman"/>
                <w:sz w:val="24"/>
                <w:szCs w:val="24"/>
              </w:rPr>
              <w:t xml:space="preserve"> ir</w:t>
            </w:r>
            <w:r>
              <w:rPr>
                <w:rFonts w:ascii="Times New Roman" w:hAnsi="Times New Roman"/>
                <w:sz w:val="24"/>
                <w:szCs w:val="24"/>
              </w:rPr>
              <w:t xml:space="preserve"> šī ārējā atsauce.</w:t>
            </w:r>
          </w:p>
          <w:p w14:paraId="38075ABC" w14:textId="77777777" w:rsidR="00C51791" w:rsidRDefault="00C51791" w:rsidP="00606B47">
            <w:pPr>
              <w:spacing w:after="0" w:line="240" w:lineRule="auto"/>
              <w:ind w:right="114" w:firstLine="567"/>
              <w:jc w:val="both"/>
              <w:rPr>
                <w:rFonts w:ascii="Times New Roman" w:hAnsi="Times New Roman"/>
                <w:sz w:val="24"/>
                <w:szCs w:val="24"/>
              </w:rPr>
            </w:pPr>
            <w:r>
              <w:rPr>
                <w:rFonts w:ascii="Times New Roman" w:hAnsi="Times New Roman"/>
                <w:sz w:val="24"/>
                <w:szCs w:val="24"/>
              </w:rPr>
              <w:t>Papildus nepieciešams veikt grozījumus MK noteikumos Nr. 160, svītrojot nosacījumu, ka s</w:t>
            </w:r>
            <w:r w:rsidRPr="00C51791">
              <w:rPr>
                <w:rFonts w:ascii="Times New Roman" w:hAnsi="Times New Roman"/>
                <w:sz w:val="24"/>
                <w:szCs w:val="24"/>
              </w:rPr>
              <w:t>abiedrība "Altum" līdz 2023. gada 31. decembrim iesniedz sadarbības iestādē maksājuma pieprasījumu piešķirtā avansa maksājuma apmērā</w:t>
            </w:r>
            <w:r>
              <w:rPr>
                <w:rFonts w:ascii="Times New Roman" w:hAnsi="Times New Roman"/>
                <w:sz w:val="24"/>
                <w:szCs w:val="24"/>
              </w:rPr>
              <w:t xml:space="preserve">. Ņemot vērā, ka </w:t>
            </w:r>
            <w:r w:rsidRPr="00C51791">
              <w:rPr>
                <w:rFonts w:ascii="Times New Roman" w:hAnsi="Times New Roman"/>
                <w:sz w:val="24"/>
                <w:szCs w:val="24"/>
              </w:rPr>
              <w:t>maksājumu pieprasījumu iesniegšanu nosaka Ministru kabineta 2015.gada 10.februāra noteikumi Nr.77 “Eiropas Savienības struktūrfondu un Kohēzijas fonda projektu pārbaužu veikšanas kārtība 2014.–2020.gada plānošanas periodā”</w:t>
            </w:r>
            <w:r>
              <w:rPr>
                <w:rFonts w:ascii="Times New Roman" w:hAnsi="Times New Roman"/>
                <w:sz w:val="24"/>
                <w:szCs w:val="24"/>
              </w:rPr>
              <w:t>, š</w:t>
            </w:r>
            <w:r w:rsidRPr="00C51791">
              <w:rPr>
                <w:rFonts w:ascii="Times New Roman" w:hAnsi="Times New Roman"/>
                <w:sz w:val="24"/>
                <w:szCs w:val="24"/>
              </w:rPr>
              <w:t>is jautājums nebūtu regulējams MK noteikumu Nr.160 ietvaros.”</w:t>
            </w:r>
          </w:p>
          <w:p w14:paraId="0D30A2B6" w14:textId="77777777" w:rsidR="00CC66F9" w:rsidRPr="008B7F6D" w:rsidRDefault="00CC66F9" w:rsidP="00047854">
            <w:pPr>
              <w:spacing w:after="0" w:line="240" w:lineRule="auto"/>
              <w:ind w:right="114" w:firstLine="567"/>
              <w:jc w:val="both"/>
              <w:rPr>
                <w:rFonts w:ascii="Times New Roman" w:hAnsi="Times New Roman"/>
                <w:sz w:val="24"/>
                <w:szCs w:val="24"/>
              </w:rPr>
            </w:pPr>
          </w:p>
        </w:tc>
      </w:tr>
      <w:tr w:rsidR="00A96CB5" w:rsidRPr="008B7F6D" w14:paraId="75601CBD" w14:textId="77777777" w:rsidTr="00B83CED">
        <w:trPr>
          <w:trHeight w:val="360"/>
        </w:trPr>
        <w:tc>
          <w:tcPr>
            <w:tcW w:w="2775" w:type="dxa"/>
            <w:tcBorders>
              <w:top w:val="thickThinLargeGap" w:sz="6" w:space="0" w:color="C0C0C0"/>
              <w:left w:val="thickThinLargeGap" w:sz="6" w:space="0" w:color="C0C0C0"/>
              <w:bottom w:val="thickThinLargeGap" w:sz="6" w:space="0" w:color="C0C0C0"/>
              <w:right w:val="thickThinLargeGap" w:sz="6" w:space="0" w:color="C0C0C0"/>
            </w:tcBorders>
          </w:tcPr>
          <w:p w14:paraId="0779AAA1" w14:textId="77777777" w:rsidR="00F67AF9" w:rsidRPr="008B7F6D" w:rsidRDefault="00F67AF9" w:rsidP="00F67AF9">
            <w:pPr>
              <w:spacing w:after="0" w:line="240" w:lineRule="auto"/>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lastRenderedPageBreak/>
              <w:t>3. Projekta izstrādē iesaistītās institūcijas</w:t>
            </w:r>
            <w:r w:rsidR="00B66410" w:rsidRPr="008B7F6D">
              <w:rPr>
                <w:rFonts w:ascii="Times New Roman" w:eastAsia="Times New Roman" w:hAnsi="Times New Roman"/>
                <w:sz w:val="24"/>
                <w:szCs w:val="24"/>
                <w:lang w:eastAsia="lv-LV"/>
              </w:rPr>
              <w:t xml:space="preserve"> un publiskas personas kapitālsabiedrības </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6193924A" w14:textId="77777777" w:rsidR="00F67AF9" w:rsidRPr="008B7F6D" w:rsidRDefault="007772C3" w:rsidP="00EF38D4">
            <w:pPr>
              <w:spacing w:after="0" w:line="240" w:lineRule="auto"/>
              <w:jc w:val="both"/>
              <w:rPr>
                <w:rFonts w:ascii="Times New Roman" w:hAnsi="Times New Roman"/>
                <w:sz w:val="24"/>
                <w:szCs w:val="24"/>
              </w:rPr>
            </w:pPr>
            <w:r w:rsidRPr="008B7F6D">
              <w:rPr>
                <w:rFonts w:ascii="Times New Roman" w:hAnsi="Times New Roman"/>
                <w:sz w:val="24"/>
                <w:szCs w:val="24"/>
              </w:rPr>
              <w:t>Ekonomikas ministrija</w:t>
            </w:r>
            <w:r w:rsidR="00816165" w:rsidRPr="008B7F6D">
              <w:rPr>
                <w:rFonts w:ascii="Times New Roman" w:hAnsi="Times New Roman"/>
                <w:sz w:val="24"/>
                <w:szCs w:val="24"/>
              </w:rPr>
              <w:t>, Finanšu ministrija,</w:t>
            </w:r>
            <w:r w:rsidR="003D662E" w:rsidRPr="008B7F6D">
              <w:rPr>
                <w:rFonts w:ascii="Times New Roman" w:hAnsi="Times New Roman"/>
                <w:sz w:val="24"/>
                <w:szCs w:val="24"/>
              </w:rPr>
              <w:t xml:space="preserve"> </w:t>
            </w:r>
            <w:r w:rsidR="00076AEC" w:rsidRPr="008B7F6D">
              <w:rPr>
                <w:rFonts w:ascii="Times New Roman" w:hAnsi="Times New Roman"/>
                <w:sz w:val="24"/>
                <w:szCs w:val="24"/>
              </w:rPr>
              <w:t>Centrālā finanšu un līgumu aģentūra</w:t>
            </w:r>
            <w:r w:rsidR="00816165" w:rsidRPr="008B7F6D">
              <w:rPr>
                <w:rFonts w:ascii="Times New Roman" w:hAnsi="Times New Roman"/>
                <w:sz w:val="24"/>
                <w:szCs w:val="24"/>
              </w:rPr>
              <w:t xml:space="preserve"> un </w:t>
            </w:r>
            <w:r w:rsidR="00076AEC" w:rsidRPr="008B7F6D">
              <w:rPr>
                <w:rFonts w:ascii="Times New Roman" w:hAnsi="Times New Roman"/>
                <w:sz w:val="24"/>
                <w:szCs w:val="24"/>
              </w:rPr>
              <w:t>Altum</w:t>
            </w:r>
            <w:r w:rsidR="00967F26" w:rsidRPr="008B7F6D">
              <w:rPr>
                <w:rFonts w:ascii="Times New Roman" w:hAnsi="Times New Roman"/>
                <w:sz w:val="24"/>
                <w:szCs w:val="24"/>
              </w:rPr>
              <w:t>.</w:t>
            </w:r>
          </w:p>
        </w:tc>
      </w:tr>
      <w:tr w:rsidR="00A96CB5" w:rsidRPr="008B7F6D" w14:paraId="48BEE546" w14:textId="77777777" w:rsidTr="00B83CED">
        <w:trPr>
          <w:trHeight w:val="360"/>
        </w:trPr>
        <w:tc>
          <w:tcPr>
            <w:tcW w:w="2775" w:type="dxa"/>
            <w:tcBorders>
              <w:top w:val="thickThinLargeGap" w:sz="6" w:space="0" w:color="C0C0C0"/>
              <w:left w:val="thickThinLargeGap" w:sz="6" w:space="0" w:color="C0C0C0"/>
              <w:bottom w:val="thickThinLargeGap" w:sz="6" w:space="0" w:color="C0C0C0"/>
              <w:right w:val="thickThinLargeGap" w:sz="6" w:space="0" w:color="C0C0C0"/>
            </w:tcBorders>
          </w:tcPr>
          <w:p w14:paraId="033B622B" w14:textId="77777777" w:rsidR="00F67AF9" w:rsidRPr="008B7F6D" w:rsidRDefault="00F67AF9" w:rsidP="00F67AF9">
            <w:pPr>
              <w:spacing w:after="0" w:line="240" w:lineRule="auto"/>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 4. Cita informācija</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1831C77E" w14:textId="77777777" w:rsidR="00F67AF9" w:rsidRPr="008B7F6D" w:rsidRDefault="00F67AF9" w:rsidP="00010F01">
            <w:pPr>
              <w:spacing w:after="0" w:line="240" w:lineRule="auto"/>
              <w:jc w:val="both"/>
              <w:rPr>
                <w:rFonts w:ascii="Times New Roman" w:hAnsi="Times New Roman"/>
                <w:sz w:val="24"/>
                <w:szCs w:val="24"/>
              </w:rPr>
            </w:pPr>
            <w:r w:rsidRPr="008B7F6D">
              <w:rPr>
                <w:rFonts w:ascii="Times New Roman" w:hAnsi="Times New Roman"/>
                <w:sz w:val="24"/>
                <w:szCs w:val="24"/>
              </w:rPr>
              <w:t>Nav</w:t>
            </w:r>
          </w:p>
        </w:tc>
      </w:tr>
    </w:tbl>
    <w:p w14:paraId="0F038B5C" w14:textId="16060D49" w:rsidR="00444397" w:rsidRDefault="00444397" w:rsidP="00286064">
      <w:pPr>
        <w:rPr>
          <w:rFonts w:ascii="Times New Roman" w:hAnsi="Times New Roman"/>
          <w:sz w:val="24"/>
          <w:szCs w:val="24"/>
        </w:rPr>
      </w:pPr>
    </w:p>
    <w:p w14:paraId="01385A3A" w14:textId="69EA1917" w:rsidR="00444397" w:rsidRDefault="00444397" w:rsidP="00286064">
      <w:pPr>
        <w:rPr>
          <w:rFonts w:ascii="Times New Roman" w:hAnsi="Times New Roman"/>
          <w:sz w:val="24"/>
          <w:szCs w:val="24"/>
        </w:rPr>
      </w:pPr>
    </w:p>
    <w:tbl>
      <w:tblPr>
        <w:tblpPr w:leftFromText="180" w:rightFromText="180" w:bottomFromText="200" w:vertAnchor="text" w:horzAnchor="margin" w:tblpXSpec="center" w:tblpY="-40"/>
        <w:tblW w:w="960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2977"/>
        <w:gridCol w:w="6632"/>
      </w:tblGrid>
      <w:tr w:rsidR="00444397" w:rsidRPr="008B7F6D" w14:paraId="56C9FD97" w14:textId="77777777" w:rsidTr="00444397">
        <w:tc>
          <w:tcPr>
            <w:tcW w:w="960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6C0D56DB" w14:textId="77777777" w:rsidR="00444397" w:rsidRPr="008B7F6D" w:rsidRDefault="00444397" w:rsidP="00444397">
            <w:pPr>
              <w:spacing w:after="0" w:line="240" w:lineRule="auto"/>
              <w:jc w:val="center"/>
              <w:rPr>
                <w:rFonts w:ascii="Times New Roman" w:eastAsia="Times New Roman" w:hAnsi="Times New Roman"/>
                <w:b/>
                <w:bCs/>
                <w:sz w:val="24"/>
                <w:szCs w:val="24"/>
                <w:lang w:eastAsia="lv-LV"/>
              </w:rPr>
            </w:pPr>
            <w:r w:rsidRPr="008B7F6D">
              <w:rPr>
                <w:rFonts w:ascii="Times New Roman" w:eastAsia="Times New Roman" w:hAnsi="Times New Roman"/>
                <w:b/>
                <w:bCs/>
                <w:sz w:val="24"/>
                <w:szCs w:val="24"/>
                <w:lang w:eastAsia="lv-LV"/>
              </w:rPr>
              <w:t>II. Tiesību akta projekta ietekme uz sabiedrību, tautsaimniecības attīstību un administratīvo slogu</w:t>
            </w:r>
          </w:p>
        </w:tc>
      </w:tr>
      <w:tr w:rsidR="00444397" w:rsidRPr="008B7F6D" w14:paraId="4BC88813" w14:textId="77777777" w:rsidTr="00444397">
        <w:trPr>
          <w:trHeight w:val="467"/>
        </w:trPr>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E126CFD" w14:textId="77777777" w:rsidR="00444397" w:rsidRPr="008B7F6D" w:rsidRDefault="00444397" w:rsidP="00444397">
            <w:pPr>
              <w:numPr>
                <w:ilvl w:val="0"/>
                <w:numId w:val="10"/>
              </w:numPr>
              <w:tabs>
                <w:tab w:val="left" w:pos="285"/>
              </w:tabs>
              <w:spacing w:after="0" w:line="240" w:lineRule="auto"/>
              <w:ind w:left="3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Sabiedrības mērķgrupas, kuras tiesiskais regulējums ietekmē vai varētu ietekmēt</w:t>
            </w:r>
          </w:p>
        </w:tc>
        <w:tc>
          <w:tcPr>
            <w:tcW w:w="663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3EBE54D" w14:textId="77777777" w:rsidR="00444397" w:rsidRPr="008B7F6D" w:rsidRDefault="00444397" w:rsidP="00444397">
            <w:pPr>
              <w:spacing w:before="75" w:after="75" w:line="240" w:lineRule="auto"/>
              <w:jc w:val="both"/>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Altum, daudzdzīvokļu dzīvojamo māju dzīvokļu īpašnieki, dzīvokļu īpašnieku pilnvarotās personas</w:t>
            </w:r>
            <w:r>
              <w:rPr>
                <w:rFonts w:ascii="Times New Roman" w:eastAsia="Times New Roman" w:hAnsi="Times New Roman"/>
                <w:iCs/>
                <w:sz w:val="24"/>
                <w:szCs w:val="24"/>
                <w:lang w:eastAsia="lv-LV"/>
              </w:rPr>
              <w:t>.</w:t>
            </w:r>
          </w:p>
        </w:tc>
      </w:tr>
      <w:tr w:rsidR="00444397" w:rsidRPr="008B7F6D" w14:paraId="34CE0B79" w14:textId="77777777" w:rsidTr="00444397">
        <w:trPr>
          <w:trHeight w:val="523"/>
        </w:trPr>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191738" w14:textId="77777777" w:rsidR="00444397" w:rsidRPr="008B7F6D" w:rsidRDefault="00444397" w:rsidP="00444397">
            <w:pPr>
              <w:numPr>
                <w:ilvl w:val="0"/>
                <w:numId w:val="10"/>
              </w:numPr>
              <w:tabs>
                <w:tab w:val="left" w:pos="255"/>
              </w:tabs>
              <w:spacing w:after="0" w:line="240" w:lineRule="auto"/>
              <w:ind w:left="3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Tiesiskā regulējuma ietekme uz tautsaimniecību un administratīvo slogu</w:t>
            </w:r>
          </w:p>
        </w:tc>
        <w:tc>
          <w:tcPr>
            <w:tcW w:w="663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CA2C6" w14:textId="77777777" w:rsidR="00444397" w:rsidRPr="008B7F6D" w:rsidRDefault="00444397" w:rsidP="00444397">
            <w:pPr>
              <w:spacing w:after="0" w:line="240" w:lineRule="auto"/>
              <w:jc w:val="both"/>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Noteikumu projekts neparedz ietekmi uz administratīvo slogu.</w:t>
            </w:r>
          </w:p>
          <w:p w14:paraId="3C1D6131" w14:textId="77777777" w:rsidR="00444397" w:rsidRPr="008B7F6D" w:rsidRDefault="00444397" w:rsidP="00444397">
            <w:pPr>
              <w:spacing w:after="0" w:line="240" w:lineRule="auto"/>
              <w:jc w:val="both"/>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 xml:space="preserve">Noteikumu projekta īstenošanu </w:t>
            </w:r>
            <w:r>
              <w:rPr>
                <w:rFonts w:ascii="Times New Roman" w:eastAsia="Times New Roman" w:hAnsi="Times New Roman"/>
                <w:iCs/>
                <w:sz w:val="24"/>
                <w:szCs w:val="24"/>
                <w:lang w:eastAsia="lv-LV"/>
              </w:rPr>
              <w:t xml:space="preserve">nodrošinās </w:t>
            </w:r>
            <w:r w:rsidRPr="008B7F6D">
              <w:rPr>
                <w:rFonts w:ascii="Times New Roman" w:eastAsia="Times New Roman" w:hAnsi="Times New Roman"/>
                <w:iCs/>
                <w:sz w:val="24"/>
                <w:szCs w:val="24"/>
                <w:lang w:eastAsia="lv-LV"/>
              </w:rPr>
              <w:t>Altum.</w:t>
            </w:r>
          </w:p>
          <w:p w14:paraId="4E2677C8" w14:textId="77777777" w:rsidR="00444397" w:rsidRPr="008B7F6D" w:rsidRDefault="00444397" w:rsidP="00444397">
            <w:pPr>
              <w:spacing w:after="0" w:line="240" w:lineRule="auto"/>
              <w:jc w:val="both"/>
              <w:rPr>
                <w:rFonts w:ascii="Times New Roman" w:eastAsia="Times New Roman" w:hAnsi="Times New Roman"/>
                <w:sz w:val="24"/>
                <w:szCs w:val="24"/>
                <w:lang w:eastAsia="lv-LV"/>
              </w:rPr>
            </w:pPr>
            <w:r w:rsidRPr="008B7F6D">
              <w:rPr>
                <w:rFonts w:ascii="Times New Roman" w:eastAsia="Times New Roman" w:hAnsi="Times New Roman"/>
                <w:iCs/>
                <w:sz w:val="24"/>
                <w:szCs w:val="24"/>
                <w:lang w:eastAsia="lv-LV"/>
              </w:rPr>
              <w:t>Noteikumu projekts paredz pozitīvu ietekmi uz tautsaimniecību, jo</w:t>
            </w:r>
            <w:r>
              <w:rPr>
                <w:rFonts w:ascii="Times New Roman" w:eastAsia="Times New Roman" w:hAnsi="Times New Roman"/>
                <w:iCs/>
                <w:sz w:val="24"/>
                <w:szCs w:val="24"/>
                <w:lang w:eastAsia="lv-LV"/>
              </w:rPr>
              <w:t xml:space="preserve"> tiks</w:t>
            </w:r>
            <w:r w:rsidRPr="008B7F6D">
              <w:rPr>
                <w:rFonts w:ascii="Times New Roman" w:eastAsia="Times New Roman" w:hAnsi="Times New Roman"/>
                <w:iCs/>
                <w:sz w:val="24"/>
                <w:szCs w:val="24"/>
                <w:lang w:eastAsia="lv-LV"/>
              </w:rPr>
              <w:t xml:space="preserve"> nodrošin</w:t>
            </w:r>
            <w:r>
              <w:rPr>
                <w:rFonts w:ascii="Times New Roman" w:eastAsia="Times New Roman" w:hAnsi="Times New Roman"/>
                <w:iCs/>
                <w:sz w:val="24"/>
                <w:szCs w:val="24"/>
                <w:lang w:eastAsia="lv-LV"/>
              </w:rPr>
              <w:t>āts lielāks apstiprināto projektu skaits</w:t>
            </w:r>
            <w:r w:rsidRPr="008B7F6D">
              <w:rPr>
                <w:rFonts w:ascii="Times New Roman" w:eastAsia="Times New Roman" w:hAnsi="Times New Roman"/>
                <w:iCs/>
                <w:sz w:val="24"/>
                <w:szCs w:val="24"/>
                <w:lang w:eastAsia="lv-LV"/>
              </w:rPr>
              <w:t>.</w:t>
            </w:r>
          </w:p>
        </w:tc>
      </w:tr>
      <w:tr w:rsidR="00444397" w:rsidRPr="008B7F6D" w14:paraId="135F419C" w14:textId="77777777" w:rsidTr="00444397">
        <w:trPr>
          <w:trHeight w:val="517"/>
        </w:trPr>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F9AF64C" w14:textId="77777777" w:rsidR="00444397" w:rsidRPr="008B7F6D" w:rsidRDefault="00444397" w:rsidP="00444397">
            <w:pPr>
              <w:numPr>
                <w:ilvl w:val="0"/>
                <w:numId w:val="10"/>
              </w:numPr>
              <w:tabs>
                <w:tab w:val="left" w:pos="255"/>
              </w:tabs>
              <w:spacing w:after="0" w:line="240" w:lineRule="auto"/>
              <w:ind w:left="3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Administratīvo izmaksu monetārs novērtējums</w:t>
            </w:r>
          </w:p>
        </w:tc>
        <w:tc>
          <w:tcPr>
            <w:tcW w:w="6632" w:type="dxa"/>
            <w:tcBorders>
              <w:top w:val="thickThinLargeGap" w:sz="6" w:space="0" w:color="C0C0C0"/>
              <w:left w:val="thickThinLargeGap" w:sz="6" w:space="0" w:color="C0C0C0"/>
              <w:bottom w:val="thickThinLargeGap" w:sz="6" w:space="0" w:color="C0C0C0"/>
              <w:right w:val="thickThinLargeGap" w:sz="6" w:space="0" w:color="C0C0C0"/>
            </w:tcBorders>
            <w:hideMark/>
          </w:tcPr>
          <w:p w14:paraId="56E7BD8A" w14:textId="77777777" w:rsidR="00444397" w:rsidRPr="008B7F6D" w:rsidRDefault="00444397" w:rsidP="00444397">
            <w:pPr>
              <w:spacing w:after="0" w:line="240" w:lineRule="auto"/>
              <w:ind w:firstLine="450"/>
              <w:jc w:val="both"/>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Eiropas Savienības fondu administrēšanas izmaksas plānots segt no Eiropas Savienības struktūrfondu un Kohēzijas fonda 2014.-2020.gada plānošanas perioda finansējuma vai atmaksātā finansējuma atbilstoši Eiropas Parlamenta un Padomes 2013.gada 17.decembra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44. pantam, Altum sedzot vadības izmaksas saskaņā ar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13. pantā noteikto.</w:t>
            </w:r>
          </w:p>
        </w:tc>
      </w:tr>
      <w:tr w:rsidR="00444397" w:rsidRPr="008B7F6D" w14:paraId="70DA3CE6" w14:textId="77777777" w:rsidTr="00444397">
        <w:trPr>
          <w:trHeight w:val="517"/>
        </w:trPr>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14:paraId="4864B56B" w14:textId="77777777" w:rsidR="00444397" w:rsidRPr="008B7F6D" w:rsidRDefault="00444397" w:rsidP="00444397">
            <w:pPr>
              <w:numPr>
                <w:ilvl w:val="0"/>
                <w:numId w:val="10"/>
              </w:numPr>
              <w:spacing w:after="0" w:line="240" w:lineRule="auto"/>
              <w:ind w:left="3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Atbilstības izmaksu monetārs novērtējums</w:t>
            </w:r>
          </w:p>
        </w:tc>
        <w:tc>
          <w:tcPr>
            <w:tcW w:w="6632" w:type="dxa"/>
            <w:tcBorders>
              <w:top w:val="thickThinLargeGap" w:sz="6" w:space="0" w:color="C0C0C0"/>
              <w:left w:val="thickThinLargeGap" w:sz="6" w:space="0" w:color="C0C0C0"/>
              <w:bottom w:val="thickThinLargeGap" w:sz="6" w:space="0" w:color="C0C0C0"/>
              <w:right w:val="thickThinLargeGap" w:sz="6" w:space="0" w:color="C0C0C0"/>
            </w:tcBorders>
          </w:tcPr>
          <w:p w14:paraId="5A90A91B" w14:textId="77777777" w:rsidR="00444397" w:rsidRPr="008B7F6D" w:rsidRDefault="00444397" w:rsidP="00444397">
            <w:pPr>
              <w:spacing w:after="0" w:line="240" w:lineRule="auto"/>
              <w:jc w:val="both"/>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Nav attiecināms</w:t>
            </w:r>
          </w:p>
          <w:p w14:paraId="7AB44579" w14:textId="77777777" w:rsidR="00444397" w:rsidRPr="008B7F6D" w:rsidRDefault="00444397" w:rsidP="00444397">
            <w:pPr>
              <w:spacing w:after="0" w:line="240" w:lineRule="auto"/>
              <w:ind w:firstLine="450"/>
              <w:jc w:val="both"/>
              <w:rPr>
                <w:rFonts w:ascii="Times New Roman" w:eastAsia="Times New Roman" w:hAnsi="Times New Roman"/>
                <w:sz w:val="24"/>
                <w:szCs w:val="24"/>
                <w:lang w:eastAsia="lv-LV"/>
              </w:rPr>
            </w:pPr>
          </w:p>
        </w:tc>
      </w:tr>
      <w:tr w:rsidR="00444397" w:rsidRPr="008B7F6D" w14:paraId="343D4799" w14:textId="77777777" w:rsidTr="00444397">
        <w:trPr>
          <w:trHeight w:val="390"/>
        </w:trPr>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5F2CD3" w14:textId="77777777" w:rsidR="00444397" w:rsidRPr="008B7F6D" w:rsidRDefault="00444397" w:rsidP="00444397">
            <w:pPr>
              <w:numPr>
                <w:ilvl w:val="0"/>
                <w:numId w:val="10"/>
              </w:numPr>
              <w:spacing w:after="0" w:line="240" w:lineRule="auto"/>
              <w:ind w:left="3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Cita informācija</w:t>
            </w:r>
          </w:p>
        </w:tc>
        <w:tc>
          <w:tcPr>
            <w:tcW w:w="663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47A2CD" w14:textId="77777777" w:rsidR="00444397" w:rsidRPr="008B7F6D" w:rsidRDefault="00444397" w:rsidP="00444397">
            <w:pPr>
              <w:spacing w:after="0" w:line="240" w:lineRule="auto"/>
              <w:jc w:val="both"/>
              <w:rPr>
                <w:rFonts w:ascii="Times New Roman" w:eastAsia="Times New Roman" w:hAnsi="Times New Roman"/>
                <w:iCs/>
                <w:sz w:val="24"/>
                <w:szCs w:val="24"/>
                <w:lang w:eastAsia="lv-LV"/>
              </w:rPr>
            </w:pPr>
            <w:r w:rsidRPr="008B7F6D">
              <w:rPr>
                <w:rFonts w:ascii="Times New Roman" w:eastAsia="Times New Roman" w:hAnsi="Times New Roman"/>
                <w:sz w:val="24"/>
                <w:szCs w:val="24"/>
                <w:lang w:eastAsia="lv-LV"/>
              </w:rPr>
              <w:t>Nav</w:t>
            </w:r>
          </w:p>
        </w:tc>
      </w:tr>
    </w:tbl>
    <w:p w14:paraId="54D18622" w14:textId="0513B88C" w:rsidR="00444397" w:rsidRDefault="00444397" w:rsidP="00286064">
      <w:pPr>
        <w:rPr>
          <w:rFonts w:ascii="Times New Roman" w:hAnsi="Times New Roman"/>
          <w:sz w:val="24"/>
          <w:szCs w:val="24"/>
        </w:rPr>
      </w:pPr>
    </w:p>
    <w:p w14:paraId="609B7F71" w14:textId="4874EED0" w:rsidR="00444397" w:rsidRDefault="00444397" w:rsidP="00286064">
      <w:pPr>
        <w:rPr>
          <w:rFonts w:ascii="Times New Roman" w:hAnsi="Times New Roman"/>
          <w:sz w:val="24"/>
          <w:szCs w:val="24"/>
        </w:rPr>
      </w:pPr>
    </w:p>
    <w:p w14:paraId="48FA7675" w14:textId="4B9F38A0" w:rsidR="00444397" w:rsidRDefault="00444397" w:rsidP="00286064">
      <w:pPr>
        <w:rPr>
          <w:rFonts w:ascii="Times New Roman" w:hAnsi="Times New Roman"/>
          <w:sz w:val="24"/>
          <w:szCs w:val="24"/>
        </w:rPr>
      </w:pPr>
    </w:p>
    <w:p w14:paraId="364C2EF6" w14:textId="23B26F3B" w:rsidR="00444397" w:rsidRDefault="00444397" w:rsidP="00286064">
      <w:pPr>
        <w:rPr>
          <w:rFonts w:ascii="Times New Roman" w:hAnsi="Times New Roman"/>
          <w:sz w:val="24"/>
          <w:szCs w:val="24"/>
        </w:rPr>
      </w:pPr>
    </w:p>
    <w:p w14:paraId="0F61F870" w14:textId="77777777" w:rsidR="00444397" w:rsidRPr="008B7F6D" w:rsidRDefault="00444397" w:rsidP="00286064">
      <w:pPr>
        <w:rPr>
          <w:rFonts w:ascii="Times New Roman" w:hAnsi="Times New Roman"/>
          <w:sz w:val="24"/>
          <w:szCs w:val="24"/>
        </w:rPr>
      </w:pPr>
    </w:p>
    <w:tbl>
      <w:tblPr>
        <w:tblW w:w="5762"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020"/>
        <w:gridCol w:w="1125"/>
        <w:gridCol w:w="1020"/>
        <w:gridCol w:w="1351"/>
        <w:gridCol w:w="1020"/>
        <w:gridCol w:w="1122"/>
        <w:gridCol w:w="1496"/>
      </w:tblGrid>
      <w:tr w:rsidR="00DE24D7" w:rsidRPr="008B7F6D" w14:paraId="2E212FF4" w14:textId="77777777" w:rsidTr="00444397">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0BCF634D" w14:textId="77777777" w:rsidR="00DE24D7" w:rsidRPr="008B7F6D" w:rsidRDefault="00DE24D7" w:rsidP="00F078FC">
            <w:pPr>
              <w:spacing w:after="0" w:line="240" w:lineRule="auto"/>
              <w:jc w:val="center"/>
              <w:rPr>
                <w:rFonts w:ascii="Times New Roman" w:eastAsia="Times New Roman" w:hAnsi="Times New Roman"/>
                <w:b/>
                <w:bCs/>
                <w:iCs/>
                <w:color w:val="414142"/>
                <w:sz w:val="24"/>
                <w:szCs w:val="24"/>
                <w:lang w:eastAsia="lv-LV"/>
              </w:rPr>
            </w:pPr>
            <w:r w:rsidRPr="00F078FC">
              <w:rPr>
                <w:rFonts w:ascii="Times New Roman" w:eastAsia="Times New Roman" w:hAnsi="Times New Roman"/>
                <w:b/>
                <w:bCs/>
                <w:sz w:val="24"/>
                <w:szCs w:val="24"/>
                <w:lang w:eastAsia="lv-LV"/>
              </w:rPr>
              <w:t xml:space="preserve">III. </w:t>
            </w:r>
            <w:bookmarkStart w:id="1" w:name="_Hlk14265289"/>
            <w:r w:rsidRPr="00F078FC">
              <w:rPr>
                <w:rFonts w:ascii="Times New Roman" w:eastAsia="Times New Roman" w:hAnsi="Times New Roman"/>
                <w:b/>
                <w:bCs/>
                <w:sz w:val="24"/>
                <w:szCs w:val="24"/>
                <w:lang w:eastAsia="lv-LV"/>
              </w:rPr>
              <w:t>Tiesību akta projekta ietekme uz valsts budžetu un pašvaldību budžetiem</w:t>
            </w:r>
            <w:bookmarkEnd w:id="1"/>
          </w:p>
        </w:tc>
      </w:tr>
      <w:tr w:rsidR="00D9043F" w:rsidRPr="008B7F6D" w14:paraId="27B7EB72" w14:textId="77777777" w:rsidTr="00444397">
        <w:trPr>
          <w:tblCellSpacing w:w="15" w:type="dxa"/>
        </w:trPr>
        <w:tc>
          <w:tcPr>
            <w:tcW w:w="809" w:type="pct"/>
            <w:vMerge w:val="restart"/>
            <w:tcBorders>
              <w:top w:val="outset" w:sz="6" w:space="0" w:color="auto"/>
              <w:left w:val="outset" w:sz="6" w:space="0" w:color="auto"/>
              <w:bottom w:val="outset" w:sz="6" w:space="0" w:color="auto"/>
              <w:right w:val="outset" w:sz="6" w:space="0" w:color="auto"/>
            </w:tcBorders>
            <w:vAlign w:val="center"/>
            <w:hideMark/>
          </w:tcPr>
          <w:p w14:paraId="4A397935"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Rādītāji</w:t>
            </w:r>
          </w:p>
        </w:tc>
        <w:tc>
          <w:tcPr>
            <w:tcW w:w="108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9EBD0BB"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2019.gads</w:t>
            </w:r>
          </w:p>
        </w:tc>
        <w:tc>
          <w:tcPr>
            <w:tcW w:w="3041" w:type="pct"/>
            <w:gridSpan w:val="5"/>
            <w:tcBorders>
              <w:top w:val="outset" w:sz="6" w:space="0" w:color="auto"/>
              <w:left w:val="outset" w:sz="6" w:space="0" w:color="auto"/>
              <w:bottom w:val="outset" w:sz="6" w:space="0" w:color="auto"/>
              <w:right w:val="outset" w:sz="6" w:space="0" w:color="auto"/>
            </w:tcBorders>
            <w:vAlign w:val="center"/>
            <w:hideMark/>
          </w:tcPr>
          <w:p w14:paraId="06B34DAF"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Turpmākie trīs gadi (</w:t>
            </w:r>
            <w:r w:rsidRPr="008B7F6D">
              <w:rPr>
                <w:rFonts w:ascii="Times New Roman" w:eastAsia="Times New Roman" w:hAnsi="Times New Roman"/>
                <w:i/>
                <w:iCs/>
                <w:sz w:val="24"/>
                <w:szCs w:val="24"/>
                <w:lang w:eastAsia="lv-LV"/>
              </w:rPr>
              <w:t>euro</w:t>
            </w:r>
            <w:r w:rsidRPr="008B7F6D">
              <w:rPr>
                <w:rFonts w:ascii="Times New Roman" w:eastAsia="Times New Roman" w:hAnsi="Times New Roman"/>
                <w:iCs/>
                <w:sz w:val="24"/>
                <w:szCs w:val="24"/>
                <w:lang w:eastAsia="lv-LV"/>
              </w:rPr>
              <w:t>)</w:t>
            </w:r>
          </w:p>
        </w:tc>
      </w:tr>
      <w:tr w:rsidR="00A000CE" w:rsidRPr="008B7F6D" w14:paraId="764CFA81" w14:textId="77777777" w:rsidTr="00444397">
        <w:trPr>
          <w:tblCellSpacing w:w="15" w:type="dxa"/>
        </w:trPr>
        <w:tc>
          <w:tcPr>
            <w:tcW w:w="809" w:type="pct"/>
            <w:vMerge/>
            <w:tcBorders>
              <w:top w:val="outset" w:sz="6" w:space="0" w:color="auto"/>
              <w:left w:val="outset" w:sz="6" w:space="0" w:color="auto"/>
              <w:bottom w:val="outset" w:sz="6" w:space="0" w:color="auto"/>
              <w:right w:val="outset" w:sz="6" w:space="0" w:color="auto"/>
            </w:tcBorders>
            <w:vAlign w:val="center"/>
            <w:hideMark/>
          </w:tcPr>
          <w:p w14:paraId="55D04915" w14:textId="77777777" w:rsidR="00DE24D7" w:rsidRPr="008B7F6D" w:rsidRDefault="00DE24D7" w:rsidP="00DE24D7">
            <w:pPr>
              <w:spacing w:after="0" w:line="240" w:lineRule="auto"/>
              <w:rPr>
                <w:rFonts w:ascii="Times New Roman" w:eastAsia="Times New Roman" w:hAnsi="Times New Roman"/>
                <w:iCs/>
                <w:sz w:val="24"/>
                <w:szCs w:val="24"/>
                <w:lang w:eastAsia="lv-LV"/>
              </w:rPr>
            </w:pPr>
          </w:p>
        </w:tc>
        <w:tc>
          <w:tcPr>
            <w:tcW w:w="1089" w:type="pct"/>
            <w:gridSpan w:val="2"/>
            <w:vMerge/>
            <w:tcBorders>
              <w:top w:val="outset" w:sz="6" w:space="0" w:color="auto"/>
              <w:left w:val="outset" w:sz="6" w:space="0" w:color="auto"/>
              <w:bottom w:val="outset" w:sz="6" w:space="0" w:color="auto"/>
              <w:right w:val="outset" w:sz="6" w:space="0" w:color="auto"/>
            </w:tcBorders>
            <w:vAlign w:val="center"/>
            <w:hideMark/>
          </w:tcPr>
          <w:p w14:paraId="32908E36" w14:textId="77777777" w:rsidR="00DE24D7" w:rsidRPr="008B7F6D" w:rsidRDefault="00DE24D7" w:rsidP="00DE24D7">
            <w:pPr>
              <w:spacing w:after="0" w:line="240" w:lineRule="auto"/>
              <w:rPr>
                <w:rFonts w:ascii="Times New Roman" w:eastAsia="Times New Roman" w:hAnsi="Times New Roman"/>
                <w:iCs/>
                <w:sz w:val="24"/>
                <w:szCs w:val="24"/>
                <w:lang w:eastAsia="lv-LV"/>
              </w:rPr>
            </w:pPr>
          </w:p>
        </w:tc>
        <w:tc>
          <w:tcPr>
            <w:tcW w:w="1215" w:type="pct"/>
            <w:gridSpan w:val="2"/>
            <w:tcBorders>
              <w:top w:val="outset" w:sz="6" w:space="0" w:color="auto"/>
              <w:left w:val="outset" w:sz="6" w:space="0" w:color="auto"/>
              <w:bottom w:val="outset" w:sz="6" w:space="0" w:color="auto"/>
              <w:right w:val="outset" w:sz="6" w:space="0" w:color="auto"/>
            </w:tcBorders>
            <w:vAlign w:val="center"/>
          </w:tcPr>
          <w:p w14:paraId="6EAC7073"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2020</w:t>
            </w:r>
          </w:p>
        </w:tc>
        <w:tc>
          <w:tcPr>
            <w:tcW w:w="1087" w:type="pct"/>
            <w:gridSpan w:val="2"/>
            <w:tcBorders>
              <w:top w:val="outset" w:sz="6" w:space="0" w:color="auto"/>
              <w:left w:val="outset" w:sz="6" w:space="0" w:color="auto"/>
              <w:bottom w:val="outset" w:sz="6" w:space="0" w:color="auto"/>
              <w:right w:val="outset" w:sz="6" w:space="0" w:color="auto"/>
            </w:tcBorders>
            <w:vAlign w:val="center"/>
          </w:tcPr>
          <w:p w14:paraId="6862ECE0"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2021</w:t>
            </w:r>
          </w:p>
        </w:tc>
        <w:tc>
          <w:tcPr>
            <w:tcW w:w="708" w:type="pct"/>
            <w:tcBorders>
              <w:top w:val="outset" w:sz="6" w:space="0" w:color="auto"/>
              <w:left w:val="outset" w:sz="6" w:space="0" w:color="auto"/>
              <w:bottom w:val="outset" w:sz="6" w:space="0" w:color="auto"/>
              <w:right w:val="outset" w:sz="6" w:space="0" w:color="auto"/>
            </w:tcBorders>
            <w:vAlign w:val="center"/>
          </w:tcPr>
          <w:p w14:paraId="36264C61"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2022</w:t>
            </w:r>
          </w:p>
        </w:tc>
      </w:tr>
      <w:tr w:rsidR="00A000CE" w:rsidRPr="008B7F6D" w14:paraId="3CBF34A0" w14:textId="77777777" w:rsidTr="00444397">
        <w:trPr>
          <w:trHeight w:val="2030"/>
          <w:tblCellSpacing w:w="15" w:type="dxa"/>
        </w:trPr>
        <w:tc>
          <w:tcPr>
            <w:tcW w:w="809" w:type="pct"/>
            <w:vMerge/>
            <w:tcBorders>
              <w:top w:val="outset" w:sz="6" w:space="0" w:color="auto"/>
              <w:left w:val="outset" w:sz="6" w:space="0" w:color="auto"/>
              <w:bottom w:val="outset" w:sz="6" w:space="0" w:color="auto"/>
              <w:right w:val="outset" w:sz="6" w:space="0" w:color="auto"/>
            </w:tcBorders>
            <w:vAlign w:val="center"/>
            <w:hideMark/>
          </w:tcPr>
          <w:p w14:paraId="02331BD5" w14:textId="77777777" w:rsidR="00DE24D7" w:rsidRPr="008B7F6D" w:rsidRDefault="00DE24D7" w:rsidP="00DE24D7">
            <w:pPr>
              <w:spacing w:after="0" w:line="240" w:lineRule="auto"/>
              <w:rPr>
                <w:rFonts w:ascii="Times New Roman" w:eastAsia="Times New Roman" w:hAnsi="Times New Roman"/>
                <w:iCs/>
                <w:sz w:val="24"/>
                <w:szCs w:val="24"/>
                <w:lang w:eastAsia="lv-LV"/>
              </w:rPr>
            </w:pPr>
          </w:p>
        </w:tc>
        <w:tc>
          <w:tcPr>
            <w:tcW w:w="506" w:type="pct"/>
            <w:tcBorders>
              <w:top w:val="outset" w:sz="6" w:space="0" w:color="auto"/>
              <w:left w:val="outset" w:sz="6" w:space="0" w:color="auto"/>
              <w:bottom w:val="outset" w:sz="6" w:space="0" w:color="auto"/>
              <w:right w:val="outset" w:sz="6" w:space="0" w:color="auto"/>
            </w:tcBorders>
            <w:vAlign w:val="center"/>
            <w:hideMark/>
          </w:tcPr>
          <w:p w14:paraId="7DBF5C51"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saskaņā ar valsts budžetu kārtējam gadam</w:t>
            </w:r>
          </w:p>
        </w:tc>
        <w:tc>
          <w:tcPr>
            <w:tcW w:w="567" w:type="pct"/>
            <w:tcBorders>
              <w:top w:val="outset" w:sz="6" w:space="0" w:color="auto"/>
              <w:left w:val="outset" w:sz="6" w:space="0" w:color="auto"/>
              <w:bottom w:val="outset" w:sz="6" w:space="0" w:color="auto"/>
              <w:right w:val="outset" w:sz="6" w:space="0" w:color="auto"/>
            </w:tcBorders>
            <w:vAlign w:val="center"/>
            <w:hideMark/>
          </w:tcPr>
          <w:p w14:paraId="31459A7F"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izmaiņas kārtējā gadā, salīdzinot ar valsts budžetu kārtējam gadam</w:t>
            </w:r>
          </w:p>
        </w:tc>
        <w:tc>
          <w:tcPr>
            <w:tcW w:w="513" w:type="pct"/>
            <w:tcBorders>
              <w:top w:val="outset" w:sz="6" w:space="0" w:color="auto"/>
              <w:left w:val="outset" w:sz="6" w:space="0" w:color="auto"/>
              <w:bottom w:val="outset" w:sz="6" w:space="0" w:color="auto"/>
              <w:right w:val="outset" w:sz="6" w:space="0" w:color="auto"/>
            </w:tcBorders>
            <w:vAlign w:val="center"/>
            <w:hideMark/>
          </w:tcPr>
          <w:p w14:paraId="5644C97C"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saskaņā ar vidēja termiņa budžeta ietvaru</w:t>
            </w:r>
          </w:p>
        </w:tc>
        <w:tc>
          <w:tcPr>
            <w:tcW w:w="687" w:type="pct"/>
            <w:tcBorders>
              <w:top w:val="outset" w:sz="6" w:space="0" w:color="auto"/>
              <w:left w:val="outset" w:sz="6" w:space="0" w:color="auto"/>
              <w:bottom w:val="outset" w:sz="6" w:space="0" w:color="auto"/>
              <w:right w:val="outset" w:sz="6" w:space="0" w:color="auto"/>
            </w:tcBorders>
            <w:vAlign w:val="center"/>
            <w:hideMark/>
          </w:tcPr>
          <w:p w14:paraId="27F28199" w14:textId="79729F82" w:rsidR="00DE24D7" w:rsidRPr="008B7F6D" w:rsidRDefault="00DE24D7" w:rsidP="001F726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 xml:space="preserve">izmaiņas, salīdzinot ar vidēja termiņa budžeta ietvaru </w:t>
            </w:r>
            <w:r w:rsidR="001F7267">
              <w:rPr>
                <w:rFonts w:ascii="Times New Roman" w:eastAsia="Times New Roman" w:hAnsi="Times New Roman"/>
                <w:iCs/>
                <w:sz w:val="24"/>
                <w:szCs w:val="24"/>
                <w:lang w:eastAsia="lv-LV"/>
              </w:rPr>
              <w:t>2020</w:t>
            </w:r>
            <w:r w:rsidRPr="008B7F6D">
              <w:rPr>
                <w:rFonts w:ascii="Times New Roman" w:eastAsia="Times New Roman" w:hAnsi="Times New Roman"/>
                <w:iCs/>
                <w:sz w:val="24"/>
                <w:szCs w:val="24"/>
                <w:lang w:eastAsia="lv-LV"/>
              </w:rPr>
              <w:t xml:space="preserve"> gadam</w:t>
            </w:r>
          </w:p>
        </w:tc>
        <w:tc>
          <w:tcPr>
            <w:tcW w:w="506" w:type="pct"/>
            <w:tcBorders>
              <w:top w:val="outset" w:sz="6" w:space="0" w:color="auto"/>
              <w:left w:val="outset" w:sz="6" w:space="0" w:color="auto"/>
              <w:bottom w:val="outset" w:sz="6" w:space="0" w:color="auto"/>
              <w:right w:val="outset" w:sz="6" w:space="0" w:color="auto"/>
            </w:tcBorders>
            <w:vAlign w:val="center"/>
            <w:hideMark/>
          </w:tcPr>
          <w:p w14:paraId="1D62A579"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72D318" w14:textId="108A6624" w:rsidR="00DE24D7" w:rsidRPr="008B7F6D" w:rsidRDefault="00DE24D7" w:rsidP="001F726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 xml:space="preserve">izmaiņas, salīdzinot ar vidēja termiņa budžeta ietvaru </w:t>
            </w:r>
            <w:r w:rsidR="001F7267">
              <w:rPr>
                <w:rFonts w:ascii="Times New Roman" w:eastAsia="Times New Roman" w:hAnsi="Times New Roman"/>
                <w:iCs/>
                <w:sz w:val="24"/>
                <w:szCs w:val="24"/>
                <w:lang w:eastAsia="lv-LV"/>
              </w:rPr>
              <w:t>2021</w:t>
            </w:r>
            <w:r w:rsidRPr="008B7F6D">
              <w:rPr>
                <w:rFonts w:ascii="Times New Roman" w:eastAsia="Times New Roman" w:hAnsi="Times New Roman"/>
                <w:iCs/>
                <w:sz w:val="24"/>
                <w:szCs w:val="24"/>
                <w:lang w:eastAsia="lv-LV"/>
              </w:rPr>
              <w:t xml:space="preserve"> gadam</w:t>
            </w:r>
          </w:p>
        </w:tc>
        <w:tc>
          <w:tcPr>
            <w:tcW w:w="708" w:type="pct"/>
            <w:tcBorders>
              <w:top w:val="outset" w:sz="6" w:space="0" w:color="auto"/>
              <w:left w:val="outset" w:sz="6" w:space="0" w:color="auto"/>
              <w:bottom w:val="outset" w:sz="6" w:space="0" w:color="auto"/>
              <w:right w:val="outset" w:sz="6" w:space="0" w:color="auto"/>
            </w:tcBorders>
            <w:vAlign w:val="center"/>
            <w:hideMark/>
          </w:tcPr>
          <w:p w14:paraId="0C192C25" w14:textId="287D24E8" w:rsidR="00DE24D7" w:rsidRPr="008B7F6D" w:rsidRDefault="00DE24D7" w:rsidP="001F726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 xml:space="preserve">izmaiņas, salīdzinot ar vidēja termiņa budžeta ietvaru </w:t>
            </w:r>
            <w:r w:rsidR="001F7267">
              <w:rPr>
                <w:rFonts w:ascii="Times New Roman" w:eastAsia="Times New Roman" w:hAnsi="Times New Roman"/>
                <w:iCs/>
                <w:sz w:val="24"/>
                <w:szCs w:val="24"/>
                <w:lang w:eastAsia="lv-LV"/>
              </w:rPr>
              <w:t>2021</w:t>
            </w:r>
            <w:r w:rsidRPr="008B7F6D">
              <w:rPr>
                <w:rFonts w:ascii="Times New Roman" w:eastAsia="Times New Roman" w:hAnsi="Times New Roman"/>
                <w:iCs/>
                <w:sz w:val="24"/>
                <w:szCs w:val="24"/>
                <w:lang w:eastAsia="lv-LV"/>
              </w:rPr>
              <w:t xml:space="preserve"> gadam</w:t>
            </w:r>
          </w:p>
        </w:tc>
      </w:tr>
      <w:tr w:rsidR="00A000CE" w:rsidRPr="008B7F6D" w14:paraId="17FCD340"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vAlign w:val="center"/>
            <w:hideMark/>
          </w:tcPr>
          <w:p w14:paraId="0E52A5E9"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1</w:t>
            </w:r>
          </w:p>
        </w:tc>
        <w:tc>
          <w:tcPr>
            <w:tcW w:w="506" w:type="pct"/>
            <w:tcBorders>
              <w:top w:val="outset" w:sz="6" w:space="0" w:color="auto"/>
              <w:left w:val="outset" w:sz="6" w:space="0" w:color="auto"/>
              <w:bottom w:val="outset" w:sz="6" w:space="0" w:color="auto"/>
              <w:right w:val="outset" w:sz="6" w:space="0" w:color="auto"/>
            </w:tcBorders>
            <w:vAlign w:val="center"/>
            <w:hideMark/>
          </w:tcPr>
          <w:p w14:paraId="13B38F93"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w:t>
            </w:r>
          </w:p>
        </w:tc>
        <w:tc>
          <w:tcPr>
            <w:tcW w:w="567" w:type="pct"/>
            <w:tcBorders>
              <w:top w:val="outset" w:sz="6" w:space="0" w:color="auto"/>
              <w:left w:val="outset" w:sz="6" w:space="0" w:color="auto"/>
              <w:bottom w:val="outset" w:sz="6" w:space="0" w:color="auto"/>
              <w:right w:val="outset" w:sz="6" w:space="0" w:color="auto"/>
            </w:tcBorders>
            <w:vAlign w:val="center"/>
            <w:hideMark/>
          </w:tcPr>
          <w:p w14:paraId="6A97A928"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3</w:t>
            </w:r>
          </w:p>
        </w:tc>
        <w:tc>
          <w:tcPr>
            <w:tcW w:w="513" w:type="pct"/>
            <w:tcBorders>
              <w:top w:val="outset" w:sz="6" w:space="0" w:color="auto"/>
              <w:left w:val="outset" w:sz="6" w:space="0" w:color="auto"/>
              <w:bottom w:val="outset" w:sz="6" w:space="0" w:color="auto"/>
              <w:right w:val="outset" w:sz="6" w:space="0" w:color="auto"/>
            </w:tcBorders>
            <w:vAlign w:val="center"/>
            <w:hideMark/>
          </w:tcPr>
          <w:p w14:paraId="57414A8E"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4</w:t>
            </w:r>
          </w:p>
        </w:tc>
        <w:tc>
          <w:tcPr>
            <w:tcW w:w="687" w:type="pct"/>
            <w:tcBorders>
              <w:top w:val="outset" w:sz="6" w:space="0" w:color="auto"/>
              <w:left w:val="outset" w:sz="6" w:space="0" w:color="auto"/>
              <w:bottom w:val="outset" w:sz="6" w:space="0" w:color="auto"/>
              <w:right w:val="outset" w:sz="6" w:space="0" w:color="auto"/>
            </w:tcBorders>
            <w:vAlign w:val="center"/>
            <w:hideMark/>
          </w:tcPr>
          <w:p w14:paraId="7ED6206B"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5</w:t>
            </w:r>
          </w:p>
        </w:tc>
        <w:tc>
          <w:tcPr>
            <w:tcW w:w="506" w:type="pct"/>
            <w:tcBorders>
              <w:top w:val="outset" w:sz="6" w:space="0" w:color="auto"/>
              <w:left w:val="outset" w:sz="6" w:space="0" w:color="auto"/>
              <w:bottom w:val="outset" w:sz="6" w:space="0" w:color="auto"/>
              <w:right w:val="outset" w:sz="6" w:space="0" w:color="auto"/>
            </w:tcBorders>
            <w:vAlign w:val="center"/>
            <w:hideMark/>
          </w:tcPr>
          <w:p w14:paraId="77A6AC38"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29CA37"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7</w:t>
            </w:r>
          </w:p>
        </w:tc>
        <w:tc>
          <w:tcPr>
            <w:tcW w:w="708" w:type="pct"/>
            <w:tcBorders>
              <w:top w:val="outset" w:sz="6" w:space="0" w:color="auto"/>
              <w:left w:val="outset" w:sz="6" w:space="0" w:color="auto"/>
              <w:bottom w:val="outset" w:sz="6" w:space="0" w:color="auto"/>
              <w:right w:val="outset" w:sz="6" w:space="0" w:color="auto"/>
            </w:tcBorders>
            <w:vAlign w:val="center"/>
            <w:hideMark/>
          </w:tcPr>
          <w:p w14:paraId="6E3F9325"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8</w:t>
            </w:r>
          </w:p>
        </w:tc>
      </w:tr>
      <w:tr w:rsidR="00A000CE" w:rsidRPr="008B7F6D" w14:paraId="09CA1C0D"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59410BCD" w14:textId="77777777" w:rsidR="00BD0DF0" w:rsidRPr="008B7F6D" w:rsidRDefault="00BD0DF0" w:rsidP="00BD0DF0">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1. Budžeta ieņēmumi</w:t>
            </w:r>
          </w:p>
        </w:tc>
        <w:tc>
          <w:tcPr>
            <w:tcW w:w="506" w:type="pct"/>
            <w:tcBorders>
              <w:top w:val="outset" w:sz="6" w:space="0" w:color="auto"/>
              <w:left w:val="outset" w:sz="6" w:space="0" w:color="auto"/>
              <w:bottom w:val="outset" w:sz="6" w:space="0" w:color="auto"/>
              <w:right w:val="outset" w:sz="6" w:space="0" w:color="auto"/>
            </w:tcBorders>
            <w:vAlign w:val="center"/>
          </w:tcPr>
          <w:p w14:paraId="2F6E913D" w14:textId="77777777" w:rsidR="00BD0DF0" w:rsidRPr="008B7F6D" w:rsidRDefault="00BD0DF0" w:rsidP="00BD0DF0">
            <w:pPr>
              <w:spacing w:after="0" w:line="240" w:lineRule="auto"/>
              <w:rPr>
                <w:rFonts w:ascii="Times New Roman" w:eastAsia="Times New Roman" w:hAnsi="Times New Roman"/>
                <w:iCs/>
                <w:sz w:val="20"/>
                <w:szCs w:val="20"/>
                <w:lang w:eastAsia="lv-LV"/>
              </w:rPr>
            </w:pPr>
            <w:r>
              <w:rPr>
                <w:rFonts w:ascii="Times New Roman" w:hAnsi="Times New Roman"/>
                <w:color w:val="000000"/>
                <w:sz w:val="20"/>
                <w:szCs w:val="20"/>
              </w:rPr>
              <w:t xml:space="preserve">8 506 000 </w:t>
            </w:r>
          </w:p>
        </w:tc>
        <w:tc>
          <w:tcPr>
            <w:tcW w:w="567" w:type="pct"/>
            <w:tcBorders>
              <w:top w:val="outset" w:sz="6" w:space="0" w:color="auto"/>
              <w:left w:val="outset" w:sz="6" w:space="0" w:color="auto"/>
              <w:bottom w:val="outset" w:sz="6" w:space="0" w:color="auto"/>
              <w:right w:val="outset" w:sz="6" w:space="0" w:color="auto"/>
            </w:tcBorders>
            <w:vAlign w:val="center"/>
          </w:tcPr>
          <w:p w14:paraId="3FC69BDD" w14:textId="77777777" w:rsidR="00BD0DF0" w:rsidRPr="008B7F6D" w:rsidRDefault="00BD0DF0" w:rsidP="00BD0DF0">
            <w:pPr>
              <w:spacing w:after="0" w:line="240" w:lineRule="auto"/>
              <w:rPr>
                <w:rFonts w:ascii="Times New Roman" w:eastAsia="Times New Roman" w:hAnsi="Times New Roman"/>
                <w:iCs/>
                <w:sz w:val="20"/>
                <w:szCs w:val="20"/>
                <w:lang w:eastAsia="lv-LV"/>
              </w:rPr>
            </w:pPr>
            <w:r>
              <w:rPr>
                <w:rFonts w:ascii="Times New Roman" w:hAnsi="Times New Roman"/>
                <w:color w:val="000000"/>
                <w:sz w:val="20"/>
                <w:szCs w:val="20"/>
              </w:rPr>
              <w:t xml:space="preserve">5 954 200 </w:t>
            </w:r>
          </w:p>
        </w:tc>
        <w:tc>
          <w:tcPr>
            <w:tcW w:w="513" w:type="pct"/>
            <w:tcBorders>
              <w:top w:val="outset" w:sz="6" w:space="0" w:color="auto"/>
              <w:left w:val="outset" w:sz="6" w:space="0" w:color="auto"/>
              <w:bottom w:val="outset" w:sz="6" w:space="0" w:color="auto"/>
              <w:right w:val="outset" w:sz="6" w:space="0" w:color="auto"/>
            </w:tcBorders>
            <w:vAlign w:val="center"/>
          </w:tcPr>
          <w:p w14:paraId="41564ACC" w14:textId="77777777" w:rsidR="00BD0DF0" w:rsidRPr="008B7F6D" w:rsidRDefault="00BD0DF0" w:rsidP="00BD0DF0">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 xml:space="preserve">31 552 563 </w:t>
            </w:r>
          </w:p>
        </w:tc>
        <w:tc>
          <w:tcPr>
            <w:tcW w:w="687" w:type="pct"/>
            <w:tcBorders>
              <w:top w:val="outset" w:sz="6" w:space="0" w:color="auto"/>
              <w:left w:val="outset" w:sz="6" w:space="0" w:color="auto"/>
              <w:bottom w:val="outset" w:sz="6" w:space="0" w:color="auto"/>
              <w:right w:val="outset" w:sz="6" w:space="0" w:color="auto"/>
            </w:tcBorders>
            <w:vAlign w:val="center"/>
          </w:tcPr>
          <w:p w14:paraId="268041F6" w14:textId="63FDAA1A" w:rsidR="00BD0DF0" w:rsidRPr="008B7F6D" w:rsidRDefault="00BD0DF0">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-12 414 </w:t>
            </w:r>
            <w:r w:rsidR="00E97515">
              <w:rPr>
                <w:rFonts w:ascii="Times New Roman" w:eastAsia="Times New Roman" w:hAnsi="Times New Roman"/>
                <w:iCs/>
                <w:sz w:val="20"/>
                <w:szCs w:val="20"/>
                <w:lang w:eastAsia="lv-LV"/>
              </w:rPr>
              <w:t>696</w:t>
            </w:r>
            <w:r>
              <w:rPr>
                <w:rFonts w:ascii="Times New Roman" w:eastAsia="Times New Roman" w:hAnsi="Times New Roman"/>
                <w:iCs/>
                <w:sz w:val="20"/>
                <w:szCs w:val="20"/>
                <w:lang w:eastAsia="lv-LV"/>
              </w:rPr>
              <w:t xml:space="preserve"> </w:t>
            </w:r>
          </w:p>
        </w:tc>
        <w:tc>
          <w:tcPr>
            <w:tcW w:w="506" w:type="pct"/>
            <w:tcBorders>
              <w:top w:val="outset" w:sz="6" w:space="0" w:color="auto"/>
              <w:left w:val="outset" w:sz="6" w:space="0" w:color="auto"/>
              <w:bottom w:val="outset" w:sz="6" w:space="0" w:color="auto"/>
              <w:right w:val="outset" w:sz="6" w:space="0" w:color="auto"/>
            </w:tcBorders>
            <w:vAlign w:val="center"/>
          </w:tcPr>
          <w:p w14:paraId="216F49A5" w14:textId="77777777" w:rsidR="00BD0DF0" w:rsidRPr="008B7F6D" w:rsidRDefault="00BD0DF0" w:rsidP="00BD0DF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30 142 337 </w:t>
            </w:r>
          </w:p>
        </w:tc>
        <w:tc>
          <w:tcPr>
            <w:tcW w:w="565" w:type="pct"/>
            <w:tcBorders>
              <w:top w:val="outset" w:sz="6" w:space="0" w:color="auto"/>
              <w:left w:val="outset" w:sz="6" w:space="0" w:color="auto"/>
              <w:bottom w:val="outset" w:sz="6" w:space="0" w:color="auto"/>
              <w:right w:val="outset" w:sz="6" w:space="0" w:color="auto"/>
            </w:tcBorders>
            <w:vAlign w:val="center"/>
          </w:tcPr>
          <w:p w14:paraId="4568F929" w14:textId="77777777" w:rsidR="00BD0DF0" w:rsidRPr="008B7F6D" w:rsidRDefault="00BD0DF0" w:rsidP="00BD0DF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-2 497 837 </w:t>
            </w:r>
          </w:p>
        </w:tc>
        <w:tc>
          <w:tcPr>
            <w:tcW w:w="708" w:type="pct"/>
            <w:tcBorders>
              <w:top w:val="outset" w:sz="6" w:space="0" w:color="auto"/>
              <w:left w:val="outset" w:sz="6" w:space="0" w:color="auto"/>
              <w:bottom w:val="outset" w:sz="6" w:space="0" w:color="auto"/>
              <w:right w:val="outset" w:sz="6" w:space="0" w:color="auto"/>
            </w:tcBorders>
            <w:vAlign w:val="center"/>
          </w:tcPr>
          <w:p w14:paraId="672B78E7" w14:textId="15738EC6" w:rsidR="00BD0DF0" w:rsidRPr="008B7F6D" w:rsidRDefault="00B3311D" w:rsidP="00BD0DF0">
            <w:pPr>
              <w:spacing w:after="0" w:line="240" w:lineRule="auto"/>
              <w:rPr>
                <w:rFonts w:ascii="Times New Roman" w:hAnsi="Times New Roman"/>
                <w:color w:val="000000"/>
                <w:sz w:val="20"/>
                <w:szCs w:val="20"/>
              </w:rPr>
            </w:pPr>
            <w:r w:rsidRPr="00B3311D">
              <w:rPr>
                <w:rFonts w:ascii="Times New Roman" w:hAnsi="Times New Roman"/>
                <w:color w:val="000000"/>
                <w:sz w:val="20"/>
                <w:szCs w:val="20"/>
              </w:rPr>
              <w:t xml:space="preserve">-13 915 992 </w:t>
            </w:r>
          </w:p>
        </w:tc>
      </w:tr>
      <w:tr w:rsidR="00A000CE" w:rsidRPr="008B7F6D" w14:paraId="18C8345F"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29A2C1F1" w14:textId="77777777" w:rsidR="00BD0DF0" w:rsidRPr="008B7F6D" w:rsidRDefault="00BD0DF0" w:rsidP="00BD0DF0">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1.1. valsts pamatbudžets, tai skaitā ieņēmumi no maksas pakalpojumiem un citi pašu ieņēmumi</w:t>
            </w:r>
          </w:p>
        </w:tc>
        <w:tc>
          <w:tcPr>
            <w:tcW w:w="506" w:type="pct"/>
            <w:tcBorders>
              <w:top w:val="outset" w:sz="6" w:space="0" w:color="auto"/>
              <w:left w:val="outset" w:sz="6" w:space="0" w:color="auto"/>
              <w:bottom w:val="outset" w:sz="6" w:space="0" w:color="auto"/>
              <w:right w:val="outset" w:sz="6" w:space="0" w:color="auto"/>
            </w:tcBorders>
            <w:vAlign w:val="center"/>
          </w:tcPr>
          <w:p w14:paraId="63F6FC43" w14:textId="77777777" w:rsidR="00BD0DF0" w:rsidRPr="008B7F6D" w:rsidRDefault="00BD0DF0" w:rsidP="00BD0DF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8 506 000 </w:t>
            </w:r>
          </w:p>
        </w:tc>
        <w:tc>
          <w:tcPr>
            <w:tcW w:w="567" w:type="pct"/>
            <w:tcBorders>
              <w:top w:val="outset" w:sz="6" w:space="0" w:color="auto"/>
              <w:left w:val="outset" w:sz="6" w:space="0" w:color="auto"/>
              <w:bottom w:val="outset" w:sz="6" w:space="0" w:color="auto"/>
              <w:right w:val="outset" w:sz="6" w:space="0" w:color="auto"/>
            </w:tcBorders>
            <w:vAlign w:val="center"/>
          </w:tcPr>
          <w:p w14:paraId="15387BA5" w14:textId="77777777" w:rsidR="00BD0DF0" w:rsidRPr="008B7F6D" w:rsidRDefault="00BD0DF0" w:rsidP="00BD0DF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5 954 200 </w:t>
            </w:r>
          </w:p>
        </w:tc>
        <w:tc>
          <w:tcPr>
            <w:tcW w:w="513" w:type="pct"/>
            <w:tcBorders>
              <w:top w:val="outset" w:sz="6" w:space="0" w:color="auto"/>
              <w:left w:val="outset" w:sz="6" w:space="0" w:color="auto"/>
              <w:bottom w:val="outset" w:sz="6" w:space="0" w:color="auto"/>
              <w:right w:val="outset" w:sz="6" w:space="0" w:color="auto"/>
            </w:tcBorders>
            <w:vAlign w:val="center"/>
          </w:tcPr>
          <w:p w14:paraId="32EC3299" w14:textId="77777777" w:rsidR="00BD0DF0" w:rsidRPr="008B7F6D" w:rsidRDefault="00BD0DF0" w:rsidP="00BD0DF0">
            <w:pPr>
              <w:spacing w:after="0" w:line="240" w:lineRule="auto"/>
              <w:rPr>
                <w:rFonts w:ascii="Times New Roman" w:hAnsi="Times New Roman"/>
                <w:color w:val="000000"/>
                <w:sz w:val="20"/>
                <w:szCs w:val="20"/>
              </w:rPr>
            </w:pPr>
            <w:r>
              <w:rPr>
                <w:rFonts w:ascii="Times New Roman" w:eastAsia="Times New Roman" w:hAnsi="Times New Roman"/>
                <w:iCs/>
                <w:sz w:val="20"/>
                <w:szCs w:val="20"/>
                <w:lang w:eastAsia="lv-LV"/>
              </w:rPr>
              <w:t xml:space="preserve">31 552 563 </w:t>
            </w:r>
          </w:p>
        </w:tc>
        <w:tc>
          <w:tcPr>
            <w:tcW w:w="687" w:type="pct"/>
            <w:tcBorders>
              <w:top w:val="outset" w:sz="6" w:space="0" w:color="auto"/>
              <w:left w:val="outset" w:sz="6" w:space="0" w:color="auto"/>
              <w:bottom w:val="outset" w:sz="6" w:space="0" w:color="auto"/>
              <w:right w:val="outset" w:sz="6" w:space="0" w:color="auto"/>
            </w:tcBorders>
            <w:vAlign w:val="center"/>
          </w:tcPr>
          <w:p w14:paraId="2A5DE044" w14:textId="0D3907EB" w:rsidR="00BD0DF0" w:rsidRPr="008B7F6D" w:rsidRDefault="00BD0DF0">
            <w:pPr>
              <w:spacing w:after="0" w:line="240" w:lineRule="auto"/>
              <w:rPr>
                <w:rFonts w:ascii="Times New Roman" w:hAnsi="Times New Roman"/>
                <w:color w:val="000000"/>
                <w:sz w:val="20"/>
                <w:szCs w:val="20"/>
              </w:rPr>
            </w:pPr>
            <w:r>
              <w:rPr>
                <w:rFonts w:ascii="Times New Roman" w:eastAsia="Times New Roman" w:hAnsi="Times New Roman"/>
                <w:iCs/>
                <w:sz w:val="20"/>
                <w:szCs w:val="20"/>
                <w:lang w:eastAsia="lv-LV"/>
              </w:rPr>
              <w:t>-12 414 </w:t>
            </w:r>
            <w:r w:rsidR="00E97515">
              <w:rPr>
                <w:rFonts w:ascii="Times New Roman" w:eastAsia="Times New Roman" w:hAnsi="Times New Roman"/>
                <w:iCs/>
                <w:sz w:val="20"/>
                <w:szCs w:val="20"/>
                <w:lang w:eastAsia="lv-LV"/>
              </w:rPr>
              <w:t>696</w:t>
            </w:r>
            <w:r>
              <w:rPr>
                <w:rFonts w:ascii="Times New Roman" w:eastAsia="Times New Roman" w:hAnsi="Times New Roman"/>
                <w:iCs/>
                <w:sz w:val="20"/>
                <w:szCs w:val="20"/>
                <w:lang w:eastAsia="lv-LV"/>
              </w:rPr>
              <w:t xml:space="preserve"> </w:t>
            </w:r>
          </w:p>
        </w:tc>
        <w:tc>
          <w:tcPr>
            <w:tcW w:w="506" w:type="pct"/>
            <w:tcBorders>
              <w:top w:val="outset" w:sz="6" w:space="0" w:color="auto"/>
              <w:left w:val="outset" w:sz="6" w:space="0" w:color="auto"/>
              <w:bottom w:val="outset" w:sz="6" w:space="0" w:color="auto"/>
              <w:right w:val="outset" w:sz="6" w:space="0" w:color="auto"/>
            </w:tcBorders>
            <w:vAlign w:val="center"/>
          </w:tcPr>
          <w:p w14:paraId="6E714B85" w14:textId="77777777" w:rsidR="00BD0DF0" w:rsidRPr="008B7F6D" w:rsidRDefault="00BD0DF0" w:rsidP="00BD0DF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30 142 337 </w:t>
            </w:r>
          </w:p>
        </w:tc>
        <w:tc>
          <w:tcPr>
            <w:tcW w:w="565" w:type="pct"/>
            <w:tcBorders>
              <w:top w:val="outset" w:sz="6" w:space="0" w:color="auto"/>
              <w:left w:val="outset" w:sz="6" w:space="0" w:color="auto"/>
              <w:bottom w:val="outset" w:sz="6" w:space="0" w:color="auto"/>
              <w:right w:val="outset" w:sz="6" w:space="0" w:color="auto"/>
            </w:tcBorders>
            <w:vAlign w:val="center"/>
          </w:tcPr>
          <w:p w14:paraId="0B6B1DB6" w14:textId="77777777" w:rsidR="00BD0DF0" w:rsidRPr="008B7F6D" w:rsidRDefault="00BD0DF0" w:rsidP="00BD0DF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-2 497 837 </w:t>
            </w:r>
          </w:p>
        </w:tc>
        <w:tc>
          <w:tcPr>
            <w:tcW w:w="708" w:type="pct"/>
            <w:tcBorders>
              <w:top w:val="outset" w:sz="6" w:space="0" w:color="auto"/>
              <w:left w:val="outset" w:sz="6" w:space="0" w:color="auto"/>
              <w:bottom w:val="outset" w:sz="6" w:space="0" w:color="auto"/>
              <w:right w:val="outset" w:sz="6" w:space="0" w:color="auto"/>
            </w:tcBorders>
            <w:vAlign w:val="center"/>
          </w:tcPr>
          <w:p w14:paraId="275F9447" w14:textId="5FF16882" w:rsidR="00BD0DF0" w:rsidRPr="008B7F6D" w:rsidRDefault="00B3311D" w:rsidP="00BD0DF0">
            <w:pPr>
              <w:spacing w:after="0" w:line="240" w:lineRule="auto"/>
              <w:rPr>
                <w:rFonts w:ascii="Times New Roman" w:hAnsi="Times New Roman"/>
                <w:color w:val="000000"/>
                <w:sz w:val="20"/>
                <w:szCs w:val="20"/>
              </w:rPr>
            </w:pPr>
            <w:r w:rsidRPr="00B3311D">
              <w:rPr>
                <w:rFonts w:ascii="Times New Roman" w:hAnsi="Times New Roman"/>
                <w:color w:val="000000"/>
                <w:sz w:val="20"/>
                <w:szCs w:val="20"/>
              </w:rPr>
              <w:t xml:space="preserve">-13 915 992 </w:t>
            </w:r>
          </w:p>
        </w:tc>
      </w:tr>
      <w:tr w:rsidR="00A000CE" w:rsidRPr="008B7F6D" w14:paraId="015C30A2"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538DEC6A" w14:textId="77777777" w:rsidR="00BD0DF0" w:rsidRPr="008B7F6D" w:rsidRDefault="00BD0DF0" w:rsidP="00BD0DF0">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1.2. valsts speciālais budžets</w:t>
            </w:r>
          </w:p>
        </w:tc>
        <w:tc>
          <w:tcPr>
            <w:tcW w:w="506" w:type="pct"/>
            <w:tcBorders>
              <w:top w:val="outset" w:sz="6" w:space="0" w:color="auto"/>
              <w:left w:val="outset" w:sz="6" w:space="0" w:color="auto"/>
              <w:bottom w:val="outset" w:sz="6" w:space="0" w:color="auto"/>
              <w:right w:val="outset" w:sz="6" w:space="0" w:color="auto"/>
            </w:tcBorders>
            <w:vAlign w:val="center"/>
          </w:tcPr>
          <w:p w14:paraId="06B3786D"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2E1F9FE0"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tcPr>
          <w:p w14:paraId="0E4529A6"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687" w:type="pct"/>
            <w:tcBorders>
              <w:top w:val="outset" w:sz="6" w:space="0" w:color="auto"/>
              <w:left w:val="outset" w:sz="6" w:space="0" w:color="auto"/>
              <w:bottom w:val="outset" w:sz="6" w:space="0" w:color="auto"/>
              <w:right w:val="outset" w:sz="6" w:space="0" w:color="auto"/>
            </w:tcBorders>
            <w:vAlign w:val="center"/>
          </w:tcPr>
          <w:p w14:paraId="0E5B6D8B"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6" w:type="pct"/>
            <w:tcBorders>
              <w:top w:val="outset" w:sz="6" w:space="0" w:color="auto"/>
              <w:left w:val="outset" w:sz="6" w:space="0" w:color="auto"/>
              <w:bottom w:val="outset" w:sz="6" w:space="0" w:color="auto"/>
              <w:right w:val="outset" w:sz="6" w:space="0" w:color="auto"/>
            </w:tcBorders>
            <w:vAlign w:val="center"/>
          </w:tcPr>
          <w:p w14:paraId="648635BA"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0BC7FE4F"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tcPr>
          <w:p w14:paraId="1273D918"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r>
      <w:tr w:rsidR="00A000CE" w:rsidRPr="008B7F6D" w14:paraId="6ABB9BA7"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48C27232" w14:textId="77777777" w:rsidR="00BD0DF0" w:rsidRPr="008B7F6D" w:rsidRDefault="00BD0DF0" w:rsidP="00BD0DF0">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1.3. pašvaldību budžets</w:t>
            </w:r>
          </w:p>
        </w:tc>
        <w:tc>
          <w:tcPr>
            <w:tcW w:w="506" w:type="pct"/>
            <w:tcBorders>
              <w:top w:val="outset" w:sz="6" w:space="0" w:color="auto"/>
              <w:left w:val="outset" w:sz="6" w:space="0" w:color="auto"/>
              <w:bottom w:val="outset" w:sz="6" w:space="0" w:color="auto"/>
              <w:right w:val="outset" w:sz="6" w:space="0" w:color="auto"/>
            </w:tcBorders>
            <w:vAlign w:val="center"/>
          </w:tcPr>
          <w:p w14:paraId="66A3BC9B"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328786D0"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13" w:type="pct"/>
            <w:tcBorders>
              <w:top w:val="outset" w:sz="6" w:space="0" w:color="auto"/>
              <w:left w:val="outset" w:sz="6" w:space="0" w:color="auto"/>
              <w:bottom w:val="outset" w:sz="6" w:space="0" w:color="auto"/>
              <w:right w:val="outset" w:sz="6" w:space="0" w:color="auto"/>
            </w:tcBorders>
            <w:vAlign w:val="center"/>
          </w:tcPr>
          <w:p w14:paraId="144BA0BF"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687" w:type="pct"/>
            <w:tcBorders>
              <w:top w:val="outset" w:sz="6" w:space="0" w:color="auto"/>
              <w:left w:val="outset" w:sz="6" w:space="0" w:color="auto"/>
              <w:bottom w:val="outset" w:sz="6" w:space="0" w:color="auto"/>
              <w:right w:val="outset" w:sz="6" w:space="0" w:color="auto"/>
            </w:tcBorders>
            <w:vAlign w:val="center"/>
          </w:tcPr>
          <w:p w14:paraId="3462884B"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06" w:type="pct"/>
            <w:tcBorders>
              <w:top w:val="outset" w:sz="6" w:space="0" w:color="auto"/>
              <w:left w:val="outset" w:sz="6" w:space="0" w:color="auto"/>
              <w:bottom w:val="outset" w:sz="6" w:space="0" w:color="auto"/>
              <w:right w:val="outset" w:sz="6" w:space="0" w:color="auto"/>
            </w:tcBorders>
            <w:vAlign w:val="center"/>
          </w:tcPr>
          <w:p w14:paraId="431374F8"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65" w:type="pct"/>
            <w:tcBorders>
              <w:top w:val="outset" w:sz="6" w:space="0" w:color="auto"/>
              <w:left w:val="outset" w:sz="6" w:space="0" w:color="auto"/>
              <w:bottom w:val="outset" w:sz="6" w:space="0" w:color="auto"/>
              <w:right w:val="outset" w:sz="6" w:space="0" w:color="auto"/>
            </w:tcBorders>
            <w:vAlign w:val="center"/>
          </w:tcPr>
          <w:p w14:paraId="5C7B321F"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708" w:type="pct"/>
            <w:tcBorders>
              <w:top w:val="outset" w:sz="6" w:space="0" w:color="auto"/>
              <w:left w:val="outset" w:sz="6" w:space="0" w:color="auto"/>
              <w:bottom w:val="outset" w:sz="6" w:space="0" w:color="auto"/>
              <w:right w:val="outset" w:sz="6" w:space="0" w:color="auto"/>
            </w:tcBorders>
            <w:vAlign w:val="center"/>
          </w:tcPr>
          <w:p w14:paraId="7D3EBBE8"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r>
      <w:tr w:rsidR="00A000CE" w:rsidRPr="008B7F6D" w14:paraId="3AFF7ED7"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3A4F56EC" w14:textId="77777777" w:rsidR="00BD0DF0" w:rsidRPr="008B7F6D" w:rsidRDefault="00BD0DF0" w:rsidP="00BD0DF0">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 Budžeta izdevumi</w:t>
            </w:r>
          </w:p>
        </w:tc>
        <w:tc>
          <w:tcPr>
            <w:tcW w:w="506" w:type="pct"/>
            <w:tcBorders>
              <w:top w:val="outset" w:sz="6" w:space="0" w:color="auto"/>
              <w:left w:val="outset" w:sz="6" w:space="0" w:color="auto"/>
              <w:bottom w:val="outset" w:sz="6" w:space="0" w:color="auto"/>
              <w:right w:val="outset" w:sz="6" w:space="0" w:color="auto"/>
            </w:tcBorders>
            <w:vAlign w:val="center"/>
          </w:tcPr>
          <w:p w14:paraId="10C65BE0" w14:textId="77777777" w:rsidR="00BD0DF0" w:rsidRPr="008B7F6D" w:rsidRDefault="00BD0DF0" w:rsidP="00BD0DF0">
            <w:pPr>
              <w:spacing w:after="0" w:line="240" w:lineRule="auto"/>
              <w:rPr>
                <w:rFonts w:ascii="Times New Roman" w:eastAsia="Times New Roman" w:hAnsi="Times New Roman"/>
                <w:iCs/>
                <w:sz w:val="20"/>
                <w:szCs w:val="20"/>
                <w:highlight w:val="yellow"/>
                <w:lang w:eastAsia="lv-LV"/>
              </w:rPr>
            </w:pPr>
            <w:r>
              <w:rPr>
                <w:rFonts w:ascii="Times New Roman" w:hAnsi="Times New Roman"/>
                <w:color w:val="000000"/>
                <w:sz w:val="20"/>
                <w:szCs w:val="20"/>
              </w:rPr>
              <w:t xml:space="preserve"> 10 000 000 </w:t>
            </w:r>
          </w:p>
        </w:tc>
        <w:tc>
          <w:tcPr>
            <w:tcW w:w="567" w:type="pct"/>
            <w:tcBorders>
              <w:top w:val="outset" w:sz="6" w:space="0" w:color="auto"/>
              <w:left w:val="outset" w:sz="6" w:space="0" w:color="auto"/>
              <w:bottom w:val="outset" w:sz="6" w:space="0" w:color="auto"/>
              <w:right w:val="outset" w:sz="6" w:space="0" w:color="auto"/>
            </w:tcBorders>
            <w:vAlign w:val="center"/>
          </w:tcPr>
          <w:p w14:paraId="24BF666F" w14:textId="77777777" w:rsidR="00BD0DF0" w:rsidRPr="008B7F6D" w:rsidRDefault="00BD0DF0" w:rsidP="00BD0DF0">
            <w:pPr>
              <w:spacing w:after="0" w:line="240" w:lineRule="auto"/>
              <w:rPr>
                <w:rFonts w:ascii="Times New Roman" w:eastAsia="Times New Roman" w:hAnsi="Times New Roman"/>
                <w:iCs/>
                <w:sz w:val="20"/>
                <w:szCs w:val="20"/>
                <w:highlight w:val="yellow"/>
                <w:lang w:eastAsia="lv-LV"/>
              </w:rPr>
            </w:pPr>
            <w:r>
              <w:rPr>
                <w:rFonts w:ascii="Times New Roman" w:hAnsi="Times New Roman"/>
                <w:color w:val="000000"/>
                <w:sz w:val="20"/>
                <w:szCs w:val="20"/>
              </w:rPr>
              <w:t xml:space="preserve">7 000 000  </w:t>
            </w:r>
          </w:p>
        </w:tc>
        <w:tc>
          <w:tcPr>
            <w:tcW w:w="513" w:type="pct"/>
            <w:tcBorders>
              <w:top w:val="outset" w:sz="6" w:space="0" w:color="auto"/>
              <w:left w:val="outset" w:sz="6" w:space="0" w:color="auto"/>
              <w:bottom w:val="outset" w:sz="6" w:space="0" w:color="auto"/>
              <w:right w:val="outset" w:sz="6" w:space="0" w:color="auto"/>
            </w:tcBorders>
            <w:vAlign w:val="center"/>
          </w:tcPr>
          <w:p w14:paraId="5DC983CB" w14:textId="77777777" w:rsidR="00BD0DF0" w:rsidRPr="008B7F6D" w:rsidRDefault="00BD0DF0" w:rsidP="00BD0DF0">
            <w:pPr>
              <w:spacing w:after="0" w:line="240" w:lineRule="auto"/>
              <w:rPr>
                <w:rFonts w:ascii="Times New Roman" w:eastAsia="Times New Roman" w:hAnsi="Times New Roman"/>
                <w:iCs/>
                <w:sz w:val="20"/>
                <w:szCs w:val="20"/>
                <w:highlight w:val="yellow"/>
                <w:lang w:eastAsia="lv-LV"/>
              </w:rPr>
            </w:pPr>
            <w:r w:rsidRPr="00857E92">
              <w:rPr>
                <w:rFonts w:ascii="Times New Roman" w:eastAsia="Times New Roman" w:hAnsi="Times New Roman"/>
                <w:iCs/>
                <w:sz w:val="20"/>
                <w:szCs w:val="20"/>
                <w:lang w:eastAsia="lv-LV"/>
              </w:rPr>
              <w:t>37 122</w:t>
            </w:r>
            <w:r>
              <w:rPr>
                <w:rFonts w:ascii="Times New Roman" w:eastAsia="Times New Roman" w:hAnsi="Times New Roman"/>
                <w:iCs/>
                <w:sz w:val="20"/>
                <w:szCs w:val="20"/>
                <w:lang w:eastAsia="lv-LV"/>
              </w:rPr>
              <w:t> </w:t>
            </w:r>
            <w:r w:rsidRPr="00857E92">
              <w:rPr>
                <w:rFonts w:ascii="Times New Roman" w:eastAsia="Times New Roman" w:hAnsi="Times New Roman"/>
                <w:iCs/>
                <w:sz w:val="20"/>
                <w:szCs w:val="20"/>
                <w:lang w:eastAsia="lv-LV"/>
              </w:rPr>
              <w:t>779</w:t>
            </w:r>
            <w:r>
              <w:rPr>
                <w:rFonts w:ascii="Times New Roman" w:eastAsia="Times New Roman" w:hAnsi="Times New Roman"/>
                <w:iCs/>
                <w:sz w:val="20"/>
                <w:szCs w:val="20"/>
                <w:lang w:eastAsia="lv-LV"/>
              </w:rPr>
              <w:t xml:space="preserve"> </w:t>
            </w:r>
          </w:p>
        </w:tc>
        <w:tc>
          <w:tcPr>
            <w:tcW w:w="687" w:type="pct"/>
            <w:tcBorders>
              <w:top w:val="outset" w:sz="6" w:space="0" w:color="auto"/>
              <w:left w:val="outset" w:sz="6" w:space="0" w:color="auto"/>
              <w:bottom w:val="outset" w:sz="6" w:space="0" w:color="auto"/>
              <w:right w:val="outset" w:sz="6" w:space="0" w:color="auto"/>
            </w:tcBorders>
            <w:vAlign w:val="center"/>
          </w:tcPr>
          <w:p w14:paraId="16D1E9ED" w14:textId="77777777" w:rsidR="00BD0DF0" w:rsidRPr="008B7F6D" w:rsidRDefault="00BD0DF0" w:rsidP="00BD0DF0">
            <w:pPr>
              <w:spacing w:after="0" w:line="240" w:lineRule="auto"/>
              <w:rPr>
                <w:rFonts w:ascii="Times New Roman" w:eastAsia="Times New Roman" w:hAnsi="Times New Roman"/>
                <w:iCs/>
                <w:sz w:val="20"/>
                <w:szCs w:val="20"/>
                <w:highlight w:val="yellow"/>
                <w:lang w:eastAsia="lv-LV"/>
              </w:rPr>
            </w:pPr>
            <w:r w:rsidRPr="00857E92">
              <w:rPr>
                <w:rFonts w:ascii="Times New Roman" w:eastAsia="Times New Roman" w:hAnsi="Times New Roman"/>
                <w:iCs/>
                <w:sz w:val="20"/>
                <w:szCs w:val="20"/>
                <w:lang w:eastAsia="lv-LV"/>
              </w:rPr>
              <w:t>-</w:t>
            </w:r>
            <w:r>
              <w:rPr>
                <w:rFonts w:ascii="Times New Roman" w:eastAsia="Times New Roman" w:hAnsi="Times New Roman"/>
                <w:iCs/>
                <w:sz w:val="20"/>
                <w:szCs w:val="20"/>
                <w:lang w:eastAsia="lv-LV"/>
              </w:rPr>
              <w:t xml:space="preserve">14 617 861 </w:t>
            </w:r>
          </w:p>
        </w:tc>
        <w:tc>
          <w:tcPr>
            <w:tcW w:w="506" w:type="pct"/>
            <w:tcBorders>
              <w:top w:val="outset" w:sz="6" w:space="0" w:color="auto"/>
              <w:left w:val="outset" w:sz="6" w:space="0" w:color="auto"/>
              <w:bottom w:val="outset" w:sz="6" w:space="0" w:color="auto"/>
              <w:right w:val="outset" w:sz="6" w:space="0" w:color="auto"/>
            </w:tcBorders>
            <w:vAlign w:val="center"/>
          </w:tcPr>
          <w:p w14:paraId="0E07E126"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57E92">
              <w:rPr>
                <w:rFonts w:ascii="Times New Roman" w:eastAsia="Times New Roman" w:hAnsi="Times New Roman"/>
                <w:iCs/>
                <w:sz w:val="20"/>
                <w:szCs w:val="20"/>
                <w:lang w:eastAsia="lv-LV"/>
              </w:rPr>
              <w:t>35 464</w:t>
            </w:r>
            <w:r>
              <w:rPr>
                <w:rFonts w:ascii="Times New Roman" w:eastAsia="Times New Roman" w:hAnsi="Times New Roman"/>
                <w:iCs/>
                <w:sz w:val="20"/>
                <w:szCs w:val="20"/>
                <w:lang w:eastAsia="lv-LV"/>
              </w:rPr>
              <w:t> </w:t>
            </w:r>
            <w:r w:rsidRPr="00857E92">
              <w:rPr>
                <w:rFonts w:ascii="Times New Roman" w:eastAsia="Times New Roman" w:hAnsi="Times New Roman"/>
                <w:iCs/>
                <w:sz w:val="20"/>
                <w:szCs w:val="20"/>
                <w:lang w:eastAsia="lv-LV"/>
              </w:rPr>
              <w:t>860</w:t>
            </w:r>
            <w:r>
              <w:rPr>
                <w:rFonts w:ascii="Times New Roman" w:eastAsia="Times New Roman" w:hAnsi="Times New Roman"/>
                <w:iCs/>
                <w:sz w:val="20"/>
                <w:szCs w:val="20"/>
                <w:lang w:eastAsia="lv-LV"/>
              </w:rPr>
              <w:t xml:space="preserve"> </w:t>
            </w:r>
          </w:p>
        </w:tc>
        <w:tc>
          <w:tcPr>
            <w:tcW w:w="565" w:type="pct"/>
            <w:tcBorders>
              <w:top w:val="outset" w:sz="6" w:space="0" w:color="auto"/>
              <w:left w:val="outset" w:sz="6" w:space="0" w:color="auto"/>
              <w:bottom w:val="outset" w:sz="6" w:space="0" w:color="auto"/>
              <w:right w:val="outset" w:sz="6" w:space="0" w:color="auto"/>
            </w:tcBorders>
            <w:vAlign w:val="center"/>
          </w:tcPr>
          <w:p w14:paraId="5F551D2F" w14:textId="77777777" w:rsidR="00BD0DF0" w:rsidRPr="008B7F6D" w:rsidRDefault="00BD0DF0" w:rsidP="00BD0DF0">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 xml:space="preserve">-2 964 860 </w:t>
            </w:r>
          </w:p>
        </w:tc>
        <w:tc>
          <w:tcPr>
            <w:tcW w:w="708" w:type="pct"/>
            <w:tcBorders>
              <w:top w:val="outset" w:sz="6" w:space="0" w:color="auto"/>
              <w:left w:val="outset" w:sz="6" w:space="0" w:color="auto"/>
              <w:bottom w:val="outset" w:sz="6" w:space="0" w:color="auto"/>
              <w:right w:val="outset" w:sz="6" w:space="0" w:color="auto"/>
            </w:tcBorders>
            <w:vAlign w:val="center"/>
          </w:tcPr>
          <w:p w14:paraId="5F4D7E9F" w14:textId="4B432E86" w:rsidR="00BD0DF0" w:rsidRPr="008B7F6D" w:rsidRDefault="00B3311D" w:rsidP="00BD0DF0">
            <w:pPr>
              <w:spacing w:after="0" w:line="240" w:lineRule="auto"/>
              <w:rPr>
                <w:rFonts w:ascii="Times New Roman" w:eastAsia="Times New Roman" w:hAnsi="Times New Roman"/>
                <w:color w:val="000000"/>
                <w:sz w:val="20"/>
                <w:szCs w:val="20"/>
              </w:rPr>
            </w:pPr>
            <w:r w:rsidRPr="00B3311D">
              <w:rPr>
                <w:rFonts w:ascii="Times New Roman" w:eastAsia="Times New Roman" w:hAnsi="Times New Roman"/>
                <w:color w:val="000000"/>
                <w:sz w:val="20"/>
                <w:szCs w:val="20"/>
              </w:rPr>
              <w:t xml:space="preserve">-16 388 508 </w:t>
            </w:r>
          </w:p>
        </w:tc>
      </w:tr>
      <w:tr w:rsidR="00A000CE" w:rsidRPr="008B7F6D" w14:paraId="29BB7514"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76B1D937" w14:textId="77777777" w:rsidR="00BD0DF0" w:rsidRPr="008B7F6D" w:rsidRDefault="00BD0DF0" w:rsidP="00BD0DF0">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2.1. valsts pamatbudžets</w:t>
            </w:r>
          </w:p>
        </w:tc>
        <w:tc>
          <w:tcPr>
            <w:tcW w:w="506" w:type="pct"/>
            <w:tcBorders>
              <w:top w:val="outset" w:sz="6" w:space="0" w:color="auto"/>
              <w:left w:val="outset" w:sz="6" w:space="0" w:color="auto"/>
              <w:bottom w:val="outset" w:sz="6" w:space="0" w:color="auto"/>
              <w:right w:val="outset" w:sz="6" w:space="0" w:color="auto"/>
            </w:tcBorders>
            <w:vAlign w:val="center"/>
          </w:tcPr>
          <w:p w14:paraId="1FE70E64" w14:textId="77777777" w:rsidR="00BD0DF0" w:rsidRPr="008B7F6D" w:rsidRDefault="00BD0DF0" w:rsidP="00BD0DF0">
            <w:pPr>
              <w:spacing w:after="0" w:line="240" w:lineRule="auto"/>
              <w:rPr>
                <w:rFonts w:ascii="Times New Roman" w:eastAsia="Times New Roman" w:hAnsi="Times New Roman"/>
                <w:iCs/>
                <w:sz w:val="20"/>
                <w:szCs w:val="20"/>
                <w:highlight w:val="yellow"/>
                <w:lang w:eastAsia="lv-LV"/>
              </w:rPr>
            </w:pPr>
            <w:r>
              <w:rPr>
                <w:rFonts w:ascii="Times New Roman" w:hAnsi="Times New Roman"/>
                <w:color w:val="000000"/>
                <w:sz w:val="20"/>
                <w:szCs w:val="20"/>
              </w:rPr>
              <w:t xml:space="preserve">10 000 000 </w:t>
            </w:r>
          </w:p>
        </w:tc>
        <w:tc>
          <w:tcPr>
            <w:tcW w:w="567" w:type="pct"/>
            <w:tcBorders>
              <w:top w:val="outset" w:sz="6" w:space="0" w:color="auto"/>
              <w:left w:val="outset" w:sz="6" w:space="0" w:color="auto"/>
              <w:bottom w:val="outset" w:sz="6" w:space="0" w:color="auto"/>
              <w:right w:val="outset" w:sz="6" w:space="0" w:color="auto"/>
            </w:tcBorders>
            <w:vAlign w:val="center"/>
          </w:tcPr>
          <w:p w14:paraId="7E1FCC18" w14:textId="77777777" w:rsidR="00BD0DF0" w:rsidRPr="008B7F6D" w:rsidRDefault="00BD0DF0" w:rsidP="00BD0DF0">
            <w:pPr>
              <w:spacing w:after="0" w:line="240" w:lineRule="auto"/>
              <w:rPr>
                <w:rFonts w:ascii="Times New Roman" w:eastAsia="Times New Roman" w:hAnsi="Times New Roman"/>
                <w:iCs/>
                <w:sz w:val="20"/>
                <w:szCs w:val="20"/>
                <w:highlight w:val="yellow"/>
                <w:lang w:eastAsia="lv-LV"/>
              </w:rPr>
            </w:pPr>
            <w:r>
              <w:rPr>
                <w:rFonts w:ascii="Times New Roman" w:hAnsi="Times New Roman"/>
                <w:color w:val="000000"/>
                <w:sz w:val="20"/>
                <w:szCs w:val="20"/>
              </w:rPr>
              <w:t xml:space="preserve">7 000 000 </w:t>
            </w:r>
          </w:p>
        </w:tc>
        <w:tc>
          <w:tcPr>
            <w:tcW w:w="513" w:type="pct"/>
            <w:tcBorders>
              <w:top w:val="outset" w:sz="6" w:space="0" w:color="auto"/>
              <w:left w:val="outset" w:sz="6" w:space="0" w:color="auto"/>
              <w:bottom w:val="outset" w:sz="6" w:space="0" w:color="auto"/>
              <w:right w:val="outset" w:sz="6" w:space="0" w:color="auto"/>
            </w:tcBorders>
            <w:vAlign w:val="center"/>
          </w:tcPr>
          <w:p w14:paraId="24E5B6A5" w14:textId="77777777" w:rsidR="00BD0DF0" w:rsidRPr="008B7F6D" w:rsidRDefault="00BD0DF0" w:rsidP="00BD0DF0">
            <w:pPr>
              <w:spacing w:after="0" w:line="240" w:lineRule="auto"/>
              <w:rPr>
                <w:rFonts w:ascii="Times New Roman" w:eastAsia="Times New Roman" w:hAnsi="Times New Roman"/>
                <w:iCs/>
                <w:sz w:val="20"/>
                <w:szCs w:val="20"/>
                <w:highlight w:val="yellow"/>
                <w:lang w:eastAsia="lv-LV"/>
              </w:rPr>
            </w:pPr>
            <w:r w:rsidRPr="00857E92">
              <w:rPr>
                <w:rFonts w:ascii="Times New Roman" w:eastAsia="Times New Roman" w:hAnsi="Times New Roman"/>
                <w:iCs/>
                <w:sz w:val="20"/>
                <w:szCs w:val="20"/>
                <w:lang w:eastAsia="lv-LV"/>
              </w:rPr>
              <w:t>37 122</w:t>
            </w:r>
            <w:r>
              <w:rPr>
                <w:rFonts w:ascii="Times New Roman" w:eastAsia="Times New Roman" w:hAnsi="Times New Roman"/>
                <w:iCs/>
                <w:sz w:val="20"/>
                <w:szCs w:val="20"/>
                <w:lang w:eastAsia="lv-LV"/>
              </w:rPr>
              <w:t> </w:t>
            </w:r>
            <w:r w:rsidRPr="00857E92">
              <w:rPr>
                <w:rFonts w:ascii="Times New Roman" w:eastAsia="Times New Roman" w:hAnsi="Times New Roman"/>
                <w:iCs/>
                <w:sz w:val="20"/>
                <w:szCs w:val="20"/>
                <w:lang w:eastAsia="lv-LV"/>
              </w:rPr>
              <w:t>779</w:t>
            </w:r>
            <w:r>
              <w:rPr>
                <w:rFonts w:ascii="Times New Roman" w:eastAsia="Times New Roman" w:hAnsi="Times New Roman"/>
                <w:iCs/>
                <w:sz w:val="20"/>
                <w:szCs w:val="20"/>
                <w:lang w:eastAsia="lv-LV"/>
              </w:rPr>
              <w:t xml:space="preserve"> </w:t>
            </w:r>
          </w:p>
        </w:tc>
        <w:tc>
          <w:tcPr>
            <w:tcW w:w="687" w:type="pct"/>
            <w:tcBorders>
              <w:top w:val="outset" w:sz="6" w:space="0" w:color="auto"/>
              <w:left w:val="outset" w:sz="6" w:space="0" w:color="auto"/>
              <w:bottom w:val="outset" w:sz="6" w:space="0" w:color="auto"/>
              <w:right w:val="outset" w:sz="6" w:space="0" w:color="auto"/>
            </w:tcBorders>
            <w:vAlign w:val="center"/>
          </w:tcPr>
          <w:p w14:paraId="1B9CB096" w14:textId="77777777" w:rsidR="00BD0DF0" w:rsidRPr="008B7F6D" w:rsidRDefault="00BD0DF0" w:rsidP="00BD0DF0">
            <w:pPr>
              <w:spacing w:after="0" w:line="240" w:lineRule="auto"/>
              <w:rPr>
                <w:rFonts w:ascii="Times New Roman" w:eastAsia="Times New Roman" w:hAnsi="Times New Roman"/>
                <w:iCs/>
                <w:sz w:val="20"/>
                <w:szCs w:val="20"/>
                <w:highlight w:val="yellow"/>
                <w:lang w:eastAsia="lv-LV"/>
              </w:rPr>
            </w:pPr>
            <w:r w:rsidRPr="00857E92">
              <w:rPr>
                <w:rFonts w:ascii="Times New Roman" w:eastAsia="Times New Roman" w:hAnsi="Times New Roman"/>
                <w:iCs/>
                <w:sz w:val="20"/>
                <w:szCs w:val="20"/>
                <w:lang w:eastAsia="lv-LV"/>
              </w:rPr>
              <w:t>-</w:t>
            </w:r>
            <w:r>
              <w:rPr>
                <w:rFonts w:ascii="Times New Roman" w:eastAsia="Times New Roman" w:hAnsi="Times New Roman"/>
                <w:iCs/>
                <w:sz w:val="20"/>
                <w:szCs w:val="20"/>
                <w:lang w:eastAsia="lv-LV"/>
              </w:rPr>
              <w:t xml:space="preserve">14 617 861 </w:t>
            </w:r>
          </w:p>
        </w:tc>
        <w:tc>
          <w:tcPr>
            <w:tcW w:w="506" w:type="pct"/>
            <w:tcBorders>
              <w:top w:val="outset" w:sz="6" w:space="0" w:color="auto"/>
              <w:left w:val="outset" w:sz="6" w:space="0" w:color="auto"/>
              <w:bottom w:val="outset" w:sz="6" w:space="0" w:color="auto"/>
              <w:right w:val="outset" w:sz="6" w:space="0" w:color="auto"/>
            </w:tcBorders>
            <w:vAlign w:val="center"/>
          </w:tcPr>
          <w:p w14:paraId="652F1965" w14:textId="77777777" w:rsidR="00BD0DF0" w:rsidRPr="008B7F6D" w:rsidRDefault="00BD0DF0" w:rsidP="00BD0DF0">
            <w:pPr>
              <w:spacing w:after="0" w:line="240" w:lineRule="auto"/>
              <w:rPr>
                <w:rFonts w:ascii="Times New Roman" w:eastAsia="Times New Roman" w:hAnsi="Times New Roman"/>
                <w:iCs/>
                <w:sz w:val="20"/>
                <w:szCs w:val="20"/>
                <w:highlight w:val="yellow"/>
                <w:lang w:eastAsia="lv-LV"/>
              </w:rPr>
            </w:pPr>
            <w:r w:rsidRPr="00857E92">
              <w:rPr>
                <w:rFonts w:ascii="Times New Roman" w:eastAsia="Times New Roman" w:hAnsi="Times New Roman"/>
                <w:iCs/>
                <w:sz w:val="20"/>
                <w:szCs w:val="20"/>
                <w:lang w:eastAsia="lv-LV"/>
              </w:rPr>
              <w:t>35 464</w:t>
            </w:r>
            <w:r>
              <w:rPr>
                <w:rFonts w:ascii="Times New Roman" w:eastAsia="Times New Roman" w:hAnsi="Times New Roman"/>
                <w:iCs/>
                <w:sz w:val="20"/>
                <w:szCs w:val="20"/>
                <w:lang w:eastAsia="lv-LV"/>
              </w:rPr>
              <w:t> </w:t>
            </w:r>
            <w:r w:rsidRPr="00857E92">
              <w:rPr>
                <w:rFonts w:ascii="Times New Roman" w:eastAsia="Times New Roman" w:hAnsi="Times New Roman"/>
                <w:iCs/>
                <w:sz w:val="20"/>
                <w:szCs w:val="20"/>
                <w:lang w:eastAsia="lv-LV"/>
              </w:rPr>
              <w:t>860</w:t>
            </w:r>
            <w:r>
              <w:rPr>
                <w:rFonts w:ascii="Times New Roman" w:eastAsia="Times New Roman" w:hAnsi="Times New Roman"/>
                <w:iCs/>
                <w:sz w:val="20"/>
                <w:szCs w:val="20"/>
                <w:lang w:eastAsia="lv-LV"/>
              </w:rPr>
              <w:t xml:space="preserve"> </w:t>
            </w:r>
          </w:p>
        </w:tc>
        <w:tc>
          <w:tcPr>
            <w:tcW w:w="565" w:type="pct"/>
            <w:tcBorders>
              <w:top w:val="outset" w:sz="6" w:space="0" w:color="auto"/>
              <w:left w:val="outset" w:sz="6" w:space="0" w:color="auto"/>
              <w:bottom w:val="outset" w:sz="6" w:space="0" w:color="auto"/>
              <w:right w:val="outset" w:sz="6" w:space="0" w:color="auto"/>
            </w:tcBorders>
            <w:vAlign w:val="center"/>
          </w:tcPr>
          <w:p w14:paraId="5AEE2CA7" w14:textId="77777777" w:rsidR="00BD0DF0" w:rsidRPr="008B7F6D" w:rsidRDefault="00BD0DF0" w:rsidP="00BD0DF0">
            <w:pPr>
              <w:spacing w:after="0" w:line="240" w:lineRule="auto"/>
              <w:rPr>
                <w:rFonts w:ascii="Times New Roman" w:eastAsia="Times New Roman" w:hAnsi="Times New Roman"/>
                <w:iCs/>
                <w:sz w:val="20"/>
                <w:szCs w:val="20"/>
                <w:highlight w:val="yellow"/>
                <w:lang w:eastAsia="lv-LV"/>
              </w:rPr>
            </w:pPr>
            <w:r>
              <w:rPr>
                <w:rFonts w:ascii="Times New Roman" w:eastAsia="Times New Roman" w:hAnsi="Times New Roman"/>
                <w:iCs/>
                <w:sz w:val="20"/>
                <w:szCs w:val="20"/>
                <w:lang w:eastAsia="lv-LV"/>
              </w:rPr>
              <w:t xml:space="preserve">-2 964 860 </w:t>
            </w:r>
          </w:p>
        </w:tc>
        <w:tc>
          <w:tcPr>
            <w:tcW w:w="708" w:type="pct"/>
            <w:tcBorders>
              <w:top w:val="outset" w:sz="6" w:space="0" w:color="auto"/>
              <w:left w:val="outset" w:sz="6" w:space="0" w:color="auto"/>
              <w:bottom w:val="outset" w:sz="6" w:space="0" w:color="auto"/>
              <w:right w:val="outset" w:sz="6" w:space="0" w:color="auto"/>
            </w:tcBorders>
            <w:vAlign w:val="center"/>
          </w:tcPr>
          <w:p w14:paraId="7E33F142" w14:textId="6B5CA8B6" w:rsidR="00BD0DF0" w:rsidRPr="008B7F6D" w:rsidRDefault="00B3311D" w:rsidP="00BD0DF0">
            <w:pPr>
              <w:spacing w:after="0" w:line="240" w:lineRule="auto"/>
              <w:rPr>
                <w:rFonts w:ascii="Times New Roman" w:eastAsia="Times New Roman" w:hAnsi="Times New Roman"/>
                <w:iCs/>
                <w:sz w:val="20"/>
                <w:szCs w:val="20"/>
                <w:lang w:eastAsia="lv-LV"/>
              </w:rPr>
            </w:pPr>
            <w:r w:rsidRPr="00B3311D">
              <w:rPr>
                <w:rFonts w:ascii="Times New Roman" w:eastAsia="Times New Roman" w:hAnsi="Times New Roman"/>
                <w:color w:val="000000"/>
                <w:sz w:val="20"/>
                <w:szCs w:val="20"/>
              </w:rPr>
              <w:t xml:space="preserve">-16 388 508 </w:t>
            </w:r>
          </w:p>
        </w:tc>
      </w:tr>
      <w:tr w:rsidR="00A000CE" w:rsidRPr="008B7F6D" w14:paraId="14E12A71"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17873CBC" w14:textId="77777777" w:rsidR="00BD0DF0" w:rsidRPr="008B7F6D" w:rsidRDefault="00BD0DF0" w:rsidP="00BD0DF0">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2.2. valsts speciālais budžets</w:t>
            </w:r>
          </w:p>
        </w:tc>
        <w:tc>
          <w:tcPr>
            <w:tcW w:w="506" w:type="pct"/>
            <w:tcBorders>
              <w:top w:val="outset" w:sz="6" w:space="0" w:color="auto"/>
              <w:left w:val="outset" w:sz="6" w:space="0" w:color="auto"/>
              <w:bottom w:val="outset" w:sz="6" w:space="0" w:color="auto"/>
              <w:right w:val="outset" w:sz="6" w:space="0" w:color="auto"/>
            </w:tcBorders>
            <w:vAlign w:val="center"/>
          </w:tcPr>
          <w:p w14:paraId="3A31C22D"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21F315EF"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tcPr>
          <w:p w14:paraId="059D46A6"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687" w:type="pct"/>
            <w:tcBorders>
              <w:top w:val="outset" w:sz="6" w:space="0" w:color="auto"/>
              <w:left w:val="outset" w:sz="6" w:space="0" w:color="auto"/>
              <w:bottom w:val="outset" w:sz="6" w:space="0" w:color="auto"/>
              <w:right w:val="outset" w:sz="6" w:space="0" w:color="auto"/>
            </w:tcBorders>
            <w:vAlign w:val="center"/>
          </w:tcPr>
          <w:p w14:paraId="7DABF317"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6" w:type="pct"/>
            <w:tcBorders>
              <w:top w:val="outset" w:sz="6" w:space="0" w:color="auto"/>
              <w:left w:val="outset" w:sz="6" w:space="0" w:color="auto"/>
              <w:bottom w:val="outset" w:sz="6" w:space="0" w:color="auto"/>
              <w:right w:val="outset" w:sz="6" w:space="0" w:color="auto"/>
            </w:tcBorders>
            <w:vAlign w:val="center"/>
          </w:tcPr>
          <w:p w14:paraId="4899C0AD"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4D81887C"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tcPr>
          <w:p w14:paraId="7D5DDC81"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r>
      <w:tr w:rsidR="00A000CE" w:rsidRPr="008B7F6D" w14:paraId="4B49E033"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1D25E1FB" w14:textId="77777777" w:rsidR="00BD0DF0" w:rsidRPr="008B7F6D" w:rsidRDefault="00BD0DF0" w:rsidP="00BD0DF0">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2.3. pašvaldību budžets</w:t>
            </w:r>
          </w:p>
        </w:tc>
        <w:tc>
          <w:tcPr>
            <w:tcW w:w="506" w:type="pct"/>
            <w:tcBorders>
              <w:top w:val="outset" w:sz="6" w:space="0" w:color="auto"/>
              <w:left w:val="outset" w:sz="6" w:space="0" w:color="auto"/>
              <w:bottom w:val="outset" w:sz="6" w:space="0" w:color="auto"/>
              <w:right w:val="outset" w:sz="6" w:space="0" w:color="auto"/>
            </w:tcBorders>
            <w:vAlign w:val="center"/>
          </w:tcPr>
          <w:p w14:paraId="515B251C"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30AB9597"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13" w:type="pct"/>
            <w:tcBorders>
              <w:top w:val="outset" w:sz="6" w:space="0" w:color="auto"/>
              <w:left w:val="outset" w:sz="6" w:space="0" w:color="auto"/>
              <w:bottom w:val="outset" w:sz="6" w:space="0" w:color="auto"/>
              <w:right w:val="outset" w:sz="6" w:space="0" w:color="auto"/>
            </w:tcBorders>
            <w:vAlign w:val="center"/>
          </w:tcPr>
          <w:p w14:paraId="41968358"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687" w:type="pct"/>
            <w:tcBorders>
              <w:top w:val="outset" w:sz="6" w:space="0" w:color="auto"/>
              <w:left w:val="outset" w:sz="6" w:space="0" w:color="auto"/>
              <w:bottom w:val="outset" w:sz="6" w:space="0" w:color="auto"/>
              <w:right w:val="outset" w:sz="6" w:space="0" w:color="auto"/>
            </w:tcBorders>
            <w:vAlign w:val="center"/>
          </w:tcPr>
          <w:p w14:paraId="4639975E"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06" w:type="pct"/>
            <w:tcBorders>
              <w:top w:val="outset" w:sz="6" w:space="0" w:color="auto"/>
              <w:left w:val="outset" w:sz="6" w:space="0" w:color="auto"/>
              <w:bottom w:val="outset" w:sz="6" w:space="0" w:color="auto"/>
              <w:right w:val="outset" w:sz="6" w:space="0" w:color="auto"/>
            </w:tcBorders>
            <w:vAlign w:val="center"/>
          </w:tcPr>
          <w:p w14:paraId="2A70C72B"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65" w:type="pct"/>
            <w:tcBorders>
              <w:top w:val="outset" w:sz="6" w:space="0" w:color="auto"/>
              <w:left w:val="outset" w:sz="6" w:space="0" w:color="auto"/>
              <w:bottom w:val="outset" w:sz="6" w:space="0" w:color="auto"/>
              <w:right w:val="outset" w:sz="6" w:space="0" w:color="auto"/>
            </w:tcBorders>
            <w:vAlign w:val="center"/>
          </w:tcPr>
          <w:p w14:paraId="4395842D"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708" w:type="pct"/>
            <w:tcBorders>
              <w:top w:val="outset" w:sz="6" w:space="0" w:color="auto"/>
              <w:left w:val="outset" w:sz="6" w:space="0" w:color="auto"/>
              <w:bottom w:val="outset" w:sz="6" w:space="0" w:color="auto"/>
              <w:right w:val="outset" w:sz="6" w:space="0" w:color="auto"/>
            </w:tcBorders>
            <w:vAlign w:val="center"/>
          </w:tcPr>
          <w:p w14:paraId="59FC9E18" w14:textId="77777777" w:rsidR="00BD0DF0" w:rsidRPr="008B7F6D" w:rsidRDefault="00BD0DF0" w:rsidP="00BD0DF0">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r>
      <w:tr w:rsidR="00A000CE" w:rsidRPr="008B7F6D" w14:paraId="13536179"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6C2AEA6D"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3. Finansiālā ietekme</w:t>
            </w:r>
          </w:p>
        </w:tc>
        <w:tc>
          <w:tcPr>
            <w:tcW w:w="506" w:type="pct"/>
            <w:tcBorders>
              <w:top w:val="outset" w:sz="6" w:space="0" w:color="auto"/>
              <w:left w:val="outset" w:sz="6" w:space="0" w:color="auto"/>
              <w:bottom w:val="outset" w:sz="6" w:space="0" w:color="auto"/>
              <w:right w:val="outset" w:sz="6" w:space="0" w:color="auto"/>
            </w:tcBorders>
            <w:vAlign w:val="center"/>
          </w:tcPr>
          <w:p w14:paraId="45705900" w14:textId="77777777" w:rsidR="00DA3FA7" w:rsidRPr="008B7F6D" w:rsidRDefault="00DA3FA7" w:rsidP="00DA3FA7">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 xml:space="preserve">-1 494 000 </w:t>
            </w:r>
          </w:p>
        </w:tc>
        <w:tc>
          <w:tcPr>
            <w:tcW w:w="567" w:type="pct"/>
            <w:tcBorders>
              <w:top w:val="outset" w:sz="6" w:space="0" w:color="auto"/>
              <w:left w:val="outset" w:sz="6" w:space="0" w:color="auto"/>
              <w:bottom w:val="outset" w:sz="6" w:space="0" w:color="auto"/>
              <w:right w:val="outset" w:sz="6" w:space="0" w:color="auto"/>
            </w:tcBorders>
            <w:vAlign w:val="center"/>
          </w:tcPr>
          <w:p w14:paraId="02132328" w14:textId="77777777" w:rsidR="00DA3FA7" w:rsidRPr="008B7F6D" w:rsidRDefault="00DA3FA7" w:rsidP="00DA3FA7">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-1 045 800</w:t>
            </w:r>
          </w:p>
        </w:tc>
        <w:tc>
          <w:tcPr>
            <w:tcW w:w="513" w:type="pct"/>
            <w:tcBorders>
              <w:top w:val="outset" w:sz="6" w:space="0" w:color="auto"/>
              <w:left w:val="outset" w:sz="6" w:space="0" w:color="auto"/>
              <w:bottom w:val="outset" w:sz="6" w:space="0" w:color="auto"/>
              <w:right w:val="outset" w:sz="6" w:space="0" w:color="auto"/>
            </w:tcBorders>
            <w:vAlign w:val="center"/>
          </w:tcPr>
          <w:p w14:paraId="333853F4" w14:textId="77777777" w:rsidR="00DA3FA7" w:rsidRPr="008B7F6D" w:rsidRDefault="00DA3FA7" w:rsidP="00DA3FA7">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 xml:space="preserve">-5 570 216 </w:t>
            </w:r>
          </w:p>
        </w:tc>
        <w:tc>
          <w:tcPr>
            <w:tcW w:w="687" w:type="pct"/>
            <w:tcBorders>
              <w:top w:val="outset" w:sz="6" w:space="0" w:color="auto"/>
              <w:left w:val="outset" w:sz="6" w:space="0" w:color="auto"/>
              <w:bottom w:val="outset" w:sz="6" w:space="0" w:color="auto"/>
              <w:right w:val="outset" w:sz="6" w:space="0" w:color="auto"/>
            </w:tcBorders>
            <w:vAlign w:val="center"/>
          </w:tcPr>
          <w:p w14:paraId="12F987BF" w14:textId="77777777" w:rsidR="00DA3FA7" w:rsidRPr="008B7F6D" w:rsidRDefault="00DA3FA7" w:rsidP="00DA3FA7">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2 203 165</w:t>
            </w:r>
          </w:p>
        </w:tc>
        <w:tc>
          <w:tcPr>
            <w:tcW w:w="506" w:type="pct"/>
            <w:tcBorders>
              <w:top w:val="outset" w:sz="6" w:space="0" w:color="auto"/>
              <w:left w:val="outset" w:sz="6" w:space="0" w:color="auto"/>
              <w:bottom w:val="outset" w:sz="6" w:space="0" w:color="auto"/>
              <w:right w:val="outset" w:sz="6" w:space="0" w:color="auto"/>
            </w:tcBorders>
            <w:vAlign w:val="center"/>
          </w:tcPr>
          <w:p w14:paraId="09D9552D" w14:textId="77777777" w:rsidR="00DA3FA7" w:rsidRPr="005E70C0" w:rsidRDefault="00DA3FA7" w:rsidP="00DA3FA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-5 322 523  </w:t>
            </w:r>
          </w:p>
        </w:tc>
        <w:tc>
          <w:tcPr>
            <w:tcW w:w="565" w:type="pct"/>
            <w:tcBorders>
              <w:top w:val="outset" w:sz="6" w:space="0" w:color="auto"/>
              <w:left w:val="outset" w:sz="6" w:space="0" w:color="auto"/>
              <w:bottom w:val="outset" w:sz="6" w:space="0" w:color="auto"/>
              <w:right w:val="outset" w:sz="6" w:space="0" w:color="auto"/>
            </w:tcBorders>
            <w:vAlign w:val="center"/>
          </w:tcPr>
          <w:p w14:paraId="71A547F5" w14:textId="77777777" w:rsidR="00DA3FA7" w:rsidRPr="008B7F6D" w:rsidRDefault="00DA3FA7" w:rsidP="00DA3FA7">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467 023</w:t>
            </w:r>
          </w:p>
        </w:tc>
        <w:tc>
          <w:tcPr>
            <w:tcW w:w="708" w:type="pct"/>
            <w:tcBorders>
              <w:top w:val="outset" w:sz="6" w:space="0" w:color="auto"/>
              <w:left w:val="outset" w:sz="6" w:space="0" w:color="auto"/>
              <w:bottom w:val="outset" w:sz="6" w:space="0" w:color="auto"/>
              <w:right w:val="outset" w:sz="6" w:space="0" w:color="auto"/>
            </w:tcBorders>
            <w:vAlign w:val="center"/>
          </w:tcPr>
          <w:p w14:paraId="6CC66D13" w14:textId="5CC14CBF" w:rsidR="00DA3FA7" w:rsidRPr="008B7F6D" w:rsidRDefault="00B3311D" w:rsidP="00DA3FA7">
            <w:pPr>
              <w:spacing w:after="0" w:line="240" w:lineRule="auto"/>
              <w:rPr>
                <w:rFonts w:ascii="Times New Roman" w:eastAsia="Times New Roman" w:hAnsi="Times New Roman"/>
                <w:color w:val="000000"/>
                <w:sz w:val="20"/>
                <w:szCs w:val="20"/>
              </w:rPr>
            </w:pPr>
            <w:r w:rsidRPr="00B3311D">
              <w:rPr>
                <w:rFonts w:ascii="Times New Roman" w:eastAsia="Times New Roman" w:hAnsi="Times New Roman"/>
                <w:color w:val="000000"/>
                <w:sz w:val="20"/>
                <w:szCs w:val="20"/>
              </w:rPr>
              <w:t>2 472 516</w:t>
            </w:r>
            <w:r>
              <w:t xml:space="preserve"> </w:t>
            </w:r>
          </w:p>
        </w:tc>
      </w:tr>
      <w:tr w:rsidR="00A000CE" w:rsidRPr="008B7F6D" w14:paraId="0DC85AA6"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00CF2445"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3.1. valsts pamatbudžets</w:t>
            </w:r>
          </w:p>
        </w:tc>
        <w:tc>
          <w:tcPr>
            <w:tcW w:w="506" w:type="pct"/>
            <w:tcBorders>
              <w:top w:val="outset" w:sz="6" w:space="0" w:color="auto"/>
              <w:left w:val="outset" w:sz="6" w:space="0" w:color="auto"/>
              <w:bottom w:val="outset" w:sz="6" w:space="0" w:color="auto"/>
              <w:right w:val="outset" w:sz="6" w:space="0" w:color="auto"/>
            </w:tcBorders>
            <w:vAlign w:val="center"/>
          </w:tcPr>
          <w:p w14:paraId="25AF1F38" w14:textId="77777777" w:rsidR="00DA3FA7" w:rsidRPr="008B7F6D" w:rsidRDefault="00DA3FA7" w:rsidP="00DA3FA7">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 xml:space="preserve">-1 494 000 </w:t>
            </w:r>
          </w:p>
        </w:tc>
        <w:tc>
          <w:tcPr>
            <w:tcW w:w="567" w:type="pct"/>
            <w:tcBorders>
              <w:top w:val="outset" w:sz="6" w:space="0" w:color="auto"/>
              <w:left w:val="outset" w:sz="6" w:space="0" w:color="auto"/>
              <w:bottom w:val="outset" w:sz="6" w:space="0" w:color="auto"/>
              <w:right w:val="outset" w:sz="6" w:space="0" w:color="auto"/>
            </w:tcBorders>
            <w:vAlign w:val="center"/>
          </w:tcPr>
          <w:p w14:paraId="4A4D6B01" w14:textId="77777777" w:rsidR="00DA3FA7" w:rsidRPr="008B7F6D" w:rsidRDefault="00DA3FA7" w:rsidP="00DA3FA7">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-1 045 800</w:t>
            </w:r>
          </w:p>
        </w:tc>
        <w:tc>
          <w:tcPr>
            <w:tcW w:w="513" w:type="pct"/>
            <w:tcBorders>
              <w:top w:val="outset" w:sz="6" w:space="0" w:color="auto"/>
              <w:left w:val="outset" w:sz="6" w:space="0" w:color="auto"/>
              <w:bottom w:val="outset" w:sz="6" w:space="0" w:color="auto"/>
              <w:right w:val="outset" w:sz="6" w:space="0" w:color="auto"/>
            </w:tcBorders>
            <w:vAlign w:val="center"/>
          </w:tcPr>
          <w:p w14:paraId="170EEB88" w14:textId="77777777" w:rsidR="00DA3FA7" w:rsidRPr="005E70C0" w:rsidRDefault="00DA3FA7" w:rsidP="00DA3FA7">
            <w:pPr>
              <w:spacing w:after="0" w:line="240" w:lineRule="auto"/>
              <w:rPr>
                <w:rFonts w:ascii="Times New Roman" w:hAnsi="Times New Roman"/>
                <w:color w:val="000000"/>
                <w:sz w:val="20"/>
                <w:szCs w:val="20"/>
              </w:rPr>
            </w:pPr>
            <w:r>
              <w:rPr>
                <w:rFonts w:ascii="Times New Roman" w:eastAsia="Times New Roman" w:hAnsi="Times New Roman"/>
                <w:iCs/>
                <w:sz w:val="20"/>
                <w:szCs w:val="20"/>
                <w:lang w:eastAsia="lv-LV"/>
              </w:rPr>
              <w:t xml:space="preserve">-5 570 216 </w:t>
            </w:r>
          </w:p>
        </w:tc>
        <w:tc>
          <w:tcPr>
            <w:tcW w:w="687" w:type="pct"/>
            <w:tcBorders>
              <w:top w:val="outset" w:sz="6" w:space="0" w:color="auto"/>
              <w:left w:val="outset" w:sz="6" w:space="0" w:color="auto"/>
              <w:bottom w:val="outset" w:sz="6" w:space="0" w:color="auto"/>
              <w:right w:val="outset" w:sz="6" w:space="0" w:color="auto"/>
            </w:tcBorders>
            <w:vAlign w:val="center"/>
          </w:tcPr>
          <w:p w14:paraId="326E7A41" w14:textId="77777777" w:rsidR="00DA3FA7" w:rsidRPr="008B7F6D" w:rsidRDefault="00DA3FA7" w:rsidP="00DA3FA7">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2 203 165</w:t>
            </w:r>
          </w:p>
        </w:tc>
        <w:tc>
          <w:tcPr>
            <w:tcW w:w="506" w:type="pct"/>
            <w:tcBorders>
              <w:top w:val="outset" w:sz="6" w:space="0" w:color="auto"/>
              <w:left w:val="outset" w:sz="6" w:space="0" w:color="auto"/>
              <w:bottom w:val="outset" w:sz="6" w:space="0" w:color="auto"/>
              <w:right w:val="outset" w:sz="6" w:space="0" w:color="auto"/>
            </w:tcBorders>
            <w:vAlign w:val="center"/>
          </w:tcPr>
          <w:p w14:paraId="5354CBC8" w14:textId="77777777" w:rsidR="00DA3FA7" w:rsidRPr="005E70C0" w:rsidRDefault="00DA3FA7" w:rsidP="00DA3FA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-5 322 523  </w:t>
            </w:r>
          </w:p>
        </w:tc>
        <w:tc>
          <w:tcPr>
            <w:tcW w:w="565" w:type="pct"/>
            <w:tcBorders>
              <w:top w:val="outset" w:sz="6" w:space="0" w:color="auto"/>
              <w:left w:val="outset" w:sz="6" w:space="0" w:color="auto"/>
              <w:bottom w:val="outset" w:sz="6" w:space="0" w:color="auto"/>
              <w:right w:val="outset" w:sz="6" w:space="0" w:color="auto"/>
            </w:tcBorders>
            <w:vAlign w:val="center"/>
          </w:tcPr>
          <w:p w14:paraId="771A8C06" w14:textId="77777777" w:rsidR="00DA3FA7" w:rsidRPr="008B7F6D" w:rsidRDefault="00DA3FA7" w:rsidP="00DA3FA7">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467 023</w:t>
            </w:r>
          </w:p>
        </w:tc>
        <w:tc>
          <w:tcPr>
            <w:tcW w:w="708" w:type="pct"/>
            <w:tcBorders>
              <w:top w:val="outset" w:sz="6" w:space="0" w:color="auto"/>
              <w:left w:val="outset" w:sz="6" w:space="0" w:color="auto"/>
              <w:bottom w:val="outset" w:sz="6" w:space="0" w:color="auto"/>
              <w:right w:val="outset" w:sz="6" w:space="0" w:color="auto"/>
            </w:tcBorders>
            <w:vAlign w:val="center"/>
          </w:tcPr>
          <w:p w14:paraId="507AB040" w14:textId="7EAA1453" w:rsidR="00DA3FA7" w:rsidRPr="008B7F6D" w:rsidRDefault="00B3311D" w:rsidP="00DA3FA7">
            <w:pPr>
              <w:spacing w:after="0" w:line="240" w:lineRule="auto"/>
              <w:rPr>
                <w:rFonts w:ascii="Times New Roman" w:eastAsia="Times New Roman" w:hAnsi="Times New Roman"/>
                <w:iCs/>
                <w:sz w:val="20"/>
                <w:szCs w:val="20"/>
                <w:lang w:eastAsia="lv-LV"/>
              </w:rPr>
            </w:pPr>
            <w:r w:rsidRPr="00B3311D">
              <w:rPr>
                <w:rFonts w:ascii="Times New Roman" w:eastAsia="Times New Roman" w:hAnsi="Times New Roman"/>
                <w:color w:val="000000"/>
                <w:sz w:val="20"/>
                <w:szCs w:val="20"/>
              </w:rPr>
              <w:t xml:space="preserve">2 472 516 </w:t>
            </w:r>
          </w:p>
        </w:tc>
      </w:tr>
      <w:tr w:rsidR="00A000CE" w:rsidRPr="008B7F6D" w14:paraId="03CE39D6"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5A4A4C26"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3.2. speciālais budžets</w:t>
            </w:r>
          </w:p>
        </w:tc>
        <w:tc>
          <w:tcPr>
            <w:tcW w:w="506" w:type="pct"/>
            <w:tcBorders>
              <w:top w:val="outset" w:sz="6" w:space="0" w:color="auto"/>
              <w:left w:val="outset" w:sz="6" w:space="0" w:color="auto"/>
              <w:bottom w:val="outset" w:sz="6" w:space="0" w:color="auto"/>
              <w:right w:val="outset" w:sz="6" w:space="0" w:color="auto"/>
            </w:tcBorders>
            <w:vAlign w:val="center"/>
          </w:tcPr>
          <w:p w14:paraId="6F583055"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2543279D"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tcPr>
          <w:p w14:paraId="1C5379E5"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687" w:type="pct"/>
            <w:tcBorders>
              <w:top w:val="outset" w:sz="6" w:space="0" w:color="auto"/>
              <w:left w:val="outset" w:sz="6" w:space="0" w:color="auto"/>
              <w:bottom w:val="outset" w:sz="6" w:space="0" w:color="auto"/>
              <w:right w:val="outset" w:sz="6" w:space="0" w:color="auto"/>
            </w:tcBorders>
            <w:vAlign w:val="center"/>
          </w:tcPr>
          <w:p w14:paraId="49780116"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6" w:type="pct"/>
            <w:tcBorders>
              <w:top w:val="outset" w:sz="6" w:space="0" w:color="auto"/>
              <w:left w:val="outset" w:sz="6" w:space="0" w:color="auto"/>
              <w:bottom w:val="outset" w:sz="6" w:space="0" w:color="auto"/>
              <w:right w:val="outset" w:sz="6" w:space="0" w:color="auto"/>
            </w:tcBorders>
            <w:vAlign w:val="center"/>
          </w:tcPr>
          <w:p w14:paraId="1BCE79FE"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5B2AC64F"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tcPr>
          <w:p w14:paraId="1306B804"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r>
      <w:tr w:rsidR="00A000CE" w:rsidRPr="008B7F6D" w14:paraId="4AF98587"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198D8C0E"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lastRenderedPageBreak/>
              <w:t>3.3. pašvaldību budžets</w:t>
            </w:r>
          </w:p>
        </w:tc>
        <w:tc>
          <w:tcPr>
            <w:tcW w:w="506" w:type="pct"/>
            <w:tcBorders>
              <w:top w:val="outset" w:sz="6" w:space="0" w:color="auto"/>
              <w:left w:val="outset" w:sz="6" w:space="0" w:color="auto"/>
              <w:bottom w:val="outset" w:sz="6" w:space="0" w:color="auto"/>
              <w:right w:val="outset" w:sz="6" w:space="0" w:color="auto"/>
            </w:tcBorders>
            <w:vAlign w:val="center"/>
          </w:tcPr>
          <w:p w14:paraId="6642A93C"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26634CD3"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tcPr>
          <w:p w14:paraId="4A86EEF4"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687" w:type="pct"/>
            <w:tcBorders>
              <w:top w:val="outset" w:sz="6" w:space="0" w:color="auto"/>
              <w:left w:val="outset" w:sz="6" w:space="0" w:color="auto"/>
              <w:bottom w:val="outset" w:sz="6" w:space="0" w:color="auto"/>
              <w:right w:val="outset" w:sz="6" w:space="0" w:color="auto"/>
            </w:tcBorders>
            <w:vAlign w:val="center"/>
          </w:tcPr>
          <w:p w14:paraId="3589D83D"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6" w:type="pct"/>
            <w:tcBorders>
              <w:top w:val="outset" w:sz="6" w:space="0" w:color="auto"/>
              <w:left w:val="outset" w:sz="6" w:space="0" w:color="auto"/>
              <w:bottom w:val="outset" w:sz="6" w:space="0" w:color="auto"/>
              <w:right w:val="outset" w:sz="6" w:space="0" w:color="auto"/>
            </w:tcBorders>
            <w:vAlign w:val="center"/>
          </w:tcPr>
          <w:p w14:paraId="04396E96"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A541C7A"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tcPr>
          <w:p w14:paraId="77D53FB2"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r>
      <w:tr w:rsidR="00A000CE" w:rsidRPr="008B7F6D" w14:paraId="3E501044"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61845B3E"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4. Finanšu līdzekļi papildu izdevumu finansēšanai (kompensējošu izdevumu samazinājumu norāda ar "+" zīmi)</w:t>
            </w:r>
          </w:p>
        </w:tc>
        <w:tc>
          <w:tcPr>
            <w:tcW w:w="506" w:type="pct"/>
            <w:tcBorders>
              <w:top w:val="outset" w:sz="6" w:space="0" w:color="auto"/>
              <w:left w:val="outset" w:sz="6" w:space="0" w:color="auto"/>
              <w:bottom w:val="outset" w:sz="6" w:space="0" w:color="auto"/>
              <w:right w:val="outset" w:sz="6" w:space="0" w:color="auto"/>
            </w:tcBorders>
            <w:vAlign w:val="center"/>
            <w:hideMark/>
          </w:tcPr>
          <w:p w14:paraId="2DAD3324"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688FA8D8"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6A4D4C38"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X</w:t>
            </w:r>
          </w:p>
        </w:tc>
        <w:tc>
          <w:tcPr>
            <w:tcW w:w="687" w:type="pct"/>
            <w:tcBorders>
              <w:top w:val="outset" w:sz="6" w:space="0" w:color="auto"/>
              <w:left w:val="outset" w:sz="6" w:space="0" w:color="auto"/>
              <w:bottom w:val="outset" w:sz="6" w:space="0" w:color="auto"/>
              <w:right w:val="outset" w:sz="6" w:space="0" w:color="auto"/>
            </w:tcBorders>
            <w:vAlign w:val="center"/>
            <w:hideMark/>
          </w:tcPr>
          <w:p w14:paraId="3271F3CF"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6" w:type="pct"/>
            <w:tcBorders>
              <w:top w:val="outset" w:sz="6" w:space="0" w:color="auto"/>
              <w:left w:val="outset" w:sz="6" w:space="0" w:color="auto"/>
              <w:bottom w:val="outset" w:sz="6" w:space="0" w:color="auto"/>
              <w:right w:val="outset" w:sz="6" w:space="0" w:color="auto"/>
            </w:tcBorders>
            <w:vAlign w:val="center"/>
            <w:hideMark/>
          </w:tcPr>
          <w:p w14:paraId="58A32284"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05700563"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tcPr>
          <w:p w14:paraId="358B5BDD"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r>
      <w:tr w:rsidR="00A000CE" w:rsidRPr="008B7F6D" w14:paraId="6F2C5671"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208CD885"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5. Precizēta finansiālā ietekme</w:t>
            </w:r>
          </w:p>
        </w:tc>
        <w:tc>
          <w:tcPr>
            <w:tcW w:w="506" w:type="pct"/>
            <w:vMerge w:val="restart"/>
            <w:tcBorders>
              <w:top w:val="outset" w:sz="6" w:space="0" w:color="auto"/>
              <w:left w:val="outset" w:sz="6" w:space="0" w:color="auto"/>
              <w:bottom w:val="outset" w:sz="6" w:space="0" w:color="auto"/>
              <w:right w:val="outset" w:sz="6" w:space="0" w:color="auto"/>
            </w:tcBorders>
            <w:vAlign w:val="center"/>
            <w:hideMark/>
          </w:tcPr>
          <w:p w14:paraId="565B3BA9"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050C97F7"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4F2EA2D7"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4B29F037"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22F14D37"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1E2C0BA7"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tcPr>
          <w:p w14:paraId="1AC7C2E3"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7C8C414C"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2BB201B6"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66F87BC1"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65B096BE"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4293EBFD"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3FD11124"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X</w:t>
            </w:r>
          </w:p>
        </w:tc>
        <w:tc>
          <w:tcPr>
            <w:tcW w:w="687" w:type="pct"/>
            <w:tcBorders>
              <w:top w:val="outset" w:sz="6" w:space="0" w:color="auto"/>
              <w:left w:val="outset" w:sz="6" w:space="0" w:color="auto"/>
              <w:bottom w:val="outset" w:sz="6" w:space="0" w:color="auto"/>
              <w:right w:val="outset" w:sz="6" w:space="0" w:color="auto"/>
            </w:tcBorders>
            <w:vAlign w:val="center"/>
          </w:tcPr>
          <w:p w14:paraId="528B6FD0"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6" w:type="pct"/>
            <w:vMerge w:val="restart"/>
            <w:tcBorders>
              <w:top w:val="outset" w:sz="6" w:space="0" w:color="auto"/>
              <w:left w:val="outset" w:sz="6" w:space="0" w:color="auto"/>
              <w:bottom w:val="outset" w:sz="6" w:space="0" w:color="auto"/>
              <w:right w:val="outset" w:sz="6" w:space="0" w:color="auto"/>
            </w:tcBorders>
            <w:vAlign w:val="center"/>
            <w:hideMark/>
          </w:tcPr>
          <w:p w14:paraId="4A4D6151"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159B49B4"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016739BD"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701EB5BD"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652F08B3"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p>
          <w:p w14:paraId="586D95C4" w14:textId="77777777" w:rsidR="00DA3FA7" w:rsidRPr="008B7F6D" w:rsidRDefault="00DA3FA7" w:rsidP="00DA3FA7">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7F1758C4"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tcPr>
          <w:p w14:paraId="3DB54BDE" w14:textId="77777777" w:rsidR="00DA3FA7" w:rsidRPr="008B7F6D" w:rsidRDefault="00DA3FA7" w:rsidP="00DA3FA7">
            <w:pPr>
              <w:spacing w:after="0" w:line="240" w:lineRule="auto"/>
              <w:rPr>
                <w:rFonts w:ascii="Times New Roman" w:eastAsia="Times New Roman" w:hAnsi="Times New Roman"/>
                <w:iCs/>
                <w:sz w:val="20"/>
                <w:szCs w:val="20"/>
                <w:lang w:eastAsia="lv-LV"/>
              </w:rPr>
            </w:pPr>
            <w:r>
              <w:rPr>
                <w:rFonts w:ascii="Times New Roman" w:hAnsi="Times New Roman"/>
                <w:color w:val="000000"/>
                <w:sz w:val="20"/>
                <w:szCs w:val="20"/>
              </w:rPr>
              <w:t>0</w:t>
            </w:r>
          </w:p>
        </w:tc>
      </w:tr>
      <w:tr w:rsidR="00A000CE" w:rsidRPr="008B7F6D" w14:paraId="1AB41E06"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12FD223E"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5.1. valsts pamatbudžets</w:t>
            </w: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14175B4D" w14:textId="77777777" w:rsidR="00DA3FA7" w:rsidRPr="008B7F6D" w:rsidRDefault="00DA3FA7" w:rsidP="00DA3FA7">
            <w:pPr>
              <w:spacing w:after="0" w:line="240" w:lineRule="auto"/>
              <w:rPr>
                <w:rFonts w:ascii="Times New Roman" w:eastAsia="Times New Roman" w:hAnsi="Times New Roman"/>
                <w:iCs/>
                <w:sz w:val="20"/>
                <w:szCs w:val="20"/>
                <w:lang w:eastAsia="lv-LV"/>
              </w:rPr>
            </w:pPr>
          </w:p>
        </w:tc>
        <w:tc>
          <w:tcPr>
            <w:tcW w:w="567" w:type="pct"/>
            <w:tcBorders>
              <w:top w:val="outset" w:sz="6" w:space="0" w:color="auto"/>
              <w:left w:val="outset" w:sz="6" w:space="0" w:color="auto"/>
              <w:bottom w:val="outset" w:sz="6" w:space="0" w:color="auto"/>
              <w:right w:val="outset" w:sz="6" w:space="0" w:color="auto"/>
            </w:tcBorders>
            <w:vAlign w:val="center"/>
          </w:tcPr>
          <w:p w14:paraId="5F1643FB"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743AD80F" w14:textId="77777777" w:rsidR="00DA3FA7" w:rsidRPr="008B7F6D" w:rsidRDefault="00DA3FA7" w:rsidP="00DA3FA7">
            <w:pPr>
              <w:spacing w:after="0" w:line="240" w:lineRule="auto"/>
              <w:rPr>
                <w:rFonts w:ascii="Times New Roman" w:eastAsia="Times New Roman" w:hAnsi="Times New Roman"/>
                <w:iCs/>
                <w:sz w:val="20"/>
                <w:szCs w:val="20"/>
                <w:lang w:eastAsia="lv-LV"/>
              </w:rPr>
            </w:pPr>
          </w:p>
        </w:tc>
        <w:tc>
          <w:tcPr>
            <w:tcW w:w="687" w:type="pct"/>
            <w:tcBorders>
              <w:top w:val="outset" w:sz="6" w:space="0" w:color="auto"/>
              <w:left w:val="outset" w:sz="6" w:space="0" w:color="auto"/>
              <w:bottom w:val="outset" w:sz="6" w:space="0" w:color="auto"/>
              <w:right w:val="outset" w:sz="6" w:space="0" w:color="auto"/>
            </w:tcBorders>
            <w:vAlign w:val="center"/>
          </w:tcPr>
          <w:p w14:paraId="107FBC86"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0F702AF0" w14:textId="77777777" w:rsidR="00DA3FA7" w:rsidRPr="008B7F6D" w:rsidRDefault="00DA3FA7" w:rsidP="00DA3FA7">
            <w:pPr>
              <w:spacing w:after="0" w:line="240" w:lineRule="auto"/>
              <w:rPr>
                <w:rFonts w:ascii="Times New Roman" w:eastAsia="Times New Roman" w:hAnsi="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5D2BECE3" w14:textId="77777777" w:rsidR="00DA3FA7" w:rsidRPr="008B7F6D" w:rsidRDefault="00DA3FA7" w:rsidP="00DA3FA7">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tcPr>
          <w:p w14:paraId="792BA70A" w14:textId="77777777" w:rsidR="00DA3FA7" w:rsidRPr="008B7F6D" w:rsidRDefault="00DA3FA7" w:rsidP="00DA3FA7">
            <w:pPr>
              <w:spacing w:after="0" w:line="240" w:lineRule="auto"/>
              <w:rPr>
                <w:rFonts w:ascii="Times New Roman" w:eastAsia="Times New Roman" w:hAnsi="Times New Roman"/>
                <w:iCs/>
                <w:sz w:val="20"/>
                <w:szCs w:val="20"/>
                <w:lang w:eastAsia="lv-LV"/>
              </w:rPr>
            </w:pPr>
            <w:r>
              <w:rPr>
                <w:rFonts w:ascii="Times New Roman" w:hAnsi="Times New Roman"/>
                <w:color w:val="000000"/>
                <w:sz w:val="20"/>
                <w:szCs w:val="20"/>
              </w:rPr>
              <w:t>0</w:t>
            </w:r>
          </w:p>
        </w:tc>
      </w:tr>
      <w:tr w:rsidR="00A000CE" w:rsidRPr="008B7F6D" w14:paraId="37F38DA8"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0AF09B88"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5.2. speciālais budžets</w:t>
            </w: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4B8B7198" w14:textId="77777777" w:rsidR="00DA3FA7" w:rsidRPr="008B7F6D" w:rsidRDefault="00DA3FA7" w:rsidP="00DA3FA7">
            <w:pPr>
              <w:spacing w:after="0" w:line="240" w:lineRule="auto"/>
              <w:rPr>
                <w:rFonts w:ascii="Times New Roman" w:eastAsia="Times New Roman" w:hAnsi="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tcPr>
          <w:p w14:paraId="3F91AF1B"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52F7854F" w14:textId="77777777" w:rsidR="00DA3FA7" w:rsidRPr="008B7F6D" w:rsidRDefault="00DA3FA7" w:rsidP="00DA3FA7">
            <w:pPr>
              <w:spacing w:after="0" w:line="240" w:lineRule="auto"/>
              <w:rPr>
                <w:rFonts w:ascii="Times New Roman" w:eastAsia="Times New Roman" w:hAnsi="Times New Roman"/>
                <w:iCs/>
                <w:sz w:val="24"/>
                <w:szCs w:val="24"/>
                <w:lang w:eastAsia="lv-LV"/>
              </w:rPr>
            </w:pPr>
          </w:p>
        </w:tc>
        <w:tc>
          <w:tcPr>
            <w:tcW w:w="687" w:type="pct"/>
            <w:tcBorders>
              <w:top w:val="outset" w:sz="6" w:space="0" w:color="auto"/>
              <w:left w:val="outset" w:sz="6" w:space="0" w:color="auto"/>
              <w:bottom w:val="outset" w:sz="6" w:space="0" w:color="auto"/>
              <w:right w:val="outset" w:sz="6" w:space="0" w:color="auto"/>
            </w:tcBorders>
            <w:vAlign w:val="center"/>
          </w:tcPr>
          <w:p w14:paraId="7CC2141E"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3C8ABCBB" w14:textId="77777777" w:rsidR="00DA3FA7" w:rsidRPr="008B7F6D" w:rsidRDefault="00DA3FA7" w:rsidP="00DA3FA7">
            <w:pPr>
              <w:spacing w:after="0" w:line="240" w:lineRule="auto"/>
              <w:rPr>
                <w:rFonts w:ascii="Times New Roman" w:eastAsia="Times New Roman" w:hAnsi="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31773943"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tcPr>
          <w:p w14:paraId="45DC8553"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r>
      <w:tr w:rsidR="00A000CE" w:rsidRPr="008B7F6D" w14:paraId="2AADA614"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158E2AF8"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5.3. pašvaldību budžets</w:t>
            </w: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0A1323C5" w14:textId="77777777" w:rsidR="00DA3FA7" w:rsidRPr="008B7F6D" w:rsidRDefault="00DA3FA7" w:rsidP="00DA3FA7">
            <w:pPr>
              <w:spacing w:after="0" w:line="240" w:lineRule="auto"/>
              <w:rPr>
                <w:rFonts w:ascii="Times New Roman" w:eastAsia="Times New Roman" w:hAnsi="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tcPr>
          <w:p w14:paraId="1B4FEE79"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647C4A62" w14:textId="77777777" w:rsidR="00DA3FA7" w:rsidRPr="008B7F6D" w:rsidRDefault="00DA3FA7" w:rsidP="00DA3FA7">
            <w:pPr>
              <w:spacing w:after="0" w:line="240" w:lineRule="auto"/>
              <w:rPr>
                <w:rFonts w:ascii="Times New Roman" w:eastAsia="Times New Roman" w:hAnsi="Times New Roman"/>
                <w:iCs/>
                <w:sz w:val="24"/>
                <w:szCs w:val="24"/>
                <w:lang w:eastAsia="lv-LV"/>
              </w:rPr>
            </w:pPr>
          </w:p>
        </w:tc>
        <w:tc>
          <w:tcPr>
            <w:tcW w:w="687" w:type="pct"/>
            <w:tcBorders>
              <w:top w:val="outset" w:sz="6" w:space="0" w:color="auto"/>
              <w:left w:val="outset" w:sz="6" w:space="0" w:color="auto"/>
              <w:bottom w:val="outset" w:sz="6" w:space="0" w:color="auto"/>
              <w:right w:val="outset" w:sz="6" w:space="0" w:color="auto"/>
            </w:tcBorders>
            <w:vAlign w:val="center"/>
          </w:tcPr>
          <w:p w14:paraId="0F3E74CF"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6A13EF8E" w14:textId="77777777" w:rsidR="00DA3FA7" w:rsidRPr="008B7F6D" w:rsidRDefault="00DA3FA7" w:rsidP="00DA3FA7">
            <w:pPr>
              <w:spacing w:after="0" w:line="240" w:lineRule="auto"/>
              <w:rPr>
                <w:rFonts w:ascii="Times New Roman" w:eastAsia="Times New Roman" w:hAnsi="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19DA09EF"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tcPr>
          <w:p w14:paraId="5CBBC627"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r>
      <w:tr w:rsidR="00DA3FA7" w:rsidRPr="008B7F6D" w14:paraId="0B9432D5"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62C913EC"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4145" w:type="pct"/>
            <w:gridSpan w:val="7"/>
            <w:vMerge w:val="restart"/>
            <w:tcBorders>
              <w:top w:val="outset" w:sz="6" w:space="0" w:color="auto"/>
              <w:left w:val="outset" w:sz="6" w:space="0" w:color="auto"/>
              <w:bottom w:val="outset" w:sz="6" w:space="0" w:color="auto"/>
              <w:right w:val="outset" w:sz="6" w:space="0" w:color="auto"/>
            </w:tcBorders>
            <w:vAlign w:val="center"/>
          </w:tcPr>
          <w:p w14:paraId="555E4C10" w14:textId="4318E7CB" w:rsidR="0061081E" w:rsidRDefault="0061081E" w:rsidP="0061081E">
            <w:pPr>
              <w:spacing w:after="120"/>
              <w:ind w:left="142" w:right="130"/>
              <w:jc w:val="both"/>
              <w:rPr>
                <w:rFonts w:ascii="Times New Roman" w:eastAsiaTheme="minorHAnsi" w:hAnsi="Times New Roman"/>
                <w:sz w:val="24"/>
                <w:szCs w:val="24"/>
              </w:rPr>
            </w:pPr>
            <w:bookmarkStart w:id="2" w:name="p10"/>
            <w:bookmarkStart w:id="3" w:name="p-650879"/>
            <w:bookmarkEnd w:id="2"/>
            <w:bookmarkEnd w:id="3"/>
            <w:r>
              <w:rPr>
                <w:rFonts w:ascii="Times New Roman" w:hAnsi="Times New Roman"/>
                <w:sz w:val="24"/>
                <w:szCs w:val="24"/>
              </w:rPr>
              <w:t xml:space="preserve">Saskaņā ar likumu </w:t>
            </w:r>
            <w:r w:rsidR="001F7267">
              <w:rPr>
                <w:rFonts w:ascii="Times New Roman" w:hAnsi="Times New Roman"/>
                <w:sz w:val="24"/>
                <w:szCs w:val="24"/>
              </w:rPr>
              <w:t>“P</w:t>
            </w:r>
            <w:r>
              <w:rPr>
                <w:rFonts w:ascii="Times New Roman" w:hAnsi="Times New Roman"/>
                <w:sz w:val="24"/>
                <w:szCs w:val="24"/>
              </w:rPr>
              <w:t>ar valsts budžetu 2019.gadam</w:t>
            </w:r>
            <w:r w:rsidR="001F7267">
              <w:rPr>
                <w:rFonts w:ascii="Times New Roman" w:hAnsi="Times New Roman"/>
                <w:sz w:val="24"/>
                <w:szCs w:val="24"/>
              </w:rPr>
              <w:t>”</w:t>
            </w:r>
            <w:r>
              <w:rPr>
                <w:rFonts w:ascii="Times New Roman" w:hAnsi="Times New Roman"/>
                <w:sz w:val="24"/>
                <w:szCs w:val="24"/>
              </w:rPr>
              <w:t xml:space="preserve"> </w:t>
            </w:r>
            <w:r w:rsidR="001F7267">
              <w:rPr>
                <w:rFonts w:ascii="Times New Roman" w:hAnsi="Times New Roman"/>
                <w:sz w:val="24"/>
                <w:szCs w:val="24"/>
              </w:rPr>
              <w:t xml:space="preserve">Finanšu ministrijas budžeta apakšprogrammas 62.08.00 “Eiropas reģionālās attīstības fonda (ERAF) avansa maksājumi un atmaksas finansējuma saņēmējiem (2014-2020)” ilgtermiņa saistībās plānotais </w:t>
            </w:r>
            <w:r>
              <w:rPr>
                <w:rFonts w:ascii="Times New Roman" w:hAnsi="Times New Roman"/>
                <w:sz w:val="24"/>
                <w:szCs w:val="24"/>
              </w:rPr>
              <w:t xml:space="preserve">finansējums </w:t>
            </w:r>
            <w:r w:rsidR="001F7267">
              <w:rPr>
                <w:rFonts w:ascii="Times New Roman" w:hAnsi="Times New Roman"/>
                <w:sz w:val="24"/>
                <w:szCs w:val="24"/>
              </w:rPr>
              <w:t>4.2.1.1.pasākumam</w:t>
            </w:r>
            <w:r>
              <w:rPr>
                <w:rFonts w:ascii="Times New Roman" w:hAnsi="Times New Roman"/>
                <w:sz w:val="24"/>
                <w:szCs w:val="24"/>
              </w:rPr>
              <w:t>:</w:t>
            </w:r>
          </w:p>
          <w:p w14:paraId="1D98E339" w14:textId="77777777" w:rsidR="0061081E" w:rsidRDefault="0061081E" w:rsidP="0061081E">
            <w:pPr>
              <w:pStyle w:val="ListParagraph"/>
              <w:numPr>
                <w:ilvl w:val="0"/>
                <w:numId w:val="43"/>
              </w:numPr>
              <w:spacing w:after="120" w:line="240" w:lineRule="auto"/>
              <w:ind w:right="130"/>
              <w:jc w:val="both"/>
              <w:rPr>
                <w:rFonts w:ascii="Times New Roman" w:hAnsi="Times New Roman"/>
                <w:sz w:val="24"/>
                <w:szCs w:val="24"/>
              </w:rPr>
            </w:pPr>
            <w:r>
              <w:rPr>
                <w:rFonts w:ascii="Times New Roman" w:hAnsi="Times New Roman"/>
                <w:sz w:val="24"/>
                <w:szCs w:val="24"/>
              </w:rPr>
              <w:t>2019.gadam 10 000 000 EUR (t.sk. ERAF 8 506 000 EUR un valsts budžets 1 494 000 EUR),</w:t>
            </w:r>
          </w:p>
          <w:p w14:paraId="0D51BA48" w14:textId="77777777" w:rsidR="0061081E" w:rsidRDefault="0061081E" w:rsidP="0061081E">
            <w:pPr>
              <w:pStyle w:val="ListParagraph"/>
              <w:numPr>
                <w:ilvl w:val="0"/>
                <w:numId w:val="43"/>
              </w:numPr>
              <w:spacing w:after="120" w:line="240" w:lineRule="auto"/>
              <w:ind w:right="130"/>
              <w:jc w:val="both"/>
              <w:rPr>
                <w:rFonts w:ascii="Times New Roman" w:hAnsi="Times New Roman"/>
                <w:sz w:val="24"/>
                <w:szCs w:val="24"/>
              </w:rPr>
            </w:pPr>
            <w:r>
              <w:rPr>
                <w:rFonts w:ascii="Times New Roman" w:hAnsi="Times New Roman"/>
                <w:sz w:val="24"/>
                <w:szCs w:val="24"/>
              </w:rPr>
              <w:t>2020.gadam 37 122 779 EUR (t.sk. ERAF 31 552 563 EUR un valsts budžets 5 570 216 EUR),</w:t>
            </w:r>
          </w:p>
          <w:p w14:paraId="0184A258" w14:textId="0AC6731A" w:rsidR="0061081E" w:rsidRPr="00A000CE" w:rsidRDefault="0061081E" w:rsidP="00A000CE">
            <w:pPr>
              <w:pStyle w:val="ListParagraph"/>
              <w:numPr>
                <w:ilvl w:val="0"/>
                <w:numId w:val="43"/>
              </w:numPr>
              <w:spacing w:after="120" w:line="240" w:lineRule="auto"/>
              <w:ind w:right="130"/>
              <w:jc w:val="both"/>
              <w:rPr>
                <w:rFonts w:ascii="Times New Roman" w:hAnsi="Times New Roman"/>
                <w:sz w:val="24"/>
                <w:szCs w:val="24"/>
              </w:rPr>
            </w:pPr>
            <w:r w:rsidRPr="00A000CE">
              <w:rPr>
                <w:rFonts w:ascii="Times New Roman" w:hAnsi="Times New Roman"/>
                <w:sz w:val="24"/>
                <w:szCs w:val="24"/>
              </w:rPr>
              <w:t>2021.gadam 35 464 860 EUR (t.sk. ERAF 30 142 337 EUR un valsts budžets 5 322 523 EUR)</w:t>
            </w:r>
            <w:r w:rsidR="00A000CE" w:rsidRPr="00A000CE">
              <w:rPr>
                <w:rFonts w:ascii="Times New Roman" w:hAnsi="Times New Roman"/>
                <w:sz w:val="24"/>
                <w:szCs w:val="24"/>
              </w:rPr>
              <w:t>.</w:t>
            </w:r>
          </w:p>
          <w:p w14:paraId="5854CB4E" w14:textId="2EA69994" w:rsidR="001F7267" w:rsidRDefault="0061081E" w:rsidP="0061081E">
            <w:pPr>
              <w:spacing w:after="120"/>
              <w:ind w:left="142" w:right="130"/>
              <w:jc w:val="both"/>
              <w:rPr>
                <w:rFonts w:ascii="Times New Roman" w:hAnsi="Times New Roman"/>
                <w:sz w:val="24"/>
                <w:szCs w:val="24"/>
              </w:rPr>
            </w:pPr>
            <w:r>
              <w:rPr>
                <w:rFonts w:ascii="Times New Roman" w:hAnsi="Times New Roman"/>
                <w:sz w:val="24"/>
                <w:szCs w:val="24"/>
              </w:rPr>
              <w:t>Atbilstoši aktuālajām Altum prognozēm par plānotajiem maksājumiem</w:t>
            </w:r>
            <w:r w:rsidR="005C087A">
              <w:rPr>
                <w:rFonts w:ascii="Times New Roman" w:hAnsi="Times New Roman"/>
                <w:sz w:val="24"/>
                <w:szCs w:val="24"/>
              </w:rPr>
              <w:t xml:space="preserve"> noslēgtajos līgumos, kā arī ņemot vērā plānoto 10 000 000 EUR pārdali </w:t>
            </w:r>
            <w:r w:rsidR="005C087A" w:rsidRPr="005C087A">
              <w:rPr>
                <w:rFonts w:ascii="Times New Roman" w:hAnsi="Times New Roman"/>
                <w:sz w:val="24"/>
                <w:szCs w:val="24"/>
              </w:rPr>
              <w:t xml:space="preserve">uz </w:t>
            </w:r>
            <w:proofErr w:type="spellStart"/>
            <w:r w:rsidR="005C087A" w:rsidRPr="005C087A">
              <w:rPr>
                <w:rFonts w:ascii="Times New Roman" w:hAnsi="Times New Roman"/>
                <w:sz w:val="24"/>
                <w:szCs w:val="24"/>
              </w:rPr>
              <w:t>granta</w:t>
            </w:r>
            <w:proofErr w:type="spellEnd"/>
            <w:r w:rsidR="005C087A" w:rsidRPr="005C087A">
              <w:rPr>
                <w:rFonts w:ascii="Times New Roman" w:hAnsi="Times New Roman"/>
                <w:sz w:val="24"/>
                <w:szCs w:val="24"/>
              </w:rPr>
              <w:t xml:space="preserve"> daļu</w:t>
            </w:r>
            <w:r w:rsidR="005C087A">
              <w:rPr>
                <w:rFonts w:ascii="Times New Roman" w:hAnsi="Times New Roman"/>
                <w:sz w:val="24"/>
                <w:szCs w:val="24"/>
              </w:rPr>
              <w:t>,</w:t>
            </w:r>
            <w:r w:rsidR="00E45D39">
              <w:rPr>
                <w:rFonts w:ascii="Times New Roman" w:hAnsi="Times New Roman"/>
                <w:sz w:val="24"/>
                <w:szCs w:val="24"/>
              </w:rPr>
              <w:t xml:space="preserve"> nepieciešamais finansējuma apmērs</w:t>
            </w:r>
            <w:r w:rsidR="001F7267">
              <w:rPr>
                <w:rFonts w:ascii="Times New Roman" w:hAnsi="Times New Roman"/>
                <w:sz w:val="24"/>
                <w:szCs w:val="24"/>
              </w:rPr>
              <w:t>:</w:t>
            </w:r>
            <w:r>
              <w:rPr>
                <w:rFonts w:ascii="Times New Roman" w:hAnsi="Times New Roman"/>
                <w:sz w:val="24"/>
                <w:szCs w:val="24"/>
              </w:rPr>
              <w:t xml:space="preserve"> </w:t>
            </w:r>
          </w:p>
          <w:p w14:paraId="48085829" w14:textId="5C2D7A20" w:rsidR="0061081E" w:rsidRPr="005C087A" w:rsidRDefault="0061081E" w:rsidP="005C087A">
            <w:pPr>
              <w:pStyle w:val="ListParagraph"/>
              <w:numPr>
                <w:ilvl w:val="0"/>
                <w:numId w:val="43"/>
              </w:numPr>
              <w:spacing w:after="120"/>
              <w:ind w:right="130"/>
              <w:jc w:val="both"/>
              <w:rPr>
                <w:rFonts w:ascii="Times New Roman" w:hAnsi="Times New Roman"/>
                <w:sz w:val="24"/>
                <w:szCs w:val="24"/>
              </w:rPr>
            </w:pPr>
            <w:r w:rsidRPr="005C087A">
              <w:rPr>
                <w:rFonts w:ascii="Times New Roman" w:hAnsi="Times New Roman"/>
                <w:sz w:val="24"/>
                <w:szCs w:val="24"/>
              </w:rPr>
              <w:t>2019.gad</w:t>
            </w:r>
            <w:r w:rsidR="00E45D39" w:rsidRPr="005C087A">
              <w:rPr>
                <w:rFonts w:ascii="Times New Roman" w:hAnsi="Times New Roman"/>
                <w:sz w:val="24"/>
                <w:szCs w:val="24"/>
              </w:rPr>
              <w:t>am</w:t>
            </w:r>
            <w:r w:rsidRPr="005C087A">
              <w:rPr>
                <w:rFonts w:ascii="Times New Roman" w:hAnsi="Times New Roman"/>
                <w:sz w:val="24"/>
                <w:szCs w:val="24"/>
              </w:rPr>
              <w:t xml:space="preserve"> </w:t>
            </w:r>
            <w:r w:rsidR="00E45D39" w:rsidRPr="005C087A">
              <w:rPr>
                <w:rFonts w:ascii="Times New Roman" w:hAnsi="Times New Roman"/>
                <w:sz w:val="24"/>
                <w:szCs w:val="24"/>
              </w:rPr>
              <w:t>1</w:t>
            </w:r>
            <w:r w:rsidRPr="005C087A">
              <w:rPr>
                <w:rFonts w:ascii="Times New Roman" w:hAnsi="Times New Roman"/>
                <w:sz w:val="24"/>
                <w:szCs w:val="24"/>
              </w:rPr>
              <w:t xml:space="preserve">7 000 000 EUR (t.sk. ERAF </w:t>
            </w:r>
            <w:r w:rsidR="00A000CE" w:rsidRPr="005C087A">
              <w:rPr>
                <w:rFonts w:ascii="Times New Roman" w:hAnsi="Times New Roman"/>
                <w:sz w:val="24"/>
                <w:szCs w:val="24"/>
              </w:rPr>
              <w:t xml:space="preserve">14 460 200 </w:t>
            </w:r>
            <w:r w:rsidRPr="005C087A">
              <w:rPr>
                <w:rFonts w:ascii="Times New Roman" w:hAnsi="Times New Roman"/>
                <w:sz w:val="24"/>
                <w:szCs w:val="24"/>
              </w:rPr>
              <w:t xml:space="preserve">EUR  un valsts budžets </w:t>
            </w:r>
            <w:r w:rsidR="00A000CE" w:rsidRPr="005C087A">
              <w:rPr>
                <w:rFonts w:ascii="Times New Roman" w:hAnsi="Times New Roman"/>
                <w:sz w:val="24"/>
                <w:szCs w:val="24"/>
              </w:rPr>
              <w:t>2 539 800</w:t>
            </w:r>
            <w:r w:rsidRPr="005C087A">
              <w:rPr>
                <w:rFonts w:ascii="Times New Roman" w:hAnsi="Times New Roman"/>
                <w:sz w:val="24"/>
                <w:szCs w:val="24"/>
              </w:rPr>
              <w:t xml:space="preserve"> EUR)</w:t>
            </w:r>
            <w:r w:rsidR="00EF03CA">
              <w:rPr>
                <w:rFonts w:ascii="Times New Roman" w:hAnsi="Times New Roman"/>
                <w:sz w:val="24"/>
                <w:szCs w:val="24"/>
              </w:rPr>
              <w:t>,</w:t>
            </w:r>
          </w:p>
          <w:p w14:paraId="24A9C08E" w14:textId="57CC4ED3" w:rsidR="0061081E" w:rsidRDefault="0061081E" w:rsidP="0061081E">
            <w:pPr>
              <w:pStyle w:val="ListParagraph"/>
              <w:numPr>
                <w:ilvl w:val="0"/>
                <w:numId w:val="43"/>
              </w:numPr>
              <w:spacing w:after="120" w:line="240" w:lineRule="auto"/>
              <w:ind w:right="130"/>
              <w:jc w:val="both"/>
              <w:rPr>
                <w:rFonts w:ascii="Times New Roman" w:hAnsi="Times New Roman"/>
                <w:sz w:val="24"/>
                <w:szCs w:val="24"/>
              </w:rPr>
            </w:pPr>
            <w:r>
              <w:rPr>
                <w:rFonts w:ascii="Times New Roman" w:hAnsi="Times New Roman"/>
                <w:sz w:val="24"/>
                <w:szCs w:val="24"/>
              </w:rPr>
              <w:t xml:space="preserve">2020.gadam </w:t>
            </w:r>
            <w:r w:rsidR="00E45D39">
              <w:rPr>
                <w:rFonts w:ascii="Times New Roman" w:hAnsi="Times New Roman"/>
                <w:sz w:val="24"/>
                <w:szCs w:val="24"/>
              </w:rPr>
              <w:t>22 504 918</w:t>
            </w:r>
            <w:r>
              <w:rPr>
                <w:rFonts w:ascii="Times New Roman" w:hAnsi="Times New Roman"/>
                <w:sz w:val="24"/>
                <w:szCs w:val="24"/>
              </w:rPr>
              <w:t xml:space="preserve"> EUR (t.sk. ERAF</w:t>
            </w:r>
            <w:r w:rsidR="00A000CE">
              <w:rPr>
                <w:rFonts w:ascii="Times New Roman" w:hAnsi="Times New Roman"/>
                <w:sz w:val="24"/>
                <w:szCs w:val="24"/>
              </w:rPr>
              <w:t xml:space="preserve"> 19 137 </w:t>
            </w:r>
            <w:r w:rsidR="007D1034">
              <w:rPr>
                <w:rFonts w:ascii="Times New Roman" w:hAnsi="Times New Roman"/>
                <w:sz w:val="24"/>
                <w:szCs w:val="24"/>
              </w:rPr>
              <w:t>867</w:t>
            </w:r>
            <w:r>
              <w:rPr>
                <w:rFonts w:ascii="Times New Roman" w:hAnsi="Times New Roman"/>
                <w:sz w:val="24"/>
                <w:szCs w:val="24"/>
              </w:rPr>
              <w:t xml:space="preserve">  EUR un valsts budžets </w:t>
            </w:r>
            <w:r w:rsidR="00A000CE">
              <w:rPr>
                <w:rFonts w:ascii="Times New Roman" w:hAnsi="Times New Roman"/>
                <w:sz w:val="24"/>
                <w:szCs w:val="24"/>
              </w:rPr>
              <w:t>3 367 05</w:t>
            </w:r>
            <w:r w:rsidR="007D1034">
              <w:rPr>
                <w:rFonts w:ascii="Times New Roman" w:hAnsi="Times New Roman"/>
                <w:sz w:val="24"/>
                <w:szCs w:val="24"/>
              </w:rPr>
              <w:t>1</w:t>
            </w:r>
            <w:r w:rsidR="00A000CE">
              <w:rPr>
                <w:rFonts w:ascii="Times New Roman" w:hAnsi="Times New Roman"/>
                <w:sz w:val="24"/>
                <w:szCs w:val="24"/>
              </w:rPr>
              <w:t> </w:t>
            </w:r>
            <w:r>
              <w:rPr>
                <w:rFonts w:ascii="Times New Roman" w:hAnsi="Times New Roman"/>
                <w:sz w:val="24"/>
                <w:szCs w:val="24"/>
              </w:rPr>
              <w:t>EUR),</w:t>
            </w:r>
          </w:p>
          <w:p w14:paraId="1F4CC34F" w14:textId="77777777" w:rsidR="0061081E" w:rsidRDefault="0061081E" w:rsidP="0061081E">
            <w:pPr>
              <w:pStyle w:val="ListParagraph"/>
              <w:numPr>
                <w:ilvl w:val="0"/>
                <w:numId w:val="43"/>
              </w:numPr>
              <w:spacing w:after="120" w:line="240" w:lineRule="auto"/>
              <w:ind w:right="130"/>
              <w:jc w:val="both"/>
              <w:rPr>
                <w:rFonts w:ascii="Times New Roman" w:hAnsi="Times New Roman"/>
                <w:sz w:val="24"/>
                <w:szCs w:val="24"/>
              </w:rPr>
            </w:pPr>
            <w:r>
              <w:rPr>
                <w:rFonts w:ascii="Times New Roman" w:hAnsi="Times New Roman"/>
                <w:sz w:val="24"/>
                <w:szCs w:val="24"/>
              </w:rPr>
              <w:t>2021.gadam 32 500 000 EUR (t.sk. ERAF 27 644 500 EUR un valsts budžets 4 855 500 EUR),</w:t>
            </w:r>
          </w:p>
          <w:p w14:paraId="5EED6F43" w14:textId="3F840B12" w:rsidR="0061081E" w:rsidRDefault="0061081E" w:rsidP="005C087A">
            <w:pPr>
              <w:pStyle w:val="ListParagraph"/>
              <w:numPr>
                <w:ilvl w:val="0"/>
                <w:numId w:val="43"/>
              </w:numPr>
              <w:spacing w:after="120" w:line="240" w:lineRule="auto"/>
              <w:ind w:right="130"/>
              <w:jc w:val="both"/>
              <w:rPr>
                <w:rFonts w:ascii="Times New Roman" w:hAnsi="Times New Roman"/>
                <w:sz w:val="24"/>
                <w:szCs w:val="24"/>
              </w:rPr>
            </w:pPr>
            <w:r>
              <w:rPr>
                <w:rFonts w:ascii="Times New Roman" w:hAnsi="Times New Roman"/>
                <w:sz w:val="24"/>
                <w:szCs w:val="24"/>
              </w:rPr>
              <w:t>2022.gadam</w:t>
            </w:r>
            <w:r w:rsidR="005C087A">
              <w:rPr>
                <w:rFonts w:ascii="Times New Roman" w:hAnsi="Times New Roman"/>
                <w:sz w:val="24"/>
                <w:szCs w:val="24"/>
              </w:rPr>
              <w:t xml:space="preserve"> </w:t>
            </w:r>
            <w:r w:rsidR="005C087A" w:rsidRPr="005C087A">
              <w:rPr>
                <w:rFonts w:ascii="Times New Roman" w:hAnsi="Times New Roman"/>
                <w:sz w:val="24"/>
                <w:szCs w:val="24"/>
              </w:rPr>
              <w:t>19 076 352 EUR (t.sk. ERAF 16 226 345 un valsts budžets 2 850 007 EUR</w:t>
            </w:r>
            <w:r w:rsidR="005C087A">
              <w:rPr>
                <w:rFonts w:ascii="Times New Roman" w:hAnsi="Times New Roman"/>
                <w:sz w:val="24"/>
                <w:szCs w:val="24"/>
              </w:rPr>
              <w:t>),</w:t>
            </w:r>
          </w:p>
          <w:p w14:paraId="372B1A14" w14:textId="5F865162" w:rsidR="00DA3FA7" w:rsidRPr="00582F57" w:rsidRDefault="00E45D39" w:rsidP="005C44ED">
            <w:pPr>
              <w:pStyle w:val="ListParagraph"/>
              <w:numPr>
                <w:ilvl w:val="0"/>
                <w:numId w:val="43"/>
              </w:numPr>
              <w:spacing w:after="120" w:line="240" w:lineRule="auto"/>
              <w:ind w:right="130"/>
              <w:jc w:val="both"/>
              <w:rPr>
                <w:rFonts w:ascii="Times New Roman" w:hAnsi="Times New Roman"/>
                <w:sz w:val="24"/>
                <w:szCs w:val="24"/>
              </w:rPr>
            </w:pPr>
            <w:r w:rsidRPr="005C087A">
              <w:rPr>
                <w:rFonts w:ascii="Times New Roman" w:hAnsi="Times New Roman"/>
                <w:sz w:val="24"/>
                <w:szCs w:val="24"/>
              </w:rPr>
              <w:t>2023.gadam</w:t>
            </w:r>
            <w:r w:rsidR="009D2AE6" w:rsidRPr="005C087A">
              <w:rPr>
                <w:rFonts w:ascii="Times New Roman" w:hAnsi="Times New Roman"/>
                <w:sz w:val="24"/>
                <w:szCs w:val="24"/>
              </w:rPr>
              <w:t xml:space="preserve"> </w:t>
            </w:r>
            <w:r w:rsidR="005C087A" w:rsidRPr="005C087A">
              <w:rPr>
                <w:rFonts w:ascii="Times New Roman" w:hAnsi="Times New Roman"/>
                <w:sz w:val="24"/>
                <w:szCs w:val="24"/>
              </w:rPr>
              <w:t>3</w:t>
            </w:r>
            <w:r w:rsidR="009D2AE6" w:rsidRPr="005C087A">
              <w:rPr>
                <w:rFonts w:ascii="Times New Roman" w:hAnsi="Times New Roman"/>
                <w:sz w:val="24"/>
                <w:szCs w:val="24"/>
              </w:rPr>
              <w:t xml:space="preserve">3 022 478 EUR (t.sk. ERAF </w:t>
            </w:r>
            <w:r w:rsidR="005C087A" w:rsidRPr="005C087A">
              <w:rPr>
                <w:rFonts w:ascii="Times New Roman" w:hAnsi="Times New Roman"/>
                <w:sz w:val="24"/>
                <w:szCs w:val="24"/>
              </w:rPr>
              <w:t>28 016 035 EUR un valsts budžets 5 006 443</w:t>
            </w:r>
            <w:r w:rsidR="009D2AE6" w:rsidRPr="005C087A">
              <w:rPr>
                <w:rFonts w:ascii="Times New Roman" w:hAnsi="Times New Roman"/>
                <w:sz w:val="24"/>
                <w:szCs w:val="24"/>
              </w:rPr>
              <w:t xml:space="preserve"> EUR)</w:t>
            </w:r>
            <w:r w:rsidR="00BD5239" w:rsidRPr="005C087A">
              <w:rPr>
                <w:rFonts w:ascii="Times New Roman" w:hAnsi="Times New Roman"/>
                <w:sz w:val="24"/>
                <w:szCs w:val="24"/>
              </w:rPr>
              <w:t>.</w:t>
            </w:r>
          </w:p>
        </w:tc>
      </w:tr>
      <w:tr w:rsidR="00DA3FA7" w:rsidRPr="008B7F6D" w14:paraId="696B496E"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4F6EC662"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6.1. detalizēts ieņēmumu aprēķins</w:t>
            </w:r>
          </w:p>
        </w:tc>
        <w:tc>
          <w:tcPr>
            <w:tcW w:w="4145" w:type="pct"/>
            <w:gridSpan w:val="7"/>
            <w:vMerge/>
            <w:tcBorders>
              <w:top w:val="outset" w:sz="6" w:space="0" w:color="auto"/>
              <w:left w:val="outset" w:sz="6" w:space="0" w:color="auto"/>
              <w:bottom w:val="outset" w:sz="6" w:space="0" w:color="auto"/>
              <w:right w:val="outset" w:sz="6" w:space="0" w:color="auto"/>
            </w:tcBorders>
            <w:vAlign w:val="center"/>
          </w:tcPr>
          <w:p w14:paraId="67BD6F7F" w14:textId="77777777" w:rsidR="00DA3FA7" w:rsidRPr="008B7F6D" w:rsidRDefault="00DA3FA7" w:rsidP="00DA3FA7">
            <w:pPr>
              <w:spacing w:after="0" w:line="240" w:lineRule="auto"/>
              <w:rPr>
                <w:rFonts w:ascii="Times New Roman" w:eastAsia="Times New Roman" w:hAnsi="Times New Roman"/>
                <w:iCs/>
                <w:sz w:val="24"/>
                <w:szCs w:val="24"/>
                <w:highlight w:val="yellow"/>
                <w:lang w:eastAsia="lv-LV"/>
              </w:rPr>
            </w:pPr>
          </w:p>
        </w:tc>
      </w:tr>
      <w:tr w:rsidR="00DA3FA7" w:rsidRPr="008B7F6D" w14:paraId="0D181BD7"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40C23BB0" w14:textId="23DE2BE1" w:rsidR="005C44ED" w:rsidRDefault="00DA3FA7" w:rsidP="00F078FC">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6.2. detalizēts izdevumu aprēķins</w:t>
            </w:r>
          </w:p>
          <w:p w14:paraId="04353C1B" w14:textId="77777777" w:rsidR="005C44ED" w:rsidRPr="005C44ED" w:rsidRDefault="005C44ED" w:rsidP="005C44ED">
            <w:pPr>
              <w:rPr>
                <w:rFonts w:ascii="Times New Roman" w:eastAsia="Times New Roman" w:hAnsi="Times New Roman"/>
                <w:sz w:val="24"/>
                <w:szCs w:val="24"/>
                <w:lang w:eastAsia="lv-LV"/>
              </w:rPr>
            </w:pPr>
          </w:p>
          <w:p w14:paraId="274A779F" w14:textId="77777777" w:rsidR="005C44ED" w:rsidRPr="005C44ED" w:rsidRDefault="005C44ED" w:rsidP="005C44ED">
            <w:pPr>
              <w:rPr>
                <w:rFonts w:ascii="Times New Roman" w:eastAsia="Times New Roman" w:hAnsi="Times New Roman"/>
                <w:sz w:val="24"/>
                <w:szCs w:val="24"/>
                <w:lang w:eastAsia="lv-LV"/>
              </w:rPr>
            </w:pPr>
          </w:p>
          <w:p w14:paraId="1E42CB24" w14:textId="77777777" w:rsidR="005C44ED" w:rsidRPr="005C44ED" w:rsidRDefault="005C44ED" w:rsidP="005C44ED">
            <w:pPr>
              <w:rPr>
                <w:rFonts w:ascii="Times New Roman" w:eastAsia="Times New Roman" w:hAnsi="Times New Roman"/>
                <w:sz w:val="24"/>
                <w:szCs w:val="24"/>
                <w:lang w:eastAsia="lv-LV"/>
              </w:rPr>
            </w:pPr>
          </w:p>
          <w:p w14:paraId="0F797A40" w14:textId="77777777" w:rsidR="005C44ED" w:rsidRDefault="005C44ED" w:rsidP="005C44ED">
            <w:pPr>
              <w:rPr>
                <w:rFonts w:ascii="Times New Roman" w:eastAsia="Times New Roman" w:hAnsi="Times New Roman"/>
                <w:iCs/>
                <w:sz w:val="24"/>
                <w:szCs w:val="24"/>
                <w:lang w:eastAsia="lv-LV"/>
              </w:rPr>
            </w:pPr>
          </w:p>
          <w:p w14:paraId="53ECE92F" w14:textId="7678B30A" w:rsidR="005C44ED" w:rsidRPr="005C44ED" w:rsidRDefault="005C44ED" w:rsidP="005C44ED">
            <w:pPr>
              <w:rPr>
                <w:rFonts w:ascii="Times New Roman" w:eastAsia="Times New Roman" w:hAnsi="Times New Roman"/>
                <w:sz w:val="24"/>
                <w:szCs w:val="24"/>
                <w:lang w:eastAsia="lv-LV"/>
              </w:rPr>
            </w:pPr>
          </w:p>
        </w:tc>
        <w:tc>
          <w:tcPr>
            <w:tcW w:w="4145" w:type="pct"/>
            <w:gridSpan w:val="7"/>
            <w:vMerge/>
            <w:tcBorders>
              <w:top w:val="outset" w:sz="6" w:space="0" w:color="auto"/>
              <w:left w:val="outset" w:sz="6" w:space="0" w:color="auto"/>
              <w:bottom w:val="outset" w:sz="6" w:space="0" w:color="auto"/>
              <w:right w:val="outset" w:sz="6" w:space="0" w:color="auto"/>
            </w:tcBorders>
            <w:vAlign w:val="center"/>
          </w:tcPr>
          <w:p w14:paraId="42BAA350" w14:textId="77777777" w:rsidR="00DA3FA7" w:rsidRPr="008B7F6D" w:rsidRDefault="00DA3FA7" w:rsidP="00DA3FA7">
            <w:pPr>
              <w:spacing w:after="0" w:line="240" w:lineRule="auto"/>
              <w:rPr>
                <w:rFonts w:ascii="Times New Roman" w:eastAsia="Times New Roman" w:hAnsi="Times New Roman"/>
                <w:iCs/>
                <w:sz w:val="24"/>
                <w:szCs w:val="24"/>
                <w:highlight w:val="yellow"/>
                <w:lang w:eastAsia="lv-LV"/>
              </w:rPr>
            </w:pPr>
          </w:p>
        </w:tc>
      </w:tr>
      <w:tr w:rsidR="00DA3FA7" w:rsidRPr="008B7F6D" w14:paraId="3BDB00BD"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11593EE8" w14:textId="7FD45C60" w:rsidR="00DA3FA7" w:rsidRPr="009D4DAD" w:rsidRDefault="00DA3FA7" w:rsidP="00F078FC">
            <w:pPr>
              <w:spacing w:after="0" w:line="240" w:lineRule="auto"/>
              <w:rPr>
                <w:rFonts w:ascii="Times New Roman" w:eastAsia="Times New Roman" w:hAnsi="Times New Roman"/>
                <w:sz w:val="24"/>
                <w:szCs w:val="24"/>
                <w:lang w:eastAsia="lv-LV"/>
              </w:rPr>
            </w:pPr>
            <w:r w:rsidRPr="008B7F6D">
              <w:rPr>
                <w:rFonts w:ascii="Times New Roman" w:eastAsia="Times New Roman" w:hAnsi="Times New Roman"/>
                <w:iCs/>
                <w:sz w:val="24"/>
                <w:szCs w:val="24"/>
                <w:lang w:eastAsia="lv-LV"/>
              </w:rPr>
              <w:lastRenderedPageBreak/>
              <w:t>7. Amata vietu skaita izmaiņas</w:t>
            </w:r>
          </w:p>
        </w:tc>
        <w:tc>
          <w:tcPr>
            <w:tcW w:w="4145" w:type="pct"/>
            <w:gridSpan w:val="7"/>
            <w:tcBorders>
              <w:top w:val="outset" w:sz="6" w:space="0" w:color="auto"/>
              <w:left w:val="outset" w:sz="6" w:space="0" w:color="auto"/>
              <w:bottom w:val="outset" w:sz="6" w:space="0" w:color="auto"/>
              <w:right w:val="outset" w:sz="6" w:space="0" w:color="auto"/>
            </w:tcBorders>
          </w:tcPr>
          <w:p w14:paraId="496B7E59" w14:textId="10E8C09F" w:rsidR="00DA3FA7" w:rsidRPr="009D4DAD" w:rsidRDefault="00DA3FA7" w:rsidP="00F078FC">
            <w:pPr>
              <w:spacing w:after="0" w:line="240" w:lineRule="auto"/>
              <w:rPr>
                <w:rFonts w:ascii="Times New Roman" w:eastAsia="Times New Roman" w:hAnsi="Times New Roman"/>
                <w:sz w:val="24"/>
                <w:szCs w:val="24"/>
                <w:highlight w:val="yellow"/>
                <w:lang w:eastAsia="lv-LV"/>
              </w:rPr>
            </w:pPr>
            <w:r w:rsidRPr="008B7F6D">
              <w:rPr>
                <w:rFonts w:ascii="Times New Roman" w:eastAsia="Times New Roman" w:hAnsi="Times New Roman"/>
                <w:iCs/>
                <w:sz w:val="24"/>
                <w:szCs w:val="24"/>
                <w:lang w:eastAsia="lv-LV"/>
              </w:rPr>
              <w:t>Projekts šo jomu neskar.</w:t>
            </w:r>
          </w:p>
        </w:tc>
      </w:tr>
      <w:tr w:rsidR="00DA3FA7" w:rsidRPr="008B7F6D" w14:paraId="5912970C" w14:textId="77777777" w:rsidTr="00444397">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5BB8156B" w14:textId="77777777" w:rsidR="00DA3FA7" w:rsidRPr="008B7F6D" w:rsidRDefault="00DA3FA7" w:rsidP="00DA3FA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8. Cita informācija</w:t>
            </w:r>
          </w:p>
        </w:tc>
        <w:tc>
          <w:tcPr>
            <w:tcW w:w="4145" w:type="pct"/>
            <w:gridSpan w:val="7"/>
            <w:tcBorders>
              <w:top w:val="outset" w:sz="6" w:space="0" w:color="auto"/>
              <w:left w:val="outset" w:sz="6" w:space="0" w:color="auto"/>
              <w:bottom w:val="outset" w:sz="6" w:space="0" w:color="auto"/>
              <w:right w:val="outset" w:sz="6" w:space="0" w:color="auto"/>
            </w:tcBorders>
            <w:hideMark/>
          </w:tcPr>
          <w:p w14:paraId="401AA401" w14:textId="77777777" w:rsidR="00DA3FA7" w:rsidRPr="007C7036" w:rsidRDefault="00DA3FA7" w:rsidP="00DA3FA7">
            <w:pPr>
              <w:spacing w:after="120" w:line="240" w:lineRule="auto"/>
              <w:ind w:left="142" w:right="130"/>
              <w:jc w:val="both"/>
              <w:rPr>
                <w:rFonts w:ascii="Times New Roman" w:hAnsi="Times New Roman"/>
                <w:sz w:val="24"/>
                <w:szCs w:val="24"/>
              </w:rPr>
            </w:pPr>
            <w:r w:rsidRPr="00BE470D">
              <w:rPr>
                <w:rFonts w:ascii="Times New Roman" w:hAnsi="Times New Roman"/>
                <w:sz w:val="24"/>
                <w:szCs w:val="24"/>
              </w:rPr>
              <w:t>Nepieciešamo valsts budžeta finansējumu Finanšu ministrija lūgs pārdalīt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39399BA6" w14:textId="77777777" w:rsidR="00DE24D7" w:rsidRPr="008B7F6D" w:rsidRDefault="00DE24D7" w:rsidP="00256249">
      <w:pPr>
        <w:spacing w:after="0" w:line="240" w:lineRule="auto"/>
        <w:rPr>
          <w:rFonts w:ascii="Times New Roman" w:hAnsi="Times New Roman"/>
          <w:bCs/>
          <w:sz w:val="24"/>
          <w:szCs w:val="24"/>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640"/>
      </w:tblGrid>
      <w:tr w:rsidR="00A96CB5" w:rsidRPr="008B7F6D" w14:paraId="2B82A853" w14:textId="77777777" w:rsidTr="00C81002">
        <w:tc>
          <w:tcPr>
            <w:tcW w:w="9640" w:type="dxa"/>
            <w:tcBorders>
              <w:top w:val="thickThinLargeGap" w:sz="6" w:space="0" w:color="C0C0C0"/>
              <w:left w:val="thickThinLargeGap" w:sz="6" w:space="0" w:color="C0C0C0"/>
              <w:bottom w:val="thickThinLargeGap" w:sz="6" w:space="0" w:color="C0C0C0"/>
              <w:right w:val="thickThinLargeGap" w:sz="6" w:space="0" w:color="C0C0C0"/>
            </w:tcBorders>
            <w:hideMark/>
          </w:tcPr>
          <w:p w14:paraId="7215058B" w14:textId="77777777" w:rsidR="00D6392B" w:rsidRPr="008B7F6D" w:rsidRDefault="00D6392B" w:rsidP="00D6392B">
            <w:pPr>
              <w:spacing w:line="240" w:lineRule="auto"/>
              <w:jc w:val="center"/>
              <w:rPr>
                <w:rFonts w:ascii="Times New Roman" w:eastAsia="Times New Roman" w:hAnsi="Times New Roman"/>
                <w:b/>
                <w:sz w:val="24"/>
                <w:szCs w:val="24"/>
                <w:lang w:eastAsia="lv-LV"/>
              </w:rPr>
            </w:pPr>
            <w:r w:rsidRPr="008B7F6D">
              <w:rPr>
                <w:rFonts w:ascii="Times New Roman" w:hAnsi="Times New Roman"/>
                <w:b/>
                <w:bCs/>
                <w:sz w:val="24"/>
                <w:szCs w:val="24"/>
              </w:rPr>
              <w:t xml:space="preserve">IV. </w:t>
            </w:r>
            <w:r w:rsidRPr="008B7F6D">
              <w:rPr>
                <w:rFonts w:ascii="Times New Roman" w:hAnsi="Times New Roman"/>
                <w:b/>
                <w:sz w:val="24"/>
                <w:szCs w:val="24"/>
              </w:rPr>
              <w:t>Tiesību akta projekta ietekme uz spēkā esošo tiesību normu sistēmu</w:t>
            </w:r>
          </w:p>
        </w:tc>
      </w:tr>
      <w:tr w:rsidR="00A96CB5" w:rsidRPr="008B7F6D" w14:paraId="26F10755" w14:textId="77777777" w:rsidTr="00F078FC">
        <w:trPr>
          <w:trHeight w:val="229"/>
        </w:trPr>
        <w:tc>
          <w:tcPr>
            <w:tcW w:w="9640" w:type="dxa"/>
            <w:tcBorders>
              <w:top w:val="thickThinLargeGap" w:sz="6" w:space="0" w:color="C0C0C0"/>
              <w:left w:val="thickThinLargeGap" w:sz="6" w:space="0" w:color="C0C0C0"/>
              <w:right w:val="thickThinLargeGap" w:sz="6" w:space="0" w:color="C0C0C0"/>
            </w:tcBorders>
            <w:hideMark/>
          </w:tcPr>
          <w:p w14:paraId="4E803152" w14:textId="77777777" w:rsidR="00D6392B" w:rsidRPr="008B7F6D" w:rsidRDefault="00723FD8" w:rsidP="00EA70B2">
            <w:pPr>
              <w:tabs>
                <w:tab w:val="center" w:pos="4790"/>
                <w:tab w:val="left" w:pos="7425"/>
              </w:tabs>
              <w:spacing w:after="0" w:line="240" w:lineRule="auto"/>
              <w:jc w:val="center"/>
              <w:rPr>
                <w:rFonts w:ascii="Times New Roman" w:eastAsia="Times New Roman" w:hAnsi="Times New Roman"/>
                <w:sz w:val="24"/>
                <w:szCs w:val="24"/>
                <w:lang w:eastAsia="lv-LV"/>
              </w:rPr>
            </w:pPr>
            <w:r>
              <w:rPr>
                <w:rFonts w:ascii="Times New Roman" w:hAnsi="Times New Roman"/>
                <w:sz w:val="24"/>
                <w:szCs w:val="24"/>
              </w:rPr>
              <w:t>Noteikumu p</w:t>
            </w:r>
            <w:r w:rsidR="00D6392B" w:rsidRPr="008B7F6D">
              <w:rPr>
                <w:rFonts w:ascii="Times New Roman" w:hAnsi="Times New Roman"/>
                <w:sz w:val="24"/>
                <w:szCs w:val="24"/>
              </w:rPr>
              <w:t>rojekts šo jomu neskar</w:t>
            </w:r>
            <w:r w:rsidR="00592DD8">
              <w:rPr>
                <w:rFonts w:ascii="Times New Roman" w:hAnsi="Times New Roman"/>
                <w:sz w:val="24"/>
                <w:szCs w:val="24"/>
              </w:rPr>
              <w:t>.</w:t>
            </w:r>
          </w:p>
        </w:tc>
      </w:tr>
    </w:tbl>
    <w:p w14:paraId="07B31AFA" w14:textId="77777777" w:rsidR="00D6392B" w:rsidRPr="008B7F6D" w:rsidRDefault="00D6392B" w:rsidP="00D6392B">
      <w:pPr>
        <w:spacing w:after="0" w:line="240" w:lineRule="auto"/>
        <w:jc w:val="center"/>
        <w:rPr>
          <w:rFonts w:ascii="Times New Roman" w:hAnsi="Times New Roman"/>
          <w:bCs/>
          <w:strike/>
          <w:sz w:val="24"/>
          <w:szCs w:val="24"/>
          <w:u w:val="single"/>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030"/>
        <w:gridCol w:w="5610"/>
      </w:tblGrid>
      <w:tr w:rsidR="00A96CB5" w:rsidRPr="008B7F6D" w14:paraId="1CE5A42F" w14:textId="77777777" w:rsidTr="00C81002">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7D1EAD27" w14:textId="77777777" w:rsidR="00D6392B" w:rsidRPr="008B7F6D" w:rsidRDefault="00D6392B" w:rsidP="00D6392B">
            <w:pPr>
              <w:spacing w:line="240" w:lineRule="auto"/>
              <w:jc w:val="center"/>
              <w:rPr>
                <w:rFonts w:ascii="Times New Roman" w:eastAsia="Times New Roman" w:hAnsi="Times New Roman"/>
                <w:b/>
                <w:sz w:val="24"/>
                <w:szCs w:val="24"/>
                <w:lang w:eastAsia="lv-LV"/>
              </w:rPr>
            </w:pPr>
            <w:r w:rsidRPr="008B7F6D">
              <w:rPr>
                <w:rFonts w:ascii="Times New Roman" w:hAnsi="Times New Roman"/>
                <w:b/>
                <w:bCs/>
                <w:sz w:val="24"/>
                <w:szCs w:val="24"/>
              </w:rPr>
              <w:t xml:space="preserve">V. </w:t>
            </w:r>
            <w:r w:rsidRPr="008B7F6D">
              <w:rPr>
                <w:rFonts w:ascii="Times New Roman" w:hAnsi="Times New Roman"/>
                <w:b/>
                <w:sz w:val="24"/>
                <w:szCs w:val="24"/>
              </w:rPr>
              <w:t>Tiesību akta projekta atbilstība Latvijas Republikas starptautiskajām saistībām</w:t>
            </w:r>
          </w:p>
        </w:tc>
      </w:tr>
      <w:tr w:rsidR="00A96CB5" w:rsidRPr="008B7F6D" w14:paraId="7A9B0693" w14:textId="77777777" w:rsidTr="00F078FC">
        <w:trPr>
          <w:trHeight w:val="303"/>
        </w:trPr>
        <w:tc>
          <w:tcPr>
            <w:tcW w:w="9640" w:type="dxa"/>
            <w:gridSpan w:val="2"/>
            <w:tcBorders>
              <w:top w:val="thickThinLargeGap" w:sz="6" w:space="0" w:color="C0C0C0"/>
              <w:left w:val="thickThinLargeGap" w:sz="6" w:space="0" w:color="C0C0C0"/>
              <w:right w:val="thickThinLargeGap" w:sz="6" w:space="0" w:color="C0C0C0"/>
            </w:tcBorders>
            <w:hideMark/>
          </w:tcPr>
          <w:p w14:paraId="30D87205" w14:textId="77777777" w:rsidR="00D6392B" w:rsidRPr="008B7F6D" w:rsidRDefault="00723FD8" w:rsidP="00D6392B">
            <w:pPr>
              <w:spacing w:after="0" w:line="240" w:lineRule="auto"/>
              <w:jc w:val="center"/>
              <w:rPr>
                <w:rFonts w:ascii="Times New Roman" w:eastAsia="Times New Roman" w:hAnsi="Times New Roman"/>
                <w:sz w:val="24"/>
                <w:szCs w:val="24"/>
                <w:lang w:eastAsia="lv-LV"/>
              </w:rPr>
            </w:pPr>
            <w:r>
              <w:rPr>
                <w:rFonts w:ascii="Times New Roman" w:hAnsi="Times New Roman"/>
                <w:sz w:val="24"/>
                <w:szCs w:val="24"/>
              </w:rPr>
              <w:t>Noteikumu p</w:t>
            </w:r>
            <w:r w:rsidR="00D6392B" w:rsidRPr="008B7F6D">
              <w:rPr>
                <w:rFonts w:ascii="Times New Roman" w:hAnsi="Times New Roman"/>
                <w:sz w:val="24"/>
                <w:szCs w:val="24"/>
              </w:rPr>
              <w:t>rojekts šo jomu neskar</w:t>
            </w:r>
            <w:r w:rsidR="00D824DB" w:rsidRPr="008B7F6D">
              <w:rPr>
                <w:rFonts w:ascii="Times New Roman" w:hAnsi="Times New Roman"/>
                <w:sz w:val="24"/>
                <w:szCs w:val="24"/>
              </w:rPr>
              <w:t>.</w:t>
            </w:r>
          </w:p>
        </w:tc>
      </w:tr>
      <w:tr w:rsidR="00A96CB5" w:rsidRPr="008B7F6D" w14:paraId="5A4F9597" w14:textId="77777777" w:rsidTr="009E71E2">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285830A9" w14:textId="77777777" w:rsidR="00E71E86" w:rsidRPr="008B7F6D" w:rsidRDefault="00E71E86" w:rsidP="00C81002">
            <w:pPr>
              <w:spacing w:line="240" w:lineRule="auto"/>
              <w:jc w:val="center"/>
              <w:rPr>
                <w:rFonts w:ascii="Times New Roman" w:eastAsia="Times New Roman" w:hAnsi="Times New Roman"/>
                <w:b/>
                <w:sz w:val="24"/>
                <w:szCs w:val="24"/>
                <w:lang w:eastAsia="lv-LV"/>
              </w:rPr>
            </w:pPr>
            <w:r w:rsidRPr="008B7F6D">
              <w:rPr>
                <w:rFonts w:ascii="Times New Roman" w:hAnsi="Times New Roman"/>
                <w:b/>
                <w:bCs/>
                <w:sz w:val="24"/>
                <w:szCs w:val="24"/>
              </w:rPr>
              <w:t>VI. Sabiedrības līdzdalība un komunikācijas aktivitātes</w:t>
            </w:r>
          </w:p>
        </w:tc>
      </w:tr>
      <w:tr w:rsidR="00A96CB5" w:rsidRPr="008B7F6D" w14:paraId="649E3917" w14:textId="77777777" w:rsidTr="009E71E2">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3A2AA5A9" w14:textId="77777777" w:rsidR="00E71E86" w:rsidRPr="008B7F6D" w:rsidRDefault="00E71E86" w:rsidP="00E71E86">
            <w:pPr>
              <w:numPr>
                <w:ilvl w:val="0"/>
                <w:numId w:val="11"/>
              </w:numPr>
              <w:spacing w:after="0" w:line="240" w:lineRule="auto"/>
              <w:ind w:left="0" w:firstLine="0"/>
              <w:rPr>
                <w:rFonts w:ascii="Times New Roman" w:eastAsia="Times New Roman" w:hAnsi="Times New Roman"/>
                <w:sz w:val="24"/>
                <w:szCs w:val="24"/>
                <w:lang w:eastAsia="lv-LV"/>
              </w:rPr>
            </w:pPr>
            <w:r w:rsidRPr="008B7F6D">
              <w:rPr>
                <w:rFonts w:ascii="Times New Roman" w:hAnsi="Times New Roman"/>
                <w:sz w:val="24"/>
                <w:szCs w:val="24"/>
              </w:rPr>
              <w:t>Plānotās sabiedrības līdzdalības un komunikācijas aktivitātes saistībā ar projektu</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tcPr>
          <w:p w14:paraId="11221C24" w14:textId="77777777" w:rsidR="00E71E86" w:rsidRPr="008B7F6D" w:rsidRDefault="00C44CB3" w:rsidP="00C81002">
            <w:pPr>
              <w:spacing w:after="0" w:line="240" w:lineRule="auto"/>
              <w:jc w:val="both"/>
              <w:rPr>
                <w:rFonts w:ascii="Times New Roman" w:eastAsia="Times New Roman" w:hAnsi="Times New Roman"/>
                <w:sz w:val="24"/>
                <w:szCs w:val="24"/>
                <w:lang w:eastAsia="lv-LV"/>
              </w:rPr>
            </w:pPr>
            <w:r w:rsidRPr="00DD6A91">
              <w:rPr>
                <w:rFonts w:ascii="Times New Roman" w:eastAsia="Times New Roman" w:hAnsi="Times New Roman"/>
                <w:iCs/>
                <w:sz w:val="24"/>
                <w:szCs w:val="24"/>
                <w:lang w:eastAsia="lv-LV"/>
              </w:rPr>
              <w:t xml:space="preserve">Noteikumu projekts </w:t>
            </w:r>
            <w:r>
              <w:rPr>
                <w:rFonts w:ascii="Times New Roman" w:eastAsia="Times New Roman" w:hAnsi="Times New Roman"/>
                <w:iCs/>
                <w:sz w:val="24"/>
                <w:szCs w:val="24"/>
                <w:lang w:eastAsia="lv-LV"/>
              </w:rPr>
              <w:t>ir</w:t>
            </w:r>
            <w:r w:rsidRPr="00DD6A91">
              <w:rPr>
                <w:rFonts w:ascii="Times New Roman" w:eastAsia="Times New Roman" w:hAnsi="Times New Roman"/>
                <w:iCs/>
                <w:sz w:val="24"/>
                <w:szCs w:val="24"/>
                <w:lang w:eastAsia="lv-LV"/>
              </w:rPr>
              <w:t xml:space="preserve"> publicēts Ekonomikas ministrijas tīmekļvietnē.</w:t>
            </w:r>
          </w:p>
        </w:tc>
      </w:tr>
      <w:tr w:rsidR="00A96CB5" w:rsidRPr="008B7F6D" w14:paraId="25BEB12C" w14:textId="77777777" w:rsidTr="009E71E2">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2501010C" w14:textId="77777777" w:rsidR="00E71E86" w:rsidRPr="008B7F6D" w:rsidRDefault="00E71E86" w:rsidP="00E71E86">
            <w:pPr>
              <w:numPr>
                <w:ilvl w:val="0"/>
                <w:numId w:val="11"/>
              </w:numPr>
              <w:spacing w:line="240" w:lineRule="auto"/>
              <w:ind w:left="0" w:firstLine="0"/>
              <w:rPr>
                <w:rFonts w:ascii="Times New Roman" w:eastAsia="Times New Roman" w:hAnsi="Times New Roman"/>
                <w:sz w:val="24"/>
                <w:szCs w:val="24"/>
                <w:lang w:eastAsia="lv-LV"/>
              </w:rPr>
            </w:pPr>
            <w:r w:rsidRPr="008B7F6D">
              <w:rPr>
                <w:rFonts w:ascii="Times New Roman" w:hAnsi="Times New Roman"/>
                <w:sz w:val="24"/>
                <w:szCs w:val="24"/>
              </w:rPr>
              <w:t>Sabiedrības līdzdalība projekta izstrādē</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tcPr>
          <w:p w14:paraId="3291ED18" w14:textId="77777777" w:rsidR="0027254F" w:rsidRDefault="0027254F" w:rsidP="0027254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Noteikumu projekta sagatavošanas procesā Ekonomikas ministrija komunicēja ar Altum, lai varētu identificēt, kuros punktos nepieciešams veikt izmaiņas. </w:t>
            </w:r>
          </w:p>
          <w:p w14:paraId="2341935A" w14:textId="77777777" w:rsidR="00E71E86" w:rsidRPr="008B7F6D" w:rsidRDefault="0027254F" w:rsidP="00C81002">
            <w:pPr>
              <w:spacing w:after="0" w:line="240" w:lineRule="auto"/>
              <w:jc w:val="both"/>
              <w:rPr>
                <w:rFonts w:ascii="Times New Roman" w:eastAsia="Times New Roman" w:hAnsi="Times New Roman"/>
                <w:iCs/>
                <w:sz w:val="24"/>
                <w:szCs w:val="24"/>
                <w:lang w:eastAsia="lv-LV"/>
              </w:rPr>
            </w:pPr>
            <w:r w:rsidRPr="00AF62CE">
              <w:rPr>
                <w:rFonts w:ascii="Times New Roman" w:eastAsia="Times New Roman" w:hAnsi="Times New Roman"/>
                <w:iCs/>
                <w:sz w:val="24"/>
                <w:szCs w:val="24"/>
                <w:lang w:eastAsia="lv-LV"/>
              </w:rPr>
              <w:t>Noteikumu projekts ir publicēts Ekonomikas ministrijas tīmekļvietnē, sabiedrībai ir dota iespēja informēt par iebildumiem un priekšlikumiem, ja tādi rodas.</w:t>
            </w:r>
          </w:p>
        </w:tc>
      </w:tr>
      <w:tr w:rsidR="00A96CB5" w:rsidRPr="008B7F6D" w14:paraId="1AB545D2" w14:textId="77777777" w:rsidTr="00F078FC">
        <w:trPr>
          <w:trHeight w:val="245"/>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1F9FB7C8" w14:textId="77777777" w:rsidR="00E71E86" w:rsidRPr="008B7F6D" w:rsidRDefault="00E71E86" w:rsidP="00E71E86">
            <w:pPr>
              <w:numPr>
                <w:ilvl w:val="0"/>
                <w:numId w:val="11"/>
              </w:numPr>
              <w:spacing w:line="240" w:lineRule="auto"/>
              <w:ind w:left="0" w:firstLine="0"/>
              <w:rPr>
                <w:rFonts w:ascii="Times New Roman" w:eastAsia="Times New Roman" w:hAnsi="Times New Roman"/>
                <w:sz w:val="24"/>
                <w:szCs w:val="24"/>
                <w:lang w:eastAsia="lv-LV"/>
              </w:rPr>
            </w:pPr>
            <w:r w:rsidRPr="008B7F6D">
              <w:rPr>
                <w:rFonts w:ascii="Times New Roman" w:hAnsi="Times New Roman"/>
                <w:sz w:val="24"/>
                <w:szCs w:val="24"/>
              </w:rPr>
              <w:t>Sabiedrības līdzdalības rezultāti</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5A427B" w14:textId="77777777" w:rsidR="00E71E86" w:rsidRPr="008B7F6D" w:rsidRDefault="0027254F" w:rsidP="00C8100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Līdz šim nav saņemti iebildumi un priekšlikumi.</w:t>
            </w:r>
          </w:p>
        </w:tc>
      </w:tr>
      <w:tr w:rsidR="00A96CB5" w:rsidRPr="008B7F6D" w14:paraId="25400124" w14:textId="77777777" w:rsidTr="009E71E2">
        <w:trPr>
          <w:trHeight w:val="366"/>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37445AA9" w14:textId="77777777" w:rsidR="00E71E86" w:rsidRPr="008B7F6D" w:rsidRDefault="00E71E86" w:rsidP="00E71E86">
            <w:pPr>
              <w:numPr>
                <w:ilvl w:val="0"/>
                <w:numId w:val="11"/>
              </w:numPr>
              <w:spacing w:after="0" w:line="240" w:lineRule="auto"/>
              <w:ind w:left="0" w:firstLine="0"/>
              <w:rPr>
                <w:rFonts w:ascii="Times New Roman" w:eastAsia="Times New Roman" w:hAnsi="Times New Roman"/>
                <w:sz w:val="24"/>
                <w:szCs w:val="24"/>
                <w:lang w:eastAsia="lv-LV"/>
              </w:rPr>
            </w:pPr>
            <w:r w:rsidRPr="008B7F6D">
              <w:rPr>
                <w:rFonts w:ascii="Times New Roman" w:hAnsi="Times New Roman"/>
                <w:sz w:val="24"/>
                <w:szCs w:val="24"/>
              </w:rPr>
              <w:t>Cita informācija</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5456E946" w14:textId="77777777" w:rsidR="00E71E86" w:rsidRPr="008B7F6D" w:rsidRDefault="00E71E86" w:rsidP="00C81002">
            <w:pPr>
              <w:spacing w:after="0" w:line="240" w:lineRule="auto"/>
              <w:jc w:val="both"/>
              <w:rPr>
                <w:rFonts w:ascii="Times New Roman" w:eastAsia="Times New Roman" w:hAnsi="Times New Roman"/>
                <w:sz w:val="24"/>
                <w:szCs w:val="24"/>
                <w:lang w:eastAsia="lv-LV"/>
              </w:rPr>
            </w:pPr>
            <w:r w:rsidRPr="008B7F6D">
              <w:rPr>
                <w:rFonts w:ascii="Times New Roman" w:eastAsia="Times New Roman" w:hAnsi="Times New Roman"/>
                <w:iCs/>
                <w:sz w:val="24"/>
                <w:szCs w:val="24"/>
                <w:lang w:eastAsia="lv-LV"/>
              </w:rPr>
              <w:t>Nav</w:t>
            </w:r>
          </w:p>
        </w:tc>
      </w:tr>
    </w:tbl>
    <w:p w14:paraId="23788C56" w14:textId="77777777" w:rsidR="00E71E86" w:rsidRPr="008B7F6D" w:rsidRDefault="00E71E86" w:rsidP="00E71E86">
      <w:pPr>
        <w:tabs>
          <w:tab w:val="left" w:pos="7655"/>
        </w:tabs>
        <w:spacing w:line="240" w:lineRule="auto"/>
        <w:jc w:val="both"/>
        <w:rPr>
          <w:rFonts w:ascii="Times New Roman" w:hAnsi="Times New Roman"/>
          <w:bCs/>
          <w:strike/>
          <w:sz w:val="24"/>
          <w:szCs w:val="24"/>
          <w:u w:val="single"/>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030"/>
        <w:gridCol w:w="5610"/>
      </w:tblGrid>
      <w:tr w:rsidR="00A96CB5" w:rsidRPr="008B7F6D" w14:paraId="0CC26E22" w14:textId="77777777" w:rsidTr="00F078FC">
        <w:trPr>
          <w:trHeight w:val="261"/>
        </w:trPr>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62AC72F1" w14:textId="77777777" w:rsidR="00E71E86" w:rsidRPr="008B7F6D" w:rsidRDefault="00E71E86" w:rsidP="00C81002">
            <w:pPr>
              <w:spacing w:line="240" w:lineRule="auto"/>
              <w:jc w:val="center"/>
              <w:rPr>
                <w:rFonts w:ascii="Times New Roman" w:eastAsia="Times New Roman" w:hAnsi="Times New Roman"/>
                <w:b/>
                <w:sz w:val="24"/>
                <w:szCs w:val="24"/>
                <w:lang w:eastAsia="lv-LV"/>
              </w:rPr>
            </w:pPr>
            <w:r w:rsidRPr="008B7F6D">
              <w:rPr>
                <w:rFonts w:ascii="Times New Roman" w:eastAsia="Times New Roman" w:hAnsi="Times New Roman"/>
                <w:b/>
                <w:sz w:val="24"/>
                <w:szCs w:val="24"/>
                <w:lang w:eastAsia="lv-LV"/>
              </w:rPr>
              <w:t>VII. Tiesību akta projekta izpildes nodrošināšana un tās ietekme uz institūcijām</w:t>
            </w:r>
          </w:p>
        </w:tc>
      </w:tr>
      <w:tr w:rsidR="00A96CB5" w:rsidRPr="008B7F6D" w14:paraId="18288507" w14:textId="77777777" w:rsidTr="009E71E2">
        <w:trPr>
          <w:trHeight w:val="558"/>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1A07B504" w14:textId="77777777" w:rsidR="00E71E86" w:rsidRPr="008B7F6D" w:rsidRDefault="00E71E86" w:rsidP="00E71E86">
            <w:pPr>
              <w:numPr>
                <w:ilvl w:val="0"/>
                <w:numId w:val="12"/>
              </w:numPr>
              <w:spacing w:after="0" w:line="240" w:lineRule="auto"/>
              <w:ind w:left="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Projekta izpildē iesaistītās institūcijas</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34B829CE" w14:textId="77777777" w:rsidR="00E71E86" w:rsidRPr="008B7F6D" w:rsidRDefault="00E71E86" w:rsidP="00592DD8">
            <w:pPr>
              <w:spacing w:after="0" w:line="240" w:lineRule="auto"/>
              <w:jc w:val="both"/>
              <w:rPr>
                <w:rFonts w:ascii="Times New Roman" w:hAnsi="Times New Roman"/>
                <w:sz w:val="24"/>
                <w:szCs w:val="24"/>
                <w:lang w:eastAsia="lv-LV"/>
              </w:rPr>
            </w:pPr>
            <w:r w:rsidRPr="008B7F6D">
              <w:rPr>
                <w:rFonts w:ascii="Times New Roman" w:hAnsi="Times New Roman"/>
                <w:sz w:val="24"/>
                <w:szCs w:val="24"/>
              </w:rPr>
              <w:t xml:space="preserve">Noteikumu projekta izpildē ir iesaistīta </w:t>
            </w:r>
            <w:r w:rsidR="00322B07" w:rsidRPr="008B7F6D">
              <w:rPr>
                <w:rFonts w:ascii="Times New Roman" w:eastAsia="Times New Roman" w:hAnsi="Times New Roman"/>
                <w:sz w:val="24"/>
                <w:szCs w:val="24"/>
                <w:lang w:eastAsia="lv-LV"/>
              </w:rPr>
              <w:t>Ekonomikas ministrija</w:t>
            </w:r>
            <w:r w:rsidRPr="008B7F6D">
              <w:rPr>
                <w:rFonts w:ascii="Times New Roman" w:hAnsi="Times New Roman"/>
                <w:sz w:val="24"/>
                <w:szCs w:val="24"/>
              </w:rPr>
              <w:t>, CFLA un Altum.</w:t>
            </w:r>
          </w:p>
        </w:tc>
      </w:tr>
      <w:tr w:rsidR="00A96CB5" w:rsidRPr="008B7F6D" w14:paraId="7058DB89" w14:textId="77777777" w:rsidTr="009E71E2">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65841211" w14:textId="77777777" w:rsidR="00E71E86" w:rsidRPr="008B7F6D" w:rsidRDefault="00E71E86" w:rsidP="00E71E86">
            <w:pPr>
              <w:numPr>
                <w:ilvl w:val="0"/>
                <w:numId w:val="12"/>
              </w:numPr>
              <w:spacing w:after="0" w:line="240" w:lineRule="auto"/>
              <w:ind w:left="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Projekta izpildes ietekme uz pārvaldes funkcijām un institucionālo struktūru.</w:t>
            </w:r>
          </w:p>
          <w:p w14:paraId="16B5FCAE" w14:textId="77777777" w:rsidR="00E71E86" w:rsidRPr="008B7F6D" w:rsidRDefault="00E71E86" w:rsidP="00C81002">
            <w:pPr>
              <w:spacing w:after="0" w:line="240" w:lineRule="auto"/>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5EAB6544" w14:textId="77777777" w:rsidR="00E71E86" w:rsidRPr="008B7F6D" w:rsidRDefault="00E71E86" w:rsidP="00592DD8">
            <w:pPr>
              <w:spacing w:line="240" w:lineRule="auto"/>
              <w:jc w:val="both"/>
              <w:rPr>
                <w:rFonts w:ascii="Times New Roman" w:hAnsi="Times New Roman"/>
                <w:sz w:val="24"/>
                <w:szCs w:val="24"/>
              </w:rPr>
            </w:pPr>
            <w:r w:rsidRPr="008B7F6D">
              <w:rPr>
                <w:rFonts w:ascii="Times New Roman" w:hAnsi="Times New Roman"/>
                <w:sz w:val="24"/>
                <w:szCs w:val="24"/>
              </w:rPr>
              <w:t xml:space="preserve">Noteikumu projekta izpildi nodrošinās </w:t>
            </w:r>
            <w:r w:rsidR="007E496C" w:rsidRPr="008B7F6D">
              <w:rPr>
                <w:rFonts w:ascii="Times New Roman" w:eastAsia="Times New Roman" w:hAnsi="Times New Roman"/>
                <w:sz w:val="24"/>
                <w:szCs w:val="24"/>
                <w:lang w:eastAsia="lv-LV"/>
              </w:rPr>
              <w:t>Ekonomikas ministrija</w:t>
            </w:r>
            <w:r w:rsidR="00D421FD" w:rsidRPr="008B7F6D">
              <w:rPr>
                <w:rFonts w:ascii="Times New Roman" w:hAnsi="Times New Roman"/>
                <w:sz w:val="24"/>
                <w:szCs w:val="24"/>
              </w:rPr>
              <w:t xml:space="preserve">, CFLA un </w:t>
            </w:r>
            <w:r w:rsidR="009E71E2" w:rsidRPr="008B7F6D">
              <w:rPr>
                <w:rFonts w:ascii="Times New Roman" w:hAnsi="Times New Roman"/>
                <w:sz w:val="24"/>
                <w:szCs w:val="24"/>
              </w:rPr>
              <w:t>Altum</w:t>
            </w:r>
            <w:r w:rsidRPr="008B7F6D">
              <w:rPr>
                <w:rFonts w:ascii="Times New Roman" w:hAnsi="Times New Roman"/>
                <w:sz w:val="24"/>
                <w:szCs w:val="24"/>
              </w:rPr>
              <w:t xml:space="preserve"> </w:t>
            </w:r>
            <w:r w:rsidR="00D421FD" w:rsidRPr="008B7F6D">
              <w:rPr>
                <w:rFonts w:ascii="Times New Roman" w:hAnsi="Times New Roman"/>
                <w:sz w:val="24"/>
                <w:szCs w:val="24"/>
              </w:rPr>
              <w:t>esošo cilvēkresursu un finanšu līdzekļu ietvaros</w:t>
            </w:r>
            <w:r w:rsidRPr="008B7F6D">
              <w:rPr>
                <w:rFonts w:ascii="Times New Roman" w:hAnsi="Times New Roman"/>
                <w:sz w:val="24"/>
                <w:szCs w:val="24"/>
              </w:rPr>
              <w:t>.</w:t>
            </w:r>
          </w:p>
        </w:tc>
      </w:tr>
      <w:tr w:rsidR="00A96CB5" w:rsidRPr="008B7F6D" w14:paraId="724B23C4" w14:textId="77777777" w:rsidTr="009E71E2">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1BEAFDF3" w14:textId="77777777" w:rsidR="00E71E86" w:rsidRPr="008B7F6D" w:rsidRDefault="00E71E86" w:rsidP="00E71E86">
            <w:pPr>
              <w:numPr>
                <w:ilvl w:val="0"/>
                <w:numId w:val="12"/>
              </w:numPr>
              <w:spacing w:after="0" w:line="240" w:lineRule="auto"/>
              <w:ind w:left="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Cita informācija</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1D0B67" w14:textId="77777777" w:rsidR="00E71E86" w:rsidRPr="008B7F6D" w:rsidRDefault="00E71E86" w:rsidP="00592DD8">
            <w:pPr>
              <w:spacing w:after="0" w:line="240" w:lineRule="auto"/>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Nav</w:t>
            </w:r>
          </w:p>
        </w:tc>
      </w:tr>
    </w:tbl>
    <w:p w14:paraId="74937708" w14:textId="77777777" w:rsidR="007D146A" w:rsidRPr="008B7F6D" w:rsidRDefault="007D146A" w:rsidP="00E71E86">
      <w:pPr>
        <w:tabs>
          <w:tab w:val="right" w:pos="9071"/>
        </w:tabs>
        <w:spacing w:after="0" w:line="240" w:lineRule="auto"/>
        <w:ind w:left="-567"/>
        <w:jc w:val="both"/>
        <w:rPr>
          <w:rFonts w:ascii="Times New Roman" w:hAnsi="Times New Roman"/>
          <w:strike/>
          <w:sz w:val="24"/>
          <w:szCs w:val="24"/>
          <w:u w:val="single"/>
        </w:rPr>
      </w:pPr>
    </w:p>
    <w:p w14:paraId="42558203" w14:textId="1B9DF2B2" w:rsidR="00E71E86" w:rsidRPr="008B7F6D" w:rsidRDefault="00076AEC" w:rsidP="00444397">
      <w:pPr>
        <w:tabs>
          <w:tab w:val="right" w:pos="9071"/>
        </w:tabs>
        <w:spacing w:after="120" w:line="240" w:lineRule="auto"/>
        <w:ind w:left="-567"/>
        <w:jc w:val="both"/>
        <w:rPr>
          <w:rFonts w:ascii="Times New Roman" w:hAnsi="Times New Roman"/>
          <w:b/>
          <w:sz w:val="24"/>
          <w:szCs w:val="24"/>
        </w:rPr>
      </w:pPr>
      <w:r w:rsidRPr="008B7F6D">
        <w:rPr>
          <w:rFonts w:ascii="Times New Roman" w:hAnsi="Times New Roman"/>
          <w:b/>
          <w:sz w:val="24"/>
          <w:szCs w:val="24"/>
        </w:rPr>
        <w:t>E</w:t>
      </w:r>
      <w:r w:rsidR="00E71E86" w:rsidRPr="008B7F6D">
        <w:rPr>
          <w:rFonts w:ascii="Times New Roman" w:hAnsi="Times New Roman"/>
          <w:b/>
          <w:sz w:val="24"/>
          <w:szCs w:val="24"/>
        </w:rPr>
        <w:t xml:space="preserve">konomikas ministrs </w:t>
      </w:r>
      <w:r w:rsidR="00E71E86" w:rsidRPr="008B7F6D">
        <w:rPr>
          <w:rFonts w:ascii="Times New Roman" w:hAnsi="Times New Roman"/>
          <w:b/>
          <w:sz w:val="24"/>
          <w:szCs w:val="24"/>
        </w:rPr>
        <w:tab/>
      </w:r>
      <w:r w:rsidRPr="008B7F6D">
        <w:rPr>
          <w:rFonts w:ascii="Times New Roman" w:hAnsi="Times New Roman"/>
          <w:b/>
          <w:sz w:val="24"/>
          <w:szCs w:val="24"/>
        </w:rPr>
        <w:t>R. Nemiro</w:t>
      </w:r>
    </w:p>
    <w:p w14:paraId="4CBE9EDA" w14:textId="2E1FF8F1" w:rsidR="00444397" w:rsidRDefault="00E11824" w:rsidP="00E71E86">
      <w:pPr>
        <w:tabs>
          <w:tab w:val="right" w:pos="9071"/>
        </w:tabs>
        <w:spacing w:after="0" w:line="240" w:lineRule="auto"/>
        <w:ind w:left="-567"/>
        <w:jc w:val="both"/>
        <w:rPr>
          <w:rFonts w:ascii="Times New Roman" w:hAnsi="Times New Roman"/>
          <w:b/>
          <w:sz w:val="24"/>
          <w:szCs w:val="24"/>
        </w:rPr>
      </w:pPr>
      <w:r w:rsidRPr="008B7F6D">
        <w:rPr>
          <w:rFonts w:ascii="Times New Roman" w:hAnsi="Times New Roman"/>
          <w:b/>
          <w:sz w:val="24"/>
          <w:szCs w:val="24"/>
        </w:rPr>
        <w:t>Vīza:</w:t>
      </w:r>
      <w:r w:rsidR="00444397">
        <w:rPr>
          <w:rFonts w:ascii="Times New Roman" w:hAnsi="Times New Roman"/>
          <w:b/>
          <w:sz w:val="24"/>
          <w:szCs w:val="24"/>
        </w:rPr>
        <w:t xml:space="preserve"> </w:t>
      </w:r>
      <w:r w:rsidRPr="008B7F6D">
        <w:rPr>
          <w:rFonts w:ascii="Times New Roman" w:hAnsi="Times New Roman"/>
          <w:b/>
          <w:sz w:val="24"/>
          <w:szCs w:val="24"/>
        </w:rPr>
        <w:t>Valsts sekretār</w:t>
      </w:r>
      <w:r w:rsidR="00C24CC1">
        <w:rPr>
          <w:rFonts w:ascii="Times New Roman" w:hAnsi="Times New Roman"/>
          <w:b/>
          <w:sz w:val="24"/>
          <w:szCs w:val="24"/>
        </w:rPr>
        <w:t xml:space="preserve">a </w:t>
      </w:r>
      <w:proofErr w:type="spellStart"/>
      <w:r w:rsidR="00C24CC1">
        <w:rPr>
          <w:rFonts w:ascii="Times New Roman" w:hAnsi="Times New Roman"/>
          <w:b/>
          <w:sz w:val="24"/>
          <w:szCs w:val="24"/>
        </w:rPr>
        <w:t>p.i</w:t>
      </w:r>
      <w:proofErr w:type="spellEnd"/>
      <w:r w:rsidR="00C24CC1">
        <w:rPr>
          <w:rFonts w:ascii="Times New Roman" w:hAnsi="Times New Roman"/>
          <w:b/>
          <w:sz w:val="24"/>
          <w:szCs w:val="24"/>
        </w:rPr>
        <w:t>.</w:t>
      </w:r>
      <w:r w:rsidR="00444397">
        <w:rPr>
          <w:rFonts w:ascii="Times New Roman" w:hAnsi="Times New Roman"/>
          <w:b/>
          <w:sz w:val="24"/>
          <w:szCs w:val="24"/>
        </w:rPr>
        <w:t>,</w:t>
      </w:r>
    </w:p>
    <w:p w14:paraId="1DBD5AE0" w14:textId="2B0234D8" w:rsidR="00E71E86" w:rsidRPr="008B7F6D" w:rsidRDefault="00444397" w:rsidP="00444397">
      <w:pPr>
        <w:tabs>
          <w:tab w:val="left" w:pos="7371"/>
          <w:tab w:val="right" w:pos="9071"/>
        </w:tabs>
        <w:spacing w:after="0" w:line="240" w:lineRule="auto"/>
        <w:ind w:left="-567"/>
        <w:jc w:val="both"/>
        <w:rPr>
          <w:rFonts w:ascii="Times New Roman" w:hAnsi="Times New Roman"/>
          <w:b/>
          <w:sz w:val="24"/>
          <w:szCs w:val="24"/>
        </w:rPr>
      </w:pPr>
      <w:r w:rsidRPr="00444397">
        <w:rPr>
          <w:rFonts w:ascii="Times New Roman" w:hAnsi="Times New Roman"/>
          <w:b/>
          <w:sz w:val="24"/>
          <w:szCs w:val="24"/>
        </w:rPr>
        <w:t>Valsts sekretāra vietnieks</w:t>
      </w:r>
      <w:bookmarkStart w:id="4" w:name="_GoBack"/>
      <w:bookmarkEnd w:id="4"/>
      <w:r w:rsidR="00E11824" w:rsidRPr="008B7F6D">
        <w:rPr>
          <w:rFonts w:ascii="Times New Roman" w:hAnsi="Times New Roman"/>
          <w:b/>
          <w:sz w:val="24"/>
          <w:szCs w:val="24"/>
        </w:rPr>
        <w:tab/>
      </w:r>
      <w:r w:rsidR="00C24CC1">
        <w:rPr>
          <w:rFonts w:ascii="Times New Roman" w:hAnsi="Times New Roman"/>
          <w:b/>
          <w:sz w:val="24"/>
          <w:szCs w:val="24"/>
        </w:rPr>
        <w:t>E</w:t>
      </w:r>
      <w:r w:rsidR="00E71E86" w:rsidRPr="008B7F6D">
        <w:rPr>
          <w:rFonts w:ascii="Times New Roman" w:hAnsi="Times New Roman"/>
          <w:b/>
          <w:sz w:val="24"/>
          <w:szCs w:val="24"/>
        </w:rPr>
        <w:t>.</w:t>
      </w:r>
      <w:r w:rsidR="000734A4" w:rsidRPr="008B7F6D">
        <w:rPr>
          <w:rFonts w:ascii="Times New Roman" w:hAnsi="Times New Roman"/>
          <w:b/>
          <w:sz w:val="24"/>
          <w:szCs w:val="24"/>
        </w:rPr>
        <w:t xml:space="preserve"> </w:t>
      </w:r>
      <w:r w:rsidR="00C24CC1">
        <w:rPr>
          <w:rFonts w:ascii="Times New Roman" w:hAnsi="Times New Roman"/>
          <w:b/>
          <w:sz w:val="24"/>
          <w:szCs w:val="24"/>
        </w:rPr>
        <w:t>Valantis</w:t>
      </w:r>
    </w:p>
    <w:sectPr w:rsidR="00E71E86" w:rsidRPr="008B7F6D" w:rsidSect="00444397">
      <w:headerReference w:type="default" r:id="rId8"/>
      <w:footerReference w:type="default" r:id="rId9"/>
      <w:pgSz w:w="11906" w:h="16838"/>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98255" w14:textId="77777777" w:rsidR="001E2ED4" w:rsidRDefault="001E2ED4" w:rsidP="003C3CF6">
      <w:pPr>
        <w:spacing w:after="0" w:line="240" w:lineRule="auto"/>
      </w:pPr>
      <w:r>
        <w:separator/>
      </w:r>
    </w:p>
  </w:endnote>
  <w:endnote w:type="continuationSeparator" w:id="0">
    <w:p w14:paraId="0B2BEF59" w14:textId="77777777" w:rsidR="001E2ED4" w:rsidRDefault="001E2ED4" w:rsidP="003C3CF6">
      <w:pPr>
        <w:spacing w:after="0" w:line="240" w:lineRule="auto"/>
      </w:pPr>
      <w:r>
        <w:continuationSeparator/>
      </w:r>
    </w:p>
  </w:endnote>
  <w:endnote w:type="continuationNotice" w:id="1">
    <w:p w14:paraId="5522974E" w14:textId="77777777" w:rsidR="001E2ED4" w:rsidRDefault="001E2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300F" w14:textId="3C24686E" w:rsidR="00DE24D7" w:rsidRPr="004F15DF" w:rsidRDefault="00DE24D7" w:rsidP="00F913C0">
    <w:pPr>
      <w:tabs>
        <w:tab w:val="left" w:pos="6260"/>
      </w:tabs>
      <w:spacing w:after="0" w:line="240" w:lineRule="auto"/>
      <w:ind w:left="-567" w:right="-1050"/>
      <w:jc w:val="both"/>
      <w:rPr>
        <w:rFonts w:ascii="Times New Roman" w:hAnsi="Times New Roman"/>
        <w:sz w:val="20"/>
        <w:szCs w:val="20"/>
      </w:rPr>
    </w:pPr>
    <w:r w:rsidRPr="00E65333">
      <w:rPr>
        <w:rFonts w:ascii="Times New Roman" w:hAnsi="Times New Roman"/>
        <w:noProof/>
        <w:sz w:val="20"/>
      </w:rPr>
      <w:t>EMAnot_</w:t>
    </w:r>
    <w:r w:rsidR="00F811A5">
      <w:rPr>
        <w:rFonts w:ascii="Times New Roman" w:hAnsi="Times New Roman"/>
        <w:noProof/>
        <w:sz w:val="20"/>
      </w:rPr>
      <w:t>2</w:t>
    </w:r>
    <w:r w:rsidR="007D146A">
      <w:rPr>
        <w:rFonts w:ascii="Times New Roman" w:hAnsi="Times New Roman"/>
        <w:noProof/>
        <w:sz w:val="20"/>
      </w:rPr>
      <w:t>9</w:t>
    </w:r>
    <w:r w:rsidR="009329BB">
      <w:rPr>
        <w:rFonts w:ascii="Times New Roman" w:hAnsi="Times New Roman"/>
        <w:noProof/>
        <w:sz w:val="20"/>
      </w:rPr>
      <w:t>0</w:t>
    </w:r>
    <w:r w:rsidR="003A6E85">
      <w:rPr>
        <w:rFonts w:ascii="Times New Roman" w:hAnsi="Times New Roman"/>
        <w:noProof/>
        <w:sz w:val="20"/>
      </w:rPr>
      <w:t>7</w:t>
    </w:r>
    <w:r>
      <w:rPr>
        <w:rFonts w:ascii="Times New Roman" w:hAnsi="Times New Roman"/>
        <w:noProof/>
        <w:sz w:val="20"/>
      </w:rPr>
      <w:t>19_G</w:t>
    </w:r>
    <w:r w:rsidRPr="00E65333">
      <w:rPr>
        <w:rFonts w:ascii="Times New Roman" w:hAnsi="Times New Roman"/>
        <w:noProof/>
        <w:sz w:val="20"/>
      </w:rPr>
      <w:t>roz160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CC6FC" w14:textId="77777777" w:rsidR="001E2ED4" w:rsidRDefault="001E2ED4" w:rsidP="003C3CF6">
      <w:pPr>
        <w:spacing w:after="0" w:line="240" w:lineRule="auto"/>
      </w:pPr>
      <w:r>
        <w:separator/>
      </w:r>
    </w:p>
  </w:footnote>
  <w:footnote w:type="continuationSeparator" w:id="0">
    <w:p w14:paraId="57ED1930" w14:textId="77777777" w:rsidR="001E2ED4" w:rsidRDefault="001E2ED4" w:rsidP="003C3CF6">
      <w:pPr>
        <w:spacing w:after="0" w:line="240" w:lineRule="auto"/>
      </w:pPr>
      <w:r>
        <w:continuationSeparator/>
      </w:r>
    </w:p>
  </w:footnote>
  <w:footnote w:type="continuationNotice" w:id="1">
    <w:p w14:paraId="2596A15D" w14:textId="77777777" w:rsidR="001E2ED4" w:rsidRDefault="001E2E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433843"/>
      <w:docPartObj>
        <w:docPartGallery w:val="Page Numbers (Top of Page)"/>
        <w:docPartUnique/>
      </w:docPartObj>
    </w:sdtPr>
    <w:sdtEndPr>
      <w:rPr>
        <w:rFonts w:ascii="Times New Roman" w:hAnsi="Times New Roman"/>
        <w:noProof/>
      </w:rPr>
    </w:sdtEndPr>
    <w:sdtContent>
      <w:p w14:paraId="21E3C39C" w14:textId="77777777" w:rsidR="00DE24D7" w:rsidRPr="00414834" w:rsidRDefault="00DE24D7">
        <w:pPr>
          <w:pStyle w:val="Header"/>
          <w:jc w:val="center"/>
          <w:rPr>
            <w:rFonts w:ascii="Times New Roman" w:hAnsi="Times New Roman"/>
          </w:rPr>
        </w:pPr>
        <w:r w:rsidRPr="00414834">
          <w:rPr>
            <w:rFonts w:ascii="Times New Roman" w:hAnsi="Times New Roman"/>
          </w:rPr>
          <w:fldChar w:fldCharType="begin"/>
        </w:r>
        <w:r w:rsidRPr="00414834">
          <w:rPr>
            <w:rFonts w:ascii="Times New Roman" w:hAnsi="Times New Roman"/>
          </w:rPr>
          <w:instrText xml:space="preserve"> PAGE   \* MERGEFORMAT </w:instrText>
        </w:r>
        <w:r w:rsidRPr="00414834">
          <w:rPr>
            <w:rFonts w:ascii="Times New Roman" w:hAnsi="Times New Roman"/>
          </w:rPr>
          <w:fldChar w:fldCharType="separate"/>
        </w:r>
        <w:r w:rsidR="003E4F9F">
          <w:rPr>
            <w:rFonts w:ascii="Times New Roman" w:hAnsi="Times New Roman"/>
            <w:noProof/>
          </w:rPr>
          <w:t>9</w:t>
        </w:r>
        <w:r w:rsidRPr="00414834">
          <w:rPr>
            <w:rFonts w:ascii="Times New Roman" w:hAnsi="Times New Roman"/>
            <w:noProof/>
          </w:rPr>
          <w:fldChar w:fldCharType="end"/>
        </w:r>
      </w:p>
    </w:sdtContent>
  </w:sdt>
  <w:p w14:paraId="39D3F065" w14:textId="77777777" w:rsidR="00DE24D7" w:rsidRDefault="00DE2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E8D"/>
    <w:multiLevelType w:val="hybridMultilevel"/>
    <w:tmpl w:val="42FE7BDC"/>
    <w:lvl w:ilvl="0" w:tplc="0426000B">
      <w:start w:val="1"/>
      <w:numFmt w:val="bullet"/>
      <w:lvlText w:val=""/>
      <w:lvlJc w:val="left"/>
      <w:pPr>
        <w:ind w:left="1119" w:hanging="360"/>
      </w:pPr>
      <w:rPr>
        <w:rFonts w:ascii="Wingdings" w:hAnsi="Wingdings"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1" w15:restartNumberingAfterBreak="0">
    <w:nsid w:val="075D2952"/>
    <w:multiLevelType w:val="hybridMultilevel"/>
    <w:tmpl w:val="821871B2"/>
    <w:lvl w:ilvl="0" w:tplc="8FE84C6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A2B41CB"/>
    <w:multiLevelType w:val="hybridMultilevel"/>
    <w:tmpl w:val="88603D14"/>
    <w:lvl w:ilvl="0" w:tplc="9C528CB6">
      <w:start w:val="1"/>
      <w:numFmt w:val="bullet"/>
      <w:lvlText w:val="-"/>
      <w:lvlJc w:val="left"/>
      <w:pPr>
        <w:tabs>
          <w:tab w:val="num" w:pos="720"/>
        </w:tabs>
        <w:ind w:left="720" w:hanging="360"/>
      </w:pPr>
      <w:rPr>
        <w:rFonts w:ascii="Times New Roman" w:hAnsi="Times New Roman" w:hint="default"/>
      </w:rPr>
    </w:lvl>
    <w:lvl w:ilvl="1" w:tplc="CE80B2D0" w:tentative="1">
      <w:start w:val="1"/>
      <w:numFmt w:val="bullet"/>
      <w:lvlText w:val="-"/>
      <w:lvlJc w:val="left"/>
      <w:pPr>
        <w:tabs>
          <w:tab w:val="num" w:pos="1440"/>
        </w:tabs>
        <w:ind w:left="1440" w:hanging="360"/>
      </w:pPr>
      <w:rPr>
        <w:rFonts w:ascii="Times New Roman" w:hAnsi="Times New Roman" w:hint="default"/>
      </w:rPr>
    </w:lvl>
    <w:lvl w:ilvl="2" w:tplc="726C1ED6" w:tentative="1">
      <w:start w:val="1"/>
      <w:numFmt w:val="bullet"/>
      <w:lvlText w:val="-"/>
      <w:lvlJc w:val="left"/>
      <w:pPr>
        <w:tabs>
          <w:tab w:val="num" w:pos="2160"/>
        </w:tabs>
        <w:ind w:left="2160" w:hanging="360"/>
      </w:pPr>
      <w:rPr>
        <w:rFonts w:ascii="Times New Roman" w:hAnsi="Times New Roman" w:hint="default"/>
      </w:rPr>
    </w:lvl>
    <w:lvl w:ilvl="3" w:tplc="58A671DE" w:tentative="1">
      <w:start w:val="1"/>
      <w:numFmt w:val="bullet"/>
      <w:lvlText w:val="-"/>
      <w:lvlJc w:val="left"/>
      <w:pPr>
        <w:tabs>
          <w:tab w:val="num" w:pos="2880"/>
        </w:tabs>
        <w:ind w:left="2880" w:hanging="360"/>
      </w:pPr>
      <w:rPr>
        <w:rFonts w:ascii="Times New Roman" w:hAnsi="Times New Roman" w:hint="default"/>
      </w:rPr>
    </w:lvl>
    <w:lvl w:ilvl="4" w:tplc="DFBE0770" w:tentative="1">
      <w:start w:val="1"/>
      <w:numFmt w:val="bullet"/>
      <w:lvlText w:val="-"/>
      <w:lvlJc w:val="left"/>
      <w:pPr>
        <w:tabs>
          <w:tab w:val="num" w:pos="3600"/>
        </w:tabs>
        <w:ind w:left="3600" w:hanging="360"/>
      </w:pPr>
      <w:rPr>
        <w:rFonts w:ascii="Times New Roman" w:hAnsi="Times New Roman" w:hint="default"/>
      </w:rPr>
    </w:lvl>
    <w:lvl w:ilvl="5" w:tplc="8E447146" w:tentative="1">
      <w:start w:val="1"/>
      <w:numFmt w:val="bullet"/>
      <w:lvlText w:val="-"/>
      <w:lvlJc w:val="left"/>
      <w:pPr>
        <w:tabs>
          <w:tab w:val="num" w:pos="4320"/>
        </w:tabs>
        <w:ind w:left="4320" w:hanging="360"/>
      </w:pPr>
      <w:rPr>
        <w:rFonts w:ascii="Times New Roman" w:hAnsi="Times New Roman" w:hint="default"/>
      </w:rPr>
    </w:lvl>
    <w:lvl w:ilvl="6" w:tplc="0D0E2534" w:tentative="1">
      <w:start w:val="1"/>
      <w:numFmt w:val="bullet"/>
      <w:lvlText w:val="-"/>
      <w:lvlJc w:val="left"/>
      <w:pPr>
        <w:tabs>
          <w:tab w:val="num" w:pos="5040"/>
        </w:tabs>
        <w:ind w:left="5040" w:hanging="360"/>
      </w:pPr>
      <w:rPr>
        <w:rFonts w:ascii="Times New Roman" w:hAnsi="Times New Roman" w:hint="default"/>
      </w:rPr>
    </w:lvl>
    <w:lvl w:ilvl="7" w:tplc="9EF21058" w:tentative="1">
      <w:start w:val="1"/>
      <w:numFmt w:val="bullet"/>
      <w:lvlText w:val="-"/>
      <w:lvlJc w:val="left"/>
      <w:pPr>
        <w:tabs>
          <w:tab w:val="num" w:pos="5760"/>
        </w:tabs>
        <w:ind w:left="5760" w:hanging="360"/>
      </w:pPr>
      <w:rPr>
        <w:rFonts w:ascii="Times New Roman" w:hAnsi="Times New Roman" w:hint="default"/>
      </w:rPr>
    </w:lvl>
    <w:lvl w:ilvl="8" w:tplc="67D495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AC3F9D"/>
    <w:multiLevelType w:val="hybridMultilevel"/>
    <w:tmpl w:val="41D84B7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3696847"/>
    <w:multiLevelType w:val="hybridMultilevel"/>
    <w:tmpl w:val="D13C908A"/>
    <w:lvl w:ilvl="0" w:tplc="D182EA4A">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5" w15:restartNumberingAfterBreak="0">
    <w:nsid w:val="157C5CD8"/>
    <w:multiLevelType w:val="hybridMultilevel"/>
    <w:tmpl w:val="1C5C626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C000C4"/>
    <w:multiLevelType w:val="hybridMultilevel"/>
    <w:tmpl w:val="7772CF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B6F2BF4"/>
    <w:multiLevelType w:val="hybridMultilevel"/>
    <w:tmpl w:val="06D45934"/>
    <w:lvl w:ilvl="0" w:tplc="752A55C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F23FD6"/>
    <w:multiLevelType w:val="hybridMultilevel"/>
    <w:tmpl w:val="B44EAAEE"/>
    <w:lvl w:ilvl="0" w:tplc="0426000F">
      <w:start w:val="1"/>
      <w:numFmt w:val="decimal"/>
      <w:lvlText w:val="%1."/>
      <w:lvlJc w:val="left"/>
      <w:pPr>
        <w:ind w:left="720" w:hanging="360"/>
      </w:pPr>
      <w:rPr>
        <w:rFonts w:hint="default"/>
        <w:b/>
        <w:i w:val="0"/>
        <w:sz w:val="22"/>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C80F43"/>
    <w:multiLevelType w:val="hybridMultilevel"/>
    <w:tmpl w:val="5E844372"/>
    <w:lvl w:ilvl="0" w:tplc="7D6C3BAE">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43069D"/>
    <w:multiLevelType w:val="hybridMultilevel"/>
    <w:tmpl w:val="D902E1FA"/>
    <w:lvl w:ilvl="0" w:tplc="0426000B">
      <w:start w:val="1"/>
      <w:numFmt w:val="bullet"/>
      <w:lvlText w:val=""/>
      <w:lvlJc w:val="left"/>
      <w:pPr>
        <w:ind w:left="1369" w:hanging="360"/>
      </w:pPr>
      <w:rPr>
        <w:rFonts w:ascii="Wingdings" w:hAnsi="Wingdings" w:hint="default"/>
      </w:rPr>
    </w:lvl>
    <w:lvl w:ilvl="1" w:tplc="04260003" w:tentative="1">
      <w:start w:val="1"/>
      <w:numFmt w:val="bullet"/>
      <w:lvlText w:val="o"/>
      <w:lvlJc w:val="left"/>
      <w:pPr>
        <w:ind w:left="2089" w:hanging="360"/>
      </w:pPr>
      <w:rPr>
        <w:rFonts w:ascii="Courier New" w:hAnsi="Courier New" w:cs="Courier New" w:hint="default"/>
      </w:rPr>
    </w:lvl>
    <w:lvl w:ilvl="2" w:tplc="04260005" w:tentative="1">
      <w:start w:val="1"/>
      <w:numFmt w:val="bullet"/>
      <w:lvlText w:val=""/>
      <w:lvlJc w:val="left"/>
      <w:pPr>
        <w:ind w:left="2809" w:hanging="360"/>
      </w:pPr>
      <w:rPr>
        <w:rFonts w:ascii="Wingdings" w:hAnsi="Wingdings" w:hint="default"/>
      </w:rPr>
    </w:lvl>
    <w:lvl w:ilvl="3" w:tplc="04260001" w:tentative="1">
      <w:start w:val="1"/>
      <w:numFmt w:val="bullet"/>
      <w:lvlText w:val=""/>
      <w:lvlJc w:val="left"/>
      <w:pPr>
        <w:ind w:left="3529" w:hanging="360"/>
      </w:pPr>
      <w:rPr>
        <w:rFonts w:ascii="Symbol" w:hAnsi="Symbol" w:hint="default"/>
      </w:rPr>
    </w:lvl>
    <w:lvl w:ilvl="4" w:tplc="04260003" w:tentative="1">
      <w:start w:val="1"/>
      <w:numFmt w:val="bullet"/>
      <w:lvlText w:val="o"/>
      <w:lvlJc w:val="left"/>
      <w:pPr>
        <w:ind w:left="4249" w:hanging="360"/>
      </w:pPr>
      <w:rPr>
        <w:rFonts w:ascii="Courier New" w:hAnsi="Courier New" w:cs="Courier New" w:hint="default"/>
      </w:rPr>
    </w:lvl>
    <w:lvl w:ilvl="5" w:tplc="04260005" w:tentative="1">
      <w:start w:val="1"/>
      <w:numFmt w:val="bullet"/>
      <w:lvlText w:val=""/>
      <w:lvlJc w:val="left"/>
      <w:pPr>
        <w:ind w:left="4969" w:hanging="360"/>
      </w:pPr>
      <w:rPr>
        <w:rFonts w:ascii="Wingdings" w:hAnsi="Wingdings" w:hint="default"/>
      </w:rPr>
    </w:lvl>
    <w:lvl w:ilvl="6" w:tplc="04260001" w:tentative="1">
      <w:start w:val="1"/>
      <w:numFmt w:val="bullet"/>
      <w:lvlText w:val=""/>
      <w:lvlJc w:val="left"/>
      <w:pPr>
        <w:ind w:left="5689" w:hanging="360"/>
      </w:pPr>
      <w:rPr>
        <w:rFonts w:ascii="Symbol" w:hAnsi="Symbol" w:hint="default"/>
      </w:rPr>
    </w:lvl>
    <w:lvl w:ilvl="7" w:tplc="04260003" w:tentative="1">
      <w:start w:val="1"/>
      <w:numFmt w:val="bullet"/>
      <w:lvlText w:val="o"/>
      <w:lvlJc w:val="left"/>
      <w:pPr>
        <w:ind w:left="6409" w:hanging="360"/>
      </w:pPr>
      <w:rPr>
        <w:rFonts w:ascii="Courier New" w:hAnsi="Courier New" w:cs="Courier New" w:hint="default"/>
      </w:rPr>
    </w:lvl>
    <w:lvl w:ilvl="8" w:tplc="04260005" w:tentative="1">
      <w:start w:val="1"/>
      <w:numFmt w:val="bullet"/>
      <w:lvlText w:val=""/>
      <w:lvlJc w:val="left"/>
      <w:pPr>
        <w:ind w:left="7129" w:hanging="360"/>
      </w:pPr>
      <w:rPr>
        <w:rFonts w:ascii="Wingdings" w:hAnsi="Wingdings" w:hint="default"/>
      </w:rPr>
    </w:lvl>
  </w:abstractNum>
  <w:abstractNum w:abstractNumId="11" w15:restartNumberingAfterBreak="0">
    <w:nsid w:val="2C6437DF"/>
    <w:multiLevelType w:val="hybridMultilevel"/>
    <w:tmpl w:val="79C60C0C"/>
    <w:lvl w:ilvl="0" w:tplc="68BC5C74">
      <w:start w:val="1"/>
      <w:numFmt w:val="decimal"/>
      <w:lvlText w:val="%1."/>
      <w:lvlJc w:val="left"/>
      <w:pPr>
        <w:ind w:left="643" w:hanging="360"/>
      </w:pPr>
      <w:rPr>
        <w:rFonts w:ascii="Times New Roman" w:hAnsi="Times New Roman" w:cs="Times New Roman" w:hint="default"/>
        <w:b/>
        <w:i/>
        <w:sz w:val="24"/>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992CD0"/>
    <w:multiLevelType w:val="hybridMultilevel"/>
    <w:tmpl w:val="D59E9310"/>
    <w:lvl w:ilvl="0" w:tplc="9894E7C4">
      <w:numFmt w:val="bullet"/>
      <w:lvlText w:val="•"/>
      <w:lvlJc w:val="left"/>
      <w:pPr>
        <w:ind w:left="714" w:hanging="660"/>
      </w:pPr>
      <w:rPr>
        <w:rFonts w:ascii="Times New Roman" w:eastAsia="Calibri" w:hAnsi="Times New Roman" w:cs="Times New Roman" w:hint="default"/>
      </w:rPr>
    </w:lvl>
    <w:lvl w:ilvl="1" w:tplc="04260003" w:tentative="1">
      <w:start w:val="1"/>
      <w:numFmt w:val="bullet"/>
      <w:lvlText w:val="o"/>
      <w:lvlJc w:val="left"/>
      <w:pPr>
        <w:ind w:left="1134" w:hanging="360"/>
      </w:pPr>
      <w:rPr>
        <w:rFonts w:ascii="Courier New" w:hAnsi="Courier New" w:cs="Courier New" w:hint="default"/>
      </w:rPr>
    </w:lvl>
    <w:lvl w:ilvl="2" w:tplc="04260005" w:tentative="1">
      <w:start w:val="1"/>
      <w:numFmt w:val="bullet"/>
      <w:lvlText w:val=""/>
      <w:lvlJc w:val="left"/>
      <w:pPr>
        <w:ind w:left="1854" w:hanging="360"/>
      </w:pPr>
      <w:rPr>
        <w:rFonts w:ascii="Wingdings" w:hAnsi="Wingdings" w:hint="default"/>
      </w:rPr>
    </w:lvl>
    <w:lvl w:ilvl="3" w:tplc="04260001" w:tentative="1">
      <w:start w:val="1"/>
      <w:numFmt w:val="bullet"/>
      <w:lvlText w:val=""/>
      <w:lvlJc w:val="left"/>
      <w:pPr>
        <w:ind w:left="2574" w:hanging="360"/>
      </w:pPr>
      <w:rPr>
        <w:rFonts w:ascii="Symbol" w:hAnsi="Symbol" w:hint="default"/>
      </w:rPr>
    </w:lvl>
    <w:lvl w:ilvl="4" w:tplc="04260003" w:tentative="1">
      <w:start w:val="1"/>
      <w:numFmt w:val="bullet"/>
      <w:lvlText w:val="o"/>
      <w:lvlJc w:val="left"/>
      <w:pPr>
        <w:ind w:left="3294" w:hanging="360"/>
      </w:pPr>
      <w:rPr>
        <w:rFonts w:ascii="Courier New" w:hAnsi="Courier New" w:cs="Courier New" w:hint="default"/>
      </w:rPr>
    </w:lvl>
    <w:lvl w:ilvl="5" w:tplc="04260005" w:tentative="1">
      <w:start w:val="1"/>
      <w:numFmt w:val="bullet"/>
      <w:lvlText w:val=""/>
      <w:lvlJc w:val="left"/>
      <w:pPr>
        <w:ind w:left="4014" w:hanging="360"/>
      </w:pPr>
      <w:rPr>
        <w:rFonts w:ascii="Wingdings" w:hAnsi="Wingdings" w:hint="default"/>
      </w:rPr>
    </w:lvl>
    <w:lvl w:ilvl="6" w:tplc="04260001" w:tentative="1">
      <w:start w:val="1"/>
      <w:numFmt w:val="bullet"/>
      <w:lvlText w:val=""/>
      <w:lvlJc w:val="left"/>
      <w:pPr>
        <w:ind w:left="4734" w:hanging="360"/>
      </w:pPr>
      <w:rPr>
        <w:rFonts w:ascii="Symbol" w:hAnsi="Symbol" w:hint="default"/>
      </w:rPr>
    </w:lvl>
    <w:lvl w:ilvl="7" w:tplc="04260003" w:tentative="1">
      <w:start w:val="1"/>
      <w:numFmt w:val="bullet"/>
      <w:lvlText w:val="o"/>
      <w:lvlJc w:val="left"/>
      <w:pPr>
        <w:ind w:left="5454" w:hanging="360"/>
      </w:pPr>
      <w:rPr>
        <w:rFonts w:ascii="Courier New" w:hAnsi="Courier New" w:cs="Courier New" w:hint="default"/>
      </w:rPr>
    </w:lvl>
    <w:lvl w:ilvl="8" w:tplc="04260005" w:tentative="1">
      <w:start w:val="1"/>
      <w:numFmt w:val="bullet"/>
      <w:lvlText w:val=""/>
      <w:lvlJc w:val="left"/>
      <w:pPr>
        <w:ind w:left="6174" w:hanging="360"/>
      </w:pPr>
      <w:rPr>
        <w:rFonts w:ascii="Wingdings" w:hAnsi="Wingdings" w:hint="default"/>
      </w:rPr>
    </w:lvl>
  </w:abstractNum>
  <w:abstractNum w:abstractNumId="13" w15:restartNumberingAfterBreak="0">
    <w:nsid w:val="2CE46B09"/>
    <w:multiLevelType w:val="hybridMultilevel"/>
    <w:tmpl w:val="1FDEF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E067BF"/>
    <w:multiLevelType w:val="hybridMultilevel"/>
    <w:tmpl w:val="B6F6A51A"/>
    <w:lvl w:ilvl="0" w:tplc="10E0BAE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004A5C"/>
    <w:multiLevelType w:val="hybridMultilevel"/>
    <w:tmpl w:val="D7EAAF42"/>
    <w:lvl w:ilvl="0" w:tplc="0426000B">
      <w:start w:val="1"/>
      <w:numFmt w:val="bullet"/>
      <w:lvlText w:val=""/>
      <w:lvlJc w:val="left"/>
      <w:pPr>
        <w:ind w:left="1260" w:hanging="360"/>
      </w:pPr>
      <w:rPr>
        <w:rFonts w:ascii="Wingdings" w:hAnsi="Wingdings"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6" w15:restartNumberingAfterBreak="0">
    <w:nsid w:val="33D126FE"/>
    <w:multiLevelType w:val="multilevel"/>
    <w:tmpl w:val="559CD8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EC2173"/>
    <w:multiLevelType w:val="hybridMultilevel"/>
    <w:tmpl w:val="D75C680A"/>
    <w:lvl w:ilvl="0" w:tplc="4A3EAB8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5E27D7"/>
    <w:multiLevelType w:val="hybridMultilevel"/>
    <w:tmpl w:val="CFD6F15C"/>
    <w:lvl w:ilvl="0" w:tplc="5B80BB5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2A4F45"/>
    <w:multiLevelType w:val="hybridMultilevel"/>
    <w:tmpl w:val="DF4019BA"/>
    <w:lvl w:ilvl="0" w:tplc="7D6C3BA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40BC1EDF"/>
    <w:multiLevelType w:val="hybridMultilevel"/>
    <w:tmpl w:val="8CE47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8A4C39"/>
    <w:multiLevelType w:val="hybridMultilevel"/>
    <w:tmpl w:val="8C562F6C"/>
    <w:lvl w:ilvl="0" w:tplc="C62297A2">
      <w:start w:val="1"/>
      <w:numFmt w:val="decimal"/>
      <w:lvlText w:val="%1."/>
      <w:lvlJc w:val="left"/>
      <w:pPr>
        <w:ind w:left="720" w:hanging="360"/>
      </w:pPr>
      <w:rPr>
        <w:rFonts w:ascii="Times New Roman" w:hAnsi="Times New Roman" w:cs="Times New Roman" w:hint="default"/>
        <w:b/>
        <w:i/>
        <w:sz w:val="24"/>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3C4DB9"/>
    <w:multiLevelType w:val="hybridMultilevel"/>
    <w:tmpl w:val="89FC28EA"/>
    <w:lvl w:ilvl="0" w:tplc="6E680C0C">
      <w:numFmt w:val="bullet"/>
      <w:lvlText w:val="-"/>
      <w:lvlJc w:val="left"/>
      <w:pPr>
        <w:ind w:left="502" w:hanging="360"/>
      </w:pPr>
      <w:rPr>
        <w:rFonts w:ascii="Times New Roman" w:eastAsia="Calibri" w:hAnsi="Times New Roman" w:cs="Times New Roman" w:hint="default"/>
      </w:rPr>
    </w:lvl>
    <w:lvl w:ilvl="1" w:tplc="04260003">
      <w:start w:val="1"/>
      <w:numFmt w:val="bullet"/>
      <w:lvlText w:val="o"/>
      <w:lvlJc w:val="left"/>
      <w:pPr>
        <w:ind w:left="1222" w:hanging="360"/>
      </w:pPr>
      <w:rPr>
        <w:rFonts w:ascii="Courier New" w:hAnsi="Courier New" w:cs="Courier New" w:hint="default"/>
      </w:rPr>
    </w:lvl>
    <w:lvl w:ilvl="2" w:tplc="04260005">
      <w:start w:val="1"/>
      <w:numFmt w:val="bullet"/>
      <w:lvlText w:val=""/>
      <w:lvlJc w:val="left"/>
      <w:pPr>
        <w:ind w:left="1942" w:hanging="360"/>
      </w:pPr>
      <w:rPr>
        <w:rFonts w:ascii="Wingdings" w:hAnsi="Wingdings" w:hint="default"/>
      </w:rPr>
    </w:lvl>
    <w:lvl w:ilvl="3" w:tplc="04260001">
      <w:start w:val="1"/>
      <w:numFmt w:val="bullet"/>
      <w:lvlText w:val=""/>
      <w:lvlJc w:val="left"/>
      <w:pPr>
        <w:ind w:left="2662" w:hanging="360"/>
      </w:pPr>
      <w:rPr>
        <w:rFonts w:ascii="Symbol" w:hAnsi="Symbol" w:hint="default"/>
      </w:rPr>
    </w:lvl>
    <w:lvl w:ilvl="4" w:tplc="04260003">
      <w:start w:val="1"/>
      <w:numFmt w:val="bullet"/>
      <w:lvlText w:val="o"/>
      <w:lvlJc w:val="left"/>
      <w:pPr>
        <w:ind w:left="3382" w:hanging="360"/>
      </w:pPr>
      <w:rPr>
        <w:rFonts w:ascii="Courier New" w:hAnsi="Courier New" w:cs="Courier New" w:hint="default"/>
      </w:rPr>
    </w:lvl>
    <w:lvl w:ilvl="5" w:tplc="04260005">
      <w:start w:val="1"/>
      <w:numFmt w:val="bullet"/>
      <w:lvlText w:val=""/>
      <w:lvlJc w:val="left"/>
      <w:pPr>
        <w:ind w:left="4102" w:hanging="360"/>
      </w:pPr>
      <w:rPr>
        <w:rFonts w:ascii="Wingdings" w:hAnsi="Wingdings" w:hint="default"/>
      </w:rPr>
    </w:lvl>
    <w:lvl w:ilvl="6" w:tplc="04260001">
      <w:start w:val="1"/>
      <w:numFmt w:val="bullet"/>
      <w:lvlText w:val=""/>
      <w:lvlJc w:val="left"/>
      <w:pPr>
        <w:ind w:left="4822" w:hanging="360"/>
      </w:pPr>
      <w:rPr>
        <w:rFonts w:ascii="Symbol" w:hAnsi="Symbol" w:hint="default"/>
      </w:rPr>
    </w:lvl>
    <w:lvl w:ilvl="7" w:tplc="04260003">
      <w:start w:val="1"/>
      <w:numFmt w:val="bullet"/>
      <w:lvlText w:val="o"/>
      <w:lvlJc w:val="left"/>
      <w:pPr>
        <w:ind w:left="5542" w:hanging="360"/>
      </w:pPr>
      <w:rPr>
        <w:rFonts w:ascii="Courier New" w:hAnsi="Courier New" w:cs="Courier New" w:hint="default"/>
      </w:rPr>
    </w:lvl>
    <w:lvl w:ilvl="8" w:tplc="04260005">
      <w:start w:val="1"/>
      <w:numFmt w:val="bullet"/>
      <w:lvlText w:val=""/>
      <w:lvlJc w:val="left"/>
      <w:pPr>
        <w:ind w:left="6262" w:hanging="360"/>
      </w:pPr>
      <w:rPr>
        <w:rFonts w:ascii="Wingdings" w:hAnsi="Wingdings" w:hint="default"/>
      </w:rPr>
    </w:lvl>
  </w:abstractNum>
  <w:abstractNum w:abstractNumId="23" w15:restartNumberingAfterBreak="0">
    <w:nsid w:val="4C825B11"/>
    <w:multiLevelType w:val="hybridMultilevel"/>
    <w:tmpl w:val="BED0C130"/>
    <w:lvl w:ilvl="0" w:tplc="D3A63C34">
      <w:start w:val="1"/>
      <w:numFmt w:val="bullet"/>
      <w:lvlText w:val="-"/>
      <w:lvlJc w:val="left"/>
      <w:pPr>
        <w:tabs>
          <w:tab w:val="num" w:pos="720"/>
        </w:tabs>
        <w:ind w:left="720" w:hanging="360"/>
      </w:pPr>
      <w:rPr>
        <w:rFonts w:ascii="Times New Roman" w:hAnsi="Times New Roman" w:hint="default"/>
      </w:rPr>
    </w:lvl>
    <w:lvl w:ilvl="1" w:tplc="1666BB1A" w:tentative="1">
      <w:start w:val="1"/>
      <w:numFmt w:val="bullet"/>
      <w:lvlText w:val="-"/>
      <w:lvlJc w:val="left"/>
      <w:pPr>
        <w:tabs>
          <w:tab w:val="num" w:pos="1440"/>
        </w:tabs>
        <w:ind w:left="1440" w:hanging="360"/>
      </w:pPr>
      <w:rPr>
        <w:rFonts w:ascii="Times New Roman" w:hAnsi="Times New Roman" w:hint="default"/>
      </w:rPr>
    </w:lvl>
    <w:lvl w:ilvl="2" w:tplc="622EEC66" w:tentative="1">
      <w:start w:val="1"/>
      <w:numFmt w:val="bullet"/>
      <w:lvlText w:val="-"/>
      <w:lvlJc w:val="left"/>
      <w:pPr>
        <w:tabs>
          <w:tab w:val="num" w:pos="2160"/>
        </w:tabs>
        <w:ind w:left="2160" w:hanging="360"/>
      </w:pPr>
      <w:rPr>
        <w:rFonts w:ascii="Times New Roman" w:hAnsi="Times New Roman" w:hint="default"/>
      </w:rPr>
    </w:lvl>
    <w:lvl w:ilvl="3" w:tplc="87B6BBB0" w:tentative="1">
      <w:start w:val="1"/>
      <w:numFmt w:val="bullet"/>
      <w:lvlText w:val="-"/>
      <w:lvlJc w:val="left"/>
      <w:pPr>
        <w:tabs>
          <w:tab w:val="num" w:pos="2880"/>
        </w:tabs>
        <w:ind w:left="2880" w:hanging="360"/>
      </w:pPr>
      <w:rPr>
        <w:rFonts w:ascii="Times New Roman" w:hAnsi="Times New Roman" w:hint="default"/>
      </w:rPr>
    </w:lvl>
    <w:lvl w:ilvl="4" w:tplc="E72E8220" w:tentative="1">
      <w:start w:val="1"/>
      <w:numFmt w:val="bullet"/>
      <w:lvlText w:val="-"/>
      <w:lvlJc w:val="left"/>
      <w:pPr>
        <w:tabs>
          <w:tab w:val="num" w:pos="3600"/>
        </w:tabs>
        <w:ind w:left="3600" w:hanging="360"/>
      </w:pPr>
      <w:rPr>
        <w:rFonts w:ascii="Times New Roman" w:hAnsi="Times New Roman" w:hint="default"/>
      </w:rPr>
    </w:lvl>
    <w:lvl w:ilvl="5" w:tplc="ADE4740A" w:tentative="1">
      <w:start w:val="1"/>
      <w:numFmt w:val="bullet"/>
      <w:lvlText w:val="-"/>
      <w:lvlJc w:val="left"/>
      <w:pPr>
        <w:tabs>
          <w:tab w:val="num" w:pos="4320"/>
        </w:tabs>
        <w:ind w:left="4320" w:hanging="360"/>
      </w:pPr>
      <w:rPr>
        <w:rFonts w:ascii="Times New Roman" w:hAnsi="Times New Roman" w:hint="default"/>
      </w:rPr>
    </w:lvl>
    <w:lvl w:ilvl="6" w:tplc="06B238E8" w:tentative="1">
      <w:start w:val="1"/>
      <w:numFmt w:val="bullet"/>
      <w:lvlText w:val="-"/>
      <w:lvlJc w:val="left"/>
      <w:pPr>
        <w:tabs>
          <w:tab w:val="num" w:pos="5040"/>
        </w:tabs>
        <w:ind w:left="5040" w:hanging="360"/>
      </w:pPr>
      <w:rPr>
        <w:rFonts w:ascii="Times New Roman" w:hAnsi="Times New Roman" w:hint="default"/>
      </w:rPr>
    </w:lvl>
    <w:lvl w:ilvl="7" w:tplc="80EEAF54" w:tentative="1">
      <w:start w:val="1"/>
      <w:numFmt w:val="bullet"/>
      <w:lvlText w:val="-"/>
      <w:lvlJc w:val="left"/>
      <w:pPr>
        <w:tabs>
          <w:tab w:val="num" w:pos="5760"/>
        </w:tabs>
        <w:ind w:left="5760" w:hanging="360"/>
      </w:pPr>
      <w:rPr>
        <w:rFonts w:ascii="Times New Roman" w:hAnsi="Times New Roman" w:hint="default"/>
      </w:rPr>
    </w:lvl>
    <w:lvl w:ilvl="8" w:tplc="B4D4D8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737D58"/>
    <w:multiLevelType w:val="hybridMultilevel"/>
    <w:tmpl w:val="79C60C0C"/>
    <w:lvl w:ilvl="0" w:tplc="68BC5C74">
      <w:start w:val="1"/>
      <w:numFmt w:val="decimal"/>
      <w:lvlText w:val="%1."/>
      <w:lvlJc w:val="left"/>
      <w:pPr>
        <w:ind w:left="643" w:hanging="360"/>
      </w:pPr>
      <w:rPr>
        <w:rFonts w:ascii="Times New Roman" w:hAnsi="Times New Roman" w:cs="Times New Roman" w:hint="default"/>
        <w:b/>
        <w:i/>
        <w:sz w:val="24"/>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8103BB"/>
    <w:multiLevelType w:val="hybridMultilevel"/>
    <w:tmpl w:val="6EBEEA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371BA8"/>
    <w:multiLevelType w:val="multilevel"/>
    <w:tmpl w:val="77708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4503784"/>
    <w:multiLevelType w:val="hybridMultilevel"/>
    <w:tmpl w:val="DF6E0CFE"/>
    <w:lvl w:ilvl="0" w:tplc="0426000B">
      <w:start w:val="1"/>
      <w:numFmt w:val="bullet"/>
      <w:lvlText w:val=""/>
      <w:lvlJc w:val="left"/>
      <w:pPr>
        <w:ind w:left="567" w:hanging="360"/>
      </w:pPr>
      <w:rPr>
        <w:rFonts w:ascii="Wingdings" w:hAnsi="Wingdings" w:hint="default"/>
      </w:rPr>
    </w:lvl>
    <w:lvl w:ilvl="1" w:tplc="04260003">
      <w:start w:val="1"/>
      <w:numFmt w:val="bullet"/>
      <w:lvlText w:val="o"/>
      <w:lvlJc w:val="left"/>
      <w:pPr>
        <w:ind w:left="1287" w:hanging="360"/>
      </w:pPr>
      <w:rPr>
        <w:rFonts w:ascii="Courier New" w:hAnsi="Courier New" w:cs="Courier New" w:hint="default"/>
      </w:rPr>
    </w:lvl>
    <w:lvl w:ilvl="2" w:tplc="04260005">
      <w:start w:val="1"/>
      <w:numFmt w:val="bullet"/>
      <w:lvlText w:val=""/>
      <w:lvlJc w:val="left"/>
      <w:pPr>
        <w:ind w:left="2007" w:hanging="360"/>
      </w:pPr>
      <w:rPr>
        <w:rFonts w:ascii="Wingdings" w:hAnsi="Wingdings" w:hint="default"/>
      </w:rPr>
    </w:lvl>
    <w:lvl w:ilvl="3" w:tplc="04260001">
      <w:start w:val="1"/>
      <w:numFmt w:val="bullet"/>
      <w:lvlText w:val=""/>
      <w:lvlJc w:val="left"/>
      <w:pPr>
        <w:ind w:left="2727" w:hanging="360"/>
      </w:pPr>
      <w:rPr>
        <w:rFonts w:ascii="Symbol" w:hAnsi="Symbol" w:hint="default"/>
      </w:rPr>
    </w:lvl>
    <w:lvl w:ilvl="4" w:tplc="04260003">
      <w:start w:val="1"/>
      <w:numFmt w:val="bullet"/>
      <w:lvlText w:val="o"/>
      <w:lvlJc w:val="left"/>
      <w:pPr>
        <w:ind w:left="3447" w:hanging="360"/>
      </w:pPr>
      <w:rPr>
        <w:rFonts w:ascii="Courier New" w:hAnsi="Courier New" w:cs="Courier New" w:hint="default"/>
      </w:rPr>
    </w:lvl>
    <w:lvl w:ilvl="5" w:tplc="04260005">
      <w:start w:val="1"/>
      <w:numFmt w:val="bullet"/>
      <w:lvlText w:val=""/>
      <w:lvlJc w:val="left"/>
      <w:pPr>
        <w:ind w:left="4167" w:hanging="360"/>
      </w:pPr>
      <w:rPr>
        <w:rFonts w:ascii="Wingdings" w:hAnsi="Wingdings" w:hint="default"/>
      </w:rPr>
    </w:lvl>
    <w:lvl w:ilvl="6" w:tplc="04260001">
      <w:start w:val="1"/>
      <w:numFmt w:val="bullet"/>
      <w:lvlText w:val=""/>
      <w:lvlJc w:val="left"/>
      <w:pPr>
        <w:ind w:left="4887" w:hanging="360"/>
      </w:pPr>
      <w:rPr>
        <w:rFonts w:ascii="Symbol" w:hAnsi="Symbol" w:hint="default"/>
      </w:rPr>
    </w:lvl>
    <w:lvl w:ilvl="7" w:tplc="04260003">
      <w:start w:val="1"/>
      <w:numFmt w:val="bullet"/>
      <w:lvlText w:val="o"/>
      <w:lvlJc w:val="left"/>
      <w:pPr>
        <w:ind w:left="5607" w:hanging="360"/>
      </w:pPr>
      <w:rPr>
        <w:rFonts w:ascii="Courier New" w:hAnsi="Courier New" w:cs="Courier New" w:hint="default"/>
      </w:rPr>
    </w:lvl>
    <w:lvl w:ilvl="8" w:tplc="04260005">
      <w:start w:val="1"/>
      <w:numFmt w:val="bullet"/>
      <w:lvlText w:val=""/>
      <w:lvlJc w:val="left"/>
      <w:pPr>
        <w:ind w:left="6327" w:hanging="360"/>
      </w:pPr>
      <w:rPr>
        <w:rFonts w:ascii="Wingdings" w:hAnsi="Wingdings" w:hint="default"/>
      </w:rPr>
    </w:lvl>
  </w:abstractNum>
  <w:abstractNum w:abstractNumId="28" w15:restartNumberingAfterBreak="0">
    <w:nsid w:val="552D6625"/>
    <w:multiLevelType w:val="hybridMultilevel"/>
    <w:tmpl w:val="CD2CC3BC"/>
    <w:lvl w:ilvl="0" w:tplc="147ADA0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635F6E"/>
    <w:multiLevelType w:val="hybridMultilevel"/>
    <w:tmpl w:val="B64AAA00"/>
    <w:lvl w:ilvl="0" w:tplc="541C15B0">
      <w:start w:val="1"/>
      <w:numFmt w:val="bullet"/>
      <w:lvlText w:val="-"/>
      <w:lvlJc w:val="left"/>
      <w:pPr>
        <w:tabs>
          <w:tab w:val="num" w:pos="720"/>
        </w:tabs>
        <w:ind w:left="720" w:hanging="360"/>
      </w:pPr>
      <w:rPr>
        <w:rFonts w:ascii="Times New Roman" w:hAnsi="Times New Roman" w:hint="default"/>
      </w:rPr>
    </w:lvl>
    <w:lvl w:ilvl="1" w:tplc="67B4CBBC" w:tentative="1">
      <w:start w:val="1"/>
      <w:numFmt w:val="bullet"/>
      <w:lvlText w:val="-"/>
      <w:lvlJc w:val="left"/>
      <w:pPr>
        <w:tabs>
          <w:tab w:val="num" w:pos="1440"/>
        </w:tabs>
        <w:ind w:left="1440" w:hanging="360"/>
      </w:pPr>
      <w:rPr>
        <w:rFonts w:ascii="Times New Roman" w:hAnsi="Times New Roman" w:hint="default"/>
      </w:rPr>
    </w:lvl>
    <w:lvl w:ilvl="2" w:tplc="706EC2D6" w:tentative="1">
      <w:start w:val="1"/>
      <w:numFmt w:val="bullet"/>
      <w:lvlText w:val="-"/>
      <w:lvlJc w:val="left"/>
      <w:pPr>
        <w:tabs>
          <w:tab w:val="num" w:pos="2160"/>
        </w:tabs>
        <w:ind w:left="2160" w:hanging="360"/>
      </w:pPr>
      <w:rPr>
        <w:rFonts w:ascii="Times New Roman" w:hAnsi="Times New Roman" w:hint="default"/>
      </w:rPr>
    </w:lvl>
    <w:lvl w:ilvl="3" w:tplc="FCB2E298" w:tentative="1">
      <w:start w:val="1"/>
      <w:numFmt w:val="bullet"/>
      <w:lvlText w:val="-"/>
      <w:lvlJc w:val="left"/>
      <w:pPr>
        <w:tabs>
          <w:tab w:val="num" w:pos="2880"/>
        </w:tabs>
        <w:ind w:left="2880" w:hanging="360"/>
      </w:pPr>
      <w:rPr>
        <w:rFonts w:ascii="Times New Roman" w:hAnsi="Times New Roman" w:hint="default"/>
      </w:rPr>
    </w:lvl>
    <w:lvl w:ilvl="4" w:tplc="7DB27820" w:tentative="1">
      <w:start w:val="1"/>
      <w:numFmt w:val="bullet"/>
      <w:lvlText w:val="-"/>
      <w:lvlJc w:val="left"/>
      <w:pPr>
        <w:tabs>
          <w:tab w:val="num" w:pos="3600"/>
        </w:tabs>
        <w:ind w:left="3600" w:hanging="360"/>
      </w:pPr>
      <w:rPr>
        <w:rFonts w:ascii="Times New Roman" w:hAnsi="Times New Roman" w:hint="default"/>
      </w:rPr>
    </w:lvl>
    <w:lvl w:ilvl="5" w:tplc="F3ACD46C" w:tentative="1">
      <w:start w:val="1"/>
      <w:numFmt w:val="bullet"/>
      <w:lvlText w:val="-"/>
      <w:lvlJc w:val="left"/>
      <w:pPr>
        <w:tabs>
          <w:tab w:val="num" w:pos="4320"/>
        </w:tabs>
        <w:ind w:left="4320" w:hanging="360"/>
      </w:pPr>
      <w:rPr>
        <w:rFonts w:ascii="Times New Roman" w:hAnsi="Times New Roman" w:hint="default"/>
      </w:rPr>
    </w:lvl>
    <w:lvl w:ilvl="6" w:tplc="BD62C7E0" w:tentative="1">
      <w:start w:val="1"/>
      <w:numFmt w:val="bullet"/>
      <w:lvlText w:val="-"/>
      <w:lvlJc w:val="left"/>
      <w:pPr>
        <w:tabs>
          <w:tab w:val="num" w:pos="5040"/>
        </w:tabs>
        <w:ind w:left="5040" w:hanging="360"/>
      </w:pPr>
      <w:rPr>
        <w:rFonts w:ascii="Times New Roman" w:hAnsi="Times New Roman" w:hint="default"/>
      </w:rPr>
    </w:lvl>
    <w:lvl w:ilvl="7" w:tplc="5150D8F8" w:tentative="1">
      <w:start w:val="1"/>
      <w:numFmt w:val="bullet"/>
      <w:lvlText w:val="-"/>
      <w:lvlJc w:val="left"/>
      <w:pPr>
        <w:tabs>
          <w:tab w:val="num" w:pos="5760"/>
        </w:tabs>
        <w:ind w:left="5760" w:hanging="360"/>
      </w:pPr>
      <w:rPr>
        <w:rFonts w:ascii="Times New Roman" w:hAnsi="Times New Roman" w:hint="default"/>
      </w:rPr>
    </w:lvl>
    <w:lvl w:ilvl="8" w:tplc="5720F68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A1B0FA8"/>
    <w:multiLevelType w:val="hybridMultilevel"/>
    <w:tmpl w:val="8BC226B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0D16A22"/>
    <w:multiLevelType w:val="multilevel"/>
    <w:tmpl w:val="5EC4F330"/>
    <w:lvl w:ilvl="0">
      <w:start w:val="1"/>
      <w:numFmt w:val="decimal"/>
      <w:lvlText w:val="%1."/>
      <w:lvlJc w:val="left"/>
      <w:pPr>
        <w:ind w:left="754" w:hanging="360"/>
      </w:pPr>
      <w:rPr>
        <w:rFonts w:hint="default"/>
        <w:color w:val="auto"/>
      </w:rPr>
    </w:lvl>
    <w:lvl w:ilvl="1">
      <w:start w:val="1"/>
      <w:numFmt w:val="decimal"/>
      <w:isLgl/>
      <w:lvlText w:val="%1.%2"/>
      <w:lvlJc w:val="left"/>
      <w:pPr>
        <w:ind w:left="754" w:hanging="360"/>
      </w:pPr>
      <w:rPr>
        <w:rFonts w:hint="default"/>
        <w:color w:val="000000"/>
      </w:rPr>
    </w:lvl>
    <w:lvl w:ilvl="2">
      <w:start w:val="1"/>
      <w:numFmt w:val="decimal"/>
      <w:isLgl/>
      <w:lvlText w:val="%1.%2.%3"/>
      <w:lvlJc w:val="left"/>
      <w:pPr>
        <w:ind w:left="1114" w:hanging="720"/>
      </w:pPr>
      <w:rPr>
        <w:rFonts w:hint="default"/>
        <w:color w:val="000000"/>
      </w:rPr>
    </w:lvl>
    <w:lvl w:ilvl="3">
      <w:start w:val="1"/>
      <w:numFmt w:val="decimal"/>
      <w:isLgl/>
      <w:lvlText w:val="%1.%2.%3.%4"/>
      <w:lvlJc w:val="left"/>
      <w:pPr>
        <w:ind w:left="1114" w:hanging="720"/>
      </w:pPr>
      <w:rPr>
        <w:rFonts w:hint="default"/>
        <w:color w:val="000000"/>
      </w:rPr>
    </w:lvl>
    <w:lvl w:ilvl="4">
      <w:start w:val="1"/>
      <w:numFmt w:val="decimal"/>
      <w:isLgl/>
      <w:lvlText w:val="%1.%2.%3.%4.%5"/>
      <w:lvlJc w:val="left"/>
      <w:pPr>
        <w:ind w:left="1474" w:hanging="1080"/>
      </w:pPr>
      <w:rPr>
        <w:rFonts w:hint="default"/>
        <w:color w:val="000000"/>
      </w:rPr>
    </w:lvl>
    <w:lvl w:ilvl="5">
      <w:start w:val="1"/>
      <w:numFmt w:val="decimal"/>
      <w:isLgl/>
      <w:lvlText w:val="%1.%2.%3.%4.%5.%6"/>
      <w:lvlJc w:val="left"/>
      <w:pPr>
        <w:ind w:left="1474" w:hanging="1080"/>
      </w:pPr>
      <w:rPr>
        <w:rFonts w:hint="default"/>
        <w:color w:val="000000"/>
      </w:rPr>
    </w:lvl>
    <w:lvl w:ilvl="6">
      <w:start w:val="1"/>
      <w:numFmt w:val="decimal"/>
      <w:isLgl/>
      <w:lvlText w:val="%1.%2.%3.%4.%5.%6.%7"/>
      <w:lvlJc w:val="left"/>
      <w:pPr>
        <w:ind w:left="1834" w:hanging="1440"/>
      </w:pPr>
      <w:rPr>
        <w:rFonts w:hint="default"/>
        <w:color w:val="000000"/>
      </w:rPr>
    </w:lvl>
    <w:lvl w:ilvl="7">
      <w:start w:val="1"/>
      <w:numFmt w:val="decimal"/>
      <w:isLgl/>
      <w:lvlText w:val="%1.%2.%3.%4.%5.%6.%7.%8"/>
      <w:lvlJc w:val="left"/>
      <w:pPr>
        <w:ind w:left="1834" w:hanging="1440"/>
      </w:pPr>
      <w:rPr>
        <w:rFonts w:hint="default"/>
        <w:color w:val="000000"/>
      </w:rPr>
    </w:lvl>
    <w:lvl w:ilvl="8">
      <w:start w:val="1"/>
      <w:numFmt w:val="decimal"/>
      <w:isLgl/>
      <w:lvlText w:val="%1.%2.%3.%4.%5.%6.%7.%8.%9"/>
      <w:lvlJc w:val="left"/>
      <w:pPr>
        <w:ind w:left="2194" w:hanging="1800"/>
      </w:pPr>
      <w:rPr>
        <w:rFonts w:hint="default"/>
        <w:color w:val="000000"/>
      </w:rPr>
    </w:lvl>
  </w:abstractNum>
  <w:abstractNum w:abstractNumId="32" w15:restartNumberingAfterBreak="0">
    <w:nsid w:val="62FB0AC6"/>
    <w:multiLevelType w:val="hybridMultilevel"/>
    <w:tmpl w:val="0BA87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013F9C"/>
    <w:multiLevelType w:val="multilevel"/>
    <w:tmpl w:val="199865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4210EE0"/>
    <w:multiLevelType w:val="hybridMultilevel"/>
    <w:tmpl w:val="9D02FE28"/>
    <w:lvl w:ilvl="0" w:tplc="752A55CC">
      <w:start w:val="12"/>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5" w15:restartNumberingAfterBreak="0">
    <w:nsid w:val="642810F4"/>
    <w:multiLevelType w:val="hybridMultilevel"/>
    <w:tmpl w:val="320C58DA"/>
    <w:lvl w:ilvl="0" w:tplc="74987C0A">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8251E20"/>
    <w:multiLevelType w:val="hybridMultilevel"/>
    <w:tmpl w:val="77D0D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994E64"/>
    <w:multiLevelType w:val="hybridMultilevel"/>
    <w:tmpl w:val="35B48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D25271"/>
    <w:multiLevelType w:val="hybridMultilevel"/>
    <w:tmpl w:val="1312EA8C"/>
    <w:lvl w:ilvl="0" w:tplc="0426000B">
      <w:start w:val="1"/>
      <w:numFmt w:val="bullet"/>
      <w:lvlText w:val=""/>
      <w:lvlJc w:val="left"/>
      <w:pPr>
        <w:ind w:left="714" w:hanging="660"/>
      </w:pPr>
      <w:rPr>
        <w:rFonts w:ascii="Wingdings" w:hAnsi="Wingdings" w:hint="default"/>
      </w:rPr>
    </w:lvl>
    <w:lvl w:ilvl="1" w:tplc="04260003" w:tentative="1">
      <w:start w:val="1"/>
      <w:numFmt w:val="bullet"/>
      <w:lvlText w:val="o"/>
      <w:lvlJc w:val="left"/>
      <w:pPr>
        <w:ind w:left="1134" w:hanging="360"/>
      </w:pPr>
      <w:rPr>
        <w:rFonts w:ascii="Courier New" w:hAnsi="Courier New" w:cs="Courier New" w:hint="default"/>
      </w:rPr>
    </w:lvl>
    <w:lvl w:ilvl="2" w:tplc="04260005" w:tentative="1">
      <w:start w:val="1"/>
      <w:numFmt w:val="bullet"/>
      <w:lvlText w:val=""/>
      <w:lvlJc w:val="left"/>
      <w:pPr>
        <w:ind w:left="1854" w:hanging="360"/>
      </w:pPr>
      <w:rPr>
        <w:rFonts w:ascii="Wingdings" w:hAnsi="Wingdings" w:hint="default"/>
      </w:rPr>
    </w:lvl>
    <w:lvl w:ilvl="3" w:tplc="04260001" w:tentative="1">
      <w:start w:val="1"/>
      <w:numFmt w:val="bullet"/>
      <w:lvlText w:val=""/>
      <w:lvlJc w:val="left"/>
      <w:pPr>
        <w:ind w:left="2574" w:hanging="360"/>
      </w:pPr>
      <w:rPr>
        <w:rFonts w:ascii="Symbol" w:hAnsi="Symbol" w:hint="default"/>
      </w:rPr>
    </w:lvl>
    <w:lvl w:ilvl="4" w:tplc="04260003" w:tentative="1">
      <w:start w:val="1"/>
      <w:numFmt w:val="bullet"/>
      <w:lvlText w:val="o"/>
      <w:lvlJc w:val="left"/>
      <w:pPr>
        <w:ind w:left="3294" w:hanging="360"/>
      </w:pPr>
      <w:rPr>
        <w:rFonts w:ascii="Courier New" w:hAnsi="Courier New" w:cs="Courier New" w:hint="default"/>
      </w:rPr>
    </w:lvl>
    <w:lvl w:ilvl="5" w:tplc="04260005" w:tentative="1">
      <w:start w:val="1"/>
      <w:numFmt w:val="bullet"/>
      <w:lvlText w:val=""/>
      <w:lvlJc w:val="left"/>
      <w:pPr>
        <w:ind w:left="4014" w:hanging="360"/>
      </w:pPr>
      <w:rPr>
        <w:rFonts w:ascii="Wingdings" w:hAnsi="Wingdings" w:hint="default"/>
      </w:rPr>
    </w:lvl>
    <w:lvl w:ilvl="6" w:tplc="04260001" w:tentative="1">
      <w:start w:val="1"/>
      <w:numFmt w:val="bullet"/>
      <w:lvlText w:val=""/>
      <w:lvlJc w:val="left"/>
      <w:pPr>
        <w:ind w:left="4734" w:hanging="360"/>
      </w:pPr>
      <w:rPr>
        <w:rFonts w:ascii="Symbol" w:hAnsi="Symbol" w:hint="default"/>
      </w:rPr>
    </w:lvl>
    <w:lvl w:ilvl="7" w:tplc="04260003" w:tentative="1">
      <w:start w:val="1"/>
      <w:numFmt w:val="bullet"/>
      <w:lvlText w:val="o"/>
      <w:lvlJc w:val="left"/>
      <w:pPr>
        <w:ind w:left="5454" w:hanging="360"/>
      </w:pPr>
      <w:rPr>
        <w:rFonts w:ascii="Courier New" w:hAnsi="Courier New" w:cs="Courier New" w:hint="default"/>
      </w:rPr>
    </w:lvl>
    <w:lvl w:ilvl="8" w:tplc="04260005" w:tentative="1">
      <w:start w:val="1"/>
      <w:numFmt w:val="bullet"/>
      <w:lvlText w:val=""/>
      <w:lvlJc w:val="left"/>
      <w:pPr>
        <w:ind w:left="6174" w:hanging="360"/>
      </w:pPr>
      <w:rPr>
        <w:rFonts w:ascii="Wingdings" w:hAnsi="Wingdings" w:hint="default"/>
      </w:rPr>
    </w:lvl>
  </w:abstractNum>
  <w:abstractNum w:abstractNumId="39" w15:restartNumberingAfterBreak="0">
    <w:nsid w:val="742C1DB5"/>
    <w:multiLevelType w:val="hybridMultilevel"/>
    <w:tmpl w:val="D8A02B4E"/>
    <w:lvl w:ilvl="0" w:tplc="B2E8EE7E">
      <w:start w:val="1"/>
      <w:numFmt w:val="bullet"/>
      <w:lvlText w:val="-"/>
      <w:lvlJc w:val="left"/>
      <w:pPr>
        <w:tabs>
          <w:tab w:val="num" w:pos="720"/>
        </w:tabs>
        <w:ind w:left="720" w:hanging="360"/>
      </w:pPr>
      <w:rPr>
        <w:rFonts w:ascii="Times New Roman" w:hAnsi="Times New Roman" w:hint="default"/>
      </w:rPr>
    </w:lvl>
    <w:lvl w:ilvl="1" w:tplc="0CAED2DA" w:tentative="1">
      <w:start w:val="1"/>
      <w:numFmt w:val="bullet"/>
      <w:lvlText w:val="-"/>
      <w:lvlJc w:val="left"/>
      <w:pPr>
        <w:tabs>
          <w:tab w:val="num" w:pos="1440"/>
        </w:tabs>
        <w:ind w:left="1440" w:hanging="360"/>
      </w:pPr>
      <w:rPr>
        <w:rFonts w:ascii="Times New Roman" w:hAnsi="Times New Roman" w:hint="default"/>
      </w:rPr>
    </w:lvl>
    <w:lvl w:ilvl="2" w:tplc="AE602266" w:tentative="1">
      <w:start w:val="1"/>
      <w:numFmt w:val="bullet"/>
      <w:lvlText w:val="-"/>
      <w:lvlJc w:val="left"/>
      <w:pPr>
        <w:tabs>
          <w:tab w:val="num" w:pos="2160"/>
        </w:tabs>
        <w:ind w:left="2160" w:hanging="360"/>
      </w:pPr>
      <w:rPr>
        <w:rFonts w:ascii="Times New Roman" w:hAnsi="Times New Roman" w:hint="default"/>
      </w:rPr>
    </w:lvl>
    <w:lvl w:ilvl="3" w:tplc="1B447E80" w:tentative="1">
      <w:start w:val="1"/>
      <w:numFmt w:val="bullet"/>
      <w:lvlText w:val="-"/>
      <w:lvlJc w:val="left"/>
      <w:pPr>
        <w:tabs>
          <w:tab w:val="num" w:pos="2880"/>
        </w:tabs>
        <w:ind w:left="2880" w:hanging="360"/>
      </w:pPr>
      <w:rPr>
        <w:rFonts w:ascii="Times New Roman" w:hAnsi="Times New Roman" w:hint="default"/>
      </w:rPr>
    </w:lvl>
    <w:lvl w:ilvl="4" w:tplc="88F809AE" w:tentative="1">
      <w:start w:val="1"/>
      <w:numFmt w:val="bullet"/>
      <w:lvlText w:val="-"/>
      <w:lvlJc w:val="left"/>
      <w:pPr>
        <w:tabs>
          <w:tab w:val="num" w:pos="3600"/>
        </w:tabs>
        <w:ind w:left="3600" w:hanging="360"/>
      </w:pPr>
      <w:rPr>
        <w:rFonts w:ascii="Times New Roman" w:hAnsi="Times New Roman" w:hint="default"/>
      </w:rPr>
    </w:lvl>
    <w:lvl w:ilvl="5" w:tplc="9EFA81CA" w:tentative="1">
      <w:start w:val="1"/>
      <w:numFmt w:val="bullet"/>
      <w:lvlText w:val="-"/>
      <w:lvlJc w:val="left"/>
      <w:pPr>
        <w:tabs>
          <w:tab w:val="num" w:pos="4320"/>
        </w:tabs>
        <w:ind w:left="4320" w:hanging="360"/>
      </w:pPr>
      <w:rPr>
        <w:rFonts w:ascii="Times New Roman" w:hAnsi="Times New Roman" w:hint="default"/>
      </w:rPr>
    </w:lvl>
    <w:lvl w:ilvl="6" w:tplc="8DDCB888" w:tentative="1">
      <w:start w:val="1"/>
      <w:numFmt w:val="bullet"/>
      <w:lvlText w:val="-"/>
      <w:lvlJc w:val="left"/>
      <w:pPr>
        <w:tabs>
          <w:tab w:val="num" w:pos="5040"/>
        </w:tabs>
        <w:ind w:left="5040" w:hanging="360"/>
      </w:pPr>
      <w:rPr>
        <w:rFonts w:ascii="Times New Roman" w:hAnsi="Times New Roman" w:hint="default"/>
      </w:rPr>
    </w:lvl>
    <w:lvl w:ilvl="7" w:tplc="EE68B10A" w:tentative="1">
      <w:start w:val="1"/>
      <w:numFmt w:val="bullet"/>
      <w:lvlText w:val="-"/>
      <w:lvlJc w:val="left"/>
      <w:pPr>
        <w:tabs>
          <w:tab w:val="num" w:pos="5760"/>
        </w:tabs>
        <w:ind w:left="5760" w:hanging="360"/>
      </w:pPr>
      <w:rPr>
        <w:rFonts w:ascii="Times New Roman" w:hAnsi="Times New Roman" w:hint="default"/>
      </w:rPr>
    </w:lvl>
    <w:lvl w:ilvl="8" w:tplc="6DC8EDA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69D3283"/>
    <w:multiLevelType w:val="hybridMultilevel"/>
    <w:tmpl w:val="965E2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290329"/>
    <w:multiLevelType w:val="hybridMultilevel"/>
    <w:tmpl w:val="E8B86F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BB11309"/>
    <w:multiLevelType w:val="hybridMultilevel"/>
    <w:tmpl w:val="9E966C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0E2DA2"/>
    <w:multiLevelType w:val="hybridMultilevel"/>
    <w:tmpl w:val="B7888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2"/>
  </w:num>
  <w:num w:numId="4">
    <w:abstractNumId w:val="38"/>
  </w:num>
  <w:num w:numId="5">
    <w:abstractNumId w:val="9"/>
  </w:num>
  <w:num w:numId="6">
    <w:abstractNumId w:val="2"/>
  </w:num>
  <w:num w:numId="7">
    <w:abstractNumId w:val="29"/>
  </w:num>
  <w:num w:numId="8">
    <w:abstractNumId w:val="23"/>
  </w:num>
  <w:num w:numId="9">
    <w:abstractNumId w:val="39"/>
  </w:num>
  <w:num w:numId="10">
    <w:abstractNumId w:val="42"/>
  </w:num>
  <w:num w:numId="11">
    <w:abstractNumId w:val="14"/>
  </w:num>
  <w:num w:numId="12">
    <w:abstractNumId w:val="20"/>
  </w:num>
  <w:num w:numId="13">
    <w:abstractNumId w:val="1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5"/>
  </w:num>
  <w:num w:numId="19">
    <w:abstractNumId w:val="5"/>
  </w:num>
  <w:num w:numId="20">
    <w:abstractNumId w:val="31"/>
  </w:num>
  <w:num w:numId="21">
    <w:abstractNumId w:val="18"/>
  </w:num>
  <w:num w:numId="22">
    <w:abstractNumId w:val="1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8"/>
  </w:num>
  <w:num w:numId="26">
    <w:abstractNumId w:val="30"/>
  </w:num>
  <w:num w:numId="27">
    <w:abstractNumId w:val="41"/>
  </w:num>
  <w:num w:numId="28">
    <w:abstractNumId w:val="13"/>
  </w:num>
  <w:num w:numId="29">
    <w:abstractNumId w:val="0"/>
  </w:num>
  <w:num w:numId="30">
    <w:abstractNumId w:val="15"/>
  </w:num>
  <w:num w:numId="31">
    <w:abstractNumId w:val="32"/>
  </w:num>
  <w:num w:numId="32">
    <w:abstractNumId w:val="37"/>
  </w:num>
  <w:num w:numId="33">
    <w:abstractNumId w:val="43"/>
  </w:num>
  <w:num w:numId="34">
    <w:abstractNumId w:val="7"/>
  </w:num>
  <w:num w:numId="35">
    <w:abstractNumId w:val="36"/>
  </w:num>
  <w:num w:numId="36">
    <w:abstractNumId w:val="28"/>
  </w:num>
  <w:num w:numId="37">
    <w:abstractNumId w:val="35"/>
  </w:num>
  <w:num w:numId="38">
    <w:abstractNumId w:val="11"/>
  </w:num>
  <w:num w:numId="39">
    <w:abstractNumId w:val="4"/>
  </w:num>
  <w:num w:numId="40">
    <w:abstractNumId w:val="3"/>
  </w:num>
  <w:num w:numId="41">
    <w:abstractNumId w:val="1"/>
  </w:num>
  <w:num w:numId="42">
    <w:abstractNumId w:val="6"/>
  </w:num>
  <w:num w:numId="43">
    <w:abstractNumId w:val="22"/>
  </w:num>
  <w:num w:numId="44">
    <w:abstractNumId w:val="3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0A"/>
    <w:rsid w:val="000005A9"/>
    <w:rsid w:val="000044D5"/>
    <w:rsid w:val="0000514B"/>
    <w:rsid w:val="00005EA0"/>
    <w:rsid w:val="00007291"/>
    <w:rsid w:val="00010F01"/>
    <w:rsid w:val="00011108"/>
    <w:rsid w:val="00012BFA"/>
    <w:rsid w:val="00014D98"/>
    <w:rsid w:val="00014DBC"/>
    <w:rsid w:val="00021BB4"/>
    <w:rsid w:val="00026356"/>
    <w:rsid w:val="00027C57"/>
    <w:rsid w:val="0003011D"/>
    <w:rsid w:val="000337C1"/>
    <w:rsid w:val="00033DA0"/>
    <w:rsid w:val="000379F0"/>
    <w:rsid w:val="000401A0"/>
    <w:rsid w:val="0004342F"/>
    <w:rsid w:val="00043D20"/>
    <w:rsid w:val="00045AC0"/>
    <w:rsid w:val="000474FA"/>
    <w:rsid w:val="00047854"/>
    <w:rsid w:val="00050723"/>
    <w:rsid w:val="0005305B"/>
    <w:rsid w:val="0005453E"/>
    <w:rsid w:val="000559AA"/>
    <w:rsid w:val="00055F8D"/>
    <w:rsid w:val="00057FBD"/>
    <w:rsid w:val="000637BC"/>
    <w:rsid w:val="000648A6"/>
    <w:rsid w:val="00070ED0"/>
    <w:rsid w:val="0007193A"/>
    <w:rsid w:val="00071DD7"/>
    <w:rsid w:val="00072E0D"/>
    <w:rsid w:val="000734A4"/>
    <w:rsid w:val="000750C1"/>
    <w:rsid w:val="00076AEC"/>
    <w:rsid w:val="00083975"/>
    <w:rsid w:val="00083A23"/>
    <w:rsid w:val="00084EC4"/>
    <w:rsid w:val="000A16F1"/>
    <w:rsid w:val="000A1D98"/>
    <w:rsid w:val="000A21FF"/>
    <w:rsid w:val="000B27D7"/>
    <w:rsid w:val="000B3BAB"/>
    <w:rsid w:val="000C14AD"/>
    <w:rsid w:val="000D214E"/>
    <w:rsid w:val="000D24BE"/>
    <w:rsid w:val="000D24F6"/>
    <w:rsid w:val="000D31F5"/>
    <w:rsid w:val="000D39CA"/>
    <w:rsid w:val="000D5DEB"/>
    <w:rsid w:val="000E1D40"/>
    <w:rsid w:val="000E20D3"/>
    <w:rsid w:val="000E2466"/>
    <w:rsid w:val="000E41AB"/>
    <w:rsid w:val="000E44A6"/>
    <w:rsid w:val="000E4C8D"/>
    <w:rsid w:val="000F011D"/>
    <w:rsid w:val="000F02F3"/>
    <w:rsid w:val="000F3165"/>
    <w:rsid w:val="000F7F6A"/>
    <w:rsid w:val="00100780"/>
    <w:rsid w:val="00101044"/>
    <w:rsid w:val="00106EF0"/>
    <w:rsid w:val="00107310"/>
    <w:rsid w:val="00107A0D"/>
    <w:rsid w:val="00112318"/>
    <w:rsid w:val="00112DD1"/>
    <w:rsid w:val="00113115"/>
    <w:rsid w:val="0011357D"/>
    <w:rsid w:val="0011474C"/>
    <w:rsid w:val="00116C06"/>
    <w:rsid w:val="00117473"/>
    <w:rsid w:val="00117722"/>
    <w:rsid w:val="001179E1"/>
    <w:rsid w:val="00117C9D"/>
    <w:rsid w:val="001219F7"/>
    <w:rsid w:val="00122E2D"/>
    <w:rsid w:val="001249B4"/>
    <w:rsid w:val="00126260"/>
    <w:rsid w:val="00127FD5"/>
    <w:rsid w:val="00133123"/>
    <w:rsid w:val="001335CF"/>
    <w:rsid w:val="001341A4"/>
    <w:rsid w:val="001343EB"/>
    <w:rsid w:val="00134724"/>
    <w:rsid w:val="0014604B"/>
    <w:rsid w:val="00146210"/>
    <w:rsid w:val="00146757"/>
    <w:rsid w:val="0015058A"/>
    <w:rsid w:val="00152717"/>
    <w:rsid w:val="0015423A"/>
    <w:rsid w:val="00154B7D"/>
    <w:rsid w:val="00154BA1"/>
    <w:rsid w:val="00154CA5"/>
    <w:rsid w:val="00161C1B"/>
    <w:rsid w:val="00170BEF"/>
    <w:rsid w:val="00173990"/>
    <w:rsid w:val="00174903"/>
    <w:rsid w:val="00174A31"/>
    <w:rsid w:val="00175BA5"/>
    <w:rsid w:val="00176F90"/>
    <w:rsid w:val="0018189F"/>
    <w:rsid w:val="00181C04"/>
    <w:rsid w:val="0018241C"/>
    <w:rsid w:val="0018344B"/>
    <w:rsid w:val="00183A89"/>
    <w:rsid w:val="0018645E"/>
    <w:rsid w:val="00186E1E"/>
    <w:rsid w:val="00186E33"/>
    <w:rsid w:val="00187B1D"/>
    <w:rsid w:val="0019012C"/>
    <w:rsid w:val="00190A5C"/>
    <w:rsid w:val="00191B21"/>
    <w:rsid w:val="00191E98"/>
    <w:rsid w:val="001A12EC"/>
    <w:rsid w:val="001A194D"/>
    <w:rsid w:val="001A358E"/>
    <w:rsid w:val="001A3976"/>
    <w:rsid w:val="001A417B"/>
    <w:rsid w:val="001A71D1"/>
    <w:rsid w:val="001B0394"/>
    <w:rsid w:val="001B1820"/>
    <w:rsid w:val="001B2C98"/>
    <w:rsid w:val="001B3D70"/>
    <w:rsid w:val="001B7976"/>
    <w:rsid w:val="001C1B4E"/>
    <w:rsid w:val="001C22B9"/>
    <w:rsid w:val="001C414D"/>
    <w:rsid w:val="001C47AD"/>
    <w:rsid w:val="001C7CFF"/>
    <w:rsid w:val="001D12E4"/>
    <w:rsid w:val="001D3076"/>
    <w:rsid w:val="001D5902"/>
    <w:rsid w:val="001D6DC2"/>
    <w:rsid w:val="001D7786"/>
    <w:rsid w:val="001E2867"/>
    <w:rsid w:val="001E2ED4"/>
    <w:rsid w:val="001E3C18"/>
    <w:rsid w:val="001E4EEA"/>
    <w:rsid w:val="001E50AA"/>
    <w:rsid w:val="001F2487"/>
    <w:rsid w:val="001F50AC"/>
    <w:rsid w:val="001F7267"/>
    <w:rsid w:val="00200451"/>
    <w:rsid w:val="0020385C"/>
    <w:rsid w:val="00204C6E"/>
    <w:rsid w:val="002056BF"/>
    <w:rsid w:val="00206397"/>
    <w:rsid w:val="00211A89"/>
    <w:rsid w:val="00212E71"/>
    <w:rsid w:val="002159CD"/>
    <w:rsid w:val="002173AB"/>
    <w:rsid w:val="00220B58"/>
    <w:rsid w:val="002221F7"/>
    <w:rsid w:val="00223F71"/>
    <w:rsid w:val="0022569C"/>
    <w:rsid w:val="00225CC7"/>
    <w:rsid w:val="00227135"/>
    <w:rsid w:val="0023000F"/>
    <w:rsid w:val="0023122B"/>
    <w:rsid w:val="00231C66"/>
    <w:rsid w:val="00235891"/>
    <w:rsid w:val="00236014"/>
    <w:rsid w:val="00236A8D"/>
    <w:rsid w:val="0024242B"/>
    <w:rsid w:val="0024315E"/>
    <w:rsid w:val="00247C6E"/>
    <w:rsid w:val="00247D7A"/>
    <w:rsid w:val="00250483"/>
    <w:rsid w:val="002509E2"/>
    <w:rsid w:val="00251167"/>
    <w:rsid w:val="002516F4"/>
    <w:rsid w:val="00256249"/>
    <w:rsid w:val="00260BEE"/>
    <w:rsid w:val="00262189"/>
    <w:rsid w:val="002624C6"/>
    <w:rsid w:val="002628F2"/>
    <w:rsid w:val="00264B8C"/>
    <w:rsid w:val="00266DDD"/>
    <w:rsid w:val="0027254F"/>
    <w:rsid w:val="00277477"/>
    <w:rsid w:val="002828C4"/>
    <w:rsid w:val="00282CE1"/>
    <w:rsid w:val="00283628"/>
    <w:rsid w:val="00283760"/>
    <w:rsid w:val="00283D4E"/>
    <w:rsid w:val="00286064"/>
    <w:rsid w:val="002871A4"/>
    <w:rsid w:val="00287B44"/>
    <w:rsid w:val="00290C60"/>
    <w:rsid w:val="00291175"/>
    <w:rsid w:val="002926E6"/>
    <w:rsid w:val="00292E9E"/>
    <w:rsid w:val="00293B90"/>
    <w:rsid w:val="0029723A"/>
    <w:rsid w:val="002A5122"/>
    <w:rsid w:val="002A61DA"/>
    <w:rsid w:val="002A6EB7"/>
    <w:rsid w:val="002A7654"/>
    <w:rsid w:val="002B4C6E"/>
    <w:rsid w:val="002B4CCA"/>
    <w:rsid w:val="002B5D29"/>
    <w:rsid w:val="002B6797"/>
    <w:rsid w:val="002C208B"/>
    <w:rsid w:val="002C5A05"/>
    <w:rsid w:val="002D0511"/>
    <w:rsid w:val="002D123F"/>
    <w:rsid w:val="002D1DFB"/>
    <w:rsid w:val="002D26B4"/>
    <w:rsid w:val="002D353C"/>
    <w:rsid w:val="002D5BA1"/>
    <w:rsid w:val="002D6BB3"/>
    <w:rsid w:val="002D7664"/>
    <w:rsid w:val="002E00CC"/>
    <w:rsid w:val="002E0C66"/>
    <w:rsid w:val="002E138B"/>
    <w:rsid w:val="002E1F06"/>
    <w:rsid w:val="002E2F7A"/>
    <w:rsid w:val="002E4774"/>
    <w:rsid w:val="002E4D04"/>
    <w:rsid w:val="002E5563"/>
    <w:rsid w:val="002E64B0"/>
    <w:rsid w:val="002E66B6"/>
    <w:rsid w:val="002E6FD8"/>
    <w:rsid w:val="002F2725"/>
    <w:rsid w:val="002F27D2"/>
    <w:rsid w:val="002F596D"/>
    <w:rsid w:val="002F655C"/>
    <w:rsid w:val="00300163"/>
    <w:rsid w:val="00303D9C"/>
    <w:rsid w:val="00306C78"/>
    <w:rsid w:val="003157D6"/>
    <w:rsid w:val="00315A2B"/>
    <w:rsid w:val="0031751C"/>
    <w:rsid w:val="0031762E"/>
    <w:rsid w:val="00317CDC"/>
    <w:rsid w:val="00322B07"/>
    <w:rsid w:val="0032306B"/>
    <w:rsid w:val="00324A9C"/>
    <w:rsid w:val="00325AC5"/>
    <w:rsid w:val="00327BFC"/>
    <w:rsid w:val="00330765"/>
    <w:rsid w:val="0033091C"/>
    <w:rsid w:val="00331D7C"/>
    <w:rsid w:val="00331FF8"/>
    <w:rsid w:val="00333048"/>
    <w:rsid w:val="00334994"/>
    <w:rsid w:val="003353FD"/>
    <w:rsid w:val="00341D46"/>
    <w:rsid w:val="00344FF0"/>
    <w:rsid w:val="00345C4B"/>
    <w:rsid w:val="0035082F"/>
    <w:rsid w:val="003558C3"/>
    <w:rsid w:val="003569B8"/>
    <w:rsid w:val="00361EEA"/>
    <w:rsid w:val="00363043"/>
    <w:rsid w:val="003667EB"/>
    <w:rsid w:val="0036744B"/>
    <w:rsid w:val="00367739"/>
    <w:rsid w:val="00374B81"/>
    <w:rsid w:val="00377FA3"/>
    <w:rsid w:val="003814EE"/>
    <w:rsid w:val="00381DF3"/>
    <w:rsid w:val="003924C4"/>
    <w:rsid w:val="003945DA"/>
    <w:rsid w:val="00396A0E"/>
    <w:rsid w:val="003A1D0A"/>
    <w:rsid w:val="003A4E76"/>
    <w:rsid w:val="003A4F86"/>
    <w:rsid w:val="003A6E85"/>
    <w:rsid w:val="003A72A2"/>
    <w:rsid w:val="003B02FD"/>
    <w:rsid w:val="003B37E5"/>
    <w:rsid w:val="003B59C7"/>
    <w:rsid w:val="003B5D70"/>
    <w:rsid w:val="003B6E97"/>
    <w:rsid w:val="003B7BAF"/>
    <w:rsid w:val="003C275D"/>
    <w:rsid w:val="003C2906"/>
    <w:rsid w:val="003C3CF6"/>
    <w:rsid w:val="003C717D"/>
    <w:rsid w:val="003C7635"/>
    <w:rsid w:val="003D0296"/>
    <w:rsid w:val="003D0AE2"/>
    <w:rsid w:val="003D1C73"/>
    <w:rsid w:val="003D22F6"/>
    <w:rsid w:val="003D35C6"/>
    <w:rsid w:val="003D3D29"/>
    <w:rsid w:val="003D4D8C"/>
    <w:rsid w:val="003D662E"/>
    <w:rsid w:val="003D6B74"/>
    <w:rsid w:val="003D7F0B"/>
    <w:rsid w:val="003E2B61"/>
    <w:rsid w:val="003E39D1"/>
    <w:rsid w:val="003E4F9F"/>
    <w:rsid w:val="003E51D5"/>
    <w:rsid w:val="003E62AA"/>
    <w:rsid w:val="003F0E8E"/>
    <w:rsid w:val="003F2464"/>
    <w:rsid w:val="003F568A"/>
    <w:rsid w:val="0040010C"/>
    <w:rsid w:val="00401683"/>
    <w:rsid w:val="00401C0A"/>
    <w:rsid w:val="00401F90"/>
    <w:rsid w:val="00404554"/>
    <w:rsid w:val="004062FB"/>
    <w:rsid w:val="00412E7E"/>
    <w:rsid w:val="00413570"/>
    <w:rsid w:val="00414834"/>
    <w:rsid w:val="004207C0"/>
    <w:rsid w:val="004218CA"/>
    <w:rsid w:val="004221B8"/>
    <w:rsid w:val="00426AB2"/>
    <w:rsid w:val="00427A84"/>
    <w:rsid w:val="00427D2C"/>
    <w:rsid w:val="0043198E"/>
    <w:rsid w:val="004336B9"/>
    <w:rsid w:val="00441BEA"/>
    <w:rsid w:val="00444397"/>
    <w:rsid w:val="004449C1"/>
    <w:rsid w:val="0044598C"/>
    <w:rsid w:val="004462E1"/>
    <w:rsid w:val="004473BE"/>
    <w:rsid w:val="004512F3"/>
    <w:rsid w:val="00451ACD"/>
    <w:rsid w:val="00454299"/>
    <w:rsid w:val="00455987"/>
    <w:rsid w:val="00457A45"/>
    <w:rsid w:val="004636F0"/>
    <w:rsid w:val="004673A9"/>
    <w:rsid w:val="004722D2"/>
    <w:rsid w:val="00473FEC"/>
    <w:rsid w:val="00475A10"/>
    <w:rsid w:val="0047682D"/>
    <w:rsid w:val="00477FA1"/>
    <w:rsid w:val="00480184"/>
    <w:rsid w:val="00481A4E"/>
    <w:rsid w:val="004823C7"/>
    <w:rsid w:val="0048395F"/>
    <w:rsid w:val="00483970"/>
    <w:rsid w:val="00492E97"/>
    <w:rsid w:val="004932DB"/>
    <w:rsid w:val="00494758"/>
    <w:rsid w:val="004A04D2"/>
    <w:rsid w:val="004A0EF4"/>
    <w:rsid w:val="004A1D91"/>
    <w:rsid w:val="004A3874"/>
    <w:rsid w:val="004A58B9"/>
    <w:rsid w:val="004A642B"/>
    <w:rsid w:val="004A724A"/>
    <w:rsid w:val="004B6EAB"/>
    <w:rsid w:val="004C3827"/>
    <w:rsid w:val="004C43A9"/>
    <w:rsid w:val="004C4481"/>
    <w:rsid w:val="004C5A5D"/>
    <w:rsid w:val="004C7D63"/>
    <w:rsid w:val="004D187B"/>
    <w:rsid w:val="004D5C7A"/>
    <w:rsid w:val="004D67AE"/>
    <w:rsid w:val="004E45CE"/>
    <w:rsid w:val="004F0027"/>
    <w:rsid w:val="004F00F1"/>
    <w:rsid w:val="004F15DF"/>
    <w:rsid w:val="004F1948"/>
    <w:rsid w:val="004F52F7"/>
    <w:rsid w:val="004F5CF3"/>
    <w:rsid w:val="004F712C"/>
    <w:rsid w:val="004F77A4"/>
    <w:rsid w:val="00500193"/>
    <w:rsid w:val="00500521"/>
    <w:rsid w:val="00502DA2"/>
    <w:rsid w:val="00507E40"/>
    <w:rsid w:val="0052025E"/>
    <w:rsid w:val="00520855"/>
    <w:rsid w:val="00520995"/>
    <w:rsid w:val="0052156D"/>
    <w:rsid w:val="00521E1B"/>
    <w:rsid w:val="00522F08"/>
    <w:rsid w:val="00523947"/>
    <w:rsid w:val="00523D32"/>
    <w:rsid w:val="00523E44"/>
    <w:rsid w:val="005240FA"/>
    <w:rsid w:val="00526A90"/>
    <w:rsid w:val="00530350"/>
    <w:rsid w:val="00531E3D"/>
    <w:rsid w:val="005325CC"/>
    <w:rsid w:val="005334E2"/>
    <w:rsid w:val="00533BAE"/>
    <w:rsid w:val="00537F8C"/>
    <w:rsid w:val="005406E3"/>
    <w:rsid w:val="00542ED4"/>
    <w:rsid w:val="00543996"/>
    <w:rsid w:val="00545971"/>
    <w:rsid w:val="00545B3D"/>
    <w:rsid w:val="0054679A"/>
    <w:rsid w:val="005514C2"/>
    <w:rsid w:val="00554498"/>
    <w:rsid w:val="00555B07"/>
    <w:rsid w:val="005563A1"/>
    <w:rsid w:val="00560AD1"/>
    <w:rsid w:val="0056167D"/>
    <w:rsid w:val="00564E19"/>
    <w:rsid w:val="005656D4"/>
    <w:rsid w:val="00565857"/>
    <w:rsid w:val="00567681"/>
    <w:rsid w:val="00572CE4"/>
    <w:rsid w:val="005736C8"/>
    <w:rsid w:val="005745DF"/>
    <w:rsid w:val="00575354"/>
    <w:rsid w:val="0057669F"/>
    <w:rsid w:val="00576F16"/>
    <w:rsid w:val="0058064E"/>
    <w:rsid w:val="00581C2D"/>
    <w:rsid w:val="00582CA0"/>
    <w:rsid w:val="00582F57"/>
    <w:rsid w:val="005875C4"/>
    <w:rsid w:val="005928E9"/>
    <w:rsid w:val="00592DD8"/>
    <w:rsid w:val="00594C83"/>
    <w:rsid w:val="0059568D"/>
    <w:rsid w:val="00597EF7"/>
    <w:rsid w:val="00597FDB"/>
    <w:rsid w:val="005A1800"/>
    <w:rsid w:val="005A18B3"/>
    <w:rsid w:val="005A596F"/>
    <w:rsid w:val="005B2710"/>
    <w:rsid w:val="005B4B10"/>
    <w:rsid w:val="005B4DD6"/>
    <w:rsid w:val="005B60DD"/>
    <w:rsid w:val="005C087A"/>
    <w:rsid w:val="005C2393"/>
    <w:rsid w:val="005C25E1"/>
    <w:rsid w:val="005C331C"/>
    <w:rsid w:val="005C44ED"/>
    <w:rsid w:val="005C533C"/>
    <w:rsid w:val="005C5342"/>
    <w:rsid w:val="005C60E9"/>
    <w:rsid w:val="005C7438"/>
    <w:rsid w:val="005D1124"/>
    <w:rsid w:val="005D2EED"/>
    <w:rsid w:val="005E453C"/>
    <w:rsid w:val="005E5100"/>
    <w:rsid w:val="005E69EC"/>
    <w:rsid w:val="005E70C0"/>
    <w:rsid w:val="005E71C6"/>
    <w:rsid w:val="005F0EF3"/>
    <w:rsid w:val="005F1A6B"/>
    <w:rsid w:val="005F1DC4"/>
    <w:rsid w:val="005F1E15"/>
    <w:rsid w:val="005F3669"/>
    <w:rsid w:val="005F45D3"/>
    <w:rsid w:val="005F54DF"/>
    <w:rsid w:val="005F664F"/>
    <w:rsid w:val="00601CD4"/>
    <w:rsid w:val="00606B47"/>
    <w:rsid w:val="0061081E"/>
    <w:rsid w:val="00610F13"/>
    <w:rsid w:val="00611D18"/>
    <w:rsid w:val="0062034D"/>
    <w:rsid w:val="006252B0"/>
    <w:rsid w:val="00625C8F"/>
    <w:rsid w:val="006268ED"/>
    <w:rsid w:val="00626E3D"/>
    <w:rsid w:val="00627C54"/>
    <w:rsid w:val="00631F72"/>
    <w:rsid w:val="00632264"/>
    <w:rsid w:val="00632AC0"/>
    <w:rsid w:val="00642623"/>
    <w:rsid w:val="00642B3A"/>
    <w:rsid w:val="00642E7C"/>
    <w:rsid w:val="006445F8"/>
    <w:rsid w:val="0064509D"/>
    <w:rsid w:val="006455F1"/>
    <w:rsid w:val="006507E4"/>
    <w:rsid w:val="006549AB"/>
    <w:rsid w:val="00656C66"/>
    <w:rsid w:val="00660CFF"/>
    <w:rsid w:val="00661A98"/>
    <w:rsid w:val="00661AFF"/>
    <w:rsid w:val="00662C61"/>
    <w:rsid w:val="006638E4"/>
    <w:rsid w:val="0066489C"/>
    <w:rsid w:val="00670216"/>
    <w:rsid w:val="0067042F"/>
    <w:rsid w:val="00673B89"/>
    <w:rsid w:val="0067574E"/>
    <w:rsid w:val="00676430"/>
    <w:rsid w:val="00676764"/>
    <w:rsid w:val="00677496"/>
    <w:rsid w:val="00680671"/>
    <w:rsid w:val="00680FAF"/>
    <w:rsid w:val="006833F5"/>
    <w:rsid w:val="00683993"/>
    <w:rsid w:val="00684C0E"/>
    <w:rsid w:val="00684F5D"/>
    <w:rsid w:val="00687585"/>
    <w:rsid w:val="00690DAF"/>
    <w:rsid w:val="00690DF8"/>
    <w:rsid w:val="00691184"/>
    <w:rsid w:val="0069134C"/>
    <w:rsid w:val="00696C3A"/>
    <w:rsid w:val="00696F88"/>
    <w:rsid w:val="0069713A"/>
    <w:rsid w:val="006A04F8"/>
    <w:rsid w:val="006A5503"/>
    <w:rsid w:val="006A7396"/>
    <w:rsid w:val="006B389E"/>
    <w:rsid w:val="006B4D68"/>
    <w:rsid w:val="006B6120"/>
    <w:rsid w:val="006B7605"/>
    <w:rsid w:val="006B7D39"/>
    <w:rsid w:val="006C2551"/>
    <w:rsid w:val="006C3658"/>
    <w:rsid w:val="006C377E"/>
    <w:rsid w:val="006D00B2"/>
    <w:rsid w:val="006D2116"/>
    <w:rsid w:val="006D2BC4"/>
    <w:rsid w:val="006D410E"/>
    <w:rsid w:val="006D7062"/>
    <w:rsid w:val="006E44E9"/>
    <w:rsid w:val="006E721C"/>
    <w:rsid w:val="006E7407"/>
    <w:rsid w:val="006F16F5"/>
    <w:rsid w:val="006F2851"/>
    <w:rsid w:val="006F2BEA"/>
    <w:rsid w:val="006F55DB"/>
    <w:rsid w:val="006F6F5D"/>
    <w:rsid w:val="007004AA"/>
    <w:rsid w:val="00701C08"/>
    <w:rsid w:val="007040F3"/>
    <w:rsid w:val="007057E5"/>
    <w:rsid w:val="00710CFD"/>
    <w:rsid w:val="00711817"/>
    <w:rsid w:val="007120BC"/>
    <w:rsid w:val="00712AED"/>
    <w:rsid w:val="00714D70"/>
    <w:rsid w:val="007216EA"/>
    <w:rsid w:val="00723FD8"/>
    <w:rsid w:val="0073115C"/>
    <w:rsid w:val="00734AE9"/>
    <w:rsid w:val="00736626"/>
    <w:rsid w:val="007370E1"/>
    <w:rsid w:val="00741470"/>
    <w:rsid w:val="00742D51"/>
    <w:rsid w:val="00743FA9"/>
    <w:rsid w:val="0075191C"/>
    <w:rsid w:val="0075395D"/>
    <w:rsid w:val="0076543B"/>
    <w:rsid w:val="007662CA"/>
    <w:rsid w:val="007669CD"/>
    <w:rsid w:val="007707CF"/>
    <w:rsid w:val="007725CD"/>
    <w:rsid w:val="00773565"/>
    <w:rsid w:val="00773775"/>
    <w:rsid w:val="00776D21"/>
    <w:rsid w:val="007772C3"/>
    <w:rsid w:val="007811F8"/>
    <w:rsid w:val="0078379D"/>
    <w:rsid w:val="00786E5C"/>
    <w:rsid w:val="00787F5B"/>
    <w:rsid w:val="00792468"/>
    <w:rsid w:val="007928BD"/>
    <w:rsid w:val="00792A4A"/>
    <w:rsid w:val="007A6DDB"/>
    <w:rsid w:val="007A7147"/>
    <w:rsid w:val="007A7473"/>
    <w:rsid w:val="007A77E7"/>
    <w:rsid w:val="007B0C07"/>
    <w:rsid w:val="007B1329"/>
    <w:rsid w:val="007B25F5"/>
    <w:rsid w:val="007B3287"/>
    <w:rsid w:val="007B36C0"/>
    <w:rsid w:val="007B3707"/>
    <w:rsid w:val="007B42DD"/>
    <w:rsid w:val="007C28C3"/>
    <w:rsid w:val="007C4F8A"/>
    <w:rsid w:val="007C7036"/>
    <w:rsid w:val="007D1034"/>
    <w:rsid w:val="007D146A"/>
    <w:rsid w:val="007D28B8"/>
    <w:rsid w:val="007D2E46"/>
    <w:rsid w:val="007D4C8E"/>
    <w:rsid w:val="007D52B9"/>
    <w:rsid w:val="007D5377"/>
    <w:rsid w:val="007D62F5"/>
    <w:rsid w:val="007E2904"/>
    <w:rsid w:val="007E496C"/>
    <w:rsid w:val="007F0296"/>
    <w:rsid w:val="007F1F80"/>
    <w:rsid w:val="007F29E4"/>
    <w:rsid w:val="007F3B69"/>
    <w:rsid w:val="007F4DA6"/>
    <w:rsid w:val="007F5275"/>
    <w:rsid w:val="0080026D"/>
    <w:rsid w:val="00801274"/>
    <w:rsid w:val="0080335B"/>
    <w:rsid w:val="0080526B"/>
    <w:rsid w:val="008067AC"/>
    <w:rsid w:val="008079BE"/>
    <w:rsid w:val="008116AA"/>
    <w:rsid w:val="00812A6E"/>
    <w:rsid w:val="0081512A"/>
    <w:rsid w:val="00816165"/>
    <w:rsid w:val="008163E8"/>
    <w:rsid w:val="00816EDF"/>
    <w:rsid w:val="0082188C"/>
    <w:rsid w:val="0082199F"/>
    <w:rsid w:val="0082272C"/>
    <w:rsid w:val="008244D9"/>
    <w:rsid w:val="008245AE"/>
    <w:rsid w:val="00826475"/>
    <w:rsid w:val="00827518"/>
    <w:rsid w:val="00833BB3"/>
    <w:rsid w:val="008356DB"/>
    <w:rsid w:val="008375F4"/>
    <w:rsid w:val="00840550"/>
    <w:rsid w:val="00840835"/>
    <w:rsid w:val="00843E71"/>
    <w:rsid w:val="008472E2"/>
    <w:rsid w:val="0084785E"/>
    <w:rsid w:val="00850306"/>
    <w:rsid w:val="008504A6"/>
    <w:rsid w:val="00850F0C"/>
    <w:rsid w:val="00851B1C"/>
    <w:rsid w:val="00857B52"/>
    <w:rsid w:val="008600CA"/>
    <w:rsid w:val="00861D06"/>
    <w:rsid w:val="008659D3"/>
    <w:rsid w:val="00876DFC"/>
    <w:rsid w:val="008801B3"/>
    <w:rsid w:val="0088202E"/>
    <w:rsid w:val="00884D2F"/>
    <w:rsid w:val="00884E1C"/>
    <w:rsid w:val="00885BF7"/>
    <w:rsid w:val="00887059"/>
    <w:rsid w:val="0088730D"/>
    <w:rsid w:val="00892525"/>
    <w:rsid w:val="00894B96"/>
    <w:rsid w:val="008973BC"/>
    <w:rsid w:val="008A029E"/>
    <w:rsid w:val="008A11AB"/>
    <w:rsid w:val="008A280E"/>
    <w:rsid w:val="008A28AE"/>
    <w:rsid w:val="008A3F07"/>
    <w:rsid w:val="008A43DF"/>
    <w:rsid w:val="008A4E43"/>
    <w:rsid w:val="008A5C41"/>
    <w:rsid w:val="008A61D5"/>
    <w:rsid w:val="008B30AD"/>
    <w:rsid w:val="008B3B8B"/>
    <w:rsid w:val="008B5A63"/>
    <w:rsid w:val="008B7F6D"/>
    <w:rsid w:val="008C0286"/>
    <w:rsid w:val="008C1099"/>
    <w:rsid w:val="008C24D9"/>
    <w:rsid w:val="008C74D2"/>
    <w:rsid w:val="008D0D87"/>
    <w:rsid w:val="008D161E"/>
    <w:rsid w:val="008E116B"/>
    <w:rsid w:val="008E1AF8"/>
    <w:rsid w:val="008E22E5"/>
    <w:rsid w:val="008E2541"/>
    <w:rsid w:val="008E5003"/>
    <w:rsid w:val="008F00E2"/>
    <w:rsid w:val="008F0B8A"/>
    <w:rsid w:val="008F0DA2"/>
    <w:rsid w:val="008F1C32"/>
    <w:rsid w:val="008F1E89"/>
    <w:rsid w:val="00902C98"/>
    <w:rsid w:val="00905BEB"/>
    <w:rsid w:val="00905DD1"/>
    <w:rsid w:val="0090608B"/>
    <w:rsid w:val="00907D9E"/>
    <w:rsid w:val="00911522"/>
    <w:rsid w:val="009123AB"/>
    <w:rsid w:val="00912902"/>
    <w:rsid w:val="00913EFE"/>
    <w:rsid w:val="00917A08"/>
    <w:rsid w:val="00921D75"/>
    <w:rsid w:val="00921F23"/>
    <w:rsid w:val="00922362"/>
    <w:rsid w:val="009329BB"/>
    <w:rsid w:val="00933F6C"/>
    <w:rsid w:val="009346CD"/>
    <w:rsid w:val="009365C9"/>
    <w:rsid w:val="00937389"/>
    <w:rsid w:val="00940F83"/>
    <w:rsid w:val="0094169D"/>
    <w:rsid w:val="00941DC1"/>
    <w:rsid w:val="00943EAD"/>
    <w:rsid w:val="00943FD1"/>
    <w:rsid w:val="009451F0"/>
    <w:rsid w:val="00947A66"/>
    <w:rsid w:val="009527D6"/>
    <w:rsid w:val="00953444"/>
    <w:rsid w:val="00953B1C"/>
    <w:rsid w:val="009559AF"/>
    <w:rsid w:val="00957792"/>
    <w:rsid w:val="00962C95"/>
    <w:rsid w:val="00963119"/>
    <w:rsid w:val="00964149"/>
    <w:rsid w:val="0096487D"/>
    <w:rsid w:val="00967F26"/>
    <w:rsid w:val="00970A2E"/>
    <w:rsid w:val="009717B4"/>
    <w:rsid w:val="00971D9B"/>
    <w:rsid w:val="00972602"/>
    <w:rsid w:val="00972EF4"/>
    <w:rsid w:val="00973493"/>
    <w:rsid w:val="00974BB1"/>
    <w:rsid w:val="0097683C"/>
    <w:rsid w:val="00977162"/>
    <w:rsid w:val="009772EC"/>
    <w:rsid w:val="00977B17"/>
    <w:rsid w:val="00980AD5"/>
    <w:rsid w:val="0098680A"/>
    <w:rsid w:val="00987F3E"/>
    <w:rsid w:val="00990EC9"/>
    <w:rsid w:val="00991FA7"/>
    <w:rsid w:val="00992B7E"/>
    <w:rsid w:val="009935AE"/>
    <w:rsid w:val="00993F07"/>
    <w:rsid w:val="009958C4"/>
    <w:rsid w:val="00996289"/>
    <w:rsid w:val="00996398"/>
    <w:rsid w:val="009976E3"/>
    <w:rsid w:val="009A2CC9"/>
    <w:rsid w:val="009A47E0"/>
    <w:rsid w:val="009A6511"/>
    <w:rsid w:val="009B54FB"/>
    <w:rsid w:val="009C3DBA"/>
    <w:rsid w:val="009C5392"/>
    <w:rsid w:val="009C6BC1"/>
    <w:rsid w:val="009D1826"/>
    <w:rsid w:val="009D1BDC"/>
    <w:rsid w:val="009D2AE6"/>
    <w:rsid w:val="009D4DAD"/>
    <w:rsid w:val="009E71E2"/>
    <w:rsid w:val="009E7CD9"/>
    <w:rsid w:val="009F05D4"/>
    <w:rsid w:val="009F1670"/>
    <w:rsid w:val="009F3EAC"/>
    <w:rsid w:val="009F5043"/>
    <w:rsid w:val="00A000CE"/>
    <w:rsid w:val="00A014E0"/>
    <w:rsid w:val="00A0311A"/>
    <w:rsid w:val="00A0506D"/>
    <w:rsid w:val="00A059CE"/>
    <w:rsid w:val="00A22A7A"/>
    <w:rsid w:val="00A2398F"/>
    <w:rsid w:val="00A25674"/>
    <w:rsid w:val="00A403CE"/>
    <w:rsid w:val="00A45DC6"/>
    <w:rsid w:val="00A461C7"/>
    <w:rsid w:val="00A525AF"/>
    <w:rsid w:val="00A52CBE"/>
    <w:rsid w:val="00A5304B"/>
    <w:rsid w:val="00A575BA"/>
    <w:rsid w:val="00A624AF"/>
    <w:rsid w:val="00A65AAB"/>
    <w:rsid w:val="00A7283F"/>
    <w:rsid w:val="00A751D9"/>
    <w:rsid w:val="00A76FB9"/>
    <w:rsid w:val="00A80355"/>
    <w:rsid w:val="00A8296C"/>
    <w:rsid w:val="00A82A85"/>
    <w:rsid w:val="00A83236"/>
    <w:rsid w:val="00A878AA"/>
    <w:rsid w:val="00A916A2"/>
    <w:rsid w:val="00A91F11"/>
    <w:rsid w:val="00A92DD2"/>
    <w:rsid w:val="00A94D1A"/>
    <w:rsid w:val="00A96CB5"/>
    <w:rsid w:val="00A96D38"/>
    <w:rsid w:val="00AA1A21"/>
    <w:rsid w:val="00AA513A"/>
    <w:rsid w:val="00AA5C32"/>
    <w:rsid w:val="00AA5C91"/>
    <w:rsid w:val="00AA6B2F"/>
    <w:rsid w:val="00AA7C58"/>
    <w:rsid w:val="00AB45E5"/>
    <w:rsid w:val="00AB5E3C"/>
    <w:rsid w:val="00AC07DE"/>
    <w:rsid w:val="00AC0B9E"/>
    <w:rsid w:val="00AC1FD0"/>
    <w:rsid w:val="00AC3BE5"/>
    <w:rsid w:val="00AC53DE"/>
    <w:rsid w:val="00AD02C5"/>
    <w:rsid w:val="00AD051D"/>
    <w:rsid w:val="00AD0CCD"/>
    <w:rsid w:val="00AE2BCA"/>
    <w:rsid w:val="00AE47C6"/>
    <w:rsid w:val="00AF0A6A"/>
    <w:rsid w:val="00AF14B1"/>
    <w:rsid w:val="00AF151F"/>
    <w:rsid w:val="00AF1A51"/>
    <w:rsid w:val="00AF2F99"/>
    <w:rsid w:val="00AF324E"/>
    <w:rsid w:val="00AF57AD"/>
    <w:rsid w:val="00AF5CDF"/>
    <w:rsid w:val="00AF62CE"/>
    <w:rsid w:val="00B00B8C"/>
    <w:rsid w:val="00B00C23"/>
    <w:rsid w:val="00B01CA5"/>
    <w:rsid w:val="00B0267D"/>
    <w:rsid w:val="00B06B1E"/>
    <w:rsid w:val="00B10D91"/>
    <w:rsid w:val="00B13D2A"/>
    <w:rsid w:val="00B1629F"/>
    <w:rsid w:val="00B22609"/>
    <w:rsid w:val="00B273C9"/>
    <w:rsid w:val="00B27CAC"/>
    <w:rsid w:val="00B31EF1"/>
    <w:rsid w:val="00B32B00"/>
    <w:rsid w:val="00B32FF8"/>
    <w:rsid w:val="00B3311D"/>
    <w:rsid w:val="00B34761"/>
    <w:rsid w:val="00B36456"/>
    <w:rsid w:val="00B40A51"/>
    <w:rsid w:val="00B40EEE"/>
    <w:rsid w:val="00B4153E"/>
    <w:rsid w:val="00B46AD7"/>
    <w:rsid w:val="00B51635"/>
    <w:rsid w:val="00B5334D"/>
    <w:rsid w:val="00B548F3"/>
    <w:rsid w:val="00B64E54"/>
    <w:rsid w:val="00B66410"/>
    <w:rsid w:val="00B72802"/>
    <w:rsid w:val="00B741D8"/>
    <w:rsid w:val="00B766EF"/>
    <w:rsid w:val="00B76D3D"/>
    <w:rsid w:val="00B77D8B"/>
    <w:rsid w:val="00B80730"/>
    <w:rsid w:val="00B82509"/>
    <w:rsid w:val="00B83CED"/>
    <w:rsid w:val="00B85328"/>
    <w:rsid w:val="00B85E71"/>
    <w:rsid w:val="00B8797A"/>
    <w:rsid w:val="00B879F3"/>
    <w:rsid w:val="00B92258"/>
    <w:rsid w:val="00B92D39"/>
    <w:rsid w:val="00B949A9"/>
    <w:rsid w:val="00B97345"/>
    <w:rsid w:val="00BA0349"/>
    <w:rsid w:val="00BA19FE"/>
    <w:rsid w:val="00BA24FA"/>
    <w:rsid w:val="00BA2B26"/>
    <w:rsid w:val="00BB251D"/>
    <w:rsid w:val="00BB3FA5"/>
    <w:rsid w:val="00BB409C"/>
    <w:rsid w:val="00BB5A91"/>
    <w:rsid w:val="00BB72AA"/>
    <w:rsid w:val="00BB72D3"/>
    <w:rsid w:val="00BB7ACF"/>
    <w:rsid w:val="00BC1264"/>
    <w:rsid w:val="00BC2105"/>
    <w:rsid w:val="00BC25F0"/>
    <w:rsid w:val="00BC4843"/>
    <w:rsid w:val="00BC535C"/>
    <w:rsid w:val="00BD0DF0"/>
    <w:rsid w:val="00BD31CD"/>
    <w:rsid w:val="00BD4C7B"/>
    <w:rsid w:val="00BD5239"/>
    <w:rsid w:val="00BD6799"/>
    <w:rsid w:val="00BE035A"/>
    <w:rsid w:val="00BE470D"/>
    <w:rsid w:val="00BE4D03"/>
    <w:rsid w:val="00BE7EE3"/>
    <w:rsid w:val="00BF0B9E"/>
    <w:rsid w:val="00BF1D8E"/>
    <w:rsid w:val="00BF1EDB"/>
    <w:rsid w:val="00BF289B"/>
    <w:rsid w:val="00BF3D0B"/>
    <w:rsid w:val="00BF5ED7"/>
    <w:rsid w:val="00BF6646"/>
    <w:rsid w:val="00BF702E"/>
    <w:rsid w:val="00BF7E99"/>
    <w:rsid w:val="00C0016C"/>
    <w:rsid w:val="00C03B62"/>
    <w:rsid w:val="00C06507"/>
    <w:rsid w:val="00C06E89"/>
    <w:rsid w:val="00C112F9"/>
    <w:rsid w:val="00C1179E"/>
    <w:rsid w:val="00C13B61"/>
    <w:rsid w:val="00C20E04"/>
    <w:rsid w:val="00C21107"/>
    <w:rsid w:val="00C21734"/>
    <w:rsid w:val="00C24CC1"/>
    <w:rsid w:val="00C3163C"/>
    <w:rsid w:val="00C33A6D"/>
    <w:rsid w:val="00C36455"/>
    <w:rsid w:val="00C41644"/>
    <w:rsid w:val="00C44CB3"/>
    <w:rsid w:val="00C45907"/>
    <w:rsid w:val="00C45BC8"/>
    <w:rsid w:val="00C46E2D"/>
    <w:rsid w:val="00C51791"/>
    <w:rsid w:val="00C5196A"/>
    <w:rsid w:val="00C519CA"/>
    <w:rsid w:val="00C55ED3"/>
    <w:rsid w:val="00C56477"/>
    <w:rsid w:val="00C61821"/>
    <w:rsid w:val="00C643C7"/>
    <w:rsid w:val="00C65513"/>
    <w:rsid w:val="00C678AB"/>
    <w:rsid w:val="00C71120"/>
    <w:rsid w:val="00C71B77"/>
    <w:rsid w:val="00C72D18"/>
    <w:rsid w:val="00C74F60"/>
    <w:rsid w:val="00C75E1E"/>
    <w:rsid w:val="00C76E87"/>
    <w:rsid w:val="00C81002"/>
    <w:rsid w:val="00C81306"/>
    <w:rsid w:val="00C849B7"/>
    <w:rsid w:val="00C8683B"/>
    <w:rsid w:val="00C90446"/>
    <w:rsid w:val="00C91E0F"/>
    <w:rsid w:val="00C938E7"/>
    <w:rsid w:val="00C9414F"/>
    <w:rsid w:val="00C941B2"/>
    <w:rsid w:val="00C957F7"/>
    <w:rsid w:val="00C97371"/>
    <w:rsid w:val="00C974B9"/>
    <w:rsid w:val="00C978A1"/>
    <w:rsid w:val="00C97AED"/>
    <w:rsid w:val="00CA1F6E"/>
    <w:rsid w:val="00CA2917"/>
    <w:rsid w:val="00CA5280"/>
    <w:rsid w:val="00CB43A0"/>
    <w:rsid w:val="00CB43EE"/>
    <w:rsid w:val="00CB5A08"/>
    <w:rsid w:val="00CC12AC"/>
    <w:rsid w:val="00CC173A"/>
    <w:rsid w:val="00CC18F0"/>
    <w:rsid w:val="00CC4E98"/>
    <w:rsid w:val="00CC66F9"/>
    <w:rsid w:val="00CC6FF1"/>
    <w:rsid w:val="00CC75FA"/>
    <w:rsid w:val="00CD0D13"/>
    <w:rsid w:val="00CD27B5"/>
    <w:rsid w:val="00CD36FD"/>
    <w:rsid w:val="00CE1D6B"/>
    <w:rsid w:val="00CE22C3"/>
    <w:rsid w:val="00CE274C"/>
    <w:rsid w:val="00CE5022"/>
    <w:rsid w:val="00CE5288"/>
    <w:rsid w:val="00CE55CE"/>
    <w:rsid w:val="00CF2979"/>
    <w:rsid w:val="00CF7006"/>
    <w:rsid w:val="00CF722F"/>
    <w:rsid w:val="00D001CD"/>
    <w:rsid w:val="00D01017"/>
    <w:rsid w:val="00D01ABE"/>
    <w:rsid w:val="00D01B73"/>
    <w:rsid w:val="00D04A4F"/>
    <w:rsid w:val="00D064E9"/>
    <w:rsid w:val="00D10508"/>
    <w:rsid w:val="00D10628"/>
    <w:rsid w:val="00D110C6"/>
    <w:rsid w:val="00D136D0"/>
    <w:rsid w:val="00D158AC"/>
    <w:rsid w:val="00D17C5C"/>
    <w:rsid w:val="00D22F2D"/>
    <w:rsid w:val="00D24AB3"/>
    <w:rsid w:val="00D26323"/>
    <w:rsid w:val="00D272A1"/>
    <w:rsid w:val="00D272A4"/>
    <w:rsid w:val="00D27667"/>
    <w:rsid w:val="00D27D96"/>
    <w:rsid w:val="00D303D9"/>
    <w:rsid w:val="00D30565"/>
    <w:rsid w:val="00D33FB6"/>
    <w:rsid w:val="00D34A48"/>
    <w:rsid w:val="00D35019"/>
    <w:rsid w:val="00D37DE8"/>
    <w:rsid w:val="00D40728"/>
    <w:rsid w:val="00D40DB9"/>
    <w:rsid w:val="00D413D4"/>
    <w:rsid w:val="00D421FD"/>
    <w:rsid w:val="00D472F2"/>
    <w:rsid w:val="00D509C8"/>
    <w:rsid w:val="00D50AAD"/>
    <w:rsid w:val="00D57158"/>
    <w:rsid w:val="00D57B42"/>
    <w:rsid w:val="00D6392B"/>
    <w:rsid w:val="00D65082"/>
    <w:rsid w:val="00D660F0"/>
    <w:rsid w:val="00D670E7"/>
    <w:rsid w:val="00D70525"/>
    <w:rsid w:val="00D737A6"/>
    <w:rsid w:val="00D73CC8"/>
    <w:rsid w:val="00D7437A"/>
    <w:rsid w:val="00D74F21"/>
    <w:rsid w:val="00D75169"/>
    <w:rsid w:val="00D751A2"/>
    <w:rsid w:val="00D75ACD"/>
    <w:rsid w:val="00D8101E"/>
    <w:rsid w:val="00D810E2"/>
    <w:rsid w:val="00D81320"/>
    <w:rsid w:val="00D815A2"/>
    <w:rsid w:val="00D8182F"/>
    <w:rsid w:val="00D81E7C"/>
    <w:rsid w:val="00D824DB"/>
    <w:rsid w:val="00D90001"/>
    <w:rsid w:val="00D9043F"/>
    <w:rsid w:val="00D91C87"/>
    <w:rsid w:val="00D93C36"/>
    <w:rsid w:val="00D96B96"/>
    <w:rsid w:val="00DA0936"/>
    <w:rsid w:val="00DA371B"/>
    <w:rsid w:val="00DA3FA7"/>
    <w:rsid w:val="00DB41E8"/>
    <w:rsid w:val="00DB5549"/>
    <w:rsid w:val="00DB5C04"/>
    <w:rsid w:val="00DB7B7C"/>
    <w:rsid w:val="00DC259F"/>
    <w:rsid w:val="00DC3A82"/>
    <w:rsid w:val="00DC5D96"/>
    <w:rsid w:val="00DC75E5"/>
    <w:rsid w:val="00DD157C"/>
    <w:rsid w:val="00DD1F58"/>
    <w:rsid w:val="00DD2C9C"/>
    <w:rsid w:val="00DD40FC"/>
    <w:rsid w:val="00DD6C1E"/>
    <w:rsid w:val="00DE1449"/>
    <w:rsid w:val="00DE24D7"/>
    <w:rsid w:val="00DE450B"/>
    <w:rsid w:val="00DE72A4"/>
    <w:rsid w:val="00DE7333"/>
    <w:rsid w:val="00DE738A"/>
    <w:rsid w:val="00DF0AB6"/>
    <w:rsid w:val="00DF1A5C"/>
    <w:rsid w:val="00DF243B"/>
    <w:rsid w:val="00E01631"/>
    <w:rsid w:val="00E02623"/>
    <w:rsid w:val="00E04AFE"/>
    <w:rsid w:val="00E05711"/>
    <w:rsid w:val="00E0684F"/>
    <w:rsid w:val="00E071B6"/>
    <w:rsid w:val="00E07261"/>
    <w:rsid w:val="00E10362"/>
    <w:rsid w:val="00E11824"/>
    <w:rsid w:val="00E17ADB"/>
    <w:rsid w:val="00E2412B"/>
    <w:rsid w:val="00E26DDD"/>
    <w:rsid w:val="00E27625"/>
    <w:rsid w:val="00E30E55"/>
    <w:rsid w:val="00E345C0"/>
    <w:rsid w:val="00E42AE5"/>
    <w:rsid w:val="00E45D39"/>
    <w:rsid w:val="00E514D0"/>
    <w:rsid w:val="00E531CD"/>
    <w:rsid w:val="00E53BAA"/>
    <w:rsid w:val="00E56204"/>
    <w:rsid w:val="00E60C0C"/>
    <w:rsid w:val="00E61D6A"/>
    <w:rsid w:val="00E629E3"/>
    <w:rsid w:val="00E650F4"/>
    <w:rsid w:val="00E65333"/>
    <w:rsid w:val="00E6579D"/>
    <w:rsid w:val="00E65B31"/>
    <w:rsid w:val="00E65B70"/>
    <w:rsid w:val="00E67E15"/>
    <w:rsid w:val="00E71E86"/>
    <w:rsid w:val="00E754C8"/>
    <w:rsid w:val="00E77244"/>
    <w:rsid w:val="00E8034E"/>
    <w:rsid w:val="00E82FBC"/>
    <w:rsid w:val="00E8476D"/>
    <w:rsid w:val="00E86D1C"/>
    <w:rsid w:val="00E87D29"/>
    <w:rsid w:val="00E90319"/>
    <w:rsid w:val="00E90570"/>
    <w:rsid w:val="00E9153A"/>
    <w:rsid w:val="00E93475"/>
    <w:rsid w:val="00E952FC"/>
    <w:rsid w:val="00E96287"/>
    <w:rsid w:val="00E97515"/>
    <w:rsid w:val="00E97657"/>
    <w:rsid w:val="00EA07B0"/>
    <w:rsid w:val="00EA08AC"/>
    <w:rsid w:val="00EA1573"/>
    <w:rsid w:val="00EA17AC"/>
    <w:rsid w:val="00EA1862"/>
    <w:rsid w:val="00EA2810"/>
    <w:rsid w:val="00EA36A6"/>
    <w:rsid w:val="00EA418E"/>
    <w:rsid w:val="00EA4F24"/>
    <w:rsid w:val="00EA6125"/>
    <w:rsid w:val="00EA70B2"/>
    <w:rsid w:val="00EA744E"/>
    <w:rsid w:val="00EA7631"/>
    <w:rsid w:val="00EB0364"/>
    <w:rsid w:val="00EB4FEF"/>
    <w:rsid w:val="00EB52D9"/>
    <w:rsid w:val="00EB6C31"/>
    <w:rsid w:val="00EC0D1A"/>
    <w:rsid w:val="00EC1FF9"/>
    <w:rsid w:val="00ED1EA2"/>
    <w:rsid w:val="00ED20E4"/>
    <w:rsid w:val="00ED74E2"/>
    <w:rsid w:val="00EE087A"/>
    <w:rsid w:val="00EE49FC"/>
    <w:rsid w:val="00EE59D4"/>
    <w:rsid w:val="00EF03CA"/>
    <w:rsid w:val="00EF0DB3"/>
    <w:rsid w:val="00EF37C0"/>
    <w:rsid w:val="00EF38D4"/>
    <w:rsid w:val="00EF59F1"/>
    <w:rsid w:val="00EF5BB1"/>
    <w:rsid w:val="00F01FA5"/>
    <w:rsid w:val="00F078FC"/>
    <w:rsid w:val="00F10589"/>
    <w:rsid w:val="00F106F9"/>
    <w:rsid w:val="00F1096B"/>
    <w:rsid w:val="00F123ED"/>
    <w:rsid w:val="00F13B25"/>
    <w:rsid w:val="00F14706"/>
    <w:rsid w:val="00F14EED"/>
    <w:rsid w:val="00F154EA"/>
    <w:rsid w:val="00F16A6A"/>
    <w:rsid w:val="00F17759"/>
    <w:rsid w:val="00F200E8"/>
    <w:rsid w:val="00F243EC"/>
    <w:rsid w:val="00F26551"/>
    <w:rsid w:val="00F26699"/>
    <w:rsid w:val="00F32719"/>
    <w:rsid w:val="00F33C80"/>
    <w:rsid w:val="00F3430A"/>
    <w:rsid w:val="00F35B5E"/>
    <w:rsid w:val="00F379EA"/>
    <w:rsid w:val="00F4045F"/>
    <w:rsid w:val="00F40919"/>
    <w:rsid w:val="00F40CD0"/>
    <w:rsid w:val="00F44C0D"/>
    <w:rsid w:val="00F47215"/>
    <w:rsid w:val="00F500FC"/>
    <w:rsid w:val="00F501F8"/>
    <w:rsid w:val="00F511F6"/>
    <w:rsid w:val="00F519CE"/>
    <w:rsid w:val="00F52980"/>
    <w:rsid w:val="00F5671E"/>
    <w:rsid w:val="00F57991"/>
    <w:rsid w:val="00F60E90"/>
    <w:rsid w:val="00F65695"/>
    <w:rsid w:val="00F65A03"/>
    <w:rsid w:val="00F65CCD"/>
    <w:rsid w:val="00F66D5A"/>
    <w:rsid w:val="00F672B4"/>
    <w:rsid w:val="00F67AF9"/>
    <w:rsid w:val="00F70E62"/>
    <w:rsid w:val="00F72255"/>
    <w:rsid w:val="00F72A61"/>
    <w:rsid w:val="00F73A15"/>
    <w:rsid w:val="00F74D5F"/>
    <w:rsid w:val="00F7582D"/>
    <w:rsid w:val="00F765DF"/>
    <w:rsid w:val="00F80202"/>
    <w:rsid w:val="00F811A5"/>
    <w:rsid w:val="00F81D7C"/>
    <w:rsid w:val="00F82641"/>
    <w:rsid w:val="00F901E5"/>
    <w:rsid w:val="00F913C0"/>
    <w:rsid w:val="00F9149C"/>
    <w:rsid w:val="00F92BE0"/>
    <w:rsid w:val="00F93FC3"/>
    <w:rsid w:val="00F94923"/>
    <w:rsid w:val="00F95502"/>
    <w:rsid w:val="00F96290"/>
    <w:rsid w:val="00F9714C"/>
    <w:rsid w:val="00FA2A7A"/>
    <w:rsid w:val="00FA3FFC"/>
    <w:rsid w:val="00FC288B"/>
    <w:rsid w:val="00FC408D"/>
    <w:rsid w:val="00FC4790"/>
    <w:rsid w:val="00FC5387"/>
    <w:rsid w:val="00FC5BF7"/>
    <w:rsid w:val="00FD0B93"/>
    <w:rsid w:val="00FD17FB"/>
    <w:rsid w:val="00FD2C84"/>
    <w:rsid w:val="00FD3E88"/>
    <w:rsid w:val="00FD6A9A"/>
    <w:rsid w:val="00FD79BA"/>
    <w:rsid w:val="00FE1A9E"/>
    <w:rsid w:val="00FE2738"/>
    <w:rsid w:val="00FE5372"/>
    <w:rsid w:val="00FE680B"/>
    <w:rsid w:val="00FF0842"/>
    <w:rsid w:val="00FF1439"/>
    <w:rsid w:val="00FF3B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FE69C5"/>
  <w15:chartTrackingRefBased/>
  <w15:docId w15:val="{BD07A7A2-C419-4B9F-89E0-D5EF676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064"/>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6D410E"/>
    <w:pPr>
      <w:keepNext/>
      <w:spacing w:after="0" w:line="36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aistīto dokumentu saraksts,Syle 1,Numurets,List Paragraph11,OBC Bullet,Bullet Style,L,2,Strip,H&amp;P List Paragraph,List Paragraph1"/>
    <w:basedOn w:val="Normal"/>
    <w:link w:val="ListParagraphChar"/>
    <w:uiPriority w:val="34"/>
    <w:qFormat/>
    <w:rsid w:val="00286064"/>
    <w:pPr>
      <w:ind w:left="720"/>
      <w:contextualSpacing/>
    </w:pPr>
    <w:rPr>
      <w:sz w:val="20"/>
      <w:szCs w:val="20"/>
    </w:rPr>
  </w:style>
  <w:style w:type="character" w:customStyle="1" w:styleId="ListParagraphChar">
    <w:name w:val="List Paragraph Char"/>
    <w:aliases w:val="Normal bullet 2 Char,Bullet list Char,Saistīto dokumentu saraksts Char,Syle 1 Char,Numurets Char,List Paragraph11 Char,OBC Bullet Char,Bullet Style Char,L Char,2 Char,Strip Char,H&amp;P List Paragraph Char,List Paragraph1 Char"/>
    <w:link w:val="ListParagraph"/>
    <w:uiPriority w:val="34"/>
    <w:qFormat/>
    <w:locked/>
    <w:rsid w:val="00286064"/>
    <w:rPr>
      <w:rFonts w:ascii="Calibri" w:eastAsia="Calibri" w:hAnsi="Calibri" w:cs="Times New Roman"/>
      <w:sz w:val="20"/>
      <w:szCs w:val="20"/>
    </w:rPr>
  </w:style>
  <w:style w:type="character" w:styleId="Hyperlink">
    <w:name w:val="Hyperlink"/>
    <w:basedOn w:val="DefaultParagraphFont"/>
    <w:uiPriority w:val="99"/>
    <w:unhideWhenUsed/>
    <w:rsid w:val="00286064"/>
    <w:rPr>
      <w:color w:val="0563C1" w:themeColor="hyperlink"/>
      <w:u w:val="single"/>
    </w:rPr>
  </w:style>
  <w:style w:type="character" w:styleId="CommentReference">
    <w:name w:val="annotation reference"/>
    <w:basedOn w:val="DefaultParagraphFont"/>
    <w:uiPriority w:val="99"/>
    <w:semiHidden/>
    <w:unhideWhenUsed/>
    <w:rsid w:val="00F519CE"/>
    <w:rPr>
      <w:sz w:val="16"/>
      <w:szCs w:val="16"/>
    </w:rPr>
  </w:style>
  <w:style w:type="paragraph" w:styleId="CommentText">
    <w:name w:val="annotation text"/>
    <w:basedOn w:val="Normal"/>
    <w:link w:val="CommentTextChar"/>
    <w:uiPriority w:val="99"/>
    <w:unhideWhenUsed/>
    <w:rsid w:val="00F519CE"/>
    <w:pPr>
      <w:spacing w:line="240" w:lineRule="auto"/>
    </w:pPr>
    <w:rPr>
      <w:sz w:val="20"/>
      <w:szCs w:val="20"/>
    </w:rPr>
  </w:style>
  <w:style w:type="character" w:customStyle="1" w:styleId="CommentTextChar">
    <w:name w:val="Comment Text Char"/>
    <w:basedOn w:val="DefaultParagraphFont"/>
    <w:link w:val="CommentText"/>
    <w:uiPriority w:val="99"/>
    <w:rsid w:val="00F519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19CE"/>
    <w:rPr>
      <w:b/>
      <w:bCs/>
    </w:rPr>
  </w:style>
  <w:style w:type="character" w:customStyle="1" w:styleId="CommentSubjectChar">
    <w:name w:val="Comment Subject Char"/>
    <w:basedOn w:val="CommentTextChar"/>
    <w:link w:val="CommentSubject"/>
    <w:uiPriority w:val="99"/>
    <w:semiHidden/>
    <w:rsid w:val="00F519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5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CE"/>
    <w:rPr>
      <w:rFonts w:ascii="Segoe UI" w:eastAsia="Calibri" w:hAnsi="Segoe UI" w:cs="Segoe UI"/>
      <w:sz w:val="18"/>
      <w:szCs w:val="18"/>
    </w:rPr>
  </w:style>
  <w:style w:type="paragraph" w:styleId="Revision">
    <w:name w:val="Revision"/>
    <w:hidden/>
    <w:uiPriority w:val="99"/>
    <w:semiHidden/>
    <w:rsid w:val="003D3D29"/>
    <w:pPr>
      <w:spacing w:after="0" w:line="240" w:lineRule="auto"/>
    </w:pPr>
    <w:rPr>
      <w:rFonts w:ascii="Calibri" w:eastAsia="Calibri" w:hAnsi="Calibri" w:cs="Times New Roman"/>
    </w:rPr>
  </w:style>
  <w:style w:type="paragraph" w:styleId="FootnoteText">
    <w:name w:val="footnote text"/>
    <w:basedOn w:val="Normal"/>
    <w:link w:val="FootnoteTextChar"/>
    <w:unhideWhenUsed/>
    <w:rsid w:val="003C3CF6"/>
    <w:pPr>
      <w:spacing w:after="0" w:line="240" w:lineRule="auto"/>
    </w:pPr>
    <w:rPr>
      <w:sz w:val="20"/>
      <w:szCs w:val="20"/>
    </w:rPr>
  </w:style>
  <w:style w:type="character" w:customStyle="1" w:styleId="FootnoteTextChar">
    <w:name w:val="Footnote Text Char"/>
    <w:basedOn w:val="DefaultParagraphFont"/>
    <w:link w:val="FootnoteText"/>
    <w:rsid w:val="003C3CF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C3CF6"/>
    <w:rPr>
      <w:vertAlign w:val="superscript"/>
    </w:rPr>
  </w:style>
  <w:style w:type="paragraph" w:styleId="Header">
    <w:name w:val="header"/>
    <w:basedOn w:val="Normal"/>
    <w:link w:val="HeaderChar"/>
    <w:uiPriority w:val="99"/>
    <w:unhideWhenUsed/>
    <w:rsid w:val="004148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4834"/>
    <w:rPr>
      <w:rFonts w:ascii="Calibri" w:eastAsia="Calibri" w:hAnsi="Calibri" w:cs="Times New Roman"/>
    </w:rPr>
  </w:style>
  <w:style w:type="paragraph" w:styleId="Footer">
    <w:name w:val="footer"/>
    <w:basedOn w:val="Normal"/>
    <w:link w:val="FooterChar"/>
    <w:uiPriority w:val="99"/>
    <w:unhideWhenUsed/>
    <w:rsid w:val="004148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4834"/>
    <w:rPr>
      <w:rFonts w:ascii="Calibri" w:eastAsia="Calibri" w:hAnsi="Calibri" w:cs="Times New Roman"/>
    </w:rPr>
  </w:style>
  <w:style w:type="paragraph" w:styleId="BodyText2">
    <w:name w:val="Body Text 2"/>
    <w:basedOn w:val="Normal"/>
    <w:link w:val="BodyText2Char"/>
    <w:uiPriority w:val="99"/>
    <w:semiHidden/>
    <w:unhideWhenUsed/>
    <w:rsid w:val="004823C7"/>
    <w:pPr>
      <w:spacing w:after="120" w:line="480" w:lineRule="auto"/>
    </w:pPr>
    <w:rPr>
      <w:rFonts w:ascii="Times New Roman" w:hAnsi="Times New Roman"/>
      <w:sz w:val="20"/>
      <w:szCs w:val="20"/>
      <w:lang w:val="en-AU"/>
    </w:rPr>
  </w:style>
  <w:style w:type="character" w:customStyle="1" w:styleId="BodyText2Char">
    <w:name w:val="Body Text 2 Char"/>
    <w:basedOn w:val="DefaultParagraphFont"/>
    <w:link w:val="BodyText2"/>
    <w:uiPriority w:val="99"/>
    <w:semiHidden/>
    <w:rsid w:val="004823C7"/>
    <w:rPr>
      <w:rFonts w:ascii="Times New Roman" w:eastAsia="Calibri" w:hAnsi="Times New Roman" w:cs="Times New Roman"/>
      <w:sz w:val="20"/>
      <w:szCs w:val="20"/>
      <w:lang w:val="en-AU"/>
    </w:rPr>
  </w:style>
  <w:style w:type="paragraph" w:styleId="NormalWeb">
    <w:name w:val="Normal (Web)"/>
    <w:basedOn w:val="Normal"/>
    <w:uiPriority w:val="99"/>
    <w:unhideWhenUsed/>
    <w:rsid w:val="003A72A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rsid w:val="006D410E"/>
    <w:rPr>
      <w:rFonts w:ascii="Times New Roman" w:eastAsia="Times New Roman" w:hAnsi="Times New Roman" w:cs="Times New Roman"/>
      <w:i/>
      <w:iCs/>
      <w:sz w:val="24"/>
      <w:szCs w:val="24"/>
    </w:rPr>
  </w:style>
  <w:style w:type="paragraph" w:customStyle="1" w:styleId="tv213">
    <w:name w:val="tv213"/>
    <w:basedOn w:val="Normal"/>
    <w:rsid w:val="0067643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64509D"/>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796">
      <w:bodyDiv w:val="1"/>
      <w:marLeft w:val="0"/>
      <w:marRight w:val="0"/>
      <w:marTop w:val="0"/>
      <w:marBottom w:val="0"/>
      <w:divBdr>
        <w:top w:val="none" w:sz="0" w:space="0" w:color="auto"/>
        <w:left w:val="none" w:sz="0" w:space="0" w:color="auto"/>
        <w:bottom w:val="none" w:sz="0" w:space="0" w:color="auto"/>
        <w:right w:val="none" w:sz="0" w:space="0" w:color="auto"/>
      </w:divBdr>
    </w:div>
    <w:div w:id="87966796">
      <w:bodyDiv w:val="1"/>
      <w:marLeft w:val="0"/>
      <w:marRight w:val="0"/>
      <w:marTop w:val="0"/>
      <w:marBottom w:val="0"/>
      <w:divBdr>
        <w:top w:val="none" w:sz="0" w:space="0" w:color="auto"/>
        <w:left w:val="none" w:sz="0" w:space="0" w:color="auto"/>
        <w:bottom w:val="none" w:sz="0" w:space="0" w:color="auto"/>
        <w:right w:val="none" w:sz="0" w:space="0" w:color="auto"/>
      </w:divBdr>
    </w:div>
    <w:div w:id="197357212">
      <w:bodyDiv w:val="1"/>
      <w:marLeft w:val="0"/>
      <w:marRight w:val="0"/>
      <w:marTop w:val="0"/>
      <w:marBottom w:val="0"/>
      <w:divBdr>
        <w:top w:val="none" w:sz="0" w:space="0" w:color="auto"/>
        <w:left w:val="none" w:sz="0" w:space="0" w:color="auto"/>
        <w:bottom w:val="none" w:sz="0" w:space="0" w:color="auto"/>
        <w:right w:val="none" w:sz="0" w:space="0" w:color="auto"/>
      </w:divBdr>
    </w:div>
    <w:div w:id="315456593">
      <w:bodyDiv w:val="1"/>
      <w:marLeft w:val="0"/>
      <w:marRight w:val="0"/>
      <w:marTop w:val="0"/>
      <w:marBottom w:val="0"/>
      <w:divBdr>
        <w:top w:val="none" w:sz="0" w:space="0" w:color="auto"/>
        <w:left w:val="none" w:sz="0" w:space="0" w:color="auto"/>
        <w:bottom w:val="none" w:sz="0" w:space="0" w:color="auto"/>
        <w:right w:val="none" w:sz="0" w:space="0" w:color="auto"/>
      </w:divBdr>
    </w:div>
    <w:div w:id="373578001">
      <w:bodyDiv w:val="1"/>
      <w:marLeft w:val="0"/>
      <w:marRight w:val="0"/>
      <w:marTop w:val="0"/>
      <w:marBottom w:val="0"/>
      <w:divBdr>
        <w:top w:val="none" w:sz="0" w:space="0" w:color="auto"/>
        <w:left w:val="none" w:sz="0" w:space="0" w:color="auto"/>
        <w:bottom w:val="none" w:sz="0" w:space="0" w:color="auto"/>
        <w:right w:val="none" w:sz="0" w:space="0" w:color="auto"/>
      </w:divBdr>
    </w:div>
    <w:div w:id="473523001">
      <w:bodyDiv w:val="1"/>
      <w:marLeft w:val="0"/>
      <w:marRight w:val="0"/>
      <w:marTop w:val="0"/>
      <w:marBottom w:val="0"/>
      <w:divBdr>
        <w:top w:val="none" w:sz="0" w:space="0" w:color="auto"/>
        <w:left w:val="none" w:sz="0" w:space="0" w:color="auto"/>
        <w:bottom w:val="none" w:sz="0" w:space="0" w:color="auto"/>
        <w:right w:val="none" w:sz="0" w:space="0" w:color="auto"/>
      </w:divBdr>
    </w:div>
    <w:div w:id="504635319">
      <w:bodyDiv w:val="1"/>
      <w:marLeft w:val="0"/>
      <w:marRight w:val="0"/>
      <w:marTop w:val="0"/>
      <w:marBottom w:val="0"/>
      <w:divBdr>
        <w:top w:val="none" w:sz="0" w:space="0" w:color="auto"/>
        <w:left w:val="none" w:sz="0" w:space="0" w:color="auto"/>
        <w:bottom w:val="none" w:sz="0" w:space="0" w:color="auto"/>
        <w:right w:val="none" w:sz="0" w:space="0" w:color="auto"/>
      </w:divBdr>
    </w:div>
    <w:div w:id="520631281">
      <w:bodyDiv w:val="1"/>
      <w:marLeft w:val="0"/>
      <w:marRight w:val="0"/>
      <w:marTop w:val="0"/>
      <w:marBottom w:val="0"/>
      <w:divBdr>
        <w:top w:val="none" w:sz="0" w:space="0" w:color="auto"/>
        <w:left w:val="none" w:sz="0" w:space="0" w:color="auto"/>
        <w:bottom w:val="none" w:sz="0" w:space="0" w:color="auto"/>
        <w:right w:val="none" w:sz="0" w:space="0" w:color="auto"/>
      </w:divBdr>
    </w:div>
    <w:div w:id="599022832">
      <w:bodyDiv w:val="1"/>
      <w:marLeft w:val="0"/>
      <w:marRight w:val="0"/>
      <w:marTop w:val="0"/>
      <w:marBottom w:val="0"/>
      <w:divBdr>
        <w:top w:val="none" w:sz="0" w:space="0" w:color="auto"/>
        <w:left w:val="none" w:sz="0" w:space="0" w:color="auto"/>
        <w:bottom w:val="none" w:sz="0" w:space="0" w:color="auto"/>
        <w:right w:val="none" w:sz="0" w:space="0" w:color="auto"/>
      </w:divBdr>
    </w:div>
    <w:div w:id="611665819">
      <w:bodyDiv w:val="1"/>
      <w:marLeft w:val="0"/>
      <w:marRight w:val="0"/>
      <w:marTop w:val="0"/>
      <w:marBottom w:val="0"/>
      <w:divBdr>
        <w:top w:val="none" w:sz="0" w:space="0" w:color="auto"/>
        <w:left w:val="none" w:sz="0" w:space="0" w:color="auto"/>
        <w:bottom w:val="none" w:sz="0" w:space="0" w:color="auto"/>
        <w:right w:val="none" w:sz="0" w:space="0" w:color="auto"/>
      </w:divBdr>
    </w:div>
    <w:div w:id="635843511">
      <w:bodyDiv w:val="1"/>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547"/>
          <w:marRight w:val="0"/>
          <w:marTop w:val="0"/>
          <w:marBottom w:val="0"/>
          <w:divBdr>
            <w:top w:val="none" w:sz="0" w:space="0" w:color="auto"/>
            <w:left w:val="none" w:sz="0" w:space="0" w:color="auto"/>
            <w:bottom w:val="none" w:sz="0" w:space="0" w:color="auto"/>
            <w:right w:val="none" w:sz="0" w:space="0" w:color="auto"/>
          </w:divBdr>
        </w:div>
      </w:divsChild>
    </w:div>
    <w:div w:id="681470331">
      <w:bodyDiv w:val="1"/>
      <w:marLeft w:val="0"/>
      <w:marRight w:val="0"/>
      <w:marTop w:val="0"/>
      <w:marBottom w:val="0"/>
      <w:divBdr>
        <w:top w:val="none" w:sz="0" w:space="0" w:color="auto"/>
        <w:left w:val="none" w:sz="0" w:space="0" w:color="auto"/>
        <w:bottom w:val="none" w:sz="0" w:space="0" w:color="auto"/>
        <w:right w:val="none" w:sz="0" w:space="0" w:color="auto"/>
      </w:divBdr>
    </w:div>
    <w:div w:id="785153884">
      <w:bodyDiv w:val="1"/>
      <w:marLeft w:val="0"/>
      <w:marRight w:val="0"/>
      <w:marTop w:val="0"/>
      <w:marBottom w:val="0"/>
      <w:divBdr>
        <w:top w:val="none" w:sz="0" w:space="0" w:color="auto"/>
        <w:left w:val="none" w:sz="0" w:space="0" w:color="auto"/>
        <w:bottom w:val="none" w:sz="0" w:space="0" w:color="auto"/>
        <w:right w:val="none" w:sz="0" w:space="0" w:color="auto"/>
      </w:divBdr>
    </w:div>
    <w:div w:id="860125386">
      <w:bodyDiv w:val="1"/>
      <w:marLeft w:val="0"/>
      <w:marRight w:val="0"/>
      <w:marTop w:val="0"/>
      <w:marBottom w:val="0"/>
      <w:divBdr>
        <w:top w:val="none" w:sz="0" w:space="0" w:color="auto"/>
        <w:left w:val="none" w:sz="0" w:space="0" w:color="auto"/>
        <w:bottom w:val="none" w:sz="0" w:space="0" w:color="auto"/>
        <w:right w:val="none" w:sz="0" w:space="0" w:color="auto"/>
      </w:divBdr>
    </w:div>
    <w:div w:id="876435705">
      <w:bodyDiv w:val="1"/>
      <w:marLeft w:val="0"/>
      <w:marRight w:val="0"/>
      <w:marTop w:val="0"/>
      <w:marBottom w:val="0"/>
      <w:divBdr>
        <w:top w:val="none" w:sz="0" w:space="0" w:color="auto"/>
        <w:left w:val="none" w:sz="0" w:space="0" w:color="auto"/>
        <w:bottom w:val="none" w:sz="0" w:space="0" w:color="auto"/>
        <w:right w:val="none" w:sz="0" w:space="0" w:color="auto"/>
      </w:divBdr>
    </w:div>
    <w:div w:id="925458719">
      <w:bodyDiv w:val="1"/>
      <w:marLeft w:val="0"/>
      <w:marRight w:val="0"/>
      <w:marTop w:val="0"/>
      <w:marBottom w:val="0"/>
      <w:divBdr>
        <w:top w:val="none" w:sz="0" w:space="0" w:color="auto"/>
        <w:left w:val="none" w:sz="0" w:space="0" w:color="auto"/>
        <w:bottom w:val="none" w:sz="0" w:space="0" w:color="auto"/>
        <w:right w:val="none" w:sz="0" w:space="0" w:color="auto"/>
      </w:divBdr>
    </w:div>
    <w:div w:id="1001588913">
      <w:bodyDiv w:val="1"/>
      <w:marLeft w:val="0"/>
      <w:marRight w:val="0"/>
      <w:marTop w:val="0"/>
      <w:marBottom w:val="0"/>
      <w:divBdr>
        <w:top w:val="none" w:sz="0" w:space="0" w:color="auto"/>
        <w:left w:val="none" w:sz="0" w:space="0" w:color="auto"/>
        <w:bottom w:val="none" w:sz="0" w:space="0" w:color="auto"/>
        <w:right w:val="none" w:sz="0" w:space="0" w:color="auto"/>
      </w:divBdr>
    </w:div>
    <w:div w:id="1098910666">
      <w:bodyDiv w:val="1"/>
      <w:marLeft w:val="0"/>
      <w:marRight w:val="0"/>
      <w:marTop w:val="0"/>
      <w:marBottom w:val="0"/>
      <w:divBdr>
        <w:top w:val="none" w:sz="0" w:space="0" w:color="auto"/>
        <w:left w:val="none" w:sz="0" w:space="0" w:color="auto"/>
        <w:bottom w:val="none" w:sz="0" w:space="0" w:color="auto"/>
        <w:right w:val="none" w:sz="0" w:space="0" w:color="auto"/>
      </w:divBdr>
    </w:div>
    <w:div w:id="1118523349">
      <w:bodyDiv w:val="1"/>
      <w:marLeft w:val="0"/>
      <w:marRight w:val="0"/>
      <w:marTop w:val="0"/>
      <w:marBottom w:val="0"/>
      <w:divBdr>
        <w:top w:val="none" w:sz="0" w:space="0" w:color="auto"/>
        <w:left w:val="none" w:sz="0" w:space="0" w:color="auto"/>
        <w:bottom w:val="none" w:sz="0" w:space="0" w:color="auto"/>
        <w:right w:val="none" w:sz="0" w:space="0" w:color="auto"/>
      </w:divBdr>
    </w:div>
    <w:div w:id="1119031375">
      <w:bodyDiv w:val="1"/>
      <w:marLeft w:val="0"/>
      <w:marRight w:val="0"/>
      <w:marTop w:val="0"/>
      <w:marBottom w:val="0"/>
      <w:divBdr>
        <w:top w:val="none" w:sz="0" w:space="0" w:color="auto"/>
        <w:left w:val="none" w:sz="0" w:space="0" w:color="auto"/>
        <w:bottom w:val="none" w:sz="0" w:space="0" w:color="auto"/>
        <w:right w:val="none" w:sz="0" w:space="0" w:color="auto"/>
      </w:divBdr>
      <w:divsChild>
        <w:div w:id="58794458">
          <w:marLeft w:val="547"/>
          <w:marRight w:val="0"/>
          <w:marTop w:val="0"/>
          <w:marBottom w:val="0"/>
          <w:divBdr>
            <w:top w:val="none" w:sz="0" w:space="0" w:color="auto"/>
            <w:left w:val="none" w:sz="0" w:space="0" w:color="auto"/>
            <w:bottom w:val="none" w:sz="0" w:space="0" w:color="auto"/>
            <w:right w:val="none" w:sz="0" w:space="0" w:color="auto"/>
          </w:divBdr>
        </w:div>
      </w:divsChild>
    </w:div>
    <w:div w:id="1127548250">
      <w:bodyDiv w:val="1"/>
      <w:marLeft w:val="0"/>
      <w:marRight w:val="0"/>
      <w:marTop w:val="0"/>
      <w:marBottom w:val="0"/>
      <w:divBdr>
        <w:top w:val="none" w:sz="0" w:space="0" w:color="auto"/>
        <w:left w:val="none" w:sz="0" w:space="0" w:color="auto"/>
        <w:bottom w:val="none" w:sz="0" w:space="0" w:color="auto"/>
        <w:right w:val="none" w:sz="0" w:space="0" w:color="auto"/>
      </w:divBdr>
    </w:div>
    <w:div w:id="1236940892">
      <w:bodyDiv w:val="1"/>
      <w:marLeft w:val="0"/>
      <w:marRight w:val="0"/>
      <w:marTop w:val="0"/>
      <w:marBottom w:val="0"/>
      <w:divBdr>
        <w:top w:val="none" w:sz="0" w:space="0" w:color="auto"/>
        <w:left w:val="none" w:sz="0" w:space="0" w:color="auto"/>
        <w:bottom w:val="none" w:sz="0" w:space="0" w:color="auto"/>
        <w:right w:val="none" w:sz="0" w:space="0" w:color="auto"/>
      </w:divBdr>
      <w:divsChild>
        <w:div w:id="32728710">
          <w:marLeft w:val="547"/>
          <w:marRight w:val="0"/>
          <w:marTop w:val="0"/>
          <w:marBottom w:val="0"/>
          <w:divBdr>
            <w:top w:val="none" w:sz="0" w:space="0" w:color="auto"/>
            <w:left w:val="none" w:sz="0" w:space="0" w:color="auto"/>
            <w:bottom w:val="none" w:sz="0" w:space="0" w:color="auto"/>
            <w:right w:val="none" w:sz="0" w:space="0" w:color="auto"/>
          </w:divBdr>
        </w:div>
      </w:divsChild>
    </w:div>
    <w:div w:id="1269119976">
      <w:bodyDiv w:val="1"/>
      <w:marLeft w:val="0"/>
      <w:marRight w:val="0"/>
      <w:marTop w:val="0"/>
      <w:marBottom w:val="0"/>
      <w:divBdr>
        <w:top w:val="none" w:sz="0" w:space="0" w:color="auto"/>
        <w:left w:val="none" w:sz="0" w:space="0" w:color="auto"/>
        <w:bottom w:val="none" w:sz="0" w:space="0" w:color="auto"/>
        <w:right w:val="none" w:sz="0" w:space="0" w:color="auto"/>
      </w:divBdr>
    </w:div>
    <w:div w:id="1330447405">
      <w:bodyDiv w:val="1"/>
      <w:marLeft w:val="0"/>
      <w:marRight w:val="0"/>
      <w:marTop w:val="0"/>
      <w:marBottom w:val="0"/>
      <w:divBdr>
        <w:top w:val="none" w:sz="0" w:space="0" w:color="auto"/>
        <w:left w:val="none" w:sz="0" w:space="0" w:color="auto"/>
        <w:bottom w:val="none" w:sz="0" w:space="0" w:color="auto"/>
        <w:right w:val="none" w:sz="0" w:space="0" w:color="auto"/>
      </w:divBdr>
    </w:div>
    <w:div w:id="1366519796">
      <w:bodyDiv w:val="1"/>
      <w:marLeft w:val="0"/>
      <w:marRight w:val="0"/>
      <w:marTop w:val="0"/>
      <w:marBottom w:val="0"/>
      <w:divBdr>
        <w:top w:val="none" w:sz="0" w:space="0" w:color="auto"/>
        <w:left w:val="none" w:sz="0" w:space="0" w:color="auto"/>
        <w:bottom w:val="none" w:sz="0" w:space="0" w:color="auto"/>
        <w:right w:val="none" w:sz="0" w:space="0" w:color="auto"/>
      </w:divBdr>
    </w:div>
    <w:div w:id="1434328456">
      <w:bodyDiv w:val="1"/>
      <w:marLeft w:val="0"/>
      <w:marRight w:val="0"/>
      <w:marTop w:val="0"/>
      <w:marBottom w:val="0"/>
      <w:divBdr>
        <w:top w:val="none" w:sz="0" w:space="0" w:color="auto"/>
        <w:left w:val="none" w:sz="0" w:space="0" w:color="auto"/>
        <w:bottom w:val="none" w:sz="0" w:space="0" w:color="auto"/>
        <w:right w:val="none" w:sz="0" w:space="0" w:color="auto"/>
      </w:divBdr>
    </w:div>
    <w:div w:id="1441342655">
      <w:bodyDiv w:val="1"/>
      <w:marLeft w:val="0"/>
      <w:marRight w:val="0"/>
      <w:marTop w:val="0"/>
      <w:marBottom w:val="0"/>
      <w:divBdr>
        <w:top w:val="none" w:sz="0" w:space="0" w:color="auto"/>
        <w:left w:val="none" w:sz="0" w:space="0" w:color="auto"/>
        <w:bottom w:val="none" w:sz="0" w:space="0" w:color="auto"/>
        <w:right w:val="none" w:sz="0" w:space="0" w:color="auto"/>
      </w:divBdr>
    </w:div>
    <w:div w:id="1516381390">
      <w:bodyDiv w:val="1"/>
      <w:marLeft w:val="0"/>
      <w:marRight w:val="0"/>
      <w:marTop w:val="0"/>
      <w:marBottom w:val="0"/>
      <w:divBdr>
        <w:top w:val="none" w:sz="0" w:space="0" w:color="auto"/>
        <w:left w:val="none" w:sz="0" w:space="0" w:color="auto"/>
        <w:bottom w:val="none" w:sz="0" w:space="0" w:color="auto"/>
        <w:right w:val="none" w:sz="0" w:space="0" w:color="auto"/>
      </w:divBdr>
    </w:div>
    <w:div w:id="1571967704">
      <w:bodyDiv w:val="1"/>
      <w:marLeft w:val="0"/>
      <w:marRight w:val="0"/>
      <w:marTop w:val="0"/>
      <w:marBottom w:val="0"/>
      <w:divBdr>
        <w:top w:val="none" w:sz="0" w:space="0" w:color="auto"/>
        <w:left w:val="none" w:sz="0" w:space="0" w:color="auto"/>
        <w:bottom w:val="none" w:sz="0" w:space="0" w:color="auto"/>
        <w:right w:val="none" w:sz="0" w:space="0" w:color="auto"/>
      </w:divBdr>
    </w:div>
    <w:div w:id="1608543280">
      <w:bodyDiv w:val="1"/>
      <w:marLeft w:val="0"/>
      <w:marRight w:val="0"/>
      <w:marTop w:val="0"/>
      <w:marBottom w:val="0"/>
      <w:divBdr>
        <w:top w:val="none" w:sz="0" w:space="0" w:color="auto"/>
        <w:left w:val="none" w:sz="0" w:space="0" w:color="auto"/>
        <w:bottom w:val="none" w:sz="0" w:space="0" w:color="auto"/>
        <w:right w:val="none" w:sz="0" w:space="0" w:color="auto"/>
      </w:divBdr>
    </w:div>
    <w:div w:id="1755543196">
      <w:bodyDiv w:val="1"/>
      <w:marLeft w:val="0"/>
      <w:marRight w:val="0"/>
      <w:marTop w:val="0"/>
      <w:marBottom w:val="0"/>
      <w:divBdr>
        <w:top w:val="none" w:sz="0" w:space="0" w:color="auto"/>
        <w:left w:val="none" w:sz="0" w:space="0" w:color="auto"/>
        <w:bottom w:val="none" w:sz="0" w:space="0" w:color="auto"/>
        <w:right w:val="none" w:sz="0" w:space="0" w:color="auto"/>
      </w:divBdr>
    </w:div>
    <w:div w:id="1779761458">
      <w:bodyDiv w:val="1"/>
      <w:marLeft w:val="0"/>
      <w:marRight w:val="0"/>
      <w:marTop w:val="0"/>
      <w:marBottom w:val="0"/>
      <w:divBdr>
        <w:top w:val="none" w:sz="0" w:space="0" w:color="auto"/>
        <w:left w:val="none" w:sz="0" w:space="0" w:color="auto"/>
        <w:bottom w:val="none" w:sz="0" w:space="0" w:color="auto"/>
        <w:right w:val="none" w:sz="0" w:space="0" w:color="auto"/>
      </w:divBdr>
      <w:divsChild>
        <w:div w:id="2130664430">
          <w:marLeft w:val="547"/>
          <w:marRight w:val="0"/>
          <w:marTop w:val="0"/>
          <w:marBottom w:val="0"/>
          <w:divBdr>
            <w:top w:val="none" w:sz="0" w:space="0" w:color="auto"/>
            <w:left w:val="none" w:sz="0" w:space="0" w:color="auto"/>
            <w:bottom w:val="none" w:sz="0" w:space="0" w:color="auto"/>
            <w:right w:val="none" w:sz="0" w:space="0" w:color="auto"/>
          </w:divBdr>
        </w:div>
      </w:divsChild>
    </w:div>
    <w:div w:id="1783261945">
      <w:bodyDiv w:val="1"/>
      <w:marLeft w:val="0"/>
      <w:marRight w:val="0"/>
      <w:marTop w:val="0"/>
      <w:marBottom w:val="0"/>
      <w:divBdr>
        <w:top w:val="none" w:sz="0" w:space="0" w:color="auto"/>
        <w:left w:val="none" w:sz="0" w:space="0" w:color="auto"/>
        <w:bottom w:val="none" w:sz="0" w:space="0" w:color="auto"/>
        <w:right w:val="none" w:sz="0" w:space="0" w:color="auto"/>
      </w:divBdr>
    </w:div>
    <w:div w:id="1818959751">
      <w:bodyDiv w:val="1"/>
      <w:marLeft w:val="0"/>
      <w:marRight w:val="0"/>
      <w:marTop w:val="0"/>
      <w:marBottom w:val="0"/>
      <w:divBdr>
        <w:top w:val="none" w:sz="0" w:space="0" w:color="auto"/>
        <w:left w:val="none" w:sz="0" w:space="0" w:color="auto"/>
        <w:bottom w:val="none" w:sz="0" w:space="0" w:color="auto"/>
        <w:right w:val="none" w:sz="0" w:space="0" w:color="auto"/>
      </w:divBdr>
    </w:div>
    <w:div w:id="1945965392">
      <w:bodyDiv w:val="1"/>
      <w:marLeft w:val="0"/>
      <w:marRight w:val="0"/>
      <w:marTop w:val="0"/>
      <w:marBottom w:val="0"/>
      <w:divBdr>
        <w:top w:val="none" w:sz="0" w:space="0" w:color="auto"/>
        <w:left w:val="none" w:sz="0" w:space="0" w:color="auto"/>
        <w:bottom w:val="none" w:sz="0" w:space="0" w:color="auto"/>
        <w:right w:val="none" w:sz="0" w:space="0" w:color="auto"/>
      </w:divBdr>
    </w:div>
    <w:div w:id="2004039391">
      <w:bodyDiv w:val="1"/>
      <w:marLeft w:val="0"/>
      <w:marRight w:val="0"/>
      <w:marTop w:val="0"/>
      <w:marBottom w:val="0"/>
      <w:divBdr>
        <w:top w:val="none" w:sz="0" w:space="0" w:color="auto"/>
        <w:left w:val="none" w:sz="0" w:space="0" w:color="auto"/>
        <w:bottom w:val="none" w:sz="0" w:space="0" w:color="auto"/>
        <w:right w:val="none" w:sz="0" w:space="0" w:color="auto"/>
      </w:divBdr>
    </w:div>
    <w:div w:id="2008899724">
      <w:bodyDiv w:val="1"/>
      <w:marLeft w:val="0"/>
      <w:marRight w:val="0"/>
      <w:marTop w:val="0"/>
      <w:marBottom w:val="0"/>
      <w:divBdr>
        <w:top w:val="none" w:sz="0" w:space="0" w:color="auto"/>
        <w:left w:val="none" w:sz="0" w:space="0" w:color="auto"/>
        <w:bottom w:val="none" w:sz="0" w:space="0" w:color="auto"/>
        <w:right w:val="none" w:sz="0" w:space="0" w:color="auto"/>
      </w:divBdr>
    </w:div>
    <w:div w:id="2009090391">
      <w:bodyDiv w:val="1"/>
      <w:marLeft w:val="0"/>
      <w:marRight w:val="0"/>
      <w:marTop w:val="0"/>
      <w:marBottom w:val="0"/>
      <w:divBdr>
        <w:top w:val="none" w:sz="0" w:space="0" w:color="auto"/>
        <w:left w:val="none" w:sz="0" w:space="0" w:color="auto"/>
        <w:bottom w:val="none" w:sz="0" w:space="0" w:color="auto"/>
        <w:right w:val="none" w:sz="0" w:space="0" w:color="auto"/>
      </w:divBdr>
    </w:div>
    <w:div w:id="2089226135">
      <w:bodyDiv w:val="1"/>
      <w:marLeft w:val="0"/>
      <w:marRight w:val="0"/>
      <w:marTop w:val="0"/>
      <w:marBottom w:val="0"/>
      <w:divBdr>
        <w:top w:val="none" w:sz="0" w:space="0" w:color="auto"/>
        <w:left w:val="none" w:sz="0" w:space="0" w:color="auto"/>
        <w:bottom w:val="none" w:sz="0" w:space="0" w:color="auto"/>
        <w:right w:val="none" w:sz="0" w:space="0" w:color="auto"/>
      </w:divBdr>
    </w:div>
    <w:div w:id="2106799427">
      <w:bodyDiv w:val="1"/>
      <w:marLeft w:val="0"/>
      <w:marRight w:val="0"/>
      <w:marTop w:val="0"/>
      <w:marBottom w:val="0"/>
      <w:divBdr>
        <w:top w:val="none" w:sz="0" w:space="0" w:color="auto"/>
        <w:left w:val="none" w:sz="0" w:space="0" w:color="auto"/>
        <w:bottom w:val="none" w:sz="0" w:space="0" w:color="auto"/>
        <w:right w:val="none" w:sz="0" w:space="0" w:color="auto"/>
      </w:divBdr>
    </w:div>
    <w:div w:id="21361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BD75-31E4-4C53-A8BA-56A8223F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13922</Words>
  <Characters>7936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EMAnot_290719_Groz160</vt:lpstr>
    </vt:vector>
  </TitlesOfParts>
  <Company>Ekonomikas ministrija</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EMAnot_290719_Groz160</dc:title>
  <dc:subject>Ministru kabineta noteikumu projekta anotācija</dc:subject>
  <dc:creator>Janis.Silins@em.gov.lv</dc:creator>
  <cp:keywords/>
  <dc:description>67013005, Janis.Silins@em.gov.lv</dc:description>
  <cp:lastModifiedBy>Jānis Siliņš</cp:lastModifiedBy>
  <cp:revision>9</cp:revision>
  <cp:lastPrinted>2019-07-25T06:47:00Z</cp:lastPrinted>
  <dcterms:created xsi:type="dcterms:W3CDTF">2019-07-29T07:10:00Z</dcterms:created>
  <dcterms:modified xsi:type="dcterms:W3CDTF">2019-07-30T10:25:00Z</dcterms:modified>
</cp:coreProperties>
</file>