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A91F99" w:rsidR="00210A33" w:rsidP="00A91F99" w:rsidRDefault="00A91F99" w14:paraId="3A0B50DD" w14:textId="3A0B50DD">
      <w:pPr>
        <w:pStyle w:val="Default"/>
        <w:jc w:val="center"/>
        <w15:collapsed w:val="false"/>
        <w:rPr>
          <w:rStyle w:val="IntenseReference"/>
          <w:color w:val="auto"/>
        </w:rPr>
      </w:pPr>
      <w:r w:rsidRPr="00A91F99">
        <w:rPr>
          <w:rStyle w:val="IntenseReference"/>
          <w:color w:val="auto"/>
        </w:rPr>
        <w:t>Informatīvais ziņojums</w:t>
      </w:r>
    </w:p>
    <w:p w:rsidRPr="00A91F99" w:rsidR="00A91F99" w:rsidP="00A91F99" w:rsidRDefault="00A91F99" w14:paraId="22578431" w14:textId="77777777">
      <w:pPr>
        <w:spacing w:after="0"/>
        <w:jc w:val="center"/>
        <w:rPr>
          <w:rStyle w:val="IntenseReference"/>
          <w:rFonts w:ascii="Times New Roman" w:hAnsi="Times New Roman" w:cs="Times New Roman"/>
          <w:color w:val="auto"/>
        </w:rPr>
      </w:pPr>
      <w:r w:rsidRPr="00A91F99">
        <w:rPr>
          <w:rStyle w:val="IntenseReference"/>
          <w:rFonts w:ascii="Times New Roman" w:hAnsi="Times New Roman" w:cs="Times New Roman"/>
          <w:color w:val="auto"/>
        </w:rPr>
        <w:t>Par eiropas savienības transporta, telekomunikāciju un enerģētikas</w:t>
      </w:r>
    </w:p>
    <w:p w:rsidRPr="00A91F99" w:rsidR="00A91F99" w:rsidP="00A91F99" w:rsidRDefault="00A91F99" w14:paraId="12770294" w14:textId="77777777">
      <w:pPr>
        <w:spacing w:after="0"/>
        <w:ind w:left="-142"/>
        <w:jc w:val="center"/>
        <w:rPr>
          <w:rStyle w:val="IntenseReference"/>
          <w:rFonts w:ascii="Times New Roman" w:hAnsi="Times New Roman" w:cs="Times New Roman"/>
          <w:color w:val="auto"/>
        </w:rPr>
      </w:pPr>
      <w:r w:rsidRPr="00A91F99">
        <w:rPr>
          <w:rStyle w:val="IntenseReference"/>
          <w:rFonts w:ascii="Times New Roman" w:hAnsi="Times New Roman" w:cs="Times New Roman"/>
          <w:color w:val="auto"/>
        </w:rPr>
        <w:t>Ministru padomes 2019.Gada 2</w:t>
      </w:r>
      <w:r w:rsidR="00180489">
        <w:rPr>
          <w:rStyle w:val="IntenseReference"/>
          <w:rFonts w:ascii="Times New Roman" w:hAnsi="Times New Roman" w:cs="Times New Roman"/>
          <w:color w:val="auto"/>
        </w:rPr>
        <w:t>4</w:t>
      </w:r>
      <w:r w:rsidRPr="00A91F99">
        <w:rPr>
          <w:rStyle w:val="IntenseReference"/>
          <w:rFonts w:ascii="Times New Roman" w:hAnsi="Times New Roman" w:cs="Times New Roman"/>
          <w:color w:val="auto"/>
        </w:rPr>
        <w:t>.</w:t>
      </w:r>
      <w:r w:rsidR="00180489">
        <w:rPr>
          <w:rStyle w:val="IntenseReference"/>
          <w:rFonts w:ascii="Times New Roman" w:hAnsi="Times New Roman" w:cs="Times New Roman"/>
          <w:color w:val="auto"/>
        </w:rPr>
        <w:t>septembra</w:t>
      </w:r>
      <w:r w:rsidRPr="00A91F99">
        <w:rPr>
          <w:rStyle w:val="IntenseReference"/>
          <w:rFonts w:ascii="Times New Roman" w:hAnsi="Times New Roman" w:cs="Times New Roman"/>
          <w:color w:val="auto"/>
        </w:rPr>
        <w:t xml:space="preserve"> sanāksmē izskatāmajiem jautājumiem</w:t>
      </w:r>
    </w:p>
    <w:p w:rsidR="00A91F99" w:rsidP="00210A33" w:rsidRDefault="00A91F99" w14:paraId="7AAA92C5" w14:textId="77777777">
      <w:pPr>
        <w:pStyle w:val="Default"/>
        <w:rPr>
          <w:sz w:val="23"/>
          <w:szCs w:val="23"/>
        </w:rPr>
      </w:pPr>
    </w:p>
    <w:p w:rsidRPr="0026228F" w:rsidR="00A91F99" w:rsidP="00A91F99" w:rsidRDefault="00393B99" w14:paraId="7CCD99CE" w14:textId="77777777">
      <w:pPr>
        <w:spacing w:before="120" w:line="264"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I </w:t>
      </w:r>
      <w:r w:rsidRPr="0026228F" w:rsidR="00A91F99">
        <w:rPr>
          <w:rFonts w:ascii="Times New Roman" w:hAnsi="Times New Roman" w:cs="Times New Roman"/>
          <w:b/>
          <w:sz w:val="24"/>
          <w:szCs w:val="24"/>
        </w:rPr>
        <w:t>Sanāksmē izskatāmie jautājumi</w:t>
      </w:r>
    </w:p>
    <w:p w:rsidR="00210A33" w:rsidP="005C5951" w:rsidRDefault="00A91F99" w14:paraId="769278FB" w14:textId="77777777">
      <w:pPr>
        <w:spacing w:before="120" w:after="120" w:line="252" w:lineRule="auto"/>
        <w:jc w:val="both"/>
      </w:pPr>
      <w:r>
        <w:rPr>
          <w:rFonts w:ascii="Times New Roman" w:hAnsi="Times New Roman" w:cs="Times New Roman"/>
          <w:sz w:val="24"/>
          <w:szCs w:val="24"/>
        </w:rPr>
        <w:t>2019. gada 2</w:t>
      </w:r>
      <w:r w:rsidR="00180489">
        <w:rPr>
          <w:rFonts w:ascii="Times New Roman" w:hAnsi="Times New Roman" w:cs="Times New Roman"/>
          <w:sz w:val="24"/>
          <w:szCs w:val="24"/>
        </w:rPr>
        <w:t>4</w:t>
      </w:r>
      <w:r>
        <w:rPr>
          <w:rFonts w:ascii="Times New Roman" w:hAnsi="Times New Roman" w:cs="Times New Roman"/>
          <w:sz w:val="24"/>
          <w:szCs w:val="24"/>
        </w:rPr>
        <w:t>.</w:t>
      </w:r>
      <w:r w:rsidR="00180489">
        <w:rPr>
          <w:rFonts w:ascii="Times New Roman" w:hAnsi="Times New Roman" w:cs="Times New Roman"/>
          <w:sz w:val="24"/>
          <w:szCs w:val="24"/>
        </w:rPr>
        <w:t>septembrī</w:t>
      </w:r>
      <w:r w:rsidRPr="0026228F">
        <w:rPr>
          <w:rFonts w:ascii="Times New Roman" w:hAnsi="Times New Roman" w:cs="Times New Roman"/>
          <w:sz w:val="24"/>
          <w:szCs w:val="24"/>
        </w:rPr>
        <w:t xml:space="preserve"> </w:t>
      </w:r>
      <w:r w:rsidR="00180489">
        <w:rPr>
          <w:rFonts w:ascii="Times New Roman" w:hAnsi="Times New Roman" w:cs="Times New Roman"/>
          <w:sz w:val="24"/>
          <w:szCs w:val="24"/>
        </w:rPr>
        <w:t>Briselē</w:t>
      </w:r>
      <w:r w:rsidRPr="0026228F">
        <w:rPr>
          <w:rFonts w:ascii="Times New Roman" w:hAnsi="Times New Roman" w:cs="Times New Roman"/>
          <w:sz w:val="24"/>
          <w:szCs w:val="24"/>
        </w:rPr>
        <w:t xml:space="preserve"> notiks Eiropas Savienības (turpmāk – ES) Transporta, telekomunikāciju un enerģētikas ministru padomes sanāksme</w:t>
      </w:r>
      <w:r w:rsidR="0044580B">
        <w:rPr>
          <w:rFonts w:ascii="Times New Roman" w:hAnsi="Times New Roman" w:cs="Times New Roman"/>
          <w:sz w:val="24"/>
          <w:szCs w:val="24"/>
        </w:rPr>
        <w:t xml:space="preserve"> (t</w:t>
      </w:r>
      <w:r w:rsidR="00D377EB">
        <w:rPr>
          <w:rFonts w:ascii="Times New Roman" w:hAnsi="Times New Roman" w:cs="Times New Roman"/>
          <w:sz w:val="24"/>
          <w:szCs w:val="24"/>
        </w:rPr>
        <w:t xml:space="preserve">urpmāk </w:t>
      </w:r>
      <w:r w:rsidRPr="0026228F" w:rsidR="00AB5213">
        <w:rPr>
          <w:rFonts w:ascii="Times New Roman" w:hAnsi="Times New Roman" w:cs="Times New Roman"/>
          <w:sz w:val="24"/>
          <w:szCs w:val="24"/>
        </w:rPr>
        <w:t>–</w:t>
      </w:r>
      <w:r w:rsidR="00D377EB">
        <w:rPr>
          <w:rFonts w:ascii="Times New Roman" w:hAnsi="Times New Roman" w:cs="Times New Roman"/>
          <w:sz w:val="24"/>
          <w:szCs w:val="24"/>
        </w:rPr>
        <w:t xml:space="preserve"> </w:t>
      </w:r>
      <w:r w:rsidR="00E43A9B">
        <w:rPr>
          <w:rFonts w:ascii="Times New Roman" w:hAnsi="Times New Roman" w:cs="Times New Roman"/>
          <w:sz w:val="24"/>
          <w:szCs w:val="24"/>
        </w:rPr>
        <w:t>s</w:t>
      </w:r>
      <w:r w:rsidR="0044580B">
        <w:rPr>
          <w:rFonts w:ascii="Times New Roman" w:hAnsi="Times New Roman" w:cs="Times New Roman"/>
          <w:sz w:val="24"/>
          <w:szCs w:val="24"/>
        </w:rPr>
        <w:t>anāksme)</w:t>
      </w:r>
      <w:r w:rsidRPr="0026228F">
        <w:rPr>
          <w:rFonts w:ascii="Times New Roman" w:hAnsi="Times New Roman" w:cs="Times New Roman"/>
          <w:sz w:val="24"/>
          <w:szCs w:val="24"/>
        </w:rPr>
        <w:t>.</w:t>
      </w:r>
      <w:r w:rsidR="00D377EB">
        <w:rPr>
          <w:rFonts w:ascii="Times New Roman" w:hAnsi="Times New Roman" w:cs="Times New Roman"/>
          <w:sz w:val="24"/>
          <w:szCs w:val="24"/>
        </w:rPr>
        <w:t xml:space="preserve"> </w:t>
      </w:r>
      <w:r w:rsidR="00617D13">
        <w:rPr>
          <w:rFonts w:ascii="Times New Roman" w:hAnsi="Times New Roman" w:cs="Times New Roman"/>
          <w:bCs/>
          <w:sz w:val="24"/>
          <w:szCs w:val="24"/>
        </w:rPr>
        <w:t>Tās</w:t>
      </w:r>
      <w:r w:rsidRPr="00CC2394" w:rsidR="00617D13">
        <w:rPr>
          <w:rFonts w:ascii="Times New Roman" w:hAnsi="Times New Roman" w:cs="Times New Roman"/>
          <w:bCs/>
          <w:sz w:val="24"/>
          <w:szCs w:val="24"/>
        </w:rPr>
        <w:t xml:space="preserve"> laikā delegāti tiks aicināti apmainīties ar viedokļiem par</w:t>
      </w:r>
      <w:r w:rsidR="00617D13">
        <w:rPr>
          <w:rFonts w:ascii="Times New Roman" w:hAnsi="Times New Roman" w:cs="Times New Roman"/>
          <w:bCs/>
          <w:sz w:val="24"/>
          <w:szCs w:val="24"/>
        </w:rPr>
        <w:t xml:space="preserve"> ES enerģijas un klimata politikas plāniem, lai nodrošinātu veiksmīgu virzību uz klimata neitralitāti</w:t>
      </w:r>
      <w:r w:rsidR="00617D13">
        <w:rPr>
          <w:rFonts w:ascii="Times New Roman" w:hAnsi="Times New Roman" w:cs="Times New Roman"/>
          <w:sz w:val="24"/>
          <w:szCs w:val="24"/>
        </w:rPr>
        <w:t xml:space="preserve"> 2050. gadā. </w:t>
      </w:r>
      <w:r w:rsidR="00D377EB">
        <w:rPr>
          <w:rFonts w:ascii="Times New Roman" w:hAnsi="Times New Roman" w:cs="Times New Roman"/>
          <w:sz w:val="24"/>
          <w:szCs w:val="24"/>
        </w:rPr>
        <w:t>San</w:t>
      </w:r>
      <w:r w:rsidRPr="0026228F">
        <w:rPr>
          <w:rFonts w:ascii="Times New Roman" w:hAnsi="Times New Roman" w:cs="Times New Roman"/>
          <w:sz w:val="24"/>
          <w:szCs w:val="24"/>
        </w:rPr>
        <w:t>āksmē tiks izskatīti šādi Ekonomikas ministrijas kompetencē esoši jautājumi:</w:t>
      </w:r>
    </w:p>
    <w:p w:rsidR="00AF07D2" w:rsidP="0094062C" w:rsidRDefault="00DE2228" w14:paraId="6C382CD7" w14:textId="77777777">
      <w:pPr>
        <w:pStyle w:val="Default"/>
        <w:spacing w:before="240" w:after="240"/>
        <w:jc w:val="both"/>
        <w:rPr>
          <w:i/>
        </w:rPr>
      </w:pPr>
      <w:r>
        <w:rPr>
          <w:b/>
          <w:sz w:val="23"/>
          <w:szCs w:val="23"/>
        </w:rPr>
        <w:t xml:space="preserve"> 1. </w:t>
      </w:r>
      <w:r w:rsidRPr="00C21AFD" w:rsidR="00C21AFD">
        <w:rPr>
          <w:b/>
          <w:sz w:val="23"/>
          <w:szCs w:val="23"/>
        </w:rPr>
        <w:t>Paziņojums par valstu enerģētikas un klimata plānu projektiem, "Vienoti virzībā uz enerģētikas savienības un klimata pasākumu realizēšanu"</w:t>
      </w:r>
      <w:r w:rsidR="00C21AFD">
        <w:rPr>
          <w:b/>
          <w:sz w:val="23"/>
          <w:szCs w:val="23"/>
        </w:rPr>
        <w:t xml:space="preserve"> </w:t>
      </w:r>
      <w:r w:rsidR="00AB5213">
        <w:rPr>
          <w:b/>
          <w:sz w:val="23"/>
          <w:szCs w:val="23"/>
        </w:rPr>
        <w:t xml:space="preserve"> </w:t>
      </w:r>
      <w:r w:rsidR="00AB5213">
        <w:rPr>
          <w:i/>
          <w:sz w:val="23"/>
          <w:szCs w:val="23"/>
        </w:rPr>
        <w:t>–</w:t>
      </w:r>
      <w:r w:rsidRPr="005C5951" w:rsidR="00817D8C">
        <w:rPr>
          <w:i/>
          <w:sz w:val="23"/>
          <w:szCs w:val="23"/>
        </w:rPr>
        <w:t xml:space="preserve"> </w:t>
      </w:r>
      <w:r w:rsidRPr="00817D8C" w:rsidR="00180489">
        <w:rPr>
          <w:i/>
        </w:rPr>
        <w:t>Viedokļu apmaiņa</w:t>
      </w:r>
    </w:p>
    <w:p w:rsidR="00D0497A" w:rsidP="0094062C" w:rsidRDefault="0082701F" w14:paraId="421D3774" w14:textId="77777777">
      <w:pPr>
        <w:pStyle w:val="Default"/>
        <w:spacing w:before="240" w:after="240"/>
        <w:jc w:val="both"/>
        <w:rPr>
          <w:iCs/>
          <w:sz w:val="23"/>
          <w:szCs w:val="23"/>
        </w:rPr>
      </w:pPr>
      <w:r>
        <w:rPr>
          <w:iCs/>
          <w:sz w:val="23"/>
          <w:szCs w:val="23"/>
        </w:rPr>
        <w:t xml:space="preserve">2019. gada 18. jūnijā Eiropas Komisija </w:t>
      </w:r>
      <w:r w:rsidR="009F0C23">
        <w:rPr>
          <w:iCs/>
          <w:sz w:val="23"/>
          <w:szCs w:val="23"/>
        </w:rPr>
        <w:t xml:space="preserve">(turpmāk – Komisija) </w:t>
      </w:r>
      <w:r>
        <w:rPr>
          <w:iCs/>
          <w:sz w:val="23"/>
          <w:szCs w:val="23"/>
        </w:rPr>
        <w:t>izplatīja paziņojumu</w:t>
      </w:r>
      <w:r w:rsidR="00956843">
        <w:rPr>
          <w:iCs/>
          <w:sz w:val="23"/>
          <w:szCs w:val="23"/>
        </w:rPr>
        <w:t xml:space="preserve"> </w:t>
      </w:r>
      <w:r w:rsidRPr="00956843" w:rsidR="00956843">
        <w:rPr>
          <w:bCs/>
          <w:i/>
          <w:iCs/>
          <w:sz w:val="23"/>
          <w:szCs w:val="23"/>
        </w:rPr>
        <w:t>Vienoti Enerģētikas savienības un klimata politikas īstenošanā</w:t>
      </w:r>
      <w:r w:rsidR="00405A3E">
        <w:rPr>
          <w:bCs/>
          <w:i/>
          <w:iCs/>
          <w:sz w:val="23"/>
          <w:szCs w:val="23"/>
        </w:rPr>
        <w:t xml:space="preserve"> </w:t>
      </w:r>
      <w:r w:rsidR="00405A3E">
        <w:rPr>
          <w:bCs/>
          <w:sz w:val="23"/>
          <w:szCs w:val="23"/>
        </w:rPr>
        <w:t xml:space="preserve">(turpmāk – </w:t>
      </w:r>
      <w:r w:rsidR="009F0C23">
        <w:rPr>
          <w:bCs/>
          <w:sz w:val="23"/>
          <w:szCs w:val="23"/>
        </w:rPr>
        <w:t>P</w:t>
      </w:r>
      <w:r w:rsidR="00405A3E">
        <w:rPr>
          <w:bCs/>
          <w:sz w:val="23"/>
          <w:szCs w:val="23"/>
        </w:rPr>
        <w:t>aziņojums)</w:t>
      </w:r>
      <w:r w:rsidR="00405A3E">
        <w:rPr>
          <w:bCs/>
          <w:i/>
          <w:iCs/>
          <w:sz w:val="23"/>
          <w:szCs w:val="23"/>
        </w:rPr>
        <w:t>,</w:t>
      </w:r>
      <w:r>
        <w:rPr>
          <w:iCs/>
          <w:sz w:val="23"/>
          <w:szCs w:val="23"/>
        </w:rPr>
        <w:t xml:space="preserve"> apliecinot </w:t>
      </w:r>
      <w:r w:rsidR="00405A3E">
        <w:rPr>
          <w:iCs/>
          <w:sz w:val="23"/>
          <w:szCs w:val="23"/>
        </w:rPr>
        <w:t xml:space="preserve">ES </w:t>
      </w:r>
      <w:r w:rsidRPr="004E70AC" w:rsidR="004E70AC">
        <w:rPr>
          <w:iCs/>
          <w:sz w:val="23"/>
          <w:szCs w:val="23"/>
        </w:rPr>
        <w:t>apņ</w:t>
      </w:r>
      <w:r>
        <w:rPr>
          <w:iCs/>
          <w:sz w:val="23"/>
          <w:szCs w:val="23"/>
        </w:rPr>
        <w:t>emšanos</w:t>
      </w:r>
      <w:r w:rsidRPr="004E70AC" w:rsidR="004E70AC">
        <w:rPr>
          <w:iCs/>
          <w:sz w:val="23"/>
          <w:szCs w:val="23"/>
        </w:rPr>
        <w:t xml:space="preserve"> izpildīt savas saistības samazināt siltumnīcefekta gāzu emisijas un nodrošināt saviem iedzīvotājiem drošu, cenu ziņā pieejamu un ilgtspējīgi saražotu enerģiju</w:t>
      </w:r>
      <w:r w:rsidR="00AF07D2">
        <w:rPr>
          <w:iCs/>
          <w:sz w:val="23"/>
          <w:szCs w:val="23"/>
        </w:rPr>
        <w:t xml:space="preserve">, vienlaikus </w:t>
      </w:r>
      <w:r w:rsidRPr="00AF07D2" w:rsidR="00AF07D2">
        <w:rPr>
          <w:iCs/>
          <w:sz w:val="23"/>
          <w:szCs w:val="23"/>
        </w:rPr>
        <w:t>saudzējot vidi un ievērojot taisnīguma principu</w:t>
      </w:r>
      <w:r w:rsidRPr="004E70AC" w:rsidR="004E70AC">
        <w:rPr>
          <w:iCs/>
          <w:sz w:val="23"/>
          <w:szCs w:val="23"/>
        </w:rPr>
        <w:t>.</w:t>
      </w:r>
      <w:r w:rsidR="004E70AC">
        <w:rPr>
          <w:iCs/>
          <w:sz w:val="23"/>
          <w:szCs w:val="23"/>
        </w:rPr>
        <w:t xml:space="preserve"> Ilgtermiņa pārejai uz tīru enerģiju līdz 2050. gadam kontekstā ir noteikti kopīgi </w:t>
      </w:r>
      <w:r w:rsidRPr="004E70AC" w:rsidR="004E70AC">
        <w:rPr>
          <w:iCs/>
          <w:sz w:val="23"/>
          <w:szCs w:val="23"/>
        </w:rPr>
        <w:t xml:space="preserve">siltumnīcefekta gāzu emisiju samazinājuma, atjaunojamo energoresursu un energoefektivitātes </w:t>
      </w:r>
      <w:r w:rsidR="004E70AC">
        <w:rPr>
          <w:iCs/>
          <w:sz w:val="23"/>
          <w:szCs w:val="23"/>
        </w:rPr>
        <w:t>mērķrādītāji</w:t>
      </w:r>
      <w:r w:rsidR="00956843">
        <w:rPr>
          <w:iCs/>
          <w:sz w:val="23"/>
          <w:szCs w:val="23"/>
        </w:rPr>
        <w:t>, kas tiek plānoti un īstenoti caur integrēto nacionālo enerģētikas un klimata</w:t>
      </w:r>
      <w:r w:rsidR="006F1EAF">
        <w:rPr>
          <w:iCs/>
          <w:sz w:val="23"/>
          <w:szCs w:val="23"/>
        </w:rPr>
        <w:t xml:space="preserve"> projektu</w:t>
      </w:r>
      <w:r w:rsidR="00956843">
        <w:rPr>
          <w:iCs/>
          <w:sz w:val="23"/>
          <w:szCs w:val="23"/>
        </w:rPr>
        <w:t xml:space="preserve"> (</w:t>
      </w:r>
      <w:r w:rsidR="00E43A9B">
        <w:rPr>
          <w:iCs/>
          <w:sz w:val="23"/>
          <w:szCs w:val="23"/>
        </w:rPr>
        <w:t xml:space="preserve">turpmāk </w:t>
      </w:r>
      <w:r w:rsidR="00405A3E">
        <w:rPr>
          <w:iCs/>
          <w:sz w:val="23"/>
          <w:szCs w:val="23"/>
        </w:rPr>
        <w:t xml:space="preserve">– </w:t>
      </w:r>
      <w:r w:rsidR="00956843">
        <w:rPr>
          <w:iCs/>
          <w:sz w:val="23"/>
          <w:szCs w:val="23"/>
        </w:rPr>
        <w:t>NEKP) izstrādi.</w:t>
      </w:r>
    </w:p>
    <w:p w:rsidRPr="006F1EAF" w:rsidR="006F1EAF" w:rsidP="0094062C" w:rsidRDefault="006F1EAF" w14:paraId="75E54703" w14:textId="77777777">
      <w:pPr>
        <w:pStyle w:val="Default"/>
        <w:spacing w:before="240" w:after="240"/>
        <w:jc w:val="both"/>
        <w:rPr>
          <w:iCs/>
        </w:rPr>
      </w:pPr>
      <w:r w:rsidRPr="00EF62DC">
        <w:rPr>
          <w:iCs/>
        </w:rPr>
        <w:t xml:space="preserve">Paziņojumu </w:t>
      </w:r>
      <w:r>
        <w:rPr>
          <w:iCs/>
        </w:rPr>
        <w:t xml:space="preserve">sākotnēji </w:t>
      </w:r>
      <w:r w:rsidRPr="00EF62DC">
        <w:rPr>
          <w:iCs/>
        </w:rPr>
        <w:t xml:space="preserve">iesniedza </w:t>
      </w:r>
      <w:r>
        <w:rPr>
          <w:iCs/>
        </w:rPr>
        <w:t xml:space="preserve">Enerģētikas </w:t>
      </w:r>
      <w:r w:rsidR="00405A3E">
        <w:rPr>
          <w:iCs/>
        </w:rPr>
        <w:t>p</w:t>
      </w:r>
      <w:r w:rsidRPr="00EF62DC">
        <w:rPr>
          <w:iCs/>
        </w:rPr>
        <w:t xml:space="preserve">adomei 2019. gada 25. jūnijā, kam sekoja sākotnējā viedokļu apmaiņa starp </w:t>
      </w:r>
      <w:r w:rsidR="00405A3E">
        <w:rPr>
          <w:iCs/>
        </w:rPr>
        <w:t>e</w:t>
      </w:r>
      <w:r w:rsidRPr="00EF62DC">
        <w:rPr>
          <w:iCs/>
        </w:rPr>
        <w:t xml:space="preserve">nerģētikas ministriem. </w:t>
      </w:r>
      <w:r>
        <w:rPr>
          <w:iCs/>
        </w:rPr>
        <w:t xml:space="preserve">Tālāk Paziņojums tika detalizētāk apspriests </w:t>
      </w:r>
      <w:r w:rsidRPr="00EF62DC">
        <w:rPr>
          <w:iCs/>
        </w:rPr>
        <w:t xml:space="preserve"> </w:t>
      </w:r>
      <w:r w:rsidR="00405A3E">
        <w:rPr>
          <w:iCs/>
        </w:rPr>
        <w:t xml:space="preserve">ES </w:t>
      </w:r>
      <w:r w:rsidR="00520DEC">
        <w:rPr>
          <w:iCs/>
        </w:rPr>
        <w:t>P</w:t>
      </w:r>
      <w:r w:rsidR="00405A3E">
        <w:rPr>
          <w:iCs/>
        </w:rPr>
        <w:t xml:space="preserve">adomes </w:t>
      </w:r>
      <w:r w:rsidRPr="00EF62DC">
        <w:rPr>
          <w:iCs/>
        </w:rPr>
        <w:t>Enerģētikas darba grup</w:t>
      </w:r>
      <w:r>
        <w:rPr>
          <w:iCs/>
        </w:rPr>
        <w:t xml:space="preserve">u sanāksmēs </w:t>
      </w:r>
      <w:r w:rsidRPr="00EF62DC">
        <w:rPr>
          <w:iCs/>
        </w:rPr>
        <w:t>2019. gada 9. jūlijā un 3. septembrī.</w:t>
      </w:r>
      <w:r>
        <w:rPr>
          <w:iCs/>
        </w:rPr>
        <w:t xml:space="preserve"> </w:t>
      </w:r>
    </w:p>
    <w:p w:rsidR="006F1EAF" w:rsidP="0094062C" w:rsidRDefault="00FB0098" w14:paraId="77E2312D" w14:textId="77777777">
      <w:pPr>
        <w:pStyle w:val="Default"/>
        <w:spacing w:before="240" w:after="240"/>
        <w:jc w:val="both"/>
        <w:rPr>
          <w:iCs/>
        </w:rPr>
      </w:pPr>
      <w:r>
        <w:rPr>
          <w:iCs/>
        </w:rPr>
        <w:t>Paziņojums atkārtoti uzsver Komisijas, dalībvalstu un ieinteresēto institūciju sadarbības nozīmi mērķrādītāju sasniegšanai</w:t>
      </w:r>
      <w:r w:rsidR="00820B9D">
        <w:rPr>
          <w:iCs/>
        </w:rPr>
        <w:t>, kā arī norāda gatavību asistēt dalībvalstīm NEKP pabeigšanā līdz 2019. gada beigām.</w:t>
      </w:r>
      <w:r>
        <w:rPr>
          <w:iCs/>
        </w:rPr>
        <w:t xml:space="preserve"> </w:t>
      </w:r>
      <w:r w:rsidR="006F1EAF">
        <w:rPr>
          <w:iCs/>
        </w:rPr>
        <w:t>Kā papildus būtisks NEKP uzdevums Paziņojumā norādīt</w:t>
      </w:r>
      <w:r w:rsidR="00907DFD">
        <w:rPr>
          <w:iCs/>
        </w:rPr>
        <w:t>s</w:t>
      </w:r>
      <w:r w:rsidR="006F1EAF">
        <w:rPr>
          <w:iCs/>
        </w:rPr>
        <w:t xml:space="preserve"> arī pārredzamības nodrošināšana uzņēmējdarbības un finanšu sektoriem</w:t>
      </w:r>
      <w:r w:rsidR="00907DFD">
        <w:rPr>
          <w:iCs/>
        </w:rPr>
        <w:t>,</w:t>
      </w:r>
      <w:r w:rsidR="006F1EAF">
        <w:rPr>
          <w:iCs/>
        </w:rPr>
        <w:t xml:space="preserve"> privāto investīciju stimulēšanai.</w:t>
      </w:r>
    </w:p>
    <w:p w:rsidR="00820B9D" w:rsidP="0094062C" w:rsidRDefault="006F1EAF" w14:paraId="3B858B8D" w14:textId="77777777">
      <w:pPr>
        <w:pStyle w:val="Default"/>
        <w:spacing w:before="240" w:after="240"/>
        <w:jc w:val="both"/>
        <w:rPr>
          <w:iCs/>
        </w:rPr>
      </w:pPr>
      <w:r>
        <w:rPr>
          <w:iCs/>
        </w:rPr>
        <w:t xml:space="preserve">2019. gada 18. jūnijā Komisija sniedza novērtējumu NEKP un ar tiem saistītajiem ieteikumiem, lai tos varētu pabeigt.  Saistībā ar šo novērtējumu, ir secināts, ka: </w:t>
      </w:r>
    </w:p>
    <w:p w:rsidR="006F1EAF" w:rsidP="00793164" w:rsidRDefault="006F1EAF" w14:paraId="0D4771F9" w14:textId="77777777">
      <w:pPr>
        <w:pStyle w:val="Default"/>
        <w:spacing w:before="240" w:after="240"/>
        <w:ind w:firstLine="720"/>
        <w:jc w:val="both"/>
        <w:rPr>
          <w:iCs/>
        </w:rPr>
      </w:pPr>
      <w:r>
        <w:rPr>
          <w:iCs/>
        </w:rPr>
        <w:t xml:space="preserve">- attiecībā uz energoefektivitāti un atjaunojamiem energoresursiem pastāv plaisa starp nacionālo ambīciju līmeni 2030. gadam un ES 2030. gadam mērķiem. </w:t>
      </w:r>
    </w:p>
    <w:p w:rsidR="007017BC" w:rsidP="00793164" w:rsidRDefault="007017BC" w14:paraId="08EC1775" w14:textId="77777777">
      <w:pPr>
        <w:pStyle w:val="Default"/>
        <w:spacing w:before="240" w:after="240"/>
        <w:ind w:firstLine="720"/>
        <w:jc w:val="both"/>
        <w:rPr>
          <w:iCs/>
        </w:rPr>
      </w:pPr>
      <w:r>
        <w:rPr>
          <w:iCs/>
        </w:rPr>
        <w:t xml:space="preserve">- </w:t>
      </w:r>
      <w:r w:rsidR="00FB63BB">
        <w:rPr>
          <w:iCs/>
        </w:rPr>
        <w:t>NEKP būtu nepieciešams kļūt noteiktākiem, uz</w:t>
      </w:r>
      <w:r w:rsidR="00907DFD">
        <w:rPr>
          <w:iCs/>
        </w:rPr>
        <w:t>stā</w:t>
      </w:r>
      <w:r w:rsidR="00FB63BB">
        <w:rPr>
          <w:iCs/>
        </w:rPr>
        <w:t>dot precīzus mērķus, pasākumus un ieguldījumu nepieciešamību Enerģētikas savienības mērķu sasniegšanai visās piecās Enerģētikas savienības dimensijās.</w:t>
      </w:r>
    </w:p>
    <w:p w:rsidR="007017BC" w:rsidP="0094062C" w:rsidRDefault="00FA0D01" w14:paraId="644C873E" w14:textId="77777777">
      <w:pPr>
        <w:pStyle w:val="Default"/>
        <w:spacing w:before="240" w:after="240"/>
        <w:jc w:val="both"/>
        <w:rPr>
          <w:iCs/>
        </w:rPr>
      </w:pPr>
      <w:r>
        <w:rPr>
          <w:iCs/>
        </w:rPr>
        <w:t>Ņemot vērā, ka nākotnes progress dekarbonizācijas jomā ir būtiski atkarīgs no ES 2030</w:t>
      </w:r>
      <w:r w:rsidR="00907DFD">
        <w:rPr>
          <w:iCs/>
        </w:rPr>
        <w:t xml:space="preserve">. gada </w:t>
      </w:r>
      <w:r>
        <w:rPr>
          <w:iCs/>
        </w:rPr>
        <w:t xml:space="preserve">energoefektivitātes un atjaunojamās enerģijas mērķu sasniegšanas, </w:t>
      </w:r>
      <w:r w:rsidR="00E43A9B">
        <w:rPr>
          <w:iCs/>
        </w:rPr>
        <w:t xml:space="preserve">prezidentūra </w:t>
      </w:r>
      <w:r>
        <w:rPr>
          <w:iCs/>
        </w:rPr>
        <w:t>uzsver, cik būtiska ir šo mērķ</w:t>
      </w:r>
      <w:r w:rsidR="00907DFD">
        <w:rPr>
          <w:iCs/>
        </w:rPr>
        <w:t>rādītāju</w:t>
      </w:r>
      <w:r>
        <w:rPr>
          <w:iCs/>
        </w:rPr>
        <w:t xml:space="preserve"> sasniegšana un attiecīgi spēcīg</w:t>
      </w:r>
      <w:r w:rsidR="00915A5A">
        <w:rPr>
          <w:iCs/>
        </w:rPr>
        <w:t>u</w:t>
      </w:r>
      <w:r>
        <w:rPr>
          <w:iCs/>
        </w:rPr>
        <w:t xml:space="preserve"> NEKP izstrāde. </w:t>
      </w:r>
    </w:p>
    <w:p w:rsidR="00FB0098" w:rsidP="0094062C" w:rsidRDefault="00FB0098" w14:paraId="66ED4803" w14:textId="77777777">
      <w:pPr>
        <w:pStyle w:val="Default"/>
        <w:spacing w:before="240" w:after="240"/>
        <w:jc w:val="both"/>
        <w:rPr>
          <w:iCs/>
        </w:rPr>
      </w:pPr>
      <w:r>
        <w:rPr>
          <w:iCs/>
        </w:rPr>
        <w:t xml:space="preserve">24. septembra sanāksmē </w:t>
      </w:r>
      <w:r w:rsidR="00042E4F">
        <w:rPr>
          <w:iCs/>
        </w:rPr>
        <w:t>paredzēts</w:t>
      </w:r>
      <w:r w:rsidR="00FB63BB">
        <w:rPr>
          <w:iCs/>
        </w:rPr>
        <w:t xml:space="preserve"> atvērt dialogu NEKP </w:t>
      </w:r>
      <w:r w:rsidR="00042E4F">
        <w:rPr>
          <w:iCs/>
        </w:rPr>
        <w:t>pabeigšanai</w:t>
      </w:r>
      <w:r w:rsidR="00FB63BB">
        <w:rPr>
          <w:iCs/>
        </w:rPr>
        <w:t xml:space="preserve"> un E</w:t>
      </w:r>
      <w:r w:rsidR="009F0C23">
        <w:rPr>
          <w:iCs/>
        </w:rPr>
        <w:t>S</w:t>
      </w:r>
      <w:r w:rsidR="00FB63BB">
        <w:rPr>
          <w:iCs/>
        </w:rPr>
        <w:t xml:space="preserve"> 2030. gada mērķu sasniegšanai. Diskusijā </w:t>
      </w:r>
      <w:r w:rsidR="00042E4F">
        <w:rPr>
          <w:iCs/>
        </w:rPr>
        <w:t>paredzēts</w:t>
      </w:r>
      <w:r w:rsidR="00FB63BB">
        <w:rPr>
          <w:iCs/>
        </w:rPr>
        <w:t xml:space="preserve"> apspriest sekojošos jautājumus:</w:t>
      </w:r>
    </w:p>
    <w:p w:rsidR="00FB63BB" w:rsidP="00042E4F" w:rsidRDefault="00042E4F" w14:paraId="37F089E9" w14:textId="77777777">
      <w:pPr>
        <w:pStyle w:val="Default"/>
        <w:spacing w:before="240" w:after="240"/>
        <w:ind w:firstLine="720"/>
        <w:jc w:val="both"/>
        <w:rPr>
          <w:iCs/>
        </w:rPr>
      </w:pPr>
      <w:r>
        <w:rPr>
          <w:iCs/>
        </w:rPr>
        <w:lastRenderedPageBreak/>
        <w:t xml:space="preserve">1) </w:t>
      </w:r>
      <w:r w:rsidRPr="0004759E" w:rsidR="0004759E">
        <w:rPr>
          <w:iCs/>
        </w:rPr>
        <w:t>Kād</w:t>
      </w:r>
      <w:r w:rsidR="0004759E">
        <w:rPr>
          <w:iCs/>
        </w:rPr>
        <w:t>i</w:t>
      </w:r>
      <w:r w:rsidRPr="0004759E" w:rsidR="0004759E">
        <w:rPr>
          <w:iCs/>
        </w:rPr>
        <w:t xml:space="preserve"> ir dalībvalst</w:t>
      </w:r>
      <w:r w:rsidR="0004759E">
        <w:rPr>
          <w:iCs/>
        </w:rPr>
        <w:t>u</w:t>
      </w:r>
      <w:r w:rsidRPr="0004759E" w:rsidR="0004759E">
        <w:rPr>
          <w:iCs/>
        </w:rPr>
        <w:t xml:space="preserve"> panākum</w:t>
      </w:r>
      <w:r w:rsidR="0004759E">
        <w:rPr>
          <w:iCs/>
        </w:rPr>
        <w:t>i</w:t>
      </w:r>
      <w:r w:rsidRPr="0004759E" w:rsidR="0004759E">
        <w:rPr>
          <w:iCs/>
        </w:rPr>
        <w:t xml:space="preserve">, risinot </w:t>
      </w:r>
      <w:r w:rsidR="0004759E">
        <w:rPr>
          <w:iCs/>
        </w:rPr>
        <w:t>ambīciju</w:t>
      </w:r>
      <w:r w:rsidRPr="0004759E" w:rsidR="0004759E">
        <w:rPr>
          <w:iCs/>
        </w:rPr>
        <w:t xml:space="preserve"> trūkumus, kas ir noteikti valstu plānu projektos tādās jomās kā</w:t>
      </w:r>
      <w:r w:rsidR="0004759E">
        <w:rPr>
          <w:iCs/>
        </w:rPr>
        <w:t>:</w:t>
      </w:r>
    </w:p>
    <w:p w:rsidR="00042E4F" w:rsidP="00042E4F" w:rsidRDefault="00042E4F" w14:paraId="21E77BEC" w14:textId="77777777">
      <w:pPr>
        <w:pStyle w:val="Default"/>
        <w:spacing w:before="240" w:after="240"/>
        <w:ind w:firstLine="720"/>
        <w:jc w:val="both"/>
        <w:rPr>
          <w:iCs/>
        </w:rPr>
      </w:pPr>
      <w:r>
        <w:rPr>
          <w:iCs/>
        </w:rPr>
        <w:tab/>
        <w:t>a) energoefektivitāte;</w:t>
      </w:r>
    </w:p>
    <w:p w:rsidR="00042E4F" w:rsidP="00042E4F" w:rsidRDefault="00042E4F" w14:paraId="4889E320" w14:textId="77777777">
      <w:pPr>
        <w:pStyle w:val="Default"/>
        <w:spacing w:before="240" w:after="240"/>
        <w:ind w:firstLine="720"/>
        <w:jc w:val="both"/>
        <w:rPr>
          <w:iCs/>
        </w:rPr>
      </w:pPr>
      <w:r>
        <w:rPr>
          <w:iCs/>
        </w:rPr>
        <w:tab/>
        <w:t>b) atjaunojamā enerģija.</w:t>
      </w:r>
    </w:p>
    <w:p w:rsidR="007017BC" w:rsidP="00042E4F" w:rsidRDefault="00042E4F" w14:paraId="6CDB2D05" w14:textId="77777777">
      <w:pPr>
        <w:pStyle w:val="Default"/>
        <w:spacing w:before="240" w:after="240"/>
        <w:ind w:left="720"/>
        <w:jc w:val="both"/>
        <w:rPr>
          <w:iCs/>
        </w:rPr>
      </w:pPr>
      <w:r>
        <w:rPr>
          <w:iCs/>
        </w:rPr>
        <w:t xml:space="preserve">2)  </w:t>
      </w:r>
      <w:r w:rsidRPr="00042E4F">
        <w:rPr>
          <w:iCs/>
        </w:rPr>
        <w:t xml:space="preserve">Tā kā </w:t>
      </w:r>
      <w:r>
        <w:rPr>
          <w:iCs/>
        </w:rPr>
        <w:t>P</w:t>
      </w:r>
      <w:r w:rsidRPr="00042E4F">
        <w:rPr>
          <w:iCs/>
        </w:rPr>
        <w:t>ārvaldības regulā paredzētais pārvaldības mehānisms ir jauns process, kādai būtu jābūt Padomes lomai šajā svarīgajā procesā, lai kopīgi sasniegtu ES mērķus enerģētikas un klimata jomā 2030. gadam</w:t>
      </w:r>
      <w:r>
        <w:rPr>
          <w:iCs/>
        </w:rPr>
        <w:t>:</w:t>
      </w:r>
    </w:p>
    <w:p w:rsidR="00042E4F" w:rsidP="00042E4F" w:rsidRDefault="00042E4F" w14:paraId="2F5B1653" w14:textId="77777777">
      <w:pPr>
        <w:pStyle w:val="Default"/>
        <w:spacing w:before="240" w:after="240"/>
        <w:ind w:left="720"/>
        <w:jc w:val="both"/>
        <w:rPr>
          <w:iCs/>
        </w:rPr>
      </w:pPr>
      <w:r>
        <w:rPr>
          <w:iCs/>
        </w:rPr>
        <w:tab/>
        <w:t>a) pirms finalizētā NEKP, un</w:t>
      </w:r>
    </w:p>
    <w:p w:rsidRPr="003B4915" w:rsidR="00042E4F" w:rsidP="00042E4F" w:rsidRDefault="00042E4F" w14:paraId="54742B38" w14:textId="77777777">
      <w:pPr>
        <w:pStyle w:val="Default"/>
        <w:spacing w:before="240" w:after="240"/>
        <w:ind w:left="720"/>
        <w:jc w:val="both"/>
        <w:rPr>
          <w:iCs/>
        </w:rPr>
      </w:pPr>
      <w:r>
        <w:rPr>
          <w:iCs/>
        </w:rPr>
        <w:tab/>
        <w:t>b) pēc finalizētā NEKP.</w:t>
      </w:r>
    </w:p>
    <w:p w:rsidRPr="001C79A5" w:rsidR="00094CAB" w:rsidP="001C79A5" w:rsidRDefault="00094CAB" w14:paraId="07AADE9C" w14:textId="77777777">
      <w:pPr>
        <w:pStyle w:val="Default"/>
        <w:spacing w:after="120"/>
        <w:ind w:firstLine="720"/>
        <w:jc w:val="both"/>
        <w:rPr>
          <w:b/>
          <w:color w:val="auto"/>
        </w:rPr>
      </w:pPr>
      <w:r w:rsidRPr="001C79A5">
        <w:rPr>
          <w:b/>
          <w:color w:val="auto"/>
        </w:rPr>
        <w:t xml:space="preserve">Latvijas nostāja: </w:t>
      </w:r>
    </w:p>
    <w:p w:rsidRPr="006C6492" w:rsidR="006C6492" w:rsidRDefault="001C79A5" w14:paraId="2092C5B3" w14:textId="1ABA2ADA">
      <w:pPr>
        <w:pStyle w:val="Default"/>
        <w:spacing w:after="120"/>
        <w:jc w:val="both"/>
        <w:rPr>
          <w:bCs/>
          <w:color w:val="auto"/>
        </w:rPr>
      </w:pPr>
      <w:r w:rsidRPr="001C79A5">
        <w:rPr>
          <w:bCs/>
          <w:color w:val="auto"/>
        </w:rPr>
        <w:t xml:space="preserve">Latvija ir izstrādājusi pozīciju par Komisijas paziņojumu Eiropas Parlamentam, Padomei, Eiropas Ekonomikas un Sociālo Lietu Komitejai un </w:t>
      </w:r>
      <w:r w:rsidRPr="009D0C4B">
        <w:rPr>
          <w:bCs/>
          <w:color w:val="auto"/>
        </w:rPr>
        <w:t xml:space="preserve">Reģionu Komitejai “Vienoti virzībā uz enerģētikas savienības un klimata pasākumu realizēšanu: liekot pamatus sekmīgai pārejai uz </w:t>
      </w:r>
      <w:r w:rsidRPr="006C6492">
        <w:rPr>
          <w:bCs/>
          <w:color w:val="auto"/>
        </w:rPr>
        <w:t>tīru enerģiju” (COM/2019/285 final, 18.06.2019.). Pozīcijā paustā Latvijas nostāja:</w:t>
      </w:r>
    </w:p>
    <w:p w:rsidRPr="00B6717B" w:rsidR="006C6492" w:rsidP="006C6492" w:rsidRDefault="006C6492" w14:paraId="39B7395F" w14:textId="77777777">
      <w:pPr>
        <w:pStyle w:val="HTMLPreformatted"/>
        <w:numPr>
          <w:ilvl w:val="0"/>
          <w:numId w:val="23"/>
        </w:numPr>
        <w:shd w:val="clear" w:color="auto" w:fill="F8F9FA"/>
        <w:ind w:left="397" w:hanging="397"/>
        <w:jc w:val="both"/>
        <w:rPr>
          <w:rFonts w:ascii="Times New Roman" w:hAnsi="Times New Roman" w:cs="Times New Roman"/>
          <w:bCs/>
          <w:sz w:val="24"/>
          <w:szCs w:val="24"/>
        </w:rPr>
      </w:pPr>
      <w:r w:rsidRPr="00B6717B">
        <w:rPr>
          <w:rFonts w:ascii="Times New Roman" w:hAnsi="Times New Roman" w:cs="Times New Roman"/>
          <w:bCs/>
          <w:sz w:val="24"/>
          <w:szCs w:val="24"/>
        </w:rPr>
        <w:t>Latvija šobrīd vēl turpina vērtēt EK ieteikumus un to ietekmi uz Latvijas ekonomiku.</w:t>
      </w:r>
    </w:p>
    <w:p w:rsidRPr="00B6717B" w:rsidR="006C6492" w:rsidP="006C6492" w:rsidRDefault="006C6492" w14:paraId="4520C714" w14:textId="77777777">
      <w:pPr>
        <w:pStyle w:val="HTMLPreformatted"/>
        <w:numPr>
          <w:ilvl w:val="0"/>
          <w:numId w:val="23"/>
        </w:numPr>
        <w:shd w:val="clear" w:color="auto" w:fill="F8F9FA"/>
        <w:ind w:left="397" w:hanging="397"/>
        <w:jc w:val="both"/>
        <w:rPr>
          <w:rFonts w:ascii="Times New Roman" w:hAnsi="Times New Roman" w:cs="Times New Roman"/>
          <w:bCs/>
          <w:sz w:val="24"/>
          <w:szCs w:val="24"/>
        </w:rPr>
      </w:pPr>
      <w:r w:rsidRPr="00B6717B">
        <w:rPr>
          <w:rFonts w:ascii="Times New Roman" w:hAnsi="Times New Roman" w:cs="Times New Roman"/>
          <w:bCs/>
          <w:sz w:val="24"/>
          <w:szCs w:val="24"/>
        </w:rPr>
        <w:t>Latvija ir publicējusi jaunāko piedāvājumu 2030.gada mērķiem – sabiedrības konsultācijām</w:t>
      </w:r>
      <w:r w:rsidRPr="00B6717B">
        <w:rPr>
          <w:rStyle w:val="FootnoteReference"/>
          <w:rFonts w:ascii="Times New Roman" w:hAnsi="Times New Roman" w:eastAsia="Calibri"/>
          <w:bCs/>
          <w:sz w:val="24"/>
          <w:szCs w:val="24"/>
        </w:rPr>
        <w:footnoteReference w:id="2"/>
      </w:r>
      <w:r w:rsidRPr="00B6717B">
        <w:rPr>
          <w:rFonts w:ascii="Times New Roman" w:hAnsi="Times New Roman" w:cs="Times New Roman"/>
          <w:bCs/>
          <w:sz w:val="24"/>
          <w:szCs w:val="24"/>
        </w:rPr>
        <w:t>.</w:t>
      </w:r>
    </w:p>
    <w:p w:rsidRPr="00B6717B" w:rsidR="006C6492" w:rsidP="006C6492" w:rsidRDefault="006C6492" w14:paraId="65DFA8CC" w14:textId="77777777">
      <w:pPr>
        <w:pStyle w:val="HTMLPreformatted"/>
        <w:numPr>
          <w:ilvl w:val="0"/>
          <w:numId w:val="23"/>
        </w:numPr>
        <w:shd w:val="clear" w:color="auto" w:fill="F8F9FA"/>
        <w:ind w:left="397" w:hanging="397"/>
        <w:jc w:val="both"/>
        <w:rPr>
          <w:rFonts w:ascii="Times New Roman" w:hAnsi="Times New Roman" w:cs="Times New Roman"/>
          <w:bCs/>
          <w:sz w:val="24"/>
          <w:szCs w:val="24"/>
        </w:rPr>
      </w:pPr>
      <w:r w:rsidRPr="00B6717B">
        <w:rPr>
          <w:rFonts w:ascii="Times New Roman" w:hAnsi="Times New Roman" w:cs="Times New Roman"/>
          <w:bCs/>
          <w:sz w:val="24"/>
          <w:szCs w:val="24"/>
        </w:rPr>
        <w:t>Latvija šobrīd ir ņēmusi vērā EK ieteikumu attiecībā uz AER mērķi 2030.gadam un ir to piedāvājusi 50% apmērā no enerģijas galapatēriņa, kas ir par apmēram 30% (10 procentpunktiem) lielāks AER īpatsvars nekā Latvijas 2018.gada provizoriskais īpatsvars.</w:t>
      </w:r>
    </w:p>
    <w:p w:rsidRPr="00B6717B" w:rsidR="006C6492" w:rsidP="006C6492" w:rsidRDefault="006C6492" w14:paraId="505B9524" w14:textId="77777777">
      <w:pPr>
        <w:pStyle w:val="HTMLPreformatted"/>
        <w:numPr>
          <w:ilvl w:val="0"/>
          <w:numId w:val="23"/>
        </w:numPr>
        <w:shd w:val="clear" w:color="auto" w:fill="F8F9FA"/>
        <w:ind w:left="397" w:hanging="397"/>
        <w:jc w:val="both"/>
        <w:rPr>
          <w:rFonts w:ascii="Times New Roman" w:hAnsi="Times New Roman" w:cs="Times New Roman"/>
          <w:bCs/>
          <w:sz w:val="24"/>
          <w:szCs w:val="24"/>
        </w:rPr>
      </w:pPr>
      <w:r w:rsidRPr="00B6717B">
        <w:rPr>
          <w:rFonts w:ascii="Times New Roman" w:hAnsi="Times New Roman" w:cs="Times New Roman"/>
          <w:bCs/>
          <w:sz w:val="24"/>
          <w:szCs w:val="24"/>
        </w:rPr>
        <w:t>Latvija, veicot aktīvu darbu un nodrošinot vairāku projektu un pasākumu īstenošanu, plāno nodrošināt AER 2020.gada mērķu sasniegšanu, un šis mērķa lielums tiks izmantots par bāzes līniju 2030.gada mērķa sasniegšanai.</w:t>
      </w:r>
    </w:p>
    <w:p w:rsidRPr="00B6717B" w:rsidR="006C6492" w:rsidP="006C6492" w:rsidRDefault="006C6492" w14:paraId="647569A8" w14:textId="77777777">
      <w:pPr>
        <w:pStyle w:val="HTMLPreformatted"/>
        <w:numPr>
          <w:ilvl w:val="0"/>
          <w:numId w:val="23"/>
        </w:numPr>
        <w:shd w:val="clear" w:color="auto" w:fill="F8F9FA"/>
        <w:ind w:left="397" w:hanging="397"/>
        <w:jc w:val="both"/>
        <w:rPr>
          <w:rFonts w:ascii="Times New Roman" w:hAnsi="Times New Roman" w:cs="Times New Roman"/>
          <w:bCs/>
          <w:sz w:val="24"/>
          <w:szCs w:val="24"/>
        </w:rPr>
      </w:pPr>
      <w:r w:rsidRPr="00B6717B">
        <w:rPr>
          <w:rFonts w:ascii="Times New Roman" w:hAnsi="Times New Roman" w:cs="Times New Roman"/>
          <w:bCs/>
          <w:sz w:val="24"/>
          <w:szCs w:val="24"/>
        </w:rPr>
        <w:t>Attiecībā uz indikatīvajiem energoefektivitātes mērķiem – Latvijas devumiem ES kopējā primārās enerģijas patēriņa un enerģijas galapatēriņa mērķa izpildē, Latvija vēl turpina vērtēt EK ieteikumus būtiski palielināt Latvijas ambīcijas un nodrošināt, ka saskaņā ar EK metodiku šīs ambīcijas tiek uzskatītas par pietiekamām (</w:t>
      </w:r>
      <w:r w:rsidRPr="00B6717B">
        <w:rPr>
          <w:rFonts w:ascii="Times New Roman" w:hAnsi="Times New Roman" w:cs="Times New Roman"/>
          <w:bCs/>
          <w:i/>
          <w:iCs/>
          <w:sz w:val="24"/>
          <w:szCs w:val="24"/>
        </w:rPr>
        <w:t>sufficient</w:t>
      </w:r>
      <w:r w:rsidRPr="00B6717B">
        <w:rPr>
          <w:rFonts w:ascii="Times New Roman" w:hAnsi="Times New Roman" w:cs="Times New Roman"/>
          <w:bCs/>
          <w:sz w:val="24"/>
          <w:szCs w:val="24"/>
        </w:rPr>
        <w:t>).</w:t>
      </w:r>
    </w:p>
    <w:p w:rsidRPr="00B6717B" w:rsidR="006C6492" w:rsidP="006C6492" w:rsidRDefault="006C6492" w14:paraId="07633B3C" w14:textId="77777777">
      <w:pPr>
        <w:pStyle w:val="HTMLPreformatted"/>
        <w:shd w:val="clear" w:color="auto" w:fill="F8F9FA"/>
        <w:ind w:left="397"/>
        <w:jc w:val="both"/>
        <w:rPr>
          <w:rFonts w:ascii="Times New Roman" w:hAnsi="Times New Roman" w:cs="Times New Roman"/>
          <w:bCs/>
          <w:sz w:val="24"/>
          <w:szCs w:val="24"/>
        </w:rPr>
      </w:pPr>
    </w:p>
    <w:p w:rsidRPr="006C6492" w:rsidR="006C6492" w:rsidP="006C6492" w:rsidRDefault="006C6492" w14:paraId="04E4212D" w14:textId="77777777">
      <w:pPr>
        <w:pStyle w:val="HTMLPreformatted"/>
        <w:shd w:val="clear" w:color="auto" w:fill="F8F9FA"/>
        <w:jc w:val="both"/>
        <w:rPr>
          <w:rFonts w:ascii="Times New Roman" w:hAnsi="Times New Roman" w:cs="Times New Roman"/>
          <w:bCs/>
          <w:sz w:val="24"/>
          <w:szCs w:val="24"/>
        </w:rPr>
      </w:pPr>
      <w:r w:rsidRPr="006C6492">
        <w:rPr>
          <w:rFonts w:ascii="Times New Roman" w:hAnsi="Times New Roman" w:cs="Times New Roman"/>
          <w:bCs/>
          <w:sz w:val="24"/>
          <w:szCs w:val="24"/>
        </w:rPr>
        <w:t>Latvija ir publicējusi savu aktualizēto piedāvājumu indikatīvajiem energoefektivitātes mērķiem, piedāvājot to ambiciozitāti palielināt par 4 procentpunktiem primārā enerģijas patēriņā un par trim procentpunktiem enerģijas galapatēriņā. Tādējādi saskaņā ar EK ambīciju lielumu iedalījumu Latvijai abu šo rādītāju ambīciju lielums ir jāklasificē kā vidējs (</w:t>
      </w:r>
      <w:r w:rsidRPr="006C6492">
        <w:rPr>
          <w:rFonts w:ascii="Times New Roman" w:hAnsi="Times New Roman" w:cs="Times New Roman"/>
          <w:bCs/>
          <w:i/>
          <w:iCs/>
          <w:sz w:val="24"/>
          <w:szCs w:val="24"/>
        </w:rPr>
        <w:t>moderate</w:t>
      </w:r>
      <w:r w:rsidRPr="006C6492">
        <w:rPr>
          <w:rFonts w:ascii="Times New Roman" w:hAnsi="Times New Roman" w:cs="Times New Roman"/>
          <w:bCs/>
          <w:sz w:val="24"/>
          <w:szCs w:val="24"/>
        </w:rPr>
        <w:t>).</w:t>
      </w:r>
    </w:p>
    <w:p w:rsidRPr="00B6717B" w:rsidR="006C6492" w:rsidP="006C6492" w:rsidRDefault="006C6492" w14:paraId="3ED96D8D" w14:textId="77777777">
      <w:pPr>
        <w:pStyle w:val="HTMLPreformatted"/>
        <w:numPr>
          <w:ilvl w:val="0"/>
          <w:numId w:val="23"/>
        </w:numPr>
        <w:shd w:val="clear" w:color="auto" w:fill="F8F9FA"/>
        <w:ind w:left="397" w:hanging="397"/>
        <w:jc w:val="both"/>
        <w:rPr>
          <w:rFonts w:ascii="Times New Roman" w:hAnsi="Times New Roman" w:cs="Times New Roman"/>
          <w:bCs/>
          <w:sz w:val="24"/>
          <w:szCs w:val="24"/>
        </w:rPr>
      </w:pPr>
      <w:r w:rsidRPr="00B6717B">
        <w:rPr>
          <w:rFonts w:ascii="Times New Roman" w:hAnsi="Times New Roman" w:cs="Times New Roman"/>
          <w:bCs/>
          <w:sz w:val="24"/>
          <w:szCs w:val="24"/>
        </w:rPr>
        <w:t>Latvija nepiekrīt EK izvērtējumam par ambīciju lielumu iedalījumiem – pietiekamas, vidējas, zemas, ļoti zemas, kas veikts, balstoties uz 2017.gada apjomiem. Pamatojoties uz 2018.gada apjomiem, lielākai daļai DV šīs ambīcijas būtu īpaši augstākas.</w:t>
      </w:r>
    </w:p>
    <w:p w:rsidRPr="006C6492" w:rsidR="006C6492" w:rsidP="006C6492" w:rsidRDefault="006C6492" w14:paraId="364C8886" w14:textId="77777777">
      <w:pPr>
        <w:pStyle w:val="HTMLPreformatted"/>
        <w:numPr>
          <w:ilvl w:val="0"/>
          <w:numId w:val="23"/>
        </w:numPr>
        <w:shd w:val="clear" w:color="auto" w:fill="F8F9FA"/>
        <w:ind w:left="397" w:hanging="397"/>
        <w:jc w:val="both"/>
        <w:rPr>
          <w:rFonts w:ascii="Times New Roman" w:hAnsi="Times New Roman" w:cs="Times New Roman"/>
          <w:bCs/>
          <w:sz w:val="24"/>
          <w:szCs w:val="24"/>
        </w:rPr>
      </w:pPr>
      <w:r w:rsidRPr="00B6717B">
        <w:rPr>
          <w:rFonts w:ascii="Times New Roman" w:hAnsi="Times New Roman" w:cs="Times New Roman"/>
          <w:bCs/>
          <w:sz w:val="24"/>
          <w:szCs w:val="24"/>
        </w:rPr>
        <w:t>Latvija uzskata, ka EK nav ievērojusi Regulas 2018/1999 nosacījumus un mērķu ambīciju izvērtēšanā nav ņēmusi vērā Regulas 2018/1999 2018/1999 5.panta 1.punkta e) apakšpunkta 6.panta 2.punkta nosacījumus, kas nosaka, ka DV savu mērķa devumu izstrādē var ņemt vērā nacionālās īpatnības un specifiskos apstākļus. Savukārt EK ir jāņem vērā DV nacionālos apstākļus</w:t>
      </w:r>
      <w:r w:rsidRPr="006C6492">
        <w:rPr>
          <w:rFonts w:ascii="Times New Roman" w:hAnsi="Times New Roman" w:cs="Times New Roman"/>
          <w:bCs/>
          <w:sz w:val="24"/>
          <w:szCs w:val="24"/>
        </w:rPr>
        <w:t>.</w:t>
      </w:r>
    </w:p>
    <w:p w:rsidRPr="00C3129B" w:rsidR="00FD6AC1" w:rsidP="00FD6AC1" w:rsidRDefault="00FD6AC1" w14:paraId="311E4F67" w14:textId="77777777">
      <w:pPr>
        <w:pStyle w:val="HTMLPreformatted"/>
        <w:numPr>
          <w:ilvl w:val="0"/>
          <w:numId w:val="23"/>
        </w:numPr>
        <w:shd w:val="clear" w:color="auto" w:fill="F8F9FA"/>
        <w:ind w:left="397" w:hanging="397"/>
        <w:jc w:val="both"/>
        <w:rPr>
          <w:rFonts w:ascii="Times New Roman" w:hAnsi="Times New Roman" w:cs="Times New Roman"/>
          <w:sz w:val="24"/>
          <w:szCs w:val="24"/>
        </w:rPr>
      </w:pPr>
      <w:r w:rsidRPr="00C3129B">
        <w:rPr>
          <w:rFonts w:ascii="Times New Roman" w:hAnsi="Times New Roman" w:cs="Times New Roman"/>
          <w:sz w:val="24"/>
          <w:szCs w:val="24"/>
        </w:rPr>
        <w:lastRenderedPageBreak/>
        <w:t>Latvija uzskata, ka ir nepieciešams turpināt diskusiju par to, kā EK no savas puses var palīdzēt DV izpildīt savus mērķus un/vai palielināt ambīcijas. Tāpēc ir arī nepieciešamas diskusijas par to, kādas politikas var tikt noteiktas un piemērotas ES līmenī, īpaši attiecībā uz transporta sektora dekarbonizāciju, piemēram, izvērtēt iespējas degvielas piegādātājus iekļaut Eiropas Savienības Emisijas kvotu tirdzniecības sistēmā.</w:t>
      </w:r>
    </w:p>
    <w:p w:rsidRPr="00C3129B" w:rsidR="00FD6AC1" w:rsidP="00FD6AC1" w:rsidRDefault="00FD6AC1" w14:paraId="72D8EA45" w14:textId="77777777">
      <w:pPr>
        <w:pStyle w:val="HTMLPreformatted"/>
        <w:numPr>
          <w:ilvl w:val="0"/>
          <w:numId w:val="23"/>
        </w:numPr>
        <w:shd w:val="clear" w:color="auto" w:fill="F8F9FA"/>
        <w:ind w:left="397" w:hanging="397"/>
        <w:jc w:val="both"/>
        <w:rPr>
          <w:rFonts w:ascii="Times New Roman" w:hAnsi="Times New Roman" w:cs="Times New Roman"/>
          <w:sz w:val="24"/>
          <w:szCs w:val="24"/>
        </w:rPr>
      </w:pPr>
      <w:r w:rsidRPr="00C3129B">
        <w:rPr>
          <w:rFonts w:ascii="Times New Roman" w:hAnsi="Times New Roman" w:cs="Times New Roman"/>
          <w:sz w:val="24"/>
          <w:szCs w:val="24"/>
        </w:rPr>
        <w:t>Nepieciešams ES līmenī nodrošināt ne tikai to, ka ES ietvaros tiek ražotas AER tehnoloģijas vai tiek attīstītas inovācijas, bet arī to, ka šīs AER tehnoloģijas pēc tam tiek arī izmantotas ES līmenī un arī inovāciju attīstības rezultāti tiek ieviesti ES līmenī.</w:t>
      </w:r>
    </w:p>
    <w:p w:rsidRPr="00C3129B" w:rsidR="00FD6AC1" w:rsidP="00FD6AC1" w:rsidRDefault="00FD6AC1" w14:paraId="06A060B1" w14:textId="77777777">
      <w:pPr>
        <w:pStyle w:val="HTMLPreformatted"/>
        <w:numPr>
          <w:ilvl w:val="0"/>
          <w:numId w:val="23"/>
        </w:numPr>
        <w:shd w:val="clear" w:color="auto" w:fill="F8F9FA"/>
        <w:ind w:left="397" w:hanging="397"/>
        <w:jc w:val="both"/>
        <w:rPr>
          <w:rFonts w:ascii="Times New Roman" w:hAnsi="Times New Roman" w:cs="Times New Roman"/>
          <w:sz w:val="24"/>
          <w:szCs w:val="24"/>
        </w:rPr>
      </w:pPr>
      <w:r w:rsidRPr="00C3129B">
        <w:rPr>
          <w:rFonts w:ascii="Times New Roman" w:hAnsi="Times New Roman" w:cs="Times New Roman"/>
          <w:sz w:val="24"/>
          <w:szCs w:val="24"/>
        </w:rPr>
        <w:t>Ņemot vērā, ka NEKP plāns ir jāizstrādā vismaz 10-gadu periodam uz laikā, kad vēl nav zināms DV pieejamais ES fondu apjoms, kā rezultātā DV nevar ar pietiekami lielu ticamību plānot veicamos pasākumus, Latvija uzskata, ka šobrīd grūti skaidri noteikt kādus ES līmeņa obligātus pasākumus īpaši energoefektivitātes jomā. Pasākumi, kuriem šobrīd var pievērst uzmanību energoefektivitātes jomā varētu pārsvarā būt fokusēti uz energomarķējumu un ekodizainu, kā arī dažādas papildu informācijas nodrošināšana DV (piemēram, energointensitātes līmeņatzīmes dažādām rūpniecības nozarēm). Papildu diskusijas par šāda līmeņa pasākumiem ir jāturpina arī pēc tam, kad tiks pabeigtas sarunas par ES fondu finansējuma pārdali, kā arī 2023.gadā pēc tam, kad DV iesniegs pirmo integrēto ziņojumu un aktualizēto NEKP plāna projektu.</w:t>
      </w:r>
    </w:p>
    <w:p w:rsidRPr="00FD6AC1" w:rsidR="001C79A5" w:rsidP="00FD6AC1" w:rsidRDefault="001C79A5" w14:paraId="51AA1116" w14:textId="77777777">
      <w:pPr>
        <w:pStyle w:val="HTMLPreformatted"/>
        <w:shd w:val="clear" w:color="auto" w:fill="F8F9FA"/>
        <w:ind w:left="397"/>
        <w:jc w:val="both"/>
        <w:rPr>
          <w:rFonts w:ascii="Times New Roman" w:hAnsi="Times New Roman" w:cs="Times New Roman"/>
          <w:b/>
          <w:bCs/>
          <w:sz w:val="24"/>
          <w:szCs w:val="24"/>
        </w:rPr>
      </w:pPr>
    </w:p>
    <w:p w:rsidRPr="00103CD4" w:rsidR="001C79A5" w:rsidP="00103CD4" w:rsidRDefault="001C79A5" w14:paraId="045E47F8" w14:textId="77777777">
      <w:pPr>
        <w:pStyle w:val="HTMLPreformatted"/>
        <w:shd w:val="clear" w:color="auto" w:fill="F8F9FA"/>
        <w:spacing w:after="120"/>
        <w:jc w:val="both"/>
        <w:rPr>
          <w:rFonts w:ascii="Times New Roman" w:hAnsi="Times New Roman" w:cs="Times New Roman"/>
          <w:bCs/>
          <w:sz w:val="24"/>
          <w:szCs w:val="24"/>
        </w:rPr>
      </w:pPr>
      <w:r w:rsidRPr="00103CD4">
        <w:rPr>
          <w:rFonts w:ascii="Times New Roman" w:hAnsi="Times New Roman" w:cs="Times New Roman"/>
          <w:bCs/>
          <w:sz w:val="24"/>
          <w:szCs w:val="24"/>
        </w:rPr>
        <w:t>Šobrīd Latvija vēl vērtē EK ieteikumu vērā ņemšanas ietekmi uz Latvijas budžetu. Vērtējums tiks iekļauts NEKP gala versijā, kas tiks iesniegta EK līdz 2019.gada beigām.</w:t>
      </w:r>
    </w:p>
    <w:p w:rsidR="001C79A5" w:rsidP="00103CD4" w:rsidRDefault="001C79A5" w14:paraId="2FFBB9CE" w14:textId="77777777">
      <w:pPr>
        <w:pStyle w:val="HTMLPreformatted"/>
        <w:shd w:val="clear" w:color="auto" w:fill="F8F9FA"/>
        <w:spacing w:after="120"/>
        <w:jc w:val="both"/>
        <w:rPr>
          <w:rFonts w:ascii="Times New Roman" w:hAnsi="Times New Roman" w:cs="Times New Roman"/>
          <w:bCs/>
          <w:sz w:val="24"/>
          <w:szCs w:val="24"/>
        </w:rPr>
      </w:pPr>
      <w:r w:rsidRPr="00103CD4">
        <w:rPr>
          <w:rFonts w:ascii="Times New Roman" w:hAnsi="Times New Roman" w:cs="Times New Roman"/>
          <w:bCs/>
          <w:sz w:val="24"/>
          <w:szCs w:val="24"/>
        </w:rPr>
        <w:t>Saskaņā ar NEKP projektu, lai izpildītu NEKP projektā piedāvātos mērķus, kas EK uzskatā nav pietiekami ambiciozi, Latvijai ir nepieciešams vismaz 4-6 mljrd. EUR finansējums periodā līdz 2030.gadam</w:t>
      </w:r>
      <w:r w:rsidRPr="00103CD4">
        <w:rPr>
          <w:rFonts w:ascii="Times New Roman" w:hAnsi="Times New Roman"/>
          <w:bCs/>
          <w:sz w:val="24"/>
          <w:szCs w:val="24"/>
          <w:vertAlign w:val="superscript"/>
        </w:rPr>
        <w:footnoteReference w:id="3"/>
      </w:r>
      <w:r w:rsidRPr="00103CD4">
        <w:rPr>
          <w:rFonts w:ascii="Times New Roman" w:hAnsi="Times New Roman" w:cs="Times New Roman"/>
          <w:bCs/>
          <w:sz w:val="24"/>
          <w:szCs w:val="24"/>
        </w:rPr>
        <w:t>.</w:t>
      </w:r>
    </w:p>
    <w:p w:rsidRPr="00103CD4" w:rsidR="00103CD4" w:rsidP="00103CD4" w:rsidRDefault="00103CD4" w14:paraId="0010D45D" w14:textId="77777777">
      <w:pPr>
        <w:pStyle w:val="HTMLPreformatted"/>
        <w:shd w:val="clear" w:color="auto" w:fill="F8F9FA"/>
        <w:spacing w:after="120"/>
        <w:jc w:val="both"/>
        <w:rPr>
          <w:rFonts w:ascii="Times New Roman" w:hAnsi="Times New Roman" w:cs="Times New Roman"/>
          <w:bCs/>
          <w:sz w:val="24"/>
          <w:szCs w:val="24"/>
        </w:rPr>
      </w:pPr>
    </w:p>
    <w:p w:rsidRPr="00180489" w:rsidR="00817D8C" w:rsidP="00180489" w:rsidRDefault="00DE2228" w14:paraId="20AFA517" w14:textId="77777777">
      <w:pPr>
        <w:pStyle w:val="Default"/>
        <w:rPr>
          <w:b/>
          <w:color w:val="auto"/>
        </w:rPr>
      </w:pPr>
      <w:r>
        <w:rPr>
          <w:b/>
          <w:color w:val="auto"/>
        </w:rPr>
        <w:t>2.</w:t>
      </w:r>
      <w:r w:rsidR="00F74D3D">
        <w:rPr>
          <w:b/>
          <w:color w:val="auto"/>
        </w:rPr>
        <w:t xml:space="preserve"> </w:t>
      </w:r>
      <w:r>
        <w:rPr>
          <w:b/>
          <w:color w:val="auto"/>
        </w:rPr>
        <w:t xml:space="preserve"> </w:t>
      </w:r>
      <w:bookmarkStart w:name="_Hlk11309604" w:id="0"/>
      <w:r w:rsidRPr="00C21AFD" w:rsidR="00C21AFD">
        <w:rPr>
          <w:b/>
          <w:color w:val="auto"/>
        </w:rPr>
        <w:t>Enerģētikas nozare pēc 2030. gada: virzība uz klimatneitralitāti</w:t>
      </w:r>
    </w:p>
    <w:p w:rsidR="00817D8C" w:rsidP="005C5951" w:rsidRDefault="00817D8C" w14:paraId="0D5D2AC4" w14:textId="77777777">
      <w:pPr>
        <w:pStyle w:val="Default"/>
        <w:ind w:left="360"/>
        <w:rPr>
          <w:i/>
        </w:rPr>
      </w:pPr>
      <w:r w:rsidRPr="00817D8C">
        <w:rPr>
          <w:i/>
        </w:rPr>
        <w:t>- Viedokļu apmaiņa</w:t>
      </w:r>
    </w:p>
    <w:p w:rsidRPr="005C5951" w:rsidR="00F76ADA" w:rsidP="005C5951" w:rsidRDefault="00F76ADA" w14:paraId="4A3E6649" w14:textId="77777777">
      <w:pPr>
        <w:pStyle w:val="Default"/>
        <w:ind w:left="360"/>
        <w:rPr>
          <w:i/>
          <w:color w:val="auto"/>
        </w:rPr>
      </w:pPr>
    </w:p>
    <w:bookmarkEnd w:id="0"/>
    <w:p w:rsidR="006355FF" w:rsidP="00887291" w:rsidRDefault="000061C2" w14:paraId="56E6EA7D" w14:textId="77777777">
      <w:pPr>
        <w:pStyle w:val="Default"/>
        <w:spacing w:after="120"/>
        <w:jc w:val="both"/>
        <w:rPr>
          <w:bCs/>
          <w:color w:val="auto"/>
        </w:rPr>
      </w:pPr>
      <w:r w:rsidRPr="002D2A3C">
        <w:rPr>
          <w:bCs/>
        </w:rPr>
        <w:t>Klimata pārmaiņu starpvaldību padomes (</w:t>
      </w:r>
      <w:r w:rsidR="00A379B2">
        <w:rPr>
          <w:iCs/>
          <w:sz w:val="23"/>
          <w:szCs w:val="23"/>
        </w:rPr>
        <w:t xml:space="preserve">turpmāk - </w:t>
      </w:r>
      <w:r>
        <w:rPr>
          <w:bCs/>
        </w:rPr>
        <w:t xml:space="preserve">IPCC) </w:t>
      </w:r>
      <w:r w:rsidRPr="000061C2" w:rsidR="00887291">
        <w:rPr>
          <w:bCs/>
          <w:color w:val="auto"/>
        </w:rPr>
        <w:t>2018</w:t>
      </w:r>
      <w:r w:rsidRPr="000061C2" w:rsidR="00055FC3">
        <w:rPr>
          <w:bCs/>
          <w:color w:val="auto"/>
        </w:rPr>
        <w:t>.</w:t>
      </w:r>
      <w:r w:rsidRPr="000061C2" w:rsidR="00887291">
        <w:rPr>
          <w:bCs/>
          <w:color w:val="auto"/>
        </w:rPr>
        <w:t xml:space="preserve"> gada </w:t>
      </w:r>
      <w:r w:rsidRPr="000061C2">
        <w:rPr>
          <w:bCs/>
        </w:rPr>
        <w:t xml:space="preserve">īpašais </w:t>
      </w:r>
      <w:r w:rsidRPr="000061C2" w:rsidR="00055FC3">
        <w:rPr>
          <w:bCs/>
          <w:color w:val="auto"/>
        </w:rPr>
        <w:t>ziņojums</w:t>
      </w:r>
      <w:r w:rsidR="001163C2">
        <w:rPr>
          <w:bCs/>
          <w:color w:val="auto"/>
        </w:rPr>
        <w:t xml:space="preserve"> </w:t>
      </w:r>
      <w:r w:rsidRPr="002D2A3C">
        <w:rPr>
          <w:bCs/>
        </w:rPr>
        <w:t>par globālo sasilšanu</w:t>
      </w:r>
      <w:r>
        <w:rPr>
          <w:bCs/>
          <w:color w:val="auto"/>
        </w:rPr>
        <w:t xml:space="preserve"> </w:t>
      </w:r>
      <w:r w:rsidRPr="002D2A3C">
        <w:rPr>
          <w:bCs/>
        </w:rPr>
        <w:t>par 1,5°C</w:t>
      </w:r>
      <w:r w:rsidRPr="000061C2">
        <w:rPr>
          <w:rStyle w:val="FootnoteReference"/>
          <w:bCs/>
          <w:sz w:val="18"/>
          <w:szCs w:val="18"/>
        </w:rPr>
        <w:footnoteReference w:id="4"/>
      </w:r>
      <w:r w:rsidRPr="00FD6AC1">
        <w:t xml:space="preserve"> </w:t>
      </w:r>
      <w:r w:rsidR="00055FC3">
        <w:rPr>
          <w:bCs/>
          <w:color w:val="auto"/>
        </w:rPr>
        <w:t xml:space="preserve">brīdina par steidzamību būtiski pārveidot enerģētikas sistēmas un ekonomiku. </w:t>
      </w:r>
      <w:r w:rsidR="009F0C23">
        <w:rPr>
          <w:bCs/>
          <w:color w:val="auto"/>
        </w:rPr>
        <w:t>ES</w:t>
      </w:r>
      <w:r w:rsidR="00055FC3">
        <w:rPr>
          <w:bCs/>
          <w:color w:val="auto"/>
        </w:rPr>
        <w:t xml:space="preserve"> šajā ziņā ir skaidri uzņēmusies vadību, nopietni pieņemot šo izaicinājumu. </w:t>
      </w:r>
    </w:p>
    <w:p w:rsidR="00F84217" w:rsidP="00887291" w:rsidRDefault="00055FC3" w14:paraId="760472A5" w14:textId="77777777">
      <w:pPr>
        <w:pStyle w:val="Default"/>
        <w:spacing w:after="120"/>
        <w:jc w:val="both"/>
        <w:rPr>
          <w:bCs/>
          <w:color w:val="auto"/>
        </w:rPr>
      </w:pPr>
      <w:r>
        <w:rPr>
          <w:bCs/>
          <w:color w:val="auto"/>
        </w:rPr>
        <w:t>2018. gada</w:t>
      </w:r>
      <w:r w:rsidR="00F84217">
        <w:rPr>
          <w:bCs/>
          <w:color w:val="auto"/>
        </w:rPr>
        <w:t xml:space="preserve"> </w:t>
      </w:r>
      <w:r w:rsidR="008973A9">
        <w:rPr>
          <w:bCs/>
          <w:color w:val="auto"/>
        </w:rPr>
        <w:t>2</w:t>
      </w:r>
      <w:r w:rsidR="00F84217">
        <w:rPr>
          <w:bCs/>
          <w:color w:val="auto"/>
        </w:rPr>
        <w:t>8.</w:t>
      </w:r>
      <w:r>
        <w:rPr>
          <w:bCs/>
          <w:color w:val="auto"/>
        </w:rPr>
        <w:t xml:space="preserve"> novembrī Komisija </w:t>
      </w:r>
      <w:r w:rsidRPr="002D2A3C" w:rsidR="000061C2">
        <w:rPr>
          <w:bCs/>
        </w:rPr>
        <w:t>publicēja paziņojumu “</w:t>
      </w:r>
      <w:r w:rsidRPr="002D2A3C" w:rsidR="000061C2">
        <w:rPr>
          <w:bCs/>
          <w:i/>
        </w:rPr>
        <w:t>Tīru planētu - visiem! Stratēģisks Eiropas ilgtermiņa redzējums par pārticīgu, modernu, konkurētspējīgu un klimatneitrālu ekonomiku</w:t>
      </w:r>
      <w:r w:rsidRPr="002D2A3C" w:rsidR="000061C2">
        <w:rPr>
          <w:bCs/>
        </w:rPr>
        <w:t>”</w:t>
      </w:r>
      <w:r w:rsidR="00A379B2">
        <w:rPr>
          <w:bCs/>
          <w:color w:val="auto"/>
        </w:rPr>
        <w:t xml:space="preserve"> </w:t>
      </w:r>
      <w:r w:rsidR="006355FF">
        <w:rPr>
          <w:bCs/>
          <w:color w:val="auto"/>
        </w:rPr>
        <w:t>(</w:t>
      </w:r>
      <w:r w:rsidRPr="00D32C2F" w:rsidR="00A13A9C">
        <w:rPr>
          <w:bCs/>
          <w:i/>
          <w:color w:val="444444"/>
          <w:shd w:val="clear" w:color="auto" w:fill="FFFFFF"/>
        </w:rPr>
        <w:t>A Clean Planet for all</w:t>
      </w:r>
      <w:r w:rsidRPr="00D32C2F" w:rsidR="00A13A9C">
        <w:rPr>
          <w:bCs/>
          <w:i/>
          <w:color w:val="444444"/>
        </w:rPr>
        <w:t xml:space="preserve">. </w:t>
      </w:r>
      <w:r w:rsidRPr="00D32C2F" w:rsidR="00A13A9C">
        <w:rPr>
          <w:bCs/>
          <w:i/>
          <w:color w:val="444444"/>
          <w:shd w:val="clear" w:color="auto" w:fill="FFFFFF"/>
        </w:rPr>
        <w:t>A European strategic long-term vision for a prosperous, modern, competitive and climate neutral economy</w:t>
      </w:r>
      <w:r w:rsidR="006355FF">
        <w:rPr>
          <w:bCs/>
          <w:color w:val="auto"/>
        </w:rPr>
        <w:t>)</w:t>
      </w:r>
      <w:r w:rsidR="00A379B2">
        <w:rPr>
          <w:bCs/>
          <w:color w:val="auto"/>
        </w:rPr>
        <w:t xml:space="preserve"> (</w:t>
      </w:r>
      <w:r w:rsidR="00A379B2">
        <w:rPr>
          <w:iCs/>
          <w:sz w:val="23"/>
          <w:szCs w:val="23"/>
        </w:rPr>
        <w:t xml:space="preserve">turpmāk - </w:t>
      </w:r>
      <w:r w:rsidR="00A379B2">
        <w:rPr>
          <w:bCs/>
          <w:color w:val="auto"/>
        </w:rPr>
        <w:t>P</w:t>
      </w:r>
      <w:r w:rsidRPr="002D2A3C" w:rsidR="00A379B2">
        <w:rPr>
          <w:bCs/>
        </w:rPr>
        <w:t>aziņojum</w:t>
      </w:r>
      <w:r w:rsidR="00A379B2">
        <w:rPr>
          <w:bCs/>
        </w:rPr>
        <w:t>s)</w:t>
      </w:r>
      <w:r>
        <w:rPr>
          <w:bCs/>
          <w:color w:val="auto"/>
        </w:rPr>
        <w:t>, kur</w:t>
      </w:r>
      <w:r w:rsidR="00F84217">
        <w:rPr>
          <w:bCs/>
          <w:color w:val="auto"/>
        </w:rPr>
        <w:t>š</w:t>
      </w:r>
      <w:r>
        <w:rPr>
          <w:bCs/>
          <w:color w:val="auto"/>
        </w:rPr>
        <w:t xml:space="preserve"> </w:t>
      </w:r>
      <w:r w:rsidRPr="002D2A3C" w:rsidR="00F84217">
        <w:rPr>
          <w:bCs/>
        </w:rPr>
        <w:t>ietver redzējumu par visas tautsaimniecības nozares aptverošām ekonomiskajām un sabiedrības pārveidēm, kas vajadzīgas, lai līdz 2050. gadam ES sasniegtu klimatneitralitāti</w:t>
      </w:r>
      <w:r>
        <w:rPr>
          <w:bCs/>
          <w:color w:val="auto"/>
        </w:rPr>
        <w:t xml:space="preserve">, iesākot plašas diskusijas par </w:t>
      </w:r>
      <w:r w:rsidR="00F84217">
        <w:rPr>
          <w:bCs/>
          <w:color w:val="auto"/>
        </w:rPr>
        <w:t xml:space="preserve">šo </w:t>
      </w:r>
      <w:r>
        <w:rPr>
          <w:bCs/>
          <w:color w:val="auto"/>
        </w:rPr>
        <w:t xml:space="preserve">ES ilgtermiņa redzējumu. </w:t>
      </w:r>
    </w:p>
    <w:p w:rsidR="008973A9" w:rsidP="008973A9" w:rsidRDefault="008973A9" w14:paraId="23AF268B" w14:textId="77777777">
      <w:pPr>
        <w:pStyle w:val="Default"/>
        <w:spacing w:after="120"/>
        <w:jc w:val="both"/>
        <w:rPr>
          <w:bCs/>
        </w:rPr>
      </w:pPr>
      <w:r w:rsidRPr="00A42165">
        <w:rPr>
          <w:bCs/>
        </w:rPr>
        <w:t xml:space="preserve">2019. gada 11. jūnija </w:t>
      </w:r>
      <w:r>
        <w:rPr>
          <w:bCs/>
        </w:rPr>
        <w:t>MK</w:t>
      </w:r>
      <w:r w:rsidRPr="00A42165">
        <w:rPr>
          <w:bCs/>
        </w:rPr>
        <w:t xml:space="preserve"> sēdē tika apstiprināta Latvijas nacionālā pozīcija “Par Eiropas Komisijas paziņojumu “Tīru planētu - visiem! Stratēģisks Eiropas ilgtermiņa redzējums par pārticīgu, modernu, konkurētspējīgu un klimatneitrālu ekonomiku””</w:t>
      </w:r>
      <w:r>
        <w:rPr>
          <w:bCs/>
        </w:rPr>
        <w:t xml:space="preserve"> (turpmāk – </w:t>
      </w:r>
      <w:r w:rsidRPr="000E6B36">
        <w:t>Pozīcij</w:t>
      </w:r>
      <w:r>
        <w:t>a)</w:t>
      </w:r>
      <w:r w:rsidRPr="00A42165">
        <w:rPr>
          <w:bCs/>
        </w:rPr>
        <w:t xml:space="preserve">. Ar šo </w:t>
      </w:r>
      <w:r>
        <w:rPr>
          <w:bCs/>
        </w:rPr>
        <w:t>P</w:t>
      </w:r>
      <w:r w:rsidRPr="00A42165">
        <w:rPr>
          <w:bCs/>
        </w:rPr>
        <w:t>ozīciju Latvija pauž atbalstu ES virzībai uz klimatneitralitāti 2050. gadā.</w:t>
      </w:r>
      <w:r>
        <w:rPr>
          <w:bCs/>
        </w:rPr>
        <w:t xml:space="preserve"> </w:t>
      </w:r>
    </w:p>
    <w:p w:rsidR="006355FF" w:rsidP="00887291" w:rsidRDefault="00055FC3" w14:paraId="21725B4C" w14:textId="77777777">
      <w:pPr>
        <w:pStyle w:val="Default"/>
        <w:spacing w:after="120"/>
        <w:jc w:val="both"/>
        <w:rPr>
          <w:bCs/>
          <w:color w:val="auto"/>
        </w:rPr>
      </w:pPr>
      <w:r>
        <w:rPr>
          <w:bCs/>
          <w:color w:val="auto"/>
        </w:rPr>
        <w:lastRenderedPageBreak/>
        <w:t xml:space="preserve">2019. gada 4. martā </w:t>
      </w:r>
      <w:r w:rsidR="009F0C23">
        <w:rPr>
          <w:bCs/>
          <w:color w:val="auto"/>
        </w:rPr>
        <w:t>e</w:t>
      </w:r>
      <w:r>
        <w:rPr>
          <w:bCs/>
          <w:color w:val="auto"/>
        </w:rPr>
        <w:t xml:space="preserve">nerģētikas ministri apsprieda šī Paziņojuma ar enerģētiku saistītos jautājumus, un 2019. gada jūnijā Eiropadome aicināja Padomi un Komisiju arī turpmāk strādāt pie nosacījumiem un iniciatīvām, paziņojot, ka tā pabeigs vadlīniju izstrādi pārejai uz klimatneitralitāti līdz šī gada beigām. </w:t>
      </w:r>
      <w:r w:rsidR="00240127">
        <w:rPr>
          <w:bCs/>
          <w:color w:val="auto"/>
        </w:rPr>
        <w:t xml:space="preserve"> </w:t>
      </w:r>
    </w:p>
    <w:p w:rsidR="00F76ADA" w:rsidP="00887291" w:rsidRDefault="00055FC3" w14:paraId="3B2548B4" w14:textId="77777777">
      <w:pPr>
        <w:pStyle w:val="Default"/>
        <w:spacing w:after="120"/>
        <w:jc w:val="both"/>
        <w:rPr>
          <w:bCs/>
          <w:color w:val="auto"/>
        </w:rPr>
      </w:pPr>
      <w:r>
        <w:rPr>
          <w:bCs/>
          <w:color w:val="auto"/>
        </w:rPr>
        <w:t xml:space="preserve">Līdzīgi 2019. gada jūnijā Eiropadome vienojās par </w:t>
      </w:r>
      <w:r w:rsidR="00907DFD">
        <w:rPr>
          <w:bCs/>
          <w:color w:val="auto"/>
        </w:rPr>
        <w:t>“</w:t>
      </w:r>
      <w:r w:rsidRPr="00907DFD" w:rsidR="006355FF">
        <w:rPr>
          <w:bCs/>
          <w:color w:val="auto"/>
        </w:rPr>
        <w:t>Jaunas stratēģiskās programmas 2019</w:t>
      </w:r>
      <w:r w:rsidR="009F0C23">
        <w:rPr>
          <w:bCs/>
          <w:color w:val="auto"/>
        </w:rPr>
        <w:t>.</w:t>
      </w:r>
      <w:r w:rsidRPr="00907DFD" w:rsidR="006355FF">
        <w:rPr>
          <w:bCs/>
          <w:color w:val="auto"/>
        </w:rPr>
        <w:t xml:space="preserve"> – 2024. gadam</w:t>
      </w:r>
      <w:r w:rsidR="00907DFD">
        <w:rPr>
          <w:bCs/>
          <w:color w:val="auto"/>
        </w:rPr>
        <w:t>”</w:t>
      </w:r>
      <w:r w:rsidR="006355FF">
        <w:rPr>
          <w:bCs/>
          <w:color w:val="auto"/>
        </w:rPr>
        <w:t xml:space="preserve"> (</w:t>
      </w:r>
      <w:r w:rsidRPr="006355FF" w:rsidR="006355FF">
        <w:rPr>
          <w:bCs/>
          <w:i/>
          <w:iCs/>
          <w:color w:val="auto"/>
        </w:rPr>
        <w:t>A new strategic agenda 2019-2024</w:t>
      </w:r>
      <w:r w:rsidR="006355FF">
        <w:rPr>
          <w:bCs/>
          <w:color w:val="auto"/>
        </w:rPr>
        <w:t xml:space="preserve">) izstrādi, uzsverot, cik svarīgi ir veidot neitrālu, videi nekaitīgu, taisnīgu un sociālu Eiropu. </w:t>
      </w:r>
    </w:p>
    <w:p w:rsidR="00560DE1" w:rsidP="00887291" w:rsidRDefault="006355FF" w14:paraId="2062EFEB" w14:textId="77777777">
      <w:pPr>
        <w:pStyle w:val="Default"/>
        <w:spacing w:after="120"/>
        <w:jc w:val="both"/>
        <w:rPr>
          <w:bCs/>
          <w:color w:val="auto"/>
        </w:rPr>
      </w:pPr>
      <w:r>
        <w:rPr>
          <w:bCs/>
          <w:color w:val="auto"/>
        </w:rPr>
        <w:t xml:space="preserve">Enerģijas piegādes nozare ir lielākais siltumnīcefekta gāzu emisiju avots. Pēc ES iniciatīvas ir pieņemta </w:t>
      </w:r>
      <w:r w:rsidR="009F0C23">
        <w:rPr>
          <w:bCs/>
          <w:color w:val="auto"/>
        </w:rPr>
        <w:t xml:space="preserve">pakotne </w:t>
      </w:r>
      <w:r w:rsidR="00907DFD">
        <w:rPr>
          <w:bCs/>
          <w:color w:val="auto"/>
        </w:rPr>
        <w:t>“</w:t>
      </w:r>
      <w:r w:rsidRPr="00907DFD">
        <w:rPr>
          <w:bCs/>
          <w:color w:val="auto"/>
        </w:rPr>
        <w:t xml:space="preserve">Tīra enerģija visiem </w:t>
      </w:r>
      <w:r w:rsidR="00077EB4">
        <w:rPr>
          <w:bCs/>
          <w:color w:val="auto"/>
        </w:rPr>
        <w:t>Eiropas iedzīvotājiem</w:t>
      </w:r>
      <w:r w:rsidR="00907DFD">
        <w:rPr>
          <w:bCs/>
          <w:color w:val="auto"/>
        </w:rPr>
        <w:t>”</w:t>
      </w:r>
      <w:r w:rsidRPr="006355FF">
        <w:rPr>
          <w:bCs/>
          <w:i/>
          <w:iCs/>
          <w:color w:val="auto"/>
        </w:rPr>
        <w:t xml:space="preserve"> (Clean Energy for All Europeans)</w:t>
      </w:r>
      <w:r>
        <w:rPr>
          <w:bCs/>
          <w:color w:val="auto"/>
        </w:rPr>
        <w:t xml:space="preserve">, kas ir piemērots </w:t>
      </w:r>
      <w:r w:rsidRPr="006355FF">
        <w:rPr>
          <w:bCs/>
          <w:color w:val="auto"/>
        </w:rPr>
        <w:t>sākumpunkts, nosakot konkrētus ES līmeņa mērķus 2030. gadam attiecībā uz atjaunojamiem energoresursiem un energoefektivitāti papildus siltumnīcefekta gāzu samazināšanas mērķim, bet atstājot dalībvalst</w:t>
      </w:r>
      <w:r>
        <w:rPr>
          <w:bCs/>
          <w:color w:val="auto"/>
        </w:rPr>
        <w:t xml:space="preserve">īm manevrēšanas iespējas šo mērķrādītāju sasniegšanai. Tīras enerģijas </w:t>
      </w:r>
      <w:r w:rsidR="00077EB4">
        <w:rPr>
          <w:bCs/>
          <w:color w:val="auto"/>
        </w:rPr>
        <w:t xml:space="preserve">pakotne </w:t>
      </w:r>
      <w:r>
        <w:rPr>
          <w:bCs/>
          <w:color w:val="auto"/>
        </w:rPr>
        <w:t xml:space="preserve">ir arī iesākusi darbu pie ilgtermiņa plānošanas. Saskaņā ar </w:t>
      </w:r>
      <w:r w:rsidR="00560DE1">
        <w:rPr>
          <w:bCs/>
          <w:color w:val="auto"/>
        </w:rPr>
        <w:t>E</w:t>
      </w:r>
      <w:r w:rsidRPr="00560DE1" w:rsidR="00560DE1">
        <w:rPr>
          <w:bCs/>
          <w:color w:val="auto"/>
        </w:rPr>
        <w:t>nerģētikas savienības un rīcības klimata politikas jomā pārvaldīb</w:t>
      </w:r>
      <w:r w:rsidR="00560DE1">
        <w:rPr>
          <w:bCs/>
          <w:color w:val="auto"/>
        </w:rPr>
        <w:t xml:space="preserve">as regulējumu dalībvalstis līdz 2020. gada 1. janvārim izstrādā nacionālās ilgtermiņa stratēģijas 2050. gadam pārejai uz ES ekonomikas klimatneitralitāti. </w:t>
      </w:r>
    </w:p>
    <w:p w:rsidRPr="006355FF" w:rsidR="00560DE1" w:rsidP="00887291" w:rsidRDefault="0004702B" w14:paraId="0E9ACBA3" w14:textId="7B4D8A20">
      <w:pPr>
        <w:pStyle w:val="Default"/>
        <w:spacing w:after="120"/>
        <w:jc w:val="both"/>
        <w:rPr>
          <w:color w:val="auto"/>
        </w:rPr>
      </w:pPr>
      <w:r>
        <w:rPr>
          <w:bCs/>
          <w:color w:val="auto"/>
        </w:rPr>
        <w:t xml:space="preserve">Sekojot Eiropadomes uzaicinājumam un ņemot vērā notiekošo NEKP izstrādi, 2019. gada 24. septembra Padomē </w:t>
      </w:r>
      <w:r w:rsidR="00077EB4">
        <w:rPr>
          <w:bCs/>
          <w:color w:val="auto"/>
        </w:rPr>
        <w:t>e</w:t>
      </w:r>
      <w:r>
        <w:rPr>
          <w:bCs/>
          <w:color w:val="auto"/>
        </w:rPr>
        <w:t xml:space="preserve">nerģētikas ministri tiek aicināti apspriest, kā </w:t>
      </w:r>
      <w:r w:rsidRPr="0004702B">
        <w:rPr>
          <w:bCs/>
          <w:color w:val="auto"/>
        </w:rPr>
        <w:t>to attiecīgās dalībvalstis cenšas panākt klimatneitralitāti, jo īpaši enerģētikas nozarē.</w:t>
      </w:r>
      <w:r>
        <w:rPr>
          <w:bCs/>
          <w:color w:val="auto"/>
        </w:rPr>
        <w:t xml:space="preserve"> Ministri tiek aicināti gan apspriest nepieciešamās izmaiņas, gan dalīties savas valsts izmantotajās praksēs un pieredzē, lai Komisijai radītu vispārēju priekštatu par iespējām </w:t>
      </w:r>
      <w:r w:rsidR="00077EB4">
        <w:rPr>
          <w:bCs/>
          <w:color w:val="auto"/>
        </w:rPr>
        <w:t>e</w:t>
      </w:r>
      <w:r>
        <w:rPr>
          <w:bCs/>
          <w:color w:val="auto"/>
        </w:rPr>
        <w:t xml:space="preserve">nerģētikas nozarē. </w:t>
      </w:r>
    </w:p>
    <w:p w:rsidR="00E021F4" w:rsidP="00FB7FC0" w:rsidRDefault="00E021F4" w14:paraId="6382E7B5" w14:textId="77777777">
      <w:pPr>
        <w:pStyle w:val="Default"/>
        <w:spacing w:after="120"/>
        <w:ind w:firstLine="720"/>
        <w:jc w:val="both"/>
        <w:rPr>
          <w:b/>
          <w:color w:val="auto"/>
        </w:rPr>
      </w:pPr>
    </w:p>
    <w:p w:rsidR="00895278" w:rsidP="00FB7FC0" w:rsidRDefault="00895278" w14:paraId="2FFFED23" w14:textId="77777777">
      <w:pPr>
        <w:pStyle w:val="Default"/>
        <w:spacing w:after="120"/>
        <w:ind w:firstLine="720"/>
        <w:jc w:val="both"/>
        <w:rPr>
          <w:b/>
          <w:color w:val="auto"/>
        </w:rPr>
      </w:pPr>
      <w:r w:rsidRPr="00895278">
        <w:rPr>
          <w:b/>
          <w:color w:val="auto"/>
        </w:rPr>
        <w:t>Latvijas nostāja:</w:t>
      </w:r>
    </w:p>
    <w:p w:rsidRPr="008973A9" w:rsidR="008973A9" w:rsidP="008973A9" w:rsidRDefault="008973A9" w14:paraId="08391E27" w14:textId="77777777">
      <w:pPr>
        <w:pStyle w:val="Default"/>
        <w:spacing w:after="120"/>
        <w:jc w:val="both"/>
        <w:rPr>
          <w:bCs/>
          <w:color w:val="auto"/>
        </w:rPr>
      </w:pPr>
      <w:r>
        <w:rPr>
          <w:bCs/>
          <w:color w:val="auto"/>
        </w:rPr>
        <w:t xml:space="preserve">Latvija atbalsta </w:t>
      </w:r>
      <w:r w:rsidRPr="008973A9">
        <w:rPr>
          <w:bCs/>
          <w:color w:val="auto"/>
        </w:rPr>
        <w:t xml:space="preserve">ES </w:t>
      </w:r>
      <w:r>
        <w:rPr>
          <w:bCs/>
          <w:color w:val="auto"/>
        </w:rPr>
        <w:t xml:space="preserve">noteikt </w:t>
      </w:r>
      <w:r w:rsidRPr="008973A9">
        <w:rPr>
          <w:bCs/>
          <w:color w:val="auto"/>
        </w:rPr>
        <w:t xml:space="preserve">mērķi līdz 2050. gadam kļūt par vienu no pirmajām, kas sasniedz </w:t>
      </w:r>
      <w:r>
        <w:rPr>
          <w:bCs/>
          <w:color w:val="auto"/>
        </w:rPr>
        <w:t>siltumnīcefekta gāzu</w:t>
      </w:r>
      <w:r w:rsidRPr="008973A9">
        <w:rPr>
          <w:bCs/>
          <w:color w:val="auto"/>
        </w:rPr>
        <w:t xml:space="preserve"> emisiju neto nulles līmeni jeb klimatneitralitāti, intensificējot un paplašinot rīcību klimata pārmaiņu ierobežošanā, vienlaikus sniedzot ieguldījumu gan globālo klimata pārmaiņu mazināšanā, gan ES ekonomikas modernizācijas un konkurētspējas palielināšanā.</w:t>
      </w:r>
    </w:p>
    <w:p w:rsidRPr="008973A9" w:rsidR="008973A9" w:rsidP="008973A9" w:rsidRDefault="008973A9" w14:paraId="124667C2" w14:textId="77777777">
      <w:pPr>
        <w:pStyle w:val="Default"/>
        <w:spacing w:after="120"/>
        <w:jc w:val="both"/>
        <w:rPr>
          <w:bCs/>
          <w:color w:val="auto"/>
        </w:rPr>
      </w:pPr>
      <w:r w:rsidRPr="008973A9">
        <w:rPr>
          <w:bCs/>
          <w:color w:val="auto"/>
        </w:rPr>
        <w:t xml:space="preserve">Latvija piekrīt, ka ambiciozu ilgtermiņa mērķu sasniegšanā liela loma būs veicinošai videi, t.sk. finanšu sektora ilgtspējīgumam, pētniecībai un inovācijām, kā arī sabiedrības iesaistei un sociālajām transformācijām. </w:t>
      </w:r>
    </w:p>
    <w:p w:rsidR="008973A9" w:rsidP="008973A9" w:rsidRDefault="008973A9" w14:paraId="320729AF" w14:textId="77777777">
      <w:pPr>
        <w:pStyle w:val="Default"/>
        <w:spacing w:after="120"/>
        <w:jc w:val="both"/>
        <w:rPr>
          <w:bCs/>
          <w:color w:val="auto"/>
        </w:rPr>
      </w:pPr>
      <w:r w:rsidRPr="008973A9">
        <w:rPr>
          <w:bCs/>
          <w:color w:val="auto"/>
        </w:rPr>
        <w:t>Latvija uzskata, ka pāreja uz klimatneitralitāti sniegs jaunus ekonomiskos stimulus un iespējas arī Latvijas iedzīvotājiem un ekonomikai,  tostarp radīs  jaunas darba vietas, stimulēs inovatīvu mazemisiju tehnoloģiju un energoefektīvu risinājumu radīšanu un efektīvāko tirgū pieejamo tehnoloģiju ieviešanu. Tāpat pētniecības un inovāciju sistēmas attīstība   veicinās jaunu kompetenču, tehnoloģiju un augstākas pievienotās vērtības produktu un pakalpojumu attīstību un sekmēs Latvijas uzņēmumu eksportspēju  veicinot Latvijas un ES konkurētspēju un sadarbību starptautiskā mērogā.</w:t>
      </w:r>
    </w:p>
    <w:p w:rsidRPr="00AA457E" w:rsidR="00EB706B" w:rsidP="00EB706B" w:rsidRDefault="00EB706B" w14:paraId="57D6FEDB" w14:textId="68B8E788">
      <w:pPr>
        <w:pStyle w:val="Default"/>
        <w:spacing w:after="120"/>
        <w:jc w:val="both"/>
        <w:rPr>
          <w:bCs/>
          <w:color w:val="auto"/>
        </w:rPr>
      </w:pPr>
      <w:r w:rsidRPr="00AA457E">
        <w:rPr>
          <w:bCs/>
          <w:color w:val="auto"/>
        </w:rPr>
        <w:t>Attiecībā uz enerģētikas sektora virzību uz klimatneitralitāti, jāņem vērā, ka 10 gadu laikā ir ļoti grūti pilnībā dekarbonizēt enerģ</w:t>
      </w:r>
      <w:r w:rsidR="00F72A4A">
        <w:rPr>
          <w:bCs/>
          <w:color w:val="auto"/>
        </w:rPr>
        <w:t>ētikas</w:t>
      </w:r>
      <w:r w:rsidRPr="00AA457E">
        <w:rPr>
          <w:bCs/>
          <w:color w:val="auto"/>
        </w:rPr>
        <w:t xml:space="preserve"> un transporta nozari un līdz minimumam samazināt resursu patēriņu. Lai virzītos uz klimatneitralitāti, laikā līdz 2030.gadam ir jāstrādā pie izmantotā kurināmā un produktu emisijas intensitātes samazināšanas.</w:t>
      </w:r>
    </w:p>
    <w:p w:rsidRPr="00AA457E" w:rsidR="00EB706B" w:rsidP="00EB706B" w:rsidRDefault="00EB706B" w14:paraId="6DFC010E" w14:textId="18973AA1">
      <w:pPr>
        <w:pStyle w:val="Default"/>
        <w:spacing w:after="120"/>
        <w:jc w:val="both"/>
        <w:rPr>
          <w:bCs/>
          <w:color w:val="auto"/>
        </w:rPr>
      </w:pPr>
      <w:r w:rsidRPr="00AA457E">
        <w:rPr>
          <w:bCs/>
          <w:color w:val="auto"/>
        </w:rPr>
        <w:t>Tāpēc Latvija savā Nacionālajā enerģētikas un klimata plānā ir paredzējusi vienlaicīgi samazināt fosilo energoresursu patēriņu un palielināt atjaunojamās un bezemisiju enerģijas patēriņu, kā arī efektīvi dažādot izmantojamos resursus un tehnoloģijas.</w:t>
      </w:r>
    </w:p>
    <w:p w:rsidR="00A42165" w:rsidP="00A42165" w:rsidRDefault="00EB706B" w14:paraId="4112FCEB" w14:textId="77777777">
      <w:pPr>
        <w:pStyle w:val="Default"/>
        <w:spacing w:after="120"/>
        <w:jc w:val="both"/>
        <w:rPr>
          <w:bCs/>
          <w:color w:val="auto"/>
        </w:rPr>
      </w:pPr>
      <w:r w:rsidRPr="00AA457E">
        <w:rPr>
          <w:bCs/>
          <w:color w:val="auto"/>
        </w:rPr>
        <w:lastRenderedPageBreak/>
        <w:t>Plāna pamatā ir princips - pēc iespējas samazināt visu veidu kurināmo patēriņu, bet kur kurināmie ir jālieto – pēc iespējas pāriet no fosilā kurināmā uz dažādu bezemisiju atjaunojamiem resursiem. Un šis princips ir jānodrošina rentabli, uzticami un droši, lai nodrošinātu Latvijas ekonomikas konkurētspēju un ilgtspējību.</w:t>
      </w:r>
    </w:p>
    <w:p w:rsidR="008973A9" w:rsidP="00A42165" w:rsidRDefault="00D32C2F" w14:paraId="107D8ADB" w14:textId="77777777">
      <w:pPr>
        <w:pStyle w:val="Default"/>
        <w:spacing w:after="120"/>
        <w:jc w:val="both"/>
      </w:pPr>
      <w:r>
        <w:t>L</w:t>
      </w:r>
      <w:r w:rsidRPr="00A42165" w:rsidR="000E6B36">
        <w:rPr>
          <w:color w:val="000000" w:themeColor="text1"/>
        </w:rPr>
        <w:t xml:space="preserve">ai īstenotu Komisijas piedāvātos scenārijus saistībā ar klimatneitralitātes sasniegšanu 2050. gadā, izšķiroša nozīme būs energoefektivitātes palielināšanas pasākumu īstenošanai, mājokļu un dzīvojamo ēku kvalitātes uzlabošanas un renovācijas apjomu palielināšanas jomās. </w:t>
      </w:r>
    </w:p>
    <w:p w:rsidR="000E6B36" w:rsidP="00A42165" w:rsidRDefault="000E6B36" w14:paraId="3B44B1F9" w14:textId="77777777">
      <w:pPr>
        <w:pStyle w:val="Default"/>
        <w:spacing w:after="120"/>
        <w:jc w:val="both"/>
        <w:rPr>
          <w:rFonts w:asciiTheme="majorBidi" w:hAnsiTheme="majorBidi" w:cstheme="majorBidi"/>
          <w:color w:val="000000" w:themeColor="text1"/>
        </w:rPr>
      </w:pPr>
      <w:r w:rsidRPr="002D2A3C">
        <w:rPr>
          <w:rFonts w:asciiTheme="majorBidi" w:hAnsiTheme="majorBidi" w:cstheme="majorBidi"/>
          <w:color w:val="000000" w:themeColor="text1"/>
        </w:rPr>
        <w:t>Latvija atbalsta virzību uz ES izmantotās enerģijas dekarbonizāciju un būtiski, lai turpmāk attīstās un tirgū par atbilstošām izmaksām ir pieejamas attiecīgas tehnoloģijas.</w:t>
      </w:r>
      <w:r w:rsidR="00A42165">
        <w:rPr>
          <w:rFonts w:asciiTheme="majorBidi" w:hAnsiTheme="majorBidi" w:cstheme="majorBidi"/>
          <w:color w:val="000000" w:themeColor="text1"/>
        </w:rPr>
        <w:t xml:space="preserve"> Vienlaikus </w:t>
      </w:r>
      <w:r>
        <w:rPr>
          <w:rFonts w:asciiTheme="majorBidi" w:hAnsiTheme="majorBidi" w:cstheme="majorBidi"/>
          <w:color w:val="000000" w:themeColor="text1"/>
        </w:rPr>
        <w:t>galvenā</w:t>
      </w:r>
      <w:r w:rsidRPr="00DA0820">
        <w:rPr>
          <w:rFonts w:asciiTheme="majorBidi" w:hAnsiTheme="majorBidi" w:cstheme="majorBidi"/>
          <w:color w:val="000000" w:themeColor="text1"/>
        </w:rPr>
        <w:t xml:space="preserve"> uzmanība jāpievērš pārveidojošiem oglekļneitrāliem risinājumiem tādās jomās kā elektrifikācija (atjaunojamie energoresursi, viedie tīkli un akumulatoru enerģija), ūdeņradis un kurināmā elementi, enerģijas uzkrāšana, oglekļneitrāla energoietilpīgo nozaru pārveidošana</w:t>
      </w:r>
      <w:r>
        <w:rPr>
          <w:rFonts w:asciiTheme="majorBidi" w:hAnsiTheme="majorBidi" w:cstheme="majorBidi"/>
          <w:color w:val="000000" w:themeColor="text1"/>
        </w:rPr>
        <w:t>.</w:t>
      </w:r>
      <w:r w:rsidR="00A42165">
        <w:rPr>
          <w:rFonts w:asciiTheme="majorBidi" w:hAnsiTheme="majorBidi" w:cstheme="majorBidi"/>
          <w:color w:val="000000" w:themeColor="text1"/>
        </w:rPr>
        <w:t xml:space="preserve"> </w:t>
      </w:r>
      <w:r w:rsidR="008973A9">
        <w:rPr>
          <w:rFonts w:asciiTheme="majorBidi" w:hAnsiTheme="majorBidi" w:cstheme="majorBidi"/>
          <w:color w:val="000000" w:themeColor="text1"/>
        </w:rPr>
        <w:t>B</w:t>
      </w:r>
      <w:r w:rsidRPr="002D2A3C" w:rsidR="00A42165">
        <w:rPr>
          <w:rFonts w:asciiTheme="majorBidi" w:hAnsiTheme="majorBidi" w:cstheme="majorBidi"/>
          <w:color w:val="000000" w:themeColor="text1"/>
        </w:rPr>
        <w:t xml:space="preserve">ūtisks </w:t>
      </w:r>
      <w:r w:rsidR="00A42165">
        <w:rPr>
          <w:rFonts w:asciiTheme="majorBidi" w:hAnsiTheme="majorBidi" w:cstheme="majorBidi"/>
          <w:color w:val="000000" w:themeColor="text1"/>
        </w:rPr>
        <w:t xml:space="preserve">ir </w:t>
      </w:r>
      <w:r w:rsidRPr="002D2A3C">
        <w:rPr>
          <w:rFonts w:asciiTheme="majorBidi" w:hAnsiTheme="majorBidi" w:cstheme="majorBidi"/>
          <w:color w:val="000000" w:themeColor="text1"/>
        </w:rPr>
        <w:t>“energoefektivitāte pirmajā vietā” princips</w:t>
      </w:r>
      <w:r w:rsidR="00A42165">
        <w:rPr>
          <w:rFonts w:asciiTheme="majorBidi" w:hAnsiTheme="majorBidi" w:cstheme="majorBidi"/>
          <w:color w:val="000000" w:themeColor="text1"/>
        </w:rPr>
        <w:t>, kas</w:t>
      </w:r>
      <w:r w:rsidRPr="002D2A3C">
        <w:rPr>
          <w:rFonts w:asciiTheme="majorBidi" w:hAnsiTheme="majorBidi" w:cstheme="majorBidi"/>
          <w:color w:val="000000" w:themeColor="text1"/>
        </w:rPr>
        <w:t xml:space="preserve"> jāievēro politikas plānošanā un ieviešanā, kā arī investīciju piešķiršanā enerģētikas nozarē. </w:t>
      </w:r>
    </w:p>
    <w:p w:rsidR="00776441" w:rsidP="00FB7FC0" w:rsidRDefault="00776441" w14:paraId="556C830F" w14:textId="77777777">
      <w:pPr>
        <w:pStyle w:val="Default"/>
        <w:spacing w:after="120"/>
        <w:ind w:firstLine="720"/>
        <w:jc w:val="both"/>
        <w:rPr>
          <w:b/>
          <w:color w:val="auto"/>
        </w:rPr>
      </w:pPr>
    </w:p>
    <w:p w:rsidRPr="00776441" w:rsidR="00793164" w:rsidP="00793164" w:rsidRDefault="00793164" w14:paraId="3EECBBFA" w14:textId="1730AFB1">
      <w:pPr>
        <w:pStyle w:val="DashEqual1"/>
        <w:keepNext/>
        <w:keepLines/>
        <w:numPr>
          <w:ilvl w:val="0"/>
          <w:numId w:val="9"/>
        </w:numPr>
        <w:tabs>
          <w:tab w:val="left" w:pos="720"/>
        </w:tabs>
        <w:rPr>
          <w:iCs/>
          <w:lang w:val="lv-LV"/>
        </w:rPr>
      </w:pPr>
      <w:r>
        <w:rPr>
          <w:b/>
          <w:lang w:val="lv-LV"/>
        </w:rPr>
        <w:t>Pusdienu diskusija: I</w:t>
      </w:r>
      <w:r w:rsidRPr="001B68A9">
        <w:rPr>
          <w:b/>
          <w:lang w:val="lv-LV"/>
        </w:rPr>
        <w:t>novatīvas enerģijas tehnoloģijas klimatneitralitātes virzīšanā</w:t>
      </w:r>
      <w:r>
        <w:rPr>
          <w:b/>
          <w:lang w:val="lv-LV"/>
        </w:rPr>
        <w:t xml:space="preserve">. Piemēri no dalībvalstīm. </w:t>
      </w:r>
    </w:p>
    <w:p w:rsidR="00793164" w:rsidP="00793164" w:rsidRDefault="00793164" w14:paraId="42055CAD" w14:textId="77777777">
      <w:pPr>
        <w:pStyle w:val="Default"/>
        <w:jc w:val="both"/>
        <w:rPr>
          <w:iCs/>
        </w:rPr>
      </w:pPr>
      <w:r>
        <w:rPr>
          <w:iCs/>
        </w:rPr>
        <w:t xml:space="preserve">Ministri tiek aicināti apspriest veidus, kā inovācijas spētu veicināt ES mērķu sasniegšanu, daloties ar “labās prakses” piemēriem no savas valsts. </w:t>
      </w:r>
    </w:p>
    <w:p w:rsidR="00793164" w:rsidP="00793164" w:rsidRDefault="00793164" w14:paraId="62C13EAC" w14:textId="77777777">
      <w:pPr>
        <w:pStyle w:val="Default"/>
        <w:rPr>
          <w:iCs/>
        </w:rPr>
      </w:pPr>
    </w:p>
    <w:p w:rsidRPr="00FB481E" w:rsidR="00E2352F" w:rsidP="00EB385A" w:rsidRDefault="00793164" w14:paraId="2A8E46EB" w14:textId="77777777">
      <w:pPr>
        <w:pStyle w:val="Default"/>
        <w:spacing w:after="120"/>
        <w:ind w:firstLine="720"/>
        <w:jc w:val="both"/>
        <w:rPr>
          <w:b/>
          <w:color w:val="auto"/>
        </w:rPr>
      </w:pPr>
      <w:r w:rsidRPr="00895278">
        <w:rPr>
          <w:b/>
          <w:color w:val="auto"/>
        </w:rPr>
        <w:t>Latvijas nostāja:</w:t>
      </w:r>
      <w:r w:rsidR="00EB385A">
        <w:rPr>
          <w:b/>
          <w:color w:val="auto"/>
        </w:rPr>
        <w:t xml:space="preserve"> </w:t>
      </w:r>
    </w:p>
    <w:p w:rsidR="00EB706B" w:rsidP="003624DB" w:rsidRDefault="009E0105" w14:paraId="2F437792" w14:textId="761ED079">
      <w:pPr>
        <w:ind w:right="-57"/>
        <w:jc w:val="both"/>
        <w:rPr>
          <w:rFonts w:ascii="Times New Roman" w:hAnsi="Times New Roman" w:cs="Times New Roman"/>
          <w:iCs/>
          <w:sz w:val="24"/>
          <w:szCs w:val="24"/>
          <w:lang w:eastAsia="lv-LV"/>
        </w:rPr>
      </w:pPr>
      <w:r w:rsidRPr="00A300FD">
        <w:rPr>
          <w:rFonts w:ascii="Times New Roman" w:hAnsi="Times New Roman" w:cs="Times New Roman"/>
          <w:iCs/>
          <w:sz w:val="24"/>
          <w:szCs w:val="24"/>
          <w:lang w:eastAsia="lv-LV"/>
        </w:rPr>
        <w:t xml:space="preserve">Finansējums inovatīvu enerģijas tehnoloģiju atbalstam Latvijā </w:t>
      </w:r>
      <w:r w:rsidRPr="00A300FD" w:rsidR="003624DB">
        <w:rPr>
          <w:rFonts w:ascii="Times New Roman" w:hAnsi="Times New Roman" w:cs="Times New Roman"/>
          <w:iCs/>
          <w:sz w:val="24"/>
          <w:szCs w:val="24"/>
          <w:lang w:eastAsia="lv-LV"/>
        </w:rPr>
        <w:t xml:space="preserve">ir </w:t>
      </w:r>
      <w:r w:rsidR="00FA16ED">
        <w:rPr>
          <w:rFonts w:ascii="Times New Roman" w:hAnsi="Times New Roman" w:cs="Times New Roman"/>
          <w:iCs/>
          <w:sz w:val="24"/>
          <w:szCs w:val="24"/>
          <w:lang w:eastAsia="lv-LV"/>
        </w:rPr>
        <w:t xml:space="preserve">sniegts no vairākiem finansējuma avotiem, t.sk. </w:t>
      </w:r>
      <w:r w:rsidRPr="00A300FD" w:rsidR="003624DB">
        <w:rPr>
          <w:rFonts w:ascii="Times New Roman" w:hAnsi="Times New Roman" w:cs="Times New Roman"/>
          <w:iCs/>
          <w:sz w:val="24"/>
          <w:szCs w:val="24"/>
          <w:lang w:eastAsia="lv-LV"/>
        </w:rPr>
        <w:t xml:space="preserve"> </w:t>
      </w:r>
      <w:r w:rsidRPr="00FB481E" w:rsidR="00FA16ED">
        <w:rPr>
          <w:rFonts w:ascii="Times New Roman" w:hAnsi="Times New Roman" w:cs="Times New Roman"/>
          <w:iCs/>
          <w:color w:val="000000"/>
          <w:sz w:val="24"/>
          <w:szCs w:val="24"/>
          <w:lang w:eastAsia="lv-LV"/>
        </w:rPr>
        <w:t>Klimata pārmainu finanšu instrumenta (KPFI)</w:t>
      </w:r>
      <w:r w:rsidR="00FA16ED">
        <w:rPr>
          <w:rStyle w:val="FootnoteReference"/>
          <w:rFonts w:ascii="Times New Roman" w:hAnsi="Times New Roman"/>
          <w:iCs/>
          <w:color w:val="000000"/>
          <w:sz w:val="24"/>
          <w:szCs w:val="24"/>
          <w:lang w:eastAsia="lv-LV"/>
        </w:rPr>
        <w:footnoteReference w:id="5"/>
      </w:r>
      <w:r w:rsidR="00FA16ED">
        <w:rPr>
          <w:rFonts w:ascii="Times New Roman" w:hAnsi="Times New Roman" w:cs="Times New Roman"/>
          <w:iCs/>
          <w:color w:val="000000"/>
          <w:sz w:val="24"/>
          <w:szCs w:val="24"/>
          <w:lang w:eastAsia="lv-LV"/>
        </w:rPr>
        <w:t xml:space="preserve"> un Emisiju kvotu izsolīšanas instrumenta EKII)</w:t>
      </w:r>
      <w:r w:rsidR="00FA16ED">
        <w:rPr>
          <w:rStyle w:val="FootnoteReference"/>
          <w:rFonts w:ascii="Times New Roman" w:hAnsi="Times New Roman"/>
          <w:iCs/>
          <w:color w:val="000000"/>
          <w:sz w:val="24"/>
          <w:szCs w:val="24"/>
          <w:lang w:eastAsia="lv-LV"/>
        </w:rPr>
        <w:footnoteReference w:id="6"/>
      </w:r>
      <w:r w:rsidR="00FA16ED">
        <w:rPr>
          <w:rFonts w:ascii="Times New Roman" w:hAnsi="Times New Roman" w:cs="Times New Roman"/>
          <w:iCs/>
          <w:color w:val="000000"/>
          <w:sz w:val="24"/>
          <w:szCs w:val="24"/>
          <w:lang w:eastAsia="lv-LV"/>
        </w:rPr>
        <w:t xml:space="preserve"> ietvaros</w:t>
      </w:r>
      <w:r w:rsidRPr="00A300FD" w:rsidR="003624DB">
        <w:rPr>
          <w:rFonts w:ascii="Times New Roman" w:hAnsi="Times New Roman" w:cs="Times New Roman"/>
          <w:iCs/>
          <w:sz w:val="24"/>
          <w:szCs w:val="24"/>
          <w:lang w:eastAsia="lv-LV"/>
        </w:rPr>
        <w:t>.</w:t>
      </w:r>
      <w:r w:rsidRPr="00A300FD">
        <w:rPr>
          <w:rFonts w:ascii="Times New Roman" w:hAnsi="Times New Roman" w:cs="Times New Roman"/>
          <w:iCs/>
          <w:sz w:val="24"/>
          <w:szCs w:val="24"/>
          <w:lang w:eastAsia="lv-LV"/>
        </w:rPr>
        <w:t xml:space="preserve"> </w:t>
      </w:r>
    </w:p>
    <w:p w:rsidRPr="00473A9D" w:rsidR="003624DB" w:rsidP="003624DB" w:rsidRDefault="00FA16ED" w14:paraId="3CB1D77D" w14:textId="3C29B0F5">
      <w:pPr>
        <w:ind w:right="-57"/>
        <w:jc w:val="both"/>
        <w:rPr>
          <w:rFonts w:ascii="Times New Roman" w:hAnsi="Times New Roman" w:cs="Times New Roman"/>
          <w:iCs/>
          <w:color w:val="000000"/>
          <w:sz w:val="24"/>
          <w:szCs w:val="24"/>
          <w:lang w:eastAsia="lv-LV"/>
        </w:rPr>
      </w:pPr>
      <w:r w:rsidRPr="009265DE">
        <w:rPr>
          <w:iCs/>
          <w:lang w:eastAsia="lv-LV"/>
        </w:rPr>
        <w:t xml:space="preserve">KPFI </w:t>
      </w:r>
      <w:r w:rsidRPr="00FA16ED" w:rsidR="00F755B2">
        <w:rPr>
          <w:rFonts w:ascii="Times New Roman" w:hAnsi="Times New Roman" w:cs="Times New Roman"/>
          <w:iCs/>
          <w:color w:val="000000"/>
          <w:sz w:val="24"/>
          <w:szCs w:val="24"/>
          <w:lang w:eastAsia="lv-LV"/>
        </w:rPr>
        <w:t>ietvaros</w:t>
      </w:r>
      <w:r w:rsidR="00F755B2">
        <w:rPr>
          <w:rFonts w:ascii="Times New Roman" w:hAnsi="Times New Roman" w:cs="Times New Roman"/>
          <w:iCs/>
          <w:color w:val="000000"/>
          <w:sz w:val="24"/>
          <w:szCs w:val="24"/>
          <w:lang w:eastAsia="lv-LV"/>
        </w:rPr>
        <w:t xml:space="preserve"> </w:t>
      </w:r>
      <w:r w:rsidR="00AC3C85">
        <w:rPr>
          <w:rFonts w:ascii="Times New Roman" w:hAnsi="Times New Roman" w:cs="Times New Roman"/>
          <w:iCs/>
          <w:color w:val="000000"/>
          <w:sz w:val="24"/>
          <w:szCs w:val="24"/>
          <w:lang w:eastAsia="lv-LV"/>
        </w:rPr>
        <w:t xml:space="preserve">ir </w:t>
      </w:r>
      <w:r w:rsidR="00F755B2">
        <w:rPr>
          <w:rFonts w:ascii="Times New Roman" w:hAnsi="Times New Roman" w:cs="Times New Roman"/>
          <w:iCs/>
          <w:color w:val="000000"/>
          <w:sz w:val="24"/>
          <w:szCs w:val="24"/>
          <w:lang w:eastAsia="lv-LV"/>
        </w:rPr>
        <w:t xml:space="preserve">sniegts atbalsts projektiem </w:t>
      </w:r>
      <w:r w:rsidR="00F755B2">
        <w:rPr>
          <w:rFonts w:ascii="Times New Roman" w:hAnsi="Times New Roman" w:cs="Times New Roman"/>
          <w:iCs/>
          <w:color w:val="000000"/>
          <w:sz w:val="24"/>
          <w:szCs w:val="24"/>
        </w:rPr>
        <w:t>s</w:t>
      </w:r>
      <w:r w:rsidRPr="003A7A09" w:rsidR="00F755B2">
        <w:rPr>
          <w:rFonts w:ascii="Times New Roman" w:hAnsi="Times New Roman" w:cs="Times New Roman"/>
          <w:iCs/>
          <w:color w:val="000000"/>
          <w:sz w:val="24"/>
          <w:szCs w:val="24"/>
        </w:rPr>
        <w:t>iltumnīcefekta gāzu emisijas samazinošu tehnoloģiju attīstīšana</w:t>
      </w:r>
      <w:r w:rsidR="00F755B2">
        <w:rPr>
          <w:rFonts w:ascii="Times New Roman" w:hAnsi="Times New Roman" w:cs="Times New Roman"/>
          <w:iCs/>
          <w:color w:val="000000"/>
          <w:sz w:val="24"/>
          <w:szCs w:val="24"/>
        </w:rPr>
        <w:t>i</w:t>
      </w:r>
      <w:r w:rsidRPr="003A7A09" w:rsidR="00F755B2">
        <w:rPr>
          <w:rFonts w:ascii="Times New Roman" w:hAnsi="Times New Roman" w:cs="Times New Roman"/>
          <w:iCs/>
          <w:color w:val="000000"/>
          <w:sz w:val="24"/>
          <w:szCs w:val="24"/>
        </w:rPr>
        <w:t xml:space="preserve"> un pilotprojektu īstenošana</w:t>
      </w:r>
      <w:r w:rsidR="00F755B2">
        <w:rPr>
          <w:rFonts w:ascii="Times New Roman" w:hAnsi="Times New Roman" w:cs="Times New Roman"/>
          <w:iCs/>
          <w:color w:val="000000"/>
          <w:sz w:val="24"/>
          <w:szCs w:val="24"/>
        </w:rPr>
        <w:t xml:space="preserve">i  </w:t>
      </w:r>
      <w:r w:rsidRPr="009E0105" w:rsidR="003624DB">
        <w:rPr>
          <w:rFonts w:ascii="Times New Roman" w:hAnsi="Times New Roman" w:cs="Times New Roman"/>
          <w:iCs/>
          <w:color w:val="000000"/>
          <w:sz w:val="24"/>
          <w:szCs w:val="24"/>
          <w:lang w:eastAsia="lv-LV"/>
        </w:rPr>
        <w:t>tādās jomās</w:t>
      </w:r>
      <w:r w:rsidR="00026E93">
        <w:rPr>
          <w:rFonts w:ascii="Times New Roman" w:hAnsi="Times New Roman" w:cs="Times New Roman"/>
          <w:iCs/>
          <w:color w:val="000000"/>
          <w:sz w:val="24"/>
          <w:szCs w:val="24"/>
          <w:lang w:eastAsia="lv-LV"/>
        </w:rPr>
        <w:t xml:space="preserve">, kas saistītas ar </w:t>
      </w:r>
      <w:r w:rsidRPr="009E0105" w:rsidR="003624DB">
        <w:rPr>
          <w:rFonts w:ascii="Times New Roman" w:hAnsi="Times New Roman" w:cs="Times New Roman"/>
          <w:iCs/>
          <w:color w:val="000000"/>
          <w:sz w:val="24"/>
          <w:szCs w:val="24"/>
          <w:lang w:eastAsia="lv-LV"/>
        </w:rPr>
        <w:t>transport</w:t>
      </w:r>
      <w:r w:rsidR="00026E93">
        <w:rPr>
          <w:rFonts w:ascii="Times New Roman" w:hAnsi="Times New Roman" w:cs="Times New Roman"/>
          <w:iCs/>
          <w:color w:val="000000"/>
          <w:sz w:val="24"/>
          <w:szCs w:val="24"/>
          <w:lang w:eastAsia="lv-LV"/>
        </w:rPr>
        <w:t>u</w:t>
      </w:r>
      <w:r w:rsidRPr="009E0105" w:rsidR="003624DB">
        <w:rPr>
          <w:rFonts w:ascii="Times New Roman" w:hAnsi="Times New Roman" w:cs="Times New Roman"/>
          <w:iCs/>
          <w:color w:val="000000"/>
          <w:sz w:val="24"/>
          <w:szCs w:val="24"/>
          <w:lang w:eastAsia="lv-LV"/>
        </w:rPr>
        <w:t>, siltumapgād</w:t>
      </w:r>
      <w:r w:rsidR="00026E93">
        <w:rPr>
          <w:rFonts w:ascii="Times New Roman" w:hAnsi="Times New Roman" w:cs="Times New Roman"/>
          <w:iCs/>
          <w:color w:val="000000"/>
          <w:sz w:val="24"/>
          <w:szCs w:val="24"/>
          <w:lang w:eastAsia="lv-LV"/>
        </w:rPr>
        <w:t>i</w:t>
      </w:r>
      <w:r w:rsidRPr="009E0105" w:rsidR="003624DB">
        <w:rPr>
          <w:rFonts w:ascii="Times New Roman" w:hAnsi="Times New Roman" w:cs="Times New Roman"/>
          <w:iCs/>
          <w:color w:val="000000"/>
          <w:sz w:val="24"/>
          <w:szCs w:val="24"/>
          <w:lang w:eastAsia="lv-LV"/>
        </w:rPr>
        <w:t>, apstrādes rūpniecīb</w:t>
      </w:r>
      <w:r w:rsidR="00026E93">
        <w:rPr>
          <w:rFonts w:ascii="Times New Roman" w:hAnsi="Times New Roman" w:cs="Times New Roman"/>
          <w:iCs/>
          <w:color w:val="000000"/>
          <w:sz w:val="24"/>
          <w:szCs w:val="24"/>
          <w:lang w:eastAsia="lv-LV"/>
        </w:rPr>
        <w:t>u</w:t>
      </w:r>
      <w:r w:rsidRPr="009E0105" w:rsidR="003624DB">
        <w:rPr>
          <w:rFonts w:ascii="Times New Roman" w:hAnsi="Times New Roman" w:cs="Times New Roman"/>
          <w:iCs/>
          <w:color w:val="000000"/>
          <w:sz w:val="24"/>
          <w:szCs w:val="24"/>
          <w:lang w:eastAsia="lv-LV"/>
        </w:rPr>
        <w:t>, apgaismojuma infrastruktūr</w:t>
      </w:r>
      <w:r w:rsidR="00026E93">
        <w:rPr>
          <w:rFonts w:ascii="Times New Roman" w:hAnsi="Times New Roman" w:cs="Times New Roman"/>
          <w:iCs/>
          <w:color w:val="000000"/>
          <w:sz w:val="24"/>
          <w:szCs w:val="24"/>
          <w:lang w:eastAsia="lv-LV"/>
        </w:rPr>
        <w:t>u</w:t>
      </w:r>
      <w:r w:rsidRPr="009E0105" w:rsidR="003624DB">
        <w:rPr>
          <w:rFonts w:ascii="Times New Roman" w:hAnsi="Times New Roman" w:cs="Times New Roman"/>
          <w:iCs/>
          <w:color w:val="000000"/>
          <w:sz w:val="24"/>
          <w:szCs w:val="24"/>
          <w:lang w:eastAsia="lv-LV"/>
        </w:rPr>
        <w:t xml:space="preserve"> u.c.</w:t>
      </w:r>
    </w:p>
    <w:p w:rsidRPr="009E0105" w:rsidR="00F3216C" w:rsidP="00776441" w:rsidRDefault="00FA16ED" w14:paraId="074A96FB" w14:textId="5836E12F">
      <w:pPr>
        <w:ind w:right="-57"/>
        <w:jc w:val="both"/>
        <w:rPr>
          <w:rFonts w:ascii="Times New Roman" w:hAnsi="Times New Roman" w:cs="Times New Roman"/>
          <w:iCs/>
          <w:color w:val="000000"/>
          <w:sz w:val="24"/>
          <w:szCs w:val="24"/>
          <w:lang w:eastAsia="lv-LV"/>
        </w:rPr>
      </w:pPr>
      <w:r>
        <w:rPr>
          <w:rFonts w:ascii="Times New Roman" w:hAnsi="Times New Roman" w:cs="Times New Roman"/>
          <w:iCs/>
          <w:color w:val="000000"/>
          <w:sz w:val="24"/>
          <w:szCs w:val="24"/>
          <w:lang w:eastAsia="lv-LV"/>
        </w:rPr>
        <w:t xml:space="preserve">EKII </w:t>
      </w:r>
      <w:r w:rsidR="00026E93">
        <w:rPr>
          <w:rFonts w:ascii="Times New Roman" w:hAnsi="Times New Roman" w:cs="Times New Roman"/>
          <w:iCs/>
          <w:color w:val="000000"/>
          <w:sz w:val="24"/>
          <w:szCs w:val="24"/>
          <w:lang w:eastAsia="lv-LV"/>
        </w:rPr>
        <w:t xml:space="preserve">ietvaros </w:t>
      </w:r>
      <w:r w:rsidR="00AC3C85">
        <w:rPr>
          <w:rFonts w:ascii="Times New Roman" w:hAnsi="Times New Roman" w:cs="Times New Roman"/>
          <w:iCs/>
          <w:color w:val="000000"/>
          <w:sz w:val="24"/>
          <w:szCs w:val="24"/>
          <w:lang w:eastAsia="lv-LV"/>
        </w:rPr>
        <w:t>cau</w:t>
      </w:r>
      <w:r w:rsidR="003624DB">
        <w:rPr>
          <w:rFonts w:ascii="Times New Roman" w:hAnsi="Times New Roman" w:cs="Times New Roman"/>
          <w:iCs/>
          <w:color w:val="000000"/>
          <w:sz w:val="24"/>
          <w:szCs w:val="24"/>
          <w:lang w:eastAsia="lv-LV"/>
        </w:rPr>
        <w:t xml:space="preserve">r </w:t>
      </w:r>
      <w:r w:rsidR="00AC3C85">
        <w:rPr>
          <w:rFonts w:ascii="Times New Roman" w:hAnsi="Times New Roman" w:cs="Times New Roman"/>
          <w:iCs/>
          <w:color w:val="000000"/>
          <w:sz w:val="24"/>
          <w:szCs w:val="24"/>
          <w:lang w:eastAsia="lv-LV"/>
        </w:rPr>
        <w:t xml:space="preserve">atklātajiem </w:t>
      </w:r>
      <w:r w:rsidR="00026E93">
        <w:rPr>
          <w:rFonts w:ascii="Times New Roman" w:hAnsi="Times New Roman" w:cs="Times New Roman"/>
          <w:iCs/>
          <w:color w:val="000000"/>
          <w:sz w:val="24"/>
          <w:szCs w:val="24"/>
          <w:lang w:eastAsia="lv-LV"/>
        </w:rPr>
        <w:t>projektu konkursi</w:t>
      </w:r>
      <w:r w:rsidR="00AC3C85">
        <w:rPr>
          <w:rFonts w:ascii="Times New Roman" w:hAnsi="Times New Roman" w:cs="Times New Roman"/>
          <w:iCs/>
          <w:color w:val="000000"/>
          <w:sz w:val="24"/>
          <w:szCs w:val="24"/>
          <w:lang w:eastAsia="lv-LV"/>
        </w:rPr>
        <w:t>em</w:t>
      </w:r>
      <w:r w:rsidR="009D6953">
        <w:rPr>
          <w:rFonts w:ascii="Times New Roman" w:hAnsi="Times New Roman" w:cs="Times New Roman"/>
          <w:iCs/>
          <w:color w:val="000000"/>
          <w:sz w:val="24"/>
          <w:szCs w:val="24"/>
          <w:lang w:eastAsia="lv-LV"/>
        </w:rPr>
        <w:t xml:space="preserve"> snie</w:t>
      </w:r>
      <w:r w:rsidR="00AC3C85">
        <w:rPr>
          <w:rFonts w:ascii="Times New Roman" w:hAnsi="Times New Roman" w:cs="Times New Roman"/>
          <w:iCs/>
          <w:color w:val="000000"/>
          <w:sz w:val="24"/>
          <w:szCs w:val="24"/>
          <w:lang w:eastAsia="lv-LV"/>
        </w:rPr>
        <w:t xml:space="preserve">gts </w:t>
      </w:r>
      <w:r w:rsidR="003624DB">
        <w:rPr>
          <w:rFonts w:ascii="Times New Roman" w:hAnsi="Times New Roman" w:cs="Times New Roman"/>
          <w:iCs/>
          <w:color w:val="000000"/>
          <w:sz w:val="24"/>
          <w:szCs w:val="24"/>
          <w:lang w:eastAsia="lv-LV"/>
        </w:rPr>
        <w:t>atbalst</w:t>
      </w:r>
      <w:r w:rsidR="00AC3C85">
        <w:rPr>
          <w:rFonts w:ascii="Times New Roman" w:hAnsi="Times New Roman" w:cs="Times New Roman"/>
          <w:iCs/>
          <w:color w:val="000000"/>
          <w:sz w:val="24"/>
          <w:szCs w:val="24"/>
          <w:lang w:eastAsia="lv-LV"/>
        </w:rPr>
        <w:t>s</w:t>
      </w:r>
      <w:r w:rsidR="00684B62">
        <w:rPr>
          <w:rFonts w:ascii="Times New Roman" w:hAnsi="Times New Roman" w:cs="Times New Roman"/>
          <w:iCs/>
          <w:color w:val="000000"/>
          <w:sz w:val="24"/>
          <w:szCs w:val="24"/>
          <w:lang w:eastAsia="lv-LV"/>
        </w:rPr>
        <w:t xml:space="preserve"> ieguldījumiem</w:t>
      </w:r>
      <w:r w:rsidR="003624DB">
        <w:rPr>
          <w:rFonts w:ascii="Times New Roman" w:hAnsi="Times New Roman" w:cs="Times New Roman"/>
          <w:iCs/>
          <w:color w:val="000000"/>
          <w:sz w:val="24"/>
          <w:szCs w:val="24"/>
          <w:lang w:eastAsia="lv-LV"/>
        </w:rPr>
        <w:t xml:space="preserve"> </w:t>
      </w:r>
      <w:r w:rsidRPr="009E0105" w:rsidR="009E0105">
        <w:rPr>
          <w:rFonts w:ascii="Times New Roman" w:hAnsi="Times New Roman" w:cs="Times New Roman"/>
          <w:iCs/>
          <w:color w:val="000000"/>
          <w:sz w:val="24"/>
          <w:szCs w:val="24"/>
          <w:lang w:eastAsia="lv-LV"/>
        </w:rPr>
        <w:t>s</w:t>
      </w:r>
      <w:r w:rsidRPr="00BD05B1" w:rsidR="00576B96">
        <w:rPr>
          <w:rFonts w:ascii="Times New Roman" w:hAnsi="Times New Roman" w:cs="Times New Roman"/>
          <w:iCs/>
          <w:color w:val="000000"/>
          <w:sz w:val="24"/>
          <w:szCs w:val="24"/>
          <w:lang w:eastAsia="lv-LV"/>
        </w:rPr>
        <w:t>iltumnīcefekta gāzu emisiju samazināšana</w:t>
      </w:r>
      <w:r w:rsidRPr="009E0105" w:rsidR="009E0105">
        <w:rPr>
          <w:rFonts w:ascii="Times New Roman" w:hAnsi="Times New Roman" w:cs="Times New Roman"/>
          <w:iCs/>
          <w:color w:val="000000"/>
          <w:sz w:val="24"/>
          <w:szCs w:val="24"/>
          <w:lang w:eastAsia="lv-LV"/>
        </w:rPr>
        <w:t>i</w:t>
      </w:r>
      <w:r w:rsidRPr="00BD05B1" w:rsidR="00576B96">
        <w:rPr>
          <w:rFonts w:ascii="Times New Roman" w:hAnsi="Times New Roman" w:cs="Times New Roman"/>
          <w:iCs/>
          <w:color w:val="000000"/>
          <w:sz w:val="24"/>
          <w:szCs w:val="24"/>
          <w:lang w:eastAsia="lv-LV"/>
        </w:rPr>
        <w:t xml:space="preserve"> valsts nozīmes aizsargājamos arhitektūras pieminekļos</w:t>
      </w:r>
      <w:r w:rsidRPr="009E0105" w:rsidR="009E0105">
        <w:rPr>
          <w:rFonts w:ascii="Times New Roman" w:hAnsi="Times New Roman" w:cs="Times New Roman"/>
          <w:iCs/>
          <w:color w:val="000000"/>
          <w:sz w:val="24"/>
          <w:szCs w:val="24"/>
          <w:lang w:eastAsia="lv-LV"/>
        </w:rPr>
        <w:t xml:space="preserve">, </w:t>
      </w:r>
      <w:r w:rsidRPr="00BD05B1" w:rsidR="00576B96">
        <w:rPr>
          <w:rFonts w:ascii="Times New Roman" w:hAnsi="Times New Roman" w:cs="Times New Roman"/>
          <w:iCs/>
          <w:color w:val="000000"/>
          <w:sz w:val="24"/>
          <w:szCs w:val="24"/>
          <w:lang w:eastAsia="lv-LV"/>
        </w:rPr>
        <w:t>zema enerģijas patēriņa</w:t>
      </w:r>
      <w:r w:rsidR="00F3216C">
        <w:rPr>
          <w:rFonts w:ascii="Times New Roman" w:hAnsi="Times New Roman" w:cs="Times New Roman"/>
          <w:iCs/>
          <w:color w:val="000000"/>
          <w:sz w:val="24"/>
          <w:szCs w:val="24"/>
          <w:lang w:eastAsia="lv-LV"/>
        </w:rPr>
        <w:t xml:space="preserve"> ēkā</w:t>
      </w:r>
      <w:r w:rsidR="00F568FE">
        <w:rPr>
          <w:rFonts w:ascii="Times New Roman" w:hAnsi="Times New Roman" w:cs="Times New Roman"/>
          <w:iCs/>
          <w:color w:val="000000"/>
          <w:sz w:val="24"/>
          <w:szCs w:val="24"/>
          <w:lang w:eastAsia="lv-LV"/>
        </w:rPr>
        <w:t>s</w:t>
      </w:r>
      <w:r w:rsidRPr="009E0105" w:rsidR="009E0105">
        <w:rPr>
          <w:rFonts w:ascii="Times New Roman" w:hAnsi="Times New Roman" w:cs="Times New Roman"/>
          <w:iCs/>
          <w:color w:val="000000"/>
          <w:sz w:val="24"/>
          <w:szCs w:val="24"/>
          <w:lang w:eastAsia="lv-LV"/>
        </w:rPr>
        <w:t xml:space="preserve">, </w:t>
      </w:r>
      <w:r w:rsidRPr="00BD05B1" w:rsidR="00576B96">
        <w:rPr>
          <w:rFonts w:ascii="Times New Roman" w:hAnsi="Times New Roman" w:cs="Times New Roman"/>
          <w:iCs/>
          <w:color w:val="000000"/>
          <w:sz w:val="24"/>
          <w:szCs w:val="24"/>
          <w:lang w:eastAsia="lv-LV"/>
        </w:rPr>
        <w:t>viedajām pilsētvides tehnoloģijām</w:t>
      </w:r>
      <w:r w:rsidR="00026E93">
        <w:rPr>
          <w:rFonts w:ascii="Times New Roman" w:hAnsi="Times New Roman" w:cs="Times New Roman"/>
          <w:iCs/>
          <w:color w:val="000000"/>
          <w:sz w:val="24"/>
          <w:szCs w:val="24"/>
          <w:lang w:eastAsia="lv-LV"/>
        </w:rPr>
        <w:t xml:space="preserve"> un</w:t>
      </w:r>
      <w:r w:rsidRPr="009E0105" w:rsidR="009E0105">
        <w:rPr>
          <w:rFonts w:ascii="Times New Roman" w:hAnsi="Times New Roman" w:cs="Times New Roman"/>
          <w:iCs/>
          <w:color w:val="000000"/>
          <w:sz w:val="24"/>
          <w:szCs w:val="24"/>
          <w:lang w:eastAsia="lv-LV"/>
        </w:rPr>
        <w:t xml:space="preserve"> </w:t>
      </w:r>
      <w:r w:rsidRPr="00BD05B1" w:rsidR="00576B96">
        <w:rPr>
          <w:rFonts w:ascii="Times New Roman" w:hAnsi="Times New Roman" w:cs="Times New Roman"/>
          <w:iCs/>
          <w:color w:val="000000"/>
          <w:sz w:val="24"/>
          <w:szCs w:val="24"/>
          <w:lang w:eastAsia="lv-LV"/>
        </w:rPr>
        <w:t>enerģētiski pašpietiekamu ēku būvniecīb</w:t>
      </w:r>
      <w:r w:rsidRPr="009E0105" w:rsidR="009E0105">
        <w:rPr>
          <w:rFonts w:ascii="Times New Roman" w:hAnsi="Times New Roman" w:cs="Times New Roman"/>
          <w:iCs/>
          <w:color w:val="000000"/>
          <w:sz w:val="24"/>
          <w:szCs w:val="24"/>
          <w:lang w:eastAsia="lv-LV"/>
        </w:rPr>
        <w:t>ai</w:t>
      </w:r>
      <w:r w:rsidR="00BE68A6">
        <w:rPr>
          <w:rFonts w:ascii="Times New Roman" w:hAnsi="Times New Roman" w:cs="Times New Roman"/>
          <w:iCs/>
          <w:color w:val="000000"/>
          <w:sz w:val="24"/>
          <w:szCs w:val="24"/>
          <w:lang w:eastAsia="lv-LV"/>
        </w:rPr>
        <w:t xml:space="preserve">, potenciāli nodrošinot netiešo </w:t>
      </w:r>
      <w:r w:rsidR="00BE68A6">
        <w:rPr>
          <w:rFonts w:ascii="Times New Roman" w:hAnsi="Times New Roman" w:cs="Times New Roman"/>
          <w:sz w:val="24"/>
          <w:szCs w:val="24"/>
        </w:rPr>
        <w:t>siltumnīcefekta gāzu</w:t>
      </w:r>
      <w:r w:rsidRPr="0062797B" w:rsidR="00BE68A6">
        <w:rPr>
          <w:rFonts w:ascii="Times New Roman" w:hAnsi="Times New Roman" w:cs="Times New Roman"/>
          <w:sz w:val="24"/>
          <w:szCs w:val="24"/>
        </w:rPr>
        <w:t xml:space="preserve"> emisiju samazinājumu veicināšanu, kas iespējami nākotnē dēļ projektu demonstrācijas, inovācijas un multiplikatīvā efekta</w:t>
      </w:r>
      <w:r w:rsidR="00F568FE">
        <w:rPr>
          <w:rFonts w:ascii="Times New Roman" w:hAnsi="Times New Roman" w:cs="Times New Roman"/>
          <w:iCs/>
          <w:color w:val="000000"/>
          <w:sz w:val="24"/>
          <w:szCs w:val="24"/>
          <w:lang w:eastAsia="lv-LV"/>
        </w:rPr>
        <w:t>.</w:t>
      </w:r>
      <w:r w:rsidR="00AC3C85">
        <w:rPr>
          <w:rFonts w:ascii="Times New Roman" w:hAnsi="Times New Roman" w:cs="Times New Roman"/>
          <w:iCs/>
          <w:color w:val="000000"/>
          <w:sz w:val="24"/>
          <w:szCs w:val="24"/>
          <w:lang w:eastAsia="lv-LV"/>
        </w:rPr>
        <w:t xml:space="preserve"> </w:t>
      </w:r>
    </w:p>
    <w:p w:rsidRPr="005C5951" w:rsidR="00817D8C" w:rsidP="00393B99" w:rsidRDefault="00793164" w14:paraId="1758BF91" w14:textId="77777777">
      <w:pPr>
        <w:pStyle w:val="DashEqual1"/>
        <w:keepNext/>
        <w:keepLines/>
        <w:numPr>
          <w:ilvl w:val="0"/>
          <w:numId w:val="0"/>
        </w:numPr>
        <w:tabs>
          <w:tab w:val="left" w:pos="720"/>
        </w:tabs>
        <w:rPr>
          <w:b/>
          <w:lang w:val="lv-LV"/>
        </w:rPr>
      </w:pPr>
      <w:r>
        <w:rPr>
          <w:b/>
          <w:lang w:val="lv-LV"/>
        </w:rPr>
        <w:t>4</w:t>
      </w:r>
      <w:r w:rsidR="00BA0E41">
        <w:rPr>
          <w:b/>
          <w:lang w:val="lv-LV"/>
        </w:rPr>
        <w:t xml:space="preserve">. </w:t>
      </w:r>
      <w:r w:rsidR="00817D8C">
        <w:rPr>
          <w:b/>
          <w:lang w:val="lv-LV"/>
        </w:rPr>
        <w:t>Citi jautājumi:</w:t>
      </w:r>
    </w:p>
    <w:p w:rsidR="002B3CD1" w:rsidP="00793164" w:rsidRDefault="00793164" w14:paraId="42B9EE39" w14:textId="77777777">
      <w:pPr>
        <w:pStyle w:val="DashEqual1"/>
        <w:keepNext/>
        <w:keepLines/>
        <w:numPr>
          <w:ilvl w:val="0"/>
          <w:numId w:val="0"/>
        </w:numPr>
        <w:tabs>
          <w:tab w:val="left" w:pos="720"/>
        </w:tabs>
        <w:ind w:left="360"/>
        <w:rPr>
          <w:b/>
          <w:lang w:val="lv-LV"/>
        </w:rPr>
      </w:pPr>
      <w:r>
        <w:rPr>
          <w:b/>
          <w:lang w:val="lv-LV"/>
        </w:rPr>
        <w:t>4.1.</w:t>
      </w:r>
      <w:r w:rsidRPr="00A55C29" w:rsidR="003645C6">
        <w:rPr>
          <w:b/>
          <w:lang w:val="lv-LV"/>
        </w:rPr>
        <w:t xml:space="preserve"> </w:t>
      </w:r>
      <w:r w:rsidRPr="002B3CD1" w:rsidR="002B3CD1">
        <w:rPr>
          <w:b/>
          <w:lang w:val="lv-LV"/>
        </w:rPr>
        <w:t>ES gāzes piegādes drošība pirms 2019.–2020.gada ziemas</w:t>
      </w:r>
      <w:r w:rsidR="002B3CD1">
        <w:rPr>
          <w:b/>
          <w:lang w:val="lv-LV"/>
        </w:rPr>
        <w:t xml:space="preserve"> - </w:t>
      </w:r>
    </w:p>
    <w:p w:rsidRPr="002B3CD1" w:rsidR="002B3CD1" w:rsidP="004B55E6" w:rsidRDefault="002B3CD1" w14:paraId="71F4E4A9" w14:textId="77777777">
      <w:pPr>
        <w:pStyle w:val="DashEqual1"/>
        <w:keepNext/>
        <w:keepLines/>
        <w:numPr>
          <w:ilvl w:val="0"/>
          <w:numId w:val="0"/>
        </w:numPr>
        <w:tabs>
          <w:tab w:val="left" w:pos="720"/>
        </w:tabs>
        <w:ind w:left="360"/>
        <w:rPr>
          <w:bCs/>
          <w:i/>
          <w:iCs/>
          <w:lang w:val="lv-LV"/>
        </w:rPr>
      </w:pPr>
      <w:r w:rsidRPr="002B3CD1">
        <w:rPr>
          <w:bCs/>
          <w:i/>
          <w:iCs/>
          <w:lang w:val="lv-LV"/>
        </w:rPr>
        <w:t>Komisijas sniegta informācija</w:t>
      </w:r>
    </w:p>
    <w:p w:rsidRPr="00371A06" w:rsidR="00371A06" w:rsidP="002B3CD1" w:rsidRDefault="002B3CD1" w14:paraId="5AF50D12" w14:textId="77777777">
      <w:pPr>
        <w:pStyle w:val="DashEqual1"/>
        <w:keepNext/>
        <w:keepLines/>
        <w:numPr>
          <w:ilvl w:val="1"/>
          <w:numId w:val="12"/>
        </w:numPr>
        <w:tabs>
          <w:tab w:val="left" w:pos="720"/>
        </w:tabs>
        <w:rPr>
          <w:b/>
          <w:iCs/>
        </w:rPr>
      </w:pPr>
      <w:r>
        <w:rPr>
          <w:b/>
          <w:iCs/>
        </w:rPr>
        <w:t xml:space="preserve"> Ūdeņraža iniciatīva </w:t>
      </w:r>
      <w:r w:rsidRPr="00C4792E">
        <w:rPr>
          <w:b/>
          <w:i/>
        </w:rPr>
        <w:t>(The Hydrogen Initiative)</w:t>
      </w:r>
      <w:r w:rsidR="00371A06">
        <w:rPr>
          <w:b/>
          <w:i/>
        </w:rPr>
        <w:t xml:space="preserve"> –</w:t>
      </w:r>
    </w:p>
    <w:p w:rsidR="002B3CD1" w:rsidP="00371A06" w:rsidRDefault="00371A06" w14:paraId="0603581D" w14:textId="77777777">
      <w:pPr>
        <w:pStyle w:val="DashEqual1"/>
        <w:keepNext/>
        <w:keepLines/>
        <w:numPr>
          <w:ilvl w:val="0"/>
          <w:numId w:val="0"/>
        </w:numPr>
        <w:tabs>
          <w:tab w:val="left" w:pos="720"/>
        </w:tabs>
        <w:ind w:left="360"/>
        <w:rPr>
          <w:bCs/>
          <w:i/>
        </w:rPr>
      </w:pPr>
      <w:r w:rsidRPr="00371A06">
        <w:rPr>
          <w:bCs/>
          <w:i/>
        </w:rPr>
        <w:t xml:space="preserve">Austrijas delegācijas sniegta informācija </w:t>
      </w:r>
    </w:p>
    <w:p w:rsidR="002B3CD1" w:rsidP="002B3CD1" w:rsidRDefault="002B3CD1" w14:paraId="49580B94" w14:textId="77777777">
      <w:pPr>
        <w:pStyle w:val="Default"/>
        <w:jc w:val="both"/>
        <w:rPr>
          <w:iCs/>
        </w:rPr>
      </w:pPr>
      <w:r>
        <w:rPr>
          <w:bCs/>
          <w:iCs/>
        </w:rPr>
        <w:t xml:space="preserve">Ūdeņradim var būt liela nozīme enerģijas sistēmas dekarbonizēšanā, potenciāli ļaujot samazināt atkarību no enerģijas importa un stiprinot rūpniecības konkurētspēju Eiropā. </w:t>
      </w:r>
      <w:r>
        <w:rPr>
          <w:iCs/>
        </w:rPr>
        <w:t xml:space="preserve">Lai </w:t>
      </w:r>
      <w:r>
        <w:rPr>
          <w:iCs/>
        </w:rPr>
        <w:lastRenderedPageBreak/>
        <w:t xml:space="preserve">attīstītu </w:t>
      </w:r>
      <w:r w:rsidRPr="00423543">
        <w:rPr>
          <w:iCs/>
        </w:rPr>
        <w:t xml:space="preserve">ūdeņraža </w:t>
      </w:r>
      <w:r>
        <w:rPr>
          <w:iCs/>
        </w:rPr>
        <w:t xml:space="preserve">kā atjaunojamā energoresursa </w:t>
      </w:r>
      <w:r w:rsidRPr="00423543">
        <w:rPr>
          <w:iCs/>
        </w:rPr>
        <w:t>tehnoloģij</w:t>
      </w:r>
      <w:r>
        <w:rPr>
          <w:iCs/>
        </w:rPr>
        <w:t>u</w:t>
      </w:r>
      <w:r w:rsidRPr="00423543">
        <w:rPr>
          <w:iCs/>
        </w:rPr>
        <w:t xml:space="preserve"> potenciālu, iekšējā enerģijas tirgū ir vajadzīga turpmāka sadarbība starp dalībvalstīm, kā arī starp privāto un valsts sektoru.</w:t>
      </w:r>
      <w:r>
        <w:rPr>
          <w:iCs/>
        </w:rPr>
        <w:t xml:space="preserve"> Šī iemesla dēļ Austrijas prezidentūras laikā dalībvalstis tika aicinātas neformālās Enerģētikas ministru padomes laikā 2018. gada 18. septembrī parakstīt “Ūdeņraža iniciatīvu” (</w:t>
      </w:r>
      <w:r w:rsidRPr="00423543">
        <w:rPr>
          <w:i/>
        </w:rPr>
        <w:t>The Hydrogen Initiative</w:t>
      </w:r>
      <w:r>
        <w:rPr>
          <w:iCs/>
        </w:rPr>
        <w:t xml:space="preserve">). Šobrīd atbalstu Ūdeņraža iniciatīvai ir izteikušas jau 27 dalībvalstis (Lielbritānija nav pievienojusies), divas Eiropas Brīvās tirdzniecības asociācijas valstis, Komisija, kā arī aptuveni 100 uzņēmumi, organizācijas un institūcijas. </w:t>
      </w:r>
    </w:p>
    <w:p w:rsidR="002B3CD1" w:rsidP="002B3CD1" w:rsidRDefault="002B3CD1" w14:paraId="51C10BB3" w14:textId="77777777">
      <w:pPr>
        <w:pStyle w:val="DashEqual1"/>
        <w:keepNext/>
        <w:keepLines/>
        <w:numPr>
          <w:ilvl w:val="0"/>
          <w:numId w:val="0"/>
        </w:numPr>
        <w:tabs>
          <w:tab w:val="left" w:pos="720"/>
        </w:tabs>
        <w:rPr>
          <w:bCs/>
          <w:iCs/>
          <w:lang w:val="lv-LV"/>
        </w:rPr>
      </w:pPr>
    </w:p>
    <w:p w:rsidRPr="007A3432" w:rsidR="002B3CD1" w:rsidP="002B3CD1" w:rsidRDefault="002B3CD1" w14:paraId="75EAB12F" w14:textId="77777777">
      <w:pPr>
        <w:pStyle w:val="Default"/>
        <w:spacing w:after="120"/>
        <w:ind w:firstLine="720"/>
        <w:jc w:val="both"/>
        <w:rPr>
          <w:b/>
          <w:color w:val="auto"/>
        </w:rPr>
      </w:pPr>
      <w:r w:rsidRPr="00895278">
        <w:rPr>
          <w:b/>
          <w:color w:val="auto"/>
        </w:rPr>
        <w:t>Latvijas nostāja:</w:t>
      </w:r>
    </w:p>
    <w:p w:rsidR="002B3CD1" w:rsidP="002B3CD1" w:rsidRDefault="002B3CD1" w14:paraId="479C4C23" w14:textId="77777777">
      <w:pPr>
        <w:pStyle w:val="NoSpacing"/>
        <w:spacing w:after="120"/>
        <w:rPr>
          <w:rFonts w:cs="Times New Roman"/>
          <w:szCs w:val="24"/>
        </w:rPr>
      </w:pPr>
      <w:r>
        <w:rPr>
          <w:rFonts w:cs="Times New Roman"/>
          <w:szCs w:val="24"/>
        </w:rPr>
        <w:t xml:space="preserve">Atbalstām ūdeņraža izmantošanas enerģētikā veicināšanu, kas arī tika apliecināts, Ekonomikas ministrijas valsts sekretāram Ērikam Eglītim parakstot “Ūdeņraža iniciatīvu” ES enerģētikas ministru padomes ietvaros. </w:t>
      </w:r>
    </w:p>
    <w:p w:rsidR="002B3CD1" w:rsidP="002B3CD1" w:rsidRDefault="002B3CD1" w14:paraId="5221C27D" w14:textId="77777777">
      <w:pPr>
        <w:pStyle w:val="NoSpacing"/>
        <w:spacing w:after="120"/>
        <w:rPr>
          <w:rFonts w:cs="Times New Roman"/>
          <w:szCs w:val="24"/>
        </w:rPr>
      </w:pPr>
      <w:r>
        <w:rPr>
          <w:rFonts w:cs="Times New Roman"/>
          <w:szCs w:val="24"/>
        </w:rPr>
        <w:t xml:space="preserve">Latvijas ieskatā ūdeņraža izmantošanai enerģētikā ir liels potenciāls enerģētiskās neatkarības veicināšanā, kā arī energodrošības paaugstināšanā. Tāpat Latvijas skatījumā ir noderīgi atbalstīt esošās infrastruktūras izpēti un arvien vairāk pielāgot infrastruktūru ūdeņraža izmantošanas vajadzībām, kas vienlaikus ietver arī atbilstoša regulatīvā ietvara izpēti un ieviešanu. </w:t>
      </w:r>
    </w:p>
    <w:p w:rsidRPr="00A37293" w:rsidR="002B3CD1" w:rsidP="002B3CD1" w:rsidRDefault="002B3CD1" w14:paraId="742F2533" w14:textId="77777777">
      <w:pPr>
        <w:pStyle w:val="NoSpacing"/>
        <w:spacing w:after="120"/>
        <w:rPr>
          <w:rFonts w:eastAsia="Times New Roman" w:cs="Times New Roman"/>
          <w:iCs/>
          <w:szCs w:val="24"/>
          <w:lang w:eastAsia="lv-LV"/>
        </w:rPr>
      </w:pPr>
      <w:r>
        <w:rPr>
          <w:rFonts w:cs="Times New Roman"/>
          <w:szCs w:val="24"/>
        </w:rPr>
        <w:t>Latvija uzsver, ka ir būtiski attīstīt un izmantot i</w:t>
      </w:r>
      <w:r w:rsidRPr="00026608">
        <w:rPr>
          <w:rFonts w:cs="Times New Roman"/>
          <w:szCs w:val="24"/>
        </w:rPr>
        <w:t xml:space="preserve">espējas, ko </w:t>
      </w:r>
      <w:r>
        <w:rPr>
          <w:rFonts w:cs="Times New Roman"/>
          <w:szCs w:val="24"/>
        </w:rPr>
        <w:t>sniedz</w:t>
      </w:r>
      <w:r w:rsidRPr="00026608">
        <w:rPr>
          <w:rFonts w:cs="Times New Roman"/>
          <w:szCs w:val="24"/>
        </w:rPr>
        <w:t xml:space="preserve"> dažādas tehnoloģijas</w:t>
      </w:r>
      <w:r>
        <w:rPr>
          <w:rFonts w:cs="Times New Roman"/>
          <w:szCs w:val="24"/>
        </w:rPr>
        <w:t xml:space="preserve">, </w:t>
      </w:r>
      <w:r w:rsidRPr="00026608">
        <w:rPr>
          <w:rFonts w:cs="Times New Roman"/>
          <w:szCs w:val="24"/>
        </w:rPr>
        <w:t>piem</w:t>
      </w:r>
      <w:r>
        <w:rPr>
          <w:rFonts w:cs="Times New Roman"/>
          <w:szCs w:val="24"/>
        </w:rPr>
        <w:t xml:space="preserve">ēram, </w:t>
      </w:r>
      <w:r w:rsidRPr="00026608">
        <w:rPr>
          <w:rFonts w:cs="Times New Roman"/>
          <w:szCs w:val="24"/>
        </w:rPr>
        <w:t>ūdeņraža ievade esošajos gāzes tīklos un šo tehnoloģiju iekļaušana rūpnieciskās ražošanas procesos, lai nodrošinātu sistēmas elastīgumu un sasniegtu enerģētikas un klimata mērķus efektīvā veidā.</w:t>
      </w:r>
      <w:r>
        <w:rPr>
          <w:rFonts w:cs="Times New Roman"/>
          <w:szCs w:val="24"/>
        </w:rPr>
        <w:t xml:space="preserve"> Tāpat ir svarīgi, lai </w:t>
      </w:r>
      <w:r w:rsidRPr="00FE4AB0">
        <w:rPr>
          <w:rFonts w:eastAsia="Times New Roman" w:cs="Times New Roman"/>
          <w:iCs/>
          <w:szCs w:val="24"/>
          <w:lang w:eastAsia="lv-LV"/>
        </w:rPr>
        <w:t xml:space="preserve">ūdeņraža un atjaunojamo gāzu tehnoloģiju izmantošana </w:t>
      </w:r>
      <w:r>
        <w:rPr>
          <w:rFonts w:eastAsia="Times New Roman" w:cs="Times New Roman"/>
          <w:iCs/>
          <w:szCs w:val="24"/>
          <w:lang w:eastAsia="lv-LV"/>
        </w:rPr>
        <w:t>būtu</w:t>
      </w:r>
      <w:r w:rsidRPr="00FE4AB0">
        <w:rPr>
          <w:rFonts w:eastAsia="Times New Roman" w:cs="Times New Roman"/>
          <w:iCs/>
          <w:szCs w:val="24"/>
          <w:lang w:eastAsia="lv-LV"/>
        </w:rPr>
        <w:t xml:space="preserve"> ekonomiski pamatota </w:t>
      </w:r>
      <w:r>
        <w:rPr>
          <w:rFonts w:eastAsia="Times New Roman" w:cs="Times New Roman"/>
          <w:iCs/>
          <w:szCs w:val="24"/>
          <w:lang w:eastAsia="lv-LV"/>
        </w:rPr>
        <w:t>un balstīta uz tirgus principiem.</w:t>
      </w:r>
    </w:p>
    <w:p w:rsidR="002B3CD1" w:rsidP="00793164" w:rsidRDefault="002B3CD1" w14:paraId="4FB31607" w14:textId="77777777">
      <w:pPr>
        <w:pStyle w:val="DashEqual1"/>
        <w:keepNext/>
        <w:keepLines/>
        <w:numPr>
          <w:ilvl w:val="0"/>
          <w:numId w:val="0"/>
        </w:numPr>
        <w:tabs>
          <w:tab w:val="left" w:pos="720"/>
        </w:tabs>
        <w:ind w:left="360"/>
        <w:rPr>
          <w:b/>
          <w:lang w:val="lv-LV"/>
        </w:rPr>
      </w:pPr>
    </w:p>
    <w:p w:rsidR="002B3CD1" w:rsidP="002B3CD1" w:rsidRDefault="002B3CD1" w14:paraId="2460F82A" w14:textId="77777777">
      <w:pPr>
        <w:pStyle w:val="DashEqual1"/>
        <w:keepNext/>
        <w:keepLines/>
        <w:numPr>
          <w:ilvl w:val="1"/>
          <w:numId w:val="12"/>
        </w:numPr>
        <w:tabs>
          <w:tab w:val="left" w:pos="720"/>
        </w:tabs>
        <w:rPr>
          <w:b/>
          <w:lang w:val="lv-LV"/>
        </w:rPr>
      </w:pPr>
      <w:r w:rsidRPr="002B3CD1">
        <w:rPr>
          <w:b/>
          <w:lang w:val="lv-LV"/>
        </w:rPr>
        <w:t>Enerģētikas hartas nolīguma modernizācija un pārskatīšana</w:t>
      </w:r>
      <w:r>
        <w:rPr>
          <w:b/>
          <w:lang w:val="lv-LV"/>
        </w:rPr>
        <w:t xml:space="preserve"> – </w:t>
      </w:r>
    </w:p>
    <w:p w:rsidR="00393B99" w:rsidP="002B3CD1" w:rsidRDefault="002B3CD1" w14:paraId="763F6AF4" w14:textId="77777777">
      <w:pPr>
        <w:pStyle w:val="DashEqual1"/>
        <w:keepNext/>
        <w:keepLines/>
        <w:numPr>
          <w:ilvl w:val="0"/>
          <w:numId w:val="0"/>
        </w:numPr>
        <w:tabs>
          <w:tab w:val="left" w:pos="720"/>
        </w:tabs>
        <w:ind w:left="360"/>
        <w:rPr>
          <w:b/>
          <w:lang w:val="lv-LV"/>
        </w:rPr>
      </w:pPr>
      <w:r w:rsidRPr="002B3CD1">
        <w:rPr>
          <w:bCs/>
          <w:i/>
          <w:iCs/>
          <w:lang w:val="lv-LV"/>
        </w:rPr>
        <w:t>Luksemburgas delegācijas sniegta informācija</w:t>
      </w:r>
    </w:p>
    <w:p w:rsidR="00C4792E" w:rsidP="009D6953" w:rsidRDefault="00C143F4" w14:paraId="79F6F70B" w14:textId="77777777">
      <w:pPr>
        <w:pStyle w:val="DashEqual1"/>
        <w:keepNext/>
        <w:keepLines/>
        <w:numPr>
          <w:ilvl w:val="0"/>
          <w:numId w:val="0"/>
        </w:numPr>
        <w:tabs>
          <w:tab w:val="left" w:pos="720"/>
        </w:tabs>
        <w:rPr>
          <w:bCs/>
          <w:iCs/>
          <w:lang w:val="lv-LV"/>
        </w:rPr>
      </w:pPr>
      <w:r w:rsidRPr="00C143F4">
        <w:rPr>
          <w:bCs/>
          <w:iCs/>
          <w:lang w:val="lv-LV"/>
        </w:rPr>
        <w:t>Enerģētikas hartas nolīgums tika parakstīts 1994. gadā un stājās spēkā 1998. gadā</w:t>
      </w:r>
      <w:r w:rsidR="00483DDB">
        <w:rPr>
          <w:bCs/>
          <w:iCs/>
          <w:lang w:val="lv-LV"/>
        </w:rPr>
        <w:t>.</w:t>
      </w:r>
      <w:r>
        <w:rPr>
          <w:bCs/>
          <w:iCs/>
          <w:lang w:val="lv-LV"/>
        </w:rPr>
        <w:t xml:space="preserve"> </w:t>
      </w:r>
      <w:r w:rsidR="00483DDB">
        <w:rPr>
          <w:bCs/>
          <w:iCs/>
          <w:lang w:val="lv-LV"/>
        </w:rPr>
        <w:t>Š</w:t>
      </w:r>
      <w:r>
        <w:rPr>
          <w:bCs/>
          <w:iCs/>
          <w:lang w:val="lv-LV"/>
        </w:rPr>
        <w:t xml:space="preserve">odien to ir parakstījušas 53 pasaules valstis un ES. </w:t>
      </w:r>
    </w:p>
    <w:p w:rsidR="00483DDB" w:rsidP="009D6953" w:rsidRDefault="00B37A49" w14:paraId="12704A20" w14:textId="77777777">
      <w:pPr>
        <w:pStyle w:val="DashEqual1"/>
        <w:keepNext/>
        <w:keepLines/>
        <w:numPr>
          <w:ilvl w:val="0"/>
          <w:numId w:val="0"/>
        </w:numPr>
        <w:tabs>
          <w:tab w:val="left" w:pos="720"/>
        </w:tabs>
        <w:rPr>
          <w:bCs/>
          <w:iCs/>
          <w:lang w:val="lv-LV"/>
        </w:rPr>
      </w:pPr>
      <w:r>
        <w:rPr>
          <w:bCs/>
          <w:iCs/>
          <w:lang w:val="lv-LV"/>
        </w:rPr>
        <w:t xml:space="preserve">24. septembra Enerģētikas ministru padomē Luksemburga vēlas pacelt jautājumu par padziļinātu Enerģētikas Hartas reformu, lai to saskaņotu ar šī brīža globālajiem klimata mērķiem. </w:t>
      </w:r>
    </w:p>
    <w:p w:rsidR="00EE41EB" w:rsidP="00776441" w:rsidRDefault="00776441" w14:paraId="2A8F999A" w14:textId="77777777">
      <w:pPr>
        <w:pStyle w:val="Default"/>
        <w:spacing w:after="120"/>
        <w:ind w:firstLine="720"/>
        <w:jc w:val="both"/>
        <w:rPr>
          <w:bCs/>
          <w:iCs/>
        </w:rPr>
      </w:pPr>
      <w:r>
        <w:rPr>
          <w:bCs/>
          <w:iCs/>
        </w:rPr>
        <w:tab/>
      </w:r>
    </w:p>
    <w:p w:rsidRPr="00776441" w:rsidR="00776441" w:rsidP="00776441" w:rsidRDefault="00776441" w14:paraId="78D85B1A" w14:textId="7CB0ED61">
      <w:pPr>
        <w:pStyle w:val="Default"/>
        <w:spacing w:after="120"/>
        <w:ind w:firstLine="720"/>
        <w:jc w:val="both"/>
        <w:rPr>
          <w:b/>
          <w:color w:val="auto"/>
        </w:rPr>
      </w:pPr>
      <w:r w:rsidRPr="00895278">
        <w:rPr>
          <w:b/>
          <w:color w:val="auto"/>
        </w:rPr>
        <w:t>Latvijas nostāja:</w:t>
      </w:r>
    </w:p>
    <w:p w:rsidRPr="00D648EA" w:rsidR="00D648EA" w:rsidP="00D648EA" w:rsidRDefault="009D6953" w14:paraId="7738AC57" w14:textId="5104C201">
      <w:pPr>
        <w:ind w:firstLine="709"/>
        <w:jc w:val="both"/>
        <w:rPr>
          <w:rFonts w:ascii="Times New Roman" w:hAnsi="Times New Roman" w:eastAsia="Calibri" w:cs="Times New Roman"/>
          <w:bCs/>
          <w:iCs/>
          <w:sz w:val="24"/>
          <w:szCs w:val="24"/>
        </w:rPr>
      </w:pPr>
      <w:r w:rsidRPr="009D6953">
        <w:rPr>
          <w:rFonts w:ascii="Times New Roman" w:hAnsi="Times New Roman" w:eastAsia="Calibri" w:cs="Times New Roman"/>
          <w:bCs/>
          <w:iCs/>
          <w:sz w:val="24"/>
          <w:szCs w:val="24"/>
        </w:rPr>
        <w:t xml:space="preserve">Latvija augstu vērtē Enerģētikas Hartas līguma nozīmi. Enerģētikas Harta sniedz stabilitāti ārvalstu investoriem, kas vēlas ieguldīt līdzekļus enerģētikas sektorā. Šobrīd notiekošā enerģētikas sektora transformācija un pāreja uz tīrāku enerģijas ražošanu neapšaubāmai atstāj ietekmi uz pieņemtajiem lēmumiem nozarē. Tāpēc Enerģētikas Hartas līguma modernizācija, lai to saskaņotu ar globālajiem klimata mērķiem, būtu atbalstāma. </w:t>
      </w:r>
      <w:r w:rsidRPr="009D6953" w:rsidR="00C06855">
        <w:rPr>
          <w:rFonts w:ascii="Times New Roman" w:hAnsi="Times New Roman" w:eastAsia="Calibri" w:cs="Times New Roman"/>
          <w:bCs/>
          <w:iCs/>
          <w:sz w:val="24"/>
          <w:szCs w:val="24"/>
        </w:rPr>
        <w:t xml:space="preserve">Vienlaikus svarīgi nodrošināt, lai Enerģētikas Harta arī turpmāk nešķirotu investīcijas enerģētikā pēc resursu izcelsmes (fosilie vai atjaunojamie energoresursi), nodrošinot tiesiskās paļāvības principa ievērošanu visā sektorā kopumā. </w:t>
      </w:r>
      <w:r w:rsidRPr="00D648EA" w:rsidR="00C06855">
        <w:rPr>
          <w:rFonts w:ascii="Times New Roman" w:hAnsi="Times New Roman" w:eastAsia="Calibri" w:cs="Times New Roman"/>
          <w:bCs/>
          <w:iCs/>
          <w:sz w:val="24"/>
          <w:szCs w:val="24"/>
        </w:rPr>
        <w:t>Investīcijas fosilajos avotos arī var būt ilgtspējīgas un nepieciešamas, piemēram investīcijas LNG, kas nepieciešamas drošības stiprināšanai vai tirgus attīstībai. Prioritāte Hartā ir investīciju aizsardzība, tāpēc izslēgt fosilos resursus no tās būtu nekorekti. Turpretim ilgtspējas kritēji varētu nodrošināt, ka Harta sedz tās investīcijas, kas nepaaugstina emisijas.</w:t>
      </w:r>
    </w:p>
    <w:p w:rsidRPr="009D6953" w:rsidR="009D6953" w:rsidP="009D6953" w:rsidRDefault="009D6953" w14:paraId="1F2BFE77" w14:textId="77777777">
      <w:pPr>
        <w:spacing w:after="120" w:line="240" w:lineRule="auto"/>
        <w:ind w:firstLine="720"/>
        <w:jc w:val="both"/>
        <w:rPr>
          <w:rFonts w:ascii="Times New Roman" w:hAnsi="Times New Roman" w:eastAsia="Calibri" w:cs="Times New Roman"/>
          <w:bCs/>
          <w:iCs/>
          <w:sz w:val="24"/>
          <w:szCs w:val="24"/>
        </w:rPr>
      </w:pPr>
      <w:r w:rsidRPr="009D6953">
        <w:rPr>
          <w:rFonts w:ascii="Times New Roman" w:hAnsi="Times New Roman" w:eastAsia="Calibri" w:cs="Times New Roman"/>
          <w:bCs/>
          <w:iCs/>
          <w:sz w:val="24"/>
          <w:szCs w:val="24"/>
        </w:rPr>
        <w:lastRenderedPageBreak/>
        <w:t>Latvijas ieskatā klimata mērķu integrācija Enerģētikas Hartas līgumā varētu tikt veikta, ieviešot ilgtspējas prasības un kritērijus.</w:t>
      </w:r>
    </w:p>
    <w:p w:rsidR="009D6953" w:rsidP="009D6953" w:rsidRDefault="009D6953" w14:paraId="75CDE52F" w14:textId="5B98ECF3">
      <w:pPr>
        <w:spacing w:after="120" w:line="240" w:lineRule="auto"/>
        <w:ind w:firstLine="720"/>
        <w:jc w:val="both"/>
        <w:rPr>
          <w:rFonts w:ascii="Times New Roman" w:hAnsi="Times New Roman" w:eastAsia="Calibri" w:cs="Times New Roman"/>
          <w:bCs/>
          <w:iCs/>
          <w:sz w:val="24"/>
          <w:szCs w:val="24"/>
        </w:rPr>
      </w:pPr>
      <w:r w:rsidRPr="009D6953">
        <w:rPr>
          <w:rFonts w:ascii="Times New Roman" w:hAnsi="Times New Roman" w:eastAsia="Calibri" w:cs="Times New Roman"/>
          <w:bCs/>
          <w:iCs/>
          <w:sz w:val="24"/>
          <w:szCs w:val="24"/>
        </w:rPr>
        <w:t>Gan Enerģētikas Hartas modernizācijas procesā, gan arī organizācijas darbībā kopumā nepieciešams nodrošināt caurspīdību. Tas veicina uzticamību organizācijai. Tāpēc Latvijas atbalsta neatkarīga starptautiska audita veikšanu organizācijā un aicina to veikt iespējami drīz.</w:t>
      </w:r>
    </w:p>
    <w:p w:rsidRPr="009D6953" w:rsidR="00D648EA" w:rsidP="009D6953" w:rsidRDefault="00D648EA" w14:paraId="14C70DD5" w14:textId="77777777">
      <w:pPr>
        <w:spacing w:after="120" w:line="240" w:lineRule="auto"/>
        <w:ind w:firstLine="720"/>
        <w:jc w:val="both"/>
        <w:rPr>
          <w:rFonts w:ascii="Times New Roman" w:hAnsi="Times New Roman" w:eastAsia="Calibri" w:cs="Times New Roman"/>
          <w:bCs/>
          <w:iCs/>
          <w:sz w:val="24"/>
          <w:szCs w:val="24"/>
        </w:rPr>
      </w:pPr>
    </w:p>
    <w:p w:rsidR="001B68A9" w:rsidP="00817D8C" w:rsidRDefault="009D6953" w14:paraId="76DE20A0" w14:textId="77777777">
      <w:pPr>
        <w:pStyle w:val="Default"/>
        <w:rPr>
          <w:iCs/>
        </w:rPr>
      </w:pPr>
      <w:r w:rsidDel="009D6953">
        <w:rPr>
          <w:iCs/>
        </w:rPr>
        <w:t xml:space="preserve"> </w:t>
      </w:r>
    </w:p>
    <w:p w:rsidR="00393B99" w:rsidP="00393B99" w:rsidRDefault="00393B99" w14:paraId="42969156" w14:textId="77777777">
      <w:pPr>
        <w:pStyle w:val="ListParagraph"/>
        <w:spacing w:after="120"/>
        <w:ind w:left="360"/>
        <w:jc w:val="center"/>
        <w:rPr>
          <w:rFonts w:ascii="Times New Roman" w:hAnsi="Times New Roman"/>
          <w:b/>
          <w:sz w:val="24"/>
          <w:szCs w:val="24"/>
        </w:rPr>
      </w:pPr>
      <w:r>
        <w:rPr>
          <w:rFonts w:ascii="Times New Roman" w:hAnsi="Times New Roman"/>
          <w:b/>
          <w:sz w:val="24"/>
          <w:szCs w:val="24"/>
        </w:rPr>
        <w:t>II</w:t>
      </w:r>
      <w:r w:rsidRPr="006A3310">
        <w:rPr>
          <w:rFonts w:ascii="Times New Roman" w:hAnsi="Times New Roman"/>
          <w:b/>
          <w:sz w:val="24"/>
          <w:szCs w:val="24"/>
        </w:rPr>
        <w:t xml:space="preserve"> Latvijas delegācija</w:t>
      </w:r>
    </w:p>
    <w:p w:rsidRPr="006A3310" w:rsidR="00393B99" w:rsidP="00393B99" w:rsidRDefault="00393B99" w14:paraId="255269C9" w14:textId="77777777">
      <w:pPr>
        <w:pStyle w:val="ListParagraph"/>
        <w:spacing w:after="120"/>
        <w:ind w:left="360"/>
        <w:jc w:val="center"/>
        <w:rPr>
          <w:rFonts w:ascii="Times New Roman" w:hAnsi="Times New Roman"/>
          <w:b/>
          <w:sz w:val="24"/>
          <w:szCs w:val="24"/>
        </w:rPr>
      </w:pPr>
    </w:p>
    <w:p w:rsidRPr="0052183D" w:rsidR="00393B99" w:rsidP="00393B99" w:rsidRDefault="00393B99" w14:paraId="65B0F9D1" w14:textId="04952EB0">
      <w:pPr>
        <w:tabs>
          <w:tab w:val="left" w:pos="1985"/>
          <w:tab w:val="left" w:pos="2880"/>
        </w:tabs>
        <w:spacing w:after="120"/>
        <w:ind w:left="2880" w:hanging="2880"/>
        <w:jc w:val="both"/>
        <w:rPr>
          <w:rFonts w:ascii="Times New Roman" w:hAnsi="Times New Roman"/>
          <w:sz w:val="24"/>
          <w:szCs w:val="24"/>
        </w:rPr>
      </w:pPr>
      <w:r w:rsidRPr="0052183D">
        <w:rPr>
          <w:rFonts w:ascii="Times New Roman" w:hAnsi="Times New Roman"/>
          <w:sz w:val="24"/>
          <w:szCs w:val="24"/>
        </w:rPr>
        <w:t xml:space="preserve">Delegācijas vadītājs: </w:t>
      </w:r>
      <w:r w:rsidRPr="0052183D">
        <w:rPr>
          <w:rFonts w:ascii="Times New Roman" w:hAnsi="Times New Roman"/>
          <w:sz w:val="24"/>
          <w:szCs w:val="24"/>
        </w:rPr>
        <w:tab/>
      </w:r>
      <w:r w:rsidR="000E0D72">
        <w:rPr>
          <w:rFonts w:ascii="Times New Roman" w:hAnsi="Times New Roman" w:cs="Times New Roman"/>
          <w:b/>
          <w:sz w:val="24"/>
          <w:szCs w:val="24"/>
        </w:rPr>
        <w:t>Ralfs Nemiro</w:t>
      </w:r>
      <w:r w:rsidRPr="00595686">
        <w:rPr>
          <w:rFonts w:ascii="Times New Roman" w:hAnsi="Times New Roman" w:cs="Times New Roman"/>
          <w:b/>
          <w:sz w:val="24"/>
          <w:szCs w:val="24"/>
        </w:rPr>
        <w:t xml:space="preserve">, </w:t>
      </w:r>
      <w:r w:rsidR="000E0D72">
        <w:rPr>
          <w:rFonts w:ascii="Times New Roman" w:hAnsi="Times New Roman" w:cs="Times New Roman"/>
          <w:sz w:val="24"/>
          <w:szCs w:val="24"/>
        </w:rPr>
        <w:t>Ekonomikas ministrs</w:t>
      </w:r>
    </w:p>
    <w:p w:rsidRPr="0052183D" w:rsidR="00393B99" w:rsidP="00393B99" w:rsidRDefault="00393B99" w14:paraId="516CB0CC" w14:textId="77777777">
      <w:pPr>
        <w:tabs>
          <w:tab w:val="left" w:pos="2880"/>
          <w:tab w:val="left" w:pos="3060"/>
        </w:tabs>
        <w:spacing w:after="120"/>
        <w:ind w:left="2880" w:hanging="2880"/>
        <w:jc w:val="both"/>
        <w:rPr>
          <w:rFonts w:ascii="Times New Roman" w:hAnsi="Times New Roman"/>
          <w:sz w:val="24"/>
          <w:szCs w:val="24"/>
        </w:rPr>
      </w:pPr>
    </w:p>
    <w:p w:rsidR="0036079B" w:rsidP="00393B99" w:rsidRDefault="00393B99" w14:paraId="51C77533" w14:textId="6A2CCF68">
      <w:pPr>
        <w:tabs>
          <w:tab w:val="left" w:pos="2880"/>
        </w:tabs>
        <w:spacing w:after="120"/>
        <w:ind w:left="2880" w:hanging="2880"/>
        <w:rPr>
          <w:rFonts w:ascii="Times New Roman" w:hAnsi="Times New Roman"/>
          <w:sz w:val="24"/>
          <w:szCs w:val="24"/>
        </w:rPr>
      </w:pPr>
      <w:r w:rsidRPr="0052183D">
        <w:rPr>
          <w:rFonts w:ascii="Times New Roman" w:hAnsi="Times New Roman"/>
          <w:sz w:val="24"/>
          <w:szCs w:val="24"/>
        </w:rPr>
        <w:t>Delegācijas dalībnieki:</w:t>
      </w:r>
      <w:r w:rsidRPr="0052183D">
        <w:rPr>
          <w:rFonts w:ascii="Times New Roman" w:hAnsi="Times New Roman"/>
          <w:sz w:val="24"/>
          <w:szCs w:val="24"/>
        </w:rPr>
        <w:tab/>
      </w:r>
      <w:r w:rsidR="0036079B">
        <w:rPr>
          <w:rFonts w:ascii="Times New Roman" w:hAnsi="Times New Roman"/>
          <w:b/>
          <w:sz w:val="24"/>
          <w:szCs w:val="24"/>
        </w:rPr>
        <w:t xml:space="preserve">Alise Balode, </w:t>
      </w:r>
      <w:r w:rsidRPr="00527D2F" w:rsidR="0036079B">
        <w:rPr>
          <w:rFonts w:ascii="Times New Roman" w:hAnsi="Times New Roman"/>
          <w:sz w:val="24"/>
          <w:szCs w:val="24"/>
        </w:rPr>
        <w:t>Vēstniece, pastāvīgās pārstāves</w:t>
      </w:r>
      <w:r w:rsidR="0036079B">
        <w:rPr>
          <w:rFonts w:ascii="Times New Roman" w:hAnsi="Times New Roman"/>
          <w:sz w:val="24"/>
          <w:szCs w:val="24"/>
        </w:rPr>
        <w:t xml:space="preserve"> ES</w:t>
      </w:r>
      <w:r w:rsidRPr="00527D2F" w:rsidR="0036079B">
        <w:rPr>
          <w:rFonts w:ascii="Times New Roman" w:hAnsi="Times New Roman"/>
          <w:sz w:val="24"/>
          <w:szCs w:val="24"/>
        </w:rPr>
        <w:t xml:space="preserve"> vietniece</w:t>
      </w:r>
      <w:bookmarkStart w:name="_GoBack" w:id="1"/>
      <w:bookmarkEnd w:id="1"/>
    </w:p>
    <w:p w:rsidRPr="00F537F9" w:rsidR="00F537F9" w:rsidP="00393B99" w:rsidRDefault="00F537F9" w14:paraId="3F04FA06" w14:textId="69A02A60">
      <w:pPr>
        <w:tabs>
          <w:tab w:val="left" w:pos="2880"/>
        </w:tabs>
        <w:spacing w:after="120"/>
        <w:ind w:left="2880" w:hanging="2880"/>
        <w:rPr>
          <w:rFonts w:ascii="Times New Roman" w:hAnsi="Times New Roman"/>
          <w:b/>
          <w:bCs/>
          <w:sz w:val="24"/>
          <w:szCs w:val="24"/>
        </w:rPr>
      </w:pPr>
      <w:r>
        <w:rPr>
          <w:rFonts w:ascii="Times New Roman" w:hAnsi="Times New Roman"/>
          <w:sz w:val="24"/>
          <w:szCs w:val="24"/>
        </w:rPr>
        <w:tab/>
      </w:r>
      <w:r w:rsidRPr="00F537F9">
        <w:rPr>
          <w:rFonts w:ascii="Times New Roman" w:hAnsi="Times New Roman"/>
          <w:b/>
          <w:bCs/>
          <w:sz w:val="24"/>
          <w:szCs w:val="24"/>
        </w:rPr>
        <w:t>Dzintars Kauliņš</w:t>
      </w:r>
      <w:r>
        <w:rPr>
          <w:rFonts w:ascii="Times New Roman" w:hAnsi="Times New Roman"/>
          <w:b/>
          <w:bCs/>
          <w:sz w:val="24"/>
          <w:szCs w:val="24"/>
        </w:rPr>
        <w:t xml:space="preserve">, </w:t>
      </w:r>
      <w:r w:rsidRPr="00F537F9">
        <w:rPr>
          <w:rFonts w:ascii="Times New Roman" w:hAnsi="Times New Roman"/>
          <w:sz w:val="24"/>
          <w:szCs w:val="24"/>
        </w:rPr>
        <w:t xml:space="preserve">Ekonomikas ministrijas </w:t>
      </w:r>
      <w:r w:rsidRPr="00F537F9">
        <w:rPr>
          <w:rFonts w:ascii="Times New Roman" w:hAnsi="Times New Roman"/>
          <w:sz w:val="24"/>
          <w:szCs w:val="24"/>
        </w:rPr>
        <w:t>Valsts sekretāra vietnieks</w:t>
      </w:r>
    </w:p>
    <w:p w:rsidRPr="002F0F76" w:rsidR="00393B99" w:rsidP="00393B99" w:rsidRDefault="0036079B" w14:paraId="6BE7FF5D" w14:textId="40868B27">
      <w:pPr>
        <w:tabs>
          <w:tab w:val="left" w:pos="2880"/>
        </w:tabs>
        <w:spacing w:after="120"/>
        <w:ind w:left="2880" w:hanging="2880"/>
        <w:rPr>
          <w:rFonts w:ascii="Times New Roman" w:hAnsi="Times New Roman"/>
          <w:sz w:val="24"/>
          <w:szCs w:val="24"/>
        </w:rPr>
      </w:pPr>
      <w:r>
        <w:rPr>
          <w:rFonts w:ascii="Times New Roman" w:hAnsi="Times New Roman"/>
          <w:sz w:val="24"/>
          <w:szCs w:val="24"/>
        </w:rPr>
        <w:tab/>
      </w:r>
      <w:r w:rsidRPr="0052183D" w:rsidR="00393B99">
        <w:rPr>
          <w:rFonts w:ascii="Times New Roman" w:hAnsi="Times New Roman"/>
          <w:b/>
          <w:sz w:val="24"/>
          <w:szCs w:val="24"/>
        </w:rPr>
        <w:t>Inga Iļjina</w:t>
      </w:r>
      <w:r w:rsidRPr="0052183D" w:rsidR="00393B99">
        <w:rPr>
          <w:rFonts w:ascii="Times New Roman" w:hAnsi="Times New Roman"/>
          <w:sz w:val="24"/>
          <w:szCs w:val="24"/>
        </w:rPr>
        <w:t>,</w:t>
      </w:r>
      <w:r w:rsidRPr="0052183D" w:rsidR="00393B99">
        <w:rPr>
          <w:rFonts w:ascii="Times New Roman" w:hAnsi="Times New Roman"/>
          <w:b/>
          <w:sz w:val="24"/>
          <w:szCs w:val="24"/>
        </w:rPr>
        <w:t xml:space="preserve"> </w:t>
      </w:r>
      <w:r w:rsidRPr="0052183D" w:rsidR="00393B99">
        <w:rPr>
          <w:rFonts w:ascii="Times New Roman" w:hAnsi="Times New Roman"/>
          <w:sz w:val="24"/>
          <w:szCs w:val="24"/>
        </w:rPr>
        <w:t>Ekonomikas ministrijas nozares padomniece Latvijas Republikas Pastāvīgajā pārstāvniecībā Eiropas Savienībā</w:t>
      </w:r>
    </w:p>
    <w:p w:rsidR="00393B99" w:rsidP="00393B99" w:rsidRDefault="00393B99" w14:paraId="3E3C8AD2" w14:textId="77777777">
      <w:pPr>
        <w:spacing w:after="120"/>
        <w:jc w:val="both"/>
        <w:rPr>
          <w:rFonts w:ascii="Times New Roman" w:hAnsi="Times New Roman"/>
          <w:b/>
          <w:sz w:val="24"/>
          <w:szCs w:val="24"/>
        </w:rPr>
      </w:pPr>
    </w:p>
    <w:p w:rsidRPr="006A3310" w:rsidR="00393B99" w:rsidP="00393B99" w:rsidRDefault="00393B99" w14:paraId="33A673D4" w14:textId="77777777">
      <w:pPr>
        <w:spacing w:after="0" w:line="240" w:lineRule="auto"/>
        <w:rPr>
          <w:rFonts w:ascii="Times New Roman" w:hAnsi="Times New Roman"/>
          <w:sz w:val="24"/>
          <w:szCs w:val="24"/>
        </w:rPr>
      </w:pPr>
      <w:r>
        <w:rPr>
          <w:rFonts w:ascii="Times New Roman" w:hAnsi="Times New Roman"/>
          <w:sz w:val="24"/>
          <w:szCs w:val="24"/>
        </w:rPr>
        <w:t>Ekonomikas ministrs</w:t>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Pr>
          <w:rFonts w:ascii="Times New Roman" w:hAnsi="Times New Roman"/>
          <w:sz w:val="24"/>
          <w:szCs w:val="24"/>
        </w:rPr>
        <w:t xml:space="preserve">                                                       R.Nemiro</w:t>
      </w:r>
      <w:r w:rsidRPr="006A3310">
        <w:rPr>
          <w:rFonts w:ascii="Times New Roman" w:hAnsi="Times New Roman"/>
          <w:sz w:val="24"/>
          <w:szCs w:val="24"/>
        </w:rPr>
        <w:tab/>
      </w:r>
      <w:r>
        <w:rPr>
          <w:rFonts w:ascii="Times New Roman" w:hAnsi="Times New Roman"/>
          <w:sz w:val="24"/>
          <w:szCs w:val="24"/>
        </w:rPr>
        <w:t xml:space="preserve"> </w:t>
      </w:r>
    </w:p>
    <w:p w:rsidRPr="006A3310" w:rsidR="00393B99" w:rsidP="00393B99" w:rsidRDefault="00393B99" w14:paraId="13B6682E" w14:textId="77777777">
      <w:pPr>
        <w:tabs>
          <w:tab w:val="right" w:pos="9497"/>
        </w:tabs>
        <w:spacing w:after="120"/>
        <w:ind w:firstLine="737"/>
        <w:jc w:val="both"/>
        <w:rPr>
          <w:rFonts w:ascii="Times New Roman" w:hAnsi="Times New Roman"/>
          <w:sz w:val="24"/>
          <w:szCs w:val="24"/>
        </w:rPr>
      </w:pPr>
    </w:p>
    <w:p w:rsidRPr="002F0F76" w:rsidR="00393B99" w:rsidP="00393B99" w:rsidRDefault="00393B99" w14:paraId="57C77038" w14:textId="77777777">
      <w:pPr>
        <w:tabs>
          <w:tab w:val="left" w:pos="7710"/>
        </w:tabs>
        <w:spacing w:after="0"/>
        <w:rPr>
          <w:rFonts w:ascii="Times New Roman" w:hAnsi="Times New Roman"/>
          <w:sz w:val="24"/>
          <w:szCs w:val="24"/>
        </w:rPr>
      </w:pPr>
      <w:r>
        <w:rPr>
          <w:rFonts w:ascii="Times New Roman" w:hAnsi="Times New Roman"/>
          <w:sz w:val="24"/>
          <w:szCs w:val="24"/>
        </w:rPr>
        <w:t>Valsts sekretārs                                                                                                      Ē. Eglītis</w:t>
      </w:r>
    </w:p>
    <w:sectPr w:rsidRPr="002F0F76" w:rsidR="00393B99" w:rsidSect="00664B6F">
      <w:pgSz w:w="11906" w:h="16838"/>
      <w:pgMar w:top="1135" w:right="1558"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C3248" w14:textId="77777777" w:rsidR="00A05205" w:rsidRDefault="00A05205" w:rsidP="003A3130">
      <w:pPr>
        <w:spacing w:after="0" w:line="240" w:lineRule="auto"/>
      </w:pPr>
      <w:r>
        <w:separator/>
      </w:r>
    </w:p>
  </w:endnote>
  <w:endnote w:type="continuationSeparator" w:id="0">
    <w:p w14:paraId="40CB0415" w14:textId="77777777" w:rsidR="00A05205" w:rsidRDefault="00A05205" w:rsidP="003A3130">
      <w:pPr>
        <w:spacing w:after="0" w:line="240" w:lineRule="auto"/>
      </w:pPr>
      <w:r>
        <w:continuationSeparator/>
      </w:r>
    </w:p>
  </w:endnote>
  <w:endnote w:type="continuationNotice" w:id="1">
    <w:p w14:paraId="0E956396" w14:textId="77777777" w:rsidR="00A05205" w:rsidRDefault="00A05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FA12C" w14:textId="77777777" w:rsidR="00A05205" w:rsidRDefault="00A05205" w:rsidP="003A3130">
      <w:pPr>
        <w:spacing w:after="0" w:line="240" w:lineRule="auto"/>
      </w:pPr>
      <w:r>
        <w:separator/>
      </w:r>
    </w:p>
  </w:footnote>
  <w:footnote w:type="continuationSeparator" w:id="0">
    <w:p w14:paraId="2DC17986" w14:textId="77777777" w:rsidR="00A05205" w:rsidRDefault="00A05205" w:rsidP="003A3130">
      <w:pPr>
        <w:spacing w:after="0" w:line="240" w:lineRule="auto"/>
      </w:pPr>
      <w:r>
        <w:continuationSeparator/>
      </w:r>
    </w:p>
  </w:footnote>
  <w:footnote w:type="continuationNotice" w:id="1">
    <w:p w14:paraId="5FF3A1AA" w14:textId="77777777" w:rsidR="00A05205" w:rsidRDefault="00A05205">
      <w:pPr>
        <w:spacing w:after="0" w:line="240" w:lineRule="auto"/>
      </w:pPr>
    </w:p>
  </w:footnote>
  <w:footnote w:id="2">
    <w:p w14:paraId="764D372C" w14:textId="77777777" w:rsidR="006C6492" w:rsidRDefault="006C6492" w:rsidP="006C6492">
      <w:pPr>
        <w:pStyle w:val="FootnoteText"/>
      </w:pPr>
      <w:r>
        <w:rPr>
          <w:rStyle w:val="FootnoteReference"/>
        </w:rPr>
        <w:footnoteRef/>
      </w:r>
      <w:r>
        <w:t xml:space="preserve"> </w:t>
      </w:r>
      <w:hyperlink r:id="rId1" w:history="1">
        <w:r>
          <w:rPr>
            <w:rStyle w:val="Hyperlink"/>
          </w:rPr>
          <w:t>https://em.gov.lv/lv/nozares_politika/nacionalais_energetikas_un_klimata_plans/</w:t>
        </w:r>
      </w:hyperlink>
    </w:p>
  </w:footnote>
  <w:footnote w:id="3">
    <w:p w14:paraId="1137D473" w14:textId="77777777" w:rsidR="001C79A5" w:rsidRDefault="001C79A5" w:rsidP="001C79A5">
      <w:pPr>
        <w:pStyle w:val="FootnoteText"/>
      </w:pPr>
      <w:r>
        <w:rPr>
          <w:rStyle w:val="FootnoteReference"/>
        </w:rPr>
        <w:footnoteRef/>
      </w:r>
      <w:r>
        <w:t xml:space="preserve"> FEI, RTU</w:t>
      </w:r>
    </w:p>
  </w:footnote>
  <w:footnote w:id="4">
    <w:p w14:paraId="457E9897" w14:textId="77777777" w:rsidR="000061C2" w:rsidRPr="000E6B36" w:rsidRDefault="000061C2" w:rsidP="000E6B36">
      <w:pPr>
        <w:pStyle w:val="FootnoteText"/>
        <w:ind w:left="142" w:hanging="142"/>
        <w:rPr>
          <w:noProof/>
          <w:sz w:val="18"/>
          <w:szCs w:val="18"/>
        </w:rPr>
      </w:pPr>
      <w:r w:rsidRPr="000E6B36">
        <w:rPr>
          <w:rStyle w:val="FootnoteReference"/>
          <w:sz w:val="18"/>
          <w:szCs w:val="18"/>
        </w:rPr>
        <w:footnoteRef/>
      </w:r>
      <w:r w:rsidRPr="000E6B36">
        <w:rPr>
          <w:sz w:val="18"/>
          <w:szCs w:val="18"/>
        </w:rPr>
        <w:t> </w:t>
      </w:r>
      <w:r w:rsidRPr="000E6B36">
        <w:rPr>
          <w:noProof/>
          <w:sz w:val="18"/>
          <w:szCs w:val="18"/>
        </w:rPr>
        <w:t xml:space="preserve">IPCC 2018. gada oktobrī publicēja ziņojumu par ietekmi, kādu radītu globālā sasilšana par 1,5°C, salīdzinot ar pirmsindustriālā laikmeta līmeni, un par globālajiem pārejas ceļiem, kas saistīti ar SEG emisijām. </w:t>
      </w:r>
    </w:p>
    <w:p w14:paraId="24B0C0EF" w14:textId="77777777" w:rsidR="000061C2" w:rsidRPr="000E6B36" w:rsidRDefault="000061C2" w:rsidP="000061C2">
      <w:pPr>
        <w:pStyle w:val="FootnoteText"/>
        <w:ind w:left="142" w:hanging="142"/>
        <w:jc w:val="left"/>
        <w:rPr>
          <w:sz w:val="18"/>
          <w:szCs w:val="18"/>
        </w:rPr>
      </w:pPr>
      <w:r w:rsidRPr="000E6B36">
        <w:rPr>
          <w:noProof/>
          <w:sz w:val="18"/>
          <w:szCs w:val="18"/>
        </w:rPr>
        <w:t xml:space="preserve">    Ziņojums p</w:t>
      </w:r>
      <w:r w:rsidRPr="000E6B36">
        <w:rPr>
          <w:sz w:val="18"/>
          <w:szCs w:val="18"/>
        </w:rPr>
        <w:t>ieejams tiešsaistē: </w:t>
      </w:r>
      <w:hyperlink r:id="rId2" w:history="1">
        <w:r w:rsidRPr="000E6B36">
          <w:rPr>
            <w:rStyle w:val="Hyperlink"/>
            <w:sz w:val="18"/>
            <w:szCs w:val="18"/>
          </w:rPr>
          <w:t>https://www.ipcc.ch/sr15/</w:t>
        </w:r>
      </w:hyperlink>
      <w:r w:rsidRPr="000E6B36">
        <w:rPr>
          <w:sz w:val="18"/>
          <w:szCs w:val="18"/>
        </w:rPr>
        <w:t xml:space="preserve"> </w:t>
      </w:r>
    </w:p>
  </w:footnote>
  <w:footnote w:id="5">
    <w:p w14:paraId="5524758C" w14:textId="77777777" w:rsidR="00FA16ED" w:rsidRPr="00AC3C85" w:rsidRDefault="00FA16ED" w:rsidP="00FA16ED">
      <w:pPr>
        <w:pStyle w:val="FootnoteText"/>
      </w:pPr>
      <w:r w:rsidRPr="00AC3C85">
        <w:rPr>
          <w:rStyle w:val="FootnoteReference"/>
        </w:rPr>
        <w:footnoteRef/>
      </w:r>
      <w:r w:rsidRPr="00AC3C85">
        <w:t xml:space="preserve"> KPFI darbojās no 2009.-2015. gadam;</w:t>
      </w:r>
    </w:p>
  </w:footnote>
  <w:footnote w:id="6">
    <w:p w14:paraId="0F0392B4" w14:textId="77777777" w:rsidR="00FA16ED" w:rsidRDefault="00FA16ED" w:rsidP="00FA16ED">
      <w:pPr>
        <w:pStyle w:val="FootnoteText"/>
      </w:pPr>
      <w:r w:rsidRPr="00BE68A6">
        <w:rPr>
          <w:rStyle w:val="FootnoteReference"/>
        </w:rPr>
        <w:footnoteRef/>
      </w:r>
      <w:r w:rsidRPr="00BE68A6">
        <w:t xml:space="preserve"> EKII uzsāka darbību 2016. gadā.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024"/>
    <w:multiLevelType w:val="hybridMultilevel"/>
    <w:tmpl w:val="8A0ECF9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1121CE"/>
    <w:multiLevelType w:val="hybridMultilevel"/>
    <w:tmpl w:val="4AB2DBAA"/>
    <w:lvl w:ilvl="0" w:tplc="0AEC47EA">
      <w:start w:val="1"/>
      <w:numFmt w:val="bullet"/>
      <w:lvlText w:val="•"/>
      <w:lvlJc w:val="left"/>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43D1653"/>
    <w:multiLevelType w:val="hybridMultilevel"/>
    <w:tmpl w:val="64C0A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9715D9"/>
    <w:multiLevelType w:val="hybridMultilevel"/>
    <w:tmpl w:val="A88A420A"/>
    <w:lvl w:ilvl="0" w:tplc="7848D1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2F49EF"/>
    <w:multiLevelType w:val="hybridMultilevel"/>
    <w:tmpl w:val="8C169A54"/>
    <w:lvl w:ilvl="0" w:tplc="DB1C407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626CC5"/>
    <w:multiLevelType w:val="hybridMultilevel"/>
    <w:tmpl w:val="2E34DB92"/>
    <w:lvl w:ilvl="0" w:tplc="0AEC47EA">
      <w:start w:val="1"/>
      <w:numFmt w:val="bullet"/>
      <w:lvlText w:val="•"/>
      <w:lvlJc w:val="left"/>
      <w:pPr>
        <w:tabs>
          <w:tab w:val="num" w:pos="720"/>
        </w:tabs>
        <w:ind w:left="720" w:hanging="360"/>
      </w:pPr>
      <w:rPr>
        <w:rFonts w:ascii="Arial" w:hAnsi="Arial" w:hint="default"/>
      </w:rPr>
    </w:lvl>
    <w:lvl w:ilvl="1" w:tplc="37DE8D8C" w:tentative="1">
      <w:start w:val="1"/>
      <w:numFmt w:val="bullet"/>
      <w:lvlText w:val="•"/>
      <w:lvlJc w:val="left"/>
      <w:pPr>
        <w:tabs>
          <w:tab w:val="num" w:pos="1440"/>
        </w:tabs>
        <w:ind w:left="1440" w:hanging="360"/>
      </w:pPr>
      <w:rPr>
        <w:rFonts w:ascii="Arial" w:hAnsi="Arial" w:hint="default"/>
      </w:rPr>
    </w:lvl>
    <w:lvl w:ilvl="2" w:tplc="DA822C26" w:tentative="1">
      <w:start w:val="1"/>
      <w:numFmt w:val="bullet"/>
      <w:lvlText w:val="•"/>
      <w:lvlJc w:val="left"/>
      <w:pPr>
        <w:tabs>
          <w:tab w:val="num" w:pos="2160"/>
        </w:tabs>
        <w:ind w:left="2160" w:hanging="360"/>
      </w:pPr>
      <w:rPr>
        <w:rFonts w:ascii="Arial" w:hAnsi="Arial" w:hint="default"/>
      </w:rPr>
    </w:lvl>
    <w:lvl w:ilvl="3" w:tplc="3CFCF434" w:tentative="1">
      <w:start w:val="1"/>
      <w:numFmt w:val="bullet"/>
      <w:lvlText w:val="•"/>
      <w:lvlJc w:val="left"/>
      <w:pPr>
        <w:tabs>
          <w:tab w:val="num" w:pos="2880"/>
        </w:tabs>
        <w:ind w:left="2880" w:hanging="360"/>
      </w:pPr>
      <w:rPr>
        <w:rFonts w:ascii="Arial" w:hAnsi="Arial" w:hint="default"/>
      </w:rPr>
    </w:lvl>
    <w:lvl w:ilvl="4" w:tplc="0630B006" w:tentative="1">
      <w:start w:val="1"/>
      <w:numFmt w:val="bullet"/>
      <w:lvlText w:val="•"/>
      <w:lvlJc w:val="left"/>
      <w:pPr>
        <w:tabs>
          <w:tab w:val="num" w:pos="3600"/>
        </w:tabs>
        <w:ind w:left="3600" w:hanging="360"/>
      </w:pPr>
      <w:rPr>
        <w:rFonts w:ascii="Arial" w:hAnsi="Arial" w:hint="default"/>
      </w:rPr>
    </w:lvl>
    <w:lvl w:ilvl="5" w:tplc="653C43D8" w:tentative="1">
      <w:start w:val="1"/>
      <w:numFmt w:val="bullet"/>
      <w:lvlText w:val="•"/>
      <w:lvlJc w:val="left"/>
      <w:pPr>
        <w:tabs>
          <w:tab w:val="num" w:pos="4320"/>
        </w:tabs>
        <w:ind w:left="4320" w:hanging="360"/>
      </w:pPr>
      <w:rPr>
        <w:rFonts w:ascii="Arial" w:hAnsi="Arial" w:hint="default"/>
      </w:rPr>
    </w:lvl>
    <w:lvl w:ilvl="6" w:tplc="25D0F1D8" w:tentative="1">
      <w:start w:val="1"/>
      <w:numFmt w:val="bullet"/>
      <w:lvlText w:val="•"/>
      <w:lvlJc w:val="left"/>
      <w:pPr>
        <w:tabs>
          <w:tab w:val="num" w:pos="5040"/>
        </w:tabs>
        <w:ind w:left="5040" w:hanging="360"/>
      </w:pPr>
      <w:rPr>
        <w:rFonts w:ascii="Arial" w:hAnsi="Arial" w:hint="default"/>
      </w:rPr>
    </w:lvl>
    <w:lvl w:ilvl="7" w:tplc="B0BEDE02" w:tentative="1">
      <w:start w:val="1"/>
      <w:numFmt w:val="bullet"/>
      <w:lvlText w:val="•"/>
      <w:lvlJc w:val="left"/>
      <w:pPr>
        <w:tabs>
          <w:tab w:val="num" w:pos="5760"/>
        </w:tabs>
        <w:ind w:left="5760" w:hanging="360"/>
      </w:pPr>
      <w:rPr>
        <w:rFonts w:ascii="Arial" w:hAnsi="Arial" w:hint="default"/>
      </w:rPr>
    </w:lvl>
    <w:lvl w:ilvl="8" w:tplc="A4361F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6A5851"/>
    <w:multiLevelType w:val="hybridMultilevel"/>
    <w:tmpl w:val="98DE2C3C"/>
    <w:lvl w:ilvl="0" w:tplc="D8048C2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9B3CCB"/>
    <w:multiLevelType w:val="hybridMultilevel"/>
    <w:tmpl w:val="F072D8CA"/>
    <w:lvl w:ilvl="0" w:tplc="36E09A56">
      <w:start w:val="1"/>
      <w:numFmt w:val="bullet"/>
      <w:lvlText w:val="•"/>
      <w:lvlJc w:val="left"/>
      <w:pPr>
        <w:tabs>
          <w:tab w:val="num" w:pos="720"/>
        </w:tabs>
        <w:ind w:left="720" w:hanging="360"/>
      </w:pPr>
      <w:rPr>
        <w:rFonts w:ascii="Arial" w:hAnsi="Arial" w:hint="default"/>
      </w:rPr>
    </w:lvl>
    <w:lvl w:ilvl="1" w:tplc="43FEC40C" w:tentative="1">
      <w:start w:val="1"/>
      <w:numFmt w:val="bullet"/>
      <w:lvlText w:val="•"/>
      <w:lvlJc w:val="left"/>
      <w:pPr>
        <w:tabs>
          <w:tab w:val="num" w:pos="1440"/>
        </w:tabs>
        <w:ind w:left="1440" w:hanging="360"/>
      </w:pPr>
      <w:rPr>
        <w:rFonts w:ascii="Arial" w:hAnsi="Arial" w:hint="default"/>
      </w:rPr>
    </w:lvl>
    <w:lvl w:ilvl="2" w:tplc="A3D6F008" w:tentative="1">
      <w:start w:val="1"/>
      <w:numFmt w:val="bullet"/>
      <w:lvlText w:val="•"/>
      <w:lvlJc w:val="left"/>
      <w:pPr>
        <w:tabs>
          <w:tab w:val="num" w:pos="2160"/>
        </w:tabs>
        <w:ind w:left="2160" w:hanging="360"/>
      </w:pPr>
      <w:rPr>
        <w:rFonts w:ascii="Arial" w:hAnsi="Arial" w:hint="default"/>
      </w:rPr>
    </w:lvl>
    <w:lvl w:ilvl="3" w:tplc="1FCEAD1E" w:tentative="1">
      <w:start w:val="1"/>
      <w:numFmt w:val="bullet"/>
      <w:lvlText w:val="•"/>
      <w:lvlJc w:val="left"/>
      <w:pPr>
        <w:tabs>
          <w:tab w:val="num" w:pos="2880"/>
        </w:tabs>
        <w:ind w:left="2880" w:hanging="360"/>
      </w:pPr>
      <w:rPr>
        <w:rFonts w:ascii="Arial" w:hAnsi="Arial" w:hint="default"/>
      </w:rPr>
    </w:lvl>
    <w:lvl w:ilvl="4" w:tplc="C76AC6E6" w:tentative="1">
      <w:start w:val="1"/>
      <w:numFmt w:val="bullet"/>
      <w:lvlText w:val="•"/>
      <w:lvlJc w:val="left"/>
      <w:pPr>
        <w:tabs>
          <w:tab w:val="num" w:pos="3600"/>
        </w:tabs>
        <w:ind w:left="3600" w:hanging="360"/>
      </w:pPr>
      <w:rPr>
        <w:rFonts w:ascii="Arial" w:hAnsi="Arial" w:hint="default"/>
      </w:rPr>
    </w:lvl>
    <w:lvl w:ilvl="5" w:tplc="F5009182" w:tentative="1">
      <w:start w:val="1"/>
      <w:numFmt w:val="bullet"/>
      <w:lvlText w:val="•"/>
      <w:lvlJc w:val="left"/>
      <w:pPr>
        <w:tabs>
          <w:tab w:val="num" w:pos="4320"/>
        </w:tabs>
        <w:ind w:left="4320" w:hanging="360"/>
      </w:pPr>
      <w:rPr>
        <w:rFonts w:ascii="Arial" w:hAnsi="Arial" w:hint="default"/>
      </w:rPr>
    </w:lvl>
    <w:lvl w:ilvl="6" w:tplc="A8DEB9DE" w:tentative="1">
      <w:start w:val="1"/>
      <w:numFmt w:val="bullet"/>
      <w:lvlText w:val="•"/>
      <w:lvlJc w:val="left"/>
      <w:pPr>
        <w:tabs>
          <w:tab w:val="num" w:pos="5040"/>
        </w:tabs>
        <w:ind w:left="5040" w:hanging="360"/>
      </w:pPr>
      <w:rPr>
        <w:rFonts w:ascii="Arial" w:hAnsi="Arial" w:hint="default"/>
      </w:rPr>
    </w:lvl>
    <w:lvl w:ilvl="7" w:tplc="0818F84A" w:tentative="1">
      <w:start w:val="1"/>
      <w:numFmt w:val="bullet"/>
      <w:lvlText w:val="•"/>
      <w:lvlJc w:val="left"/>
      <w:pPr>
        <w:tabs>
          <w:tab w:val="num" w:pos="5760"/>
        </w:tabs>
        <w:ind w:left="5760" w:hanging="360"/>
      </w:pPr>
      <w:rPr>
        <w:rFonts w:ascii="Arial" w:hAnsi="Arial" w:hint="default"/>
      </w:rPr>
    </w:lvl>
    <w:lvl w:ilvl="8" w:tplc="F1C0FA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14333E"/>
    <w:multiLevelType w:val="hybridMultilevel"/>
    <w:tmpl w:val="17A81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F248BF"/>
    <w:multiLevelType w:val="multilevel"/>
    <w:tmpl w:val="35CE9D6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9E300CF"/>
    <w:multiLevelType w:val="hybridMultilevel"/>
    <w:tmpl w:val="6F1A95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A2B2992"/>
    <w:multiLevelType w:val="hybridMultilevel"/>
    <w:tmpl w:val="FD44CA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2D4A13"/>
    <w:multiLevelType w:val="multilevel"/>
    <w:tmpl w:val="22127A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CC621E"/>
    <w:multiLevelType w:val="singleLevel"/>
    <w:tmpl w:val="2CD8C9DC"/>
    <w:name w:val="Dash Equal 1"/>
    <w:lvl w:ilvl="0">
      <w:start w:val="1"/>
      <w:numFmt w:val="bullet"/>
      <w:pStyle w:val="DashEqual1"/>
      <w:lvlText w:val="="/>
      <w:lvlJc w:val="left"/>
      <w:pPr>
        <w:tabs>
          <w:tab w:val="num" w:pos="1134"/>
        </w:tabs>
        <w:ind w:left="1134" w:hanging="567"/>
      </w:pPr>
    </w:lvl>
  </w:abstractNum>
  <w:abstractNum w:abstractNumId="14" w15:restartNumberingAfterBreak="0">
    <w:nsid w:val="50312840"/>
    <w:multiLevelType w:val="hybridMultilevel"/>
    <w:tmpl w:val="A15A63BA"/>
    <w:lvl w:ilvl="0" w:tplc="71D0C6A2">
      <w:start w:val="1"/>
      <w:numFmt w:val="bullet"/>
      <w:lvlText w:val="•"/>
      <w:lvlJc w:val="left"/>
      <w:pPr>
        <w:tabs>
          <w:tab w:val="num" w:pos="720"/>
        </w:tabs>
        <w:ind w:left="720" w:hanging="360"/>
      </w:pPr>
      <w:rPr>
        <w:rFonts w:ascii="Arial" w:hAnsi="Arial" w:hint="default"/>
      </w:rPr>
    </w:lvl>
    <w:lvl w:ilvl="1" w:tplc="B978D146" w:tentative="1">
      <w:start w:val="1"/>
      <w:numFmt w:val="bullet"/>
      <w:lvlText w:val="•"/>
      <w:lvlJc w:val="left"/>
      <w:pPr>
        <w:tabs>
          <w:tab w:val="num" w:pos="1440"/>
        </w:tabs>
        <w:ind w:left="1440" w:hanging="360"/>
      </w:pPr>
      <w:rPr>
        <w:rFonts w:ascii="Arial" w:hAnsi="Arial" w:hint="default"/>
      </w:rPr>
    </w:lvl>
    <w:lvl w:ilvl="2" w:tplc="E0C44CBC" w:tentative="1">
      <w:start w:val="1"/>
      <w:numFmt w:val="bullet"/>
      <w:lvlText w:val="•"/>
      <w:lvlJc w:val="left"/>
      <w:pPr>
        <w:tabs>
          <w:tab w:val="num" w:pos="2160"/>
        </w:tabs>
        <w:ind w:left="2160" w:hanging="360"/>
      </w:pPr>
      <w:rPr>
        <w:rFonts w:ascii="Arial" w:hAnsi="Arial" w:hint="default"/>
      </w:rPr>
    </w:lvl>
    <w:lvl w:ilvl="3" w:tplc="55AACD30" w:tentative="1">
      <w:start w:val="1"/>
      <w:numFmt w:val="bullet"/>
      <w:lvlText w:val="•"/>
      <w:lvlJc w:val="left"/>
      <w:pPr>
        <w:tabs>
          <w:tab w:val="num" w:pos="2880"/>
        </w:tabs>
        <w:ind w:left="2880" w:hanging="360"/>
      </w:pPr>
      <w:rPr>
        <w:rFonts w:ascii="Arial" w:hAnsi="Arial" w:hint="default"/>
      </w:rPr>
    </w:lvl>
    <w:lvl w:ilvl="4" w:tplc="37D8AD56" w:tentative="1">
      <w:start w:val="1"/>
      <w:numFmt w:val="bullet"/>
      <w:lvlText w:val="•"/>
      <w:lvlJc w:val="left"/>
      <w:pPr>
        <w:tabs>
          <w:tab w:val="num" w:pos="3600"/>
        </w:tabs>
        <w:ind w:left="3600" w:hanging="360"/>
      </w:pPr>
      <w:rPr>
        <w:rFonts w:ascii="Arial" w:hAnsi="Arial" w:hint="default"/>
      </w:rPr>
    </w:lvl>
    <w:lvl w:ilvl="5" w:tplc="3AE25176" w:tentative="1">
      <w:start w:val="1"/>
      <w:numFmt w:val="bullet"/>
      <w:lvlText w:val="•"/>
      <w:lvlJc w:val="left"/>
      <w:pPr>
        <w:tabs>
          <w:tab w:val="num" w:pos="4320"/>
        </w:tabs>
        <w:ind w:left="4320" w:hanging="360"/>
      </w:pPr>
      <w:rPr>
        <w:rFonts w:ascii="Arial" w:hAnsi="Arial" w:hint="default"/>
      </w:rPr>
    </w:lvl>
    <w:lvl w:ilvl="6" w:tplc="7A1ACD5A" w:tentative="1">
      <w:start w:val="1"/>
      <w:numFmt w:val="bullet"/>
      <w:lvlText w:val="•"/>
      <w:lvlJc w:val="left"/>
      <w:pPr>
        <w:tabs>
          <w:tab w:val="num" w:pos="5040"/>
        </w:tabs>
        <w:ind w:left="5040" w:hanging="360"/>
      </w:pPr>
      <w:rPr>
        <w:rFonts w:ascii="Arial" w:hAnsi="Arial" w:hint="default"/>
      </w:rPr>
    </w:lvl>
    <w:lvl w:ilvl="7" w:tplc="A06017B4" w:tentative="1">
      <w:start w:val="1"/>
      <w:numFmt w:val="bullet"/>
      <w:lvlText w:val="•"/>
      <w:lvlJc w:val="left"/>
      <w:pPr>
        <w:tabs>
          <w:tab w:val="num" w:pos="5760"/>
        </w:tabs>
        <w:ind w:left="5760" w:hanging="360"/>
      </w:pPr>
      <w:rPr>
        <w:rFonts w:ascii="Arial" w:hAnsi="Arial" w:hint="default"/>
      </w:rPr>
    </w:lvl>
    <w:lvl w:ilvl="8" w:tplc="AB7654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995EC2"/>
    <w:multiLevelType w:val="hybridMultilevel"/>
    <w:tmpl w:val="E12E4C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7AB05B2"/>
    <w:multiLevelType w:val="hybridMultilevel"/>
    <w:tmpl w:val="7674ADF0"/>
    <w:lvl w:ilvl="0" w:tplc="0AEC47EA">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1F53DFD"/>
    <w:multiLevelType w:val="hybridMultilevel"/>
    <w:tmpl w:val="A8FAF1F6"/>
    <w:lvl w:ilvl="0" w:tplc="28E8BE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354CED"/>
    <w:multiLevelType w:val="hybridMultilevel"/>
    <w:tmpl w:val="F5BA8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D07FB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F14617"/>
    <w:multiLevelType w:val="multilevel"/>
    <w:tmpl w:val="214CD430"/>
    <w:lvl w:ilvl="0">
      <w:start w:val="5"/>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6B710CC8"/>
    <w:multiLevelType w:val="hybridMultilevel"/>
    <w:tmpl w:val="20F01B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6D800656"/>
    <w:multiLevelType w:val="hybridMultilevel"/>
    <w:tmpl w:val="F898A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EF56954"/>
    <w:multiLevelType w:val="multilevel"/>
    <w:tmpl w:val="5B12503E"/>
    <w:lvl w:ilvl="0">
      <w:start w:val="3"/>
      <w:numFmt w:val="decimal"/>
      <w:lvlText w:val="%1."/>
      <w:lvlJc w:val="left"/>
      <w:pPr>
        <w:ind w:left="360" w:hanging="360"/>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8"/>
  </w:num>
  <w:num w:numId="3">
    <w:abstractNumId w:val="15"/>
  </w:num>
  <w:num w:numId="4">
    <w:abstractNumId w:val="6"/>
  </w:num>
  <w:num w:numId="5">
    <w:abstractNumId w:val="1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3"/>
  </w:num>
  <w:num w:numId="10">
    <w:abstractNumId w:val="11"/>
  </w:num>
  <w:num w:numId="11">
    <w:abstractNumId w:val="10"/>
  </w:num>
  <w:num w:numId="12">
    <w:abstractNumId w:val="9"/>
  </w:num>
  <w:num w:numId="13">
    <w:abstractNumId w:val="22"/>
  </w:num>
  <w:num w:numId="14">
    <w:abstractNumId w:val="5"/>
  </w:num>
  <w:num w:numId="15">
    <w:abstractNumId w:val="7"/>
  </w:num>
  <w:num w:numId="16">
    <w:abstractNumId w:val="14"/>
  </w:num>
  <w:num w:numId="17">
    <w:abstractNumId w:val="3"/>
  </w:num>
  <w:num w:numId="18">
    <w:abstractNumId w:val="4"/>
  </w:num>
  <w:num w:numId="19">
    <w:abstractNumId w:val="1"/>
  </w:num>
  <w:num w:numId="20">
    <w:abstractNumId w:val="16"/>
  </w:num>
  <w:num w:numId="21">
    <w:abstractNumId w:val="21"/>
  </w:num>
  <w:num w:numId="22">
    <w:abstractNumId w:val="2"/>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54"/>
    <w:rsid w:val="000061C2"/>
    <w:rsid w:val="00013395"/>
    <w:rsid w:val="00026E93"/>
    <w:rsid w:val="00030FD3"/>
    <w:rsid w:val="00042E4F"/>
    <w:rsid w:val="00045081"/>
    <w:rsid w:val="00045ABE"/>
    <w:rsid w:val="0004702B"/>
    <w:rsid w:val="0004759E"/>
    <w:rsid w:val="00055FC3"/>
    <w:rsid w:val="00077EB4"/>
    <w:rsid w:val="00086790"/>
    <w:rsid w:val="00094CAB"/>
    <w:rsid w:val="000A1D4E"/>
    <w:rsid w:val="000A2015"/>
    <w:rsid w:val="000C6075"/>
    <w:rsid w:val="000E0D72"/>
    <w:rsid w:val="000E14EE"/>
    <w:rsid w:val="000E6B36"/>
    <w:rsid w:val="00103CD4"/>
    <w:rsid w:val="001163C2"/>
    <w:rsid w:val="00137B10"/>
    <w:rsid w:val="001420C2"/>
    <w:rsid w:val="001503BF"/>
    <w:rsid w:val="0015763E"/>
    <w:rsid w:val="00167940"/>
    <w:rsid w:val="00180489"/>
    <w:rsid w:val="001B68A9"/>
    <w:rsid w:val="001C79A5"/>
    <w:rsid w:val="001D338F"/>
    <w:rsid w:val="001E4413"/>
    <w:rsid w:val="00202254"/>
    <w:rsid w:val="002035B1"/>
    <w:rsid w:val="0020554D"/>
    <w:rsid w:val="00210A33"/>
    <w:rsid w:val="00212CD8"/>
    <w:rsid w:val="00230FE0"/>
    <w:rsid w:val="00240127"/>
    <w:rsid w:val="00240135"/>
    <w:rsid w:val="002401DC"/>
    <w:rsid w:val="00264835"/>
    <w:rsid w:val="00271D92"/>
    <w:rsid w:val="00291453"/>
    <w:rsid w:val="002A6CA7"/>
    <w:rsid w:val="002B0F59"/>
    <w:rsid w:val="002B3CD1"/>
    <w:rsid w:val="002B5391"/>
    <w:rsid w:val="002B62C8"/>
    <w:rsid w:val="002B70B1"/>
    <w:rsid w:val="002B765F"/>
    <w:rsid w:val="002C01B9"/>
    <w:rsid w:val="002C7392"/>
    <w:rsid w:val="002D0829"/>
    <w:rsid w:val="002D5DBA"/>
    <w:rsid w:val="002D663B"/>
    <w:rsid w:val="002D7793"/>
    <w:rsid w:val="002F28C2"/>
    <w:rsid w:val="0030079F"/>
    <w:rsid w:val="003059FC"/>
    <w:rsid w:val="0031093B"/>
    <w:rsid w:val="003225B5"/>
    <w:rsid w:val="00324D8A"/>
    <w:rsid w:val="00330265"/>
    <w:rsid w:val="003477D2"/>
    <w:rsid w:val="0036079B"/>
    <w:rsid w:val="003624DB"/>
    <w:rsid w:val="003645C6"/>
    <w:rsid w:val="00371411"/>
    <w:rsid w:val="00371A06"/>
    <w:rsid w:val="00374823"/>
    <w:rsid w:val="003836C6"/>
    <w:rsid w:val="0038634F"/>
    <w:rsid w:val="00393B99"/>
    <w:rsid w:val="003A3130"/>
    <w:rsid w:val="003A6DB5"/>
    <w:rsid w:val="003A7A09"/>
    <w:rsid w:val="003B28FF"/>
    <w:rsid w:val="003B4915"/>
    <w:rsid w:val="003B69FE"/>
    <w:rsid w:val="003E3DE9"/>
    <w:rsid w:val="004021AC"/>
    <w:rsid w:val="00405A3E"/>
    <w:rsid w:val="00411566"/>
    <w:rsid w:val="00412E89"/>
    <w:rsid w:val="00423543"/>
    <w:rsid w:val="00436497"/>
    <w:rsid w:val="004407C0"/>
    <w:rsid w:val="0044580B"/>
    <w:rsid w:val="0044658E"/>
    <w:rsid w:val="00480691"/>
    <w:rsid w:val="00483DDB"/>
    <w:rsid w:val="00495B55"/>
    <w:rsid w:val="004A4D76"/>
    <w:rsid w:val="004B55E6"/>
    <w:rsid w:val="004C3AAD"/>
    <w:rsid w:val="004C56AF"/>
    <w:rsid w:val="004C5EFE"/>
    <w:rsid w:val="004D060A"/>
    <w:rsid w:val="004E0503"/>
    <w:rsid w:val="004E70AC"/>
    <w:rsid w:val="004F3AB9"/>
    <w:rsid w:val="00520DEC"/>
    <w:rsid w:val="00525671"/>
    <w:rsid w:val="00527899"/>
    <w:rsid w:val="00536637"/>
    <w:rsid w:val="00540C35"/>
    <w:rsid w:val="0054239D"/>
    <w:rsid w:val="00560DE1"/>
    <w:rsid w:val="00576B96"/>
    <w:rsid w:val="005913FE"/>
    <w:rsid w:val="005A41A1"/>
    <w:rsid w:val="005A620E"/>
    <w:rsid w:val="005A6601"/>
    <w:rsid w:val="005A779E"/>
    <w:rsid w:val="005C14F8"/>
    <w:rsid w:val="005C26CB"/>
    <w:rsid w:val="005C31FE"/>
    <w:rsid w:val="005C5951"/>
    <w:rsid w:val="005C7A89"/>
    <w:rsid w:val="005D5A89"/>
    <w:rsid w:val="005F5DE2"/>
    <w:rsid w:val="00606C4A"/>
    <w:rsid w:val="0061482C"/>
    <w:rsid w:val="00617D13"/>
    <w:rsid w:val="0063379E"/>
    <w:rsid w:val="006355FF"/>
    <w:rsid w:val="00664B6F"/>
    <w:rsid w:val="006778D3"/>
    <w:rsid w:val="00684B62"/>
    <w:rsid w:val="006935D9"/>
    <w:rsid w:val="006A0C3F"/>
    <w:rsid w:val="006A5DC6"/>
    <w:rsid w:val="006B0763"/>
    <w:rsid w:val="006C6492"/>
    <w:rsid w:val="006E3744"/>
    <w:rsid w:val="006F1C80"/>
    <w:rsid w:val="006F1EAF"/>
    <w:rsid w:val="007017BC"/>
    <w:rsid w:val="00732496"/>
    <w:rsid w:val="007529B9"/>
    <w:rsid w:val="00772B54"/>
    <w:rsid w:val="00776441"/>
    <w:rsid w:val="00793164"/>
    <w:rsid w:val="0079641C"/>
    <w:rsid w:val="00796B42"/>
    <w:rsid w:val="007A3432"/>
    <w:rsid w:val="007A49A2"/>
    <w:rsid w:val="007C1A88"/>
    <w:rsid w:val="007C1C97"/>
    <w:rsid w:val="007C7A6B"/>
    <w:rsid w:val="007D648A"/>
    <w:rsid w:val="007E1E92"/>
    <w:rsid w:val="007E205B"/>
    <w:rsid w:val="00814378"/>
    <w:rsid w:val="00817D8C"/>
    <w:rsid w:val="00820B9D"/>
    <w:rsid w:val="008264B3"/>
    <w:rsid w:val="0082701F"/>
    <w:rsid w:val="00860936"/>
    <w:rsid w:val="0087642A"/>
    <w:rsid w:val="00877549"/>
    <w:rsid w:val="00887291"/>
    <w:rsid w:val="00895278"/>
    <w:rsid w:val="008973A9"/>
    <w:rsid w:val="008A2E35"/>
    <w:rsid w:val="008C5C91"/>
    <w:rsid w:val="00907DFD"/>
    <w:rsid w:val="00915A5A"/>
    <w:rsid w:val="009265DE"/>
    <w:rsid w:val="00930F45"/>
    <w:rsid w:val="0094062C"/>
    <w:rsid w:val="0095476D"/>
    <w:rsid w:val="00956843"/>
    <w:rsid w:val="00961BBF"/>
    <w:rsid w:val="00994604"/>
    <w:rsid w:val="009D0C4B"/>
    <w:rsid w:val="009D6953"/>
    <w:rsid w:val="009E0105"/>
    <w:rsid w:val="009E5302"/>
    <w:rsid w:val="009F0C23"/>
    <w:rsid w:val="00A050A8"/>
    <w:rsid w:val="00A05205"/>
    <w:rsid w:val="00A05395"/>
    <w:rsid w:val="00A13A9C"/>
    <w:rsid w:val="00A300FD"/>
    <w:rsid w:val="00A37293"/>
    <w:rsid w:val="00A379B2"/>
    <w:rsid w:val="00A42165"/>
    <w:rsid w:val="00A46865"/>
    <w:rsid w:val="00A55C29"/>
    <w:rsid w:val="00A56E32"/>
    <w:rsid w:val="00A91F99"/>
    <w:rsid w:val="00AA5342"/>
    <w:rsid w:val="00AB2EBC"/>
    <w:rsid w:val="00AB5213"/>
    <w:rsid w:val="00AC3C85"/>
    <w:rsid w:val="00AC6DE6"/>
    <w:rsid w:val="00AF07D2"/>
    <w:rsid w:val="00B37A49"/>
    <w:rsid w:val="00B5338B"/>
    <w:rsid w:val="00B6717B"/>
    <w:rsid w:val="00B829E7"/>
    <w:rsid w:val="00B96F13"/>
    <w:rsid w:val="00BA0E41"/>
    <w:rsid w:val="00BC53DB"/>
    <w:rsid w:val="00BC7149"/>
    <w:rsid w:val="00BD05B1"/>
    <w:rsid w:val="00BE67D7"/>
    <w:rsid w:val="00BE68A6"/>
    <w:rsid w:val="00BF5CC7"/>
    <w:rsid w:val="00C06855"/>
    <w:rsid w:val="00C12F36"/>
    <w:rsid w:val="00C143F4"/>
    <w:rsid w:val="00C21AFD"/>
    <w:rsid w:val="00C3129B"/>
    <w:rsid w:val="00C37272"/>
    <w:rsid w:val="00C4792E"/>
    <w:rsid w:val="00C539CC"/>
    <w:rsid w:val="00C576F1"/>
    <w:rsid w:val="00C66734"/>
    <w:rsid w:val="00C7201B"/>
    <w:rsid w:val="00C85943"/>
    <w:rsid w:val="00CD1C37"/>
    <w:rsid w:val="00CD6AB1"/>
    <w:rsid w:val="00CF3C1B"/>
    <w:rsid w:val="00D0497A"/>
    <w:rsid w:val="00D251B0"/>
    <w:rsid w:val="00D32C2F"/>
    <w:rsid w:val="00D377EB"/>
    <w:rsid w:val="00D624F3"/>
    <w:rsid w:val="00D6377B"/>
    <w:rsid w:val="00D648EA"/>
    <w:rsid w:val="00D80335"/>
    <w:rsid w:val="00D82CE9"/>
    <w:rsid w:val="00D844F0"/>
    <w:rsid w:val="00D86E5A"/>
    <w:rsid w:val="00DB2731"/>
    <w:rsid w:val="00DC7452"/>
    <w:rsid w:val="00DD0BA2"/>
    <w:rsid w:val="00DD5DF1"/>
    <w:rsid w:val="00DD792D"/>
    <w:rsid w:val="00DE2228"/>
    <w:rsid w:val="00DE421D"/>
    <w:rsid w:val="00E021F4"/>
    <w:rsid w:val="00E2352F"/>
    <w:rsid w:val="00E3152F"/>
    <w:rsid w:val="00E33275"/>
    <w:rsid w:val="00E4100F"/>
    <w:rsid w:val="00E43A9B"/>
    <w:rsid w:val="00E903B4"/>
    <w:rsid w:val="00E923AA"/>
    <w:rsid w:val="00E92C5E"/>
    <w:rsid w:val="00EB2313"/>
    <w:rsid w:val="00EB385A"/>
    <w:rsid w:val="00EB706B"/>
    <w:rsid w:val="00EC57CD"/>
    <w:rsid w:val="00ED196B"/>
    <w:rsid w:val="00ED1FBA"/>
    <w:rsid w:val="00EE40BA"/>
    <w:rsid w:val="00EE41EB"/>
    <w:rsid w:val="00EF62DC"/>
    <w:rsid w:val="00F207DC"/>
    <w:rsid w:val="00F211B1"/>
    <w:rsid w:val="00F3216C"/>
    <w:rsid w:val="00F328C3"/>
    <w:rsid w:val="00F4371A"/>
    <w:rsid w:val="00F47983"/>
    <w:rsid w:val="00F47C97"/>
    <w:rsid w:val="00F537F9"/>
    <w:rsid w:val="00F568FE"/>
    <w:rsid w:val="00F67F45"/>
    <w:rsid w:val="00F72A4A"/>
    <w:rsid w:val="00F74D3D"/>
    <w:rsid w:val="00F754ED"/>
    <w:rsid w:val="00F755B2"/>
    <w:rsid w:val="00F76ADA"/>
    <w:rsid w:val="00F76EA1"/>
    <w:rsid w:val="00F830C2"/>
    <w:rsid w:val="00F84217"/>
    <w:rsid w:val="00FA0D01"/>
    <w:rsid w:val="00FA16ED"/>
    <w:rsid w:val="00FB0098"/>
    <w:rsid w:val="00FB0B63"/>
    <w:rsid w:val="00FB481E"/>
    <w:rsid w:val="00FB63BB"/>
    <w:rsid w:val="00FB7FC0"/>
    <w:rsid w:val="00FC2233"/>
    <w:rsid w:val="00FC6E5A"/>
    <w:rsid w:val="00FD6A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A33"/>
    <w:pPr>
      <w:autoSpaceDE w:val="0"/>
      <w:autoSpaceDN w:val="0"/>
      <w:adjustRightInd w:val="0"/>
      <w:spacing w:after="0" w:line="240" w:lineRule="auto"/>
    </w:pPr>
    <w:rPr>
      <w:rFonts w:ascii="Times New Roman" w:hAnsi="Times New Roman" w:cs="Times New Roman"/>
      <w:color w:val="000000"/>
      <w:sz w:val="24"/>
      <w:szCs w:val="24"/>
    </w:rPr>
  </w:style>
  <w:style w:type="character" w:styleId="IntenseReference">
    <w:name w:val="Intense Reference"/>
    <w:basedOn w:val="DefaultParagraphFont"/>
    <w:uiPriority w:val="32"/>
    <w:qFormat/>
    <w:rsid w:val="00A91F99"/>
    <w:rPr>
      <w:b/>
      <w:bCs/>
      <w:smallCaps/>
      <w:color w:val="4472C4" w:themeColor="accent1"/>
      <w:spacing w:val="5"/>
    </w:rPr>
  </w:style>
  <w:style w:type="paragraph" w:styleId="BodyText2">
    <w:name w:val="Body Text 2"/>
    <w:basedOn w:val="Normal"/>
    <w:link w:val="BodyText2Char"/>
    <w:uiPriority w:val="99"/>
    <w:unhideWhenUsed/>
    <w:rsid w:val="00094CAB"/>
    <w:pPr>
      <w:spacing w:after="120" w:line="480" w:lineRule="auto"/>
      <w:jc w:val="both"/>
    </w:pPr>
    <w:rPr>
      <w:rFonts w:ascii="Times New Roman" w:eastAsia="Calibri" w:hAnsi="Times New Roman" w:cs="Times New Roman"/>
      <w:sz w:val="24"/>
      <w:szCs w:val="20"/>
    </w:rPr>
  </w:style>
  <w:style w:type="character" w:customStyle="1" w:styleId="BodyText2Char">
    <w:name w:val="Body Text 2 Char"/>
    <w:basedOn w:val="DefaultParagraphFont"/>
    <w:link w:val="BodyText2"/>
    <w:uiPriority w:val="99"/>
    <w:rsid w:val="00094CAB"/>
    <w:rPr>
      <w:rFonts w:ascii="Times New Roman" w:eastAsia="Calibri" w:hAnsi="Times New Roman" w:cs="Times New Roman"/>
      <w:sz w:val="24"/>
      <w:szCs w:val="20"/>
    </w:rPr>
  </w:style>
  <w:style w:type="paragraph" w:styleId="EndnoteText">
    <w:name w:val="endnote text"/>
    <w:basedOn w:val="Normal"/>
    <w:link w:val="EndnoteTextChar"/>
    <w:uiPriority w:val="99"/>
    <w:semiHidden/>
    <w:unhideWhenUsed/>
    <w:rsid w:val="003A31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3130"/>
    <w:rPr>
      <w:sz w:val="20"/>
      <w:szCs w:val="20"/>
    </w:rPr>
  </w:style>
  <w:style w:type="character" w:styleId="EndnoteReference">
    <w:name w:val="endnote reference"/>
    <w:basedOn w:val="DefaultParagraphFont"/>
    <w:uiPriority w:val="99"/>
    <w:semiHidden/>
    <w:unhideWhenUsed/>
    <w:rsid w:val="003A3130"/>
    <w:rPr>
      <w:vertAlign w:val="superscript"/>
    </w:rPr>
  </w:style>
  <w:style w:type="paragraph" w:styleId="BalloonText">
    <w:name w:val="Balloon Text"/>
    <w:basedOn w:val="Normal"/>
    <w:link w:val="BalloonTextChar"/>
    <w:uiPriority w:val="99"/>
    <w:semiHidden/>
    <w:unhideWhenUsed/>
    <w:rsid w:val="00817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8C"/>
    <w:rPr>
      <w:rFonts w:ascii="Segoe UI" w:hAnsi="Segoe UI" w:cs="Segoe UI"/>
      <w:sz w:val="18"/>
      <w:szCs w:val="18"/>
    </w:rPr>
  </w:style>
  <w:style w:type="paragraph" w:customStyle="1" w:styleId="DashEqual1">
    <w:name w:val="Dash Equal 1"/>
    <w:basedOn w:val="Normal"/>
    <w:rsid w:val="00817D8C"/>
    <w:pPr>
      <w:numPr>
        <w:numId w:val="5"/>
      </w:numPr>
      <w:spacing w:after="120" w:line="240" w:lineRule="auto"/>
      <w:jc w:val="both"/>
    </w:pPr>
    <w:rPr>
      <w:rFonts w:ascii="Times New Roman" w:eastAsia="Calibri" w:hAnsi="Times New Roman" w:cs="Times New Roman"/>
      <w:sz w:val="24"/>
      <w:szCs w:val="24"/>
      <w:lang w:val="en-US"/>
    </w:rPr>
  </w:style>
  <w:style w:type="character" w:styleId="CommentReference">
    <w:name w:val="annotation reference"/>
    <w:basedOn w:val="DefaultParagraphFont"/>
    <w:uiPriority w:val="99"/>
    <w:semiHidden/>
    <w:unhideWhenUsed/>
    <w:rsid w:val="003645C6"/>
    <w:rPr>
      <w:sz w:val="16"/>
      <w:szCs w:val="16"/>
    </w:rPr>
  </w:style>
  <w:style w:type="paragraph" w:styleId="CommentText">
    <w:name w:val="annotation text"/>
    <w:basedOn w:val="Normal"/>
    <w:link w:val="CommentTextChar"/>
    <w:uiPriority w:val="99"/>
    <w:unhideWhenUsed/>
    <w:rsid w:val="003645C6"/>
    <w:pPr>
      <w:spacing w:line="240" w:lineRule="auto"/>
    </w:pPr>
    <w:rPr>
      <w:sz w:val="20"/>
      <w:szCs w:val="20"/>
    </w:rPr>
  </w:style>
  <w:style w:type="character" w:customStyle="1" w:styleId="CommentTextChar">
    <w:name w:val="Comment Text Char"/>
    <w:basedOn w:val="DefaultParagraphFont"/>
    <w:link w:val="CommentText"/>
    <w:uiPriority w:val="99"/>
    <w:rsid w:val="003645C6"/>
    <w:rPr>
      <w:sz w:val="20"/>
      <w:szCs w:val="20"/>
    </w:rPr>
  </w:style>
  <w:style w:type="paragraph" w:styleId="CommentSubject">
    <w:name w:val="annotation subject"/>
    <w:basedOn w:val="CommentText"/>
    <w:next w:val="CommentText"/>
    <w:link w:val="CommentSubjectChar"/>
    <w:uiPriority w:val="99"/>
    <w:semiHidden/>
    <w:unhideWhenUsed/>
    <w:rsid w:val="003645C6"/>
    <w:rPr>
      <w:b/>
      <w:bCs/>
    </w:rPr>
  </w:style>
  <w:style w:type="character" w:customStyle="1" w:styleId="CommentSubjectChar">
    <w:name w:val="Comment Subject Char"/>
    <w:basedOn w:val="CommentTextChar"/>
    <w:link w:val="CommentSubject"/>
    <w:uiPriority w:val="99"/>
    <w:semiHidden/>
    <w:rsid w:val="003645C6"/>
    <w:rPr>
      <w:b/>
      <w:bCs/>
      <w:sz w:val="20"/>
      <w:szCs w:val="20"/>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Odstavec1"/>
    <w:basedOn w:val="Normal"/>
    <w:link w:val="ListParagraphChar"/>
    <w:uiPriority w:val="34"/>
    <w:qFormat/>
    <w:rsid w:val="00393B99"/>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393B99"/>
  </w:style>
  <w:style w:type="paragraph" w:styleId="NoSpacing">
    <w:name w:val="No Spacing"/>
    <w:uiPriority w:val="1"/>
    <w:qFormat/>
    <w:rsid w:val="00814378"/>
    <w:pPr>
      <w:spacing w:after="0" w:line="240" w:lineRule="auto"/>
      <w:jc w:val="both"/>
    </w:pPr>
    <w:rPr>
      <w:rFonts w:ascii="Times New Roman" w:hAnsi="Times New Roman"/>
      <w:sz w:val="24"/>
    </w:rPr>
  </w:style>
  <w:style w:type="character" w:styleId="Hyperlink">
    <w:name w:val="Hyperlink"/>
    <w:uiPriority w:val="99"/>
    <w:rsid w:val="000061C2"/>
    <w:rPr>
      <w:rFonts w:cs="Times New Roman"/>
      <w:color w:val="0000FF"/>
      <w:u w:val="single"/>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qFormat/>
    <w:rsid w:val="006B0763"/>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qFormat/>
    <w:rsid w:val="000061C2"/>
    <w:rPr>
      <w:rFonts w:ascii="Times New Roman" w:eastAsia="Times New Roman" w:hAnsi="Times New Roman" w:cs="Times New Roman"/>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FootnoteRefernece"/>
    <w:uiPriority w:val="99"/>
    <w:qFormat/>
    <w:rsid w:val="000061C2"/>
    <w:rPr>
      <w:rFonts w:cs="Times New Roman"/>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0061C2"/>
    <w:pPr>
      <w:spacing w:line="240" w:lineRule="exact"/>
      <w:jc w:val="both"/>
      <w:textAlignment w:val="baseline"/>
    </w:pPr>
    <w:rPr>
      <w:rFonts w:cs="Times New Roman"/>
      <w:vertAlign w:val="superscript"/>
    </w:rPr>
  </w:style>
  <w:style w:type="table" w:styleId="TableGrid">
    <w:name w:val="Table Grid"/>
    <w:basedOn w:val="TableNormal"/>
    <w:uiPriority w:val="39"/>
    <w:rsid w:val="006B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07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B07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0763"/>
  </w:style>
  <w:style w:type="paragraph" w:styleId="Footer">
    <w:name w:val="footer"/>
    <w:basedOn w:val="Normal"/>
    <w:link w:val="FooterChar"/>
    <w:uiPriority w:val="99"/>
    <w:unhideWhenUsed/>
    <w:rsid w:val="006B07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0763"/>
  </w:style>
  <w:style w:type="paragraph" w:styleId="Revision">
    <w:name w:val="Revision"/>
    <w:hidden/>
    <w:uiPriority w:val="99"/>
    <w:semiHidden/>
    <w:rsid w:val="006B0763"/>
    <w:pPr>
      <w:spacing w:after="0" w:line="240" w:lineRule="auto"/>
    </w:pPr>
  </w:style>
  <w:style w:type="paragraph" w:styleId="HTMLPreformatted">
    <w:name w:val="HTML Preformatted"/>
    <w:basedOn w:val="Normal"/>
    <w:link w:val="HTMLPreformattedChar"/>
    <w:uiPriority w:val="99"/>
    <w:unhideWhenUsed/>
    <w:rsid w:val="001C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1C79A5"/>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6782">
      <w:bodyDiv w:val="1"/>
      <w:marLeft w:val="0"/>
      <w:marRight w:val="0"/>
      <w:marTop w:val="0"/>
      <w:marBottom w:val="0"/>
      <w:divBdr>
        <w:top w:val="none" w:sz="0" w:space="0" w:color="auto"/>
        <w:left w:val="none" w:sz="0" w:space="0" w:color="auto"/>
        <w:bottom w:val="none" w:sz="0" w:space="0" w:color="auto"/>
        <w:right w:val="none" w:sz="0" w:space="0" w:color="auto"/>
      </w:divBdr>
      <w:divsChild>
        <w:div w:id="1690643029">
          <w:marLeft w:val="0"/>
          <w:marRight w:val="0"/>
          <w:marTop w:val="58"/>
          <w:marBottom w:val="0"/>
          <w:divBdr>
            <w:top w:val="none" w:sz="0" w:space="0" w:color="auto"/>
            <w:left w:val="none" w:sz="0" w:space="0" w:color="auto"/>
            <w:bottom w:val="none" w:sz="0" w:space="0" w:color="auto"/>
            <w:right w:val="none" w:sz="0" w:space="0" w:color="auto"/>
          </w:divBdr>
        </w:div>
      </w:divsChild>
    </w:div>
    <w:div w:id="266356260">
      <w:bodyDiv w:val="1"/>
      <w:marLeft w:val="0"/>
      <w:marRight w:val="0"/>
      <w:marTop w:val="0"/>
      <w:marBottom w:val="0"/>
      <w:divBdr>
        <w:top w:val="none" w:sz="0" w:space="0" w:color="auto"/>
        <w:left w:val="none" w:sz="0" w:space="0" w:color="auto"/>
        <w:bottom w:val="none" w:sz="0" w:space="0" w:color="auto"/>
        <w:right w:val="none" w:sz="0" w:space="0" w:color="auto"/>
      </w:divBdr>
    </w:div>
    <w:div w:id="492918970">
      <w:bodyDiv w:val="1"/>
      <w:marLeft w:val="0"/>
      <w:marRight w:val="0"/>
      <w:marTop w:val="0"/>
      <w:marBottom w:val="0"/>
      <w:divBdr>
        <w:top w:val="none" w:sz="0" w:space="0" w:color="auto"/>
        <w:left w:val="none" w:sz="0" w:space="0" w:color="auto"/>
        <w:bottom w:val="none" w:sz="0" w:space="0" w:color="auto"/>
        <w:right w:val="none" w:sz="0" w:space="0" w:color="auto"/>
      </w:divBdr>
    </w:div>
    <w:div w:id="587884682">
      <w:bodyDiv w:val="1"/>
      <w:marLeft w:val="0"/>
      <w:marRight w:val="0"/>
      <w:marTop w:val="0"/>
      <w:marBottom w:val="0"/>
      <w:divBdr>
        <w:top w:val="none" w:sz="0" w:space="0" w:color="auto"/>
        <w:left w:val="none" w:sz="0" w:space="0" w:color="auto"/>
        <w:bottom w:val="none" w:sz="0" w:space="0" w:color="auto"/>
        <w:right w:val="none" w:sz="0" w:space="0" w:color="auto"/>
      </w:divBdr>
    </w:div>
    <w:div w:id="825322871">
      <w:bodyDiv w:val="1"/>
      <w:marLeft w:val="0"/>
      <w:marRight w:val="0"/>
      <w:marTop w:val="0"/>
      <w:marBottom w:val="0"/>
      <w:divBdr>
        <w:top w:val="none" w:sz="0" w:space="0" w:color="auto"/>
        <w:left w:val="none" w:sz="0" w:space="0" w:color="auto"/>
        <w:bottom w:val="none" w:sz="0" w:space="0" w:color="auto"/>
        <w:right w:val="none" w:sz="0" w:space="0" w:color="auto"/>
      </w:divBdr>
    </w:div>
    <w:div w:id="1069579288">
      <w:bodyDiv w:val="1"/>
      <w:marLeft w:val="0"/>
      <w:marRight w:val="0"/>
      <w:marTop w:val="0"/>
      <w:marBottom w:val="0"/>
      <w:divBdr>
        <w:top w:val="none" w:sz="0" w:space="0" w:color="auto"/>
        <w:left w:val="none" w:sz="0" w:space="0" w:color="auto"/>
        <w:bottom w:val="none" w:sz="0" w:space="0" w:color="auto"/>
        <w:right w:val="none" w:sz="0" w:space="0" w:color="auto"/>
      </w:divBdr>
    </w:div>
    <w:div w:id="1101953296">
      <w:bodyDiv w:val="1"/>
      <w:marLeft w:val="0"/>
      <w:marRight w:val="0"/>
      <w:marTop w:val="0"/>
      <w:marBottom w:val="0"/>
      <w:divBdr>
        <w:top w:val="none" w:sz="0" w:space="0" w:color="auto"/>
        <w:left w:val="none" w:sz="0" w:space="0" w:color="auto"/>
        <w:bottom w:val="none" w:sz="0" w:space="0" w:color="auto"/>
        <w:right w:val="none" w:sz="0" w:space="0" w:color="auto"/>
      </w:divBdr>
    </w:div>
    <w:div w:id="1173766310">
      <w:bodyDiv w:val="1"/>
      <w:marLeft w:val="0"/>
      <w:marRight w:val="0"/>
      <w:marTop w:val="0"/>
      <w:marBottom w:val="0"/>
      <w:divBdr>
        <w:top w:val="none" w:sz="0" w:space="0" w:color="auto"/>
        <w:left w:val="none" w:sz="0" w:space="0" w:color="auto"/>
        <w:bottom w:val="none" w:sz="0" w:space="0" w:color="auto"/>
        <w:right w:val="none" w:sz="0" w:space="0" w:color="auto"/>
      </w:divBdr>
      <w:divsChild>
        <w:div w:id="1220096243">
          <w:marLeft w:val="0"/>
          <w:marRight w:val="0"/>
          <w:marTop w:val="58"/>
          <w:marBottom w:val="0"/>
          <w:divBdr>
            <w:top w:val="none" w:sz="0" w:space="0" w:color="auto"/>
            <w:left w:val="none" w:sz="0" w:space="0" w:color="auto"/>
            <w:bottom w:val="none" w:sz="0" w:space="0" w:color="auto"/>
            <w:right w:val="none" w:sz="0" w:space="0" w:color="auto"/>
          </w:divBdr>
        </w:div>
        <w:div w:id="1718817955">
          <w:marLeft w:val="0"/>
          <w:marRight w:val="0"/>
          <w:marTop w:val="58"/>
          <w:marBottom w:val="0"/>
          <w:divBdr>
            <w:top w:val="none" w:sz="0" w:space="0" w:color="auto"/>
            <w:left w:val="none" w:sz="0" w:space="0" w:color="auto"/>
            <w:bottom w:val="none" w:sz="0" w:space="0" w:color="auto"/>
            <w:right w:val="none" w:sz="0" w:space="0" w:color="auto"/>
          </w:divBdr>
        </w:div>
      </w:divsChild>
    </w:div>
    <w:div w:id="1417557205">
      <w:bodyDiv w:val="1"/>
      <w:marLeft w:val="0"/>
      <w:marRight w:val="0"/>
      <w:marTop w:val="0"/>
      <w:marBottom w:val="0"/>
      <w:divBdr>
        <w:top w:val="none" w:sz="0" w:space="0" w:color="auto"/>
        <w:left w:val="none" w:sz="0" w:space="0" w:color="auto"/>
        <w:bottom w:val="none" w:sz="0" w:space="0" w:color="auto"/>
        <w:right w:val="none" w:sz="0" w:space="0" w:color="auto"/>
      </w:divBdr>
    </w:div>
    <w:div w:id="1791362688">
      <w:bodyDiv w:val="1"/>
      <w:marLeft w:val="0"/>
      <w:marRight w:val="0"/>
      <w:marTop w:val="0"/>
      <w:marBottom w:val="0"/>
      <w:divBdr>
        <w:top w:val="none" w:sz="0" w:space="0" w:color="auto"/>
        <w:left w:val="none" w:sz="0" w:space="0" w:color="auto"/>
        <w:bottom w:val="none" w:sz="0" w:space="0" w:color="auto"/>
        <w:right w:val="none" w:sz="0" w:space="0" w:color="auto"/>
      </w:divBdr>
      <w:divsChild>
        <w:div w:id="14617477">
          <w:marLeft w:val="0"/>
          <w:marRight w:val="0"/>
          <w:marTop w:val="58"/>
          <w:marBottom w:val="0"/>
          <w:divBdr>
            <w:top w:val="none" w:sz="0" w:space="0" w:color="auto"/>
            <w:left w:val="none" w:sz="0" w:space="0" w:color="auto"/>
            <w:bottom w:val="none" w:sz="0" w:space="0" w:color="auto"/>
            <w:right w:val="none" w:sz="0" w:space="0" w:color="auto"/>
          </w:divBdr>
        </w:div>
        <w:div w:id="345524672">
          <w:marLeft w:val="0"/>
          <w:marRight w:val="0"/>
          <w:marTop w:val="58"/>
          <w:marBottom w:val="0"/>
          <w:divBdr>
            <w:top w:val="none" w:sz="0" w:space="0" w:color="auto"/>
            <w:left w:val="none" w:sz="0" w:space="0" w:color="auto"/>
            <w:bottom w:val="none" w:sz="0" w:space="0" w:color="auto"/>
            <w:right w:val="none" w:sz="0" w:space="0" w:color="auto"/>
          </w:divBdr>
        </w:div>
      </w:divsChild>
    </w:div>
    <w:div w:id="1929925006">
      <w:bodyDiv w:val="1"/>
      <w:marLeft w:val="0"/>
      <w:marRight w:val="0"/>
      <w:marTop w:val="0"/>
      <w:marBottom w:val="0"/>
      <w:divBdr>
        <w:top w:val="none" w:sz="0" w:space="0" w:color="auto"/>
        <w:left w:val="none" w:sz="0" w:space="0" w:color="auto"/>
        <w:bottom w:val="none" w:sz="0" w:space="0" w:color="auto"/>
        <w:right w:val="none" w:sz="0" w:space="0" w:color="auto"/>
      </w:divBdr>
    </w:div>
    <w:div w:id="19329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customXml/item3.xml" Type="http://schemas.openxmlformats.org/officeDocument/2006/relationships/customXml" Id="rId3"/>
    <Relationship Target="webSettings.xml" Type="http://schemas.openxmlformats.org/officeDocument/2006/relationships/webSettings" Id="rId7"/>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theme/theme1.xml" Type="http://schemas.openxmlformats.org/officeDocument/2006/relationships/theme" Id="rId11"/>
    <Relationship Target="styles.xml" Type="http://schemas.openxmlformats.org/officeDocument/2006/relationships/styles" Id="rId5"/>
    <Relationship Target="fontTable.xml" Type="http://schemas.openxmlformats.org/officeDocument/2006/relationships/fontTable" Id="rId10"/>
    <Relationship Target="numbering.xml" Type="http://schemas.openxmlformats.org/officeDocument/2006/relationships/numbering" Id="rId4"/>
    <Relationship Target="endnotes.xml" Type="http://schemas.openxmlformats.org/officeDocument/2006/relationships/endnotes" Id="rId9"/>
</Relationships>

</file>

<file path=word/_rels/footnotes.xml.rels><?xml version="1.0" encoding="UTF-8" standalone="yes"?>
<Relationships xmlns="http://schemas.openxmlformats.org/package/2006/relationships">
    <Relationship TargetMode="External" Target="https://www.ipcc.ch/sr15/" Type="http://schemas.openxmlformats.org/officeDocument/2006/relationships/hyperlink" Id="rId2"/>
    <Relationship TargetMode="External" Target="https://em.gov.lv/lv/nozares_politika/nacionalais_energetikas_un_klimata_plans/"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AB4E8570-B01E-46B6-95F2-3392BB035F1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00388EE5-C158-4B87-865D-588FBE84D37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2CD00C53-CD90-4A4F-9F6E-F0CEBF9A4DB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12394</Words>
  <Characters>7065</Characters>
  <Application>Microsoft Office Word</Application>
  <DocSecurity>0</DocSecurity>
  <Lines>58</Lines>
  <Paragraphs>38</Paragraphs>
  <ScaleCrop>false</ScaleCrop>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2019-09-16T05:43:00Z</dcterms:created>
  <dcterms:modified xsi:type="dcterms:W3CDTF">2019-09-16T07:50:00Z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2019-09-24</vt:lpwstr>
  </property>
  <property fmtid="{D5CDD505-2E9C-101B-9397-08002B2CF9AE}" pid="3" name="DISCesvisAdditionalMakers">
    <vt:lpwstr>Vecākā referente Elizabete Marija Skrastiņa</vt:lpwstr>
  </property>
  <property fmtid="{D5CDD505-2E9C-101B-9397-08002B2CF9AE}" pid="4" name="DIScgiUrl">
    <vt:lpwstr>https://lim.esvis.gov.lv/cs/idcplg</vt:lpwstr>
  </property>
  <property fmtid="{D5CDD505-2E9C-101B-9397-08002B2CF9AE}" pid="5" name="DISdDocName">
    <vt:lpwstr>L217203</vt:lpwstr>
  </property>
  <property fmtid="{D5CDD505-2E9C-101B-9397-08002B2CF9AE}" pid="6" name="DISCesvisSigner">
    <vt:lpwstr> Ralfs Nemiro</vt:lpwstr>
  </property>
  <property fmtid="{D5CDD505-2E9C-101B-9397-08002B2CF9AE}" pid="7" name="DISTaskPaneUrl">
    <vt:lpwstr>https://lim.esvis.gov.lv/cs/idcplg?ClientControlled=DocMan&amp;coreContentOnly=1&amp;WebdavRequest=1&amp;IdcService=DOC_INFO&amp;dID=278256</vt:lpwstr>
  </property>
  <property fmtid="{D5CDD505-2E9C-101B-9397-08002B2CF9AE}" pid="8" name="DISCesvisSafetyLevel">
    <vt:lpwstr>Ierobežotas pieejamības</vt:lpwstr>
  </property>
  <property fmtid="{D5CDD505-2E9C-101B-9397-08002B2CF9AE}" pid="9" name="DISCesvisTitle">
    <vt:lpwstr>Informatīvais ziņojums Par Eiropas Savienības Transporta, telekomunikāciju un enerģētikas
Ministru padomes 2019.gada 24.septembra sanāksmē izskatāmajiem jautājumiem
</vt:lpwstr>
  </property>
  <property fmtid="{D5CDD505-2E9C-101B-9397-08002B2CF9AE}" pid="10" name="DISCesvisMinistryOfMinister">
    <vt:lpwstr>Ekonomikas ministra pienākumu izpildītājs - </vt:lpwstr>
  </property>
  <property fmtid="{D5CDD505-2E9C-101B-9397-08002B2CF9AE}" pid="11" name="DISCesvisAuthor">
    <vt:lpwstr>Ekonomikas ministrija</vt:lpwstr>
  </property>
  <property fmtid="{D5CDD505-2E9C-101B-9397-08002B2CF9AE}" pid="12" name="DISCesvisMainMaker">
    <vt:lpwstr>Vecākā referente Elizabete Marija Skrastiņa</vt:lpwstr>
  </property>
  <property fmtid="{D5CDD505-2E9C-101B-9397-08002B2CF9AE}" pid="13" name="DISidcName">
    <vt:lpwstr>1020404016200</vt:lpwstr>
  </property>
  <property fmtid="{D5CDD505-2E9C-101B-9397-08002B2CF9AE}" pid="14" name="DISProperties">
    <vt:lpwstr>DISCesvisMeetingDate,DISCesvisAdditionalMakers,DIScgiUrl,DISdDocName,DISCesvisAnnotation,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15" name="DISCesvisDescription">
    <vt:lpwstr>
</vt:lpwstr>
  </property>
  <property fmtid="{D5CDD505-2E9C-101B-9397-08002B2CF9AE}" pid="16" name="DISCesvisAdditionalMakersMail">
    <vt:lpwstr>elizabete.marija.skrastina@em.gov.lv</vt:lpwstr>
  </property>
  <property fmtid="{D5CDD505-2E9C-101B-9397-08002B2CF9AE}" pid="17" name="DISdUser">
    <vt:lpwstr>vk_ladlere</vt:lpwstr>
  </property>
  <property fmtid="{D5CDD505-2E9C-101B-9397-08002B2CF9AE}" pid="18" name="DISdID">
    <vt:lpwstr>278256</vt:lpwstr>
  </property>
  <property fmtid="{D5CDD505-2E9C-101B-9397-08002B2CF9AE}" pid="19" name="DISCesvisForInforming">
    <vt:lpwstr>Specializētais atašejs - nozares padomniece Inga Iļjina</vt:lpwstr>
  </property>
  <property fmtid="{D5CDD505-2E9C-101B-9397-08002B2CF9AE}" pid="20" name="DISCesvisMainMakerOrgUnitTitle">
    <vt:lpwstr>ES un ārējo ekonomisko attiecību departamenta ES lietu nodaļa</vt:lpwstr>
  </property>
  <property fmtid="{D5CDD505-2E9C-101B-9397-08002B2CF9AE}" pid="21" name="DISCesvisAdditionalMakersPhone">
    <vt:lpwstr>67013147</vt:lpwstr>
  </property>
  <property fmtid="{D5CDD505-2E9C-101B-9397-08002B2CF9AE}" pid="22" name="DISCesvisOrgApprovers">
    <vt:lpwstr>Ārlietu ministrija, Vides aizsardzības un reģionālās attīstības ministrija</vt:lpwstr>
  </property>
  <property fmtid="{D5CDD505-2E9C-101B-9397-08002B2CF9AE}" pid="23" name="DISCesvisAdditionalTutors">
    <vt:lpwstr>Vecākā referente Elizabete Marija Skrastiņa</vt:lpwstr>
  </property>
  <property fmtid="{D5CDD505-2E9C-101B-9397-08002B2CF9AE}" pid="24" name="DISCesvisAdditionalTutorsMail">
    <vt:lpwstr>elizabete.marija.skrastina@em.gov.lv</vt:lpwstr>
  </property>
  <property fmtid="{D5CDD505-2E9C-101B-9397-08002B2CF9AE}" pid="25" name="DISCesvisAdditionalTutorsPhone">
    <vt:lpwstr>67013147</vt:lpwstr>
  </property>
  <property fmtid="{D5CDD505-2E9C-101B-9397-08002B2CF9AE}" pid="26" name="DISCesvisAnnotation">
    <vt:lpwstr>2019. gada 24.septembrī Briselē notiks Eiropas Savienības (turpmāk – ES) Transporta, telekomunikāciju un enerģētikas ministru padomes sanāksme (turpmāk – sanāksme). Tās laikā delegāti tiks aicināti apmainīties ar viedokļiem par ES enerģijas un klimata politikas plāniem, lai nodrošinātu veiksmīgu virzību uz klimata neitralitāti 2050. gadā.</vt:lpwstr>
  </property>
  <property fmtid="{D5CDD505-2E9C-101B-9397-08002B2CF9AE}" pid="27" name="DISCesvisDocRegDate">
    <vt:lpwstr>2019-09-17</vt:lpwstr>
  </property>
  <property fmtid="{D5CDD505-2E9C-101B-9397-08002B2CF9AE}" pid="28" name="DISCesvisRegDate">
    <vt:lpwstr>2019-09-17</vt:lpwstr>
  </property>
  <property fmtid="{D5CDD505-2E9C-101B-9397-08002B2CF9AE}" pid="29" name="DISCesvisDocRegNr">
    <vt:lpwstr>3.1-9/2019/IZ-8</vt:lpwstr>
  </property>
</Properties>
</file>