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A57D4" w14:textId="77777777" w:rsidR="00E315C4" w:rsidRDefault="00E315C4" w:rsidP="00DB5A7F">
      <w:pPr>
        <w:ind w:firstLine="300"/>
        <w:jc w:val="center"/>
        <w:rPr>
          <w:bCs/>
        </w:rPr>
      </w:pPr>
    </w:p>
    <w:p w14:paraId="7B98417E" w14:textId="77777777" w:rsidR="00DB5A7F" w:rsidRPr="009D36DE" w:rsidRDefault="00DB5A7F" w:rsidP="00DB5A7F">
      <w:pPr>
        <w:ind w:firstLine="300"/>
        <w:jc w:val="center"/>
        <w:rPr>
          <w:bCs/>
        </w:rPr>
      </w:pPr>
      <w:r w:rsidRPr="003D6BD2">
        <w:rPr>
          <w:bCs/>
        </w:rPr>
        <w:t>Ministru kabineta rīkojuma projekta</w:t>
      </w:r>
      <w:r w:rsidRPr="003D6BD2">
        <w:rPr>
          <w:b/>
          <w:bCs/>
        </w:rPr>
        <w:t xml:space="preserve"> “Par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 </w:t>
      </w:r>
      <w:r w:rsidRPr="003D6BD2">
        <w:rPr>
          <w:bCs/>
        </w:rPr>
        <w:t>sākotnējās ietekmes novērtējuma ziņojums (anotācija)</w:t>
      </w:r>
    </w:p>
    <w:p w14:paraId="1B158B0B" w14:textId="77777777" w:rsidR="00E50E39" w:rsidRDefault="00E50E39" w:rsidP="00DB5A7F">
      <w:pPr>
        <w:ind w:firstLine="300"/>
        <w:jc w:val="center"/>
        <w:rPr>
          <w:b/>
          <w:bCs/>
        </w:rPr>
      </w:pPr>
    </w:p>
    <w:p w14:paraId="2483D9AC" w14:textId="77777777" w:rsidR="00E315C4" w:rsidRDefault="00E315C4" w:rsidP="00DB5A7F">
      <w:pPr>
        <w:ind w:firstLine="300"/>
        <w:jc w:val="center"/>
        <w:rPr>
          <w:b/>
          <w:bCs/>
        </w:rPr>
      </w:pPr>
    </w:p>
    <w:p w14:paraId="7142698F" w14:textId="77777777" w:rsidR="009D36DE"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7D3E6E"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7D3E6E" w:rsidRDefault="009D36DE" w:rsidP="000044FA">
            <w:pPr>
              <w:spacing w:before="100" w:after="100"/>
              <w:jc w:val="center"/>
              <w:rPr>
                <w:b/>
                <w:bCs/>
              </w:rPr>
            </w:pPr>
            <w:r w:rsidRPr="007D3E6E">
              <w:rPr>
                <w:b/>
                <w:bCs/>
              </w:rPr>
              <w:t>Tiesību aktu projektu anotācijas kopsavilkums</w:t>
            </w:r>
          </w:p>
        </w:tc>
      </w:tr>
      <w:tr w:rsidR="009D36DE" w:rsidRPr="007D3E6E"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77777777" w:rsidR="009D36DE" w:rsidRPr="007D3E6E" w:rsidRDefault="009D36DE" w:rsidP="000044FA">
            <w:pPr>
              <w:spacing w:before="100" w:after="100"/>
              <w:ind w:right="125"/>
              <w:jc w:val="both"/>
            </w:pPr>
            <w:r w:rsidRPr="007D3E6E">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4CD16B" w14:textId="77777777" w:rsidR="009D36DE" w:rsidRPr="007D3E6E" w:rsidRDefault="00853AC5" w:rsidP="006B3BBA">
            <w:pPr>
              <w:pStyle w:val="NoSpacing"/>
              <w:spacing w:before="120" w:after="120"/>
              <w:ind w:left="91" w:right="108" w:firstLine="284"/>
              <w:jc w:val="both"/>
              <w:rPr>
                <w:rFonts w:ascii="Times New Roman" w:eastAsia="Times New Roman" w:hAnsi="Times New Roman"/>
                <w:iCs/>
                <w:sz w:val="24"/>
                <w:szCs w:val="24"/>
                <w:lang w:eastAsia="lv-LV"/>
              </w:rPr>
            </w:pPr>
            <w:r w:rsidRPr="007D3E6E">
              <w:rPr>
                <w:rFonts w:ascii="Times New Roman" w:eastAsia="Times New Roman" w:hAnsi="Times New Roman"/>
                <w:iCs/>
                <w:sz w:val="24"/>
                <w:szCs w:val="24"/>
                <w:lang w:eastAsia="lv-LV"/>
              </w:rPr>
              <w:t>Ministru kabineta rīkojuma projekta “</w:t>
            </w:r>
            <w:r w:rsidRPr="007D3E6E">
              <w:rPr>
                <w:rFonts w:ascii="Times New Roman" w:hAnsi="Times New Roman"/>
                <w:bCs/>
                <w:sz w:val="24"/>
                <w:szCs w:val="24"/>
              </w:rPr>
              <w:t>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w:t>
            </w:r>
            <w:r w:rsidRPr="007D3E6E">
              <w:rPr>
                <w:rFonts w:ascii="Times New Roman" w:eastAsia="Times New Roman" w:hAnsi="Times New Roman"/>
                <w:iCs/>
                <w:sz w:val="24"/>
                <w:szCs w:val="24"/>
                <w:lang w:eastAsia="lv-LV"/>
              </w:rPr>
              <w:t>” (turpmāk – Ministru kabineta rīkojuma projekts) mērķis ir n</w:t>
            </w:r>
            <w:r w:rsidR="009228D2" w:rsidRPr="007D3E6E">
              <w:rPr>
                <w:rFonts w:ascii="Times New Roman" w:eastAsia="Times New Roman" w:hAnsi="Times New Roman"/>
                <w:iCs/>
                <w:sz w:val="24"/>
                <w:szCs w:val="24"/>
                <w:lang w:eastAsia="lv-LV"/>
              </w:rPr>
              <w:t>odrošināt ministriju un citu centrālo valsts iestāžu plānoto Eiropas Savienības politiku instrumentu un citu ārvalstu finanšu palīdzības projektu un pasākumu savlaicīg</w:t>
            </w:r>
            <w:r w:rsidR="00407869" w:rsidRPr="007D3E6E">
              <w:rPr>
                <w:rFonts w:ascii="Times New Roman" w:eastAsia="Times New Roman" w:hAnsi="Times New Roman"/>
                <w:iCs/>
                <w:sz w:val="24"/>
                <w:szCs w:val="24"/>
                <w:lang w:eastAsia="lv-LV"/>
              </w:rPr>
              <w:t>u</w:t>
            </w:r>
            <w:r w:rsidR="009228D2" w:rsidRPr="007D3E6E">
              <w:rPr>
                <w:rFonts w:ascii="Times New Roman" w:eastAsia="Times New Roman" w:hAnsi="Times New Roman"/>
                <w:iCs/>
                <w:sz w:val="24"/>
                <w:szCs w:val="24"/>
                <w:lang w:eastAsia="lv-LV"/>
              </w:rPr>
              <w:t xml:space="preserve"> īstenošanu.</w:t>
            </w:r>
          </w:p>
          <w:p w14:paraId="740ACEBC" w14:textId="77777777" w:rsidR="00853AC5" w:rsidRPr="007D3E6E" w:rsidRDefault="00853AC5" w:rsidP="006B3BBA">
            <w:pPr>
              <w:pStyle w:val="NoSpacing"/>
              <w:spacing w:before="120" w:after="120"/>
              <w:ind w:left="91" w:right="108" w:firstLine="284"/>
              <w:jc w:val="both"/>
              <w:rPr>
                <w:rFonts w:ascii="Times New Roman" w:hAnsi="Times New Roman"/>
                <w:sz w:val="24"/>
                <w:szCs w:val="24"/>
              </w:rPr>
            </w:pPr>
            <w:r w:rsidRPr="007D3E6E">
              <w:rPr>
                <w:rFonts w:ascii="Times New Roman" w:hAnsi="Times New Roman"/>
                <w:sz w:val="24"/>
                <w:szCs w:val="24"/>
              </w:rPr>
              <w:t xml:space="preserve">Ministru kabineta rīkojuma projekts stājas spēkā tā </w:t>
            </w:r>
            <w:r w:rsidR="000A6B9A" w:rsidRPr="007D3E6E">
              <w:rPr>
                <w:rFonts w:ascii="Times New Roman" w:hAnsi="Times New Roman"/>
                <w:sz w:val="24"/>
                <w:szCs w:val="24"/>
              </w:rPr>
              <w:t>parakstīšanas brīdī</w:t>
            </w:r>
            <w:r w:rsidR="004B0522" w:rsidRPr="007D3E6E">
              <w:rPr>
                <w:rFonts w:ascii="Times New Roman" w:hAnsi="Times New Roman"/>
                <w:sz w:val="24"/>
                <w:szCs w:val="24"/>
              </w:rPr>
              <w:t xml:space="preserve"> atbilstoši Oficiālo publikāciju un tiesiskās informācijas likuma 7.panta trešajā daļā noteiktajam</w:t>
            </w:r>
            <w:r w:rsidRPr="007D3E6E">
              <w:rPr>
                <w:rFonts w:ascii="Times New Roman" w:hAnsi="Times New Roman"/>
                <w:sz w:val="24"/>
                <w:szCs w:val="24"/>
              </w:rPr>
              <w:t>.</w:t>
            </w:r>
          </w:p>
        </w:tc>
      </w:tr>
    </w:tbl>
    <w:p w14:paraId="5AE1A044" w14:textId="77777777" w:rsidR="009D36DE" w:rsidRPr="007D3E6E" w:rsidRDefault="009D36DE" w:rsidP="000044FA">
      <w:pPr>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7D3E6E"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7D3E6E" w:rsidRDefault="009D36DE" w:rsidP="000044FA">
            <w:pPr>
              <w:spacing w:before="100" w:after="100"/>
              <w:jc w:val="center"/>
              <w:rPr>
                <w:b/>
                <w:bCs/>
              </w:rPr>
            </w:pPr>
            <w:r w:rsidRPr="007D3E6E">
              <w:rPr>
                <w:b/>
                <w:bCs/>
              </w:rPr>
              <w:t>I. Tiesību aktu projektu izstrādes nepieciešamība</w:t>
            </w:r>
          </w:p>
        </w:tc>
      </w:tr>
      <w:tr w:rsidR="009D36DE" w:rsidRPr="007D3E6E" w14:paraId="47CC67B4"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7D3E6E" w:rsidRDefault="009D36DE" w:rsidP="000044FA">
            <w:pPr>
              <w:spacing w:before="100" w:after="100"/>
            </w:pPr>
            <w:r w:rsidRPr="007D3E6E">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77777777" w:rsidR="009D36DE" w:rsidRPr="007D3E6E" w:rsidRDefault="009D36DE" w:rsidP="000044FA">
            <w:pPr>
              <w:spacing w:before="100" w:after="100"/>
            </w:pPr>
            <w:r w:rsidRPr="007D3E6E">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86DC51" w14:textId="77777777" w:rsidR="000044FA" w:rsidRPr="007D3E6E" w:rsidRDefault="008E3C19" w:rsidP="004B0522">
            <w:pPr>
              <w:spacing w:before="240" w:after="240"/>
              <w:ind w:left="123" w:right="111"/>
              <w:jc w:val="both"/>
            </w:pPr>
            <w:r w:rsidRPr="007D3E6E">
              <w:t xml:space="preserve">     </w:t>
            </w:r>
            <w:r w:rsidR="009D36DE" w:rsidRPr="007D3E6E">
              <w:t xml:space="preserve">Gadskārtējā valsts budžeta likumā budžeta resora “74. Gadskārtējā valsts budžeta izpildes procesā pārdalāmais finansējums” 80.00.00 programmā </w:t>
            </w:r>
            <w:r w:rsidR="009D36DE" w:rsidRPr="007D3E6E">
              <w:rPr>
                <w:bCs/>
              </w:rPr>
              <w:t>“</w:t>
            </w:r>
            <w:r w:rsidR="009D36DE" w:rsidRPr="007D3E6E">
              <w:t>Nesadalītais finansējums Eiropas Savienības politiku instrumentu un pārējās ārvalstu finanšu palīdzības līdzfinansēto projektu un pasākumu īstenošanai</w:t>
            </w:r>
            <w:r w:rsidR="009D36DE" w:rsidRPr="007D3E6E">
              <w:rPr>
                <w:bCs/>
              </w:rPr>
              <w:t xml:space="preserve">” (turpmāk – 80.00.00 programma) tiek plānots finansējums </w:t>
            </w:r>
            <w:r w:rsidR="009D36DE" w:rsidRPr="007D3E6E">
              <w:t xml:space="preserve">ministrijām un citām centrālajām valsts iestādēm (turpmāk – ministrija) Eiropas Savienības politiku instrumentu un citu ārvalstu finanšu palīdzības projektu un pasākumu finansēšanai, kā arī  </w:t>
            </w:r>
            <w:r w:rsidR="00664DE2" w:rsidRPr="007D3E6E">
              <w:t>Emisijas kvotu izsolīšanas instrumenta</w:t>
            </w:r>
            <w:r w:rsidR="009D36DE" w:rsidRPr="007D3E6E">
              <w:t xml:space="preserve"> </w:t>
            </w:r>
            <w:r w:rsidR="00664DE2" w:rsidRPr="007D3E6E">
              <w:t>projektu</w:t>
            </w:r>
            <w:r w:rsidR="009D36DE" w:rsidRPr="007D3E6E">
              <w:t xml:space="preserve"> finansēšanai.</w:t>
            </w:r>
          </w:p>
          <w:p w14:paraId="06BEEA8B" w14:textId="77777777" w:rsidR="000044FA" w:rsidRPr="007D3E6E" w:rsidRDefault="008E3C19" w:rsidP="004B0522">
            <w:pPr>
              <w:spacing w:before="240" w:after="240"/>
              <w:ind w:left="123" w:right="111"/>
              <w:jc w:val="both"/>
            </w:pPr>
            <w:r w:rsidRPr="007D3E6E">
              <w:t xml:space="preserve">     </w:t>
            </w:r>
            <w:r w:rsidR="009D36DE" w:rsidRPr="007D3E6E">
              <w:t xml:space="preserve">Likuma par budžetu un finanšu vadību 9.panta trīspadsmitās daļas 2.punkts nosaka tiesības finanšu ministram Ministru kabineta noteiktajā kārtībā, informējot par to Saeimu, veikt apropriācijas pārdales no atsevišķā budžeta programmā plānotās apropriācijas nesadalītajam finansējumam Eiropas Savienības politiku instrumentiem un pārējās ārvalstu finanšu palīdzības projektu un pasākumu īstenošanai, kas netiek plānota ministrijas vai citas centrālās valsts iestādes budžetā, uz ministrijām un citām centrālajām valsts iestādēm, kā arī apropriācijas no ministrijām un citām centrālajām valsts iestādēm Eiropas Savienības politiku instrumentu un citu ārvalstu finanšu palīdzības projektu un pasākumu īstenošanai uz atsevišķo budžeta programmu, kurā plānotas apropriācijas nesadalītajam finansējumam Eiropas </w:t>
            </w:r>
            <w:r w:rsidR="009D36DE" w:rsidRPr="007D3E6E">
              <w:lastRenderedPageBreak/>
              <w:t>Savienības politiku instrumentiem un pārējās ārvalstu finanšu palīdzības pro</w:t>
            </w:r>
            <w:r w:rsidR="000044FA" w:rsidRPr="007D3E6E">
              <w:t xml:space="preserve">jektu un pasākumu īstenošanai. </w:t>
            </w:r>
          </w:p>
          <w:p w14:paraId="65389C2D" w14:textId="77777777" w:rsidR="009D36DE" w:rsidRPr="007D3E6E" w:rsidRDefault="008E3C19" w:rsidP="004B0522">
            <w:pPr>
              <w:spacing w:before="240" w:after="240"/>
              <w:ind w:left="123" w:right="111"/>
              <w:jc w:val="both"/>
            </w:pPr>
            <w:r w:rsidRPr="007D3E6E">
              <w:t xml:space="preserve">     </w:t>
            </w:r>
            <w:r w:rsidR="009D36DE" w:rsidRPr="007D3E6E">
              <w:t>Savukārt Likuma par budžetu un finanšu vadību 9.panta četrpadsmitās daļas 5.punkts, paredz finanšu ministram tiesības palielināt gadskārtējā valsts budžeta likumā noteikto apropriāciju Eiropas Savienības politiku instrumentu un citas ārvalstu finanšu palīdzības projektu un pasākumu īstenošanai, ja Saeimas Budžeta un finanšu (nodokļu) komisija piecu darba dienu laikā no attiecīgās informācijas saņemšanas ir izskatījusi to un nav iebildusi pret apropriācijas palielinājumu.</w:t>
            </w:r>
          </w:p>
        </w:tc>
      </w:tr>
      <w:tr w:rsidR="00D6079A" w:rsidRPr="007D3E6E"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7D3E6E" w:rsidRDefault="00D6079A" w:rsidP="000044FA">
            <w:pPr>
              <w:spacing w:before="100" w:after="100"/>
            </w:pPr>
            <w:r w:rsidRPr="007D3E6E">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7D3E6E" w:rsidRDefault="00D6079A" w:rsidP="000044FA">
            <w:pPr>
              <w:spacing w:before="100" w:after="100"/>
            </w:pPr>
            <w:r w:rsidRPr="007D3E6E">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4C90A6" w14:textId="1FBD8BCF" w:rsidR="00D6079A" w:rsidRPr="007D3E6E" w:rsidRDefault="00D6079A" w:rsidP="004B0522">
            <w:pPr>
              <w:spacing w:before="240" w:after="240"/>
              <w:ind w:left="123" w:right="111" w:firstLine="283"/>
              <w:jc w:val="both"/>
            </w:pPr>
            <w:r w:rsidRPr="005E37B5">
              <w:t>Likumā “Par valsts budžetu 201</w:t>
            </w:r>
            <w:r w:rsidR="00A02827" w:rsidRPr="005E37B5">
              <w:t>9</w:t>
            </w:r>
            <w:r w:rsidRPr="005E37B5">
              <w:t xml:space="preserve">.gadam” 80.00.00 programmas finansējums ir plānots </w:t>
            </w:r>
            <w:r w:rsidR="008322A7" w:rsidRPr="005E37B5">
              <w:rPr>
                <w:b/>
              </w:rPr>
              <w:t>29 156 411</w:t>
            </w:r>
            <w:r w:rsidRPr="005E37B5">
              <w:rPr>
                <w:b/>
              </w:rPr>
              <w:t xml:space="preserve"> </w:t>
            </w:r>
            <w:proofErr w:type="spellStart"/>
            <w:r w:rsidRPr="005E37B5">
              <w:rPr>
                <w:b/>
                <w:i/>
              </w:rPr>
              <w:t>euro</w:t>
            </w:r>
            <w:proofErr w:type="spellEnd"/>
            <w:r w:rsidRPr="005E37B5">
              <w:t>. Līdz 201</w:t>
            </w:r>
            <w:r w:rsidR="008322A7" w:rsidRPr="005E37B5">
              <w:t>9</w:t>
            </w:r>
            <w:r w:rsidRPr="005E37B5">
              <w:t xml:space="preserve">.gada </w:t>
            </w:r>
            <w:r w:rsidR="005E37B5" w:rsidRPr="005E37B5">
              <w:t>10</w:t>
            </w:r>
            <w:r w:rsidR="00C63854" w:rsidRPr="005E37B5">
              <w:t>.septembrim</w:t>
            </w:r>
            <w:r w:rsidRPr="005E37B5">
              <w:t xml:space="preserve"> </w:t>
            </w:r>
            <w:r w:rsidR="00BC3853" w:rsidRPr="005E37B5">
              <w:t xml:space="preserve">ministrijām un citām centrālajām valsts iestādēm (turpmāk – </w:t>
            </w:r>
            <w:r w:rsidRPr="005E37B5">
              <w:t>ministrij</w:t>
            </w:r>
            <w:r w:rsidR="00BC3853" w:rsidRPr="005E37B5">
              <w:t>as)</w:t>
            </w:r>
            <w:r w:rsidRPr="005E37B5">
              <w:t xml:space="preserve"> atbilstoši pieņemtajiem finanšu ministra rīkojumiem veikta apropriācijas pārdale   </w:t>
            </w:r>
            <w:r w:rsidRPr="005E37B5">
              <w:rPr>
                <w:b/>
              </w:rPr>
              <w:t xml:space="preserve"> </w:t>
            </w:r>
            <w:r w:rsidR="00D0076B" w:rsidRPr="005E37B5">
              <w:rPr>
                <w:b/>
              </w:rPr>
              <w:t>24</w:t>
            </w:r>
            <w:r w:rsidRPr="005E37B5">
              <w:rPr>
                <w:b/>
              </w:rPr>
              <w:t> </w:t>
            </w:r>
            <w:r w:rsidR="00D0076B" w:rsidRPr="005E37B5">
              <w:rPr>
                <w:b/>
              </w:rPr>
              <w:t>580</w:t>
            </w:r>
            <w:r w:rsidRPr="005E37B5">
              <w:rPr>
                <w:b/>
              </w:rPr>
              <w:t> </w:t>
            </w:r>
            <w:r w:rsidR="00D0076B" w:rsidRPr="005E37B5">
              <w:rPr>
                <w:b/>
              </w:rPr>
              <w:t>483</w:t>
            </w:r>
            <w:r w:rsidRPr="005E37B5">
              <w:rPr>
                <w:b/>
              </w:rPr>
              <w:t xml:space="preserve"> </w:t>
            </w:r>
            <w:proofErr w:type="spellStart"/>
            <w:r w:rsidRPr="005E37B5">
              <w:rPr>
                <w:b/>
                <w:i/>
              </w:rPr>
              <w:t>euro</w:t>
            </w:r>
            <w:proofErr w:type="spellEnd"/>
            <w:r w:rsidRPr="005E37B5">
              <w:t>. 80.00.00 programmas nepārdalītais atlikums uz 201</w:t>
            </w:r>
            <w:r w:rsidR="008322A7" w:rsidRPr="005E37B5">
              <w:t>9</w:t>
            </w:r>
            <w:r w:rsidRPr="005E37B5">
              <w:t xml:space="preserve">.gada </w:t>
            </w:r>
            <w:r w:rsidR="005E37B5" w:rsidRPr="005E37B5">
              <w:t>10</w:t>
            </w:r>
            <w:r w:rsidR="00C63854" w:rsidRPr="005E37B5">
              <w:t>.septembri</w:t>
            </w:r>
            <w:r w:rsidRPr="005E37B5">
              <w:t xml:space="preserve"> ir </w:t>
            </w:r>
            <w:r w:rsidR="00D0076B" w:rsidRPr="005E37B5">
              <w:rPr>
                <w:b/>
              </w:rPr>
              <w:t>4 575 928</w:t>
            </w:r>
            <w:r w:rsidRPr="005E37B5">
              <w:rPr>
                <w:b/>
              </w:rPr>
              <w:t xml:space="preserve"> </w:t>
            </w:r>
            <w:proofErr w:type="spellStart"/>
            <w:r w:rsidRPr="005E37B5">
              <w:rPr>
                <w:b/>
                <w:i/>
              </w:rPr>
              <w:t>euro</w:t>
            </w:r>
            <w:proofErr w:type="spellEnd"/>
            <w:r w:rsidRPr="005E37B5">
              <w:rPr>
                <w:b/>
                <w:i/>
              </w:rPr>
              <w:t>.</w:t>
            </w:r>
            <w:r w:rsidRPr="007D3E6E">
              <w:t xml:space="preserve"> </w:t>
            </w:r>
          </w:p>
          <w:p w14:paraId="51560ECA" w14:textId="793F7010" w:rsidR="00D6079A" w:rsidRPr="007D3E6E" w:rsidRDefault="00D6079A" w:rsidP="004B0522">
            <w:pPr>
              <w:spacing w:before="240" w:after="240"/>
              <w:ind w:left="123" w:right="113" w:firstLine="284"/>
              <w:jc w:val="both"/>
              <w:rPr>
                <w:b/>
              </w:rPr>
            </w:pPr>
            <w:r w:rsidRPr="007D3E6E">
              <w:rPr>
                <w:b/>
              </w:rPr>
              <w:t xml:space="preserve">Lai neradītu investīciju pārrāvumus </w:t>
            </w:r>
            <w:r w:rsidR="00AA5033" w:rsidRPr="007D3E6E">
              <w:rPr>
                <w:b/>
              </w:rPr>
              <w:t>un</w:t>
            </w:r>
            <w:r w:rsidRPr="007D3E6E">
              <w:rPr>
                <w:b/>
              </w:rPr>
              <w:t xml:space="preserve"> apdraudējumu ES finansējuma sekmīgai izmantošanai un mērķu sasniegšanai</w:t>
            </w:r>
            <w:r w:rsidR="00AA5033" w:rsidRPr="007D3E6E">
              <w:rPr>
                <w:b/>
              </w:rPr>
              <w:t>,</w:t>
            </w:r>
            <w:r w:rsidRPr="007D3E6E">
              <w:rPr>
                <w:b/>
              </w:rPr>
              <w:t xml:space="preserve"> un nodrošinātu Finanšu ministrijā saņemto valsts budžeta līdzekļu pieprasījumu Eiropas Savienības politiku instrumentu un citu ārvalstu finanšu palīdzības projektu un pasākumu finansēto projektu un pasākumu finansēšanu, </w:t>
            </w:r>
            <w:r w:rsidR="009A48FE" w:rsidRPr="007D3E6E">
              <w:rPr>
                <w:b/>
              </w:rPr>
              <w:t xml:space="preserve">kā arī Emisijas kvotu izsolīšanas instrumenta projektu finansēšanu, </w:t>
            </w:r>
            <w:r w:rsidR="00B946E5" w:rsidRPr="007D3E6E">
              <w:rPr>
                <w:b/>
              </w:rPr>
              <w:t>ir</w:t>
            </w:r>
            <w:r w:rsidRPr="007D3E6E">
              <w:rPr>
                <w:b/>
              </w:rPr>
              <w:t xml:space="preserve"> apkopota </w:t>
            </w:r>
            <w:r w:rsidR="00AA5033" w:rsidRPr="007D3E6E">
              <w:rPr>
                <w:b/>
              </w:rPr>
              <w:t>ministriju</w:t>
            </w:r>
            <w:r w:rsidR="006B05E0" w:rsidRPr="007D3E6E">
              <w:rPr>
                <w:b/>
              </w:rPr>
              <w:t xml:space="preserve"> </w:t>
            </w:r>
            <w:r w:rsidR="00A26A03">
              <w:rPr>
                <w:b/>
              </w:rPr>
              <w:t>un Centrālās un finan</w:t>
            </w:r>
            <w:bookmarkStart w:id="0" w:name="_GoBack"/>
            <w:bookmarkEnd w:id="0"/>
            <w:r w:rsidR="00A26A03">
              <w:rPr>
                <w:b/>
              </w:rPr>
              <w:t xml:space="preserve">šu un līgumu aģentūras kā ES fondu sadarbības iestādes </w:t>
            </w:r>
            <w:r w:rsidR="006B05E0" w:rsidRPr="007D3E6E">
              <w:rPr>
                <w:b/>
              </w:rPr>
              <w:t>elektroniski</w:t>
            </w:r>
            <w:r w:rsidRPr="007D3E6E">
              <w:rPr>
                <w:b/>
              </w:rPr>
              <w:t xml:space="preserve"> sniegtā informācija</w:t>
            </w:r>
            <w:r w:rsidR="00A26A03">
              <w:rPr>
                <w:b/>
              </w:rPr>
              <w:t xml:space="preserve"> (</w:t>
            </w:r>
            <w:r w:rsidRPr="007D3E6E">
              <w:rPr>
                <w:b/>
              </w:rPr>
              <w:t>par papildus nepieciešamo līdzekļu apjomu līdz 201</w:t>
            </w:r>
            <w:r w:rsidR="00C63854" w:rsidRPr="007D3E6E">
              <w:rPr>
                <w:b/>
              </w:rPr>
              <w:t>9</w:t>
            </w:r>
            <w:r w:rsidR="005C5BDA" w:rsidRPr="007D3E6E">
              <w:rPr>
                <w:b/>
              </w:rPr>
              <w:t>.gada beigām</w:t>
            </w:r>
            <w:r w:rsidR="00A26A03">
              <w:rPr>
                <w:b/>
              </w:rPr>
              <w:t xml:space="preserve"> un </w:t>
            </w:r>
            <w:r w:rsidR="00A26A03" w:rsidRPr="00927A17">
              <w:rPr>
                <w:b/>
              </w:rPr>
              <w:t>prognozēto</w:t>
            </w:r>
            <w:r w:rsidR="00A26A03" w:rsidRPr="005E37B5">
              <w:t xml:space="preserve"> </w:t>
            </w:r>
            <w:r w:rsidR="00A26A03" w:rsidRPr="005E37B5">
              <w:rPr>
                <w:b/>
              </w:rPr>
              <w:t>apropriācijas pārdali no ministriju budžetiem uz 80.00.00 programmu</w:t>
            </w:r>
            <w:r w:rsidR="00A26A03">
              <w:rPr>
                <w:b/>
              </w:rPr>
              <w:t xml:space="preserve"> gadījumos</w:t>
            </w:r>
            <w:r w:rsidR="0076081E">
              <w:rPr>
                <w:b/>
              </w:rPr>
              <w:t>)</w:t>
            </w:r>
            <w:r w:rsidR="00A26A03">
              <w:rPr>
                <w:b/>
              </w:rPr>
              <w:t>:</w:t>
            </w:r>
            <w:r w:rsidRPr="007D3E6E">
              <w:rPr>
                <w:b/>
              </w:rPr>
              <w:t xml:space="preserve"> </w:t>
            </w:r>
          </w:p>
          <w:p w14:paraId="6D824E18" w14:textId="5BBAC702" w:rsidR="00D6079A" w:rsidRPr="00202D39" w:rsidRDefault="00545A7B" w:rsidP="007D3E6E">
            <w:pPr>
              <w:spacing w:before="240" w:after="120"/>
              <w:ind w:left="125" w:right="113" w:firstLine="284"/>
              <w:jc w:val="both"/>
            </w:pPr>
            <w:r w:rsidRPr="007D3E6E">
              <w:rPr>
                <w:b/>
              </w:rPr>
              <w:t>1.</w:t>
            </w:r>
            <w:r w:rsidRPr="007D3E6E">
              <w:t xml:space="preserve"> </w:t>
            </w:r>
            <w:r w:rsidR="00DE6271" w:rsidRPr="007D3E6E">
              <w:t xml:space="preserve">tiek prognozēts, ka </w:t>
            </w:r>
            <w:r w:rsidR="00D84D37" w:rsidRPr="007D3E6E">
              <w:rPr>
                <w:b/>
              </w:rPr>
              <w:t>līdz gada beigām nepieciešams papildu</w:t>
            </w:r>
            <w:r w:rsidR="00D6079A" w:rsidRPr="007D3E6E">
              <w:rPr>
                <w:b/>
              </w:rPr>
              <w:t xml:space="preserve"> finansējum</w:t>
            </w:r>
            <w:r w:rsidR="00D84D37" w:rsidRPr="007D3E6E">
              <w:rPr>
                <w:b/>
              </w:rPr>
              <w:t>s</w:t>
            </w:r>
            <w:r w:rsidR="00D84D37" w:rsidRPr="007D3E6E">
              <w:t xml:space="preserve"> </w:t>
            </w:r>
            <w:r w:rsidR="00BC3853" w:rsidRPr="00202D39">
              <w:rPr>
                <w:b/>
              </w:rPr>
              <w:t>11</w:t>
            </w:r>
            <w:r w:rsidR="00202D39" w:rsidRPr="00202D39">
              <w:rPr>
                <w:b/>
              </w:rPr>
              <w:t>8</w:t>
            </w:r>
            <w:r w:rsidR="009226DC" w:rsidRPr="00202D39">
              <w:rPr>
                <w:b/>
              </w:rPr>
              <w:t> </w:t>
            </w:r>
            <w:r w:rsidR="00202D39" w:rsidRPr="00202D39">
              <w:rPr>
                <w:b/>
              </w:rPr>
              <w:t>987</w:t>
            </w:r>
            <w:r w:rsidR="009226DC" w:rsidRPr="00202D39">
              <w:rPr>
                <w:b/>
              </w:rPr>
              <w:t> </w:t>
            </w:r>
            <w:r w:rsidR="00202D39" w:rsidRPr="00202D39">
              <w:rPr>
                <w:b/>
              </w:rPr>
              <w:t>95</w:t>
            </w:r>
            <w:r w:rsidR="006A556C" w:rsidRPr="00202D39">
              <w:rPr>
                <w:b/>
              </w:rPr>
              <w:t>3</w:t>
            </w:r>
            <w:r w:rsidR="00D6079A" w:rsidRPr="00202D39">
              <w:rPr>
                <w:b/>
              </w:rPr>
              <w:t> </w:t>
            </w:r>
            <w:proofErr w:type="spellStart"/>
            <w:r w:rsidR="00D6079A" w:rsidRPr="00202D39">
              <w:rPr>
                <w:b/>
                <w:i/>
              </w:rPr>
              <w:t>euro</w:t>
            </w:r>
            <w:proofErr w:type="spellEnd"/>
            <w:r w:rsidR="00D6079A" w:rsidRPr="00202D39">
              <w:t xml:space="preserve">, </w:t>
            </w:r>
            <w:r w:rsidR="00D84D37" w:rsidRPr="00202D39">
              <w:t>t</w:t>
            </w:r>
            <w:r w:rsidR="00D6079A" w:rsidRPr="00202D39">
              <w:t>ai skaitā:</w:t>
            </w:r>
          </w:p>
          <w:p w14:paraId="3AFAF271" w14:textId="4A1B0B70" w:rsidR="00C73478" w:rsidRPr="00202D39" w:rsidRDefault="00C73478" w:rsidP="007D3E6E">
            <w:pPr>
              <w:pStyle w:val="ListParagraph"/>
              <w:spacing w:after="120"/>
              <w:ind w:left="125" w:right="113"/>
              <w:contextualSpacing w:val="0"/>
              <w:jc w:val="both"/>
            </w:pPr>
            <w:r w:rsidRPr="00202D39">
              <w:rPr>
                <w:b/>
                <w:u w:val="single"/>
              </w:rPr>
              <w:t>Finanšu ministrijai</w:t>
            </w:r>
            <w:r w:rsidRPr="00202D39">
              <w:t xml:space="preserve"> </w:t>
            </w:r>
            <w:r w:rsidR="00BA7526" w:rsidRPr="00202D39">
              <w:rPr>
                <w:b/>
              </w:rPr>
              <w:t>68 660 958</w:t>
            </w:r>
            <w:r w:rsidRPr="00202D39">
              <w:rPr>
                <w:b/>
              </w:rPr>
              <w:t xml:space="preserve"> </w:t>
            </w:r>
            <w:proofErr w:type="spellStart"/>
            <w:r w:rsidRPr="00202D39">
              <w:rPr>
                <w:b/>
                <w:i/>
              </w:rPr>
              <w:t>euro</w:t>
            </w:r>
            <w:proofErr w:type="spellEnd"/>
            <w:r w:rsidRPr="00202D39">
              <w:rPr>
                <w:iCs/>
              </w:rPr>
              <w:t>,</w:t>
            </w:r>
            <w:r w:rsidRPr="00202D39">
              <w:t xml:space="preserve"> tajā skaitā:</w:t>
            </w:r>
          </w:p>
          <w:p w14:paraId="4833BF7A" w14:textId="0A929BE9" w:rsidR="00C73478" w:rsidRPr="00202D39" w:rsidRDefault="00C41E55" w:rsidP="007D3E6E">
            <w:pPr>
              <w:spacing w:after="120"/>
              <w:ind w:left="125" w:right="113"/>
              <w:jc w:val="both"/>
            </w:pPr>
            <w:r w:rsidRPr="00202D39">
              <w:rPr>
                <w:b/>
              </w:rPr>
              <w:t>9 187 643</w:t>
            </w:r>
            <w:r w:rsidR="00C73478" w:rsidRPr="00202D39">
              <w:rPr>
                <w:b/>
              </w:rPr>
              <w:t xml:space="preserve"> </w:t>
            </w:r>
            <w:proofErr w:type="spellStart"/>
            <w:r w:rsidR="00C73478" w:rsidRPr="00202D39">
              <w:rPr>
                <w:b/>
                <w:i/>
              </w:rPr>
              <w:t>euro</w:t>
            </w:r>
            <w:proofErr w:type="spellEnd"/>
            <w:r w:rsidR="00C73478" w:rsidRPr="00202D39">
              <w:t xml:space="preserve"> Kohēzijas fonda (KF) </w:t>
            </w:r>
            <w:r w:rsidR="00CC3A0B" w:rsidRPr="00202D39">
              <w:t>projektu un pasākumu īstenošanai</w:t>
            </w:r>
            <w:r w:rsidR="00C73478" w:rsidRPr="00202D39">
              <w:t>;</w:t>
            </w:r>
          </w:p>
          <w:p w14:paraId="044590C7" w14:textId="3573F36A" w:rsidR="00C73478" w:rsidRPr="00202D39" w:rsidRDefault="009A6715" w:rsidP="007D3E6E">
            <w:pPr>
              <w:spacing w:after="120"/>
              <w:ind w:left="125" w:right="113"/>
              <w:jc w:val="both"/>
            </w:pPr>
            <w:r>
              <w:rPr>
                <w:b/>
              </w:rPr>
              <w:t>55 452 </w:t>
            </w:r>
            <w:r w:rsidR="00C41E55" w:rsidRPr="00202D39">
              <w:rPr>
                <w:b/>
              </w:rPr>
              <w:t>138</w:t>
            </w:r>
            <w:r w:rsidR="00C73478" w:rsidRPr="00202D39">
              <w:t> </w:t>
            </w:r>
            <w:proofErr w:type="spellStart"/>
            <w:r w:rsidR="00C73478" w:rsidRPr="00202D39">
              <w:rPr>
                <w:b/>
                <w:i/>
              </w:rPr>
              <w:t>euro</w:t>
            </w:r>
            <w:proofErr w:type="spellEnd"/>
            <w:r w:rsidR="00C73478" w:rsidRPr="00202D39">
              <w:t xml:space="preserve"> Eiropas Reģionālās attīstības fonda (ERAF) </w:t>
            </w:r>
            <w:r w:rsidR="00CC3A0B" w:rsidRPr="00202D39">
              <w:t>projektu un pasākumu īstenošanai</w:t>
            </w:r>
            <w:r w:rsidR="00C73478" w:rsidRPr="00202D39">
              <w:t>;</w:t>
            </w:r>
          </w:p>
          <w:p w14:paraId="7BCFD384" w14:textId="3C4E0512" w:rsidR="00C73478" w:rsidRPr="00202D39" w:rsidRDefault="00C41E55" w:rsidP="007D3E6E">
            <w:pPr>
              <w:overflowPunct w:val="0"/>
              <w:autoSpaceDE w:val="0"/>
              <w:autoSpaceDN w:val="0"/>
              <w:adjustRightInd w:val="0"/>
              <w:spacing w:after="120"/>
              <w:ind w:left="125" w:right="113"/>
              <w:jc w:val="both"/>
            </w:pPr>
            <w:r w:rsidRPr="00202D39">
              <w:rPr>
                <w:b/>
              </w:rPr>
              <w:t>4 021 177</w:t>
            </w:r>
            <w:r w:rsidR="00C73478" w:rsidRPr="00202D39">
              <w:rPr>
                <w:b/>
              </w:rPr>
              <w:t xml:space="preserve"> </w:t>
            </w:r>
            <w:proofErr w:type="spellStart"/>
            <w:r w:rsidR="00C73478" w:rsidRPr="00202D39">
              <w:rPr>
                <w:b/>
                <w:i/>
              </w:rPr>
              <w:t>euro</w:t>
            </w:r>
            <w:proofErr w:type="spellEnd"/>
            <w:r w:rsidR="00C73478" w:rsidRPr="00202D39">
              <w:t xml:space="preserve"> Eiropas Sociālā fonda (ESF) </w:t>
            </w:r>
            <w:r w:rsidR="00CC3A0B" w:rsidRPr="00202D39">
              <w:t>projektu un pasākumu īstenošanai</w:t>
            </w:r>
            <w:r w:rsidRPr="00202D39">
              <w:t>.</w:t>
            </w:r>
          </w:p>
          <w:p w14:paraId="6EF27C1E" w14:textId="18255C08" w:rsidR="009C7F21" w:rsidRPr="00202D39" w:rsidRDefault="009C7F21" w:rsidP="007D3E6E">
            <w:pPr>
              <w:pStyle w:val="ListParagraph"/>
              <w:spacing w:after="120"/>
              <w:ind w:left="125" w:right="113"/>
              <w:contextualSpacing w:val="0"/>
              <w:jc w:val="both"/>
            </w:pPr>
            <w:r w:rsidRPr="00202D39">
              <w:rPr>
                <w:b/>
                <w:u w:val="single"/>
              </w:rPr>
              <w:t>Izglītības un zinātnes ministrijai</w:t>
            </w:r>
            <w:r w:rsidRPr="00202D39">
              <w:t xml:space="preserve"> </w:t>
            </w:r>
            <w:r w:rsidRPr="00202D39">
              <w:rPr>
                <w:b/>
              </w:rPr>
              <w:t xml:space="preserve">1 963 970 </w:t>
            </w:r>
            <w:proofErr w:type="spellStart"/>
            <w:r w:rsidRPr="00202D39">
              <w:rPr>
                <w:b/>
                <w:i/>
              </w:rPr>
              <w:t>euro</w:t>
            </w:r>
            <w:proofErr w:type="spellEnd"/>
            <w:r w:rsidRPr="00202D39">
              <w:t xml:space="preserve"> </w:t>
            </w:r>
            <w:r w:rsidRPr="00202D39">
              <w:rPr>
                <w:iCs/>
              </w:rPr>
              <w:t>-</w:t>
            </w:r>
            <w:r w:rsidRPr="00202D39">
              <w:t xml:space="preserve"> Citu Eiropas Savienības politiku instrumentu projektu un pasākumu īstenošanai.</w:t>
            </w:r>
          </w:p>
          <w:p w14:paraId="67906CD4" w14:textId="30870901" w:rsidR="00FA753E" w:rsidRPr="00202D39" w:rsidRDefault="00CC3A0B" w:rsidP="007D3E6E">
            <w:pPr>
              <w:pStyle w:val="ListParagraph"/>
              <w:spacing w:after="120"/>
              <w:ind w:left="125" w:right="113"/>
              <w:contextualSpacing w:val="0"/>
              <w:jc w:val="both"/>
            </w:pPr>
            <w:r w:rsidRPr="00202D39">
              <w:rPr>
                <w:b/>
                <w:u w:val="single"/>
              </w:rPr>
              <w:t>Zemkopības ministrijai</w:t>
            </w:r>
            <w:r w:rsidR="00FA753E" w:rsidRPr="00202D39">
              <w:rPr>
                <w:b/>
              </w:rPr>
              <w:t xml:space="preserve"> </w:t>
            </w:r>
            <w:r w:rsidR="009A6715">
              <w:rPr>
                <w:b/>
              </w:rPr>
              <w:t>30 000 000</w:t>
            </w:r>
            <w:r w:rsidR="00FA753E" w:rsidRPr="00202D39">
              <w:rPr>
                <w:b/>
              </w:rPr>
              <w:t xml:space="preserve"> </w:t>
            </w:r>
            <w:proofErr w:type="spellStart"/>
            <w:r w:rsidR="00FA753E" w:rsidRPr="00202D39">
              <w:rPr>
                <w:b/>
                <w:i/>
              </w:rPr>
              <w:t>euro</w:t>
            </w:r>
            <w:proofErr w:type="spellEnd"/>
            <w:r w:rsidR="00FA753E" w:rsidRPr="00202D39">
              <w:t xml:space="preserve"> </w:t>
            </w:r>
            <w:r w:rsidR="00C8713F">
              <w:rPr>
                <w:iCs/>
              </w:rPr>
              <w:t>,</w:t>
            </w:r>
            <w:r w:rsidR="00FA753E" w:rsidRPr="00202D39">
              <w:t xml:space="preserve"> tajā skaitā:</w:t>
            </w:r>
          </w:p>
          <w:p w14:paraId="2AABEA71" w14:textId="477132EB" w:rsidR="00BA10D2" w:rsidRPr="00202D39" w:rsidRDefault="00CC3A0B" w:rsidP="007D3E6E">
            <w:pPr>
              <w:spacing w:after="120"/>
              <w:ind w:left="125" w:right="113"/>
              <w:jc w:val="both"/>
            </w:pPr>
            <w:r w:rsidRPr="00202D39">
              <w:rPr>
                <w:b/>
              </w:rPr>
              <w:t>13 000 000</w:t>
            </w:r>
            <w:r w:rsidR="00860930" w:rsidRPr="00202D39">
              <w:rPr>
                <w:b/>
              </w:rPr>
              <w:t xml:space="preserve"> </w:t>
            </w:r>
            <w:proofErr w:type="spellStart"/>
            <w:r w:rsidR="00860930" w:rsidRPr="00202D39">
              <w:rPr>
                <w:b/>
                <w:i/>
              </w:rPr>
              <w:t>euro</w:t>
            </w:r>
            <w:proofErr w:type="spellEnd"/>
            <w:r w:rsidR="00860930" w:rsidRPr="00202D39">
              <w:rPr>
                <w:i/>
              </w:rPr>
              <w:t xml:space="preserve"> </w:t>
            </w:r>
            <w:r w:rsidR="00860930" w:rsidRPr="00202D39">
              <w:t>Eiropas Lauksaimniecības garantiju fonda (ELGF) projektu un pasākumu īstenošanai</w:t>
            </w:r>
            <w:r w:rsidR="00BA10D2" w:rsidRPr="00202D39">
              <w:t>;</w:t>
            </w:r>
          </w:p>
          <w:p w14:paraId="204DBA55" w14:textId="188A5962" w:rsidR="00860930" w:rsidRPr="00202D39" w:rsidRDefault="008336C8" w:rsidP="007D3E6E">
            <w:pPr>
              <w:spacing w:after="120"/>
              <w:ind w:left="125" w:right="113"/>
              <w:jc w:val="both"/>
            </w:pPr>
            <w:r w:rsidRPr="00202D39">
              <w:rPr>
                <w:b/>
              </w:rPr>
              <w:lastRenderedPageBreak/>
              <w:t xml:space="preserve">17 000 </w:t>
            </w:r>
            <w:r w:rsidR="00860930" w:rsidRPr="00202D39">
              <w:rPr>
                <w:b/>
              </w:rPr>
              <w:t>000</w:t>
            </w:r>
            <w:r w:rsidR="00860930" w:rsidRPr="00202D39">
              <w:t xml:space="preserve"> </w:t>
            </w:r>
            <w:proofErr w:type="spellStart"/>
            <w:r w:rsidR="00BA10D2" w:rsidRPr="00202D39">
              <w:rPr>
                <w:b/>
                <w:i/>
              </w:rPr>
              <w:t>euro</w:t>
            </w:r>
            <w:proofErr w:type="spellEnd"/>
            <w:r w:rsidR="00BA10D2" w:rsidRPr="00202D39">
              <w:rPr>
                <w:i/>
              </w:rPr>
              <w:t xml:space="preserve"> </w:t>
            </w:r>
            <w:r w:rsidR="00860930" w:rsidRPr="00202D39">
              <w:t>Eiropas Lauksaimniecības fonda lauku attīstībai (ELFLA) projektu un pasākumu īstenošanai</w:t>
            </w:r>
            <w:r w:rsidR="00B71A99" w:rsidRPr="00202D39">
              <w:t>.</w:t>
            </w:r>
            <w:r w:rsidR="00860930" w:rsidRPr="00202D39">
              <w:t xml:space="preserve"> </w:t>
            </w:r>
          </w:p>
          <w:p w14:paraId="60F21B14" w14:textId="55D8741D" w:rsidR="00C73478" w:rsidRPr="00202D39" w:rsidRDefault="00C73478" w:rsidP="007D3E6E">
            <w:pPr>
              <w:pStyle w:val="ListParagraph"/>
              <w:numPr>
                <w:ilvl w:val="0"/>
                <w:numId w:val="5"/>
              </w:numPr>
              <w:spacing w:after="120"/>
              <w:ind w:left="123" w:right="113"/>
              <w:contextualSpacing w:val="0"/>
              <w:jc w:val="both"/>
            </w:pPr>
            <w:r w:rsidRPr="00202D39">
              <w:rPr>
                <w:b/>
                <w:u w:val="single"/>
              </w:rPr>
              <w:t>Satiksmes ministrijai</w:t>
            </w:r>
            <w:r w:rsidRPr="00202D39">
              <w:t xml:space="preserve"> </w:t>
            </w:r>
            <w:r w:rsidR="00EA6C2F" w:rsidRPr="00202D39">
              <w:rPr>
                <w:b/>
                <w:iCs/>
              </w:rPr>
              <w:t>6 618 856</w:t>
            </w:r>
            <w:r w:rsidRPr="00202D39">
              <w:rPr>
                <w:b/>
                <w:iCs/>
              </w:rPr>
              <w:t xml:space="preserve"> </w:t>
            </w:r>
            <w:proofErr w:type="spellStart"/>
            <w:r w:rsidRPr="00202D39">
              <w:rPr>
                <w:b/>
                <w:i/>
                <w:iCs/>
              </w:rPr>
              <w:t>euro</w:t>
            </w:r>
            <w:proofErr w:type="spellEnd"/>
            <w:r w:rsidRPr="00202D39">
              <w:rPr>
                <w:b/>
                <w:iCs/>
              </w:rPr>
              <w:t xml:space="preserve"> </w:t>
            </w:r>
            <w:r w:rsidR="00EA6C2F" w:rsidRPr="00202D39">
              <w:t xml:space="preserve">- </w:t>
            </w:r>
            <w:r w:rsidRPr="00202D39">
              <w:t xml:space="preserve">Kohēzijas fonda (KF) </w:t>
            </w:r>
            <w:r w:rsidR="00EA6C2F" w:rsidRPr="00202D39">
              <w:t>projektu</w:t>
            </w:r>
            <w:r w:rsidRPr="00202D39">
              <w:t xml:space="preserve"> </w:t>
            </w:r>
            <w:r w:rsidR="00EA6C2F" w:rsidRPr="00202D39">
              <w:t>īstenošanai</w:t>
            </w:r>
            <w:r w:rsidRPr="00202D39">
              <w:t xml:space="preserve">;  </w:t>
            </w:r>
          </w:p>
          <w:p w14:paraId="4305C40E" w14:textId="6BEB70F9" w:rsidR="00D309B0" w:rsidRPr="00202D39" w:rsidRDefault="00D54B2D" w:rsidP="007D3E6E">
            <w:pPr>
              <w:pStyle w:val="ListParagraph"/>
              <w:numPr>
                <w:ilvl w:val="0"/>
                <w:numId w:val="5"/>
              </w:numPr>
              <w:spacing w:after="120"/>
              <w:ind w:left="123" w:right="113"/>
              <w:contextualSpacing w:val="0"/>
              <w:jc w:val="both"/>
              <w:rPr>
                <w:rFonts w:eastAsia="Calibri"/>
              </w:rPr>
            </w:pPr>
            <w:r w:rsidRPr="00202D39">
              <w:rPr>
                <w:b/>
                <w:u w:val="single"/>
              </w:rPr>
              <w:t>Vides aizsardzības un reģionālās attīstības ministrijai</w:t>
            </w:r>
            <w:r w:rsidR="00AC14B6" w:rsidRPr="00202D39">
              <w:rPr>
                <w:b/>
              </w:rPr>
              <w:t xml:space="preserve"> 4 </w:t>
            </w:r>
            <w:r w:rsidR="00EA6C2F" w:rsidRPr="00202D39">
              <w:rPr>
                <w:b/>
              </w:rPr>
              <w:t>303</w:t>
            </w:r>
            <w:r w:rsidR="00B71A99" w:rsidRPr="00202D39">
              <w:rPr>
                <w:b/>
              </w:rPr>
              <w:t> </w:t>
            </w:r>
            <w:r w:rsidR="00EA6C2F" w:rsidRPr="00202D39">
              <w:rPr>
                <w:b/>
              </w:rPr>
              <w:t>347</w:t>
            </w:r>
            <w:r w:rsidRPr="00202D39">
              <w:rPr>
                <w:b/>
              </w:rPr>
              <w:t xml:space="preserve"> </w:t>
            </w:r>
            <w:proofErr w:type="spellStart"/>
            <w:r w:rsidRPr="00202D39">
              <w:rPr>
                <w:b/>
                <w:i/>
              </w:rPr>
              <w:t>euro</w:t>
            </w:r>
            <w:proofErr w:type="spellEnd"/>
            <w:r w:rsidR="009F065F" w:rsidRPr="00202D39">
              <w:t xml:space="preserve"> </w:t>
            </w:r>
            <w:r w:rsidR="00EA6C2F" w:rsidRPr="00202D39">
              <w:rPr>
                <w:iCs/>
              </w:rPr>
              <w:t xml:space="preserve">- </w:t>
            </w:r>
            <w:r w:rsidR="000D0EFF" w:rsidRPr="00202D39">
              <w:t>Emisijas kvotu i</w:t>
            </w:r>
            <w:r w:rsidR="00EA6C2F" w:rsidRPr="00202D39">
              <w:t>zsolīšanas instrumenta projektu īstenošanai</w:t>
            </w:r>
            <w:r w:rsidR="00B71A99" w:rsidRPr="00202D39">
              <w:t>.</w:t>
            </w:r>
          </w:p>
          <w:p w14:paraId="4F3F153E" w14:textId="0DA51583" w:rsidR="00630442" w:rsidRPr="00202D39" w:rsidRDefault="00811F34" w:rsidP="007D3E6E">
            <w:pPr>
              <w:pStyle w:val="ListParagraph"/>
              <w:numPr>
                <w:ilvl w:val="0"/>
                <w:numId w:val="5"/>
              </w:numPr>
              <w:spacing w:after="120"/>
              <w:ind w:left="123" w:right="113"/>
              <w:contextualSpacing w:val="0"/>
              <w:jc w:val="both"/>
            </w:pPr>
            <w:r w:rsidRPr="00202D39">
              <w:rPr>
                <w:b/>
                <w:u w:val="single"/>
              </w:rPr>
              <w:t>Kultūras</w:t>
            </w:r>
            <w:r w:rsidR="00D54B2D" w:rsidRPr="00202D39">
              <w:rPr>
                <w:b/>
                <w:u w:val="single"/>
              </w:rPr>
              <w:t xml:space="preserve"> ministrijai</w:t>
            </w:r>
            <w:r w:rsidR="00C57036" w:rsidRPr="00202D39">
              <w:rPr>
                <w:b/>
              </w:rPr>
              <w:t xml:space="preserve"> </w:t>
            </w:r>
            <w:r w:rsidR="00BC3853" w:rsidRPr="00202D39">
              <w:rPr>
                <w:b/>
              </w:rPr>
              <w:t>3</w:t>
            </w:r>
            <w:r w:rsidRPr="00202D39">
              <w:rPr>
                <w:b/>
              </w:rPr>
              <w:t>04</w:t>
            </w:r>
            <w:r w:rsidR="00D54B2D" w:rsidRPr="00202D39">
              <w:rPr>
                <w:b/>
              </w:rPr>
              <w:t xml:space="preserve"> </w:t>
            </w:r>
            <w:r w:rsidRPr="00202D39">
              <w:rPr>
                <w:b/>
              </w:rPr>
              <w:t>15</w:t>
            </w:r>
            <w:r w:rsidR="00D54B2D" w:rsidRPr="00202D39">
              <w:rPr>
                <w:b/>
              </w:rPr>
              <w:t xml:space="preserve">0 </w:t>
            </w:r>
            <w:proofErr w:type="spellStart"/>
            <w:r w:rsidR="00DB7B48" w:rsidRPr="00202D39">
              <w:rPr>
                <w:b/>
                <w:i/>
              </w:rPr>
              <w:t>euro</w:t>
            </w:r>
            <w:proofErr w:type="spellEnd"/>
            <w:r w:rsidR="00DB7B48" w:rsidRPr="00202D39">
              <w:rPr>
                <w:i/>
              </w:rPr>
              <w:t xml:space="preserve"> </w:t>
            </w:r>
            <w:r w:rsidRPr="00202D39">
              <w:t>– Eiropas Ekonomikas zonas un Norvēģijas finanšu instrumentu finansēto projektu un pasākumu īstenošanai</w:t>
            </w:r>
            <w:r w:rsidR="00D81DFB" w:rsidRPr="00202D39">
              <w:t>;</w:t>
            </w:r>
          </w:p>
          <w:p w14:paraId="421EC24A" w14:textId="068784F6" w:rsidR="00871282" w:rsidRPr="007D3E6E" w:rsidRDefault="00871282" w:rsidP="007D3E6E">
            <w:pPr>
              <w:tabs>
                <w:tab w:val="left" w:pos="993"/>
              </w:tabs>
              <w:spacing w:after="120"/>
              <w:ind w:left="123" w:right="113"/>
            </w:pPr>
            <w:r w:rsidRPr="00202D39">
              <w:rPr>
                <w:b/>
                <w:u w:val="single"/>
              </w:rPr>
              <w:t>Citiem projektiem</w:t>
            </w:r>
            <w:r w:rsidR="009226DC" w:rsidRPr="00202D39">
              <w:rPr>
                <w:b/>
              </w:rPr>
              <w:t xml:space="preserve"> </w:t>
            </w:r>
            <w:r w:rsidR="00202D39" w:rsidRPr="00202D39">
              <w:rPr>
                <w:b/>
              </w:rPr>
              <w:t>7</w:t>
            </w:r>
            <w:r w:rsidR="00811F34" w:rsidRPr="00202D39">
              <w:rPr>
                <w:b/>
              </w:rPr>
              <w:t> 1</w:t>
            </w:r>
            <w:r w:rsidR="00202D39" w:rsidRPr="00202D39">
              <w:rPr>
                <w:b/>
              </w:rPr>
              <w:t>36 672</w:t>
            </w:r>
            <w:r w:rsidRPr="00202D39">
              <w:rPr>
                <w:b/>
              </w:rPr>
              <w:t xml:space="preserve"> </w:t>
            </w:r>
            <w:proofErr w:type="spellStart"/>
            <w:r w:rsidRPr="00202D39">
              <w:rPr>
                <w:b/>
                <w:i/>
              </w:rPr>
              <w:t>euro</w:t>
            </w:r>
            <w:proofErr w:type="spellEnd"/>
            <w:r w:rsidRPr="00202D39">
              <w:t>.</w:t>
            </w:r>
          </w:p>
          <w:p w14:paraId="311077C3" w14:textId="03C8E5D4" w:rsidR="008E5B7C" w:rsidRPr="005E37B5" w:rsidRDefault="00D6079A" w:rsidP="007D3E6E">
            <w:pPr>
              <w:spacing w:before="240" w:after="120"/>
              <w:ind w:left="125" w:right="113" w:firstLine="284"/>
              <w:jc w:val="both"/>
            </w:pPr>
            <w:r w:rsidRPr="005E37B5">
              <w:rPr>
                <w:b/>
              </w:rPr>
              <w:t xml:space="preserve">2. </w:t>
            </w:r>
            <w:r w:rsidR="00C8713F">
              <w:t xml:space="preserve">tiek </w:t>
            </w:r>
            <w:r w:rsidR="00D81DFB" w:rsidRPr="005E37B5">
              <w:t>prognozēt</w:t>
            </w:r>
            <w:r w:rsidR="005D0284">
              <w:t>a</w:t>
            </w:r>
            <w:r w:rsidR="00D81DFB" w:rsidRPr="005E37B5">
              <w:t xml:space="preserve"> </w:t>
            </w:r>
            <w:r w:rsidR="008F6918" w:rsidRPr="005E37B5">
              <w:rPr>
                <w:b/>
              </w:rPr>
              <w:t>apropriācijas pārdal</w:t>
            </w:r>
            <w:r w:rsidR="005D0284">
              <w:rPr>
                <w:b/>
              </w:rPr>
              <w:t>e</w:t>
            </w:r>
            <w:r w:rsidRPr="005E37B5">
              <w:rPr>
                <w:b/>
              </w:rPr>
              <w:t xml:space="preserve"> no ministriju budžetiem uz 80.00.00 programmu</w:t>
            </w:r>
            <w:r w:rsidRPr="005E37B5">
              <w:t xml:space="preserve"> </w:t>
            </w:r>
            <w:r w:rsidR="00202D39" w:rsidRPr="005E37B5">
              <w:rPr>
                <w:b/>
              </w:rPr>
              <w:t>14</w:t>
            </w:r>
            <w:r w:rsidR="009A6715">
              <w:rPr>
                <w:b/>
              </w:rPr>
              <w:t> </w:t>
            </w:r>
            <w:r w:rsidR="00D81DFB" w:rsidRPr="005E37B5">
              <w:rPr>
                <w:b/>
              </w:rPr>
              <w:t>4</w:t>
            </w:r>
            <w:r w:rsidR="00202D39" w:rsidRPr="005E37B5">
              <w:rPr>
                <w:b/>
              </w:rPr>
              <w:t>12</w:t>
            </w:r>
            <w:r w:rsidR="009A6715">
              <w:rPr>
                <w:b/>
              </w:rPr>
              <w:t> </w:t>
            </w:r>
            <w:r w:rsidR="00202D39" w:rsidRPr="005E37B5">
              <w:rPr>
                <w:b/>
              </w:rPr>
              <w:t>02</w:t>
            </w:r>
            <w:r w:rsidR="00D81DFB" w:rsidRPr="005E37B5">
              <w:rPr>
                <w:b/>
              </w:rPr>
              <w:t>5</w:t>
            </w:r>
            <w:r w:rsidRPr="005E37B5">
              <w:rPr>
                <w:color w:val="FF0000"/>
              </w:rPr>
              <w:t xml:space="preserve"> </w:t>
            </w:r>
            <w:proofErr w:type="spellStart"/>
            <w:r w:rsidRPr="005E37B5">
              <w:rPr>
                <w:b/>
                <w:i/>
              </w:rPr>
              <w:t>euro</w:t>
            </w:r>
            <w:proofErr w:type="spellEnd"/>
            <w:r w:rsidRPr="005E37B5">
              <w:t>, tajā skaitā</w:t>
            </w:r>
            <w:r w:rsidR="006B05E0" w:rsidRPr="005E37B5">
              <w:t xml:space="preserve"> no</w:t>
            </w:r>
            <w:r w:rsidRPr="005E37B5">
              <w:t>:</w:t>
            </w:r>
          </w:p>
          <w:p w14:paraId="5FCF3660" w14:textId="77777777" w:rsidR="008E5B7C" w:rsidRPr="005E37B5" w:rsidRDefault="00170CFC" w:rsidP="007D3E6E">
            <w:pPr>
              <w:spacing w:after="120"/>
              <w:ind w:left="125" w:right="113"/>
              <w:jc w:val="both"/>
            </w:pPr>
            <w:r w:rsidRPr="005E37B5">
              <w:rPr>
                <w:b/>
                <w:u w:val="single"/>
              </w:rPr>
              <w:t>resora “Ministru kabinets”</w:t>
            </w:r>
            <w:r w:rsidR="00567C3A" w:rsidRPr="005E37B5">
              <w:t xml:space="preserve"> </w:t>
            </w:r>
            <w:r w:rsidR="006B05E0" w:rsidRPr="005E37B5">
              <w:t>-</w:t>
            </w:r>
            <w:r w:rsidR="005E6150" w:rsidRPr="005E37B5">
              <w:t xml:space="preserve"> </w:t>
            </w:r>
            <w:r w:rsidR="00D81DFB" w:rsidRPr="005E37B5">
              <w:rPr>
                <w:b/>
              </w:rPr>
              <w:t>1 3</w:t>
            </w:r>
            <w:r w:rsidR="00BC3853" w:rsidRPr="005E37B5">
              <w:rPr>
                <w:b/>
              </w:rPr>
              <w:t>40</w:t>
            </w:r>
            <w:r w:rsidR="00D81DFB" w:rsidRPr="005E37B5">
              <w:rPr>
                <w:b/>
              </w:rPr>
              <w:t xml:space="preserve"> </w:t>
            </w:r>
            <w:r w:rsidR="00BC3853" w:rsidRPr="005E37B5">
              <w:rPr>
                <w:b/>
              </w:rPr>
              <w:t>75</w:t>
            </w:r>
            <w:r w:rsidR="00D81DFB" w:rsidRPr="005E37B5">
              <w:rPr>
                <w:b/>
              </w:rPr>
              <w:t>4</w:t>
            </w:r>
            <w:r w:rsidR="00CF1350" w:rsidRPr="005E37B5">
              <w:rPr>
                <w:b/>
              </w:rPr>
              <w:t xml:space="preserve"> </w:t>
            </w:r>
            <w:proofErr w:type="spellStart"/>
            <w:r w:rsidR="00CF1350" w:rsidRPr="005E37B5">
              <w:rPr>
                <w:b/>
                <w:i/>
              </w:rPr>
              <w:t>euro</w:t>
            </w:r>
            <w:proofErr w:type="spellEnd"/>
            <w:r w:rsidR="00D81DFB" w:rsidRPr="005E37B5">
              <w:t>;</w:t>
            </w:r>
          </w:p>
          <w:p w14:paraId="2B65E61B" w14:textId="77777777" w:rsidR="00D81DFB" w:rsidRPr="005E37B5" w:rsidRDefault="00D81DFB" w:rsidP="007D3E6E">
            <w:pPr>
              <w:spacing w:after="120"/>
              <w:ind w:left="125" w:right="113"/>
              <w:jc w:val="both"/>
            </w:pPr>
            <w:r w:rsidRPr="005E37B5">
              <w:rPr>
                <w:b/>
                <w:u w:val="single"/>
              </w:rPr>
              <w:t>Aizsardzības ministrijas</w:t>
            </w:r>
            <w:r w:rsidRPr="005E37B5">
              <w:t xml:space="preserve"> </w:t>
            </w:r>
            <w:r w:rsidR="006B05E0" w:rsidRPr="005E37B5">
              <w:t>-</w:t>
            </w:r>
            <w:r w:rsidRPr="005E37B5">
              <w:t xml:space="preserve"> </w:t>
            </w:r>
            <w:r w:rsidR="008E5B7C" w:rsidRPr="005E37B5">
              <w:rPr>
                <w:b/>
              </w:rPr>
              <w:t>389 727</w:t>
            </w:r>
            <w:r w:rsidRPr="005E37B5">
              <w:rPr>
                <w:b/>
              </w:rPr>
              <w:t xml:space="preserve"> </w:t>
            </w:r>
            <w:proofErr w:type="spellStart"/>
            <w:r w:rsidRPr="005E37B5">
              <w:rPr>
                <w:b/>
                <w:i/>
              </w:rPr>
              <w:t>euro</w:t>
            </w:r>
            <w:proofErr w:type="spellEnd"/>
            <w:r w:rsidRPr="005E37B5">
              <w:t>;</w:t>
            </w:r>
          </w:p>
          <w:p w14:paraId="7F395C7E" w14:textId="77777777" w:rsidR="00D81DFB" w:rsidRPr="005E37B5" w:rsidRDefault="00D81DFB" w:rsidP="007D3E6E">
            <w:pPr>
              <w:pStyle w:val="ListParagraph"/>
              <w:numPr>
                <w:ilvl w:val="0"/>
                <w:numId w:val="5"/>
              </w:numPr>
              <w:spacing w:after="120"/>
              <w:ind w:left="125" w:right="113"/>
              <w:contextualSpacing w:val="0"/>
              <w:jc w:val="both"/>
            </w:pPr>
            <w:r w:rsidRPr="005E37B5">
              <w:rPr>
                <w:b/>
                <w:u w:val="single"/>
              </w:rPr>
              <w:t>Ekonomikas ministrijas</w:t>
            </w:r>
            <w:r w:rsidRPr="005E37B5">
              <w:t xml:space="preserve"> </w:t>
            </w:r>
            <w:r w:rsidR="00202D39" w:rsidRPr="005E37B5">
              <w:t>–</w:t>
            </w:r>
            <w:r w:rsidRPr="005E37B5">
              <w:t xml:space="preserve"> </w:t>
            </w:r>
            <w:r w:rsidR="00202D39" w:rsidRPr="005E37B5">
              <w:rPr>
                <w:b/>
              </w:rPr>
              <w:t>1</w:t>
            </w:r>
            <w:r w:rsidR="00202D39" w:rsidRPr="005E37B5">
              <w:t xml:space="preserve"> </w:t>
            </w:r>
            <w:r w:rsidRPr="005E37B5">
              <w:rPr>
                <w:b/>
              </w:rPr>
              <w:t xml:space="preserve">841 187 </w:t>
            </w:r>
            <w:proofErr w:type="spellStart"/>
            <w:r w:rsidRPr="005E37B5">
              <w:rPr>
                <w:b/>
                <w:i/>
              </w:rPr>
              <w:t>euro</w:t>
            </w:r>
            <w:proofErr w:type="spellEnd"/>
            <w:r w:rsidRPr="005E37B5">
              <w:t>;</w:t>
            </w:r>
          </w:p>
          <w:p w14:paraId="569E40F0" w14:textId="77777777" w:rsidR="00D81DFB" w:rsidRPr="005E37B5" w:rsidRDefault="00D81DFB" w:rsidP="007D3E6E">
            <w:pPr>
              <w:pStyle w:val="ListParagraph"/>
              <w:numPr>
                <w:ilvl w:val="0"/>
                <w:numId w:val="5"/>
              </w:numPr>
              <w:spacing w:after="120"/>
              <w:ind w:left="125" w:right="113"/>
              <w:contextualSpacing w:val="0"/>
              <w:jc w:val="both"/>
            </w:pPr>
            <w:r w:rsidRPr="005E37B5">
              <w:rPr>
                <w:b/>
                <w:u w:val="single"/>
              </w:rPr>
              <w:t>Iekšlietu ministrijas</w:t>
            </w:r>
            <w:r w:rsidRPr="005E37B5">
              <w:t xml:space="preserve"> </w:t>
            </w:r>
            <w:r w:rsidR="006B05E0" w:rsidRPr="005E37B5">
              <w:t>-</w:t>
            </w:r>
            <w:r w:rsidRPr="005E37B5">
              <w:t xml:space="preserve"> </w:t>
            </w:r>
            <w:r w:rsidRPr="005E37B5">
              <w:rPr>
                <w:b/>
              </w:rPr>
              <w:t xml:space="preserve">875 850 </w:t>
            </w:r>
            <w:proofErr w:type="spellStart"/>
            <w:r w:rsidRPr="005E37B5">
              <w:rPr>
                <w:b/>
                <w:i/>
              </w:rPr>
              <w:t>euro</w:t>
            </w:r>
            <w:proofErr w:type="spellEnd"/>
            <w:r w:rsidRPr="005E37B5">
              <w:t>;</w:t>
            </w:r>
          </w:p>
          <w:p w14:paraId="102E1813" w14:textId="77777777" w:rsidR="00D81DFB" w:rsidRPr="005E37B5" w:rsidRDefault="00567C3A" w:rsidP="007D3E6E">
            <w:pPr>
              <w:pStyle w:val="ListParagraph"/>
              <w:numPr>
                <w:ilvl w:val="0"/>
                <w:numId w:val="5"/>
              </w:numPr>
              <w:spacing w:after="120"/>
              <w:ind w:left="125" w:right="113"/>
              <w:contextualSpacing w:val="0"/>
              <w:jc w:val="both"/>
            </w:pPr>
            <w:r w:rsidRPr="005E37B5">
              <w:rPr>
                <w:b/>
                <w:u w:val="single"/>
              </w:rPr>
              <w:t>Labklājības</w:t>
            </w:r>
            <w:r w:rsidR="00D6079A" w:rsidRPr="005E37B5">
              <w:rPr>
                <w:b/>
                <w:u w:val="single"/>
              </w:rPr>
              <w:t xml:space="preserve"> ministrijas</w:t>
            </w:r>
            <w:r w:rsidR="00D6079A" w:rsidRPr="005E37B5">
              <w:t xml:space="preserve"> </w:t>
            </w:r>
            <w:r w:rsidR="006B05E0" w:rsidRPr="005E37B5">
              <w:t>-</w:t>
            </w:r>
            <w:r w:rsidR="00D6079A" w:rsidRPr="005E37B5">
              <w:t xml:space="preserve"> </w:t>
            </w:r>
            <w:r w:rsidR="00D81DFB" w:rsidRPr="005E37B5">
              <w:rPr>
                <w:b/>
              </w:rPr>
              <w:t>3 745 958</w:t>
            </w:r>
            <w:r w:rsidR="00D6079A" w:rsidRPr="005E37B5">
              <w:rPr>
                <w:b/>
              </w:rPr>
              <w:t xml:space="preserve"> </w:t>
            </w:r>
            <w:proofErr w:type="spellStart"/>
            <w:r w:rsidR="00D6079A" w:rsidRPr="005E37B5">
              <w:rPr>
                <w:b/>
                <w:i/>
              </w:rPr>
              <w:t>euro</w:t>
            </w:r>
            <w:proofErr w:type="spellEnd"/>
            <w:r w:rsidR="00D81DFB" w:rsidRPr="005E37B5">
              <w:t>;</w:t>
            </w:r>
          </w:p>
          <w:p w14:paraId="535E3F0F" w14:textId="77777777" w:rsidR="00D81DFB" w:rsidRPr="005E37B5" w:rsidRDefault="00D81DFB" w:rsidP="007D3E6E">
            <w:pPr>
              <w:pStyle w:val="ListParagraph"/>
              <w:numPr>
                <w:ilvl w:val="0"/>
                <w:numId w:val="5"/>
              </w:numPr>
              <w:spacing w:after="120"/>
              <w:ind w:left="125" w:right="113"/>
              <w:contextualSpacing w:val="0"/>
              <w:jc w:val="both"/>
            </w:pPr>
            <w:r w:rsidRPr="005E37B5">
              <w:rPr>
                <w:b/>
                <w:u w:val="single"/>
              </w:rPr>
              <w:t>Tieslietu ministrijas</w:t>
            </w:r>
            <w:r w:rsidRPr="005E37B5">
              <w:t xml:space="preserve"> </w:t>
            </w:r>
            <w:r w:rsidR="006B05E0" w:rsidRPr="005E37B5">
              <w:t>-</w:t>
            </w:r>
            <w:r w:rsidRPr="005E37B5">
              <w:t xml:space="preserve"> </w:t>
            </w:r>
            <w:r w:rsidRPr="005E37B5">
              <w:rPr>
                <w:b/>
              </w:rPr>
              <w:t xml:space="preserve">147 957 </w:t>
            </w:r>
            <w:proofErr w:type="spellStart"/>
            <w:r w:rsidRPr="005E37B5">
              <w:rPr>
                <w:b/>
                <w:i/>
              </w:rPr>
              <w:t>euro</w:t>
            </w:r>
            <w:proofErr w:type="spellEnd"/>
            <w:r w:rsidRPr="005E37B5">
              <w:t>;</w:t>
            </w:r>
          </w:p>
          <w:p w14:paraId="61A5F817" w14:textId="77777777" w:rsidR="00D81DFB" w:rsidRPr="005E37B5" w:rsidRDefault="00D81DFB" w:rsidP="007D3E6E">
            <w:pPr>
              <w:pStyle w:val="ListParagraph"/>
              <w:numPr>
                <w:ilvl w:val="0"/>
                <w:numId w:val="5"/>
              </w:numPr>
              <w:spacing w:after="120"/>
              <w:ind w:left="125" w:right="113"/>
              <w:contextualSpacing w:val="0"/>
              <w:jc w:val="both"/>
            </w:pPr>
            <w:r w:rsidRPr="005E37B5">
              <w:rPr>
                <w:b/>
                <w:u w:val="single"/>
              </w:rPr>
              <w:t>Veselības ministrijas</w:t>
            </w:r>
            <w:r w:rsidRPr="005E37B5">
              <w:t xml:space="preserve"> </w:t>
            </w:r>
            <w:r w:rsidR="006B05E0" w:rsidRPr="005E37B5">
              <w:t>-</w:t>
            </w:r>
            <w:r w:rsidRPr="005E37B5">
              <w:t xml:space="preserve"> </w:t>
            </w:r>
            <w:r w:rsidR="005E37B5" w:rsidRPr="005E37B5">
              <w:rPr>
                <w:b/>
              </w:rPr>
              <w:t>6 070</w:t>
            </w:r>
            <w:r w:rsidRPr="005E37B5">
              <w:rPr>
                <w:b/>
              </w:rPr>
              <w:t xml:space="preserve"> </w:t>
            </w:r>
            <w:r w:rsidR="005E37B5" w:rsidRPr="005E37B5">
              <w:rPr>
                <w:b/>
              </w:rPr>
              <w:t>592</w:t>
            </w:r>
            <w:r w:rsidRPr="005E37B5">
              <w:rPr>
                <w:b/>
              </w:rPr>
              <w:t xml:space="preserve"> </w:t>
            </w:r>
            <w:proofErr w:type="spellStart"/>
            <w:r w:rsidRPr="005E37B5">
              <w:rPr>
                <w:b/>
                <w:i/>
              </w:rPr>
              <w:t>euro</w:t>
            </w:r>
            <w:proofErr w:type="spellEnd"/>
            <w:r w:rsidRPr="005E37B5">
              <w:t>.</w:t>
            </w:r>
          </w:p>
          <w:p w14:paraId="372B7BCC" w14:textId="5CC51CF0" w:rsidR="00D6079A" w:rsidRPr="007D3E6E" w:rsidRDefault="00D6079A" w:rsidP="007C4626">
            <w:pPr>
              <w:spacing w:before="240"/>
              <w:ind w:left="125" w:right="113" w:firstLine="284"/>
              <w:jc w:val="both"/>
              <w:rPr>
                <w:b/>
              </w:rPr>
            </w:pPr>
            <w:r w:rsidRPr="005E37B5">
              <w:rPr>
                <w:b/>
              </w:rPr>
              <w:t>3.</w:t>
            </w:r>
            <w:r w:rsidRPr="005E37B5">
              <w:t xml:space="preserve"> </w:t>
            </w:r>
            <w:r w:rsidR="00BC3853" w:rsidRPr="005E37B5">
              <w:t>Ņemot vērā iepriekš minēto informāciju,</w:t>
            </w:r>
            <w:r w:rsidR="007C4626" w:rsidRPr="005E37B5">
              <w:t xml:space="preserve"> </w:t>
            </w:r>
            <w:r w:rsidR="007C4626" w:rsidRPr="005E37B5">
              <w:rPr>
                <w:b/>
              </w:rPr>
              <w:t>p</w:t>
            </w:r>
            <w:r w:rsidRPr="005E37B5">
              <w:rPr>
                <w:b/>
              </w:rPr>
              <w:t>rognozētais līdzekļu deficīts 80.00.00 programmā</w:t>
            </w:r>
            <w:r w:rsidR="005D0284">
              <w:rPr>
                <w:b/>
              </w:rPr>
              <w:t xml:space="preserve"> </w:t>
            </w:r>
            <w:r w:rsidR="005D0284" w:rsidRPr="005E37B5">
              <w:rPr>
                <w:b/>
              </w:rPr>
              <w:t>ir</w:t>
            </w:r>
            <w:r w:rsidR="005D0284" w:rsidRPr="005E37B5">
              <w:t xml:space="preserve"> </w:t>
            </w:r>
            <w:r w:rsidR="005D0284" w:rsidRPr="005E37B5">
              <w:rPr>
                <w:b/>
              </w:rPr>
              <w:t xml:space="preserve">100 000 000 </w:t>
            </w:r>
            <w:proofErr w:type="spellStart"/>
            <w:r w:rsidR="005D0284" w:rsidRPr="005E37B5">
              <w:rPr>
                <w:b/>
                <w:i/>
              </w:rPr>
              <w:t>euro</w:t>
            </w:r>
            <w:proofErr w:type="spellEnd"/>
            <w:r w:rsidRPr="005E37B5">
              <w:t>, t.sk. ņemot vērā 80.00.00 programmas atlikumu uz 201</w:t>
            </w:r>
            <w:r w:rsidR="008322A7" w:rsidRPr="005E37B5">
              <w:t>9</w:t>
            </w:r>
            <w:r w:rsidRPr="005E37B5">
              <w:t xml:space="preserve">.gada </w:t>
            </w:r>
            <w:r w:rsidR="00202D39" w:rsidRPr="005E37B5">
              <w:t>10</w:t>
            </w:r>
            <w:r w:rsidR="00C63854" w:rsidRPr="005E37B5">
              <w:t>.septembri</w:t>
            </w:r>
            <w:r w:rsidRPr="005E37B5">
              <w:t xml:space="preserve">, </w:t>
            </w:r>
            <w:r w:rsidR="00D54B2D" w:rsidRPr="005E37B5">
              <w:t>ministriju</w:t>
            </w:r>
            <w:r w:rsidRPr="005E37B5">
              <w:t xml:space="preserve"> sniegto</w:t>
            </w:r>
            <w:r w:rsidR="009E5A67" w:rsidRPr="005E37B5">
              <w:t>s</w:t>
            </w:r>
            <w:r w:rsidRPr="005E37B5">
              <w:t xml:space="preserve"> </w:t>
            </w:r>
            <w:r w:rsidR="009E5A67" w:rsidRPr="005E37B5">
              <w:t>pieprasījumus</w:t>
            </w:r>
            <w:r w:rsidRPr="005E37B5">
              <w:t xml:space="preserve"> par papildus nepieciešamo līdzekļu apjomu līdz 201</w:t>
            </w:r>
            <w:r w:rsidR="008322A7" w:rsidRPr="005E37B5">
              <w:t>9</w:t>
            </w:r>
            <w:r w:rsidRPr="005E37B5">
              <w:t>.gada beigām un pieprasījumus apropriācijas pārdalei no ministriju budžetiem uz 80.00.00 programmu</w:t>
            </w:r>
            <w:r w:rsidRPr="005E37B5">
              <w:rPr>
                <w:b/>
              </w:rPr>
              <w:t>.</w:t>
            </w:r>
          </w:p>
          <w:p w14:paraId="1A391B1A" w14:textId="77777777" w:rsidR="00D6079A" w:rsidRPr="005E37B5" w:rsidRDefault="005C5BDA" w:rsidP="007D3E6E">
            <w:pPr>
              <w:spacing w:before="240"/>
              <w:ind w:left="125" w:right="113" w:firstLine="284"/>
              <w:jc w:val="both"/>
              <w:rPr>
                <w:b/>
              </w:rPr>
            </w:pPr>
            <w:r w:rsidRPr="005E37B5">
              <w:rPr>
                <w:b/>
              </w:rPr>
              <w:t xml:space="preserve">4. </w:t>
            </w:r>
            <w:r w:rsidR="00814BB4" w:rsidRPr="005E37B5">
              <w:rPr>
                <w:b/>
              </w:rPr>
              <w:t>Tālākā rīcība</w:t>
            </w:r>
          </w:p>
          <w:p w14:paraId="1BD16DB1" w14:textId="1778F391" w:rsidR="00D6079A" w:rsidRPr="007D3E6E" w:rsidRDefault="00D6079A" w:rsidP="00372421">
            <w:pPr>
              <w:autoSpaceDE w:val="0"/>
              <w:autoSpaceDN w:val="0"/>
              <w:adjustRightInd w:val="0"/>
              <w:spacing w:after="120"/>
              <w:ind w:left="125" w:right="113" w:firstLine="284"/>
              <w:jc w:val="both"/>
              <w:rPr>
                <w:bCs/>
              </w:rPr>
            </w:pPr>
            <w:r w:rsidRPr="005E37B5">
              <w:t xml:space="preserve">Ņemot vērā iepriekš minēto, Finanšu ministrija ir sagatavojusi Ministru kabineta rīkojuma projektu, kas paredz palielināt apropriāciju </w:t>
            </w:r>
            <w:r w:rsidRPr="005E37B5">
              <w:rPr>
                <w:bCs/>
              </w:rPr>
              <w:t xml:space="preserve">80.00.00 programmai </w:t>
            </w:r>
            <w:r w:rsidR="00EA6C2F" w:rsidRPr="005E37B5">
              <w:rPr>
                <w:b/>
              </w:rPr>
              <w:t>100</w:t>
            </w:r>
            <w:r w:rsidR="00BB2AB5" w:rsidRPr="005E37B5">
              <w:rPr>
                <w:b/>
              </w:rPr>
              <w:t> 000 000</w:t>
            </w:r>
            <w:r w:rsidR="00814BB4" w:rsidRPr="005E37B5">
              <w:rPr>
                <w:b/>
              </w:rPr>
              <w:t xml:space="preserve"> </w:t>
            </w:r>
            <w:proofErr w:type="spellStart"/>
            <w:r w:rsidRPr="005E37B5">
              <w:rPr>
                <w:b/>
                <w:i/>
              </w:rPr>
              <w:t>euro</w:t>
            </w:r>
            <w:proofErr w:type="spellEnd"/>
            <w:r w:rsidRPr="005E37B5">
              <w:t>, lai būtu iespējams veikt apropriācijas pārdali, tādā veidā nodrošinot Eiropas Savienības politiku instrumentu un citu ārvalstu finanšu palīdzības projektu un pasākumu savlaicīgu īstenošanu.</w:t>
            </w:r>
          </w:p>
        </w:tc>
      </w:tr>
      <w:tr w:rsidR="009D36DE" w:rsidRPr="007D3E6E"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7D3E6E" w:rsidRDefault="009D36DE" w:rsidP="000044FA">
            <w:pPr>
              <w:spacing w:before="100" w:after="100"/>
            </w:pPr>
            <w:r w:rsidRPr="007D3E6E">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7D3E6E" w:rsidRDefault="009D36DE" w:rsidP="000044FA">
            <w:pPr>
              <w:spacing w:before="100" w:after="100"/>
            </w:pPr>
            <w:r w:rsidRPr="007D3E6E">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7D3E6E" w:rsidRDefault="003B60B8" w:rsidP="006D245F">
            <w:pPr>
              <w:spacing w:before="100" w:after="100"/>
              <w:ind w:firstLine="123"/>
              <w:jc w:val="both"/>
            </w:pPr>
            <w:r w:rsidRPr="007D3E6E">
              <w:t>Nav</w:t>
            </w:r>
          </w:p>
        </w:tc>
      </w:tr>
      <w:tr w:rsidR="009D36DE" w:rsidRPr="007D3E6E"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7D3E6E" w:rsidRDefault="009D36DE" w:rsidP="000044FA">
            <w:pPr>
              <w:spacing w:before="100" w:after="100"/>
            </w:pPr>
            <w:r w:rsidRPr="007D3E6E">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7D3E6E" w:rsidRDefault="009D36DE" w:rsidP="000044FA">
            <w:pPr>
              <w:spacing w:before="100" w:after="100"/>
            </w:pPr>
            <w:r w:rsidRPr="007D3E6E">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695E48" w14:textId="77777777" w:rsidR="009D36DE" w:rsidRPr="007D3E6E" w:rsidRDefault="003B60B8" w:rsidP="006D245F">
            <w:pPr>
              <w:spacing w:before="100" w:after="100"/>
              <w:ind w:firstLine="123"/>
              <w:jc w:val="both"/>
            </w:pPr>
            <w:r w:rsidRPr="007D3E6E">
              <w:rPr>
                <w:bCs/>
              </w:rPr>
              <w:t>Nav</w:t>
            </w:r>
          </w:p>
        </w:tc>
      </w:tr>
    </w:tbl>
    <w:p w14:paraId="3DBDB41B" w14:textId="77777777" w:rsidR="009D36DE" w:rsidRPr="007D3E6E"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7D3E6E" w14:paraId="4C146E2F"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7D3E6E" w:rsidRDefault="009D36DE" w:rsidP="004B4E72">
            <w:pPr>
              <w:ind w:right="-19"/>
              <w:jc w:val="center"/>
              <w:rPr>
                <w:b/>
                <w:bCs/>
              </w:rPr>
            </w:pPr>
            <w:r w:rsidRPr="007D3E6E">
              <w:rPr>
                <w:b/>
                <w:bCs/>
              </w:rPr>
              <w:lastRenderedPageBreak/>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7D3E6E" w:rsidRDefault="009D36DE" w:rsidP="000044FA">
            <w:pPr>
              <w:ind w:firstLine="1113"/>
              <w:jc w:val="center"/>
              <w:rPr>
                <w:b/>
                <w:bCs/>
              </w:rPr>
            </w:pPr>
          </w:p>
        </w:tc>
      </w:tr>
      <w:tr w:rsidR="001611E9" w:rsidRPr="007D3E6E" w14:paraId="5B31CB64"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D3D226" w14:textId="77777777" w:rsidR="001611E9" w:rsidRPr="007D3E6E" w:rsidRDefault="001611E9" w:rsidP="004B4E72">
            <w:pPr>
              <w:jc w:val="center"/>
              <w:rPr>
                <w:b/>
                <w:bCs/>
                <w:highlight w:val="green"/>
              </w:rPr>
            </w:pPr>
            <w:r w:rsidRPr="007D3E6E">
              <w:t>Projekts šo jomu neskar</w:t>
            </w:r>
          </w:p>
        </w:tc>
        <w:tc>
          <w:tcPr>
            <w:tcW w:w="40" w:type="dxa"/>
            <w:shd w:val="clear" w:color="auto" w:fill="auto"/>
            <w:tcMar>
              <w:top w:w="0" w:type="dxa"/>
              <w:left w:w="10" w:type="dxa"/>
              <w:bottom w:w="0" w:type="dxa"/>
              <w:right w:w="10" w:type="dxa"/>
            </w:tcMar>
          </w:tcPr>
          <w:p w14:paraId="4731C3D0" w14:textId="77777777" w:rsidR="001611E9" w:rsidRPr="007D3E6E" w:rsidRDefault="001611E9" w:rsidP="000044FA">
            <w:pPr>
              <w:ind w:firstLine="1113"/>
              <w:jc w:val="center"/>
              <w:rPr>
                <w:b/>
                <w:bCs/>
                <w:highlight w:val="green"/>
              </w:rPr>
            </w:pPr>
          </w:p>
        </w:tc>
      </w:tr>
    </w:tbl>
    <w:p w14:paraId="2054AA73" w14:textId="77777777" w:rsidR="00064F32"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559"/>
        <w:gridCol w:w="1418"/>
        <w:gridCol w:w="992"/>
        <w:gridCol w:w="1134"/>
        <w:gridCol w:w="850"/>
        <w:gridCol w:w="993"/>
        <w:gridCol w:w="1134"/>
        <w:gridCol w:w="8"/>
      </w:tblGrid>
      <w:tr w:rsidR="00064F32" w14:paraId="2290E396" w14:textId="77777777" w:rsidTr="00962079">
        <w:trPr>
          <w:jc w:val="center"/>
        </w:trPr>
        <w:tc>
          <w:tcPr>
            <w:tcW w:w="9501" w:type="dxa"/>
            <w:gridSpan w:val="9"/>
          </w:tcPr>
          <w:p w14:paraId="6B1BBF90" w14:textId="77777777" w:rsidR="00064F32" w:rsidRPr="00E47E33" w:rsidRDefault="00064F32" w:rsidP="000044FA">
            <w:pPr>
              <w:pStyle w:val="NoSpacing"/>
              <w:jc w:val="center"/>
              <w:rPr>
                <w:rFonts w:ascii="Times New Roman" w:hAnsi="Times New Roman"/>
                <w:sz w:val="24"/>
                <w:szCs w:val="24"/>
                <w:lang w:eastAsia="lv-LV"/>
              </w:rPr>
            </w:pPr>
            <w:r w:rsidRPr="00E47E33">
              <w:rPr>
                <w:rFonts w:ascii="Times New Roman" w:hAnsi="Times New Roman"/>
                <w:b/>
                <w:sz w:val="24"/>
                <w:szCs w:val="24"/>
                <w:lang w:eastAsia="lv-LV"/>
              </w:rPr>
              <w:t>III. Tiesību akta projekta ietekme uz valsts budžetu un pašvaldību budžetiem</w:t>
            </w:r>
          </w:p>
        </w:tc>
      </w:tr>
      <w:tr w:rsidR="00064F32" w14:paraId="5EF10583" w14:textId="77777777" w:rsidTr="007D3E6E">
        <w:trPr>
          <w:jc w:val="center"/>
        </w:trPr>
        <w:tc>
          <w:tcPr>
            <w:tcW w:w="1413" w:type="dxa"/>
            <w:vMerge w:val="restart"/>
          </w:tcPr>
          <w:p w14:paraId="70055DE7" w14:textId="77777777" w:rsidR="00372421" w:rsidRDefault="00372421" w:rsidP="00372421">
            <w:pPr>
              <w:pStyle w:val="NoSpacing"/>
              <w:jc w:val="center"/>
              <w:rPr>
                <w:rFonts w:ascii="Times New Roman" w:hAnsi="Times New Roman"/>
                <w:sz w:val="24"/>
                <w:szCs w:val="24"/>
                <w:lang w:eastAsia="lv-LV"/>
              </w:rPr>
            </w:pPr>
          </w:p>
          <w:p w14:paraId="164D976C" w14:textId="77777777" w:rsidR="00372421" w:rsidRDefault="00372421" w:rsidP="00372421">
            <w:pPr>
              <w:pStyle w:val="NoSpacing"/>
              <w:jc w:val="center"/>
              <w:rPr>
                <w:rFonts w:ascii="Times New Roman" w:hAnsi="Times New Roman"/>
                <w:sz w:val="24"/>
                <w:szCs w:val="24"/>
                <w:lang w:eastAsia="lv-LV"/>
              </w:rPr>
            </w:pPr>
          </w:p>
          <w:p w14:paraId="7F95A946" w14:textId="77777777" w:rsidR="00372421" w:rsidRDefault="00372421" w:rsidP="00372421">
            <w:pPr>
              <w:pStyle w:val="NoSpacing"/>
              <w:jc w:val="center"/>
              <w:rPr>
                <w:rFonts w:ascii="Times New Roman" w:hAnsi="Times New Roman"/>
                <w:sz w:val="24"/>
                <w:szCs w:val="24"/>
                <w:lang w:eastAsia="lv-LV"/>
              </w:rPr>
            </w:pPr>
          </w:p>
          <w:p w14:paraId="1337BA23" w14:textId="77777777" w:rsidR="00372421" w:rsidRDefault="00372421" w:rsidP="00372421">
            <w:pPr>
              <w:pStyle w:val="NoSpacing"/>
              <w:jc w:val="center"/>
              <w:rPr>
                <w:rFonts w:ascii="Times New Roman" w:hAnsi="Times New Roman"/>
                <w:sz w:val="24"/>
                <w:szCs w:val="24"/>
                <w:lang w:eastAsia="lv-LV"/>
              </w:rPr>
            </w:pPr>
          </w:p>
          <w:p w14:paraId="2B77B71A" w14:textId="32842978" w:rsidR="00064F32" w:rsidRPr="00962079" w:rsidRDefault="00064F32" w:rsidP="00372421">
            <w:pPr>
              <w:pStyle w:val="NoSpacing"/>
              <w:jc w:val="center"/>
              <w:rPr>
                <w:rFonts w:ascii="Times New Roman" w:hAnsi="Times New Roman"/>
                <w:sz w:val="24"/>
                <w:szCs w:val="24"/>
                <w:lang w:eastAsia="lv-LV"/>
              </w:rPr>
            </w:pPr>
            <w:r w:rsidRPr="00962079">
              <w:rPr>
                <w:rFonts w:ascii="Times New Roman" w:hAnsi="Times New Roman"/>
                <w:sz w:val="24"/>
                <w:szCs w:val="24"/>
                <w:lang w:eastAsia="lv-LV"/>
              </w:rPr>
              <w:t>Rādītāji</w:t>
            </w:r>
          </w:p>
        </w:tc>
        <w:tc>
          <w:tcPr>
            <w:tcW w:w="2977" w:type="dxa"/>
            <w:gridSpan w:val="2"/>
            <w:vMerge w:val="restart"/>
          </w:tcPr>
          <w:p w14:paraId="2AB83078" w14:textId="77777777" w:rsidR="00064F32" w:rsidRPr="00962079" w:rsidRDefault="008322A7" w:rsidP="00372421">
            <w:pPr>
              <w:pStyle w:val="NoSpacing"/>
              <w:jc w:val="center"/>
              <w:rPr>
                <w:rFonts w:ascii="Times New Roman" w:hAnsi="Times New Roman"/>
                <w:sz w:val="24"/>
                <w:szCs w:val="24"/>
                <w:lang w:eastAsia="lv-LV"/>
              </w:rPr>
            </w:pPr>
            <w:r>
              <w:rPr>
                <w:rFonts w:ascii="Times New Roman" w:hAnsi="Times New Roman"/>
                <w:sz w:val="24"/>
                <w:szCs w:val="24"/>
                <w:lang w:eastAsia="lv-LV"/>
              </w:rPr>
              <w:t>2019</w:t>
            </w:r>
            <w:r w:rsidR="00064F32" w:rsidRPr="00962079">
              <w:rPr>
                <w:rFonts w:ascii="Times New Roman" w:hAnsi="Times New Roman"/>
                <w:sz w:val="24"/>
                <w:szCs w:val="24"/>
                <w:lang w:eastAsia="lv-LV"/>
              </w:rPr>
              <w:t>. gads</w:t>
            </w:r>
          </w:p>
        </w:tc>
        <w:tc>
          <w:tcPr>
            <w:tcW w:w="5111" w:type="dxa"/>
            <w:gridSpan w:val="6"/>
          </w:tcPr>
          <w:p w14:paraId="77284521" w14:textId="77777777" w:rsidR="00064F32" w:rsidRPr="0027336A" w:rsidRDefault="00064F32" w:rsidP="00372421">
            <w:pPr>
              <w:pStyle w:val="NoSpacing"/>
              <w:jc w:val="center"/>
              <w:rPr>
                <w:rFonts w:ascii="Times New Roman" w:hAnsi="Times New Roman"/>
                <w:lang w:eastAsia="lv-LV"/>
              </w:rPr>
            </w:pPr>
            <w:r w:rsidRPr="0027336A">
              <w:rPr>
                <w:rFonts w:ascii="Times New Roman" w:hAnsi="Times New Roman"/>
                <w:lang w:eastAsia="lv-LV"/>
              </w:rPr>
              <w:t>Turpmākie trīs gadi (</w:t>
            </w:r>
            <w:proofErr w:type="spellStart"/>
            <w:r w:rsidRPr="0027336A">
              <w:rPr>
                <w:rFonts w:ascii="Times New Roman" w:hAnsi="Times New Roman"/>
                <w:i/>
                <w:iCs/>
                <w:lang w:eastAsia="lv-LV"/>
              </w:rPr>
              <w:t>euro</w:t>
            </w:r>
            <w:proofErr w:type="spellEnd"/>
            <w:r w:rsidRPr="0027336A">
              <w:rPr>
                <w:rFonts w:ascii="Times New Roman" w:hAnsi="Times New Roman"/>
                <w:lang w:eastAsia="lv-LV"/>
              </w:rPr>
              <w:t>)</w:t>
            </w:r>
          </w:p>
        </w:tc>
      </w:tr>
      <w:tr w:rsidR="00064F32" w14:paraId="72722EC7" w14:textId="77777777" w:rsidTr="005E37B5">
        <w:trPr>
          <w:jc w:val="center"/>
        </w:trPr>
        <w:tc>
          <w:tcPr>
            <w:tcW w:w="1413" w:type="dxa"/>
            <w:vMerge/>
          </w:tcPr>
          <w:p w14:paraId="5F6D5C9D" w14:textId="77777777" w:rsidR="00064F32" w:rsidRPr="00962079" w:rsidRDefault="00064F32" w:rsidP="00372421">
            <w:pPr>
              <w:pStyle w:val="NoSpacing"/>
              <w:jc w:val="center"/>
              <w:rPr>
                <w:rFonts w:ascii="Times New Roman" w:hAnsi="Times New Roman"/>
                <w:sz w:val="24"/>
                <w:szCs w:val="24"/>
                <w:lang w:eastAsia="lv-LV"/>
              </w:rPr>
            </w:pPr>
          </w:p>
        </w:tc>
        <w:tc>
          <w:tcPr>
            <w:tcW w:w="2977" w:type="dxa"/>
            <w:gridSpan w:val="2"/>
            <w:vMerge/>
          </w:tcPr>
          <w:p w14:paraId="0186CDB4" w14:textId="77777777" w:rsidR="00064F32" w:rsidRPr="00962079" w:rsidRDefault="00064F32" w:rsidP="00372421">
            <w:pPr>
              <w:pStyle w:val="NoSpacing"/>
              <w:jc w:val="center"/>
              <w:rPr>
                <w:rFonts w:ascii="Times New Roman" w:hAnsi="Times New Roman"/>
                <w:sz w:val="24"/>
                <w:szCs w:val="24"/>
                <w:lang w:eastAsia="lv-LV"/>
              </w:rPr>
            </w:pPr>
          </w:p>
        </w:tc>
        <w:tc>
          <w:tcPr>
            <w:tcW w:w="2126" w:type="dxa"/>
            <w:gridSpan w:val="2"/>
          </w:tcPr>
          <w:p w14:paraId="2B8E1DA0" w14:textId="77777777" w:rsidR="00064F32" w:rsidRPr="004B0522" w:rsidRDefault="008322A7" w:rsidP="00372421">
            <w:pPr>
              <w:pStyle w:val="NoSpacing"/>
              <w:jc w:val="center"/>
              <w:rPr>
                <w:rFonts w:ascii="Times New Roman" w:hAnsi="Times New Roman"/>
                <w:sz w:val="20"/>
                <w:szCs w:val="20"/>
                <w:lang w:eastAsia="lv-LV"/>
              </w:rPr>
            </w:pPr>
            <w:r>
              <w:rPr>
                <w:rFonts w:ascii="Times New Roman" w:hAnsi="Times New Roman"/>
                <w:sz w:val="20"/>
                <w:szCs w:val="20"/>
                <w:lang w:eastAsia="lv-LV"/>
              </w:rPr>
              <w:t>2020</w:t>
            </w:r>
            <w:r w:rsidR="00064F32" w:rsidRPr="004B0522">
              <w:rPr>
                <w:rFonts w:ascii="Times New Roman" w:hAnsi="Times New Roman"/>
                <w:sz w:val="20"/>
                <w:szCs w:val="20"/>
                <w:lang w:eastAsia="lv-LV"/>
              </w:rPr>
              <w:t>.gads</w:t>
            </w:r>
          </w:p>
        </w:tc>
        <w:tc>
          <w:tcPr>
            <w:tcW w:w="1843" w:type="dxa"/>
            <w:gridSpan w:val="2"/>
          </w:tcPr>
          <w:p w14:paraId="0613558D" w14:textId="77777777" w:rsidR="00064F32" w:rsidRPr="0027336A" w:rsidRDefault="008322A7" w:rsidP="00372421">
            <w:pPr>
              <w:pStyle w:val="NoSpacing"/>
              <w:jc w:val="center"/>
              <w:rPr>
                <w:rFonts w:ascii="Times New Roman" w:hAnsi="Times New Roman"/>
                <w:lang w:eastAsia="lv-LV"/>
              </w:rPr>
            </w:pPr>
            <w:r>
              <w:rPr>
                <w:rFonts w:ascii="Times New Roman" w:hAnsi="Times New Roman"/>
                <w:lang w:eastAsia="lv-LV"/>
              </w:rPr>
              <w:t>2021</w:t>
            </w:r>
            <w:r w:rsidR="00064F32" w:rsidRPr="0027336A">
              <w:rPr>
                <w:rFonts w:ascii="Times New Roman" w:hAnsi="Times New Roman"/>
                <w:lang w:eastAsia="lv-LV"/>
              </w:rPr>
              <w:t>.gads</w:t>
            </w:r>
          </w:p>
        </w:tc>
        <w:tc>
          <w:tcPr>
            <w:tcW w:w="1142" w:type="dxa"/>
            <w:gridSpan w:val="2"/>
          </w:tcPr>
          <w:p w14:paraId="2EC5B9B5" w14:textId="77777777" w:rsidR="00064F32" w:rsidRPr="0027336A" w:rsidRDefault="00064F32" w:rsidP="00372421">
            <w:pPr>
              <w:pStyle w:val="NoSpacing"/>
              <w:jc w:val="center"/>
              <w:rPr>
                <w:rFonts w:ascii="Times New Roman" w:hAnsi="Times New Roman"/>
                <w:lang w:eastAsia="lv-LV"/>
              </w:rPr>
            </w:pPr>
            <w:r w:rsidRPr="0027336A">
              <w:rPr>
                <w:rFonts w:ascii="Times New Roman" w:hAnsi="Times New Roman"/>
                <w:lang w:eastAsia="lv-LV"/>
              </w:rPr>
              <w:t>202</w:t>
            </w:r>
            <w:r w:rsidR="008322A7">
              <w:rPr>
                <w:rFonts w:ascii="Times New Roman" w:hAnsi="Times New Roman"/>
                <w:lang w:eastAsia="lv-LV"/>
              </w:rPr>
              <w:t>2</w:t>
            </w:r>
            <w:r w:rsidRPr="0027336A">
              <w:rPr>
                <w:rFonts w:ascii="Times New Roman" w:hAnsi="Times New Roman"/>
                <w:lang w:eastAsia="lv-LV"/>
              </w:rPr>
              <w:t>.gads</w:t>
            </w:r>
          </w:p>
        </w:tc>
      </w:tr>
      <w:tr w:rsidR="00064F32" w14:paraId="704E5777" w14:textId="77777777" w:rsidTr="005E37B5">
        <w:trPr>
          <w:gridAfter w:val="1"/>
          <w:wAfter w:w="8" w:type="dxa"/>
          <w:jc w:val="center"/>
        </w:trPr>
        <w:tc>
          <w:tcPr>
            <w:tcW w:w="1413" w:type="dxa"/>
            <w:vMerge/>
          </w:tcPr>
          <w:p w14:paraId="21797E92" w14:textId="77777777" w:rsidR="00064F32" w:rsidRPr="00962079" w:rsidRDefault="00064F32" w:rsidP="00372421">
            <w:pPr>
              <w:pStyle w:val="NoSpacing"/>
              <w:jc w:val="center"/>
              <w:rPr>
                <w:rFonts w:ascii="Times New Roman" w:hAnsi="Times New Roman"/>
                <w:sz w:val="24"/>
                <w:szCs w:val="24"/>
                <w:lang w:eastAsia="lv-LV"/>
              </w:rPr>
            </w:pPr>
          </w:p>
        </w:tc>
        <w:tc>
          <w:tcPr>
            <w:tcW w:w="1559" w:type="dxa"/>
          </w:tcPr>
          <w:p w14:paraId="4CF9630E" w14:textId="77777777" w:rsidR="00064F32" w:rsidRPr="00962079" w:rsidRDefault="00064F32" w:rsidP="00372421">
            <w:pPr>
              <w:pStyle w:val="NoSpacing"/>
              <w:jc w:val="center"/>
              <w:rPr>
                <w:rFonts w:ascii="Times New Roman" w:hAnsi="Times New Roman"/>
                <w:sz w:val="24"/>
                <w:szCs w:val="24"/>
                <w:lang w:eastAsia="lv-LV"/>
              </w:rPr>
            </w:pPr>
            <w:r w:rsidRPr="00962079">
              <w:rPr>
                <w:rFonts w:ascii="Times New Roman" w:hAnsi="Times New Roman"/>
                <w:sz w:val="24"/>
                <w:szCs w:val="24"/>
                <w:lang w:eastAsia="lv-LV"/>
              </w:rPr>
              <w:t>saskaņā ar valsts budžetu kārtējam gadam</w:t>
            </w:r>
          </w:p>
        </w:tc>
        <w:tc>
          <w:tcPr>
            <w:tcW w:w="1418" w:type="dxa"/>
          </w:tcPr>
          <w:p w14:paraId="1659FCE2" w14:textId="77777777" w:rsidR="00064F32" w:rsidRPr="00962079" w:rsidRDefault="00064F32" w:rsidP="00372421">
            <w:pPr>
              <w:pStyle w:val="NoSpacing"/>
              <w:jc w:val="center"/>
              <w:rPr>
                <w:rFonts w:ascii="Times New Roman" w:hAnsi="Times New Roman"/>
                <w:sz w:val="24"/>
                <w:szCs w:val="24"/>
                <w:lang w:eastAsia="lv-LV"/>
              </w:rPr>
            </w:pPr>
            <w:r w:rsidRPr="00962079">
              <w:rPr>
                <w:rFonts w:ascii="Times New Roman" w:hAnsi="Times New Roman"/>
                <w:sz w:val="24"/>
                <w:szCs w:val="24"/>
                <w:lang w:eastAsia="lv-LV"/>
              </w:rPr>
              <w:t>izmaiņas kārtējā gadā, salīdzinot ar valsts budžetu kārtējam gadam</w:t>
            </w:r>
          </w:p>
        </w:tc>
        <w:tc>
          <w:tcPr>
            <w:tcW w:w="992" w:type="dxa"/>
          </w:tcPr>
          <w:p w14:paraId="15473A0E" w14:textId="77777777" w:rsidR="00064F32" w:rsidRPr="00962079" w:rsidRDefault="00064F32" w:rsidP="00372421">
            <w:pPr>
              <w:pStyle w:val="NoSpacing"/>
              <w:jc w:val="center"/>
              <w:rPr>
                <w:rFonts w:ascii="Times New Roman" w:hAnsi="Times New Roman"/>
                <w:lang w:eastAsia="lv-LV"/>
              </w:rPr>
            </w:pPr>
            <w:r w:rsidRPr="00962079">
              <w:rPr>
                <w:rFonts w:ascii="Times New Roman" w:hAnsi="Times New Roman"/>
                <w:lang w:eastAsia="lv-LV"/>
              </w:rPr>
              <w:t>saskaņā ar vidēja termiņa budžeta ietvaru</w:t>
            </w:r>
          </w:p>
        </w:tc>
        <w:tc>
          <w:tcPr>
            <w:tcW w:w="1134" w:type="dxa"/>
          </w:tcPr>
          <w:p w14:paraId="688AD74B" w14:textId="77777777" w:rsidR="00064F32" w:rsidRPr="00962079" w:rsidRDefault="00064F32" w:rsidP="00372421">
            <w:pPr>
              <w:pStyle w:val="NoSpacing"/>
              <w:jc w:val="center"/>
              <w:rPr>
                <w:rFonts w:ascii="Times New Roman" w:hAnsi="Times New Roman"/>
                <w:lang w:eastAsia="lv-LV"/>
              </w:rPr>
            </w:pPr>
            <w:r w:rsidRPr="00962079">
              <w:rPr>
                <w:rFonts w:ascii="Times New Roman" w:hAnsi="Times New Roman"/>
                <w:lang w:eastAsia="lv-LV"/>
              </w:rPr>
              <w:t>izmaiņas, salīdzinot ar vidēja termiņa budžeta ietvaru 20</w:t>
            </w:r>
            <w:r w:rsidR="00C142F2">
              <w:rPr>
                <w:rFonts w:ascii="Times New Roman" w:hAnsi="Times New Roman"/>
                <w:lang w:eastAsia="lv-LV"/>
              </w:rPr>
              <w:t>20</w:t>
            </w:r>
            <w:r w:rsidRPr="00962079">
              <w:rPr>
                <w:rFonts w:ascii="Times New Roman" w:hAnsi="Times New Roman"/>
                <w:lang w:eastAsia="lv-LV"/>
              </w:rPr>
              <w:t>. gadam</w:t>
            </w:r>
          </w:p>
        </w:tc>
        <w:tc>
          <w:tcPr>
            <w:tcW w:w="850" w:type="dxa"/>
          </w:tcPr>
          <w:p w14:paraId="31723888" w14:textId="77777777" w:rsidR="00064F32" w:rsidRPr="00962079" w:rsidRDefault="00064F32" w:rsidP="00372421">
            <w:pPr>
              <w:pStyle w:val="NoSpacing"/>
              <w:ind w:left="-102"/>
              <w:jc w:val="center"/>
              <w:rPr>
                <w:rFonts w:ascii="Times New Roman" w:hAnsi="Times New Roman"/>
                <w:lang w:eastAsia="lv-LV"/>
              </w:rPr>
            </w:pPr>
            <w:r w:rsidRPr="00962079">
              <w:rPr>
                <w:rFonts w:ascii="Times New Roman" w:hAnsi="Times New Roman"/>
                <w:lang w:eastAsia="lv-LV"/>
              </w:rPr>
              <w:t>saskaņā ar vidēja termiņa budžeta ietvaru</w:t>
            </w:r>
          </w:p>
        </w:tc>
        <w:tc>
          <w:tcPr>
            <w:tcW w:w="993" w:type="dxa"/>
          </w:tcPr>
          <w:p w14:paraId="05EF7C8C" w14:textId="77777777" w:rsidR="00064F32" w:rsidRPr="00962079" w:rsidRDefault="00064F32" w:rsidP="00372421">
            <w:pPr>
              <w:pStyle w:val="NoSpacing"/>
              <w:ind w:left="-102"/>
              <w:jc w:val="center"/>
              <w:rPr>
                <w:rFonts w:ascii="Times New Roman" w:hAnsi="Times New Roman"/>
                <w:lang w:eastAsia="lv-LV"/>
              </w:rPr>
            </w:pPr>
            <w:r w:rsidRPr="00962079">
              <w:rPr>
                <w:rFonts w:ascii="Times New Roman" w:hAnsi="Times New Roman"/>
                <w:lang w:eastAsia="lv-LV"/>
              </w:rPr>
              <w:t>izmaiņas, salīdzinot ar vid</w:t>
            </w:r>
            <w:r w:rsidR="00C142F2">
              <w:rPr>
                <w:rFonts w:ascii="Times New Roman" w:hAnsi="Times New Roman"/>
                <w:lang w:eastAsia="lv-LV"/>
              </w:rPr>
              <w:t>ēja termiņa budžeta ietvaru 2021</w:t>
            </w:r>
            <w:r w:rsidRPr="00962079">
              <w:rPr>
                <w:rFonts w:ascii="Times New Roman" w:hAnsi="Times New Roman"/>
                <w:lang w:eastAsia="lv-LV"/>
              </w:rPr>
              <w:t>. gadam</w:t>
            </w:r>
          </w:p>
        </w:tc>
        <w:tc>
          <w:tcPr>
            <w:tcW w:w="1134" w:type="dxa"/>
          </w:tcPr>
          <w:p w14:paraId="4F89B0BE" w14:textId="77777777" w:rsidR="00064F32" w:rsidRPr="00962079" w:rsidRDefault="00064F32" w:rsidP="00372421">
            <w:pPr>
              <w:pStyle w:val="NoSpacing"/>
              <w:jc w:val="center"/>
              <w:rPr>
                <w:rFonts w:ascii="Times New Roman" w:hAnsi="Times New Roman"/>
                <w:lang w:eastAsia="lv-LV"/>
              </w:rPr>
            </w:pPr>
            <w:r w:rsidRPr="00962079">
              <w:rPr>
                <w:rFonts w:ascii="Times New Roman" w:hAnsi="Times New Roman"/>
                <w:lang w:eastAsia="lv-LV"/>
              </w:rPr>
              <w:t>izmaiņas, salīdzinot ar vidēja termiņa budžeta ietvaru 202</w:t>
            </w:r>
            <w:r w:rsidR="00C142F2">
              <w:rPr>
                <w:rFonts w:ascii="Times New Roman" w:hAnsi="Times New Roman"/>
                <w:lang w:eastAsia="lv-LV"/>
              </w:rPr>
              <w:t>1</w:t>
            </w:r>
            <w:r w:rsidRPr="00962079">
              <w:rPr>
                <w:rFonts w:ascii="Times New Roman" w:hAnsi="Times New Roman"/>
                <w:lang w:eastAsia="lv-LV"/>
              </w:rPr>
              <w:t>. gadam</w:t>
            </w:r>
          </w:p>
        </w:tc>
      </w:tr>
      <w:tr w:rsidR="00064F32" w14:paraId="06738653" w14:textId="77777777" w:rsidTr="005E37B5">
        <w:trPr>
          <w:gridAfter w:val="1"/>
          <w:wAfter w:w="8" w:type="dxa"/>
          <w:jc w:val="center"/>
        </w:trPr>
        <w:tc>
          <w:tcPr>
            <w:tcW w:w="1413" w:type="dxa"/>
            <w:vAlign w:val="center"/>
          </w:tcPr>
          <w:p w14:paraId="087E6665"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1</w:t>
            </w:r>
          </w:p>
        </w:tc>
        <w:tc>
          <w:tcPr>
            <w:tcW w:w="1559" w:type="dxa"/>
            <w:vAlign w:val="center"/>
          </w:tcPr>
          <w:p w14:paraId="742AF566"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2</w:t>
            </w:r>
          </w:p>
        </w:tc>
        <w:tc>
          <w:tcPr>
            <w:tcW w:w="1418" w:type="dxa"/>
            <w:vAlign w:val="center"/>
          </w:tcPr>
          <w:p w14:paraId="2F15398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3</w:t>
            </w:r>
          </w:p>
        </w:tc>
        <w:tc>
          <w:tcPr>
            <w:tcW w:w="992" w:type="dxa"/>
            <w:vAlign w:val="center"/>
          </w:tcPr>
          <w:p w14:paraId="5C4D947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4</w:t>
            </w:r>
          </w:p>
        </w:tc>
        <w:tc>
          <w:tcPr>
            <w:tcW w:w="1134" w:type="dxa"/>
            <w:vAlign w:val="center"/>
          </w:tcPr>
          <w:p w14:paraId="27465714"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5</w:t>
            </w:r>
          </w:p>
        </w:tc>
        <w:tc>
          <w:tcPr>
            <w:tcW w:w="850" w:type="dxa"/>
            <w:vAlign w:val="center"/>
          </w:tcPr>
          <w:p w14:paraId="508761AC"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6</w:t>
            </w:r>
          </w:p>
        </w:tc>
        <w:tc>
          <w:tcPr>
            <w:tcW w:w="993" w:type="dxa"/>
            <w:vAlign w:val="center"/>
          </w:tcPr>
          <w:p w14:paraId="74BAE14B"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7</w:t>
            </w:r>
          </w:p>
        </w:tc>
        <w:tc>
          <w:tcPr>
            <w:tcW w:w="1134" w:type="dxa"/>
            <w:vAlign w:val="center"/>
          </w:tcPr>
          <w:p w14:paraId="4061E3F8"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8</w:t>
            </w:r>
          </w:p>
        </w:tc>
      </w:tr>
      <w:tr w:rsidR="000044FA" w:rsidRPr="007D3E6E" w14:paraId="6285ABA3" w14:textId="77777777" w:rsidTr="005E37B5">
        <w:trPr>
          <w:gridAfter w:val="1"/>
          <w:wAfter w:w="8" w:type="dxa"/>
          <w:jc w:val="center"/>
        </w:trPr>
        <w:tc>
          <w:tcPr>
            <w:tcW w:w="1413" w:type="dxa"/>
          </w:tcPr>
          <w:p w14:paraId="18F4E0D7"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1. Budžeta ieņēmumi</w:t>
            </w:r>
          </w:p>
        </w:tc>
        <w:tc>
          <w:tcPr>
            <w:tcW w:w="1559" w:type="dxa"/>
          </w:tcPr>
          <w:p w14:paraId="056264E9" w14:textId="77777777" w:rsidR="001611E9" w:rsidRPr="007D3E6E" w:rsidRDefault="008322A7"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9 177 000 835</w:t>
            </w:r>
          </w:p>
        </w:tc>
        <w:tc>
          <w:tcPr>
            <w:tcW w:w="1418" w:type="dxa"/>
          </w:tcPr>
          <w:p w14:paraId="2AC5F917"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07F1B4E9"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EB6020B"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7795111"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5427B052"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1A42E02"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044FA" w:rsidRPr="007D3E6E" w14:paraId="6E564720" w14:textId="77777777" w:rsidTr="005E37B5">
        <w:trPr>
          <w:gridAfter w:val="1"/>
          <w:wAfter w:w="8" w:type="dxa"/>
          <w:jc w:val="center"/>
        </w:trPr>
        <w:tc>
          <w:tcPr>
            <w:tcW w:w="1413" w:type="dxa"/>
          </w:tcPr>
          <w:p w14:paraId="3D166CCC"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1.1. valsts pamatbudžets, tai skaitā ieņēmumi no maksas pakalpojumiem un citi pašu ieņēmumi</w:t>
            </w:r>
          </w:p>
        </w:tc>
        <w:tc>
          <w:tcPr>
            <w:tcW w:w="1559" w:type="dxa"/>
          </w:tcPr>
          <w:p w14:paraId="2058AD1F" w14:textId="77777777" w:rsidR="001611E9" w:rsidRPr="007D3E6E" w:rsidRDefault="008322A7"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6 386 550 075</w:t>
            </w:r>
          </w:p>
        </w:tc>
        <w:tc>
          <w:tcPr>
            <w:tcW w:w="1418" w:type="dxa"/>
          </w:tcPr>
          <w:p w14:paraId="04F63E08"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75B65C1F"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FF8F956"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3D823D9F"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4882CD76"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D10F365"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8E4CF1A" w14:textId="77777777" w:rsidTr="005E37B5">
        <w:trPr>
          <w:gridAfter w:val="1"/>
          <w:wAfter w:w="8" w:type="dxa"/>
          <w:jc w:val="center"/>
        </w:trPr>
        <w:tc>
          <w:tcPr>
            <w:tcW w:w="1413" w:type="dxa"/>
          </w:tcPr>
          <w:p w14:paraId="7EF383DE"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1.2. valsts speciālais budžets</w:t>
            </w:r>
          </w:p>
        </w:tc>
        <w:tc>
          <w:tcPr>
            <w:tcW w:w="1559" w:type="dxa"/>
          </w:tcPr>
          <w:p w14:paraId="5F16D58E" w14:textId="77777777" w:rsidR="00064F32" w:rsidRPr="007D3E6E" w:rsidRDefault="008322A7"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2 989 513 183</w:t>
            </w:r>
          </w:p>
        </w:tc>
        <w:tc>
          <w:tcPr>
            <w:tcW w:w="1418" w:type="dxa"/>
          </w:tcPr>
          <w:p w14:paraId="0A0B96C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79A53E1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34BEFB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3826F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C3B58E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4BCF405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FFC3881" w14:textId="77777777" w:rsidTr="005E37B5">
        <w:trPr>
          <w:gridAfter w:val="1"/>
          <w:wAfter w:w="8" w:type="dxa"/>
          <w:jc w:val="center"/>
        </w:trPr>
        <w:tc>
          <w:tcPr>
            <w:tcW w:w="1413" w:type="dxa"/>
          </w:tcPr>
          <w:p w14:paraId="2CEA15C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1.3. pašvaldību budžets</w:t>
            </w:r>
          </w:p>
        </w:tc>
        <w:tc>
          <w:tcPr>
            <w:tcW w:w="1559" w:type="dxa"/>
          </w:tcPr>
          <w:p w14:paraId="2B532EE4" w14:textId="77777777" w:rsidR="00064F32" w:rsidRPr="007D3E6E" w:rsidRDefault="00064F32"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8" w:type="dxa"/>
          </w:tcPr>
          <w:p w14:paraId="313ABD5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992" w:type="dxa"/>
          </w:tcPr>
          <w:p w14:paraId="357F7F23"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773D403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3D4C03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3DFCA9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B6BC1F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1C3F2C8B" w14:textId="77777777" w:rsidTr="005E37B5">
        <w:trPr>
          <w:gridAfter w:val="1"/>
          <w:wAfter w:w="8" w:type="dxa"/>
          <w:jc w:val="center"/>
        </w:trPr>
        <w:tc>
          <w:tcPr>
            <w:tcW w:w="1413" w:type="dxa"/>
          </w:tcPr>
          <w:p w14:paraId="4A1093A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 Budžeta izdevumi</w:t>
            </w:r>
          </w:p>
        </w:tc>
        <w:tc>
          <w:tcPr>
            <w:tcW w:w="1559" w:type="dxa"/>
          </w:tcPr>
          <w:p w14:paraId="78FDC2B0" w14:textId="77777777" w:rsidR="00064F32" w:rsidRPr="007D3E6E" w:rsidRDefault="008322A7"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9 391 492 946</w:t>
            </w:r>
          </w:p>
        </w:tc>
        <w:tc>
          <w:tcPr>
            <w:tcW w:w="1418" w:type="dxa"/>
          </w:tcPr>
          <w:p w14:paraId="3A22C34A" w14:textId="77777777" w:rsidR="00064F32" w:rsidRPr="005E37B5" w:rsidRDefault="00EA6C2F" w:rsidP="000044FA">
            <w:pPr>
              <w:pStyle w:val="NoSpacing"/>
              <w:jc w:val="right"/>
              <w:rPr>
                <w:rFonts w:ascii="Times New Roman" w:hAnsi="Times New Roman"/>
                <w:b/>
                <w:sz w:val="24"/>
                <w:szCs w:val="24"/>
                <w:lang w:eastAsia="lv-LV"/>
              </w:rPr>
            </w:pPr>
            <w:r w:rsidRPr="005E37B5">
              <w:rPr>
                <w:rFonts w:ascii="Times New Roman" w:hAnsi="Times New Roman"/>
                <w:b/>
                <w:sz w:val="24"/>
                <w:szCs w:val="24"/>
              </w:rPr>
              <w:t>100</w:t>
            </w:r>
            <w:r w:rsidR="00F14F02" w:rsidRPr="005E37B5">
              <w:rPr>
                <w:rFonts w:ascii="Times New Roman" w:hAnsi="Times New Roman"/>
                <w:b/>
                <w:sz w:val="24"/>
                <w:szCs w:val="24"/>
              </w:rPr>
              <w:t> 000 000</w:t>
            </w:r>
          </w:p>
        </w:tc>
        <w:tc>
          <w:tcPr>
            <w:tcW w:w="992" w:type="dxa"/>
          </w:tcPr>
          <w:p w14:paraId="62AAB058"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93BFE3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1D94E43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7404EAF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B6509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5F14C625" w14:textId="77777777" w:rsidTr="005E37B5">
        <w:trPr>
          <w:gridAfter w:val="1"/>
          <w:wAfter w:w="8" w:type="dxa"/>
          <w:jc w:val="center"/>
        </w:trPr>
        <w:tc>
          <w:tcPr>
            <w:tcW w:w="1413" w:type="dxa"/>
          </w:tcPr>
          <w:p w14:paraId="3E9C8911" w14:textId="77777777" w:rsidR="00064F32" w:rsidRPr="00962079" w:rsidRDefault="00064F32" w:rsidP="000044FA">
            <w:pPr>
              <w:pStyle w:val="NoSpacing"/>
              <w:rPr>
                <w:rFonts w:ascii="Times New Roman" w:hAnsi="Times New Roman"/>
                <w:sz w:val="21"/>
                <w:szCs w:val="21"/>
                <w:lang w:eastAsia="lv-LV"/>
              </w:rPr>
            </w:pPr>
            <w:r w:rsidRPr="00962079">
              <w:rPr>
                <w:rFonts w:ascii="Times New Roman" w:hAnsi="Times New Roman"/>
                <w:sz w:val="21"/>
                <w:szCs w:val="21"/>
                <w:lang w:eastAsia="lv-LV"/>
              </w:rPr>
              <w:t>2.1. valsts pamatbudžets</w:t>
            </w:r>
          </w:p>
        </w:tc>
        <w:tc>
          <w:tcPr>
            <w:tcW w:w="1559" w:type="dxa"/>
          </w:tcPr>
          <w:p w14:paraId="16433056" w14:textId="77777777" w:rsidR="00064F32" w:rsidRPr="007D3E6E" w:rsidRDefault="00E47E33" w:rsidP="008322A7">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6</w:t>
            </w:r>
            <w:r w:rsidR="008322A7" w:rsidRPr="007D3E6E">
              <w:rPr>
                <w:rFonts w:ascii="Times New Roman" w:hAnsi="Times New Roman"/>
                <w:sz w:val="24"/>
                <w:szCs w:val="24"/>
                <w:lang w:eastAsia="lv-LV"/>
              </w:rPr>
              <w:t> 824 828 613</w:t>
            </w:r>
          </w:p>
        </w:tc>
        <w:tc>
          <w:tcPr>
            <w:tcW w:w="1418" w:type="dxa"/>
          </w:tcPr>
          <w:p w14:paraId="2AA220F2" w14:textId="77777777" w:rsidR="00064F32" w:rsidRPr="005E37B5" w:rsidRDefault="00EA6C2F" w:rsidP="000044FA">
            <w:pPr>
              <w:pStyle w:val="NoSpacing"/>
              <w:jc w:val="right"/>
              <w:rPr>
                <w:rFonts w:ascii="Times New Roman" w:hAnsi="Times New Roman"/>
                <w:sz w:val="24"/>
                <w:szCs w:val="24"/>
                <w:lang w:eastAsia="lv-LV"/>
              </w:rPr>
            </w:pPr>
            <w:r w:rsidRPr="005E37B5">
              <w:rPr>
                <w:rFonts w:ascii="Times New Roman" w:hAnsi="Times New Roman"/>
                <w:b/>
                <w:sz w:val="24"/>
                <w:szCs w:val="24"/>
              </w:rPr>
              <w:t>100</w:t>
            </w:r>
            <w:r w:rsidR="00F14F02" w:rsidRPr="005E37B5">
              <w:rPr>
                <w:rFonts w:ascii="Times New Roman" w:hAnsi="Times New Roman"/>
                <w:b/>
                <w:sz w:val="24"/>
                <w:szCs w:val="24"/>
              </w:rPr>
              <w:t> 000 000</w:t>
            </w:r>
          </w:p>
        </w:tc>
        <w:tc>
          <w:tcPr>
            <w:tcW w:w="992" w:type="dxa"/>
          </w:tcPr>
          <w:p w14:paraId="28D6A541"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D8E711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94C42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236461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72AC6A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E16501" w:rsidRPr="007D3E6E" w14:paraId="5DAFDD09" w14:textId="77777777" w:rsidTr="005E37B5">
        <w:trPr>
          <w:gridAfter w:val="1"/>
          <w:wAfter w:w="8" w:type="dxa"/>
          <w:jc w:val="center"/>
        </w:trPr>
        <w:tc>
          <w:tcPr>
            <w:tcW w:w="1413" w:type="dxa"/>
          </w:tcPr>
          <w:p w14:paraId="3B02577A" w14:textId="77777777" w:rsidR="00E16501" w:rsidRPr="00962079" w:rsidRDefault="00E16501" w:rsidP="000044FA">
            <w:pPr>
              <w:pStyle w:val="NoSpacing"/>
              <w:rPr>
                <w:rFonts w:ascii="Times New Roman" w:hAnsi="Times New Roman"/>
                <w:i/>
                <w:lang w:eastAsia="lv-LV"/>
              </w:rPr>
            </w:pPr>
            <w:r w:rsidRPr="00962079">
              <w:rPr>
                <w:rFonts w:ascii="Times New Roman" w:hAnsi="Times New Roman"/>
                <w:i/>
              </w:rPr>
              <w:t>budžeta resora “74. Gadskārtējā valsts budžeta izpildes procesā pārdalāmais finansējums” 80.00.00 programma</w:t>
            </w:r>
          </w:p>
        </w:tc>
        <w:tc>
          <w:tcPr>
            <w:tcW w:w="1559" w:type="dxa"/>
          </w:tcPr>
          <w:p w14:paraId="63E2BB95" w14:textId="77777777" w:rsidR="00E16501" w:rsidRPr="007D3E6E" w:rsidRDefault="008322A7" w:rsidP="00962079">
            <w:pPr>
              <w:pStyle w:val="NoSpacing"/>
              <w:ind w:left="-253"/>
              <w:jc w:val="right"/>
              <w:rPr>
                <w:rFonts w:ascii="Times New Roman" w:hAnsi="Times New Roman"/>
                <w:i/>
                <w:sz w:val="24"/>
                <w:szCs w:val="24"/>
                <w:lang w:eastAsia="lv-LV"/>
              </w:rPr>
            </w:pPr>
            <w:r w:rsidRPr="007D3E6E">
              <w:rPr>
                <w:rFonts w:ascii="Times New Roman" w:hAnsi="Times New Roman"/>
                <w:i/>
                <w:sz w:val="24"/>
                <w:szCs w:val="24"/>
                <w:lang w:eastAsia="lv-LV"/>
              </w:rPr>
              <w:t>29 156 411</w:t>
            </w:r>
          </w:p>
        </w:tc>
        <w:tc>
          <w:tcPr>
            <w:tcW w:w="1418" w:type="dxa"/>
          </w:tcPr>
          <w:p w14:paraId="0C434249" w14:textId="77777777" w:rsidR="00E16501" w:rsidRPr="005E37B5" w:rsidRDefault="00EA6C2F" w:rsidP="00DE1003">
            <w:pPr>
              <w:pStyle w:val="NoSpacing"/>
              <w:jc w:val="right"/>
              <w:rPr>
                <w:rFonts w:ascii="Times New Roman" w:hAnsi="Times New Roman"/>
                <w:b/>
                <w:i/>
                <w:sz w:val="24"/>
                <w:szCs w:val="24"/>
              </w:rPr>
            </w:pPr>
            <w:r w:rsidRPr="005E37B5">
              <w:rPr>
                <w:rFonts w:ascii="Times New Roman" w:hAnsi="Times New Roman"/>
                <w:b/>
                <w:i/>
                <w:sz w:val="24"/>
                <w:szCs w:val="24"/>
              </w:rPr>
              <w:t>100</w:t>
            </w:r>
            <w:r w:rsidR="00F14F02" w:rsidRPr="005E37B5">
              <w:rPr>
                <w:rFonts w:ascii="Times New Roman" w:hAnsi="Times New Roman"/>
                <w:b/>
                <w:i/>
                <w:sz w:val="24"/>
                <w:szCs w:val="24"/>
              </w:rPr>
              <w:t> </w:t>
            </w:r>
            <w:r w:rsidR="000B283D" w:rsidRPr="005E37B5">
              <w:rPr>
                <w:rFonts w:ascii="Times New Roman" w:hAnsi="Times New Roman"/>
                <w:b/>
                <w:i/>
                <w:sz w:val="24"/>
                <w:szCs w:val="24"/>
              </w:rPr>
              <w:t>0</w:t>
            </w:r>
            <w:r w:rsidR="00F14F02" w:rsidRPr="005E37B5">
              <w:rPr>
                <w:rFonts w:ascii="Times New Roman" w:hAnsi="Times New Roman"/>
                <w:b/>
                <w:i/>
                <w:sz w:val="24"/>
                <w:szCs w:val="24"/>
              </w:rPr>
              <w:t>00 000</w:t>
            </w:r>
          </w:p>
        </w:tc>
        <w:tc>
          <w:tcPr>
            <w:tcW w:w="992" w:type="dxa"/>
          </w:tcPr>
          <w:p w14:paraId="0B52A75D" w14:textId="77777777" w:rsidR="00E16501" w:rsidRPr="005E37B5" w:rsidRDefault="00E16501" w:rsidP="000044FA">
            <w:pPr>
              <w:pStyle w:val="NoSpacing"/>
              <w:jc w:val="right"/>
              <w:rPr>
                <w:rFonts w:ascii="Times New Roman" w:hAnsi="Times New Roman"/>
                <w:sz w:val="24"/>
                <w:szCs w:val="24"/>
                <w:lang w:eastAsia="lv-LV"/>
              </w:rPr>
            </w:pPr>
          </w:p>
        </w:tc>
        <w:tc>
          <w:tcPr>
            <w:tcW w:w="1134" w:type="dxa"/>
          </w:tcPr>
          <w:p w14:paraId="7CEB6124" w14:textId="77777777" w:rsidR="00E16501" w:rsidRPr="007D3E6E" w:rsidRDefault="00E16501" w:rsidP="000044FA">
            <w:pPr>
              <w:pStyle w:val="NoSpacing"/>
              <w:jc w:val="right"/>
              <w:rPr>
                <w:rFonts w:ascii="Times New Roman" w:hAnsi="Times New Roman"/>
                <w:sz w:val="24"/>
                <w:szCs w:val="24"/>
                <w:lang w:eastAsia="lv-LV"/>
              </w:rPr>
            </w:pPr>
          </w:p>
        </w:tc>
        <w:tc>
          <w:tcPr>
            <w:tcW w:w="850" w:type="dxa"/>
          </w:tcPr>
          <w:p w14:paraId="6CFA916B" w14:textId="77777777" w:rsidR="00E16501" w:rsidRPr="007D3E6E" w:rsidRDefault="00E16501" w:rsidP="000044FA">
            <w:pPr>
              <w:pStyle w:val="NoSpacing"/>
              <w:jc w:val="right"/>
              <w:rPr>
                <w:rFonts w:ascii="Times New Roman" w:hAnsi="Times New Roman"/>
                <w:sz w:val="24"/>
                <w:szCs w:val="24"/>
                <w:lang w:eastAsia="lv-LV"/>
              </w:rPr>
            </w:pPr>
          </w:p>
        </w:tc>
        <w:tc>
          <w:tcPr>
            <w:tcW w:w="993" w:type="dxa"/>
          </w:tcPr>
          <w:p w14:paraId="63A9B313" w14:textId="77777777" w:rsidR="00E16501" w:rsidRPr="007D3E6E" w:rsidRDefault="00E16501" w:rsidP="000044FA">
            <w:pPr>
              <w:pStyle w:val="NoSpacing"/>
              <w:jc w:val="right"/>
              <w:rPr>
                <w:rFonts w:ascii="Times New Roman" w:hAnsi="Times New Roman"/>
                <w:sz w:val="24"/>
                <w:szCs w:val="24"/>
                <w:lang w:eastAsia="lv-LV"/>
              </w:rPr>
            </w:pPr>
          </w:p>
        </w:tc>
        <w:tc>
          <w:tcPr>
            <w:tcW w:w="1134" w:type="dxa"/>
          </w:tcPr>
          <w:p w14:paraId="0047CDD4" w14:textId="77777777" w:rsidR="00E16501" w:rsidRPr="007D3E6E" w:rsidRDefault="00E16501" w:rsidP="000044FA">
            <w:pPr>
              <w:pStyle w:val="NoSpacing"/>
              <w:jc w:val="right"/>
              <w:rPr>
                <w:rFonts w:ascii="Times New Roman" w:hAnsi="Times New Roman"/>
                <w:sz w:val="24"/>
                <w:szCs w:val="24"/>
                <w:lang w:eastAsia="lv-LV"/>
              </w:rPr>
            </w:pPr>
          </w:p>
        </w:tc>
      </w:tr>
      <w:tr w:rsidR="00064F32" w:rsidRPr="007D3E6E" w14:paraId="7FB0B2A6" w14:textId="77777777" w:rsidTr="005E37B5">
        <w:trPr>
          <w:gridAfter w:val="1"/>
          <w:wAfter w:w="8" w:type="dxa"/>
          <w:jc w:val="center"/>
        </w:trPr>
        <w:tc>
          <w:tcPr>
            <w:tcW w:w="1413" w:type="dxa"/>
          </w:tcPr>
          <w:p w14:paraId="3EBF83C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2.2. valsts speciālais budžets</w:t>
            </w:r>
          </w:p>
        </w:tc>
        <w:tc>
          <w:tcPr>
            <w:tcW w:w="1559" w:type="dxa"/>
          </w:tcPr>
          <w:p w14:paraId="542E510A" w14:textId="77777777" w:rsidR="00064F32" w:rsidRPr="007D3E6E" w:rsidRDefault="00E47E33" w:rsidP="00372421">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2</w:t>
            </w:r>
            <w:r w:rsidR="008322A7" w:rsidRPr="007D3E6E">
              <w:rPr>
                <w:rFonts w:ascii="Times New Roman" w:hAnsi="Times New Roman"/>
                <w:sz w:val="24"/>
                <w:szCs w:val="24"/>
                <w:lang w:eastAsia="lv-LV"/>
              </w:rPr>
              <w:t> 765 726 756</w:t>
            </w:r>
          </w:p>
        </w:tc>
        <w:tc>
          <w:tcPr>
            <w:tcW w:w="1418" w:type="dxa"/>
          </w:tcPr>
          <w:p w14:paraId="0FE7C2E1"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992" w:type="dxa"/>
          </w:tcPr>
          <w:p w14:paraId="492BE7D6"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3469DC2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5C2E9A3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DFA4C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8C103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72F9969" w14:textId="77777777" w:rsidTr="005E37B5">
        <w:trPr>
          <w:gridAfter w:val="1"/>
          <w:wAfter w:w="8" w:type="dxa"/>
          <w:jc w:val="center"/>
        </w:trPr>
        <w:tc>
          <w:tcPr>
            <w:tcW w:w="1413" w:type="dxa"/>
          </w:tcPr>
          <w:p w14:paraId="38C27707"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2.3. pašvaldību budžets</w:t>
            </w:r>
          </w:p>
        </w:tc>
        <w:tc>
          <w:tcPr>
            <w:tcW w:w="1559" w:type="dxa"/>
          </w:tcPr>
          <w:p w14:paraId="175D109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8" w:type="dxa"/>
          </w:tcPr>
          <w:p w14:paraId="68529B3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992" w:type="dxa"/>
          </w:tcPr>
          <w:p w14:paraId="441A7550"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613451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4E8B0C"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C3949B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CCCC85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E16501" w:rsidRPr="007D3E6E" w14:paraId="73CD7EDA" w14:textId="77777777" w:rsidTr="005E37B5">
        <w:trPr>
          <w:gridAfter w:val="1"/>
          <w:wAfter w:w="8" w:type="dxa"/>
          <w:jc w:val="center"/>
        </w:trPr>
        <w:tc>
          <w:tcPr>
            <w:tcW w:w="1413" w:type="dxa"/>
          </w:tcPr>
          <w:p w14:paraId="381D3420" w14:textId="77777777" w:rsidR="00E16501" w:rsidRPr="00962079" w:rsidRDefault="00E16501" w:rsidP="00E16501">
            <w:pPr>
              <w:pStyle w:val="NoSpacing"/>
              <w:rPr>
                <w:rFonts w:ascii="Times New Roman" w:hAnsi="Times New Roman"/>
                <w:lang w:eastAsia="lv-LV"/>
              </w:rPr>
            </w:pPr>
            <w:r w:rsidRPr="00962079">
              <w:rPr>
                <w:rFonts w:ascii="Times New Roman" w:hAnsi="Times New Roman"/>
                <w:lang w:eastAsia="lv-LV"/>
              </w:rPr>
              <w:lastRenderedPageBreak/>
              <w:t>3. Finansiālā ietekme</w:t>
            </w:r>
          </w:p>
        </w:tc>
        <w:tc>
          <w:tcPr>
            <w:tcW w:w="1559" w:type="dxa"/>
          </w:tcPr>
          <w:p w14:paraId="53658771" w14:textId="77777777" w:rsidR="00E16501" w:rsidRPr="007D3E6E" w:rsidRDefault="00E47E33" w:rsidP="00AC1A2E">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w:t>
            </w:r>
            <w:r w:rsidR="00AC1A2E" w:rsidRPr="007D3E6E">
              <w:rPr>
                <w:rFonts w:ascii="Times New Roman" w:hAnsi="Times New Roman"/>
                <w:sz w:val="24"/>
                <w:szCs w:val="24"/>
                <w:lang w:eastAsia="lv-LV"/>
              </w:rPr>
              <w:t>214 492 111</w:t>
            </w:r>
          </w:p>
        </w:tc>
        <w:tc>
          <w:tcPr>
            <w:tcW w:w="1418" w:type="dxa"/>
          </w:tcPr>
          <w:p w14:paraId="7909CF64" w14:textId="77777777" w:rsidR="00E16501" w:rsidRPr="005E37B5" w:rsidRDefault="00E16501" w:rsidP="00EA6C2F">
            <w:pPr>
              <w:ind w:left="-112"/>
              <w:jc w:val="right"/>
            </w:pPr>
            <w:r w:rsidRPr="005E37B5">
              <w:rPr>
                <w:b/>
              </w:rPr>
              <w:t>-</w:t>
            </w:r>
            <w:r w:rsidR="00EA6C2F" w:rsidRPr="005E37B5">
              <w:rPr>
                <w:b/>
              </w:rPr>
              <w:t>100</w:t>
            </w:r>
            <w:r w:rsidR="00F14F02" w:rsidRPr="005E37B5">
              <w:rPr>
                <w:b/>
              </w:rPr>
              <w:t> 000 000</w:t>
            </w:r>
          </w:p>
        </w:tc>
        <w:tc>
          <w:tcPr>
            <w:tcW w:w="992" w:type="dxa"/>
          </w:tcPr>
          <w:p w14:paraId="08662B43" w14:textId="77777777" w:rsidR="00E16501" w:rsidRPr="005E37B5" w:rsidRDefault="00E16501" w:rsidP="00E16501">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52966D99"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FF772A0"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F5617C"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AA9812E"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E16501" w:rsidRPr="007D3E6E" w14:paraId="3363C3F7" w14:textId="77777777" w:rsidTr="005E37B5">
        <w:trPr>
          <w:gridAfter w:val="1"/>
          <w:wAfter w:w="8" w:type="dxa"/>
          <w:jc w:val="center"/>
        </w:trPr>
        <w:tc>
          <w:tcPr>
            <w:tcW w:w="1413" w:type="dxa"/>
          </w:tcPr>
          <w:p w14:paraId="2D886A6E" w14:textId="77777777" w:rsidR="00E16501" w:rsidRPr="00962079" w:rsidRDefault="00E16501" w:rsidP="00E16501">
            <w:pPr>
              <w:pStyle w:val="NoSpacing"/>
              <w:rPr>
                <w:rFonts w:ascii="Times New Roman" w:hAnsi="Times New Roman"/>
                <w:sz w:val="21"/>
                <w:szCs w:val="21"/>
                <w:lang w:eastAsia="lv-LV"/>
              </w:rPr>
            </w:pPr>
            <w:r w:rsidRPr="00962079">
              <w:rPr>
                <w:rFonts w:ascii="Times New Roman" w:hAnsi="Times New Roman"/>
                <w:sz w:val="21"/>
                <w:szCs w:val="21"/>
                <w:lang w:eastAsia="lv-LV"/>
              </w:rPr>
              <w:t>3.1. valsts pamatbudžets</w:t>
            </w:r>
          </w:p>
        </w:tc>
        <w:tc>
          <w:tcPr>
            <w:tcW w:w="1559" w:type="dxa"/>
          </w:tcPr>
          <w:p w14:paraId="6567D3E7" w14:textId="77777777" w:rsidR="00E16501" w:rsidRPr="007D3E6E" w:rsidRDefault="00E47E33" w:rsidP="00AC1A2E">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w:t>
            </w:r>
            <w:r w:rsidR="00AC1A2E" w:rsidRPr="007D3E6E">
              <w:rPr>
                <w:rFonts w:ascii="Times New Roman" w:hAnsi="Times New Roman"/>
                <w:sz w:val="24"/>
                <w:szCs w:val="24"/>
                <w:lang w:eastAsia="lv-LV"/>
              </w:rPr>
              <w:t>438 278 538</w:t>
            </w:r>
          </w:p>
        </w:tc>
        <w:tc>
          <w:tcPr>
            <w:tcW w:w="1418" w:type="dxa"/>
          </w:tcPr>
          <w:p w14:paraId="5B392BDE" w14:textId="77777777" w:rsidR="00E16501" w:rsidRPr="005E37B5" w:rsidRDefault="00E16501" w:rsidP="00EA6C2F">
            <w:pPr>
              <w:ind w:left="-112"/>
              <w:jc w:val="right"/>
            </w:pPr>
            <w:r w:rsidRPr="005E37B5">
              <w:rPr>
                <w:b/>
              </w:rPr>
              <w:t>-</w:t>
            </w:r>
            <w:r w:rsidR="00EA6C2F" w:rsidRPr="005E37B5">
              <w:rPr>
                <w:b/>
              </w:rPr>
              <w:t>100</w:t>
            </w:r>
            <w:r w:rsidR="00F14F02" w:rsidRPr="005E37B5">
              <w:rPr>
                <w:b/>
              </w:rPr>
              <w:t> 000 000</w:t>
            </w:r>
          </w:p>
        </w:tc>
        <w:tc>
          <w:tcPr>
            <w:tcW w:w="992" w:type="dxa"/>
          </w:tcPr>
          <w:p w14:paraId="3B54D384" w14:textId="77777777" w:rsidR="00E16501" w:rsidRPr="005E37B5" w:rsidRDefault="00E16501" w:rsidP="00E16501">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043500F"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716338DF"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689B2A9"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B97A361"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08C899AA" w14:textId="77777777" w:rsidTr="005E37B5">
        <w:trPr>
          <w:gridAfter w:val="1"/>
          <w:wAfter w:w="8" w:type="dxa"/>
          <w:jc w:val="center"/>
        </w:trPr>
        <w:tc>
          <w:tcPr>
            <w:tcW w:w="1413" w:type="dxa"/>
          </w:tcPr>
          <w:p w14:paraId="15619ACC"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3.2. speciālais budžets</w:t>
            </w:r>
          </w:p>
        </w:tc>
        <w:tc>
          <w:tcPr>
            <w:tcW w:w="1559" w:type="dxa"/>
          </w:tcPr>
          <w:p w14:paraId="5C7C4333" w14:textId="77777777" w:rsidR="00064F32" w:rsidRPr="007D3E6E" w:rsidRDefault="00AC1A2E"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223 786 427</w:t>
            </w:r>
          </w:p>
        </w:tc>
        <w:tc>
          <w:tcPr>
            <w:tcW w:w="1418" w:type="dxa"/>
          </w:tcPr>
          <w:p w14:paraId="262AD31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53F20CB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7DE10F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D3D705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690C155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F9CADE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4AABF1C2" w14:textId="77777777" w:rsidTr="005E37B5">
        <w:trPr>
          <w:gridAfter w:val="1"/>
          <w:wAfter w:w="8" w:type="dxa"/>
          <w:jc w:val="center"/>
        </w:trPr>
        <w:tc>
          <w:tcPr>
            <w:tcW w:w="1413" w:type="dxa"/>
          </w:tcPr>
          <w:p w14:paraId="12BBD65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3.3. pašvaldību budžets</w:t>
            </w:r>
          </w:p>
        </w:tc>
        <w:tc>
          <w:tcPr>
            <w:tcW w:w="1559" w:type="dxa"/>
          </w:tcPr>
          <w:p w14:paraId="4B19A6C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8" w:type="dxa"/>
          </w:tcPr>
          <w:p w14:paraId="322134A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3EEEDD1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A57C9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A8E17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0DEE9A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2B6677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25FC07B2" w14:textId="77777777" w:rsidTr="005E37B5">
        <w:trPr>
          <w:gridAfter w:val="1"/>
          <w:wAfter w:w="8" w:type="dxa"/>
          <w:jc w:val="center"/>
        </w:trPr>
        <w:tc>
          <w:tcPr>
            <w:tcW w:w="1413" w:type="dxa"/>
          </w:tcPr>
          <w:p w14:paraId="41667BC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4. Finanšu līdzekļi papildu izdevumu finansēšanai (kompensējošu izdevumu samazinājumu norāda ar "+" zīmi)</w:t>
            </w:r>
          </w:p>
        </w:tc>
        <w:tc>
          <w:tcPr>
            <w:tcW w:w="1559" w:type="dxa"/>
          </w:tcPr>
          <w:p w14:paraId="13A7C5D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8" w:type="dxa"/>
          </w:tcPr>
          <w:p w14:paraId="265D40DE" w14:textId="77777777" w:rsidR="00064F32" w:rsidRPr="007D3E6E" w:rsidRDefault="00E16501"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992" w:type="dxa"/>
          </w:tcPr>
          <w:p w14:paraId="628E38D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528B40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58E60E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4228764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54D6A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49558BB9" w14:textId="77777777" w:rsidTr="005E37B5">
        <w:trPr>
          <w:gridAfter w:val="1"/>
          <w:wAfter w:w="8" w:type="dxa"/>
          <w:jc w:val="center"/>
        </w:trPr>
        <w:tc>
          <w:tcPr>
            <w:tcW w:w="1413" w:type="dxa"/>
          </w:tcPr>
          <w:p w14:paraId="50C004E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 Precizēta finansiālā ietekme</w:t>
            </w:r>
          </w:p>
        </w:tc>
        <w:tc>
          <w:tcPr>
            <w:tcW w:w="1559" w:type="dxa"/>
            <w:vMerge w:val="restart"/>
          </w:tcPr>
          <w:p w14:paraId="7189694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8" w:type="dxa"/>
          </w:tcPr>
          <w:p w14:paraId="3F980A8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992" w:type="dxa"/>
            <w:vMerge w:val="restart"/>
          </w:tcPr>
          <w:p w14:paraId="46D8B92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34309E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val="restart"/>
          </w:tcPr>
          <w:p w14:paraId="3DDF670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E80C41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EFDF4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5B33339" w14:textId="77777777" w:rsidTr="005E37B5">
        <w:trPr>
          <w:gridAfter w:val="1"/>
          <w:wAfter w:w="8" w:type="dxa"/>
          <w:jc w:val="center"/>
        </w:trPr>
        <w:tc>
          <w:tcPr>
            <w:tcW w:w="1413" w:type="dxa"/>
          </w:tcPr>
          <w:p w14:paraId="71DE0575" w14:textId="77777777" w:rsidR="00064F32" w:rsidRPr="00962079" w:rsidRDefault="00064F32" w:rsidP="000044FA">
            <w:pPr>
              <w:pStyle w:val="NoSpacing"/>
              <w:rPr>
                <w:rFonts w:ascii="Times New Roman" w:hAnsi="Times New Roman"/>
                <w:sz w:val="20"/>
                <w:szCs w:val="20"/>
                <w:lang w:eastAsia="lv-LV"/>
              </w:rPr>
            </w:pPr>
            <w:r w:rsidRPr="00962079">
              <w:rPr>
                <w:rFonts w:ascii="Times New Roman" w:hAnsi="Times New Roman"/>
                <w:sz w:val="20"/>
                <w:szCs w:val="20"/>
                <w:lang w:eastAsia="lv-LV"/>
              </w:rPr>
              <w:t>5.1. valsts pamatbudžets</w:t>
            </w:r>
          </w:p>
        </w:tc>
        <w:tc>
          <w:tcPr>
            <w:tcW w:w="1559" w:type="dxa"/>
            <w:vMerge/>
          </w:tcPr>
          <w:p w14:paraId="6D843DC1" w14:textId="77777777" w:rsidR="00064F32" w:rsidRPr="007D3E6E" w:rsidRDefault="00064F32" w:rsidP="000044FA">
            <w:pPr>
              <w:pStyle w:val="NoSpacing"/>
              <w:jc w:val="right"/>
              <w:rPr>
                <w:rFonts w:ascii="Times New Roman" w:hAnsi="Times New Roman"/>
                <w:sz w:val="24"/>
                <w:szCs w:val="24"/>
                <w:lang w:eastAsia="lv-LV"/>
              </w:rPr>
            </w:pPr>
          </w:p>
        </w:tc>
        <w:tc>
          <w:tcPr>
            <w:tcW w:w="1418" w:type="dxa"/>
          </w:tcPr>
          <w:p w14:paraId="054216D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992" w:type="dxa"/>
            <w:vMerge/>
          </w:tcPr>
          <w:p w14:paraId="53721396"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5A663C2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1F1E9C21"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7458706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FDD3E7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75A000B9" w14:textId="77777777" w:rsidTr="005E37B5">
        <w:trPr>
          <w:gridAfter w:val="1"/>
          <w:wAfter w:w="8" w:type="dxa"/>
          <w:jc w:val="center"/>
        </w:trPr>
        <w:tc>
          <w:tcPr>
            <w:tcW w:w="1413" w:type="dxa"/>
          </w:tcPr>
          <w:p w14:paraId="26C10E9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5.2. speciālais budžets</w:t>
            </w:r>
          </w:p>
        </w:tc>
        <w:tc>
          <w:tcPr>
            <w:tcW w:w="1559" w:type="dxa"/>
            <w:vMerge/>
          </w:tcPr>
          <w:p w14:paraId="575A6F01" w14:textId="77777777" w:rsidR="00064F32" w:rsidRPr="007D3E6E" w:rsidRDefault="00064F32" w:rsidP="000044FA">
            <w:pPr>
              <w:pStyle w:val="NoSpacing"/>
              <w:jc w:val="right"/>
              <w:rPr>
                <w:rFonts w:ascii="Times New Roman" w:hAnsi="Times New Roman"/>
                <w:sz w:val="24"/>
                <w:szCs w:val="24"/>
                <w:lang w:eastAsia="lv-LV"/>
              </w:rPr>
            </w:pPr>
          </w:p>
        </w:tc>
        <w:tc>
          <w:tcPr>
            <w:tcW w:w="1418" w:type="dxa"/>
          </w:tcPr>
          <w:p w14:paraId="43616EA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vMerge/>
          </w:tcPr>
          <w:p w14:paraId="0BDDD43C"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5823A8A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6B0B25D3"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25B7113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1BD3F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B097274" w14:textId="77777777" w:rsidTr="005E37B5">
        <w:trPr>
          <w:gridAfter w:val="1"/>
          <w:wAfter w:w="8" w:type="dxa"/>
          <w:jc w:val="center"/>
        </w:trPr>
        <w:tc>
          <w:tcPr>
            <w:tcW w:w="1413" w:type="dxa"/>
          </w:tcPr>
          <w:p w14:paraId="1648B06C"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5.3. pašvaldību budžets</w:t>
            </w:r>
          </w:p>
        </w:tc>
        <w:tc>
          <w:tcPr>
            <w:tcW w:w="1559" w:type="dxa"/>
            <w:vMerge/>
          </w:tcPr>
          <w:p w14:paraId="7DA4D268" w14:textId="77777777" w:rsidR="00064F32" w:rsidRPr="007D3E6E" w:rsidRDefault="00064F32" w:rsidP="000044FA">
            <w:pPr>
              <w:pStyle w:val="NoSpacing"/>
              <w:jc w:val="right"/>
              <w:rPr>
                <w:rFonts w:ascii="Times New Roman" w:hAnsi="Times New Roman"/>
                <w:sz w:val="24"/>
                <w:szCs w:val="24"/>
                <w:lang w:eastAsia="lv-LV"/>
              </w:rPr>
            </w:pPr>
          </w:p>
        </w:tc>
        <w:tc>
          <w:tcPr>
            <w:tcW w:w="1418" w:type="dxa"/>
          </w:tcPr>
          <w:p w14:paraId="3728E24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vMerge/>
          </w:tcPr>
          <w:p w14:paraId="367EB45C"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35DA081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08750598"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0C64444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D9C2A2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422AFA" w14:paraId="2F5C9D08" w14:textId="77777777" w:rsidTr="00962079">
        <w:trPr>
          <w:jc w:val="center"/>
        </w:trPr>
        <w:tc>
          <w:tcPr>
            <w:tcW w:w="1413" w:type="dxa"/>
          </w:tcPr>
          <w:p w14:paraId="6478C227"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 Detalizēts ieņēmumu un izdevumu aprēķins (ja nepieciešams, detalizētu ieņēmumu un izdevumu aprēķinu var pievienot anotācijas pielikumā)</w:t>
            </w:r>
          </w:p>
        </w:tc>
        <w:tc>
          <w:tcPr>
            <w:tcW w:w="8088" w:type="dxa"/>
            <w:gridSpan w:val="8"/>
            <w:vMerge w:val="restart"/>
          </w:tcPr>
          <w:p w14:paraId="07BD2F4F" w14:textId="77777777" w:rsidR="00422AFA" w:rsidRPr="007D3E6E" w:rsidRDefault="00422AFA" w:rsidP="00422AFA">
            <w:pPr>
              <w:pStyle w:val="NoSpacing"/>
              <w:rPr>
                <w:rFonts w:ascii="Times New Roman" w:hAnsi="Times New Roman"/>
                <w:sz w:val="24"/>
                <w:szCs w:val="24"/>
                <w:lang w:eastAsia="lv-LV"/>
              </w:rPr>
            </w:pPr>
          </w:p>
          <w:p w14:paraId="7FCC94B4" w14:textId="77777777" w:rsidR="004B4E72" w:rsidRPr="007D3E6E" w:rsidRDefault="004B4E72" w:rsidP="00422AFA">
            <w:pPr>
              <w:pStyle w:val="NoSpacing"/>
              <w:rPr>
                <w:rFonts w:ascii="Times New Roman" w:hAnsi="Times New Roman"/>
                <w:sz w:val="24"/>
                <w:szCs w:val="24"/>
                <w:lang w:eastAsia="lv-LV"/>
              </w:rPr>
            </w:pPr>
          </w:p>
          <w:tbl>
            <w:tblPr>
              <w:tblW w:w="7679" w:type="dxa"/>
              <w:tblLayout w:type="fixed"/>
              <w:tblLook w:val="04A0" w:firstRow="1" w:lastRow="0" w:firstColumn="1" w:lastColumn="0" w:noHBand="0" w:noVBand="1"/>
            </w:tblPr>
            <w:tblGrid>
              <w:gridCol w:w="6120"/>
              <w:gridCol w:w="1559"/>
            </w:tblGrid>
            <w:tr w:rsidR="00422AFA" w:rsidRPr="007D3E6E" w14:paraId="360470A3" w14:textId="77777777" w:rsidTr="00422AFA">
              <w:trPr>
                <w:trHeight w:val="300"/>
              </w:trPr>
              <w:tc>
                <w:tcPr>
                  <w:tcW w:w="7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1C7A2" w14:textId="77777777" w:rsidR="00422AFA" w:rsidRPr="007D3E6E" w:rsidRDefault="00422AFA" w:rsidP="005E37B5">
                  <w:pPr>
                    <w:spacing w:before="120" w:after="120"/>
                    <w:jc w:val="center"/>
                    <w:rPr>
                      <w:b/>
                      <w:bCs/>
                      <w:color w:val="000000"/>
                    </w:rPr>
                  </w:pPr>
                  <w:r w:rsidRPr="007D3E6E">
                    <w:rPr>
                      <w:b/>
                      <w:bCs/>
                      <w:color w:val="000000"/>
                    </w:rPr>
                    <w:t>Pārdale no 80.00.00 programmas</w:t>
                  </w:r>
                </w:p>
              </w:tc>
            </w:tr>
            <w:tr w:rsidR="00422AFA" w:rsidRPr="007D3E6E" w14:paraId="40F54B71" w14:textId="77777777" w:rsidTr="00422AFA">
              <w:trPr>
                <w:trHeight w:val="1270"/>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6361EE6F" w14:textId="77777777" w:rsidR="00422AFA" w:rsidRPr="007D3E6E" w:rsidRDefault="00422AFA" w:rsidP="005E37B5">
                  <w:pPr>
                    <w:spacing w:before="120" w:after="120"/>
                    <w:rPr>
                      <w:color w:val="000000"/>
                    </w:rPr>
                  </w:pPr>
                  <w:r w:rsidRPr="007D3E6E">
                    <w:rPr>
                      <w:color w:val="000000"/>
                    </w:rPr>
                    <w:t>Likumā "Par valsts budžetu 201</w:t>
                  </w:r>
                  <w:r w:rsidR="00AC1A2E" w:rsidRPr="007D3E6E">
                    <w:rPr>
                      <w:color w:val="000000"/>
                    </w:rPr>
                    <w:t>9</w:t>
                  </w:r>
                  <w:r w:rsidRPr="007D3E6E">
                    <w:rPr>
                      <w:color w:val="000000"/>
                    </w:rPr>
                    <w:t>.gadam" budžeta resora “74. Gadskārtējā valsts budžeta izpildes procesā pārdalāmais finansējums” 80.00.00 programmā “Nesadalītais finansējums Eiropas Savienības politiku instrumentu un pārējās ārvalstu finanšu palīdzības līdzfinansēto projektu un pasākumu īstenošanai” apstiprinātais finansējums</w:t>
                  </w:r>
                </w:p>
              </w:tc>
              <w:tc>
                <w:tcPr>
                  <w:tcW w:w="1559" w:type="dxa"/>
                  <w:tcBorders>
                    <w:top w:val="nil"/>
                    <w:left w:val="nil"/>
                    <w:bottom w:val="single" w:sz="4" w:space="0" w:color="auto"/>
                    <w:right w:val="single" w:sz="4" w:space="0" w:color="auto"/>
                  </w:tcBorders>
                  <w:shd w:val="clear" w:color="auto" w:fill="auto"/>
                  <w:vAlign w:val="center"/>
                  <w:hideMark/>
                </w:tcPr>
                <w:p w14:paraId="3F0514A1" w14:textId="77777777" w:rsidR="00422AFA" w:rsidRPr="007D3E6E" w:rsidRDefault="00AC1A2E" w:rsidP="005E37B5">
                  <w:pPr>
                    <w:spacing w:before="120" w:after="120"/>
                    <w:jc w:val="right"/>
                    <w:rPr>
                      <w:b/>
                      <w:bCs/>
                      <w:color w:val="000000"/>
                    </w:rPr>
                  </w:pPr>
                  <w:r w:rsidRPr="007D3E6E">
                    <w:rPr>
                      <w:b/>
                      <w:bCs/>
                      <w:color w:val="000000"/>
                    </w:rPr>
                    <w:t>29 156 411</w:t>
                  </w:r>
                </w:p>
              </w:tc>
            </w:tr>
            <w:tr w:rsidR="00422AFA" w:rsidRPr="005E37B5" w14:paraId="440FE6BA" w14:textId="77777777" w:rsidTr="00422AFA">
              <w:trPr>
                <w:trHeight w:val="277"/>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1D5BF78F" w14:textId="77777777" w:rsidR="00422AFA" w:rsidRPr="005E37B5" w:rsidRDefault="00422AFA" w:rsidP="005E37B5">
                  <w:pPr>
                    <w:spacing w:before="120" w:after="120"/>
                    <w:rPr>
                      <w:bCs/>
                      <w:color w:val="000000"/>
                    </w:rPr>
                  </w:pPr>
                  <w:r w:rsidRPr="005E37B5">
                    <w:rPr>
                      <w:bCs/>
                      <w:color w:val="000000"/>
                    </w:rPr>
                    <w:t xml:space="preserve">Pārdalīts uz ministriju budžetiem līdz </w:t>
                  </w:r>
                  <w:r w:rsidR="005E37B5" w:rsidRPr="005E37B5">
                    <w:rPr>
                      <w:bCs/>
                      <w:color w:val="000000"/>
                    </w:rPr>
                    <w:t>10</w:t>
                  </w:r>
                  <w:r w:rsidRPr="005E37B5">
                    <w:rPr>
                      <w:bCs/>
                      <w:color w:val="000000"/>
                    </w:rPr>
                    <w:t>.</w:t>
                  </w:r>
                  <w:r w:rsidR="00EA6C2F" w:rsidRPr="005E37B5">
                    <w:rPr>
                      <w:bCs/>
                      <w:color w:val="000000"/>
                    </w:rPr>
                    <w:t>09.2019</w:t>
                  </w:r>
                  <w:r w:rsidRPr="005E37B5">
                    <w:rPr>
                      <w:bCs/>
                      <w:color w:val="000000"/>
                    </w:rPr>
                    <w:t>.</w:t>
                  </w:r>
                </w:p>
              </w:tc>
              <w:tc>
                <w:tcPr>
                  <w:tcW w:w="1559" w:type="dxa"/>
                  <w:tcBorders>
                    <w:top w:val="nil"/>
                    <w:left w:val="nil"/>
                    <w:bottom w:val="single" w:sz="4" w:space="0" w:color="auto"/>
                    <w:right w:val="single" w:sz="4" w:space="0" w:color="auto"/>
                  </w:tcBorders>
                  <w:shd w:val="clear" w:color="auto" w:fill="auto"/>
                  <w:vAlign w:val="center"/>
                  <w:hideMark/>
                </w:tcPr>
                <w:p w14:paraId="6C34E3B1" w14:textId="77777777" w:rsidR="00422AFA" w:rsidRPr="005E37B5" w:rsidRDefault="00EA6C2F" w:rsidP="005E37B5">
                  <w:pPr>
                    <w:spacing w:before="120" w:after="120"/>
                    <w:jc w:val="right"/>
                    <w:rPr>
                      <w:b/>
                      <w:bCs/>
                      <w:color w:val="000000"/>
                    </w:rPr>
                  </w:pPr>
                  <w:r w:rsidRPr="005E37B5">
                    <w:rPr>
                      <w:b/>
                      <w:bCs/>
                      <w:color w:val="000000"/>
                    </w:rPr>
                    <w:t>24 580 483</w:t>
                  </w:r>
                </w:p>
              </w:tc>
            </w:tr>
            <w:tr w:rsidR="00422AFA" w:rsidRPr="005E37B5" w14:paraId="2984235F" w14:textId="77777777" w:rsidTr="00422AFA">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311336ED" w14:textId="77777777" w:rsidR="00422AFA" w:rsidRPr="005E37B5" w:rsidRDefault="00422AFA" w:rsidP="005E37B5">
                  <w:pPr>
                    <w:spacing w:before="120" w:after="120"/>
                    <w:rPr>
                      <w:bCs/>
                      <w:color w:val="000000"/>
                    </w:rPr>
                  </w:pPr>
                  <w:r w:rsidRPr="005E37B5">
                    <w:rPr>
                      <w:bCs/>
                      <w:color w:val="000000"/>
                    </w:rPr>
                    <w:t xml:space="preserve">Atlikums uz </w:t>
                  </w:r>
                  <w:r w:rsidR="005E37B5" w:rsidRPr="005E37B5">
                    <w:rPr>
                      <w:bCs/>
                      <w:color w:val="000000"/>
                    </w:rPr>
                    <w:t>10</w:t>
                  </w:r>
                  <w:r w:rsidRPr="005E37B5">
                    <w:rPr>
                      <w:bCs/>
                      <w:color w:val="000000"/>
                    </w:rPr>
                    <w:t>.</w:t>
                  </w:r>
                  <w:r w:rsidR="00EA6C2F" w:rsidRPr="005E37B5">
                    <w:rPr>
                      <w:bCs/>
                      <w:color w:val="000000"/>
                    </w:rPr>
                    <w:t>09.2019</w:t>
                  </w:r>
                  <w:r w:rsidRPr="005E37B5">
                    <w:rPr>
                      <w:bCs/>
                      <w:color w:val="000000"/>
                    </w:rPr>
                    <w:t>.</w:t>
                  </w:r>
                </w:p>
              </w:tc>
              <w:tc>
                <w:tcPr>
                  <w:tcW w:w="1559" w:type="dxa"/>
                  <w:tcBorders>
                    <w:top w:val="nil"/>
                    <w:left w:val="nil"/>
                    <w:bottom w:val="single" w:sz="4" w:space="0" w:color="auto"/>
                    <w:right w:val="single" w:sz="4" w:space="0" w:color="auto"/>
                  </w:tcBorders>
                  <w:shd w:val="clear" w:color="auto" w:fill="auto"/>
                  <w:vAlign w:val="center"/>
                  <w:hideMark/>
                </w:tcPr>
                <w:p w14:paraId="492EF545" w14:textId="77777777" w:rsidR="00422AFA" w:rsidRPr="005E37B5" w:rsidRDefault="00EA6C2F" w:rsidP="005E37B5">
                  <w:pPr>
                    <w:spacing w:before="120" w:after="120"/>
                    <w:jc w:val="right"/>
                    <w:rPr>
                      <w:b/>
                      <w:bCs/>
                      <w:color w:val="000000"/>
                    </w:rPr>
                  </w:pPr>
                  <w:r w:rsidRPr="005E37B5">
                    <w:rPr>
                      <w:b/>
                      <w:bCs/>
                      <w:color w:val="000000"/>
                    </w:rPr>
                    <w:t>4 575 928</w:t>
                  </w:r>
                </w:p>
              </w:tc>
            </w:tr>
            <w:tr w:rsidR="00422AFA" w:rsidRPr="005E37B5" w14:paraId="6F22ADCB" w14:textId="77777777" w:rsidTr="00422AFA">
              <w:trPr>
                <w:trHeight w:val="510"/>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4D4DBC0B" w14:textId="77777777" w:rsidR="00422AFA" w:rsidRPr="005E37B5" w:rsidRDefault="002837F3" w:rsidP="005E37B5">
                  <w:pPr>
                    <w:spacing w:before="120" w:after="120"/>
                    <w:rPr>
                      <w:bCs/>
                      <w:color w:val="000000"/>
                    </w:rPr>
                  </w:pPr>
                  <w:r w:rsidRPr="005E37B5">
                    <w:rPr>
                      <w:bCs/>
                      <w:color w:val="000000"/>
                    </w:rPr>
                    <w:t>M</w:t>
                  </w:r>
                  <w:r w:rsidR="00422AFA" w:rsidRPr="005E37B5">
                    <w:rPr>
                      <w:bCs/>
                      <w:color w:val="000000"/>
                    </w:rPr>
                    <w:t xml:space="preserve">inistriju </w:t>
                  </w:r>
                  <w:r w:rsidRPr="005E37B5">
                    <w:rPr>
                      <w:bCs/>
                      <w:color w:val="000000"/>
                    </w:rPr>
                    <w:t>sniegtā informācija par prognozēto līdzekļu pārdal</w:t>
                  </w:r>
                  <w:r w:rsidR="00422AFA" w:rsidRPr="005E37B5">
                    <w:rPr>
                      <w:bCs/>
                      <w:color w:val="000000"/>
                    </w:rPr>
                    <w:t xml:space="preserve">i uz 80.00.00 programmu uz </w:t>
                  </w:r>
                  <w:r w:rsidR="005E37B5" w:rsidRPr="005E37B5">
                    <w:rPr>
                      <w:bCs/>
                      <w:color w:val="000000"/>
                    </w:rPr>
                    <w:t>10</w:t>
                  </w:r>
                  <w:r w:rsidR="00422AFA" w:rsidRPr="005E37B5">
                    <w:rPr>
                      <w:bCs/>
                      <w:color w:val="000000"/>
                    </w:rPr>
                    <w:t>.</w:t>
                  </w:r>
                  <w:r w:rsidR="00EA6C2F" w:rsidRPr="005E37B5">
                    <w:rPr>
                      <w:bCs/>
                      <w:color w:val="000000"/>
                    </w:rPr>
                    <w:t>09.2019</w:t>
                  </w:r>
                  <w:r w:rsidR="00422AFA" w:rsidRPr="005E37B5">
                    <w:rPr>
                      <w:bCs/>
                      <w:color w:val="000000"/>
                    </w:rPr>
                    <w:t>.</w:t>
                  </w:r>
                </w:p>
              </w:tc>
              <w:tc>
                <w:tcPr>
                  <w:tcW w:w="1559" w:type="dxa"/>
                  <w:tcBorders>
                    <w:top w:val="nil"/>
                    <w:left w:val="nil"/>
                    <w:bottom w:val="single" w:sz="4" w:space="0" w:color="auto"/>
                    <w:right w:val="single" w:sz="4" w:space="0" w:color="auto"/>
                  </w:tcBorders>
                  <w:shd w:val="clear" w:color="auto" w:fill="auto"/>
                  <w:vAlign w:val="center"/>
                  <w:hideMark/>
                </w:tcPr>
                <w:p w14:paraId="3A33C53E" w14:textId="77777777" w:rsidR="00422AFA" w:rsidRPr="005E37B5" w:rsidRDefault="005E37B5" w:rsidP="005E37B5">
                  <w:pPr>
                    <w:spacing w:before="120" w:after="120"/>
                    <w:jc w:val="right"/>
                    <w:rPr>
                      <w:b/>
                      <w:bCs/>
                      <w:color w:val="000000"/>
                    </w:rPr>
                  </w:pPr>
                  <w:r w:rsidRPr="005E37B5">
                    <w:rPr>
                      <w:b/>
                      <w:bCs/>
                      <w:color w:val="000000"/>
                    </w:rPr>
                    <w:t>14</w:t>
                  </w:r>
                  <w:r w:rsidR="00811F34" w:rsidRPr="005E37B5">
                    <w:rPr>
                      <w:b/>
                      <w:bCs/>
                      <w:color w:val="000000"/>
                    </w:rPr>
                    <w:t xml:space="preserve"> 4</w:t>
                  </w:r>
                  <w:r w:rsidRPr="005E37B5">
                    <w:rPr>
                      <w:b/>
                      <w:bCs/>
                      <w:color w:val="000000"/>
                    </w:rPr>
                    <w:t>12</w:t>
                  </w:r>
                  <w:r w:rsidR="00B672D4" w:rsidRPr="005E37B5">
                    <w:rPr>
                      <w:b/>
                      <w:bCs/>
                      <w:color w:val="000000"/>
                    </w:rPr>
                    <w:t xml:space="preserve"> </w:t>
                  </w:r>
                  <w:r w:rsidRPr="005E37B5">
                    <w:rPr>
                      <w:b/>
                      <w:bCs/>
                      <w:color w:val="000000"/>
                    </w:rPr>
                    <w:t>02</w:t>
                  </w:r>
                  <w:r w:rsidR="00811F34" w:rsidRPr="005E37B5">
                    <w:rPr>
                      <w:b/>
                      <w:bCs/>
                      <w:color w:val="000000"/>
                    </w:rPr>
                    <w:t>5</w:t>
                  </w:r>
                </w:p>
              </w:tc>
            </w:tr>
            <w:tr w:rsidR="00422AFA" w:rsidRPr="005E37B5" w14:paraId="2A19A9CF" w14:textId="77777777" w:rsidTr="00422AFA">
              <w:trPr>
                <w:trHeight w:val="353"/>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20722F85" w14:textId="77777777" w:rsidR="00422AFA" w:rsidRPr="005E37B5" w:rsidRDefault="00422AFA" w:rsidP="005E37B5">
                  <w:pPr>
                    <w:spacing w:before="120" w:after="120"/>
                    <w:rPr>
                      <w:bCs/>
                      <w:color w:val="000000"/>
                    </w:rPr>
                  </w:pPr>
                  <w:r w:rsidRPr="005E37B5">
                    <w:rPr>
                      <w:bCs/>
                      <w:color w:val="000000"/>
                    </w:rPr>
                    <w:t>Papildus nepieciešamo līdzekļu apjoms līdz 201</w:t>
                  </w:r>
                  <w:r w:rsidR="00EA6C2F" w:rsidRPr="005E37B5">
                    <w:rPr>
                      <w:bCs/>
                      <w:color w:val="000000"/>
                    </w:rPr>
                    <w:t>9</w:t>
                  </w:r>
                  <w:r w:rsidRPr="005E37B5">
                    <w:rPr>
                      <w:bCs/>
                      <w:color w:val="000000"/>
                    </w:rPr>
                    <w:t>.gada beigām</w:t>
                  </w:r>
                </w:p>
              </w:tc>
              <w:tc>
                <w:tcPr>
                  <w:tcW w:w="1559" w:type="dxa"/>
                  <w:tcBorders>
                    <w:top w:val="nil"/>
                    <w:left w:val="nil"/>
                    <w:bottom w:val="single" w:sz="4" w:space="0" w:color="auto"/>
                    <w:right w:val="single" w:sz="4" w:space="0" w:color="auto"/>
                  </w:tcBorders>
                  <w:shd w:val="clear" w:color="auto" w:fill="auto"/>
                  <w:vAlign w:val="center"/>
                  <w:hideMark/>
                </w:tcPr>
                <w:p w14:paraId="5795D503" w14:textId="77777777" w:rsidR="00422AFA" w:rsidRPr="005E37B5" w:rsidRDefault="00811F34" w:rsidP="005E37B5">
                  <w:pPr>
                    <w:spacing w:before="120" w:after="120"/>
                    <w:jc w:val="right"/>
                    <w:rPr>
                      <w:b/>
                      <w:bCs/>
                      <w:color w:val="000000"/>
                    </w:rPr>
                  </w:pPr>
                  <w:r w:rsidRPr="005E37B5">
                    <w:rPr>
                      <w:b/>
                      <w:bCs/>
                      <w:color w:val="000000"/>
                    </w:rPr>
                    <w:t>11</w:t>
                  </w:r>
                  <w:r w:rsidR="005E37B5" w:rsidRPr="005E37B5">
                    <w:rPr>
                      <w:b/>
                      <w:bCs/>
                      <w:color w:val="000000"/>
                    </w:rPr>
                    <w:t>8</w:t>
                  </w:r>
                  <w:r w:rsidR="00B672D4" w:rsidRPr="005E37B5">
                    <w:rPr>
                      <w:b/>
                      <w:bCs/>
                      <w:color w:val="000000"/>
                    </w:rPr>
                    <w:t> </w:t>
                  </w:r>
                  <w:r w:rsidR="005E37B5" w:rsidRPr="005E37B5">
                    <w:rPr>
                      <w:b/>
                      <w:bCs/>
                      <w:color w:val="000000"/>
                    </w:rPr>
                    <w:t>987</w:t>
                  </w:r>
                  <w:r w:rsidR="00B672D4" w:rsidRPr="005E37B5">
                    <w:rPr>
                      <w:b/>
                      <w:bCs/>
                      <w:color w:val="000000"/>
                    </w:rPr>
                    <w:t xml:space="preserve"> </w:t>
                  </w:r>
                  <w:r w:rsidR="005E37B5" w:rsidRPr="005E37B5">
                    <w:rPr>
                      <w:b/>
                      <w:bCs/>
                      <w:color w:val="000000"/>
                    </w:rPr>
                    <w:t>95</w:t>
                  </w:r>
                  <w:r w:rsidR="006A556C" w:rsidRPr="005E37B5">
                    <w:rPr>
                      <w:b/>
                      <w:bCs/>
                      <w:color w:val="000000"/>
                    </w:rPr>
                    <w:t>3</w:t>
                  </w:r>
                </w:p>
              </w:tc>
            </w:tr>
            <w:tr w:rsidR="00422AFA" w:rsidRPr="005E37B5" w14:paraId="0654561A" w14:textId="77777777" w:rsidTr="00422AFA">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35943C3F" w14:textId="77777777" w:rsidR="00422AFA" w:rsidRPr="005E37B5" w:rsidRDefault="00422AFA" w:rsidP="005E37B5">
                  <w:pPr>
                    <w:spacing w:before="120" w:after="120"/>
                    <w:rPr>
                      <w:bCs/>
                      <w:color w:val="000000"/>
                    </w:rPr>
                  </w:pPr>
                  <w:r w:rsidRPr="005E37B5">
                    <w:rPr>
                      <w:bCs/>
                      <w:color w:val="000000"/>
                    </w:rPr>
                    <w:t>Finansējuma deficīts</w:t>
                  </w:r>
                </w:p>
              </w:tc>
              <w:tc>
                <w:tcPr>
                  <w:tcW w:w="1559" w:type="dxa"/>
                  <w:tcBorders>
                    <w:top w:val="nil"/>
                    <w:left w:val="nil"/>
                    <w:bottom w:val="single" w:sz="4" w:space="0" w:color="auto"/>
                    <w:right w:val="single" w:sz="4" w:space="0" w:color="auto"/>
                  </w:tcBorders>
                  <w:shd w:val="clear" w:color="auto" w:fill="auto"/>
                  <w:vAlign w:val="center"/>
                  <w:hideMark/>
                </w:tcPr>
                <w:p w14:paraId="12D812C2" w14:textId="77777777" w:rsidR="00422AFA" w:rsidRPr="005E37B5" w:rsidRDefault="009A4A62" w:rsidP="005E37B5">
                  <w:pPr>
                    <w:spacing w:before="120" w:after="120"/>
                    <w:jc w:val="right"/>
                    <w:rPr>
                      <w:b/>
                      <w:bCs/>
                      <w:color w:val="000000"/>
                    </w:rPr>
                  </w:pPr>
                  <w:r w:rsidRPr="005E37B5">
                    <w:rPr>
                      <w:b/>
                      <w:bCs/>
                      <w:color w:val="000000"/>
                    </w:rPr>
                    <w:t>-</w:t>
                  </w:r>
                  <w:r w:rsidR="006423EF" w:rsidRPr="005E37B5">
                    <w:rPr>
                      <w:b/>
                      <w:bCs/>
                      <w:color w:val="000000"/>
                    </w:rPr>
                    <w:t>100</w:t>
                  </w:r>
                  <w:r w:rsidRPr="005E37B5">
                    <w:rPr>
                      <w:b/>
                      <w:bCs/>
                      <w:color w:val="000000"/>
                    </w:rPr>
                    <w:t> 000 000</w:t>
                  </w:r>
                </w:p>
              </w:tc>
            </w:tr>
          </w:tbl>
          <w:p w14:paraId="6C77CAB5" w14:textId="77777777" w:rsidR="004B0522" w:rsidRPr="005E37B5" w:rsidRDefault="004B0522" w:rsidP="005E37B5">
            <w:pPr>
              <w:pStyle w:val="NoSpacing"/>
              <w:spacing w:before="120" w:after="120"/>
              <w:rPr>
                <w:rFonts w:ascii="Times New Roman" w:hAnsi="Times New Roman"/>
                <w:sz w:val="24"/>
                <w:szCs w:val="24"/>
                <w:lang w:eastAsia="lv-LV"/>
              </w:rPr>
            </w:pPr>
          </w:p>
          <w:p w14:paraId="38D71C11" w14:textId="6CD9F416" w:rsidR="00A0018F" w:rsidRPr="007D3E6E" w:rsidRDefault="00AD3761" w:rsidP="00DE03E0">
            <w:pPr>
              <w:spacing w:before="120" w:after="120"/>
              <w:jc w:val="both"/>
              <w:rPr>
                <w:color w:val="FF0000"/>
              </w:rPr>
            </w:pPr>
            <w:r w:rsidRPr="005E37B5">
              <w:lastRenderedPageBreak/>
              <w:t xml:space="preserve">Palielinot apropriāciju par 100,0 milj. </w:t>
            </w:r>
            <w:proofErr w:type="spellStart"/>
            <w:r w:rsidRPr="005E37B5">
              <w:rPr>
                <w:i/>
                <w:iCs/>
              </w:rPr>
              <w:t>euro</w:t>
            </w:r>
            <w:proofErr w:type="spellEnd"/>
            <w:r w:rsidRPr="005E37B5">
              <w:t xml:space="preserve">, vispārējās valdības budžeta deficīts saskaņā ar Eiropas nacionālo un reģionālo kontu sistēmu palielināsies par </w:t>
            </w:r>
            <w:r w:rsidRPr="005E37B5">
              <w:rPr>
                <w:b/>
                <w:bCs/>
              </w:rPr>
              <w:t xml:space="preserve">25,5 milj. </w:t>
            </w:r>
            <w:proofErr w:type="spellStart"/>
            <w:r w:rsidRPr="005E37B5">
              <w:rPr>
                <w:b/>
                <w:bCs/>
                <w:i/>
                <w:iCs/>
              </w:rPr>
              <w:t>euro</w:t>
            </w:r>
            <w:proofErr w:type="spellEnd"/>
            <w:r w:rsidRPr="005E37B5">
              <w:t>, un tas ir ņemts vērā 2019.gada vispārējās valdības budžeta deficīta novērtējumā, prognozējot to 0,5% apmērā no iekšzemes kopprodukta.</w:t>
            </w:r>
          </w:p>
        </w:tc>
      </w:tr>
      <w:tr w:rsidR="00422AFA" w14:paraId="032D437D" w14:textId="77777777" w:rsidTr="00962079">
        <w:trPr>
          <w:jc w:val="center"/>
        </w:trPr>
        <w:tc>
          <w:tcPr>
            <w:tcW w:w="1413" w:type="dxa"/>
          </w:tcPr>
          <w:p w14:paraId="0F01021E"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6.1. detalizēts ieņēmumu aprēķins</w:t>
            </w:r>
          </w:p>
        </w:tc>
        <w:tc>
          <w:tcPr>
            <w:tcW w:w="8088" w:type="dxa"/>
            <w:gridSpan w:val="8"/>
            <w:vMerge/>
          </w:tcPr>
          <w:p w14:paraId="34BAF3F1" w14:textId="77777777" w:rsidR="00422AFA" w:rsidRPr="004B0522" w:rsidRDefault="00422AFA" w:rsidP="000044FA">
            <w:pPr>
              <w:pStyle w:val="NoSpacing"/>
              <w:jc w:val="right"/>
              <w:rPr>
                <w:rFonts w:ascii="Times New Roman" w:hAnsi="Times New Roman"/>
                <w:sz w:val="20"/>
                <w:szCs w:val="20"/>
                <w:lang w:eastAsia="lv-LV"/>
              </w:rPr>
            </w:pPr>
          </w:p>
        </w:tc>
      </w:tr>
      <w:tr w:rsidR="00422AFA" w14:paraId="3B7EF858" w14:textId="77777777" w:rsidTr="00962079">
        <w:trPr>
          <w:jc w:val="center"/>
        </w:trPr>
        <w:tc>
          <w:tcPr>
            <w:tcW w:w="1413" w:type="dxa"/>
          </w:tcPr>
          <w:p w14:paraId="7A82CB34"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6.2. detalizēts izdevumu aprēķins</w:t>
            </w:r>
          </w:p>
        </w:tc>
        <w:tc>
          <w:tcPr>
            <w:tcW w:w="8088" w:type="dxa"/>
            <w:gridSpan w:val="8"/>
            <w:vMerge/>
          </w:tcPr>
          <w:p w14:paraId="06BA7DF6" w14:textId="77777777" w:rsidR="00422AFA" w:rsidRPr="004B0522" w:rsidRDefault="00422AFA" w:rsidP="000044FA">
            <w:pPr>
              <w:pStyle w:val="NoSpacing"/>
              <w:jc w:val="right"/>
              <w:rPr>
                <w:rFonts w:ascii="Times New Roman" w:hAnsi="Times New Roman"/>
                <w:sz w:val="20"/>
                <w:szCs w:val="20"/>
                <w:lang w:eastAsia="lv-LV"/>
              </w:rPr>
            </w:pPr>
          </w:p>
        </w:tc>
      </w:tr>
      <w:tr w:rsidR="001611E9" w14:paraId="7DEA98C3" w14:textId="77777777" w:rsidTr="00962079">
        <w:trPr>
          <w:jc w:val="center"/>
        </w:trPr>
        <w:tc>
          <w:tcPr>
            <w:tcW w:w="1413" w:type="dxa"/>
          </w:tcPr>
          <w:p w14:paraId="110A27BB"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7. Amata vietu skaita izmaiņas</w:t>
            </w:r>
          </w:p>
        </w:tc>
        <w:tc>
          <w:tcPr>
            <w:tcW w:w="8088" w:type="dxa"/>
            <w:gridSpan w:val="8"/>
          </w:tcPr>
          <w:p w14:paraId="4DA2E9A7" w14:textId="77777777" w:rsidR="001611E9" w:rsidRPr="004B0522" w:rsidRDefault="00B4749B" w:rsidP="000044FA">
            <w:pPr>
              <w:pStyle w:val="NoSpacing"/>
              <w:rPr>
                <w:rFonts w:ascii="Times New Roman" w:hAnsi="Times New Roman"/>
                <w:sz w:val="24"/>
                <w:szCs w:val="24"/>
                <w:lang w:eastAsia="lv-LV"/>
              </w:rPr>
            </w:pPr>
            <w:r>
              <w:rPr>
                <w:rFonts w:ascii="Times New Roman" w:hAnsi="Times New Roman"/>
                <w:sz w:val="24"/>
                <w:szCs w:val="24"/>
              </w:rPr>
              <w:t>Projekts šo jomu neskar</w:t>
            </w:r>
          </w:p>
        </w:tc>
      </w:tr>
      <w:tr w:rsidR="001611E9" w14:paraId="75D4CB1E" w14:textId="77777777" w:rsidTr="00962079">
        <w:trPr>
          <w:jc w:val="center"/>
        </w:trPr>
        <w:tc>
          <w:tcPr>
            <w:tcW w:w="1413" w:type="dxa"/>
          </w:tcPr>
          <w:p w14:paraId="2BF35CAA"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8. Cita informācija</w:t>
            </w:r>
          </w:p>
        </w:tc>
        <w:tc>
          <w:tcPr>
            <w:tcW w:w="8088" w:type="dxa"/>
            <w:gridSpan w:val="8"/>
          </w:tcPr>
          <w:p w14:paraId="3236A7EC" w14:textId="77777777" w:rsidR="001611E9" w:rsidRPr="004B0522" w:rsidRDefault="001611E9" w:rsidP="000044FA">
            <w:pPr>
              <w:jc w:val="both"/>
              <w:rPr>
                <w:bCs/>
                <w:color w:val="000000"/>
              </w:rPr>
            </w:pPr>
            <w:r w:rsidRPr="004B0522">
              <w:rPr>
                <w:bCs/>
                <w:color w:val="000000"/>
              </w:rPr>
              <w:t>Nav</w:t>
            </w:r>
          </w:p>
        </w:tc>
      </w:tr>
    </w:tbl>
    <w:p w14:paraId="7F813B8D" w14:textId="77777777" w:rsidR="009D36DE" w:rsidRPr="009D36DE"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7D3E6E"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7D3E6E" w:rsidRDefault="009D36DE" w:rsidP="000044FA">
            <w:pPr>
              <w:spacing w:before="100" w:after="100" w:line="293" w:lineRule="atLeast"/>
              <w:jc w:val="center"/>
            </w:pPr>
            <w:r w:rsidRPr="007D3E6E">
              <w:rPr>
                <w:b/>
                <w:bCs/>
              </w:rPr>
              <w:t>IV. Tiesību aktu projektu ietekme uz spēkā esošo tiesību normu sistēmu</w:t>
            </w:r>
          </w:p>
        </w:tc>
      </w:tr>
      <w:tr w:rsidR="009D36DE" w:rsidRPr="007D3E6E"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7D3E6E" w:rsidRDefault="009D36DE" w:rsidP="000044FA">
            <w:pPr>
              <w:spacing w:before="100" w:after="100" w:line="293" w:lineRule="atLeast"/>
              <w:jc w:val="center"/>
            </w:pPr>
            <w:r w:rsidRPr="007D3E6E">
              <w:t>Projekts šo jomu neskar</w:t>
            </w:r>
          </w:p>
        </w:tc>
      </w:tr>
    </w:tbl>
    <w:p w14:paraId="0DA1CFD5" w14:textId="77777777" w:rsidR="009D36DE" w:rsidRPr="007D3E6E" w:rsidRDefault="009D36DE" w:rsidP="000044FA"/>
    <w:tbl>
      <w:tblPr>
        <w:tblW w:w="5160" w:type="pct"/>
        <w:tblInd w:w="-145" w:type="dxa"/>
        <w:tblCellMar>
          <w:left w:w="10" w:type="dxa"/>
          <w:right w:w="10" w:type="dxa"/>
        </w:tblCellMar>
        <w:tblLook w:val="0000" w:firstRow="0" w:lastRow="0" w:firstColumn="0" w:lastColumn="0" w:noHBand="0" w:noVBand="0"/>
      </w:tblPr>
      <w:tblGrid>
        <w:gridCol w:w="9356"/>
      </w:tblGrid>
      <w:tr w:rsidR="009D36DE" w:rsidRPr="007D3E6E" w14:paraId="341A573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7D3E6E" w:rsidRDefault="009D36DE" w:rsidP="000044FA">
            <w:pPr>
              <w:spacing w:before="100" w:after="100" w:line="293" w:lineRule="atLeast"/>
              <w:jc w:val="center"/>
            </w:pPr>
            <w:r w:rsidRPr="007D3E6E">
              <w:rPr>
                <w:b/>
                <w:bCs/>
              </w:rPr>
              <w:t>V. Tiesību aktu projektu atbilstība Latvijas Republikas starptautiskajām saistībām</w:t>
            </w:r>
          </w:p>
        </w:tc>
      </w:tr>
      <w:tr w:rsidR="009D36DE" w:rsidRPr="007D3E6E" w14:paraId="55F281E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190AAB9" w14:textId="77777777" w:rsidR="009D36DE" w:rsidRPr="007D3E6E" w:rsidRDefault="009D36DE" w:rsidP="000044FA">
            <w:pPr>
              <w:spacing w:before="100" w:after="100" w:line="293" w:lineRule="atLeast"/>
              <w:jc w:val="center"/>
            </w:pPr>
            <w:r w:rsidRPr="007D3E6E">
              <w:t>Projekts šo jomu neskar</w:t>
            </w:r>
          </w:p>
        </w:tc>
      </w:tr>
    </w:tbl>
    <w:p w14:paraId="536F51B7" w14:textId="77777777" w:rsidR="009D36DE" w:rsidRPr="007D3E6E"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9D36DE" w:rsidRPr="007D3E6E"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7D3E6E" w:rsidRDefault="009D36DE" w:rsidP="000044FA">
            <w:pPr>
              <w:spacing w:before="100" w:after="100" w:line="360" w:lineRule="auto"/>
              <w:ind w:firstLine="300"/>
              <w:jc w:val="center"/>
              <w:rPr>
                <w:b/>
                <w:bCs/>
              </w:rPr>
            </w:pPr>
            <w:r w:rsidRPr="007D3E6E">
              <w:rPr>
                <w:b/>
                <w:bCs/>
              </w:rPr>
              <w:t>VI. Sabiedrības līdzdalība un komunikācijas aktivitātes</w:t>
            </w:r>
          </w:p>
        </w:tc>
      </w:tr>
      <w:tr w:rsidR="003B60B8" w:rsidRPr="007D3E6E"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7D3E6E" w:rsidRDefault="003B60B8" w:rsidP="000044FA">
            <w:pPr>
              <w:spacing w:before="100" w:after="100" w:line="360" w:lineRule="auto"/>
              <w:ind w:firstLine="300"/>
              <w:jc w:val="center"/>
              <w:rPr>
                <w:b/>
                <w:bCs/>
              </w:rPr>
            </w:pPr>
            <w:r w:rsidRPr="007D3E6E">
              <w:t>Projekts šo jomu neskar</w:t>
            </w:r>
          </w:p>
        </w:tc>
      </w:tr>
    </w:tbl>
    <w:p w14:paraId="3173A2A4" w14:textId="77777777" w:rsidR="009D36DE" w:rsidRPr="007D3E6E"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9D36DE" w:rsidRPr="007D3E6E"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7D3E6E" w:rsidRDefault="009D36DE" w:rsidP="000044FA">
            <w:pPr>
              <w:spacing w:before="100" w:after="100"/>
              <w:jc w:val="center"/>
              <w:rPr>
                <w:b/>
                <w:bCs/>
              </w:rPr>
            </w:pPr>
            <w:r w:rsidRPr="007D3E6E">
              <w:rPr>
                <w:b/>
                <w:bCs/>
              </w:rPr>
              <w:t>VII. Tiesību akta projekta izpildes nodrošināšana un tās ietekme uz institūcijām</w:t>
            </w:r>
          </w:p>
        </w:tc>
      </w:tr>
      <w:tr w:rsidR="003B60B8" w:rsidRPr="007D3E6E"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7D3E6E" w:rsidRDefault="003B60B8" w:rsidP="000044FA">
            <w:pPr>
              <w:spacing w:before="100" w:after="100"/>
            </w:pPr>
            <w:r w:rsidRPr="007D3E6E">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7D3E6E" w:rsidRDefault="003B60B8" w:rsidP="000044FA">
            <w:pPr>
              <w:spacing w:before="100" w:after="100"/>
            </w:pPr>
            <w:r w:rsidRPr="007D3E6E">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77777777" w:rsidR="003B60B8" w:rsidRPr="007D3E6E" w:rsidRDefault="004422AA" w:rsidP="000044FA">
            <w:pPr>
              <w:shd w:val="clear" w:color="auto" w:fill="FFFFFF"/>
              <w:spacing w:before="120" w:after="120"/>
              <w:jc w:val="both"/>
            </w:pPr>
            <w:r w:rsidRPr="007D3E6E">
              <w:rPr>
                <w:bCs/>
                <w:color w:val="000000"/>
              </w:rPr>
              <w:t xml:space="preserve">Ministrijas un </w:t>
            </w:r>
            <w:r w:rsidR="00B4749B" w:rsidRPr="007D3E6E">
              <w:rPr>
                <w:bCs/>
                <w:color w:val="000000"/>
              </w:rPr>
              <w:t>citas centrālās valsts iestādes</w:t>
            </w:r>
          </w:p>
        </w:tc>
      </w:tr>
      <w:tr w:rsidR="003B60B8" w:rsidRPr="007D3E6E"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7D3E6E" w:rsidRDefault="003B60B8" w:rsidP="000044FA">
            <w:pPr>
              <w:spacing w:before="100" w:after="100"/>
            </w:pPr>
            <w:r w:rsidRPr="007D3E6E">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7D3E6E" w:rsidRDefault="003B60B8" w:rsidP="000044FA">
            <w:pPr>
              <w:spacing w:before="100" w:after="100"/>
            </w:pPr>
            <w:r w:rsidRPr="007D3E6E">
              <w:t xml:space="preserve">Projekta izpildes ietekme uz pārvaldes funkcijām un institucionālo struktūru. </w:t>
            </w:r>
          </w:p>
          <w:p w14:paraId="26A504E1" w14:textId="77777777" w:rsidR="003B60B8" w:rsidRPr="007D3E6E" w:rsidRDefault="003B60B8" w:rsidP="000044FA">
            <w:pPr>
              <w:spacing w:before="100" w:after="100"/>
            </w:pPr>
            <w:r w:rsidRPr="007D3E6E">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7D3E6E" w:rsidRDefault="00B4749B" w:rsidP="000044FA">
            <w:pPr>
              <w:shd w:val="clear" w:color="auto" w:fill="FFFFFF"/>
              <w:spacing w:before="120" w:after="120"/>
              <w:jc w:val="both"/>
            </w:pPr>
            <w:r w:rsidRPr="007D3E6E">
              <w:t>Projekts šo jomu neskar</w:t>
            </w:r>
          </w:p>
          <w:p w14:paraId="07CDC1D8" w14:textId="77777777" w:rsidR="003B60B8" w:rsidRPr="007D3E6E" w:rsidRDefault="003B60B8" w:rsidP="000044FA">
            <w:pPr>
              <w:shd w:val="clear" w:color="auto" w:fill="FFFFFF"/>
              <w:jc w:val="both"/>
            </w:pPr>
          </w:p>
        </w:tc>
      </w:tr>
      <w:tr w:rsidR="009D36DE" w:rsidRPr="007D3E6E"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7D3E6E" w:rsidRDefault="009D36DE" w:rsidP="000044FA">
            <w:r w:rsidRPr="007D3E6E">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7D3E6E" w:rsidRDefault="009D36DE" w:rsidP="000044FA">
            <w:r w:rsidRPr="007D3E6E">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7D3E6E" w:rsidRDefault="009D36DE" w:rsidP="00DE03E0">
            <w:pPr>
              <w:jc w:val="both"/>
            </w:pPr>
            <w:r w:rsidRPr="007D3E6E">
              <w:t>Nav</w:t>
            </w:r>
          </w:p>
        </w:tc>
      </w:tr>
    </w:tbl>
    <w:p w14:paraId="640AE653" w14:textId="77777777" w:rsidR="009D36DE" w:rsidRPr="007D3E6E" w:rsidRDefault="009D36DE" w:rsidP="000044FA">
      <w:pPr>
        <w:ind w:firstLine="720"/>
      </w:pPr>
    </w:p>
    <w:p w14:paraId="7F84DDB1" w14:textId="77777777" w:rsidR="00372421" w:rsidRDefault="00372421" w:rsidP="00E218B9">
      <w:pPr>
        <w:pStyle w:val="BodyText"/>
        <w:jc w:val="both"/>
        <w:rPr>
          <w:sz w:val="26"/>
          <w:szCs w:val="26"/>
        </w:rPr>
      </w:pPr>
    </w:p>
    <w:p w14:paraId="039B4DD4" w14:textId="77777777" w:rsidR="00372421" w:rsidRDefault="00372421" w:rsidP="00E218B9">
      <w:pPr>
        <w:pStyle w:val="BodyText"/>
        <w:jc w:val="both"/>
        <w:rPr>
          <w:sz w:val="26"/>
          <w:szCs w:val="26"/>
        </w:rPr>
      </w:pPr>
    </w:p>
    <w:p w14:paraId="5EE3DBBF" w14:textId="77777777" w:rsidR="00372421" w:rsidRDefault="00372421" w:rsidP="00E218B9">
      <w:pPr>
        <w:pStyle w:val="BodyText"/>
        <w:jc w:val="both"/>
        <w:rPr>
          <w:sz w:val="26"/>
          <w:szCs w:val="26"/>
        </w:rPr>
      </w:pPr>
    </w:p>
    <w:p w14:paraId="1721EC2D" w14:textId="73B0C0DD" w:rsidR="00D444BA" w:rsidRPr="00372421" w:rsidRDefault="00AC1A2E" w:rsidP="00E218B9">
      <w:pPr>
        <w:pStyle w:val="BodyText"/>
        <w:jc w:val="both"/>
        <w:rPr>
          <w:sz w:val="26"/>
          <w:szCs w:val="26"/>
        </w:rPr>
      </w:pPr>
      <w:r w:rsidRPr="00372421">
        <w:rPr>
          <w:sz w:val="26"/>
          <w:szCs w:val="26"/>
        </w:rPr>
        <w:t>Finanšu ministrs</w:t>
      </w:r>
      <w:r w:rsidR="00857FA9" w:rsidRPr="00372421">
        <w:rPr>
          <w:sz w:val="26"/>
          <w:szCs w:val="26"/>
        </w:rPr>
        <w:tab/>
      </w:r>
      <w:r w:rsidR="00857FA9" w:rsidRPr="00372421">
        <w:rPr>
          <w:sz w:val="26"/>
          <w:szCs w:val="26"/>
        </w:rPr>
        <w:tab/>
      </w:r>
      <w:r w:rsidR="00857FA9" w:rsidRPr="00372421">
        <w:rPr>
          <w:sz w:val="26"/>
          <w:szCs w:val="26"/>
        </w:rPr>
        <w:tab/>
      </w:r>
      <w:r w:rsidR="00857FA9" w:rsidRPr="00372421">
        <w:rPr>
          <w:sz w:val="26"/>
          <w:szCs w:val="26"/>
        </w:rPr>
        <w:tab/>
      </w:r>
      <w:r w:rsidR="0091691A" w:rsidRPr="00372421">
        <w:rPr>
          <w:sz w:val="26"/>
          <w:szCs w:val="26"/>
        </w:rPr>
        <w:tab/>
      </w:r>
      <w:r w:rsidR="0091691A" w:rsidRPr="00372421">
        <w:rPr>
          <w:sz w:val="26"/>
          <w:szCs w:val="26"/>
        </w:rPr>
        <w:tab/>
      </w:r>
      <w:r w:rsidR="009D1F15" w:rsidRPr="00372421">
        <w:rPr>
          <w:sz w:val="26"/>
          <w:szCs w:val="26"/>
        </w:rPr>
        <w:t xml:space="preserve">                       </w:t>
      </w:r>
      <w:r w:rsidR="00F154FE" w:rsidRPr="00372421">
        <w:rPr>
          <w:sz w:val="26"/>
          <w:szCs w:val="26"/>
        </w:rPr>
        <w:t xml:space="preserve">   </w:t>
      </w:r>
      <w:r w:rsidR="0091691A" w:rsidRPr="00372421">
        <w:rPr>
          <w:sz w:val="26"/>
          <w:szCs w:val="26"/>
        </w:rPr>
        <w:t xml:space="preserve">  </w:t>
      </w:r>
      <w:r w:rsidR="00F154FE" w:rsidRPr="00372421">
        <w:rPr>
          <w:sz w:val="26"/>
          <w:szCs w:val="26"/>
        </w:rPr>
        <w:t xml:space="preserve">  </w:t>
      </w:r>
      <w:proofErr w:type="spellStart"/>
      <w:r w:rsidRPr="00372421">
        <w:rPr>
          <w:sz w:val="26"/>
          <w:szCs w:val="26"/>
        </w:rPr>
        <w:t>J.Reirs</w:t>
      </w:r>
      <w:proofErr w:type="spellEnd"/>
      <w:r w:rsidR="0091691A" w:rsidRPr="00372421">
        <w:rPr>
          <w:sz w:val="26"/>
          <w:szCs w:val="26"/>
        </w:rPr>
        <w:tab/>
      </w:r>
    </w:p>
    <w:p w14:paraId="0B6E3685" w14:textId="77777777" w:rsidR="00E218B9" w:rsidRPr="007D3E6E" w:rsidRDefault="00E218B9" w:rsidP="00E218B9">
      <w:pPr>
        <w:pStyle w:val="BodyText"/>
        <w:jc w:val="both"/>
        <w:rPr>
          <w:sz w:val="24"/>
        </w:rPr>
      </w:pPr>
    </w:p>
    <w:p w14:paraId="3329C5E9" w14:textId="58953457" w:rsidR="002837F3" w:rsidRDefault="002837F3" w:rsidP="000C703D">
      <w:pPr>
        <w:pStyle w:val="BodyText"/>
        <w:jc w:val="left"/>
        <w:rPr>
          <w:sz w:val="20"/>
          <w:szCs w:val="20"/>
        </w:rPr>
      </w:pPr>
    </w:p>
    <w:p w14:paraId="6F05E33E" w14:textId="4C14E173" w:rsidR="00DE03E0" w:rsidRDefault="00DE03E0" w:rsidP="000C703D">
      <w:pPr>
        <w:pStyle w:val="BodyText"/>
        <w:jc w:val="left"/>
        <w:rPr>
          <w:sz w:val="20"/>
          <w:szCs w:val="20"/>
        </w:rPr>
      </w:pPr>
    </w:p>
    <w:p w14:paraId="5819CEA5" w14:textId="77777777" w:rsidR="00DE03E0" w:rsidRDefault="00DE03E0" w:rsidP="000C703D">
      <w:pPr>
        <w:pStyle w:val="BodyText"/>
        <w:jc w:val="left"/>
        <w:rPr>
          <w:sz w:val="20"/>
          <w:szCs w:val="20"/>
        </w:rPr>
      </w:pPr>
    </w:p>
    <w:p w14:paraId="0CDD299B" w14:textId="77777777" w:rsidR="002837F3" w:rsidRPr="00372421" w:rsidRDefault="002837F3" w:rsidP="000C703D">
      <w:pPr>
        <w:pStyle w:val="BodyText"/>
        <w:jc w:val="left"/>
        <w:rPr>
          <w:sz w:val="16"/>
          <w:szCs w:val="16"/>
        </w:rPr>
      </w:pPr>
    </w:p>
    <w:p w14:paraId="1B91D7E2" w14:textId="77777777" w:rsidR="002837F3" w:rsidRPr="00372421" w:rsidRDefault="002837F3" w:rsidP="000C703D">
      <w:pPr>
        <w:pStyle w:val="BodyText"/>
        <w:jc w:val="left"/>
        <w:rPr>
          <w:sz w:val="16"/>
          <w:szCs w:val="16"/>
        </w:rPr>
      </w:pPr>
      <w:r w:rsidRPr="00372421">
        <w:rPr>
          <w:sz w:val="16"/>
          <w:szCs w:val="16"/>
        </w:rPr>
        <w:t>Pūre 67095432</w:t>
      </w:r>
    </w:p>
    <w:p w14:paraId="4513B1E6" w14:textId="77777777" w:rsidR="002837F3" w:rsidRPr="00372421" w:rsidRDefault="0076081E" w:rsidP="000C703D">
      <w:pPr>
        <w:pStyle w:val="BodyText"/>
        <w:jc w:val="left"/>
        <w:rPr>
          <w:sz w:val="16"/>
          <w:szCs w:val="16"/>
        </w:rPr>
      </w:pPr>
      <w:hyperlink r:id="rId8" w:history="1">
        <w:r w:rsidR="002837F3" w:rsidRPr="00372421">
          <w:rPr>
            <w:rStyle w:val="Hyperlink"/>
            <w:sz w:val="16"/>
            <w:szCs w:val="16"/>
          </w:rPr>
          <w:t>kristina.pure@fm.gov.lv</w:t>
        </w:r>
      </w:hyperlink>
    </w:p>
    <w:p w14:paraId="1F9C9242" w14:textId="77777777" w:rsidR="000C703D" w:rsidRPr="00372421" w:rsidRDefault="004D5A33" w:rsidP="000C703D">
      <w:pPr>
        <w:pStyle w:val="BodyText"/>
        <w:jc w:val="left"/>
        <w:rPr>
          <w:sz w:val="16"/>
          <w:szCs w:val="16"/>
        </w:rPr>
      </w:pPr>
      <w:r w:rsidRPr="00372421">
        <w:rPr>
          <w:sz w:val="16"/>
          <w:szCs w:val="16"/>
        </w:rPr>
        <w:t>Vītola</w:t>
      </w:r>
      <w:r w:rsidR="000C703D" w:rsidRPr="00372421">
        <w:rPr>
          <w:sz w:val="16"/>
          <w:szCs w:val="16"/>
        </w:rPr>
        <w:t xml:space="preserve"> </w:t>
      </w:r>
      <w:r w:rsidR="00BF7635" w:rsidRPr="00372421">
        <w:rPr>
          <w:sz w:val="16"/>
          <w:szCs w:val="16"/>
        </w:rPr>
        <w:t>6</w:t>
      </w:r>
      <w:r w:rsidR="00DB37C4" w:rsidRPr="00372421">
        <w:rPr>
          <w:sz w:val="16"/>
          <w:szCs w:val="16"/>
        </w:rPr>
        <w:t>70</w:t>
      </w:r>
      <w:r w:rsidRPr="00372421">
        <w:rPr>
          <w:sz w:val="16"/>
          <w:szCs w:val="16"/>
        </w:rPr>
        <w:t>95665</w:t>
      </w:r>
    </w:p>
    <w:p w14:paraId="54A3AF50" w14:textId="77777777" w:rsidR="002204E8" w:rsidRPr="00372421" w:rsidRDefault="0076081E" w:rsidP="000C703D">
      <w:pPr>
        <w:pStyle w:val="BodyText"/>
        <w:jc w:val="left"/>
        <w:rPr>
          <w:sz w:val="16"/>
          <w:szCs w:val="16"/>
        </w:rPr>
      </w:pPr>
      <w:hyperlink r:id="rId9" w:history="1">
        <w:r w:rsidR="004D5A33" w:rsidRPr="00372421">
          <w:rPr>
            <w:rStyle w:val="Hyperlink"/>
            <w:sz w:val="16"/>
            <w:szCs w:val="16"/>
          </w:rPr>
          <w:t>agate.vitola@fm.gov.lv</w:t>
        </w:r>
      </w:hyperlink>
    </w:p>
    <w:sectPr w:rsidR="002204E8" w:rsidRPr="00372421" w:rsidSect="002D3E38">
      <w:headerReference w:type="default" r:id="rId10"/>
      <w:footerReference w:type="default" r:id="rId11"/>
      <w:footerReference w:type="first" r:id="rId12"/>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03337" w14:textId="77777777" w:rsidR="002A5180" w:rsidRDefault="002A5180" w:rsidP="009A7EE9">
      <w:r>
        <w:separator/>
      </w:r>
    </w:p>
  </w:endnote>
  <w:endnote w:type="continuationSeparator" w:id="0">
    <w:p w14:paraId="191DCDE9" w14:textId="77777777" w:rsidR="002A5180" w:rsidRDefault="002A5180"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027" w14:textId="18E65D08" w:rsidR="00320C6A" w:rsidRPr="00DE03E0" w:rsidRDefault="003F1B84" w:rsidP="009D6DC8">
    <w:pPr>
      <w:pStyle w:val="Footer"/>
      <w:rPr>
        <w:sz w:val="20"/>
        <w:szCs w:val="20"/>
      </w:rP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76081E">
      <w:rPr>
        <w:noProof/>
        <w:sz w:val="20"/>
        <w:szCs w:val="20"/>
      </w:rPr>
      <w:t>FMAnot_100919.docx</w:t>
    </w:r>
    <w:r w:rsidRPr="00DE03E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CCB2" w14:textId="014CFA5B" w:rsidR="00DE03E0" w:rsidRDefault="00DE03E0">
    <w:pPr>
      <w:pStyle w:val="Foote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76081E">
      <w:rPr>
        <w:noProof/>
        <w:sz w:val="20"/>
        <w:szCs w:val="20"/>
      </w:rPr>
      <w:t>FMAnot_100919.docx</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7B7C6" w14:textId="77777777" w:rsidR="002A5180" w:rsidRDefault="002A5180" w:rsidP="009A7EE9">
      <w:r>
        <w:separator/>
      </w:r>
    </w:p>
  </w:footnote>
  <w:footnote w:type="continuationSeparator" w:id="0">
    <w:p w14:paraId="3140C97B" w14:textId="77777777" w:rsidR="002A5180" w:rsidRDefault="002A5180"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47A5915D" w14:textId="30C59A6B" w:rsidR="00320C6A" w:rsidRDefault="00320C6A">
        <w:pPr>
          <w:pStyle w:val="Header"/>
          <w:jc w:val="center"/>
        </w:pPr>
        <w:r>
          <w:fldChar w:fldCharType="begin"/>
        </w:r>
        <w:r>
          <w:instrText xml:space="preserve"> PAGE   \* MERGEFORMAT </w:instrText>
        </w:r>
        <w:r>
          <w:fldChar w:fldCharType="separate"/>
        </w:r>
        <w:r w:rsidR="0076081E">
          <w:rPr>
            <w:noProof/>
          </w:rPr>
          <w:t>6</w:t>
        </w:r>
        <w:r>
          <w:rPr>
            <w:noProof/>
          </w:rPr>
          <w:fldChar w:fldCharType="end"/>
        </w:r>
      </w:p>
    </w:sdtContent>
  </w:sdt>
  <w:p w14:paraId="35C688AF"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0"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1"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12"/>
  </w:num>
  <w:num w:numId="7">
    <w:abstractNumId w:val="6"/>
  </w:num>
  <w:num w:numId="8">
    <w:abstractNumId w:val="13"/>
  </w:num>
  <w:num w:numId="9">
    <w:abstractNumId w:val="11"/>
  </w:num>
  <w:num w:numId="10">
    <w:abstractNumId w:val="10"/>
  </w:num>
  <w:num w:numId="11">
    <w:abstractNumId w:val="4"/>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5038A"/>
    <w:rsid w:val="000614F5"/>
    <w:rsid w:val="00064F32"/>
    <w:rsid w:val="000766F8"/>
    <w:rsid w:val="000818D2"/>
    <w:rsid w:val="00085845"/>
    <w:rsid w:val="000916CE"/>
    <w:rsid w:val="000A6B9A"/>
    <w:rsid w:val="000B283D"/>
    <w:rsid w:val="000B2CA0"/>
    <w:rsid w:val="000C07B8"/>
    <w:rsid w:val="000C703D"/>
    <w:rsid w:val="000D0EFF"/>
    <w:rsid w:val="00110F94"/>
    <w:rsid w:val="00111617"/>
    <w:rsid w:val="0012264C"/>
    <w:rsid w:val="001509E7"/>
    <w:rsid w:val="00152ECC"/>
    <w:rsid w:val="00156E18"/>
    <w:rsid w:val="001611E9"/>
    <w:rsid w:val="00162EB9"/>
    <w:rsid w:val="00170CFC"/>
    <w:rsid w:val="00171A81"/>
    <w:rsid w:val="00183027"/>
    <w:rsid w:val="0019469A"/>
    <w:rsid w:val="001B419D"/>
    <w:rsid w:val="001C0756"/>
    <w:rsid w:val="001C1669"/>
    <w:rsid w:val="001C59ED"/>
    <w:rsid w:val="00202D39"/>
    <w:rsid w:val="0020584E"/>
    <w:rsid w:val="002128BD"/>
    <w:rsid w:val="002204E8"/>
    <w:rsid w:val="00261740"/>
    <w:rsid w:val="0027336A"/>
    <w:rsid w:val="0028027D"/>
    <w:rsid w:val="002837F3"/>
    <w:rsid w:val="00283E0D"/>
    <w:rsid w:val="00285775"/>
    <w:rsid w:val="002A5180"/>
    <w:rsid w:val="002B19A5"/>
    <w:rsid w:val="002B3D2F"/>
    <w:rsid w:val="002B5EE7"/>
    <w:rsid w:val="002C3DC9"/>
    <w:rsid w:val="002D34CC"/>
    <w:rsid w:val="002D3E38"/>
    <w:rsid w:val="002F5428"/>
    <w:rsid w:val="00301CBB"/>
    <w:rsid w:val="00304F3B"/>
    <w:rsid w:val="00320C6A"/>
    <w:rsid w:val="0032120D"/>
    <w:rsid w:val="0032647A"/>
    <w:rsid w:val="00335619"/>
    <w:rsid w:val="00352431"/>
    <w:rsid w:val="00363F9A"/>
    <w:rsid w:val="00370F44"/>
    <w:rsid w:val="00372421"/>
    <w:rsid w:val="003735E2"/>
    <w:rsid w:val="003B60B8"/>
    <w:rsid w:val="003C21F6"/>
    <w:rsid w:val="003C6F6D"/>
    <w:rsid w:val="003D6BD2"/>
    <w:rsid w:val="003E3E05"/>
    <w:rsid w:val="003F10D1"/>
    <w:rsid w:val="003F1B84"/>
    <w:rsid w:val="003F4BF1"/>
    <w:rsid w:val="00407869"/>
    <w:rsid w:val="004170B3"/>
    <w:rsid w:val="00422AFA"/>
    <w:rsid w:val="004422AA"/>
    <w:rsid w:val="00455577"/>
    <w:rsid w:val="0047084C"/>
    <w:rsid w:val="00474ED8"/>
    <w:rsid w:val="00480A1B"/>
    <w:rsid w:val="00482307"/>
    <w:rsid w:val="004876F3"/>
    <w:rsid w:val="00493060"/>
    <w:rsid w:val="004A456A"/>
    <w:rsid w:val="004A7D0E"/>
    <w:rsid w:val="004B0522"/>
    <w:rsid w:val="004B4E72"/>
    <w:rsid w:val="004C4D7F"/>
    <w:rsid w:val="004D1D9A"/>
    <w:rsid w:val="004D5A33"/>
    <w:rsid w:val="004F70B8"/>
    <w:rsid w:val="005222BD"/>
    <w:rsid w:val="00524414"/>
    <w:rsid w:val="00524926"/>
    <w:rsid w:val="005331D5"/>
    <w:rsid w:val="0053409A"/>
    <w:rsid w:val="00542B98"/>
    <w:rsid w:val="005437C3"/>
    <w:rsid w:val="00545A7B"/>
    <w:rsid w:val="00567C3A"/>
    <w:rsid w:val="005717CC"/>
    <w:rsid w:val="005802FC"/>
    <w:rsid w:val="00580CBE"/>
    <w:rsid w:val="00583D19"/>
    <w:rsid w:val="005B0615"/>
    <w:rsid w:val="005B7346"/>
    <w:rsid w:val="005C5BDA"/>
    <w:rsid w:val="005D0284"/>
    <w:rsid w:val="005D2988"/>
    <w:rsid w:val="005D489A"/>
    <w:rsid w:val="005D7B3B"/>
    <w:rsid w:val="005E0012"/>
    <w:rsid w:val="005E37B5"/>
    <w:rsid w:val="005E435A"/>
    <w:rsid w:val="005E6150"/>
    <w:rsid w:val="00603455"/>
    <w:rsid w:val="00611862"/>
    <w:rsid w:val="00630442"/>
    <w:rsid w:val="00632159"/>
    <w:rsid w:val="00641D60"/>
    <w:rsid w:val="006423EF"/>
    <w:rsid w:val="00645290"/>
    <w:rsid w:val="00652E48"/>
    <w:rsid w:val="00664DE2"/>
    <w:rsid w:val="00666039"/>
    <w:rsid w:val="00684B77"/>
    <w:rsid w:val="006A556C"/>
    <w:rsid w:val="006B05E0"/>
    <w:rsid w:val="006B3BBA"/>
    <w:rsid w:val="006D245F"/>
    <w:rsid w:val="006F2B5A"/>
    <w:rsid w:val="006F4715"/>
    <w:rsid w:val="0070316C"/>
    <w:rsid w:val="00705A8F"/>
    <w:rsid w:val="0071285B"/>
    <w:rsid w:val="00725640"/>
    <w:rsid w:val="00751999"/>
    <w:rsid w:val="00754E7D"/>
    <w:rsid w:val="0076081E"/>
    <w:rsid w:val="00763F04"/>
    <w:rsid w:val="0076428F"/>
    <w:rsid w:val="00764807"/>
    <w:rsid w:val="007733C9"/>
    <w:rsid w:val="00777791"/>
    <w:rsid w:val="00790DC9"/>
    <w:rsid w:val="00793B6F"/>
    <w:rsid w:val="007B6C93"/>
    <w:rsid w:val="007C0493"/>
    <w:rsid w:val="007C300C"/>
    <w:rsid w:val="007C4626"/>
    <w:rsid w:val="007D3E6E"/>
    <w:rsid w:val="007D693E"/>
    <w:rsid w:val="007E0FA9"/>
    <w:rsid w:val="007E157D"/>
    <w:rsid w:val="007E492A"/>
    <w:rsid w:val="007F18B8"/>
    <w:rsid w:val="00811EAA"/>
    <w:rsid w:val="00811F34"/>
    <w:rsid w:val="00814BB4"/>
    <w:rsid w:val="008278B4"/>
    <w:rsid w:val="008322A7"/>
    <w:rsid w:val="008336C8"/>
    <w:rsid w:val="008412CC"/>
    <w:rsid w:val="00853AC5"/>
    <w:rsid w:val="00857FA9"/>
    <w:rsid w:val="0086037C"/>
    <w:rsid w:val="00860930"/>
    <w:rsid w:val="00870008"/>
    <w:rsid w:val="00871282"/>
    <w:rsid w:val="00875E3E"/>
    <w:rsid w:val="008A5638"/>
    <w:rsid w:val="008B46B2"/>
    <w:rsid w:val="008C0091"/>
    <w:rsid w:val="008C4C8E"/>
    <w:rsid w:val="008C54BF"/>
    <w:rsid w:val="008E0870"/>
    <w:rsid w:val="008E3C19"/>
    <w:rsid w:val="008E5B7C"/>
    <w:rsid w:val="008F6918"/>
    <w:rsid w:val="00905312"/>
    <w:rsid w:val="0091691A"/>
    <w:rsid w:val="009226DC"/>
    <w:rsid w:val="009228D2"/>
    <w:rsid w:val="00923946"/>
    <w:rsid w:val="00927A17"/>
    <w:rsid w:val="00930BF9"/>
    <w:rsid w:val="00932481"/>
    <w:rsid w:val="00945363"/>
    <w:rsid w:val="00962079"/>
    <w:rsid w:val="009757FD"/>
    <w:rsid w:val="00977221"/>
    <w:rsid w:val="00982034"/>
    <w:rsid w:val="009873B8"/>
    <w:rsid w:val="0099499C"/>
    <w:rsid w:val="009A48FE"/>
    <w:rsid w:val="009A4A62"/>
    <w:rsid w:val="009A6715"/>
    <w:rsid w:val="009A7EE9"/>
    <w:rsid w:val="009C6D89"/>
    <w:rsid w:val="009C7F21"/>
    <w:rsid w:val="009D1F15"/>
    <w:rsid w:val="009D36DE"/>
    <w:rsid w:val="009D6DC8"/>
    <w:rsid w:val="009E5A67"/>
    <w:rsid w:val="009F065F"/>
    <w:rsid w:val="00A0018F"/>
    <w:rsid w:val="00A02827"/>
    <w:rsid w:val="00A11E5A"/>
    <w:rsid w:val="00A12EFD"/>
    <w:rsid w:val="00A23985"/>
    <w:rsid w:val="00A26A03"/>
    <w:rsid w:val="00A310DC"/>
    <w:rsid w:val="00A37ADF"/>
    <w:rsid w:val="00A511BA"/>
    <w:rsid w:val="00A8127B"/>
    <w:rsid w:val="00A85919"/>
    <w:rsid w:val="00A914D2"/>
    <w:rsid w:val="00A93CF7"/>
    <w:rsid w:val="00A97367"/>
    <w:rsid w:val="00AA1528"/>
    <w:rsid w:val="00AA4A17"/>
    <w:rsid w:val="00AA5033"/>
    <w:rsid w:val="00AB45E9"/>
    <w:rsid w:val="00AB7DDF"/>
    <w:rsid w:val="00AC14B6"/>
    <w:rsid w:val="00AC1A2E"/>
    <w:rsid w:val="00AC7C0E"/>
    <w:rsid w:val="00AD2335"/>
    <w:rsid w:val="00AD3761"/>
    <w:rsid w:val="00AD6E8B"/>
    <w:rsid w:val="00AE7DAC"/>
    <w:rsid w:val="00B03683"/>
    <w:rsid w:val="00B05D95"/>
    <w:rsid w:val="00B14C2E"/>
    <w:rsid w:val="00B17BAC"/>
    <w:rsid w:val="00B2761E"/>
    <w:rsid w:val="00B2791A"/>
    <w:rsid w:val="00B344E5"/>
    <w:rsid w:val="00B3568E"/>
    <w:rsid w:val="00B37017"/>
    <w:rsid w:val="00B4749B"/>
    <w:rsid w:val="00B61A29"/>
    <w:rsid w:val="00B64477"/>
    <w:rsid w:val="00B672D4"/>
    <w:rsid w:val="00B71A99"/>
    <w:rsid w:val="00B7663C"/>
    <w:rsid w:val="00B87AF4"/>
    <w:rsid w:val="00B946E5"/>
    <w:rsid w:val="00BA091C"/>
    <w:rsid w:val="00BA10D2"/>
    <w:rsid w:val="00BA4D20"/>
    <w:rsid w:val="00BA7526"/>
    <w:rsid w:val="00BB2AB5"/>
    <w:rsid w:val="00BC3853"/>
    <w:rsid w:val="00BD2338"/>
    <w:rsid w:val="00BD4180"/>
    <w:rsid w:val="00BD7B24"/>
    <w:rsid w:val="00BF0C19"/>
    <w:rsid w:val="00BF18C9"/>
    <w:rsid w:val="00BF7635"/>
    <w:rsid w:val="00C13638"/>
    <w:rsid w:val="00C142F2"/>
    <w:rsid w:val="00C335C5"/>
    <w:rsid w:val="00C41B93"/>
    <w:rsid w:val="00C41E55"/>
    <w:rsid w:val="00C437F7"/>
    <w:rsid w:val="00C44880"/>
    <w:rsid w:val="00C57036"/>
    <w:rsid w:val="00C621A0"/>
    <w:rsid w:val="00C63854"/>
    <w:rsid w:val="00C64112"/>
    <w:rsid w:val="00C656FF"/>
    <w:rsid w:val="00C66B75"/>
    <w:rsid w:val="00C73478"/>
    <w:rsid w:val="00C8713F"/>
    <w:rsid w:val="00C94740"/>
    <w:rsid w:val="00CB2E04"/>
    <w:rsid w:val="00CC1E07"/>
    <w:rsid w:val="00CC3A0B"/>
    <w:rsid w:val="00CF1350"/>
    <w:rsid w:val="00CF2F7B"/>
    <w:rsid w:val="00D0076B"/>
    <w:rsid w:val="00D25421"/>
    <w:rsid w:val="00D309B0"/>
    <w:rsid w:val="00D312A6"/>
    <w:rsid w:val="00D43AB3"/>
    <w:rsid w:val="00D444BA"/>
    <w:rsid w:val="00D54B2D"/>
    <w:rsid w:val="00D6079A"/>
    <w:rsid w:val="00D81DFB"/>
    <w:rsid w:val="00D82EC1"/>
    <w:rsid w:val="00D84D37"/>
    <w:rsid w:val="00D94EC3"/>
    <w:rsid w:val="00D97850"/>
    <w:rsid w:val="00DA451A"/>
    <w:rsid w:val="00DB1865"/>
    <w:rsid w:val="00DB37C4"/>
    <w:rsid w:val="00DB5A7F"/>
    <w:rsid w:val="00DB7B48"/>
    <w:rsid w:val="00DC37EA"/>
    <w:rsid w:val="00DE03E0"/>
    <w:rsid w:val="00DE1003"/>
    <w:rsid w:val="00DE3336"/>
    <w:rsid w:val="00DE6271"/>
    <w:rsid w:val="00E16501"/>
    <w:rsid w:val="00E218B9"/>
    <w:rsid w:val="00E315C4"/>
    <w:rsid w:val="00E366AD"/>
    <w:rsid w:val="00E458CF"/>
    <w:rsid w:val="00E47E33"/>
    <w:rsid w:val="00E50E39"/>
    <w:rsid w:val="00E8499A"/>
    <w:rsid w:val="00EA6C2F"/>
    <w:rsid w:val="00ED59B9"/>
    <w:rsid w:val="00EE3ADF"/>
    <w:rsid w:val="00EE4FC4"/>
    <w:rsid w:val="00F14DB0"/>
    <w:rsid w:val="00F14F02"/>
    <w:rsid w:val="00F154FE"/>
    <w:rsid w:val="00F21AC1"/>
    <w:rsid w:val="00F32B28"/>
    <w:rsid w:val="00F405EC"/>
    <w:rsid w:val="00F529F2"/>
    <w:rsid w:val="00F920C2"/>
    <w:rsid w:val="00F95876"/>
    <w:rsid w:val="00FA0AC6"/>
    <w:rsid w:val="00FA753E"/>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pur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e.vitol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C23F-602C-4409-84C5-55790D72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7047</Words>
  <Characters>4018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apropriācijas palielināšanu budžeta resora “74. Gadskārtējā valsts budžeta izpildes procesā pārdalāmais finansējums” budžeta programmai 80.00.00 “Nesadalītais finansējums Eiropas Savienības politiku instrumentu un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 sākotnējās ietekmes novērtējuma ziņojums (anotācija)</dc:title>
  <dc:subject>Anotācija</dc:subject>
  <dc:creator>Kristīna Pūre, Agate Vītola</dc:creator>
  <cp:keywords/>
  <dc:description>agate.vitola@fm.gov.lv; 67095665_x000d_
kristina.pure@fm.gov.lv; 67095432</dc:description>
  <cp:lastModifiedBy>Agate Vītola</cp:lastModifiedBy>
  <cp:revision>6</cp:revision>
  <cp:lastPrinted>2019-09-11T11:17:00Z</cp:lastPrinted>
  <dcterms:created xsi:type="dcterms:W3CDTF">2019-09-11T11:04:00Z</dcterms:created>
  <dcterms:modified xsi:type="dcterms:W3CDTF">2019-09-11T11:30:00Z</dcterms:modified>
</cp:coreProperties>
</file>