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AB8D5" w14:textId="1A22EAFB" w:rsidR="00845A36" w:rsidRDefault="00845A36" w:rsidP="00FE1C85">
      <w:pPr>
        <w:shd w:val="clear" w:color="auto" w:fill="FFFFFF"/>
        <w:spacing w:after="0" w:line="240" w:lineRule="auto"/>
        <w:jc w:val="center"/>
        <w:rPr>
          <w:rFonts w:ascii="Times New Roman" w:hAnsi="Times New Roman" w:cs="Times New Roman"/>
          <w:b/>
          <w:color w:val="000000" w:themeColor="text1"/>
          <w:sz w:val="26"/>
          <w:szCs w:val="26"/>
        </w:rPr>
      </w:pPr>
      <w:r w:rsidRPr="008E2FC2">
        <w:rPr>
          <w:rFonts w:ascii="Times New Roman" w:hAnsi="Times New Roman" w:cs="Times New Roman"/>
          <w:b/>
          <w:color w:val="000000"/>
          <w:sz w:val="26"/>
          <w:szCs w:val="26"/>
        </w:rPr>
        <w:t xml:space="preserve">Ministru kabineta noteikumu projekta </w:t>
      </w:r>
      <w:bookmarkStart w:id="0" w:name="_Hlk13664824"/>
      <w:r w:rsidRPr="008E2FC2">
        <w:rPr>
          <w:rFonts w:ascii="Times New Roman" w:hAnsi="Times New Roman" w:cs="Times New Roman"/>
          <w:b/>
          <w:color w:val="000000"/>
          <w:sz w:val="26"/>
          <w:szCs w:val="26"/>
        </w:rPr>
        <w:t>„</w:t>
      </w:r>
      <w:r w:rsidRPr="008E2FC2">
        <w:rPr>
          <w:rFonts w:ascii="Times New Roman" w:eastAsia="Times New Roman" w:hAnsi="Times New Roman" w:cs="Times New Roman"/>
          <w:b/>
          <w:bCs/>
          <w:color w:val="000000" w:themeColor="text1"/>
          <w:sz w:val="26"/>
          <w:szCs w:val="26"/>
          <w:lang w:eastAsia="lv-LV"/>
        </w:rPr>
        <w:t>Noteikumi par sliekšņa deklarācijas iesniegšanas kārtību un saturu</w:t>
      </w:r>
      <w:r w:rsidRPr="008E2FC2">
        <w:rPr>
          <w:rFonts w:ascii="Times New Roman" w:hAnsi="Times New Roman" w:cs="Times New Roman"/>
          <w:b/>
          <w:color w:val="000000" w:themeColor="text1"/>
          <w:sz w:val="26"/>
          <w:szCs w:val="26"/>
        </w:rPr>
        <w:t xml:space="preserve">” </w:t>
      </w:r>
      <w:bookmarkEnd w:id="0"/>
      <w:r w:rsidRPr="008E2FC2">
        <w:rPr>
          <w:rFonts w:ascii="Times New Roman" w:hAnsi="Times New Roman" w:cs="Times New Roman"/>
          <w:b/>
          <w:color w:val="000000" w:themeColor="text1"/>
          <w:sz w:val="26"/>
          <w:szCs w:val="26"/>
        </w:rPr>
        <w:t>sākotnējās ietekmes novērtējuma ziņojums (anotācija)</w:t>
      </w:r>
    </w:p>
    <w:p w14:paraId="489D4D90" w14:textId="77777777" w:rsidR="00FE1C85" w:rsidRPr="00FE1C85" w:rsidRDefault="00FE1C85" w:rsidP="00FE1C85">
      <w:pPr>
        <w:shd w:val="clear" w:color="auto" w:fill="FFFFFF"/>
        <w:spacing w:after="0" w:line="240" w:lineRule="auto"/>
        <w:rPr>
          <w:rFonts w:ascii="Times New Roman" w:hAnsi="Times New Roman" w:cs="Times New Roman"/>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45A36" w:rsidRPr="002C6D96" w14:paraId="1439F14F" w14:textId="77777777" w:rsidTr="00AC43D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51A529" w14:textId="77777777" w:rsidR="00845A36" w:rsidRPr="002C6D96" w:rsidRDefault="00845A36" w:rsidP="007A15DA">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Tiesību akta projekta anotācijas kopsavilkums</w:t>
            </w:r>
          </w:p>
        </w:tc>
      </w:tr>
      <w:tr w:rsidR="00845A36" w:rsidRPr="002C6D96" w14:paraId="2BD05E88" w14:textId="77777777" w:rsidTr="00AC43D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EB2E42"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453147C" w14:textId="6744EEF7" w:rsidR="00845A36" w:rsidRPr="0068731C" w:rsidRDefault="00845A36" w:rsidP="007A15DA">
            <w:pPr>
              <w:pStyle w:val="tv213"/>
              <w:shd w:val="clear" w:color="auto" w:fill="FFFFFF"/>
              <w:spacing w:before="0" w:beforeAutospacing="0" w:after="0" w:afterAutospacing="0"/>
              <w:jc w:val="both"/>
              <w:rPr>
                <w:rFonts w:ascii="Arial" w:hAnsi="Arial" w:cs="Arial"/>
                <w:color w:val="414142"/>
                <w:shd w:val="clear" w:color="auto" w:fill="FFFFFF"/>
              </w:rPr>
            </w:pPr>
            <w:r w:rsidRPr="0068731C">
              <w:rPr>
                <w:iCs/>
              </w:rPr>
              <w:t>Ministru kabineta noteikumu projekts „</w:t>
            </w:r>
            <w:r w:rsidRPr="0068731C">
              <w:rPr>
                <w:rFonts w:eastAsiaTheme="minorHAnsi"/>
                <w:color w:val="000000" w:themeColor="text1"/>
                <w:lang w:eastAsia="en-US"/>
              </w:rPr>
              <w:t xml:space="preserve"> Noteikumi par </w:t>
            </w:r>
            <w:r w:rsidR="008F0074" w:rsidRPr="0068731C">
              <w:rPr>
                <w:rFonts w:eastAsiaTheme="minorHAnsi"/>
                <w:color w:val="000000" w:themeColor="text1"/>
                <w:lang w:eastAsia="en-US"/>
              </w:rPr>
              <w:t>sliekšņa deklarācijas iesniegšanas kārtību un saturu”</w:t>
            </w:r>
            <w:r w:rsidRPr="0068731C">
              <w:rPr>
                <w:iCs/>
              </w:rPr>
              <w:t xml:space="preserve"> (turpmāk – Noteikumu projekts)</w:t>
            </w:r>
            <w:r w:rsidR="009D6997" w:rsidRPr="0068731C">
              <w:rPr>
                <w:iCs/>
              </w:rPr>
              <w:t xml:space="preserve"> ir izstrādāts</w:t>
            </w:r>
            <w:r w:rsidRPr="0068731C">
              <w:rPr>
                <w:iCs/>
              </w:rPr>
              <w:t xml:space="preserve"> pamatojoties uz Noziedzīgi iegūtu līdzekļu legalizācijas un terorisma un proliferācijas finansēšanas novēršanas likuma </w:t>
            </w:r>
            <w:r w:rsidRPr="0068731C">
              <w:rPr>
                <w:iCs/>
                <w:color w:val="000000" w:themeColor="text1"/>
              </w:rPr>
              <w:t>31.</w:t>
            </w:r>
            <w:r w:rsidRPr="0068731C">
              <w:rPr>
                <w:iCs/>
                <w:color w:val="000000" w:themeColor="text1"/>
                <w:vertAlign w:val="superscript"/>
              </w:rPr>
              <w:t>3</w:t>
            </w:r>
            <w:r w:rsidRPr="0068731C">
              <w:rPr>
                <w:iCs/>
                <w:color w:val="000000" w:themeColor="text1"/>
              </w:rPr>
              <w:t xml:space="preserve"> pantu</w:t>
            </w:r>
            <w:r w:rsidR="00852821" w:rsidRPr="0068731C">
              <w:rPr>
                <w:iCs/>
                <w:color w:val="000000" w:themeColor="text1"/>
              </w:rPr>
              <w:t>,</w:t>
            </w:r>
            <w:r w:rsidRPr="0068731C">
              <w:rPr>
                <w:iCs/>
                <w:color w:val="000000" w:themeColor="text1"/>
              </w:rPr>
              <w:t xml:space="preserve"> </w:t>
            </w:r>
            <w:r w:rsidRPr="0068731C">
              <w:rPr>
                <w:iCs/>
              </w:rPr>
              <w:t xml:space="preserve"> kas paredz </w:t>
            </w:r>
            <w:r w:rsidR="00CA2944" w:rsidRPr="0068731C">
              <w:rPr>
                <w:iCs/>
              </w:rPr>
              <w:t>M</w:t>
            </w:r>
            <w:r w:rsidRPr="0068731C">
              <w:rPr>
                <w:iCs/>
              </w:rPr>
              <w:t>inistru kabinetam</w:t>
            </w:r>
            <w:r w:rsidR="00BB4594" w:rsidRPr="0068731C">
              <w:rPr>
                <w:iCs/>
              </w:rPr>
              <w:t xml:space="preserve"> deleģējumu noteikt gadījumus, kad iesniedzama sliekšņa deklarācija, sliekšņa deklarācijas iesniegšanas kārtību un saturu, kā arī apstiprin</w:t>
            </w:r>
            <w:r w:rsidR="008F0074" w:rsidRPr="0068731C">
              <w:rPr>
                <w:iCs/>
              </w:rPr>
              <w:t>āt</w:t>
            </w:r>
            <w:r w:rsidR="00BB4594" w:rsidRPr="0068731C">
              <w:rPr>
                <w:iCs/>
              </w:rPr>
              <w:t xml:space="preserve"> sliekšņa deklarācijas veidlapu.</w:t>
            </w:r>
          </w:p>
          <w:p w14:paraId="125A4331" w14:textId="6B212215" w:rsidR="00AC4C0F" w:rsidRPr="002C6D96" w:rsidRDefault="00867902" w:rsidP="007A15DA">
            <w:pPr>
              <w:pStyle w:val="tv213"/>
              <w:shd w:val="clear" w:color="auto" w:fill="FFFFFF"/>
              <w:spacing w:before="0" w:beforeAutospacing="0" w:after="0" w:afterAutospacing="0"/>
              <w:jc w:val="both"/>
              <w:rPr>
                <w:iCs/>
              </w:rPr>
            </w:pPr>
            <w:r w:rsidRPr="0068731C">
              <w:rPr>
                <w:iCs/>
              </w:rPr>
              <w:t>Noteikumu projekts stājas spēkā 2019.</w:t>
            </w:r>
            <w:r w:rsidR="00AC4C0F" w:rsidRPr="0068731C">
              <w:rPr>
                <w:iCs/>
              </w:rPr>
              <w:t>gada 17.decembrī.</w:t>
            </w:r>
            <w:bookmarkStart w:id="1" w:name="_GoBack"/>
            <w:bookmarkEnd w:id="1"/>
          </w:p>
        </w:tc>
      </w:tr>
    </w:tbl>
    <w:p w14:paraId="73C755EE" w14:textId="77777777" w:rsidR="00845A36" w:rsidRPr="002C6D96" w:rsidRDefault="00845A36" w:rsidP="00845A36">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5A36" w:rsidRPr="002C6D96" w14:paraId="2DA3F4ED" w14:textId="77777777" w:rsidTr="00AC43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387316" w14:textId="77777777" w:rsidR="00845A36" w:rsidRPr="002C6D96" w:rsidRDefault="00845A36" w:rsidP="007A15DA">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 Tiesību akta projekta izstrādes nepieciešamība</w:t>
            </w:r>
          </w:p>
        </w:tc>
      </w:tr>
      <w:tr w:rsidR="00845A36" w:rsidRPr="002C6D96" w14:paraId="6B215742" w14:textId="77777777" w:rsidTr="00AC43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F7EB16"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3026D4F" w14:textId="77777777" w:rsidR="00845A3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Pamatojums</w:t>
            </w:r>
          </w:p>
          <w:p w14:paraId="5F2819A8"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206D3772"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18F4DC18"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04AC49BB"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60954992"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5A34608C"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2668B407"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19CF29DE"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3B85DB67"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193EC946"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18BC4784"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0A105891"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30225C56"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313D28C8"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12525CD2"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7CBFA7CC" w14:textId="77777777" w:rsidR="00845A36" w:rsidRPr="00EB6228" w:rsidRDefault="00845A36" w:rsidP="007A15DA">
            <w:pPr>
              <w:spacing w:after="0" w:line="240" w:lineRule="auto"/>
              <w:rPr>
                <w:rFonts w:ascii="Times New Roman" w:eastAsia="Times New Roman" w:hAnsi="Times New Roman" w:cs="Times New Roman"/>
                <w:sz w:val="24"/>
                <w:szCs w:val="24"/>
                <w:lang w:eastAsia="lv-LV"/>
              </w:rPr>
            </w:pPr>
          </w:p>
          <w:p w14:paraId="5F953033" w14:textId="77777777" w:rsidR="00845A36" w:rsidRDefault="00845A36" w:rsidP="007A15DA">
            <w:pPr>
              <w:spacing w:after="0" w:line="240" w:lineRule="auto"/>
              <w:rPr>
                <w:rFonts w:ascii="Times New Roman" w:eastAsia="Times New Roman" w:hAnsi="Times New Roman" w:cs="Times New Roman"/>
                <w:iCs/>
                <w:sz w:val="24"/>
                <w:szCs w:val="24"/>
                <w:lang w:eastAsia="lv-LV"/>
              </w:rPr>
            </w:pPr>
          </w:p>
          <w:p w14:paraId="6162362D" w14:textId="77777777" w:rsidR="00845A36" w:rsidRDefault="00845A36" w:rsidP="007A15DA">
            <w:pPr>
              <w:spacing w:after="0" w:line="240" w:lineRule="auto"/>
              <w:jc w:val="center"/>
              <w:rPr>
                <w:rFonts w:ascii="Times New Roman" w:eastAsia="Times New Roman" w:hAnsi="Times New Roman" w:cs="Times New Roman"/>
                <w:sz w:val="24"/>
                <w:szCs w:val="24"/>
                <w:lang w:eastAsia="lv-LV"/>
              </w:rPr>
            </w:pPr>
          </w:p>
          <w:p w14:paraId="7966EE5D" w14:textId="33EE8B49" w:rsidR="00BB4594" w:rsidRPr="00BB4594" w:rsidRDefault="00BB4594" w:rsidP="007A15DA">
            <w:pPr>
              <w:spacing w:after="0" w:line="240" w:lineRule="auto"/>
              <w:jc w:val="right"/>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44EF8C73" w14:textId="578DBF83" w:rsidR="00C4705D" w:rsidRDefault="00C4705D" w:rsidP="00C4705D">
            <w:pPr>
              <w:pStyle w:val="tv213"/>
              <w:shd w:val="clear" w:color="auto" w:fill="FFFFFF"/>
              <w:spacing w:before="0" w:beforeAutospacing="0" w:after="0" w:afterAutospacing="0"/>
              <w:jc w:val="both"/>
              <w:rPr>
                <w:rFonts w:ascii="Arial" w:hAnsi="Arial" w:cs="Arial"/>
                <w:color w:val="414142"/>
                <w:sz w:val="20"/>
                <w:szCs w:val="20"/>
                <w:shd w:val="clear" w:color="auto" w:fill="FFFFFF"/>
              </w:rPr>
            </w:pPr>
            <w:r>
              <w:rPr>
                <w:iCs/>
              </w:rPr>
              <w:t xml:space="preserve">Noteikumu projekts izstrādāts, pamatojoties uz </w:t>
            </w:r>
            <w:r w:rsidRPr="00D404A5">
              <w:rPr>
                <w:iCs/>
              </w:rPr>
              <w:t xml:space="preserve">Noziedzīgi iegūtu līdzekļu legalizācijas un terorisma un proliferācijas finansēšanas novēršanas likuma (turpmāk – Likums) </w:t>
            </w:r>
            <w:r w:rsidRPr="00BB4594">
              <w:rPr>
                <w:iCs/>
                <w:color w:val="000000" w:themeColor="text1"/>
              </w:rPr>
              <w:t>31.</w:t>
            </w:r>
            <w:r w:rsidRPr="00BB4594">
              <w:rPr>
                <w:iCs/>
                <w:color w:val="000000" w:themeColor="text1"/>
                <w:vertAlign w:val="superscript"/>
              </w:rPr>
              <w:t>3</w:t>
            </w:r>
            <w:r w:rsidRPr="00BB4594">
              <w:rPr>
                <w:iCs/>
                <w:color w:val="000000" w:themeColor="text1"/>
              </w:rPr>
              <w:t xml:space="preserve"> pant</w:t>
            </w:r>
            <w:r>
              <w:rPr>
                <w:iCs/>
                <w:color w:val="000000" w:themeColor="text1"/>
              </w:rPr>
              <w:t>u,</w:t>
            </w:r>
            <w:r w:rsidRPr="00BB4594">
              <w:rPr>
                <w:iCs/>
                <w:color w:val="000000" w:themeColor="text1"/>
              </w:rPr>
              <w:t xml:space="preserve"> </w:t>
            </w:r>
            <w:r w:rsidRPr="00BB4594">
              <w:rPr>
                <w:iCs/>
              </w:rPr>
              <w:t xml:space="preserve"> kas</w:t>
            </w:r>
            <w:r w:rsidRPr="003833BE">
              <w:rPr>
                <w:iCs/>
              </w:rPr>
              <w:t xml:space="preserve"> paredz </w:t>
            </w:r>
            <w:r>
              <w:rPr>
                <w:iCs/>
              </w:rPr>
              <w:t>M</w:t>
            </w:r>
            <w:r w:rsidRPr="003833BE">
              <w:rPr>
                <w:iCs/>
              </w:rPr>
              <w:t>inistru kabinetam</w:t>
            </w:r>
            <w:r>
              <w:rPr>
                <w:iCs/>
              </w:rPr>
              <w:t xml:space="preserve"> </w:t>
            </w:r>
            <w:r w:rsidRPr="00BB4594">
              <w:rPr>
                <w:iCs/>
              </w:rPr>
              <w:t>deleģējumu noteikt gadījumus, kad iesniedzama sliekšņa deklarācija, sliekšņa deklarācijas iesniegšanas kārtību un saturu, kā arī apstiprin</w:t>
            </w:r>
            <w:r>
              <w:rPr>
                <w:iCs/>
              </w:rPr>
              <w:t>āt</w:t>
            </w:r>
            <w:r w:rsidRPr="00BB4594">
              <w:rPr>
                <w:iCs/>
              </w:rPr>
              <w:t xml:space="preserve"> sliekšņa deklarācijas veidlapu.</w:t>
            </w:r>
          </w:p>
          <w:p w14:paraId="0FA0A219" w14:textId="77777777" w:rsidR="00C4705D" w:rsidRDefault="00C4705D" w:rsidP="007A15DA">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p>
          <w:p w14:paraId="53C31AD4" w14:textId="4FDA955B" w:rsidR="00845A36" w:rsidRDefault="00845A36" w:rsidP="007A15DA">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r w:rsidRPr="00E97131">
              <w:rPr>
                <w:rFonts w:ascii="Times New Roman" w:eastAsia="Times New Roman" w:hAnsi="Times New Roman" w:cs="Times New Roman"/>
                <w:bCs/>
                <w:color w:val="000000" w:themeColor="text1"/>
                <w:sz w:val="24"/>
                <w:szCs w:val="24"/>
                <w:shd w:val="clear" w:color="auto" w:fill="FFFFFF"/>
                <w:lang w:eastAsia="lv-LV"/>
              </w:rPr>
              <w:t xml:space="preserve">Šobrīd </w:t>
            </w:r>
            <w:r>
              <w:rPr>
                <w:rFonts w:ascii="Times New Roman" w:eastAsia="Times New Roman" w:hAnsi="Times New Roman" w:cs="Times New Roman"/>
                <w:bCs/>
                <w:color w:val="000000" w:themeColor="text1"/>
                <w:sz w:val="24"/>
                <w:szCs w:val="24"/>
                <w:shd w:val="clear" w:color="auto" w:fill="FFFFFF"/>
                <w:lang w:eastAsia="lv-LV"/>
              </w:rPr>
              <w:t>L</w:t>
            </w:r>
            <w:r w:rsidRPr="00E97131">
              <w:rPr>
                <w:rFonts w:ascii="Times New Roman" w:eastAsia="Times New Roman" w:hAnsi="Times New Roman" w:cs="Times New Roman"/>
                <w:bCs/>
                <w:color w:val="000000" w:themeColor="text1"/>
                <w:sz w:val="24"/>
                <w:szCs w:val="24"/>
                <w:shd w:val="clear" w:color="auto" w:fill="FFFFFF"/>
                <w:lang w:eastAsia="lv-LV"/>
              </w:rPr>
              <w:t xml:space="preserve">ikums </w:t>
            </w:r>
            <w:r>
              <w:rPr>
                <w:rFonts w:ascii="Times New Roman" w:eastAsia="Times New Roman" w:hAnsi="Times New Roman" w:cs="Times New Roman"/>
                <w:bCs/>
                <w:color w:val="000000" w:themeColor="text1"/>
                <w:sz w:val="24"/>
                <w:szCs w:val="24"/>
                <w:shd w:val="clear" w:color="auto" w:fill="FFFFFF"/>
                <w:lang w:eastAsia="lv-LV"/>
              </w:rPr>
              <w:t>un M</w:t>
            </w:r>
            <w:r w:rsidRPr="00E97131">
              <w:rPr>
                <w:rFonts w:ascii="Times New Roman" w:eastAsia="Times New Roman" w:hAnsi="Times New Roman" w:cs="Times New Roman"/>
                <w:iCs/>
                <w:color w:val="000000" w:themeColor="text1"/>
                <w:sz w:val="24"/>
                <w:szCs w:val="24"/>
                <w:lang w:eastAsia="lv-LV"/>
              </w:rPr>
              <w:t>inistru kabineta 2019.gada 2.jūlija noteikumi Nr. 281 „</w:t>
            </w:r>
            <w:r w:rsidRPr="00B217C5">
              <w:rPr>
                <w:rFonts w:ascii="Times New Roman" w:eastAsia="Times New Roman" w:hAnsi="Times New Roman" w:cs="Times New Roman"/>
                <w:iCs/>
                <w:color w:val="000000" w:themeColor="text1"/>
                <w:sz w:val="24"/>
                <w:szCs w:val="24"/>
                <w:lang w:eastAsia="lv-LV"/>
              </w:rPr>
              <w:t>Noteikumi par neparasta darījuma pazīmju sarakstu un kārtību, kādā sniedzami ziņojumi par neparastiem vai aizdomīgiem darījumiem</w:t>
            </w:r>
            <w:r w:rsidRPr="00E97131">
              <w:rPr>
                <w:rFonts w:ascii="Times New Roman" w:eastAsia="Times New Roman" w:hAnsi="Times New Roman" w:cs="Times New Roman"/>
                <w:iCs/>
                <w:color w:val="000000" w:themeColor="text1"/>
                <w:sz w:val="24"/>
                <w:szCs w:val="24"/>
                <w:lang w:eastAsia="lv-LV"/>
              </w:rPr>
              <w:t>”</w:t>
            </w:r>
            <w:r w:rsidR="005061B5">
              <w:rPr>
                <w:rFonts w:ascii="Times New Roman" w:eastAsia="Times New Roman" w:hAnsi="Times New Roman" w:cs="Times New Roman"/>
                <w:iCs/>
                <w:color w:val="000000" w:themeColor="text1"/>
                <w:sz w:val="24"/>
                <w:szCs w:val="24"/>
                <w:lang w:eastAsia="lv-LV"/>
              </w:rPr>
              <w:t xml:space="preserve"> (turpmāk – Noteikumi Nr.281)</w:t>
            </w:r>
            <w:r w:rsidRPr="00E97131">
              <w:rPr>
                <w:rFonts w:ascii="Times New Roman" w:eastAsia="Times New Roman" w:hAnsi="Times New Roman" w:cs="Times New Roman"/>
                <w:iCs/>
                <w:color w:val="000000" w:themeColor="text1"/>
                <w:sz w:val="24"/>
                <w:szCs w:val="24"/>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 xml:space="preserve">nosaka </w:t>
            </w:r>
            <w:r w:rsidR="00B1177B">
              <w:rPr>
                <w:rFonts w:ascii="Times New Roman" w:eastAsia="Times New Roman" w:hAnsi="Times New Roman" w:cs="Times New Roman"/>
                <w:bCs/>
                <w:color w:val="000000" w:themeColor="text1"/>
                <w:sz w:val="24"/>
                <w:szCs w:val="24"/>
                <w:shd w:val="clear" w:color="auto" w:fill="FFFFFF"/>
                <w:lang w:eastAsia="lv-LV"/>
              </w:rPr>
              <w:t>L</w:t>
            </w:r>
            <w:r w:rsidRPr="00E97131">
              <w:rPr>
                <w:rFonts w:ascii="Times New Roman" w:eastAsia="Times New Roman" w:hAnsi="Times New Roman" w:cs="Times New Roman"/>
                <w:bCs/>
                <w:color w:val="000000" w:themeColor="text1"/>
                <w:sz w:val="24"/>
                <w:szCs w:val="24"/>
                <w:shd w:val="clear" w:color="auto" w:fill="FFFFFF"/>
                <w:lang w:eastAsia="lv-LV"/>
              </w:rPr>
              <w:t xml:space="preserve">ikuma subjektu pienākumu ziņot par aizdomīgiem un neparastiem darījumiem, iesniedzot ziņojumu Finanšu izlūkošanas dienestam.  </w:t>
            </w:r>
          </w:p>
          <w:p w14:paraId="164FB767" w14:textId="77777777" w:rsidR="007A15DA" w:rsidRPr="00E97131" w:rsidRDefault="007A15DA" w:rsidP="007A15DA">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p>
          <w:p w14:paraId="4E946F17" w14:textId="44E0DA7E" w:rsidR="00845A36" w:rsidRDefault="00B1177B" w:rsidP="007A15DA">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r w:rsidRPr="00932E1D">
              <w:rPr>
                <w:rFonts w:ascii="Times New Roman" w:eastAsia="Times New Roman" w:hAnsi="Times New Roman" w:cs="Times New Roman"/>
                <w:iCs/>
                <w:color w:val="000000" w:themeColor="text1"/>
                <w:sz w:val="24"/>
                <w:szCs w:val="24"/>
                <w:lang w:eastAsia="lv-LV"/>
              </w:rPr>
              <w:t>Eiropas Padomes ekspertu komiteja</w:t>
            </w:r>
            <w:r>
              <w:rPr>
                <w:rFonts w:ascii="Times New Roman" w:eastAsia="Times New Roman" w:hAnsi="Times New Roman" w:cs="Times New Roman"/>
                <w:iCs/>
                <w:color w:val="000000" w:themeColor="text1"/>
                <w:sz w:val="24"/>
                <w:szCs w:val="24"/>
                <w:lang w:eastAsia="lv-LV"/>
              </w:rPr>
              <w:t>s</w:t>
            </w:r>
            <w:r w:rsidRPr="00932E1D">
              <w:rPr>
                <w:rFonts w:ascii="Times New Roman" w:eastAsia="Times New Roman" w:hAnsi="Times New Roman" w:cs="Times New Roman"/>
                <w:iCs/>
                <w:color w:val="000000" w:themeColor="text1"/>
                <w:sz w:val="24"/>
                <w:szCs w:val="24"/>
                <w:lang w:eastAsia="lv-LV"/>
              </w:rPr>
              <w:t xml:space="preserve"> naudas atmazgāšanas novēršanas pasākumu un terorisma finansēšanas novērtējumam (turpmāk – Moneyval)</w:t>
            </w:r>
            <w:r>
              <w:rPr>
                <w:rFonts w:ascii="Times New Roman" w:eastAsia="Times New Roman" w:hAnsi="Times New Roman" w:cs="Times New Roman"/>
                <w:iCs/>
                <w:color w:val="000000" w:themeColor="text1"/>
                <w:sz w:val="24"/>
                <w:szCs w:val="24"/>
                <w:lang w:eastAsia="lv-LV"/>
              </w:rPr>
              <w:t xml:space="preserve"> </w:t>
            </w:r>
            <w:r w:rsidR="00845A36" w:rsidRPr="00E97131">
              <w:rPr>
                <w:rFonts w:ascii="Times New Roman" w:eastAsia="Times New Roman" w:hAnsi="Times New Roman" w:cs="Times New Roman"/>
                <w:bCs/>
                <w:color w:val="000000" w:themeColor="text1"/>
                <w:sz w:val="24"/>
                <w:szCs w:val="24"/>
                <w:shd w:val="clear" w:color="auto" w:fill="FFFFFF"/>
                <w:lang w:eastAsia="lv-LV"/>
              </w:rPr>
              <w:t>savstarpējās novērtēšanas 5.kārtas ziņojumā par Latviju, kas publicēts 2018.gada 23.augustā, kurā novērtēti valstī īstenotie pasākumi noziedzīgi iegūtu līdzekļu legalizācijas un terorisma finansēšanas novēršanā (turpmāk – Moneyval ziņojums), ir sniegts skaidrs vēstījums un norāde uz nepieciešamību aktīvi pilnveidot Latvijā šobrīd pastāvošo regulējumu, kā arī nodrošināt tā efektīvu piemērošanu praksē.</w:t>
            </w:r>
          </w:p>
          <w:p w14:paraId="012AEC1E" w14:textId="77777777" w:rsidR="007A15DA" w:rsidRPr="00E97131" w:rsidRDefault="007A15DA" w:rsidP="007A15DA">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p>
          <w:p w14:paraId="43EAEE14" w14:textId="5273F83C" w:rsidR="00845A36" w:rsidRDefault="00845A36" w:rsidP="007A15DA">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r w:rsidRPr="00E97131">
              <w:rPr>
                <w:rFonts w:ascii="Times New Roman" w:eastAsia="Times New Roman" w:hAnsi="Times New Roman" w:cs="Times New Roman"/>
                <w:bCs/>
                <w:color w:val="000000" w:themeColor="text1"/>
                <w:sz w:val="24"/>
                <w:szCs w:val="24"/>
                <w:shd w:val="clear" w:color="auto" w:fill="FFFFFF"/>
                <w:lang w:eastAsia="lv-LV"/>
              </w:rPr>
              <w:lastRenderedPageBreak/>
              <w:t xml:space="preserve">Moneyval ziņojumā un arī praksē secināts, ka līdzšinējās neskaidrības </w:t>
            </w:r>
            <w:r w:rsidR="00B1177B">
              <w:rPr>
                <w:rFonts w:ascii="Times New Roman" w:eastAsia="Times New Roman" w:hAnsi="Times New Roman" w:cs="Times New Roman"/>
                <w:bCs/>
                <w:color w:val="000000" w:themeColor="text1"/>
                <w:sz w:val="24"/>
                <w:szCs w:val="24"/>
                <w:shd w:val="clear" w:color="auto" w:fill="FFFFFF"/>
                <w:lang w:eastAsia="lv-LV"/>
              </w:rPr>
              <w:t>L</w:t>
            </w:r>
            <w:r w:rsidRPr="00E97131">
              <w:rPr>
                <w:rFonts w:ascii="Times New Roman" w:eastAsia="Times New Roman" w:hAnsi="Times New Roman" w:cs="Times New Roman"/>
                <w:bCs/>
                <w:color w:val="000000" w:themeColor="text1"/>
                <w:sz w:val="24"/>
                <w:szCs w:val="24"/>
                <w:shd w:val="clear" w:color="auto" w:fill="FFFFFF"/>
                <w:lang w:eastAsia="lv-LV"/>
              </w:rPr>
              <w:t xml:space="preserve">ikuma subjektu starpā par aizdomīga un neparasta darījuma nošķiršanu neveicina iesniegto ziņojumu kvalitāti, un vairāk tiek izmantota ziņošana par neparastiem darījumiem, nevis ziņošana par aizdomīgiem darījumiem, kas no vienas puses rezultējas neefektīvā resursu izlietošanā, veicot papildu analīzi gadījumos, kur tā ne vienmēr būtu nepieciešama, no otras, noslogojot </w:t>
            </w:r>
            <w:r w:rsidR="00B1177B">
              <w:rPr>
                <w:rFonts w:ascii="Times New Roman" w:eastAsia="Times New Roman" w:hAnsi="Times New Roman" w:cs="Times New Roman"/>
                <w:bCs/>
                <w:color w:val="000000" w:themeColor="text1"/>
                <w:sz w:val="24"/>
                <w:szCs w:val="24"/>
                <w:shd w:val="clear" w:color="auto" w:fill="FFFFFF"/>
                <w:lang w:eastAsia="lv-LV"/>
              </w:rPr>
              <w:t xml:space="preserve">Likuma </w:t>
            </w:r>
            <w:r w:rsidRPr="00E97131">
              <w:rPr>
                <w:rFonts w:ascii="Times New Roman" w:eastAsia="Times New Roman" w:hAnsi="Times New Roman" w:cs="Times New Roman"/>
                <w:bCs/>
                <w:color w:val="000000" w:themeColor="text1"/>
                <w:sz w:val="24"/>
                <w:szCs w:val="24"/>
                <w:shd w:val="clear" w:color="auto" w:fill="FFFFFF"/>
                <w:lang w:eastAsia="lv-LV"/>
              </w:rPr>
              <w:t xml:space="preserve">subjektus ar formālu ziņojumu iesniegšanu. Attiecīgi viena no </w:t>
            </w:r>
            <w:r w:rsidR="00B1177B">
              <w:rPr>
                <w:rFonts w:ascii="Times New Roman" w:eastAsia="Times New Roman" w:hAnsi="Times New Roman" w:cs="Times New Roman"/>
                <w:bCs/>
                <w:color w:val="000000" w:themeColor="text1"/>
                <w:sz w:val="24"/>
                <w:szCs w:val="24"/>
                <w:shd w:val="clear" w:color="auto" w:fill="FFFFFF"/>
                <w:lang w:eastAsia="lv-LV"/>
              </w:rPr>
              <w:t xml:space="preserve">Moneyval </w:t>
            </w:r>
            <w:r w:rsidRPr="00E97131">
              <w:rPr>
                <w:rFonts w:ascii="Times New Roman" w:eastAsia="Times New Roman" w:hAnsi="Times New Roman" w:cs="Times New Roman"/>
                <w:bCs/>
                <w:color w:val="000000" w:themeColor="text1"/>
                <w:sz w:val="24"/>
                <w:szCs w:val="24"/>
                <w:shd w:val="clear" w:color="auto" w:fill="FFFFFF"/>
                <w:lang w:eastAsia="lv-LV"/>
              </w:rPr>
              <w:t>rekomendācijām ir nepieciešamība pārskatīt</w:t>
            </w:r>
            <w:r w:rsidR="00BB4594">
              <w:rPr>
                <w:rFonts w:ascii="Times New Roman" w:eastAsia="Times New Roman" w:hAnsi="Times New Roman" w:cs="Times New Roman"/>
                <w:bCs/>
                <w:color w:val="000000" w:themeColor="text1"/>
                <w:sz w:val="24"/>
                <w:szCs w:val="24"/>
                <w:shd w:val="clear" w:color="auto" w:fill="FFFFFF"/>
                <w:lang w:eastAsia="lv-LV"/>
              </w:rPr>
              <w:t xml:space="preserve"> </w:t>
            </w:r>
            <w:r w:rsidRPr="00E97131">
              <w:rPr>
                <w:rFonts w:ascii="Times New Roman" w:eastAsia="Times New Roman" w:hAnsi="Times New Roman" w:cs="Times New Roman"/>
                <w:bCs/>
                <w:color w:val="000000" w:themeColor="text1"/>
                <w:sz w:val="24"/>
                <w:szCs w:val="24"/>
                <w:shd w:val="clear" w:color="auto" w:fill="FFFFFF"/>
                <w:lang w:eastAsia="lv-LV"/>
              </w:rPr>
              <w:t>aizdomīgu un neparastu darījumu ziņošanas kārtību, tādā veidā pilnveidojot ziņojumu iesnieg</w:t>
            </w:r>
            <w:r w:rsidR="00161031">
              <w:rPr>
                <w:rFonts w:ascii="Times New Roman" w:eastAsia="Times New Roman" w:hAnsi="Times New Roman" w:cs="Times New Roman"/>
                <w:bCs/>
                <w:color w:val="000000" w:themeColor="text1"/>
                <w:sz w:val="24"/>
                <w:szCs w:val="24"/>
                <w:shd w:val="clear" w:color="auto" w:fill="FFFFFF"/>
                <w:lang w:eastAsia="lv-LV"/>
              </w:rPr>
              <w:t>šanu par aizdomīgiem darījumiem.</w:t>
            </w:r>
          </w:p>
          <w:p w14:paraId="2D98C055" w14:textId="77777777" w:rsidR="007A15DA" w:rsidRPr="00E97131" w:rsidRDefault="007A15DA" w:rsidP="007A15DA">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p>
          <w:p w14:paraId="23EB3130" w14:textId="4E8FDD46" w:rsidR="00845A36" w:rsidRPr="00E97131" w:rsidRDefault="00845A36" w:rsidP="007A15DA">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r w:rsidRPr="00E97131">
              <w:rPr>
                <w:rFonts w:ascii="Times New Roman" w:eastAsia="Times New Roman" w:hAnsi="Times New Roman" w:cs="Times New Roman"/>
                <w:bCs/>
                <w:color w:val="000000" w:themeColor="text1"/>
                <w:sz w:val="24"/>
                <w:szCs w:val="24"/>
                <w:shd w:val="clear" w:color="auto" w:fill="FFFFFF"/>
                <w:lang w:eastAsia="lv-LV"/>
              </w:rPr>
              <w:t>Kā tas norādīts Finanšu darījumu darba grupas (turpmāk – FATF) rekomendācijās, finanšu izlūkošanas dienest</w:t>
            </w:r>
            <w:r w:rsidR="00B1177B">
              <w:rPr>
                <w:rFonts w:ascii="Times New Roman" w:eastAsia="Times New Roman" w:hAnsi="Times New Roman" w:cs="Times New Roman"/>
                <w:bCs/>
                <w:color w:val="000000" w:themeColor="text1"/>
                <w:sz w:val="24"/>
                <w:szCs w:val="24"/>
                <w:shd w:val="clear" w:color="auto" w:fill="FFFFFF"/>
                <w:lang w:eastAsia="lv-LV"/>
              </w:rPr>
              <w:t>s</w:t>
            </w:r>
            <w:r w:rsidRPr="00E97131">
              <w:rPr>
                <w:rFonts w:ascii="Times New Roman" w:eastAsia="Times New Roman" w:hAnsi="Times New Roman" w:cs="Times New Roman"/>
                <w:bCs/>
                <w:color w:val="000000" w:themeColor="text1"/>
                <w:sz w:val="24"/>
                <w:szCs w:val="24"/>
                <w:shd w:val="clear" w:color="auto" w:fill="FFFFFF"/>
                <w:lang w:eastAsia="lv-LV"/>
              </w:rPr>
              <w:t xml:space="preserve"> darbojas kā centrālā iestāde, kas saņem ziņojumus par aizdomīgiem darījumiem, kā arī citu nacionālajos normatīvajos aktos paredzēto informāciju (piemēram, informāciju par skaidras naudas darījumiem, elektroniskajiem paskaitījumiem un cita veida deklarācijas par darījumiem, kas sasniedz noteiktu robežvērtību). Tādējādi primāri dalībvalstīm ir jānodrošina ziņojumu par aizdomīgiem darījumiem iesniegšana finanšu izlūkošanas dienestiem, taču nacionālajos aktos var tikt noteikts cits informācijas veids, kas ir iesniedzams finanšu izlūkošanas vienībā</w:t>
            </w:r>
            <w:r w:rsidR="00B1177B">
              <w:rPr>
                <w:rFonts w:ascii="Times New Roman" w:eastAsia="Times New Roman" w:hAnsi="Times New Roman" w:cs="Times New Roman"/>
                <w:bCs/>
                <w:color w:val="000000" w:themeColor="text1"/>
                <w:sz w:val="24"/>
                <w:szCs w:val="24"/>
                <w:shd w:val="clear" w:color="auto" w:fill="FFFFFF"/>
                <w:lang w:eastAsia="lv-LV"/>
              </w:rPr>
              <w:t>m</w:t>
            </w:r>
            <w:r w:rsidRPr="00E97131">
              <w:rPr>
                <w:rFonts w:ascii="Times New Roman" w:eastAsia="Times New Roman" w:hAnsi="Times New Roman" w:cs="Times New Roman"/>
                <w:bCs/>
                <w:color w:val="000000" w:themeColor="text1"/>
                <w:sz w:val="24"/>
                <w:szCs w:val="24"/>
                <w:shd w:val="clear" w:color="auto" w:fill="FFFFFF"/>
                <w:lang w:eastAsia="lv-LV"/>
              </w:rPr>
              <w:t>.</w:t>
            </w:r>
          </w:p>
          <w:p w14:paraId="0ED9EB9A" w14:textId="3ED7FEC4" w:rsidR="009D6997" w:rsidRDefault="00845A36" w:rsidP="007A15DA">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r w:rsidRPr="00016CC9">
              <w:rPr>
                <w:rFonts w:ascii="Times New Roman" w:eastAsia="Times New Roman" w:hAnsi="Times New Roman" w:cs="Times New Roman"/>
                <w:iCs/>
                <w:sz w:val="24"/>
                <w:szCs w:val="24"/>
                <w:lang w:eastAsia="lv-LV"/>
              </w:rPr>
              <w:t xml:space="preserve">Attiecīgi līdz </w:t>
            </w:r>
            <w:r w:rsidRPr="00E97131">
              <w:rPr>
                <w:rFonts w:ascii="Times New Roman" w:eastAsia="Times New Roman" w:hAnsi="Times New Roman" w:cs="Times New Roman"/>
                <w:iCs/>
                <w:color w:val="000000" w:themeColor="text1"/>
                <w:sz w:val="24"/>
                <w:szCs w:val="24"/>
                <w:lang w:eastAsia="lv-LV"/>
              </w:rPr>
              <w:t>ar Likuma grozījumiem</w:t>
            </w:r>
            <w:r w:rsidRPr="00E97131">
              <w:rPr>
                <w:rFonts w:ascii="Times New Roman" w:hAnsi="Times New Roman" w:cs="Times New Roman"/>
                <w:iCs/>
                <w:color w:val="000000" w:themeColor="text1"/>
                <w:sz w:val="24"/>
                <w:szCs w:val="24"/>
                <w:vertAlign w:val="superscript"/>
              </w:rPr>
              <w:footnoteReference w:id="1"/>
            </w:r>
            <w:r w:rsidRPr="00E97131">
              <w:rPr>
                <w:rFonts w:ascii="Times New Roman" w:eastAsia="Times New Roman" w:hAnsi="Times New Roman" w:cs="Times New Roman"/>
                <w:iCs/>
                <w:color w:val="000000" w:themeColor="text1"/>
                <w:sz w:val="24"/>
                <w:szCs w:val="24"/>
                <w:lang w:eastAsia="lv-LV"/>
              </w:rPr>
              <w:t>, sākot ar 201</w:t>
            </w:r>
            <w:r w:rsidR="00BB4594">
              <w:rPr>
                <w:rFonts w:ascii="Times New Roman" w:eastAsia="Times New Roman" w:hAnsi="Times New Roman" w:cs="Times New Roman"/>
                <w:iCs/>
                <w:color w:val="000000" w:themeColor="text1"/>
                <w:sz w:val="24"/>
                <w:szCs w:val="24"/>
                <w:lang w:eastAsia="lv-LV"/>
              </w:rPr>
              <w:t>9</w:t>
            </w:r>
            <w:r w:rsidRPr="00E97131">
              <w:rPr>
                <w:rFonts w:ascii="Times New Roman" w:eastAsia="Times New Roman" w:hAnsi="Times New Roman" w:cs="Times New Roman"/>
                <w:iCs/>
                <w:color w:val="000000" w:themeColor="text1"/>
                <w:sz w:val="24"/>
                <w:szCs w:val="24"/>
                <w:lang w:eastAsia="lv-LV"/>
              </w:rPr>
              <w:t>.gada 17.decembri</w:t>
            </w:r>
            <w:r w:rsidR="00BB4594">
              <w:rPr>
                <w:rFonts w:ascii="Times New Roman" w:eastAsia="Times New Roman" w:hAnsi="Times New Roman" w:cs="Times New Roman"/>
                <w:iCs/>
                <w:color w:val="000000" w:themeColor="text1"/>
                <w:sz w:val="24"/>
                <w:szCs w:val="24"/>
                <w:lang w:eastAsia="lv-LV"/>
              </w:rPr>
              <w:t>,</w:t>
            </w:r>
            <w:r w:rsidRPr="00E97131">
              <w:rPr>
                <w:rFonts w:ascii="Times New Roman" w:eastAsia="Times New Roman" w:hAnsi="Times New Roman" w:cs="Times New Roman"/>
                <w:iCs/>
                <w:color w:val="000000" w:themeColor="text1"/>
                <w:sz w:val="24"/>
                <w:szCs w:val="24"/>
                <w:lang w:eastAsia="lv-LV"/>
              </w:rPr>
              <w:t xml:space="preserve"> tiek paredzēts atteikties no </w:t>
            </w:r>
            <w:r w:rsidRPr="00E97131">
              <w:rPr>
                <w:rFonts w:ascii="Times New Roman" w:eastAsia="Times New Roman" w:hAnsi="Times New Roman" w:cs="Times New Roman"/>
                <w:bCs/>
                <w:color w:val="000000" w:themeColor="text1"/>
                <w:sz w:val="24"/>
                <w:szCs w:val="24"/>
                <w:shd w:val="clear" w:color="auto" w:fill="FFFFFF"/>
                <w:lang w:eastAsia="lv-LV"/>
              </w:rPr>
              <w:t xml:space="preserve">ziņojumiem par neparastiem darījumiem un ieviest pienākumu </w:t>
            </w:r>
            <w:r w:rsidR="00B1177B">
              <w:rPr>
                <w:rFonts w:ascii="Times New Roman" w:eastAsia="Times New Roman" w:hAnsi="Times New Roman" w:cs="Times New Roman"/>
                <w:bCs/>
                <w:color w:val="000000" w:themeColor="text1"/>
                <w:sz w:val="24"/>
                <w:szCs w:val="24"/>
                <w:shd w:val="clear" w:color="auto" w:fill="FFFFFF"/>
                <w:lang w:eastAsia="lv-LV"/>
              </w:rPr>
              <w:t>L</w:t>
            </w:r>
            <w:r w:rsidRPr="00E97131">
              <w:rPr>
                <w:rFonts w:ascii="Times New Roman" w:eastAsia="Times New Roman" w:hAnsi="Times New Roman" w:cs="Times New Roman"/>
                <w:bCs/>
                <w:color w:val="000000" w:themeColor="text1"/>
                <w:sz w:val="24"/>
                <w:szCs w:val="24"/>
                <w:shd w:val="clear" w:color="auto" w:fill="FFFFFF"/>
                <w:lang w:eastAsia="lv-LV"/>
              </w:rPr>
              <w:t>ikuma subjektiem iesniegt sliekšņa deklarācijas.</w:t>
            </w:r>
          </w:p>
          <w:p w14:paraId="7F557406" w14:textId="77777777" w:rsidR="007A15DA" w:rsidRDefault="007A15DA" w:rsidP="007A15DA">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p>
          <w:p w14:paraId="102712F5" w14:textId="4B59132E" w:rsidR="00BB4594" w:rsidRDefault="00845A36" w:rsidP="007A15DA">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r w:rsidRPr="00E97131">
              <w:rPr>
                <w:rFonts w:ascii="Times New Roman" w:eastAsia="Times New Roman" w:hAnsi="Times New Roman" w:cs="Times New Roman"/>
                <w:bCs/>
                <w:color w:val="000000" w:themeColor="text1"/>
                <w:sz w:val="24"/>
                <w:szCs w:val="24"/>
                <w:shd w:val="clear" w:color="auto" w:fill="FFFFFF"/>
                <w:lang w:eastAsia="lv-LV"/>
              </w:rPr>
              <w:t xml:space="preserve">Ievērojot minēto, līdz ar grozījumiem Likumā konceptuāli tiek paredzēts atteikties no ziņojuma par neparastu darījumu, paredzot ziņojumu iesniegšanu tikai par aizdomīgiem darījumiem. Vienlaikus tiek paredzēts pienākums </w:t>
            </w:r>
            <w:r w:rsidR="008F0074">
              <w:rPr>
                <w:rFonts w:ascii="Times New Roman" w:eastAsia="Times New Roman" w:hAnsi="Times New Roman" w:cs="Times New Roman"/>
                <w:bCs/>
                <w:color w:val="000000" w:themeColor="text1"/>
                <w:sz w:val="24"/>
                <w:szCs w:val="24"/>
                <w:shd w:val="clear" w:color="auto" w:fill="FFFFFF"/>
                <w:lang w:eastAsia="lv-LV"/>
              </w:rPr>
              <w:t>L</w:t>
            </w:r>
            <w:r w:rsidRPr="00E97131">
              <w:rPr>
                <w:rFonts w:ascii="Times New Roman" w:eastAsia="Times New Roman" w:hAnsi="Times New Roman" w:cs="Times New Roman"/>
                <w:bCs/>
                <w:color w:val="000000" w:themeColor="text1"/>
                <w:sz w:val="24"/>
                <w:szCs w:val="24"/>
                <w:shd w:val="clear" w:color="auto" w:fill="FFFFFF"/>
                <w:lang w:eastAsia="lv-LV"/>
              </w:rPr>
              <w:t xml:space="preserve">ikuma subjektiem iesniegt citu informāciju - informāciju par sliekšņa deklarācijām, kas tiks uzglabāta Finanšu izlūkošanas dienestā un izmantota, veicot </w:t>
            </w:r>
            <w:r w:rsidR="005061B5">
              <w:rPr>
                <w:rFonts w:ascii="Times New Roman" w:eastAsia="Times New Roman" w:hAnsi="Times New Roman" w:cs="Times New Roman"/>
                <w:bCs/>
                <w:color w:val="000000" w:themeColor="text1"/>
                <w:sz w:val="24"/>
                <w:szCs w:val="24"/>
                <w:shd w:val="clear" w:color="auto" w:fill="FFFFFF"/>
                <w:lang w:eastAsia="lv-LV"/>
              </w:rPr>
              <w:t xml:space="preserve">stratēģisko analīzi, kā arī </w:t>
            </w:r>
            <w:r w:rsidRPr="00E97131">
              <w:rPr>
                <w:rFonts w:ascii="Times New Roman" w:eastAsia="Times New Roman" w:hAnsi="Times New Roman" w:cs="Times New Roman"/>
                <w:bCs/>
                <w:color w:val="000000" w:themeColor="text1"/>
                <w:sz w:val="24"/>
                <w:szCs w:val="24"/>
                <w:shd w:val="clear" w:color="auto" w:fill="FFFFFF"/>
                <w:lang w:eastAsia="lv-LV"/>
              </w:rPr>
              <w:t>turpmāku dienesta rīcībā esošo darījumu apstrādi un analīzi</w:t>
            </w:r>
            <w:r w:rsidR="008F0074">
              <w:rPr>
                <w:rFonts w:ascii="Times New Roman" w:eastAsia="Times New Roman" w:hAnsi="Times New Roman" w:cs="Times New Roman"/>
                <w:bCs/>
                <w:color w:val="000000" w:themeColor="text1"/>
                <w:sz w:val="24"/>
                <w:szCs w:val="24"/>
                <w:shd w:val="clear" w:color="auto" w:fill="FFFFFF"/>
                <w:lang w:eastAsia="lv-LV"/>
              </w:rPr>
              <w:t xml:space="preserve"> gan operatīvai, gan stratēģiskai analīzei</w:t>
            </w:r>
            <w:r w:rsidRPr="00E97131">
              <w:rPr>
                <w:rFonts w:ascii="Times New Roman" w:eastAsia="Times New Roman" w:hAnsi="Times New Roman" w:cs="Times New Roman"/>
                <w:bCs/>
                <w:color w:val="000000" w:themeColor="text1"/>
                <w:sz w:val="24"/>
                <w:szCs w:val="24"/>
                <w:shd w:val="clear" w:color="auto" w:fill="FFFFFF"/>
                <w:lang w:eastAsia="lv-LV"/>
              </w:rPr>
              <w:t xml:space="preserve">. </w:t>
            </w:r>
          </w:p>
          <w:p w14:paraId="1C869DA9" w14:textId="77777777" w:rsidR="007A15DA" w:rsidRDefault="007A15DA" w:rsidP="007A15DA">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p>
          <w:p w14:paraId="13CE445D" w14:textId="6D815AB1" w:rsidR="00845A36" w:rsidRPr="006F5C1A" w:rsidRDefault="00845A36" w:rsidP="007A15DA">
            <w:pPr>
              <w:shd w:val="clear" w:color="auto" w:fill="FFFFFF"/>
              <w:spacing w:after="0" w:line="240" w:lineRule="auto"/>
              <w:jc w:val="both"/>
              <w:rPr>
                <w:rFonts w:ascii="Times New Roman" w:eastAsia="Times New Roman" w:hAnsi="Times New Roman" w:cs="Times New Roman"/>
                <w:bCs/>
                <w:color w:val="000000" w:themeColor="text1"/>
                <w:sz w:val="24"/>
                <w:szCs w:val="24"/>
                <w:shd w:val="clear" w:color="auto" w:fill="FFFFFF"/>
                <w:lang w:eastAsia="lv-LV"/>
              </w:rPr>
            </w:pPr>
            <w:r w:rsidRPr="00E97131">
              <w:rPr>
                <w:rFonts w:ascii="Times New Roman" w:eastAsia="Times New Roman" w:hAnsi="Times New Roman" w:cs="Times New Roman"/>
                <w:bCs/>
                <w:color w:val="000000" w:themeColor="text1"/>
                <w:sz w:val="24"/>
                <w:szCs w:val="24"/>
                <w:shd w:val="clear" w:color="auto" w:fill="FFFFFF"/>
                <w:lang w:eastAsia="lv-LV"/>
              </w:rPr>
              <w:t>Plānotajām izmaiņām ir noteikts pārejas posm</w:t>
            </w:r>
            <w:r w:rsidR="00CC2B0B">
              <w:rPr>
                <w:rFonts w:ascii="Times New Roman" w:eastAsia="Times New Roman" w:hAnsi="Times New Roman" w:cs="Times New Roman"/>
                <w:bCs/>
                <w:color w:val="000000" w:themeColor="text1"/>
                <w:sz w:val="24"/>
                <w:szCs w:val="24"/>
                <w:shd w:val="clear" w:color="auto" w:fill="FFFFFF"/>
                <w:lang w:eastAsia="lv-LV"/>
              </w:rPr>
              <w:t>s</w:t>
            </w:r>
            <w:r w:rsidRPr="00E97131">
              <w:rPr>
                <w:rFonts w:ascii="Times New Roman" w:eastAsia="Times New Roman" w:hAnsi="Times New Roman" w:cs="Times New Roman"/>
                <w:bCs/>
                <w:color w:val="000000" w:themeColor="text1"/>
                <w:sz w:val="24"/>
                <w:szCs w:val="24"/>
                <w:shd w:val="clear" w:color="auto" w:fill="FFFFFF"/>
                <w:lang w:eastAsia="lv-LV"/>
              </w:rPr>
              <w:t xml:space="preserve"> – 2019.gada 17.decembris, līdz kuram nepieciešams </w:t>
            </w:r>
            <w:r w:rsidRPr="00E97131">
              <w:rPr>
                <w:rFonts w:ascii="Times New Roman" w:eastAsia="Times New Roman" w:hAnsi="Times New Roman" w:cs="Times New Roman"/>
                <w:bCs/>
                <w:color w:val="000000" w:themeColor="text1"/>
                <w:sz w:val="24"/>
                <w:szCs w:val="24"/>
                <w:shd w:val="clear" w:color="auto" w:fill="FFFFFF"/>
                <w:lang w:eastAsia="lv-LV"/>
              </w:rPr>
              <w:lastRenderedPageBreak/>
              <w:t xml:space="preserve">izstrādāt jaunus ministru kabineta noteikumus, kas aizstās </w:t>
            </w:r>
            <w:r w:rsidR="005061B5">
              <w:rPr>
                <w:rFonts w:ascii="Times New Roman" w:eastAsia="Times New Roman" w:hAnsi="Times New Roman" w:cs="Times New Roman"/>
                <w:bCs/>
                <w:color w:val="000000" w:themeColor="text1"/>
                <w:sz w:val="24"/>
                <w:szCs w:val="24"/>
                <w:shd w:val="clear" w:color="auto" w:fill="FFFFFF"/>
                <w:lang w:eastAsia="lv-LV"/>
              </w:rPr>
              <w:t>N</w:t>
            </w:r>
            <w:r w:rsidRPr="00E97131">
              <w:rPr>
                <w:rFonts w:ascii="Times New Roman" w:eastAsia="Times New Roman" w:hAnsi="Times New Roman" w:cs="Times New Roman"/>
                <w:iCs/>
                <w:color w:val="000000" w:themeColor="text1"/>
                <w:sz w:val="24"/>
                <w:szCs w:val="24"/>
                <w:lang w:eastAsia="lv-LV"/>
              </w:rPr>
              <w:t>oteikum</w:t>
            </w:r>
            <w:r>
              <w:rPr>
                <w:rFonts w:ascii="Times New Roman" w:eastAsia="Times New Roman" w:hAnsi="Times New Roman" w:cs="Times New Roman"/>
                <w:iCs/>
                <w:color w:val="000000" w:themeColor="text1"/>
                <w:sz w:val="24"/>
                <w:szCs w:val="24"/>
                <w:lang w:eastAsia="lv-LV"/>
              </w:rPr>
              <w:t>us</w:t>
            </w:r>
            <w:r w:rsidRPr="00E97131">
              <w:rPr>
                <w:rFonts w:ascii="Times New Roman" w:eastAsia="Times New Roman" w:hAnsi="Times New Roman" w:cs="Times New Roman"/>
                <w:iCs/>
                <w:color w:val="000000" w:themeColor="text1"/>
                <w:sz w:val="24"/>
                <w:szCs w:val="24"/>
                <w:lang w:eastAsia="lv-LV"/>
              </w:rPr>
              <w:t xml:space="preserve"> Nr. 281</w:t>
            </w:r>
            <w:r w:rsidRPr="00E97131">
              <w:rPr>
                <w:rFonts w:ascii="Times New Roman" w:eastAsia="Times New Roman" w:hAnsi="Times New Roman" w:cs="Times New Roman"/>
                <w:bCs/>
                <w:color w:val="000000" w:themeColor="text1"/>
                <w:sz w:val="24"/>
                <w:szCs w:val="24"/>
                <w:shd w:val="clear" w:color="auto" w:fill="FFFFFF"/>
                <w:lang w:eastAsia="lv-LV"/>
              </w:rPr>
              <w:t>, nosakot gadījumus un kārtību, kādā sniedzama informācija par sliekšņa deklarāciju, tās saturu, kā arī veidlapu.</w:t>
            </w:r>
          </w:p>
        </w:tc>
      </w:tr>
      <w:tr w:rsidR="00845A36" w:rsidRPr="009F0C6E" w14:paraId="1CCE0E3A" w14:textId="77777777" w:rsidTr="00F262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1D7702" w14:textId="77777777" w:rsidR="00845A36" w:rsidRPr="009F0C6E" w:rsidRDefault="00845A36" w:rsidP="007A15DA">
            <w:pPr>
              <w:spacing w:after="0" w:line="240" w:lineRule="auto"/>
              <w:rPr>
                <w:rFonts w:ascii="Times New Roman" w:eastAsia="Times New Roman" w:hAnsi="Times New Roman" w:cs="Times New Roman"/>
                <w:iCs/>
                <w:sz w:val="24"/>
                <w:szCs w:val="24"/>
                <w:lang w:eastAsia="lv-LV"/>
              </w:rPr>
            </w:pPr>
            <w:r w:rsidRPr="009F0C6E">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A6B87A0" w14:textId="77777777" w:rsidR="00845A36" w:rsidRPr="009F0C6E" w:rsidRDefault="00845A36" w:rsidP="007A15DA">
            <w:pPr>
              <w:spacing w:after="0" w:line="240" w:lineRule="auto"/>
              <w:rPr>
                <w:rFonts w:ascii="Times New Roman" w:eastAsia="Times New Roman" w:hAnsi="Times New Roman" w:cs="Times New Roman"/>
                <w:iCs/>
                <w:sz w:val="24"/>
                <w:szCs w:val="24"/>
                <w:lang w:eastAsia="lv-LV"/>
              </w:rPr>
            </w:pPr>
            <w:r w:rsidRPr="009F0C6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nil"/>
              <w:left w:val="nil"/>
              <w:bottom w:val="nil"/>
              <w:right w:val="nil"/>
            </w:tcBorders>
          </w:tcPr>
          <w:p w14:paraId="0A3F07BB" w14:textId="09C2A844" w:rsidR="00845A36" w:rsidRDefault="00845A36" w:rsidP="007A15DA">
            <w:pPr>
              <w:shd w:val="clear" w:color="auto" w:fill="FFFFFF"/>
              <w:spacing w:after="0" w:line="240" w:lineRule="auto"/>
              <w:jc w:val="both"/>
              <w:rPr>
                <w:rFonts w:ascii="Times New Roman" w:eastAsia="Times New Roman" w:hAnsi="Times New Roman" w:cs="Times New Roman"/>
                <w:iCs/>
                <w:color w:val="000000" w:themeColor="text1"/>
                <w:sz w:val="24"/>
                <w:szCs w:val="24"/>
                <w:lang w:eastAsia="lv-LV"/>
              </w:rPr>
            </w:pPr>
            <w:r w:rsidRPr="00E97131">
              <w:rPr>
                <w:rFonts w:ascii="Times New Roman" w:eastAsia="Times New Roman" w:hAnsi="Times New Roman" w:cs="Times New Roman"/>
                <w:iCs/>
                <w:color w:val="000000" w:themeColor="text1"/>
                <w:sz w:val="24"/>
                <w:szCs w:val="24"/>
                <w:lang w:eastAsia="lv-LV"/>
              </w:rPr>
              <w:t xml:space="preserve">Šobrīd spēkā esošie </w:t>
            </w:r>
            <w:r w:rsidR="005061B5">
              <w:rPr>
                <w:rFonts w:ascii="Times New Roman" w:eastAsia="Times New Roman" w:hAnsi="Times New Roman" w:cs="Times New Roman"/>
                <w:iCs/>
                <w:color w:val="000000" w:themeColor="text1"/>
                <w:sz w:val="24"/>
                <w:szCs w:val="24"/>
                <w:lang w:eastAsia="lv-LV"/>
              </w:rPr>
              <w:t>N</w:t>
            </w:r>
            <w:r w:rsidRPr="00E97131">
              <w:rPr>
                <w:rFonts w:ascii="Times New Roman" w:eastAsia="Times New Roman" w:hAnsi="Times New Roman" w:cs="Times New Roman"/>
                <w:iCs/>
                <w:color w:val="000000" w:themeColor="text1"/>
                <w:sz w:val="24"/>
                <w:szCs w:val="24"/>
                <w:lang w:eastAsia="lv-LV"/>
              </w:rPr>
              <w:t>oteikumi Nr. 281 tika izdoti, pamatojoties uz pirms Likuma grozījumiem ietverto deleģējumu, kas paredzēja  izdo</w:t>
            </w:r>
            <w:r w:rsidR="00B1177B">
              <w:rPr>
                <w:rFonts w:ascii="Times New Roman" w:eastAsia="Times New Roman" w:hAnsi="Times New Roman" w:cs="Times New Roman"/>
                <w:iCs/>
                <w:color w:val="000000" w:themeColor="text1"/>
                <w:sz w:val="24"/>
                <w:szCs w:val="24"/>
                <w:lang w:eastAsia="lv-LV"/>
              </w:rPr>
              <w:t>t</w:t>
            </w:r>
            <w:r w:rsidRPr="00E97131">
              <w:rPr>
                <w:rFonts w:ascii="Times New Roman" w:eastAsia="Times New Roman" w:hAnsi="Times New Roman" w:cs="Times New Roman"/>
                <w:iCs/>
                <w:color w:val="000000" w:themeColor="text1"/>
                <w:sz w:val="24"/>
                <w:szCs w:val="24"/>
                <w:lang w:eastAsia="lv-LV"/>
              </w:rPr>
              <w:t xml:space="preserve"> noteikumus, kuros apstiprināts neparasta darījuma pazīmju saraksts un kārtība, kādā sniedzami ziņojumi par neparastiem vai aizdomīgiem darījumiem, un apstiprina ziņojuma veidlapu.</w:t>
            </w:r>
          </w:p>
          <w:p w14:paraId="30D5C0DB" w14:textId="77777777" w:rsidR="007A15DA" w:rsidRDefault="007A15DA" w:rsidP="007A15DA">
            <w:pPr>
              <w:shd w:val="clear" w:color="auto" w:fill="FFFFFF"/>
              <w:spacing w:after="0" w:line="240" w:lineRule="auto"/>
              <w:jc w:val="both"/>
              <w:rPr>
                <w:rFonts w:ascii="Times New Roman" w:eastAsia="Times New Roman" w:hAnsi="Times New Roman" w:cs="Times New Roman"/>
                <w:iCs/>
                <w:color w:val="000000" w:themeColor="text1"/>
                <w:sz w:val="24"/>
                <w:szCs w:val="24"/>
                <w:lang w:eastAsia="lv-LV"/>
              </w:rPr>
            </w:pPr>
          </w:p>
          <w:p w14:paraId="0E769862" w14:textId="72B47BF7" w:rsidR="00BB4594" w:rsidRDefault="00BB4594" w:rsidP="007A15DA">
            <w:pPr>
              <w:shd w:val="clear" w:color="auto" w:fill="FFFFFF"/>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Līdz ar Noteikumu projektu atbilstoši Likumā ietvertajam deleģējumam tiek noteikti gadījumi, kad iesniedzama sliekšņa deklarācija, tās iesniegšanas kārtību, saturu, kā arī sliekšņa deklarācijas veidlapu.</w:t>
            </w:r>
          </w:p>
          <w:p w14:paraId="4EBADC33" w14:textId="1120069E" w:rsidR="00845A36" w:rsidRDefault="00845A36" w:rsidP="007A15DA">
            <w:pPr>
              <w:shd w:val="clear" w:color="auto" w:fill="FFFFFF"/>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Vienlaikus ar mērķi padarīt skaidrāku regulējumu un </w:t>
            </w:r>
            <w:r w:rsidR="008F0074">
              <w:rPr>
                <w:rFonts w:ascii="Times New Roman" w:eastAsia="Times New Roman" w:hAnsi="Times New Roman" w:cs="Times New Roman"/>
                <w:iCs/>
                <w:color w:val="000000" w:themeColor="text1"/>
                <w:sz w:val="24"/>
                <w:szCs w:val="24"/>
                <w:lang w:eastAsia="lv-LV"/>
              </w:rPr>
              <w:t>skaidrākus</w:t>
            </w:r>
            <w:r>
              <w:rPr>
                <w:rFonts w:ascii="Times New Roman" w:eastAsia="Times New Roman" w:hAnsi="Times New Roman" w:cs="Times New Roman"/>
                <w:iCs/>
                <w:color w:val="000000" w:themeColor="text1"/>
                <w:sz w:val="24"/>
                <w:szCs w:val="24"/>
                <w:lang w:eastAsia="lv-LV"/>
              </w:rPr>
              <w:t xml:space="preserve"> Likuma subjektu pienākumus, kā arī ņemot vērā to, ka attiecībā uz sliekšņa deklarāciju un ziņojumu par aizdomīgiem darījumiem saturu un kārtību ir divi deleģējumi, tiek izstrādāt</w:t>
            </w:r>
            <w:r w:rsidR="005061B5">
              <w:rPr>
                <w:rFonts w:ascii="Times New Roman" w:eastAsia="Times New Roman" w:hAnsi="Times New Roman" w:cs="Times New Roman"/>
                <w:iCs/>
                <w:color w:val="000000" w:themeColor="text1"/>
                <w:sz w:val="24"/>
                <w:szCs w:val="24"/>
                <w:lang w:eastAsia="lv-LV"/>
              </w:rPr>
              <w:t>i</w:t>
            </w:r>
            <w:r>
              <w:rPr>
                <w:rFonts w:ascii="Times New Roman" w:eastAsia="Times New Roman" w:hAnsi="Times New Roman" w:cs="Times New Roman"/>
                <w:iCs/>
                <w:color w:val="000000" w:themeColor="text1"/>
                <w:sz w:val="24"/>
                <w:szCs w:val="24"/>
                <w:lang w:eastAsia="lv-LV"/>
              </w:rPr>
              <w:t xml:space="preserve"> divi ministru kabineta noteikumu projekti: </w:t>
            </w:r>
          </w:p>
          <w:p w14:paraId="719E669E" w14:textId="77777777" w:rsidR="00845A36" w:rsidRPr="004220E3" w:rsidRDefault="00845A36" w:rsidP="007A15DA">
            <w:pPr>
              <w:pStyle w:val="ListParagraph"/>
              <w:numPr>
                <w:ilvl w:val="0"/>
                <w:numId w:val="5"/>
              </w:numPr>
              <w:shd w:val="clear" w:color="auto" w:fill="FFFFFF"/>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 xml:space="preserve">Ministru kabineta noteikumi </w:t>
            </w:r>
            <w:r w:rsidRPr="00056408">
              <w:rPr>
                <w:rFonts w:ascii="Times New Roman" w:eastAsia="Times New Roman" w:hAnsi="Times New Roman" w:cs="Times New Roman"/>
                <w:bCs/>
                <w:color w:val="000000" w:themeColor="text1"/>
                <w:sz w:val="24"/>
                <w:szCs w:val="24"/>
                <w:lang w:eastAsia="lv-LV"/>
              </w:rPr>
              <w:t xml:space="preserve">„Noteikumi par kārtību, kādā sniedzami ziņojumi par aizdomīgiem darījumiem”, </w:t>
            </w:r>
          </w:p>
          <w:p w14:paraId="64D3B049" w14:textId="77777777" w:rsidR="00845A36" w:rsidRPr="004220E3" w:rsidRDefault="00845A36" w:rsidP="007A15DA">
            <w:pPr>
              <w:pStyle w:val="ListParagraph"/>
              <w:numPr>
                <w:ilvl w:val="0"/>
                <w:numId w:val="5"/>
              </w:numPr>
              <w:shd w:val="clear" w:color="auto" w:fill="FFFFFF"/>
              <w:spacing w:after="0" w:line="240" w:lineRule="auto"/>
              <w:jc w:val="both"/>
              <w:rPr>
                <w:rFonts w:ascii="Times New Roman" w:eastAsia="Times New Roman" w:hAnsi="Times New Roman" w:cs="Times New Roman"/>
                <w:iCs/>
                <w:color w:val="000000" w:themeColor="text1"/>
                <w:sz w:val="24"/>
                <w:szCs w:val="24"/>
                <w:lang w:eastAsia="lv-LV"/>
              </w:rPr>
            </w:pPr>
            <w:r w:rsidRPr="00056408">
              <w:rPr>
                <w:rFonts w:ascii="Times New Roman" w:hAnsi="Times New Roman" w:cs="Times New Roman"/>
                <w:color w:val="000000"/>
                <w:sz w:val="24"/>
                <w:szCs w:val="24"/>
              </w:rPr>
              <w:t>Ministru kabineta noteikumi „Noteikumi par sliekšņa deklarācijas iesniegšanas kārtību un saturu”</w:t>
            </w:r>
            <w:r>
              <w:rPr>
                <w:rFonts w:ascii="Times New Roman" w:hAnsi="Times New Roman" w:cs="Times New Roman"/>
                <w:color w:val="000000"/>
                <w:sz w:val="24"/>
                <w:szCs w:val="24"/>
              </w:rPr>
              <w:t>.</w:t>
            </w:r>
          </w:p>
          <w:p w14:paraId="26DD0E6C" w14:textId="77777777" w:rsidR="007A15DA" w:rsidRDefault="007A15DA" w:rsidP="007A15DA">
            <w:pPr>
              <w:shd w:val="clear" w:color="auto" w:fill="FFFFFF"/>
              <w:spacing w:after="0" w:line="240" w:lineRule="auto"/>
              <w:jc w:val="both"/>
              <w:rPr>
                <w:rFonts w:ascii="Times New Roman" w:eastAsia="Times New Roman" w:hAnsi="Times New Roman" w:cs="Times New Roman"/>
                <w:iCs/>
                <w:color w:val="000000" w:themeColor="text1"/>
                <w:sz w:val="24"/>
                <w:szCs w:val="24"/>
                <w:lang w:eastAsia="lv-LV"/>
              </w:rPr>
            </w:pPr>
          </w:p>
          <w:p w14:paraId="281EC826" w14:textId="13545F6A" w:rsidR="00845A36" w:rsidRPr="0071246A" w:rsidRDefault="00845A36" w:rsidP="007A15DA">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71246A">
              <w:rPr>
                <w:rFonts w:ascii="Times New Roman" w:eastAsia="Times New Roman" w:hAnsi="Times New Roman" w:cs="Times New Roman"/>
                <w:iCs/>
                <w:color w:val="000000" w:themeColor="text1"/>
                <w:sz w:val="24"/>
                <w:szCs w:val="24"/>
                <w:lang w:eastAsia="lv-LV"/>
              </w:rPr>
              <w:t xml:space="preserve">Ievērojot minēto, Noteikumu projekts tiek attiecināts tikai uz </w:t>
            </w:r>
            <w:r w:rsidR="00BB4594">
              <w:rPr>
                <w:rFonts w:ascii="Times New Roman" w:eastAsia="Times New Roman" w:hAnsi="Times New Roman" w:cs="Times New Roman"/>
                <w:iCs/>
                <w:color w:val="000000" w:themeColor="text1"/>
                <w:sz w:val="24"/>
                <w:szCs w:val="24"/>
                <w:lang w:eastAsia="lv-LV"/>
              </w:rPr>
              <w:t xml:space="preserve">sliekšņa deklarāciju iesniegšanu, savukārt attiecībā uz ziņojumu sniegšanu par aizdomīgiem darījumiem apstiprināšanai tiek virzīti atsevišķi Ministru kabineta noteikumi.  </w:t>
            </w:r>
          </w:p>
          <w:p w14:paraId="6BD27F30" w14:textId="77777777" w:rsidR="00E45B54" w:rsidRDefault="00E45B54" w:rsidP="007A15DA">
            <w:pPr>
              <w:spacing w:after="0" w:line="240" w:lineRule="auto"/>
              <w:ind w:right="107"/>
              <w:rPr>
                <w:rFonts w:ascii="Times New Roman" w:eastAsia="Calibri" w:hAnsi="Times New Roman" w:cs="Times New Roman"/>
                <w:b/>
                <w:bCs/>
                <w:sz w:val="24"/>
                <w:szCs w:val="24"/>
              </w:rPr>
            </w:pPr>
          </w:p>
          <w:p w14:paraId="1B8043B4" w14:textId="50914CFE" w:rsidR="00845A36" w:rsidRDefault="00845A36" w:rsidP="007A15DA">
            <w:pPr>
              <w:spacing w:after="0" w:line="240" w:lineRule="auto"/>
              <w:ind w:right="107"/>
              <w:jc w:val="center"/>
              <w:rPr>
                <w:rFonts w:ascii="Times New Roman" w:eastAsia="Calibri" w:hAnsi="Times New Roman" w:cs="Times New Roman"/>
                <w:b/>
                <w:bCs/>
                <w:sz w:val="24"/>
                <w:szCs w:val="24"/>
              </w:rPr>
            </w:pPr>
            <w:r w:rsidRPr="0071246A">
              <w:rPr>
                <w:rFonts w:ascii="Times New Roman" w:eastAsia="Calibri" w:hAnsi="Times New Roman" w:cs="Times New Roman"/>
                <w:b/>
                <w:bCs/>
                <w:sz w:val="24"/>
                <w:szCs w:val="24"/>
              </w:rPr>
              <w:t>Noteikumu projekta saturs</w:t>
            </w:r>
          </w:p>
          <w:p w14:paraId="7143953F" w14:textId="420ED08F" w:rsidR="00023A5A" w:rsidRDefault="00023A5A" w:rsidP="007A15DA">
            <w:pPr>
              <w:spacing w:after="0" w:line="240" w:lineRule="auto"/>
              <w:ind w:right="107"/>
              <w:jc w:val="center"/>
              <w:rPr>
                <w:rFonts w:ascii="Times New Roman" w:eastAsia="Calibri" w:hAnsi="Times New Roman" w:cs="Times New Roman"/>
                <w:b/>
                <w:bCs/>
                <w:sz w:val="24"/>
                <w:szCs w:val="24"/>
              </w:rPr>
            </w:pPr>
          </w:p>
          <w:p w14:paraId="6763786D" w14:textId="47E5FC50" w:rsidR="00BB4594" w:rsidRDefault="00BB4594" w:rsidP="007A15DA">
            <w:pPr>
              <w:pStyle w:val="tv213"/>
              <w:shd w:val="clear" w:color="auto" w:fill="FFFFFF"/>
              <w:spacing w:before="0" w:beforeAutospacing="0" w:after="0" w:afterAutospacing="0"/>
              <w:jc w:val="both"/>
              <w:rPr>
                <w:rFonts w:eastAsia="Calibri"/>
                <w:bCs/>
              </w:rPr>
            </w:pPr>
            <w:r>
              <w:rPr>
                <w:rFonts w:eastAsia="Calibri"/>
                <w:bCs/>
              </w:rPr>
              <w:t>Šobrīd spēkā esošajos Noteikumos Nr. 281 vairākas noteiktās pazīmes ir saistītas ar klienta izpētes un darījuma uzraudzības padziļinātas analīzes rezultātā konstatētām aizdomām</w:t>
            </w:r>
            <w:r>
              <w:rPr>
                <w:rStyle w:val="FootnoteReference"/>
                <w:rFonts w:eastAsia="Calibri"/>
                <w:bCs/>
              </w:rPr>
              <w:footnoteReference w:id="2"/>
            </w:r>
            <w:r>
              <w:rPr>
                <w:rFonts w:eastAsia="Calibri"/>
                <w:bCs/>
              </w:rPr>
              <w:t xml:space="preserve">, kas norāda uz darījuma </w:t>
            </w:r>
            <w:r>
              <w:rPr>
                <w:rFonts w:eastAsia="Calibri"/>
                <w:bCs/>
              </w:rPr>
              <w:lastRenderedPageBreak/>
              <w:t xml:space="preserve">aizdomīgumu. Sliekšņa deklarācijas </w:t>
            </w:r>
            <w:proofErr w:type="spellStart"/>
            <w:r>
              <w:rPr>
                <w:rFonts w:eastAsia="Calibri"/>
                <w:bCs/>
              </w:rPr>
              <w:t>pamatbūtība</w:t>
            </w:r>
            <w:proofErr w:type="spellEnd"/>
            <w:r>
              <w:rPr>
                <w:rFonts w:eastAsia="Calibri"/>
                <w:bCs/>
              </w:rPr>
              <w:t xml:space="preserve"> ir sniegt ziņas par faktu, k</w:t>
            </w:r>
            <w:r w:rsidR="00B1177B">
              <w:rPr>
                <w:rFonts w:eastAsia="Calibri"/>
                <w:bCs/>
              </w:rPr>
              <w:t>ā</w:t>
            </w:r>
            <w:r>
              <w:rPr>
                <w:rFonts w:eastAsia="Calibri"/>
                <w:bCs/>
              </w:rPr>
              <w:t xml:space="preserve"> konstatēšanai nav nepieciešama papildus analīze ar mērķi nodrošināt Finanšu izlūkošanas dienestu ar informāciju, kas var būt būtiska, turpmākajā citu saistītu darījumu apstrādē un analīzē</w:t>
            </w:r>
            <w:r w:rsidR="00B1177B">
              <w:rPr>
                <w:rFonts w:eastAsia="Calibri"/>
                <w:bCs/>
              </w:rPr>
              <w:t xml:space="preserve"> gan operatīvās, gan stratēģiskās analīzes līmenī.  </w:t>
            </w:r>
          </w:p>
          <w:p w14:paraId="741E897F" w14:textId="77777777" w:rsidR="00EE27A4" w:rsidRDefault="00EE27A4" w:rsidP="007A15DA">
            <w:pPr>
              <w:pStyle w:val="tv213"/>
              <w:shd w:val="clear" w:color="auto" w:fill="FFFFFF"/>
              <w:spacing w:before="0" w:beforeAutospacing="0" w:after="0" w:afterAutospacing="0"/>
              <w:jc w:val="both"/>
              <w:rPr>
                <w:rFonts w:eastAsia="Calibri"/>
                <w:bCs/>
              </w:rPr>
            </w:pPr>
          </w:p>
          <w:p w14:paraId="2FEE98FB" w14:textId="0578D29F" w:rsidR="00BB4594" w:rsidRDefault="00BB4594" w:rsidP="007A15DA">
            <w:pPr>
              <w:pStyle w:val="tv213"/>
              <w:shd w:val="clear" w:color="auto" w:fill="FFFFFF"/>
              <w:spacing w:before="0" w:beforeAutospacing="0" w:after="0" w:afterAutospacing="0"/>
              <w:jc w:val="both"/>
              <w:rPr>
                <w:color w:val="000000" w:themeColor="text1"/>
              </w:rPr>
            </w:pPr>
            <w:r w:rsidRPr="002A72D9">
              <w:rPr>
                <w:rFonts w:eastAsia="Calibri"/>
                <w:bCs/>
              </w:rPr>
              <w:t>Likum</w:t>
            </w:r>
            <w:r w:rsidR="00B1177B" w:rsidRPr="002A72D9">
              <w:rPr>
                <w:rFonts w:eastAsia="Calibri"/>
                <w:bCs/>
              </w:rPr>
              <w:t>a</w:t>
            </w:r>
            <w:r w:rsidRPr="002A72D9">
              <w:rPr>
                <w:rFonts w:eastAsia="Calibri"/>
                <w:bCs/>
              </w:rPr>
              <w:t xml:space="preserve"> subjektiem </w:t>
            </w:r>
            <w:r w:rsidR="00EE27A4" w:rsidRPr="002A72D9">
              <w:rPr>
                <w:rFonts w:eastAsia="Calibri"/>
                <w:bCs/>
              </w:rPr>
              <w:t xml:space="preserve">līdz ar </w:t>
            </w:r>
            <w:r w:rsidR="00EE27A4" w:rsidRPr="004A3DD2">
              <w:rPr>
                <w:rFonts w:eastAsia="Calibri"/>
                <w:b/>
                <w:bCs/>
              </w:rPr>
              <w:t>Noteikumu projekta 2.punktu</w:t>
            </w:r>
            <w:r w:rsidR="00EE27A4" w:rsidRPr="002A72D9">
              <w:rPr>
                <w:rFonts w:eastAsia="Calibri"/>
                <w:bCs/>
              </w:rPr>
              <w:t xml:space="preserve"> </w:t>
            </w:r>
            <w:r w:rsidRPr="002A72D9">
              <w:rPr>
                <w:rFonts w:eastAsia="Calibri"/>
                <w:bCs/>
              </w:rPr>
              <w:t xml:space="preserve">tiek noteikts pienākums reizi nedēļā iesniegt Finanšu izlūkošanas dienestam </w:t>
            </w:r>
            <w:r w:rsidR="007730FC">
              <w:rPr>
                <w:rFonts w:eastAsia="Calibri"/>
                <w:bCs/>
              </w:rPr>
              <w:t>sliekšņa deklarāciju</w:t>
            </w:r>
            <w:r w:rsidRPr="002A72D9">
              <w:rPr>
                <w:rFonts w:eastAsia="Calibri"/>
                <w:bCs/>
              </w:rPr>
              <w:t xml:space="preserve"> par </w:t>
            </w:r>
            <w:r w:rsidR="00EE27A4" w:rsidRPr="002A72D9">
              <w:rPr>
                <w:color w:val="000000" w:themeColor="text1"/>
              </w:rPr>
              <w:t xml:space="preserve">katru iepriekšējā periodā veiktu darījumu </w:t>
            </w:r>
            <w:r w:rsidR="002A72D9" w:rsidRPr="002A72D9">
              <w:rPr>
                <w:color w:val="000000" w:themeColor="text1"/>
              </w:rPr>
              <w:t xml:space="preserve">starp Likuma subjektu un viņa klientu </w:t>
            </w:r>
            <w:r w:rsidR="00EE27A4" w:rsidRPr="002A72D9">
              <w:rPr>
                <w:color w:val="000000" w:themeColor="text1"/>
              </w:rPr>
              <w:t>Noteikumu projekta 5.punktā noteiktajos gadījumos</w:t>
            </w:r>
            <w:r w:rsidRPr="002A72D9">
              <w:rPr>
                <w:rFonts w:eastAsia="Calibri"/>
                <w:bCs/>
              </w:rPr>
              <w:t>.</w:t>
            </w:r>
            <w:r w:rsidR="0037600C" w:rsidRPr="002A72D9">
              <w:rPr>
                <w:rFonts w:eastAsia="Calibri"/>
                <w:bCs/>
              </w:rPr>
              <w:t xml:space="preserve"> Uzsverams, ka līdzšinējā kārtība noteica ziņojumus par neparastiem darījumiem Finanšu izlūkošanas dienestam sniegt nekavējoties.</w:t>
            </w:r>
            <w:r w:rsidRPr="002A72D9">
              <w:rPr>
                <w:rFonts w:eastAsia="Calibri"/>
                <w:bCs/>
              </w:rPr>
              <w:t xml:space="preserve"> </w:t>
            </w:r>
            <w:r w:rsidR="002A72D9" w:rsidRPr="004A3DD2">
              <w:rPr>
                <w:color w:val="000000" w:themeColor="text1"/>
              </w:rPr>
              <w:t xml:space="preserve">Noteikumu projekta 2.punkts nosaka, ka likuma subjekti reizi nedēļā sniedz </w:t>
            </w:r>
            <w:r w:rsidR="00DE2294">
              <w:rPr>
                <w:color w:val="000000" w:themeColor="text1"/>
              </w:rPr>
              <w:t>sliekšņa deklarāciju</w:t>
            </w:r>
            <w:r w:rsidR="002A72D9" w:rsidRPr="004A3DD2">
              <w:rPr>
                <w:color w:val="000000" w:themeColor="text1"/>
              </w:rPr>
              <w:t xml:space="preserve"> Finanšu izlūkošanas dienestam par katru iepriekšējā periodā </w:t>
            </w:r>
            <w:r w:rsidR="002A72D9" w:rsidRPr="004A3DD2">
              <w:rPr>
                <w:b/>
                <w:color w:val="000000" w:themeColor="text1"/>
              </w:rPr>
              <w:t>veiktu</w:t>
            </w:r>
            <w:r w:rsidR="002A72D9" w:rsidRPr="004A3DD2">
              <w:rPr>
                <w:color w:val="000000" w:themeColor="text1"/>
              </w:rPr>
              <w:t xml:space="preserve"> darījumu noteikumos noteiktajos gadījumos. Attiecīgi norādāms, ka pienākums iesniegt sliekšņa deklarāciju ir par veiktu darījumu, kā rezultātā, ja darījumi konkrētajā periodā nav veikti, sliekšņa deklarācija par darījumiem Finanšu izlūkošanas dienestam nav iesniedzama. Tāpat sliekšņa deklarācijas nav jāsniedz gadījumos, kad likuma subjekts savas darba specifikas dēļ Noteikumu 5.punktā minētos darījumus neveic</w:t>
            </w:r>
            <w:r w:rsidR="002A72D9">
              <w:rPr>
                <w:color w:val="000000" w:themeColor="text1"/>
              </w:rPr>
              <w:t>, kā rezultātā neiestājas Noteikumu projekta 5.punktā minētie gadījumi</w:t>
            </w:r>
            <w:r w:rsidR="002A72D9" w:rsidRPr="004A3DD2">
              <w:rPr>
                <w:color w:val="000000" w:themeColor="text1"/>
              </w:rPr>
              <w:t xml:space="preserve">. </w:t>
            </w:r>
          </w:p>
          <w:p w14:paraId="425E778F" w14:textId="3D1D7D52" w:rsidR="002A72D9" w:rsidRDefault="002A72D9" w:rsidP="007A15DA">
            <w:pPr>
              <w:pStyle w:val="tv213"/>
              <w:shd w:val="clear" w:color="auto" w:fill="FFFFFF"/>
              <w:spacing w:before="0" w:beforeAutospacing="0" w:after="0" w:afterAutospacing="0"/>
              <w:jc w:val="both"/>
              <w:rPr>
                <w:color w:val="000000" w:themeColor="text1"/>
              </w:rPr>
            </w:pPr>
          </w:p>
          <w:p w14:paraId="2F5D7A7F" w14:textId="794106E4" w:rsidR="002A72D9" w:rsidRPr="004A3DD2" w:rsidRDefault="002A72D9" w:rsidP="007A15DA">
            <w:pPr>
              <w:pStyle w:val="tv213"/>
              <w:shd w:val="clear" w:color="auto" w:fill="FFFFFF"/>
              <w:spacing w:before="0" w:beforeAutospacing="0" w:after="0" w:afterAutospacing="0"/>
              <w:jc w:val="both"/>
              <w:rPr>
                <w:color w:val="000000" w:themeColor="text1"/>
              </w:rPr>
            </w:pPr>
            <w:r>
              <w:rPr>
                <w:color w:val="000000" w:themeColor="text1"/>
              </w:rPr>
              <w:t>Gadījumos, ja Likuma subjekts identificē klienta un trešās personas darījumu</w:t>
            </w:r>
            <w:r w:rsidR="00BD2DD2">
              <w:rPr>
                <w:color w:val="000000" w:themeColor="text1"/>
              </w:rPr>
              <w:t xml:space="preserve"> (kurā Likuma subjekts nav piedalījies)</w:t>
            </w:r>
            <w:r>
              <w:rPr>
                <w:color w:val="000000" w:themeColor="text1"/>
              </w:rPr>
              <w:t>, kas atbilst Noteikumu 5.punktā minētajiem nosacījumiem vai rodas aizdomas par iespējamu noziedzīgi iegūtu līdzekļu legalizāciju, terorisma vai proliferācijas finansēšanu, Likuma subjektam</w:t>
            </w:r>
            <w:r w:rsidR="005061B5">
              <w:rPr>
                <w:color w:val="000000" w:themeColor="text1"/>
              </w:rPr>
              <w:t xml:space="preserve"> sliekšņa deklarācija nav jāsniedz, taču</w:t>
            </w:r>
            <w:r>
              <w:rPr>
                <w:color w:val="000000" w:themeColor="text1"/>
              </w:rPr>
              <w:t xml:space="preserve"> nepieciešams izvērtēt ziņojuma par aizdomīgu darījumu iesniegšanas nepieciešamību Finanšu izlūkošanas dienestam.</w:t>
            </w:r>
          </w:p>
          <w:p w14:paraId="6605E4E8" w14:textId="102C6D8D" w:rsidR="002A72D9" w:rsidRDefault="002A72D9" w:rsidP="007A15DA">
            <w:pPr>
              <w:pStyle w:val="tv213"/>
              <w:shd w:val="clear" w:color="auto" w:fill="FFFFFF"/>
              <w:spacing w:before="0" w:beforeAutospacing="0" w:after="0" w:afterAutospacing="0"/>
              <w:jc w:val="both"/>
              <w:rPr>
                <w:rFonts w:eastAsia="Calibri"/>
                <w:bCs/>
              </w:rPr>
            </w:pPr>
          </w:p>
          <w:p w14:paraId="30D889AD" w14:textId="4EB25210" w:rsidR="00BB4594" w:rsidRDefault="0055217C" w:rsidP="007A15DA">
            <w:pPr>
              <w:shd w:val="clear" w:color="auto" w:fill="FFFFFF"/>
              <w:tabs>
                <w:tab w:val="left" w:pos="993"/>
              </w:tabs>
              <w:spacing w:after="0" w:line="240" w:lineRule="auto"/>
              <w:jc w:val="both"/>
              <w:rPr>
                <w:rFonts w:ascii="Times New Roman" w:eastAsia="Calibri" w:hAnsi="Times New Roman" w:cs="Times New Roman"/>
                <w:bCs/>
                <w:sz w:val="24"/>
                <w:szCs w:val="24"/>
                <w:lang w:eastAsia="lv-LV"/>
              </w:rPr>
            </w:pPr>
            <w:r w:rsidRPr="0055217C">
              <w:rPr>
                <w:rFonts w:ascii="Times New Roman" w:eastAsia="Calibri" w:hAnsi="Times New Roman" w:cs="Times New Roman"/>
                <w:bCs/>
                <w:sz w:val="24"/>
                <w:szCs w:val="24"/>
                <w:lang w:eastAsia="lv-LV"/>
              </w:rPr>
              <w:t xml:space="preserve">Vienlaikus </w:t>
            </w:r>
            <w:r w:rsidR="00EE27A4">
              <w:rPr>
                <w:rFonts w:ascii="Times New Roman" w:eastAsia="Calibri" w:hAnsi="Times New Roman" w:cs="Times New Roman"/>
                <w:bCs/>
                <w:sz w:val="24"/>
                <w:szCs w:val="24"/>
                <w:lang w:eastAsia="lv-LV"/>
              </w:rPr>
              <w:t xml:space="preserve">ar </w:t>
            </w:r>
            <w:r w:rsidR="00EE27A4" w:rsidRPr="004A3DD2">
              <w:rPr>
                <w:rFonts w:ascii="Times New Roman" w:eastAsia="Calibri" w:hAnsi="Times New Roman" w:cs="Times New Roman"/>
                <w:b/>
                <w:bCs/>
                <w:sz w:val="24"/>
                <w:szCs w:val="24"/>
                <w:lang w:eastAsia="lv-LV"/>
              </w:rPr>
              <w:t>Noteikumu projekta 3.punktu</w:t>
            </w:r>
            <w:r w:rsidR="00EE27A4">
              <w:rPr>
                <w:rFonts w:ascii="Times New Roman" w:eastAsia="Calibri" w:hAnsi="Times New Roman" w:cs="Times New Roman"/>
                <w:bCs/>
                <w:sz w:val="24"/>
                <w:szCs w:val="24"/>
                <w:lang w:eastAsia="lv-LV"/>
              </w:rPr>
              <w:t xml:space="preserve"> </w:t>
            </w:r>
            <w:r w:rsidRPr="0055217C">
              <w:rPr>
                <w:rFonts w:ascii="Times New Roman" w:eastAsia="Calibri" w:hAnsi="Times New Roman" w:cs="Times New Roman"/>
                <w:bCs/>
                <w:sz w:val="24"/>
                <w:szCs w:val="24"/>
                <w:lang w:eastAsia="lv-LV"/>
              </w:rPr>
              <w:t>tiek precizēts, ka iepriekšējais periods, par kād</w:t>
            </w:r>
            <w:r w:rsidR="00D43199">
              <w:rPr>
                <w:rFonts w:ascii="Times New Roman" w:eastAsia="Calibri" w:hAnsi="Times New Roman" w:cs="Times New Roman"/>
                <w:bCs/>
                <w:sz w:val="24"/>
                <w:szCs w:val="24"/>
                <w:lang w:eastAsia="lv-LV"/>
              </w:rPr>
              <w:t>u ir iesniedzama deklarācija ir</w:t>
            </w:r>
            <w:r w:rsidRPr="0055217C">
              <w:rPr>
                <w:rFonts w:ascii="Times New Roman" w:eastAsia="Calibri" w:hAnsi="Times New Roman" w:cs="Times New Roman"/>
                <w:bCs/>
                <w:sz w:val="24"/>
                <w:szCs w:val="24"/>
                <w:lang w:eastAsia="lv-LV"/>
              </w:rPr>
              <w:t xml:space="preserve"> laika posms no iepriekšējās sliekšņa deklarācijas iesniegšanas brīža.</w:t>
            </w:r>
          </w:p>
          <w:p w14:paraId="71576EFF" w14:textId="77777777" w:rsidR="00EE27A4" w:rsidRPr="009D6997" w:rsidRDefault="00EE27A4" w:rsidP="007A15DA">
            <w:pPr>
              <w:shd w:val="clear" w:color="auto" w:fill="FFFFFF"/>
              <w:tabs>
                <w:tab w:val="left" w:pos="993"/>
              </w:tabs>
              <w:spacing w:after="0" w:line="240" w:lineRule="auto"/>
              <w:jc w:val="both"/>
              <w:rPr>
                <w:rFonts w:ascii="Times New Roman" w:eastAsia="Calibri" w:hAnsi="Times New Roman" w:cs="Times New Roman"/>
                <w:bCs/>
                <w:sz w:val="24"/>
                <w:szCs w:val="24"/>
                <w:lang w:eastAsia="lv-LV"/>
              </w:rPr>
            </w:pPr>
          </w:p>
          <w:p w14:paraId="7A2D8475" w14:textId="27F33E70" w:rsidR="0055217C" w:rsidRDefault="0055217C" w:rsidP="007A15DA">
            <w:pPr>
              <w:shd w:val="clear" w:color="auto" w:fill="FFFFFF"/>
              <w:tabs>
                <w:tab w:val="left" w:pos="567"/>
                <w:tab w:val="left" w:pos="993"/>
              </w:tabs>
              <w:spacing w:after="0" w:line="240" w:lineRule="auto"/>
              <w:jc w:val="both"/>
              <w:rPr>
                <w:rFonts w:ascii="Times New Roman" w:eastAsia="Calibri" w:hAnsi="Times New Roman" w:cs="Times New Roman"/>
                <w:bCs/>
                <w:sz w:val="24"/>
                <w:szCs w:val="24"/>
                <w:lang w:eastAsia="lv-LV"/>
              </w:rPr>
            </w:pPr>
            <w:r w:rsidRPr="0055217C">
              <w:rPr>
                <w:rFonts w:ascii="Times New Roman" w:eastAsia="Calibri" w:hAnsi="Times New Roman" w:cs="Times New Roman"/>
                <w:bCs/>
                <w:sz w:val="24"/>
                <w:szCs w:val="24"/>
                <w:lang w:eastAsia="lv-LV"/>
              </w:rPr>
              <w:t xml:space="preserve">Papildus </w:t>
            </w:r>
            <w:r w:rsidR="00EE27A4">
              <w:rPr>
                <w:rFonts w:ascii="Times New Roman" w:eastAsia="Calibri" w:hAnsi="Times New Roman" w:cs="Times New Roman"/>
                <w:bCs/>
                <w:sz w:val="24"/>
                <w:szCs w:val="24"/>
                <w:lang w:eastAsia="lv-LV"/>
              </w:rPr>
              <w:t xml:space="preserve">norādāms, ka </w:t>
            </w:r>
            <w:r w:rsidRPr="0055217C">
              <w:rPr>
                <w:rFonts w:ascii="Times New Roman" w:eastAsia="Calibri" w:hAnsi="Times New Roman" w:cs="Times New Roman"/>
                <w:bCs/>
                <w:sz w:val="24"/>
                <w:szCs w:val="24"/>
                <w:lang w:eastAsia="lv-LV"/>
              </w:rPr>
              <w:t xml:space="preserve">gadījumā, </w:t>
            </w:r>
            <w:r w:rsidR="008F0074">
              <w:rPr>
                <w:rFonts w:ascii="Times New Roman" w:eastAsia="Calibri" w:hAnsi="Times New Roman" w:cs="Times New Roman"/>
                <w:bCs/>
                <w:sz w:val="24"/>
                <w:szCs w:val="24"/>
                <w:lang w:eastAsia="lv-LV"/>
              </w:rPr>
              <w:t>j</w:t>
            </w:r>
            <w:r w:rsidRPr="0055217C">
              <w:rPr>
                <w:rFonts w:ascii="Times New Roman" w:eastAsia="Calibri" w:hAnsi="Times New Roman" w:cs="Times New Roman"/>
                <w:bCs/>
                <w:sz w:val="24"/>
                <w:szCs w:val="24"/>
                <w:lang w:eastAsia="lv-LV"/>
              </w:rPr>
              <w:t xml:space="preserve">a informācija, kas ir </w:t>
            </w:r>
            <w:r w:rsidR="00EE27A4">
              <w:rPr>
                <w:rFonts w:ascii="Times New Roman" w:eastAsia="Calibri" w:hAnsi="Times New Roman" w:cs="Times New Roman"/>
                <w:bCs/>
                <w:sz w:val="24"/>
                <w:szCs w:val="24"/>
                <w:lang w:eastAsia="lv-LV"/>
              </w:rPr>
              <w:t>l</w:t>
            </w:r>
            <w:r w:rsidRPr="0055217C">
              <w:rPr>
                <w:rFonts w:ascii="Times New Roman" w:eastAsia="Calibri" w:hAnsi="Times New Roman" w:cs="Times New Roman"/>
                <w:bCs/>
                <w:sz w:val="24"/>
                <w:szCs w:val="24"/>
                <w:lang w:eastAsia="lv-LV"/>
              </w:rPr>
              <w:t>ikuma subjekta rīcībā</w:t>
            </w:r>
            <w:r w:rsidR="008F0074">
              <w:rPr>
                <w:rFonts w:ascii="Times New Roman" w:eastAsia="Calibri" w:hAnsi="Times New Roman" w:cs="Times New Roman"/>
                <w:bCs/>
                <w:sz w:val="24"/>
                <w:szCs w:val="24"/>
                <w:lang w:eastAsia="lv-LV"/>
              </w:rPr>
              <w:t>,</w:t>
            </w:r>
            <w:r w:rsidRPr="0055217C">
              <w:rPr>
                <w:rFonts w:ascii="Times New Roman" w:eastAsia="Calibri" w:hAnsi="Times New Roman" w:cs="Times New Roman"/>
                <w:bCs/>
                <w:sz w:val="24"/>
                <w:szCs w:val="24"/>
                <w:lang w:eastAsia="lv-LV"/>
              </w:rPr>
              <w:t xml:space="preserve"> atbilst gan Noteikumu projekta </w:t>
            </w:r>
            <w:r w:rsidR="00EE27A4">
              <w:rPr>
                <w:rFonts w:ascii="Times New Roman" w:eastAsia="Calibri" w:hAnsi="Times New Roman" w:cs="Times New Roman"/>
                <w:bCs/>
                <w:sz w:val="24"/>
                <w:szCs w:val="24"/>
                <w:lang w:eastAsia="lv-LV"/>
              </w:rPr>
              <w:t>5</w:t>
            </w:r>
            <w:r w:rsidRPr="0055217C">
              <w:rPr>
                <w:rFonts w:ascii="Times New Roman" w:eastAsia="Calibri" w:hAnsi="Times New Roman" w:cs="Times New Roman"/>
                <w:bCs/>
                <w:sz w:val="24"/>
                <w:szCs w:val="24"/>
                <w:lang w:eastAsia="lv-LV"/>
              </w:rPr>
              <w:t>.punktā minētaj</w:t>
            </w:r>
            <w:r w:rsidR="00EE27A4">
              <w:rPr>
                <w:rFonts w:ascii="Times New Roman" w:eastAsia="Calibri" w:hAnsi="Times New Roman" w:cs="Times New Roman"/>
                <w:bCs/>
                <w:sz w:val="24"/>
                <w:szCs w:val="24"/>
                <w:lang w:eastAsia="lv-LV"/>
              </w:rPr>
              <w:t>iem nosacījumiem,</w:t>
            </w:r>
            <w:r w:rsidRPr="0055217C">
              <w:rPr>
                <w:rFonts w:ascii="Times New Roman" w:eastAsia="Calibri" w:hAnsi="Times New Roman" w:cs="Times New Roman"/>
                <w:bCs/>
                <w:sz w:val="24"/>
                <w:szCs w:val="24"/>
                <w:lang w:eastAsia="lv-LV"/>
              </w:rPr>
              <w:t xml:space="preserve"> gan liecina par darījuma aizdomīgumu, Likuma subjektam nezūd pienākums iesniegt Finanšu izlūkošanas dienestam arī ziņojumu par aizdomīgu darījumu.</w:t>
            </w:r>
          </w:p>
          <w:p w14:paraId="6758BC54" w14:textId="77777777" w:rsidR="00540C77" w:rsidRPr="00540C77" w:rsidRDefault="00540C77" w:rsidP="00540C77">
            <w:pPr>
              <w:shd w:val="clear" w:color="auto" w:fill="FFFFFF"/>
              <w:spacing w:after="0" w:line="293" w:lineRule="atLeast"/>
              <w:jc w:val="both"/>
              <w:rPr>
                <w:rFonts w:ascii="Times New Roman" w:eastAsia="Times New Roman" w:hAnsi="Times New Roman" w:cs="Times New Roman"/>
                <w:color w:val="000000" w:themeColor="text1"/>
                <w:sz w:val="24"/>
                <w:szCs w:val="24"/>
                <w:lang w:eastAsia="lv-LV"/>
              </w:rPr>
            </w:pPr>
            <w:r w:rsidRPr="00540C77">
              <w:rPr>
                <w:rFonts w:ascii="Times New Roman" w:eastAsia="Times New Roman" w:hAnsi="Times New Roman" w:cs="Times New Roman"/>
                <w:color w:val="000000" w:themeColor="text1"/>
                <w:sz w:val="24"/>
                <w:szCs w:val="24"/>
                <w:lang w:eastAsia="lv-LV"/>
              </w:rPr>
              <w:lastRenderedPageBreak/>
              <w:t xml:space="preserve">Ja gadījums, kas iestājies atbilstoši Noteikumu projekta 5.punktam, attiecas uz līdzekļiem ārvalstu valūtās, tad  </w:t>
            </w:r>
            <w:r w:rsidRPr="00540C77">
              <w:rPr>
                <w:rFonts w:ascii="Times New Roman" w:eastAsia="Times New Roman" w:hAnsi="Times New Roman" w:cs="Times New Roman"/>
                <w:b/>
                <w:color w:val="000000" w:themeColor="text1"/>
                <w:sz w:val="24"/>
                <w:szCs w:val="24"/>
                <w:lang w:eastAsia="lv-LV"/>
              </w:rPr>
              <w:t>līdz ar Noteikumu projekta 4.punkt</w:t>
            </w:r>
            <w:r>
              <w:rPr>
                <w:rFonts w:ascii="Times New Roman" w:eastAsia="Times New Roman" w:hAnsi="Times New Roman" w:cs="Times New Roman"/>
                <w:b/>
                <w:color w:val="000000" w:themeColor="text1"/>
                <w:sz w:val="24"/>
                <w:szCs w:val="24"/>
                <w:lang w:eastAsia="lv-LV"/>
              </w:rPr>
              <w:t>u</w:t>
            </w:r>
            <w:r w:rsidRPr="00540C77">
              <w:rPr>
                <w:rFonts w:ascii="Times New Roman" w:eastAsia="Times New Roman" w:hAnsi="Times New Roman" w:cs="Times New Roman"/>
                <w:color w:val="000000" w:themeColor="text1"/>
                <w:sz w:val="24"/>
                <w:szCs w:val="24"/>
                <w:lang w:eastAsia="lv-LV"/>
              </w:rPr>
              <w:t xml:space="preserve"> ārvalstu valūtas kursu </w:t>
            </w:r>
            <w:r>
              <w:rPr>
                <w:rFonts w:ascii="Times New Roman" w:eastAsia="Times New Roman" w:hAnsi="Times New Roman" w:cs="Times New Roman"/>
                <w:color w:val="000000" w:themeColor="text1"/>
                <w:sz w:val="24"/>
                <w:szCs w:val="24"/>
                <w:lang w:eastAsia="lv-LV"/>
              </w:rPr>
              <w:t>L</w:t>
            </w:r>
            <w:r w:rsidRPr="00540C77">
              <w:rPr>
                <w:rFonts w:ascii="Times New Roman" w:eastAsia="Times New Roman" w:hAnsi="Times New Roman" w:cs="Times New Roman"/>
                <w:color w:val="000000" w:themeColor="text1"/>
                <w:sz w:val="24"/>
                <w:szCs w:val="24"/>
                <w:lang w:eastAsia="lv-LV"/>
              </w:rPr>
              <w:t>ikuma subjekts nosaka atbilstoši Eiropas Centrālās bankas publicētajam euro atsauces kursam darījuma veikšanas dienā. Ja darījumā tiek izmantota ārvalstu valūta, kurai Eiropas Centrālā banka nepublicē euro atsauces kursu, aprēķiniem izmanto pasaules finanšu tirgus atzīta finanšu informācijas sniedzēja periodiskajā izdevumā vai tā interneta resursā publicēto jaunāko valūtas tirgus kursu attiecībā pret </w:t>
            </w:r>
            <w:r w:rsidRPr="00540C77">
              <w:rPr>
                <w:rFonts w:ascii="Times New Roman" w:eastAsia="Times New Roman" w:hAnsi="Times New Roman" w:cs="Times New Roman"/>
                <w:i/>
                <w:color w:val="000000" w:themeColor="text1"/>
                <w:sz w:val="24"/>
                <w:szCs w:val="24"/>
                <w:lang w:eastAsia="lv-LV"/>
              </w:rPr>
              <w:t>euro</w:t>
            </w:r>
            <w:r w:rsidRPr="00540C77">
              <w:rPr>
                <w:rFonts w:ascii="Times New Roman" w:eastAsia="Times New Roman" w:hAnsi="Times New Roman" w:cs="Times New Roman"/>
                <w:color w:val="000000" w:themeColor="text1"/>
                <w:sz w:val="24"/>
                <w:szCs w:val="24"/>
                <w:lang w:eastAsia="lv-LV"/>
              </w:rPr>
              <w:t>.</w:t>
            </w:r>
          </w:p>
          <w:p w14:paraId="742FFE35" w14:textId="77777777" w:rsidR="007A15DA" w:rsidRDefault="007A15DA" w:rsidP="007A15DA">
            <w:pPr>
              <w:pStyle w:val="tv213"/>
              <w:shd w:val="clear" w:color="auto" w:fill="FFFFFF"/>
              <w:spacing w:before="0" w:beforeAutospacing="0" w:after="0" w:afterAutospacing="0"/>
              <w:jc w:val="center"/>
              <w:rPr>
                <w:rFonts w:eastAsia="Calibri"/>
                <w:b/>
                <w:bCs/>
              </w:rPr>
            </w:pPr>
          </w:p>
          <w:p w14:paraId="203543E6" w14:textId="55E95A09" w:rsidR="0055217C" w:rsidRDefault="00BD2DD2" w:rsidP="007A15DA">
            <w:pPr>
              <w:pStyle w:val="tv213"/>
              <w:shd w:val="clear" w:color="auto" w:fill="FFFFFF"/>
              <w:spacing w:before="0" w:beforeAutospacing="0" w:after="0" w:afterAutospacing="0"/>
              <w:jc w:val="center"/>
              <w:rPr>
                <w:rFonts w:eastAsia="Calibri"/>
                <w:b/>
                <w:bCs/>
              </w:rPr>
            </w:pPr>
            <w:r>
              <w:rPr>
                <w:rFonts w:eastAsia="Calibri"/>
                <w:b/>
                <w:bCs/>
              </w:rPr>
              <w:t>Gadījumi, kad iesniedzama s</w:t>
            </w:r>
            <w:r w:rsidR="0055217C" w:rsidRPr="0055217C">
              <w:rPr>
                <w:rFonts w:eastAsia="Calibri"/>
                <w:b/>
                <w:bCs/>
              </w:rPr>
              <w:t xml:space="preserve">liekšņa deklarācija </w:t>
            </w:r>
          </w:p>
          <w:p w14:paraId="29FC0041" w14:textId="77777777" w:rsidR="00BD2DD2" w:rsidRDefault="00BD2DD2" w:rsidP="007A15DA">
            <w:pPr>
              <w:pStyle w:val="tv213"/>
              <w:shd w:val="clear" w:color="auto" w:fill="FFFFFF"/>
              <w:spacing w:before="0" w:beforeAutospacing="0" w:after="0" w:afterAutospacing="0"/>
              <w:jc w:val="center"/>
              <w:rPr>
                <w:rFonts w:eastAsia="Calibri"/>
                <w:b/>
                <w:bCs/>
              </w:rPr>
            </w:pPr>
          </w:p>
          <w:p w14:paraId="450A1639" w14:textId="7C05AB93" w:rsidR="0055217C" w:rsidRDefault="0055217C" w:rsidP="007A15DA">
            <w:pPr>
              <w:pStyle w:val="tv213"/>
              <w:shd w:val="clear" w:color="auto" w:fill="FFFFFF"/>
              <w:spacing w:before="0" w:beforeAutospacing="0" w:after="0" w:afterAutospacing="0"/>
              <w:jc w:val="both"/>
              <w:rPr>
                <w:rFonts w:eastAsia="Calibri"/>
                <w:bCs/>
              </w:rPr>
            </w:pPr>
            <w:r w:rsidRPr="004A3DD2">
              <w:rPr>
                <w:rFonts w:eastAsia="Calibri"/>
                <w:b/>
                <w:bCs/>
              </w:rPr>
              <w:t xml:space="preserve">Noteikumu projekta </w:t>
            </w:r>
            <w:r w:rsidR="00BD2DD2" w:rsidRPr="004A3DD2">
              <w:rPr>
                <w:rFonts w:eastAsia="Calibri"/>
                <w:b/>
                <w:bCs/>
              </w:rPr>
              <w:t>5</w:t>
            </w:r>
            <w:r w:rsidRPr="004A3DD2">
              <w:rPr>
                <w:rFonts w:eastAsia="Calibri"/>
                <w:b/>
                <w:bCs/>
              </w:rPr>
              <w:t>.punktā</w:t>
            </w:r>
            <w:r w:rsidRPr="0055217C">
              <w:rPr>
                <w:rFonts w:eastAsia="Calibri"/>
                <w:bCs/>
              </w:rPr>
              <w:t xml:space="preserve"> ir noteikt</w:t>
            </w:r>
            <w:r w:rsidR="00BD2DD2">
              <w:rPr>
                <w:rFonts w:eastAsia="Calibri"/>
                <w:bCs/>
              </w:rPr>
              <w:t>i gadījumi, kādos</w:t>
            </w:r>
            <w:r w:rsidRPr="0055217C">
              <w:rPr>
                <w:rFonts w:eastAsia="Calibri"/>
                <w:bCs/>
              </w:rPr>
              <w:t xml:space="preserve"> Likuma subjektam ir pienākums iesniegt sliekšņa deklarāciju.</w:t>
            </w:r>
          </w:p>
          <w:p w14:paraId="07556ACE" w14:textId="77777777" w:rsidR="00BD2DD2" w:rsidRPr="0055217C" w:rsidRDefault="00BD2DD2" w:rsidP="007A15DA">
            <w:pPr>
              <w:pStyle w:val="tv213"/>
              <w:shd w:val="clear" w:color="auto" w:fill="FFFFFF"/>
              <w:spacing w:before="0" w:beforeAutospacing="0" w:after="0" w:afterAutospacing="0"/>
              <w:jc w:val="both"/>
              <w:rPr>
                <w:rFonts w:eastAsia="Calibri"/>
                <w:bCs/>
              </w:rPr>
            </w:pPr>
          </w:p>
          <w:p w14:paraId="33AD7706" w14:textId="7447289F" w:rsidR="0055217C" w:rsidRDefault="0055217C" w:rsidP="007A15DA">
            <w:pPr>
              <w:shd w:val="clear" w:color="auto" w:fill="FFFFFF"/>
              <w:spacing w:after="0" w:line="240" w:lineRule="auto"/>
              <w:jc w:val="both"/>
              <w:rPr>
                <w:rFonts w:ascii="Times New Roman" w:eastAsia="Calibri" w:hAnsi="Times New Roman" w:cs="Times New Roman"/>
                <w:bCs/>
                <w:sz w:val="24"/>
                <w:szCs w:val="24"/>
                <w:lang w:eastAsia="lv-LV"/>
              </w:rPr>
            </w:pPr>
            <w:r w:rsidRPr="0055217C">
              <w:rPr>
                <w:rFonts w:ascii="Times New Roman" w:eastAsia="Calibri" w:hAnsi="Times New Roman" w:cs="Times New Roman"/>
                <w:bCs/>
                <w:sz w:val="24"/>
                <w:szCs w:val="24"/>
                <w:lang w:eastAsia="lv-LV"/>
              </w:rPr>
              <w:t xml:space="preserve">Attiecībā uz visiem Likuma subjektiem </w:t>
            </w:r>
            <w:r w:rsidR="007730FC" w:rsidRPr="007730FC">
              <w:rPr>
                <w:rFonts w:ascii="Times New Roman" w:eastAsia="Calibri" w:hAnsi="Times New Roman" w:cs="Times New Roman"/>
                <w:bCs/>
                <w:sz w:val="24"/>
                <w:szCs w:val="24"/>
                <w:lang w:eastAsia="lv-LV"/>
              </w:rPr>
              <w:t xml:space="preserve">ciktāl tie nodrošina pakalpojumus, kas saistīti ar skaidras naudas </w:t>
            </w:r>
            <w:r w:rsidR="00EE7A26">
              <w:rPr>
                <w:rFonts w:ascii="Times New Roman" w:eastAsia="Calibri" w:hAnsi="Times New Roman" w:cs="Times New Roman"/>
                <w:bCs/>
                <w:sz w:val="24"/>
                <w:szCs w:val="24"/>
                <w:lang w:eastAsia="lv-LV"/>
              </w:rPr>
              <w:t>darījumiem</w:t>
            </w:r>
            <w:r w:rsidR="007730FC" w:rsidRPr="007730FC">
              <w:rPr>
                <w:rFonts w:ascii="Times New Roman" w:eastAsia="Calibri" w:hAnsi="Times New Roman" w:cs="Times New Roman"/>
                <w:bCs/>
                <w:sz w:val="24"/>
                <w:szCs w:val="24"/>
                <w:lang w:eastAsia="lv-LV"/>
              </w:rPr>
              <w:t>, vai pārrobežu maksājumiem</w:t>
            </w:r>
            <w:r w:rsidR="007730FC">
              <w:rPr>
                <w:rFonts w:ascii="Times New Roman" w:eastAsia="Calibri" w:hAnsi="Times New Roman" w:cs="Times New Roman"/>
                <w:bCs/>
                <w:sz w:val="24"/>
                <w:szCs w:val="24"/>
                <w:lang w:eastAsia="lv-LV"/>
              </w:rPr>
              <w:t xml:space="preserve">, </w:t>
            </w:r>
            <w:r w:rsidRPr="0055217C">
              <w:rPr>
                <w:rFonts w:ascii="Times New Roman" w:eastAsia="Calibri" w:hAnsi="Times New Roman" w:cs="Times New Roman"/>
                <w:bCs/>
                <w:sz w:val="24"/>
                <w:szCs w:val="24"/>
                <w:lang w:eastAsia="lv-LV"/>
              </w:rPr>
              <w:t>ir noteikt</w:t>
            </w:r>
            <w:r w:rsidR="00BD2DD2">
              <w:rPr>
                <w:rFonts w:ascii="Times New Roman" w:eastAsia="Calibri" w:hAnsi="Times New Roman" w:cs="Times New Roman"/>
                <w:bCs/>
                <w:sz w:val="24"/>
                <w:szCs w:val="24"/>
                <w:lang w:eastAsia="lv-LV"/>
              </w:rPr>
              <w:t>i</w:t>
            </w:r>
            <w:r w:rsidRPr="0055217C">
              <w:rPr>
                <w:rFonts w:ascii="Times New Roman" w:eastAsia="Calibri" w:hAnsi="Times New Roman" w:cs="Times New Roman"/>
                <w:bCs/>
                <w:sz w:val="24"/>
                <w:szCs w:val="24"/>
                <w:lang w:eastAsia="lv-LV"/>
              </w:rPr>
              <w:t xml:space="preserve"> div</w:t>
            </w:r>
            <w:r w:rsidR="00BD2DD2">
              <w:rPr>
                <w:rFonts w:ascii="Times New Roman" w:eastAsia="Calibri" w:hAnsi="Times New Roman" w:cs="Times New Roman"/>
                <w:bCs/>
                <w:sz w:val="24"/>
                <w:szCs w:val="24"/>
                <w:lang w:eastAsia="lv-LV"/>
              </w:rPr>
              <w:t>i</w:t>
            </w:r>
            <w:r w:rsidRPr="0055217C">
              <w:rPr>
                <w:rFonts w:ascii="Times New Roman" w:eastAsia="Calibri" w:hAnsi="Times New Roman" w:cs="Times New Roman"/>
                <w:bCs/>
                <w:sz w:val="24"/>
                <w:szCs w:val="24"/>
                <w:lang w:eastAsia="lv-LV"/>
              </w:rPr>
              <w:t xml:space="preserve"> </w:t>
            </w:r>
            <w:r w:rsidR="00BD2DD2">
              <w:rPr>
                <w:rFonts w:ascii="Times New Roman" w:eastAsia="Calibri" w:hAnsi="Times New Roman" w:cs="Times New Roman"/>
                <w:bCs/>
                <w:sz w:val="24"/>
                <w:szCs w:val="24"/>
                <w:lang w:eastAsia="lv-LV"/>
              </w:rPr>
              <w:t>gadījumi</w:t>
            </w:r>
            <w:r w:rsidRPr="0055217C">
              <w:rPr>
                <w:rFonts w:ascii="Times New Roman" w:eastAsia="Calibri" w:hAnsi="Times New Roman" w:cs="Times New Roman"/>
                <w:bCs/>
                <w:sz w:val="24"/>
                <w:szCs w:val="24"/>
                <w:lang w:eastAsia="lv-LV"/>
              </w:rPr>
              <w:t xml:space="preserve">: klients veic skaidras naudas </w:t>
            </w:r>
            <w:r w:rsidR="00EE7A26">
              <w:rPr>
                <w:rFonts w:ascii="Times New Roman" w:eastAsia="Calibri" w:hAnsi="Times New Roman" w:cs="Times New Roman"/>
                <w:bCs/>
                <w:sz w:val="24"/>
                <w:szCs w:val="24"/>
                <w:lang w:eastAsia="lv-LV"/>
              </w:rPr>
              <w:t>darījumu</w:t>
            </w:r>
            <w:r w:rsidRPr="0055217C">
              <w:rPr>
                <w:rFonts w:ascii="Times New Roman" w:eastAsia="Calibri" w:hAnsi="Times New Roman" w:cs="Times New Roman"/>
                <w:bCs/>
                <w:sz w:val="24"/>
                <w:szCs w:val="24"/>
                <w:lang w:eastAsia="lv-LV"/>
              </w:rPr>
              <w:t>, kura apmērs ir ekvivalents 7 000 </w:t>
            </w:r>
            <w:r w:rsidRPr="0055217C">
              <w:rPr>
                <w:rFonts w:ascii="Times New Roman" w:eastAsia="Calibri" w:hAnsi="Times New Roman" w:cs="Times New Roman"/>
                <w:bCs/>
                <w:i/>
                <w:sz w:val="24"/>
                <w:szCs w:val="24"/>
                <w:lang w:eastAsia="lv-LV"/>
              </w:rPr>
              <w:t>euro </w:t>
            </w:r>
            <w:r w:rsidRPr="0055217C">
              <w:rPr>
                <w:rFonts w:ascii="Times New Roman" w:eastAsia="Calibri" w:hAnsi="Times New Roman" w:cs="Times New Roman"/>
                <w:bCs/>
                <w:sz w:val="24"/>
                <w:szCs w:val="24"/>
                <w:lang w:eastAsia="lv-LV"/>
              </w:rPr>
              <w:t xml:space="preserve">vai vairāk, kā arī klients nosūta vai saņem pārrobežu maksājumu, kura apmērs ir ekvivalents 500 000 </w:t>
            </w:r>
            <w:r w:rsidRPr="0055217C">
              <w:rPr>
                <w:rFonts w:ascii="Times New Roman" w:eastAsia="Calibri" w:hAnsi="Times New Roman" w:cs="Times New Roman"/>
                <w:bCs/>
                <w:i/>
                <w:sz w:val="24"/>
                <w:szCs w:val="24"/>
                <w:lang w:eastAsia="lv-LV"/>
              </w:rPr>
              <w:t>euro</w:t>
            </w:r>
            <w:r w:rsidRPr="0055217C">
              <w:rPr>
                <w:rFonts w:ascii="Times New Roman" w:eastAsia="Calibri" w:hAnsi="Times New Roman" w:cs="Times New Roman"/>
                <w:bCs/>
                <w:sz w:val="24"/>
                <w:szCs w:val="24"/>
                <w:lang w:eastAsia="lv-LV"/>
              </w:rPr>
              <w:t xml:space="preserve"> vai vairāk.</w:t>
            </w:r>
          </w:p>
          <w:p w14:paraId="2F41AE09" w14:textId="69F3ECB0" w:rsidR="0055217C" w:rsidRPr="009D6997" w:rsidRDefault="0055217C" w:rsidP="007A15DA">
            <w:pPr>
              <w:shd w:val="clear" w:color="auto" w:fill="FFFFFF"/>
              <w:spacing w:after="0" w:line="240" w:lineRule="auto"/>
              <w:jc w:val="both"/>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Skaidras naudas ekvivalents 7 000 </w:t>
            </w:r>
            <w:r w:rsidRPr="0055217C">
              <w:rPr>
                <w:rFonts w:ascii="Times New Roman" w:eastAsia="Calibri" w:hAnsi="Times New Roman" w:cs="Times New Roman"/>
                <w:bCs/>
                <w:i/>
                <w:sz w:val="24"/>
                <w:szCs w:val="24"/>
                <w:lang w:eastAsia="lv-LV"/>
              </w:rPr>
              <w:t xml:space="preserve">euro </w:t>
            </w:r>
            <w:r>
              <w:rPr>
                <w:rFonts w:ascii="Times New Roman" w:eastAsia="Calibri" w:hAnsi="Times New Roman" w:cs="Times New Roman"/>
                <w:bCs/>
                <w:sz w:val="24"/>
                <w:szCs w:val="24"/>
                <w:lang w:eastAsia="lv-LV"/>
              </w:rPr>
              <w:t xml:space="preserve">vai vairāk tiek sasaistīts ar normatīvo regulējumu likumā „Par nodokļiem un nodevām”, kurā ietverts aizliegums veikt skaidrā naudā darījumu, kura summa pārsniedz 7 200 </w:t>
            </w:r>
            <w:r w:rsidRPr="0055217C">
              <w:rPr>
                <w:rFonts w:ascii="Times New Roman" w:eastAsia="Calibri" w:hAnsi="Times New Roman" w:cs="Times New Roman"/>
                <w:bCs/>
                <w:i/>
                <w:sz w:val="24"/>
                <w:szCs w:val="24"/>
                <w:lang w:eastAsia="lv-LV"/>
              </w:rPr>
              <w:t>euro</w:t>
            </w:r>
            <w:r>
              <w:rPr>
                <w:rFonts w:ascii="Times New Roman" w:eastAsia="Calibri" w:hAnsi="Times New Roman" w:cs="Times New Roman"/>
                <w:bCs/>
                <w:sz w:val="24"/>
                <w:szCs w:val="24"/>
                <w:lang w:eastAsia="lv-LV"/>
              </w:rPr>
              <w:t>.</w:t>
            </w:r>
            <w:r w:rsidR="003F5E6B">
              <w:rPr>
                <w:rFonts w:ascii="Times New Roman" w:eastAsia="Calibri" w:hAnsi="Times New Roman" w:cs="Times New Roman"/>
                <w:bCs/>
                <w:sz w:val="24"/>
                <w:szCs w:val="24"/>
                <w:lang w:eastAsia="lv-LV"/>
              </w:rPr>
              <w:t xml:space="preserve"> </w:t>
            </w:r>
            <w:r w:rsidR="003F5E6B" w:rsidRPr="008F0074">
              <w:rPr>
                <w:rFonts w:ascii="Times New Roman" w:eastAsia="Calibri" w:hAnsi="Times New Roman" w:cs="Times New Roman"/>
                <w:bCs/>
                <w:sz w:val="24"/>
                <w:szCs w:val="24"/>
                <w:lang w:eastAsia="lv-LV"/>
              </w:rPr>
              <w:t xml:space="preserve">Ziņošanas pienākums attiecas uz to Likuma subjektu, kurš </w:t>
            </w:r>
            <w:r w:rsidR="00A13A1E">
              <w:rPr>
                <w:rFonts w:ascii="Times New Roman" w:eastAsia="Calibri" w:hAnsi="Times New Roman" w:cs="Times New Roman"/>
                <w:bCs/>
                <w:sz w:val="24"/>
                <w:szCs w:val="24"/>
                <w:lang w:eastAsia="lv-LV"/>
              </w:rPr>
              <w:t>veic skaidras naudas darījumu (tostarp ietverot atlīdzības veikšanu Likuma subjektam)</w:t>
            </w:r>
            <w:r w:rsidR="003F5E6B" w:rsidRPr="008F0074">
              <w:rPr>
                <w:rFonts w:ascii="Times New Roman" w:eastAsia="Calibri" w:hAnsi="Times New Roman" w:cs="Times New Roman"/>
                <w:bCs/>
                <w:sz w:val="24"/>
                <w:szCs w:val="24"/>
                <w:lang w:eastAsia="lv-LV"/>
              </w:rPr>
              <w:t xml:space="preserve">. </w:t>
            </w:r>
            <w:r w:rsidR="003F5E6B">
              <w:rPr>
                <w:rFonts w:ascii="Times New Roman" w:eastAsia="Calibri" w:hAnsi="Times New Roman" w:cs="Times New Roman"/>
                <w:bCs/>
                <w:sz w:val="24"/>
                <w:szCs w:val="24"/>
                <w:lang w:eastAsia="lv-LV"/>
              </w:rPr>
              <w:t>Vienlaikus norādāms, ka minēt</w:t>
            </w:r>
            <w:r w:rsidR="00063598">
              <w:rPr>
                <w:rFonts w:ascii="Times New Roman" w:eastAsia="Calibri" w:hAnsi="Times New Roman" w:cs="Times New Roman"/>
                <w:bCs/>
                <w:sz w:val="24"/>
                <w:szCs w:val="24"/>
                <w:lang w:eastAsia="lv-LV"/>
              </w:rPr>
              <w:t>ais</w:t>
            </w:r>
            <w:r w:rsidR="003F5E6B">
              <w:rPr>
                <w:rFonts w:ascii="Times New Roman" w:eastAsia="Calibri" w:hAnsi="Times New Roman" w:cs="Times New Roman"/>
                <w:bCs/>
                <w:sz w:val="24"/>
                <w:szCs w:val="24"/>
                <w:lang w:eastAsia="lv-LV"/>
              </w:rPr>
              <w:t xml:space="preserve"> </w:t>
            </w:r>
            <w:r w:rsidR="00063598">
              <w:rPr>
                <w:rFonts w:ascii="Times New Roman" w:eastAsia="Calibri" w:hAnsi="Times New Roman" w:cs="Times New Roman"/>
                <w:bCs/>
                <w:sz w:val="24"/>
                <w:szCs w:val="24"/>
                <w:lang w:eastAsia="lv-LV"/>
              </w:rPr>
              <w:t xml:space="preserve">nosacījums </w:t>
            </w:r>
            <w:r w:rsidR="00F91DC7">
              <w:rPr>
                <w:rFonts w:ascii="Times New Roman" w:eastAsia="Calibri" w:hAnsi="Times New Roman" w:cs="Times New Roman"/>
                <w:bCs/>
                <w:sz w:val="24"/>
                <w:szCs w:val="24"/>
                <w:lang w:eastAsia="lv-LV"/>
              </w:rPr>
              <w:t xml:space="preserve">tostarp </w:t>
            </w:r>
            <w:r w:rsidR="003F5E6B">
              <w:rPr>
                <w:rFonts w:ascii="Times New Roman" w:eastAsia="Calibri" w:hAnsi="Times New Roman" w:cs="Times New Roman"/>
                <w:bCs/>
                <w:sz w:val="24"/>
                <w:szCs w:val="24"/>
                <w:lang w:eastAsia="lv-LV"/>
              </w:rPr>
              <w:t>ir attiecinām</w:t>
            </w:r>
            <w:r w:rsidR="00A13A1E">
              <w:rPr>
                <w:rFonts w:ascii="Times New Roman" w:eastAsia="Calibri" w:hAnsi="Times New Roman" w:cs="Times New Roman"/>
                <w:bCs/>
                <w:sz w:val="24"/>
                <w:szCs w:val="24"/>
                <w:lang w:eastAsia="lv-LV"/>
              </w:rPr>
              <w:t>s</w:t>
            </w:r>
            <w:r w:rsidR="003F5E6B">
              <w:rPr>
                <w:rFonts w:ascii="Times New Roman" w:eastAsia="Calibri" w:hAnsi="Times New Roman" w:cs="Times New Roman"/>
                <w:bCs/>
                <w:sz w:val="24"/>
                <w:szCs w:val="24"/>
                <w:lang w:eastAsia="lv-LV"/>
              </w:rPr>
              <w:t xml:space="preserve"> uz naudas apmēru gadījumos, kur</w:t>
            </w:r>
            <w:r w:rsidR="00A13A1E">
              <w:rPr>
                <w:rFonts w:ascii="Times New Roman" w:eastAsia="Calibri" w:hAnsi="Times New Roman" w:cs="Times New Roman"/>
                <w:bCs/>
                <w:sz w:val="24"/>
                <w:szCs w:val="24"/>
                <w:lang w:eastAsia="lv-LV"/>
              </w:rPr>
              <w:t>os</w:t>
            </w:r>
            <w:r w:rsidR="003F5E6B">
              <w:rPr>
                <w:rFonts w:ascii="Times New Roman" w:eastAsia="Calibri" w:hAnsi="Times New Roman" w:cs="Times New Roman"/>
                <w:bCs/>
                <w:sz w:val="24"/>
                <w:szCs w:val="24"/>
                <w:lang w:eastAsia="lv-LV"/>
              </w:rPr>
              <w:t xml:space="preserve"> klients veic skaidras naudas izmaksu vai iemaksu dienas laikā no vai uz  vienu un to pašu bankomātu (ATM). </w:t>
            </w:r>
          </w:p>
          <w:p w14:paraId="5F4404F8" w14:textId="3CD1BC95" w:rsidR="0055217C" w:rsidRPr="00D643B8" w:rsidRDefault="0055217C" w:rsidP="007A15DA">
            <w:pPr>
              <w:pStyle w:val="tv213"/>
              <w:shd w:val="clear" w:color="auto" w:fill="FFFFFF"/>
              <w:spacing w:before="0" w:beforeAutospacing="0" w:after="0" w:afterAutospacing="0"/>
              <w:jc w:val="both"/>
              <w:rPr>
                <w:rFonts w:eastAsia="Calibri"/>
                <w:bCs/>
              </w:rPr>
            </w:pPr>
            <w:r w:rsidRPr="00D643B8">
              <w:rPr>
                <w:rFonts w:eastAsia="Calibri"/>
                <w:bCs/>
              </w:rPr>
              <w:t xml:space="preserve">Pārrobežu maksājums, kura apmērs ir ekvivalents 500 000 </w:t>
            </w:r>
            <w:r w:rsidRPr="003F5E6B">
              <w:rPr>
                <w:rFonts w:eastAsia="Calibri"/>
                <w:bCs/>
                <w:i/>
              </w:rPr>
              <w:t>euro</w:t>
            </w:r>
            <w:r w:rsidRPr="00D643B8">
              <w:rPr>
                <w:rFonts w:eastAsia="Calibri"/>
                <w:bCs/>
              </w:rPr>
              <w:t xml:space="preserve"> vai vairāk tiek pārņemts no esošo Noteikumu Nr. 281 redakcijas</w:t>
            </w:r>
            <w:r w:rsidR="00330244">
              <w:rPr>
                <w:rFonts w:eastAsia="Calibri"/>
                <w:bCs/>
              </w:rPr>
              <w:t>, izslēdzot sasaisti ar ārvalstu valūtu.</w:t>
            </w:r>
          </w:p>
          <w:p w14:paraId="37F1526D" w14:textId="52FF2D3A" w:rsidR="0055217C" w:rsidRPr="009D6997" w:rsidRDefault="0055217C" w:rsidP="007A15DA">
            <w:pPr>
              <w:pStyle w:val="tv213"/>
              <w:shd w:val="clear" w:color="auto" w:fill="FFFFFF"/>
              <w:spacing w:before="0" w:beforeAutospacing="0" w:after="0" w:afterAutospacing="0"/>
              <w:jc w:val="both"/>
              <w:rPr>
                <w:rFonts w:eastAsia="Calibri"/>
                <w:bCs/>
              </w:rPr>
            </w:pPr>
            <w:r w:rsidRPr="00D643B8">
              <w:rPr>
                <w:rFonts w:eastAsia="Calibri"/>
                <w:bCs/>
              </w:rPr>
              <w:t>Papildus, ņemot vērā</w:t>
            </w:r>
            <w:r w:rsidR="00D643B8" w:rsidRPr="00D643B8">
              <w:rPr>
                <w:rFonts w:eastAsia="Calibri"/>
                <w:bCs/>
              </w:rPr>
              <w:t>,</w:t>
            </w:r>
            <w:r w:rsidRPr="00D643B8">
              <w:rPr>
                <w:rFonts w:eastAsia="Calibri"/>
                <w:bCs/>
              </w:rPr>
              <w:t xml:space="preserve"> tostarp</w:t>
            </w:r>
            <w:r w:rsidR="00D643B8" w:rsidRPr="00D643B8">
              <w:rPr>
                <w:rFonts w:eastAsia="Calibri"/>
                <w:bCs/>
              </w:rPr>
              <w:t>, Finanšu izlūkošanas dienesta publicētajā kopsavilkuma ziņojuma Sektoru noziedzīgi iegūtu līdzekļu legalizācijas un terorisma finansēšanas risku novērtējums (2017.-2018.)</w:t>
            </w:r>
            <w:r w:rsidR="00D643B8" w:rsidRPr="006D59BE">
              <w:rPr>
                <w:rFonts w:eastAsia="Calibri"/>
                <w:bCs/>
                <w:vertAlign w:val="superscript"/>
              </w:rPr>
              <w:footnoteReference w:id="3"/>
            </w:r>
            <w:r w:rsidR="00D643B8" w:rsidRPr="00D643B8">
              <w:rPr>
                <w:rFonts w:eastAsia="Calibri"/>
                <w:bCs/>
              </w:rPr>
              <w:t xml:space="preserve"> pausto, </w:t>
            </w:r>
            <w:r w:rsidR="00D643B8" w:rsidRPr="00D643B8">
              <w:rPr>
                <w:rFonts w:eastAsia="Calibri"/>
                <w:bCs/>
              </w:rPr>
              <w:lastRenderedPageBreak/>
              <w:t>tiek noteikti izņēmumi attiecībā uz noteiktiem Likuma subjektiem.</w:t>
            </w:r>
          </w:p>
          <w:p w14:paraId="277149AB" w14:textId="7E87C699" w:rsidR="008F0074" w:rsidRPr="009D6997" w:rsidRDefault="00E21E7B" w:rsidP="007A15DA">
            <w:pPr>
              <w:pStyle w:val="tv213"/>
              <w:numPr>
                <w:ilvl w:val="0"/>
                <w:numId w:val="7"/>
              </w:numPr>
              <w:shd w:val="clear" w:color="auto" w:fill="FFFFFF"/>
              <w:tabs>
                <w:tab w:val="left" w:pos="249"/>
              </w:tabs>
              <w:spacing w:before="0" w:beforeAutospacing="0" w:after="0" w:afterAutospacing="0"/>
              <w:ind w:left="0" w:firstLine="0"/>
              <w:jc w:val="both"/>
            </w:pPr>
            <w:r>
              <w:rPr>
                <w:color w:val="000000" w:themeColor="text1"/>
                <w:u w:val="single"/>
              </w:rPr>
              <w:t>A</w:t>
            </w:r>
            <w:r w:rsidR="008F0074" w:rsidRPr="008F0074">
              <w:rPr>
                <w:color w:val="000000" w:themeColor="text1"/>
                <w:u w:val="single"/>
              </w:rPr>
              <w:t xml:space="preserve">pdrošināšanas komersanti un </w:t>
            </w:r>
            <w:r w:rsidR="008F0074" w:rsidRPr="008F0074">
              <w:rPr>
                <w:u w:val="single"/>
              </w:rPr>
              <w:t>starpnieki,</w:t>
            </w:r>
            <w:r w:rsidR="008F0074" w:rsidRPr="008F0074">
              <w:rPr>
                <w:rFonts w:ascii="Arial" w:hAnsi="Arial" w:cs="Arial"/>
                <w:color w:val="414142"/>
                <w:sz w:val="20"/>
                <w:szCs w:val="20"/>
                <w:u w:val="single"/>
              </w:rPr>
              <w:t xml:space="preserve"> </w:t>
            </w:r>
            <w:r w:rsidR="008F0074" w:rsidRPr="008F0074">
              <w:rPr>
                <w:color w:val="000000" w:themeColor="text1"/>
                <w:u w:val="single"/>
              </w:rPr>
              <w:t xml:space="preserve">ciktāl tie veic vai sniedz </w:t>
            </w:r>
            <w:r w:rsidR="00BE11E0">
              <w:rPr>
                <w:color w:val="000000" w:themeColor="text1"/>
                <w:u w:val="single"/>
              </w:rPr>
              <w:t>dzīvības apdrošināšanas vai citu</w:t>
            </w:r>
            <w:r w:rsidR="008F0074" w:rsidRPr="008F0074">
              <w:rPr>
                <w:color w:val="000000" w:themeColor="text1"/>
                <w:u w:val="single"/>
              </w:rPr>
              <w:t>s ar līdzekļu uzkrāšanu saistītus apdrošināšanas pakalpojumus</w:t>
            </w:r>
            <w:r w:rsidR="00BE11E0">
              <w:rPr>
                <w:color w:val="000000" w:themeColor="text1"/>
              </w:rPr>
              <w:t xml:space="preserve"> </w:t>
            </w:r>
            <w:r w:rsidR="008F0074">
              <w:rPr>
                <w:color w:val="000000" w:themeColor="text1"/>
              </w:rPr>
              <w:t xml:space="preserve">– </w:t>
            </w:r>
            <w:r w:rsidR="008F0074">
              <w:t xml:space="preserve">izmaksātās apdrošināšanas atlīdzības </w:t>
            </w:r>
            <w:r w:rsidR="008F0074">
              <w:rPr>
                <w:color w:val="000000" w:themeColor="text1"/>
              </w:rPr>
              <w:t>vai atpirkumu summa</w:t>
            </w:r>
            <w:r w:rsidR="008F0074">
              <w:t xml:space="preserve"> ir ekvivalenta 100 000 </w:t>
            </w:r>
            <w:r w:rsidR="008F0074">
              <w:rPr>
                <w:i/>
              </w:rPr>
              <w:t>euro</w:t>
            </w:r>
            <w:r w:rsidR="008F0074">
              <w:t> vai vairāk</w:t>
            </w:r>
            <w:r>
              <w:t>.</w:t>
            </w:r>
          </w:p>
          <w:p w14:paraId="7C355B70" w14:textId="024498EB" w:rsidR="008F0074" w:rsidRDefault="00E21E7B" w:rsidP="007A15DA">
            <w:pPr>
              <w:pStyle w:val="tv213"/>
              <w:numPr>
                <w:ilvl w:val="0"/>
                <w:numId w:val="7"/>
              </w:numPr>
              <w:shd w:val="clear" w:color="auto" w:fill="FFFFFF"/>
              <w:tabs>
                <w:tab w:val="left" w:pos="249"/>
              </w:tabs>
              <w:spacing w:before="0" w:beforeAutospacing="0" w:after="0" w:afterAutospacing="0"/>
              <w:ind w:left="0" w:firstLine="0"/>
              <w:jc w:val="both"/>
            </w:pPr>
            <w:r>
              <w:rPr>
                <w:color w:val="000000" w:themeColor="text1"/>
                <w:u w:val="single"/>
              </w:rPr>
              <w:t>P</w:t>
            </w:r>
            <w:r w:rsidR="00BE11E0">
              <w:rPr>
                <w:color w:val="000000" w:themeColor="text1"/>
                <w:u w:val="single"/>
              </w:rPr>
              <w:t>rivāt</w:t>
            </w:r>
            <w:r w:rsidR="008F0074" w:rsidRPr="008F0074">
              <w:rPr>
                <w:color w:val="000000" w:themeColor="text1"/>
                <w:u w:val="single"/>
              </w:rPr>
              <w:t>i</w:t>
            </w:r>
            <w:r>
              <w:rPr>
                <w:color w:val="000000" w:themeColor="text1"/>
                <w:u w:val="single"/>
              </w:rPr>
              <w:t>e</w:t>
            </w:r>
            <w:r w:rsidR="008F0074" w:rsidRPr="008F0074">
              <w:rPr>
                <w:color w:val="000000" w:themeColor="text1"/>
                <w:u w:val="single"/>
              </w:rPr>
              <w:t xml:space="preserve"> </w:t>
            </w:r>
            <w:r w:rsidR="008F0074" w:rsidRPr="008F0074">
              <w:rPr>
                <w:u w:val="single"/>
              </w:rPr>
              <w:t>pensiju fondi</w:t>
            </w:r>
            <w:r w:rsidR="00BE11E0">
              <w:t xml:space="preserve"> - izmaksātā</w:t>
            </w:r>
            <w:r w:rsidR="008F0074">
              <w:t>s papildpensijas kapitāla summa ir ekvivalenta 100 000 </w:t>
            </w:r>
            <w:r w:rsidR="008F0074">
              <w:rPr>
                <w:i/>
              </w:rPr>
              <w:t>euro</w:t>
            </w:r>
            <w:r w:rsidR="008F0074">
              <w:t> vai vairāk</w:t>
            </w:r>
            <w:r>
              <w:t>.</w:t>
            </w:r>
          </w:p>
          <w:p w14:paraId="1CAB0ED8" w14:textId="77777777" w:rsidR="009D6997" w:rsidRPr="00CD0D17" w:rsidRDefault="009D6997" w:rsidP="007A15DA">
            <w:pPr>
              <w:pStyle w:val="tv213"/>
              <w:shd w:val="clear" w:color="auto" w:fill="FFFFFF"/>
              <w:tabs>
                <w:tab w:val="left" w:pos="249"/>
              </w:tabs>
              <w:spacing w:before="0" w:beforeAutospacing="0" w:after="0" w:afterAutospacing="0"/>
              <w:jc w:val="both"/>
            </w:pPr>
          </w:p>
          <w:p w14:paraId="3FD4B33F" w14:textId="0D55866D" w:rsidR="00D643B8" w:rsidRPr="00CD0D17" w:rsidRDefault="00D643B8" w:rsidP="007A15DA">
            <w:pPr>
              <w:pStyle w:val="tv213"/>
              <w:shd w:val="clear" w:color="auto" w:fill="FFFFFF"/>
              <w:tabs>
                <w:tab w:val="left" w:pos="388"/>
              </w:tabs>
              <w:spacing w:before="0" w:beforeAutospacing="0" w:after="0" w:afterAutospacing="0"/>
              <w:jc w:val="both"/>
              <w:rPr>
                <w:rFonts w:eastAsia="Calibri"/>
                <w:bCs/>
              </w:rPr>
            </w:pPr>
            <w:r w:rsidRPr="00CD0D17">
              <w:rPr>
                <w:rFonts w:eastAsia="Calibri"/>
                <w:bCs/>
              </w:rPr>
              <w:t xml:space="preserve">Attiecībā uz privātajiem pensiju fondiem norādāms, ka noziedzīgi iegūtu līdzekļu legalizācijas riska līmenis var būt </w:t>
            </w:r>
            <w:r w:rsidRPr="00CD0D17">
              <w:t xml:space="preserve">paaugstināts, pieņemot liela apjoma iemaksas, īpaši no ārvalstu klientiem, salīdzinoši nelielā termiņā no noteiktā vecuma sliekšņa, neveicot atbilstošus </w:t>
            </w:r>
            <w:r w:rsidR="00B1177B">
              <w:t xml:space="preserve">klienta izpētes pasākumus </w:t>
            </w:r>
            <w:r w:rsidRPr="00CD0D17">
              <w:t xml:space="preserve">līdzekļu izcelsmes un klienta darbības izzināšanai. Savukārt dzīvības apdrošināšanas pakalpojumu sniedzēju veiktajos darījumos noziedzīgi iegūtu līdzekļu legalizācijas riska līmenis var palielināties, apkalpojot ārvalstu klientus un pieņemot starptautiskus maksājumus par dzīvības apdrošināšanu parakstīto bruto prēmiju apmaksai. Tāpat pastāv risks, ka apdrošināšanas polises turētājs nav faktiskais patiesais labuma guvējs, līdz ar to, nepiemērojot atbilstošus </w:t>
            </w:r>
            <w:r w:rsidR="00B1177B">
              <w:t xml:space="preserve">klienta izpētes </w:t>
            </w:r>
            <w:r w:rsidRPr="00CD0D17">
              <w:t xml:space="preserve">pasākumus, iestāde var tikt iesaistīta </w:t>
            </w:r>
            <w:r w:rsidR="00CD0D17" w:rsidRPr="00CD0D17">
              <w:t>noziedzīgi iegūtu līdzekļu legalizācijas</w:t>
            </w:r>
            <w:r w:rsidRPr="00CD0D17">
              <w:t xml:space="preserve"> vai korupcijas gadījumu slēpšanas shēmās</w:t>
            </w:r>
            <w:r w:rsidR="00CD0D17">
              <w:rPr>
                <w:rStyle w:val="FootnoteReference"/>
              </w:rPr>
              <w:footnoteReference w:id="4"/>
            </w:r>
            <w:r w:rsidRPr="00CD0D17">
              <w:t>.</w:t>
            </w:r>
          </w:p>
          <w:p w14:paraId="7D8E5F0C" w14:textId="77777777" w:rsidR="0055217C" w:rsidRDefault="0055217C" w:rsidP="007A15DA">
            <w:pPr>
              <w:pStyle w:val="tv213"/>
              <w:shd w:val="clear" w:color="auto" w:fill="FFFFFF"/>
              <w:spacing w:before="0" w:beforeAutospacing="0" w:after="0" w:afterAutospacing="0"/>
              <w:rPr>
                <w:rFonts w:eastAsia="Calibri"/>
                <w:b/>
                <w:bCs/>
              </w:rPr>
            </w:pPr>
          </w:p>
          <w:p w14:paraId="6488A200" w14:textId="298CA43B" w:rsidR="00263789" w:rsidRDefault="00CD0D17" w:rsidP="007A15DA">
            <w:pPr>
              <w:pStyle w:val="ListParagraph"/>
              <w:numPr>
                <w:ilvl w:val="0"/>
                <w:numId w:val="5"/>
              </w:numPr>
              <w:shd w:val="clear" w:color="auto" w:fill="FFFFFF"/>
              <w:tabs>
                <w:tab w:val="left" w:pos="388"/>
              </w:tabs>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CD0D17">
              <w:rPr>
                <w:rFonts w:ascii="Times New Roman" w:hAnsi="Times New Roman" w:cs="Times New Roman"/>
                <w:sz w:val="24"/>
                <w:szCs w:val="24"/>
                <w:u w:val="single"/>
                <w:shd w:val="clear" w:color="auto" w:fill="FFFFFF"/>
              </w:rPr>
              <w:t>Kapitālsabiedrības</w:t>
            </w:r>
            <w:r w:rsidR="005061B5">
              <w:rPr>
                <w:rFonts w:ascii="Times New Roman" w:hAnsi="Times New Roman" w:cs="Times New Roman"/>
                <w:sz w:val="24"/>
                <w:szCs w:val="24"/>
                <w:u w:val="single"/>
                <w:shd w:val="clear" w:color="auto" w:fill="FFFFFF"/>
              </w:rPr>
              <w:t xml:space="preserve"> un kredītiestādes</w:t>
            </w:r>
            <w:r w:rsidRPr="00CD0D17">
              <w:rPr>
                <w:rFonts w:ascii="Times New Roman" w:hAnsi="Times New Roman" w:cs="Times New Roman"/>
                <w:sz w:val="24"/>
                <w:szCs w:val="24"/>
                <w:u w:val="single"/>
                <w:shd w:val="clear" w:color="auto" w:fill="FFFFFF"/>
              </w:rPr>
              <w:t>, kas nodarbojas ar ārvalstu valūtas skaidrās naudas pirkšanu un pārdošanu</w:t>
            </w:r>
            <w:r w:rsidRPr="00CD0D17">
              <w:rPr>
                <w:rFonts w:ascii="Times New Roman" w:eastAsia="Times New Roman" w:hAnsi="Times New Roman" w:cs="Times New Roman"/>
                <w:sz w:val="24"/>
                <w:szCs w:val="24"/>
                <w:lang w:eastAsia="lv-LV"/>
              </w:rPr>
              <w:t xml:space="preserve"> – darījums, kurā klients pērk vai pārdod </w:t>
            </w:r>
            <w:r w:rsidRPr="00CD0D17">
              <w:rPr>
                <w:rFonts w:ascii="Times New Roman" w:eastAsia="Times New Roman" w:hAnsi="Times New Roman" w:cs="Times New Roman"/>
                <w:color w:val="000000" w:themeColor="text1"/>
                <w:sz w:val="24"/>
                <w:szCs w:val="24"/>
                <w:lang w:eastAsia="lv-LV"/>
              </w:rPr>
              <w:t>ārvalstu valūtu skaidrā naudā, kuras apmērs ir ekvivalents 5 000 </w:t>
            </w:r>
            <w:r w:rsidRPr="00CD0D17">
              <w:rPr>
                <w:rFonts w:ascii="Times New Roman" w:eastAsia="Times New Roman" w:hAnsi="Times New Roman" w:cs="Times New Roman"/>
                <w:i/>
                <w:iCs/>
                <w:color w:val="000000" w:themeColor="text1"/>
                <w:sz w:val="24"/>
                <w:szCs w:val="24"/>
                <w:lang w:eastAsia="lv-LV"/>
              </w:rPr>
              <w:t>euro</w:t>
            </w:r>
            <w:r w:rsidRPr="00CD0D17">
              <w:rPr>
                <w:rFonts w:ascii="Times New Roman" w:eastAsia="Times New Roman" w:hAnsi="Times New Roman" w:cs="Times New Roman"/>
                <w:color w:val="000000" w:themeColor="text1"/>
                <w:sz w:val="24"/>
                <w:szCs w:val="24"/>
                <w:lang w:eastAsia="lv-LV"/>
              </w:rPr>
              <w:t> vai vairāk</w:t>
            </w:r>
            <w:r w:rsidR="00E21E7B">
              <w:rPr>
                <w:rFonts w:ascii="Times New Roman" w:eastAsia="Times New Roman" w:hAnsi="Times New Roman" w:cs="Times New Roman"/>
                <w:color w:val="000000" w:themeColor="text1"/>
                <w:sz w:val="24"/>
                <w:szCs w:val="24"/>
                <w:lang w:eastAsia="lv-LV"/>
              </w:rPr>
              <w:t>.</w:t>
            </w:r>
          </w:p>
          <w:p w14:paraId="481A4939" w14:textId="77777777" w:rsidR="00263789" w:rsidRPr="00263789" w:rsidRDefault="00263789" w:rsidP="007A15DA">
            <w:pPr>
              <w:pStyle w:val="ListParagraph"/>
              <w:shd w:val="clear" w:color="auto" w:fill="FFFFFF"/>
              <w:tabs>
                <w:tab w:val="left" w:pos="388"/>
              </w:tabs>
              <w:spacing w:after="0" w:line="240" w:lineRule="auto"/>
              <w:ind w:left="0"/>
              <w:jc w:val="both"/>
              <w:rPr>
                <w:rFonts w:ascii="Times New Roman" w:eastAsia="Times New Roman" w:hAnsi="Times New Roman" w:cs="Times New Roman"/>
                <w:color w:val="000000" w:themeColor="text1"/>
                <w:sz w:val="24"/>
                <w:szCs w:val="24"/>
                <w:lang w:eastAsia="lv-LV"/>
              </w:rPr>
            </w:pPr>
          </w:p>
          <w:p w14:paraId="253241BC" w14:textId="45C2C1F2" w:rsidR="00CD0D17" w:rsidRPr="00CD0D17" w:rsidRDefault="00CD0D17" w:rsidP="007A15DA">
            <w:pPr>
              <w:pStyle w:val="tv213"/>
              <w:shd w:val="clear" w:color="auto" w:fill="FFFFFF"/>
              <w:tabs>
                <w:tab w:val="left" w:pos="388"/>
              </w:tabs>
              <w:spacing w:before="0" w:beforeAutospacing="0" w:after="0" w:afterAutospacing="0"/>
              <w:jc w:val="both"/>
              <w:rPr>
                <w:rFonts w:eastAsia="Calibri"/>
                <w:bCs/>
              </w:rPr>
            </w:pPr>
            <w:r w:rsidRPr="00CD0D17">
              <w:rPr>
                <w:rFonts w:eastAsia="Calibri"/>
                <w:bCs/>
              </w:rPr>
              <w:t xml:space="preserve">Salīdzinājumā ar citiem Likuma subjektiem, </w:t>
            </w:r>
            <w:r w:rsidR="00BE11E0">
              <w:rPr>
                <w:rFonts w:eastAsia="Calibri"/>
                <w:bCs/>
              </w:rPr>
              <w:t xml:space="preserve">šādu </w:t>
            </w:r>
            <w:r w:rsidRPr="00CD0D17">
              <w:rPr>
                <w:rFonts w:eastAsia="Calibri"/>
                <w:bCs/>
              </w:rPr>
              <w:t>darījumu apmērs ir ievērojami zemāks, kā rezultātā tiek noteikts zemāks slieksnis skaidras naudas apmēram</w:t>
            </w:r>
            <w:r w:rsidR="003F5E6B">
              <w:rPr>
                <w:rFonts w:eastAsia="Calibri"/>
                <w:bCs/>
              </w:rPr>
              <w:t>, tostarp, ņemot vērā sniegtā pakalpojuma specifiku</w:t>
            </w:r>
            <w:r w:rsidRPr="00CD0D17">
              <w:rPr>
                <w:rFonts w:eastAsia="Calibri"/>
                <w:bCs/>
              </w:rPr>
              <w:t>.</w:t>
            </w:r>
          </w:p>
          <w:p w14:paraId="3501C7B3" w14:textId="77777777" w:rsidR="00BB4594" w:rsidRDefault="00BB4594" w:rsidP="007A15DA">
            <w:pPr>
              <w:pStyle w:val="tv213"/>
              <w:shd w:val="clear" w:color="auto" w:fill="FFFFFF"/>
              <w:spacing w:before="0" w:beforeAutospacing="0" w:after="0" w:afterAutospacing="0"/>
              <w:jc w:val="both"/>
              <w:rPr>
                <w:rFonts w:eastAsia="Calibri"/>
                <w:bCs/>
              </w:rPr>
            </w:pPr>
          </w:p>
          <w:p w14:paraId="1AC17C1E" w14:textId="08DD32D0" w:rsidR="00CD0D17" w:rsidRPr="00033B5E" w:rsidRDefault="00CD0D17" w:rsidP="007A15DA">
            <w:pPr>
              <w:pStyle w:val="ListParagraph"/>
              <w:numPr>
                <w:ilvl w:val="0"/>
                <w:numId w:val="5"/>
              </w:numPr>
              <w:shd w:val="clear" w:color="auto" w:fill="FFFFFF"/>
              <w:tabs>
                <w:tab w:val="left" w:pos="249"/>
              </w:tabs>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033B5E">
              <w:rPr>
                <w:rFonts w:ascii="Times New Roman" w:eastAsia="Times New Roman" w:hAnsi="Times New Roman" w:cs="Times New Roman"/>
                <w:color w:val="000000" w:themeColor="text1"/>
                <w:sz w:val="24"/>
                <w:szCs w:val="24"/>
                <w:u w:val="single"/>
                <w:lang w:eastAsia="lv-LV"/>
              </w:rPr>
              <w:t>Izložu un azartspēļu organizētāji</w:t>
            </w:r>
            <w:r w:rsidRPr="00033B5E">
              <w:rPr>
                <w:rFonts w:ascii="Times New Roman" w:eastAsia="Times New Roman" w:hAnsi="Times New Roman" w:cs="Times New Roman"/>
                <w:color w:val="000000" w:themeColor="text1"/>
                <w:sz w:val="24"/>
                <w:szCs w:val="24"/>
                <w:lang w:eastAsia="lv-LV"/>
              </w:rPr>
              <w:t xml:space="preserve"> - darījums, kura apmērs ir ekvivalents 2 000 </w:t>
            </w:r>
            <w:r w:rsidRPr="00033B5E">
              <w:rPr>
                <w:rFonts w:ascii="Times New Roman" w:eastAsia="Times New Roman" w:hAnsi="Times New Roman" w:cs="Times New Roman"/>
                <w:i/>
                <w:color w:val="000000" w:themeColor="text1"/>
                <w:sz w:val="24"/>
                <w:szCs w:val="24"/>
                <w:lang w:eastAsia="lv-LV"/>
              </w:rPr>
              <w:t>euro</w:t>
            </w:r>
            <w:r w:rsidRPr="00033B5E">
              <w:rPr>
                <w:rFonts w:ascii="Times New Roman" w:eastAsia="Times New Roman" w:hAnsi="Times New Roman" w:cs="Times New Roman"/>
                <w:color w:val="000000" w:themeColor="text1"/>
                <w:sz w:val="24"/>
                <w:szCs w:val="24"/>
                <w:lang w:eastAsia="lv-LV"/>
              </w:rPr>
              <w:t xml:space="preserve"> vai vairāk un kurā klientam izmaksā laimestu vai veic norēķinus ar klientu, kā arī ja klients pērk, pārdod vai maina spēles dalības līdzekļus vai šajā nolūkā maina valūtu, papildina interaktīvo azartspēļu un interaktīvo izložu </w:t>
            </w:r>
            <w:r w:rsidRPr="00033B5E">
              <w:rPr>
                <w:rFonts w:ascii="Times New Roman" w:eastAsia="Times New Roman" w:hAnsi="Times New Roman" w:cs="Times New Roman"/>
                <w:color w:val="000000" w:themeColor="text1"/>
                <w:sz w:val="24"/>
                <w:szCs w:val="24"/>
                <w:lang w:eastAsia="lv-LV"/>
              </w:rPr>
              <w:lastRenderedPageBreak/>
              <w:t>kontu vai no tā izņem līdzekļus</w:t>
            </w:r>
            <w:r w:rsidR="00914790">
              <w:rPr>
                <w:rFonts w:ascii="Times New Roman" w:eastAsia="Times New Roman" w:hAnsi="Times New Roman" w:cs="Times New Roman"/>
                <w:color w:val="000000" w:themeColor="text1"/>
                <w:sz w:val="24"/>
                <w:szCs w:val="24"/>
                <w:lang w:eastAsia="lv-LV"/>
              </w:rPr>
              <w:t xml:space="preserve"> apmērā, kas ir ekvivalents 2 000 </w:t>
            </w:r>
            <w:r w:rsidR="00914790" w:rsidRPr="00914790">
              <w:rPr>
                <w:rFonts w:ascii="Times New Roman" w:eastAsia="Times New Roman" w:hAnsi="Times New Roman" w:cs="Times New Roman"/>
                <w:i/>
                <w:color w:val="000000" w:themeColor="text1"/>
                <w:sz w:val="24"/>
                <w:szCs w:val="24"/>
                <w:lang w:eastAsia="lv-LV"/>
              </w:rPr>
              <w:t>euro</w:t>
            </w:r>
            <w:r w:rsidR="00914790">
              <w:rPr>
                <w:rFonts w:ascii="Times New Roman" w:eastAsia="Times New Roman" w:hAnsi="Times New Roman" w:cs="Times New Roman"/>
                <w:color w:val="000000" w:themeColor="text1"/>
                <w:sz w:val="24"/>
                <w:szCs w:val="24"/>
                <w:lang w:eastAsia="lv-LV"/>
              </w:rPr>
              <w:t xml:space="preserve"> vai vairāk</w:t>
            </w:r>
            <w:r w:rsidRPr="00033B5E">
              <w:rPr>
                <w:rFonts w:ascii="Times New Roman" w:eastAsia="Times New Roman" w:hAnsi="Times New Roman" w:cs="Times New Roman"/>
                <w:color w:val="000000" w:themeColor="text1"/>
                <w:sz w:val="24"/>
                <w:szCs w:val="24"/>
                <w:lang w:eastAsia="lv-LV"/>
              </w:rPr>
              <w:t>.</w:t>
            </w:r>
          </w:p>
          <w:p w14:paraId="1438C64E" w14:textId="77777777" w:rsidR="00CD0D17" w:rsidRPr="00033B5E" w:rsidRDefault="00CD0D17" w:rsidP="007A15DA">
            <w:pPr>
              <w:pStyle w:val="tv213"/>
              <w:shd w:val="clear" w:color="auto" w:fill="FFFFFF"/>
              <w:spacing w:before="0" w:beforeAutospacing="0" w:after="0" w:afterAutospacing="0"/>
              <w:jc w:val="both"/>
              <w:rPr>
                <w:rFonts w:eastAsia="Calibri"/>
                <w:bCs/>
              </w:rPr>
            </w:pPr>
          </w:p>
          <w:p w14:paraId="257D71F2" w14:textId="248DEA60" w:rsidR="00CD0D17" w:rsidRDefault="00CD0D17" w:rsidP="007A15DA">
            <w:pPr>
              <w:pStyle w:val="tv213"/>
              <w:shd w:val="clear" w:color="auto" w:fill="FFFFFF"/>
              <w:spacing w:before="0" w:beforeAutospacing="0" w:after="0" w:afterAutospacing="0"/>
              <w:jc w:val="both"/>
            </w:pPr>
            <w:r w:rsidRPr="00033B5E">
              <w:t>Izložu un azartspēļu organizatoru piedāvātie pakalpojumi mūsdienās sāk līdzināties</w:t>
            </w:r>
            <w:r>
              <w:t xml:space="preserve"> finanšu institūciju sniegtajiem pakalpojumiem, attiecīgi šie Likuma subjekti kļūst pievilcīgāki noziedzniekiem noziedzīgi iegūtu līdzekļu legalizācijas, terorisma, vai proliferācijas finansēšanas mērķiem. Daļa izložu un azartspēļu organizatori sniedz pakalpojumus 24 stundas diennaktī un ar intensīvu darījumu skaitu, ātrumu un apjomu, no kuriem lielākā daļa ir skaidra</w:t>
            </w:r>
            <w:r w:rsidR="00390D60">
              <w:t>s</w:t>
            </w:r>
            <w:r>
              <w:t xml:space="preserve"> naudas darījumi - tie ir aizvien pievilcīgāks mērķis personām ar noziedzīgi iegūtu līdzekļu legalizācijas</w:t>
            </w:r>
            <w:r w:rsidR="00390D60">
              <w:t xml:space="preserve"> un</w:t>
            </w:r>
            <w:r>
              <w:t xml:space="preserve"> terorisma vai proliferācijas finansēšanas mērķiem. Izložu un azartspēļu organizatori var tikt izmantoti, lai nepamanīti samainītu skaidras naudas līdzekļus (piem. maza nomināla pret liela nomināla naudas zīmēm). Attiecīgo Likuma subjektu piedāvātie pakalpojumu var tikt izmantoti kā aizsegs noziedzīgi iegūtu līdzekļu legalizācijas</w:t>
            </w:r>
            <w:r w:rsidR="00390D60">
              <w:t xml:space="preserve"> un</w:t>
            </w:r>
            <w:r>
              <w:t xml:space="preserve"> terorisma vai proliferācijas finansēšanas darbībām, personas var izmantot produktus un pakalpojumus </w:t>
            </w:r>
            <w:r w:rsidR="002946C7">
              <w:t>noziedzīgi iegūtu līdzekļu</w:t>
            </w:r>
            <w:r>
              <w:t xml:space="preserve"> uzglabāšanai un kustībai, kā arī dažviet pastāv iespējamība pakalpojumus saņemt neklātienē. Tāpat pastāv iespējamība, ka nepilnīgi tiek identificētas politiski nozīmīgas personas, tādējādi radot risku, ka, izmantojot izložu un azartspēļu organizatoru sniegtos pakalpojumus, var tikt legalizēti korupcijas ceļā iegūti līdzekļi.</w:t>
            </w:r>
            <w:r w:rsidR="002946C7">
              <w:t xml:space="preserve"> Būtiski norādīt, ka izložu un azartspēļu pakalpojumi var tikt sniegt</w:t>
            </w:r>
            <w:r w:rsidR="00390D60">
              <w:t>i</w:t>
            </w:r>
            <w:r w:rsidR="002946C7">
              <w:t xml:space="preserve"> internetā, proti, neklātienē</w:t>
            </w:r>
            <w:r w:rsidR="002946C7">
              <w:rPr>
                <w:rStyle w:val="FootnoteReference"/>
              </w:rPr>
              <w:footnoteReference w:id="5"/>
            </w:r>
            <w:r w:rsidR="002946C7">
              <w:t>.</w:t>
            </w:r>
          </w:p>
          <w:p w14:paraId="02A82A6D" w14:textId="77777777" w:rsidR="009D6997" w:rsidRDefault="009D6997" w:rsidP="007A15DA">
            <w:pPr>
              <w:pStyle w:val="tv213"/>
              <w:shd w:val="clear" w:color="auto" w:fill="FFFFFF"/>
              <w:spacing w:before="0" w:beforeAutospacing="0" w:after="0" w:afterAutospacing="0"/>
              <w:jc w:val="both"/>
            </w:pPr>
          </w:p>
          <w:p w14:paraId="6B6BB1E1" w14:textId="6C122364" w:rsidR="00033B5E" w:rsidRPr="0037600C" w:rsidRDefault="0037600C" w:rsidP="007A15DA">
            <w:pPr>
              <w:pStyle w:val="ListParagraph"/>
              <w:numPr>
                <w:ilvl w:val="0"/>
                <w:numId w:val="5"/>
              </w:numPr>
              <w:shd w:val="clear" w:color="auto" w:fill="FFFFFF"/>
              <w:tabs>
                <w:tab w:val="left" w:pos="246"/>
              </w:tabs>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37600C">
              <w:rPr>
                <w:rFonts w:ascii="Times New Roman" w:eastAsia="Times New Roman" w:hAnsi="Times New Roman" w:cs="Times New Roman"/>
                <w:color w:val="000000" w:themeColor="text1"/>
                <w:sz w:val="24"/>
                <w:szCs w:val="24"/>
                <w:u w:val="single"/>
                <w:lang w:eastAsia="lv-LV"/>
              </w:rPr>
              <w:t>P</w:t>
            </w:r>
            <w:r w:rsidR="00033B5E" w:rsidRPr="0037600C">
              <w:rPr>
                <w:rFonts w:ascii="Times New Roman" w:eastAsia="Times New Roman" w:hAnsi="Times New Roman" w:cs="Times New Roman"/>
                <w:color w:val="000000" w:themeColor="text1"/>
                <w:sz w:val="24"/>
                <w:szCs w:val="24"/>
                <w:u w:val="single"/>
                <w:lang w:eastAsia="lv-LV"/>
              </w:rPr>
              <w:t>ersonas, kas darbojas mākslas un antikvāro priekšmetu apritē</w:t>
            </w:r>
            <w:r w:rsidR="00033B5E" w:rsidRPr="0037600C">
              <w:rPr>
                <w:rFonts w:ascii="Times New Roman" w:eastAsia="Times New Roman" w:hAnsi="Times New Roman" w:cs="Times New Roman"/>
                <w:color w:val="000000" w:themeColor="text1"/>
                <w:sz w:val="24"/>
                <w:szCs w:val="24"/>
                <w:lang w:eastAsia="lv-LV"/>
              </w:rPr>
              <w:t xml:space="preserve"> – darījuma apmērs ir ekvivalents 50 000 </w:t>
            </w:r>
            <w:r w:rsidR="00033B5E" w:rsidRPr="0037600C">
              <w:rPr>
                <w:rFonts w:ascii="Times New Roman" w:eastAsia="Times New Roman" w:hAnsi="Times New Roman" w:cs="Times New Roman"/>
                <w:i/>
                <w:color w:val="000000" w:themeColor="text1"/>
                <w:sz w:val="24"/>
                <w:szCs w:val="24"/>
                <w:lang w:eastAsia="lv-LV"/>
              </w:rPr>
              <w:t>euro</w:t>
            </w:r>
            <w:r w:rsidR="00033B5E" w:rsidRPr="0037600C">
              <w:rPr>
                <w:rFonts w:ascii="Times New Roman" w:eastAsia="Times New Roman" w:hAnsi="Times New Roman" w:cs="Times New Roman"/>
                <w:color w:val="000000" w:themeColor="text1"/>
                <w:sz w:val="24"/>
                <w:szCs w:val="24"/>
                <w:lang w:eastAsia="lv-LV"/>
              </w:rPr>
              <w:t xml:space="preserve"> vai vairāk.</w:t>
            </w:r>
          </w:p>
          <w:p w14:paraId="3A795E63" w14:textId="69E0CA7A" w:rsidR="00033B5E" w:rsidRPr="0037600C" w:rsidRDefault="00033B5E" w:rsidP="007A15DA">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p>
          <w:p w14:paraId="6FC4A221" w14:textId="7365350C" w:rsidR="00033B5E" w:rsidRPr="0037600C" w:rsidRDefault="00033B5E" w:rsidP="007A15DA">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37600C">
              <w:rPr>
                <w:rFonts w:ascii="Times New Roman" w:hAnsi="Times New Roman" w:cs="Times New Roman"/>
                <w:sz w:val="24"/>
                <w:szCs w:val="24"/>
              </w:rPr>
              <w:t xml:space="preserve">Lai arī šādi darījumi tiek uzraudzīti un pārvaldīti </w:t>
            </w:r>
            <w:r w:rsidR="003F5E6B">
              <w:rPr>
                <w:rFonts w:ascii="Times New Roman" w:hAnsi="Times New Roman" w:cs="Times New Roman"/>
                <w:sz w:val="24"/>
                <w:szCs w:val="24"/>
              </w:rPr>
              <w:t>L</w:t>
            </w:r>
            <w:r w:rsidRPr="0037600C">
              <w:rPr>
                <w:rFonts w:ascii="Times New Roman" w:hAnsi="Times New Roman" w:cs="Times New Roman"/>
                <w:sz w:val="24"/>
                <w:szCs w:val="24"/>
              </w:rPr>
              <w:t xml:space="preserve">ikumā noteiktajā kārtībā, tomēr pastāv risks, ka darījumu veikšanā tiek veiktas </w:t>
            </w:r>
            <w:r w:rsidR="0037600C" w:rsidRPr="0037600C">
              <w:rPr>
                <w:rFonts w:ascii="Times New Roman" w:hAnsi="Times New Roman" w:cs="Times New Roman"/>
                <w:sz w:val="24"/>
                <w:szCs w:val="24"/>
              </w:rPr>
              <w:t xml:space="preserve">noziedzīgi iegūtu līdzekļu legalizācijas un terorisma finansēšanas </w:t>
            </w:r>
            <w:r w:rsidRPr="0037600C">
              <w:rPr>
                <w:rFonts w:ascii="Times New Roman" w:hAnsi="Times New Roman" w:cs="Times New Roman"/>
                <w:sz w:val="24"/>
                <w:szCs w:val="24"/>
              </w:rPr>
              <w:t xml:space="preserve">darbības. Īpaši augsts risks pastāv darījumos, kas tiek veikti skaidrā naudā, tādejādi legalizējot </w:t>
            </w:r>
            <w:r w:rsidR="0037600C" w:rsidRPr="0037600C">
              <w:rPr>
                <w:rFonts w:ascii="Times New Roman" w:hAnsi="Times New Roman" w:cs="Times New Roman"/>
                <w:sz w:val="24"/>
                <w:szCs w:val="24"/>
              </w:rPr>
              <w:t>noziedzīgi iegūtus līdzekļus</w:t>
            </w:r>
            <w:r w:rsidRPr="0037600C">
              <w:rPr>
                <w:rFonts w:ascii="Times New Roman" w:hAnsi="Times New Roman" w:cs="Times New Roman"/>
                <w:sz w:val="24"/>
                <w:szCs w:val="24"/>
              </w:rPr>
              <w:t xml:space="preserve">, kā arī, ja darījuma vērtība neatbilst vidējai tirgus cenai (pastāv risks, ka īpašumam pakāpeniski tiek palielināta vērtība un gan sākotnējais, gan gala īpašnieks ir savstarpēji saistīti), vai klients vai tā </w:t>
            </w:r>
            <w:r w:rsidR="0037600C" w:rsidRPr="0037600C">
              <w:rPr>
                <w:rFonts w:ascii="Times New Roman" w:hAnsi="Times New Roman" w:cs="Times New Roman"/>
                <w:sz w:val="24"/>
                <w:szCs w:val="24"/>
              </w:rPr>
              <w:t>patiesā labuma guvējs</w:t>
            </w:r>
            <w:r w:rsidRPr="0037600C">
              <w:rPr>
                <w:rFonts w:ascii="Times New Roman" w:hAnsi="Times New Roman" w:cs="Times New Roman"/>
                <w:sz w:val="24"/>
                <w:szCs w:val="24"/>
              </w:rPr>
              <w:t xml:space="preserve"> ir saistīts ar paaugstināta riska </w:t>
            </w:r>
            <w:r w:rsidRPr="0037600C">
              <w:rPr>
                <w:rFonts w:ascii="Times New Roman" w:hAnsi="Times New Roman" w:cs="Times New Roman"/>
                <w:sz w:val="24"/>
                <w:szCs w:val="24"/>
              </w:rPr>
              <w:lastRenderedPageBreak/>
              <w:t xml:space="preserve">jurisdikciju vai ir </w:t>
            </w:r>
            <w:r w:rsidR="0037600C" w:rsidRPr="0037600C">
              <w:rPr>
                <w:rFonts w:ascii="Times New Roman" w:hAnsi="Times New Roman" w:cs="Times New Roman"/>
                <w:sz w:val="24"/>
                <w:szCs w:val="24"/>
              </w:rPr>
              <w:t>nevalstiskā organizācija</w:t>
            </w:r>
            <w:r w:rsidRPr="0037600C">
              <w:rPr>
                <w:rFonts w:ascii="Times New Roman" w:hAnsi="Times New Roman" w:cs="Times New Roman"/>
                <w:sz w:val="24"/>
                <w:szCs w:val="24"/>
              </w:rPr>
              <w:t xml:space="preserve">. Pastāv iespēja, ka darījumi ar </w:t>
            </w:r>
            <w:r w:rsidR="0037600C" w:rsidRPr="0037600C">
              <w:rPr>
                <w:rFonts w:ascii="Times New Roman" w:eastAsia="Times New Roman" w:hAnsi="Times New Roman" w:cs="Times New Roman"/>
                <w:color w:val="000000" w:themeColor="text1"/>
                <w:sz w:val="24"/>
                <w:szCs w:val="24"/>
                <w:lang w:eastAsia="lv-LV"/>
              </w:rPr>
              <w:t>mākslas un antikvāriem priekšmetiem</w:t>
            </w:r>
            <w:r w:rsidR="0037600C" w:rsidRPr="0037600C">
              <w:rPr>
                <w:rFonts w:ascii="Times New Roman" w:hAnsi="Times New Roman" w:cs="Times New Roman"/>
                <w:sz w:val="24"/>
                <w:szCs w:val="24"/>
              </w:rPr>
              <w:t xml:space="preserve"> </w:t>
            </w:r>
            <w:r w:rsidRPr="0037600C">
              <w:rPr>
                <w:rFonts w:ascii="Times New Roman" w:hAnsi="Times New Roman" w:cs="Times New Roman"/>
                <w:sz w:val="24"/>
                <w:szCs w:val="24"/>
              </w:rPr>
              <w:t>notiek ar mērķi gūt finansējumu teroristiskām aktivitātēm vai proliferācijai. Mākslas un antikvāro priekšmetu aprite saistīta ar valstīm ar augstāk</w:t>
            </w:r>
            <w:r w:rsidR="003F5E6B">
              <w:rPr>
                <w:rFonts w:ascii="Times New Roman" w:hAnsi="Times New Roman" w:cs="Times New Roman"/>
                <w:sz w:val="24"/>
                <w:szCs w:val="24"/>
              </w:rPr>
              <w:t>u</w:t>
            </w:r>
            <w:r w:rsidRPr="0037600C">
              <w:rPr>
                <w:rFonts w:ascii="Times New Roman" w:hAnsi="Times New Roman" w:cs="Times New Roman"/>
                <w:sz w:val="24"/>
                <w:szCs w:val="24"/>
              </w:rPr>
              <w:t xml:space="preserve"> draudu līmeni, pasaulē aktuālām </w:t>
            </w:r>
            <w:proofErr w:type="spellStart"/>
            <w:r w:rsidRPr="0037600C">
              <w:rPr>
                <w:rFonts w:ascii="Times New Roman" w:hAnsi="Times New Roman" w:cs="Times New Roman"/>
                <w:sz w:val="24"/>
                <w:szCs w:val="24"/>
              </w:rPr>
              <w:t>konfliktzonām</w:t>
            </w:r>
            <w:proofErr w:type="spellEnd"/>
            <w:r w:rsidRPr="0037600C">
              <w:rPr>
                <w:rFonts w:ascii="Times New Roman" w:hAnsi="Times New Roman" w:cs="Times New Roman"/>
                <w:sz w:val="24"/>
                <w:szCs w:val="24"/>
              </w:rPr>
              <w:t>, piemēram, Sīrija, Irāka, Afganistāna, arī Krimas apgabals, u.c.. Senlietu tirdzniecība noris interneta tirdzniecības vietnēs (t.sk., nelegālās)</w:t>
            </w:r>
            <w:r w:rsidR="0037600C" w:rsidRPr="0037600C">
              <w:rPr>
                <w:rStyle w:val="FootnoteReference"/>
                <w:rFonts w:ascii="Times New Roman" w:hAnsi="Times New Roman" w:cs="Times New Roman"/>
                <w:sz w:val="24"/>
                <w:szCs w:val="24"/>
              </w:rPr>
              <w:footnoteReference w:id="6"/>
            </w:r>
            <w:r w:rsidRPr="0037600C">
              <w:rPr>
                <w:rFonts w:ascii="Times New Roman" w:hAnsi="Times New Roman" w:cs="Times New Roman"/>
                <w:sz w:val="24"/>
                <w:szCs w:val="24"/>
              </w:rPr>
              <w:t xml:space="preserve">. </w:t>
            </w:r>
          </w:p>
          <w:p w14:paraId="642B0AA8" w14:textId="17FDCE80" w:rsidR="005061B5" w:rsidRDefault="005061B5" w:rsidP="007A15DA">
            <w:pPr>
              <w:spacing w:after="0" w:line="240" w:lineRule="auto"/>
              <w:jc w:val="both"/>
              <w:rPr>
                <w:rFonts w:ascii="Times New Roman" w:eastAsia="Times New Roman" w:hAnsi="Times New Roman" w:cs="Times New Roman"/>
                <w:color w:val="000000" w:themeColor="text1"/>
                <w:sz w:val="24"/>
                <w:szCs w:val="24"/>
                <w:lang w:eastAsia="lv-LV"/>
              </w:rPr>
            </w:pPr>
          </w:p>
          <w:p w14:paraId="15C18E2C" w14:textId="77777777" w:rsidR="005061B5" w:rsidRPr="00DE15AA" w:rsidRDefault="00BD2DD2" w:rsidP="005061B5">
            <w:pPr>
              <w:shd w:val="clear" w:color="auto" w:fill="FFFFFF"/>
              <w:tabs>
                <w:tab w:val="left" w:pos="709"/>
              </w:tabs>
              <w:spacing w:after="0" w:line="293" w:lineRule="atLeast"/>
              <w:jc w:val="both"/>
              <w:rPr>
                <w:rFonts w:ascii="Times New Roman" w:eastAsia="Times New Roman" w:hAnsi="Times New Roman" w:cs="Times New Roman"/>
                <w:color w:val="000000" w:themeColor="text1"/>
                <w:sz w:val="24"/>
                <w:szCs w:val="24"/>
                <w:lang w:eastAsia="lv-LV"/>
              </w:rPr>
            </w:pPr>
            <w:r w:rsidRPr="004A3DD2">
              <w:rPr>
                <w:rFonts w:ascii="Times New Roman" w:eastAsia="Times New Roman" w:hAnsi="Times New Roman" w:cs="Times New Roman"/>
                <w:color w:val="000000" w:themeColor="text1"/>
                <w:sz w:val="24"/>
                <w:szCs w:val="24"/>
                <w:lang w:eastAsia="lv-LV"/>
              </w:rPr>
              <w:t xml:space="preserve">Līdz ar </w:t>
            </w:r>
            <w:r w:rsidRPr="004A3DD2">
              <w:rPr>
                <w:rFonts w:ascii="Times New Roman" w:eastAsia="Times New Roman" w:hAnsi="Times New Roman" w:cs="Times New Roman"/>
                <w:b/>
                <w:color w:val="000000" w:themeColor="text1"/>
                <w:sz w:val="24"/>
                <w:szCs w:val="24"/>
                <w:lang w:eastAsia="lv-LV"/>
              </w:rPr>
              <w:t>Noteikumu projekta 6.-7.punktu</w:t>
            </w:r>
            <w:r w:rsidRPr="004A3DD2">
              <w:rPr>
                <w:rFonts w:ascii="Times New Roman" w:eastAsia="Times New Roman" w:hAnsi="Times New Roman" w:cs="Times New Roman"/>
                <w:color w:val="000000" w:themeColor="text1"/>
                <w:sz w:val="24"/>
                <w:szCs w:val="24"/>
                <w:lang w:eastAsia="lv-LV"/>
              </w:rPr>
              <w:t xml:space="preserve"> t</w:t>
            </w:r>
            <w:r w:rsidR="00033B5E" w:rsidRPr="004A3DD2">
              <w:rPr>
                <w:rFonts w:ascii="Times New Roman" w:eastAsia="Times New Roman" w:hAnsi="Times New Roman" w:cs="Times New Roman"/>
                <w:color w:val="000000" w:themeColor="text1"/>
                <w:sz w:val="24"/>
                <w:szCs w:val="24"/>
                <w:lang w:eastAsia="lv-LV"/>
              </w:rPr>
              <w:t xml:space="preserve">iek </w:t>
            </w:r>
            <w:r w:rsidRPr="004A3DD2">
              <w:rPr>
                <w:rFonts w:ascii="Times New Roman" w:eastAsia="Times New Roman" w:hAnsi="Times New Roman" w:cs="Times New Roman"/>
                <w:color w:val="000000" w:themeColor="text1"/>
                <w:sz w:val="24"/>
                <w:szCs w:val="24"/>
                <w:lang w:eastAsia="lv-LV"/>
              </w:rPr>
              <w:t xml:space="preserve">noteikts, ka sliekšņa deklarācijas ir iesniedzamas elektroniski, aizpildot veidlapu tiešsaistes formā. </w:t>
            </w:r>
            <w:r w:rsidR="005061B5" w:rsidRPr="00DE15AA">
              <w:rPr>
                <w:rFonts w:ascii="Times New Roman" w:eastAsia="Times New Roman" w:hAnsi="Times New Roman" w:cs="Times New Roman"/>
                <w:color w:val="000000" w:themeColor="text1"/>
                <w:sz w:val="24"/>
                <w:szCs w:val="24"/>
                <w:lang w:eastAsia="lv-LV"/>
              </w:rPr>
              <w:t xml:space="preserve">Finanšu izlūkošanas dienests XML shēmas struktūru jeb XML </w:t>
            </w:r>
            <w:proofErr w:type="spellStart"/>
            <w:r w:rsidR="005061B5" w:rsidRPr="00DE15AA">
              <w:rPr>
                <w:rFonts w:ascii="Times New Roman" w:eastAsia="Times New Roman" w:hAnsi="Times New Roman" w:cs="Times New Roman"/>
                <w:color w:val="000000" w:themeColor="text1"/>
                <w:sz w:val="24"/>
                <w:szCs w:val="24"/>
                <w:lang w:eastAsia="lv-LV"/>
              </w:rPr>
              <w:t>Schema</w:t>
            </w:r>
            <w:proofErr w:type="spellEnd"/>
            <w:r w:rsidR="005061B5" w:rsidRPr="00DE15AA">
              <w:rPr>
                <w:rFonts w:ascii="Times New Roman" w:eastAsia="Times New Roman" w:hAnsi="Times New Roman" w:cs="Times New Roman"/>
                <w:color w:val="000000" w:themeColor="text1"/>
                <w:sz w:val="24"/>
                <w:szCs w:val="24"/>
                <w:lang w:eastAsia="lv-LV"/>
              </w:rPr>
              <w:t xml:space="preserve"> </w:t>
            </w:r>
            <w:proofErr w:type="spellStart"/>
            <w:r w:rsidR="005061B5" w:rsidRPr="00DE15AA">
              <w:rPr>
                <w:rFonts w:ascii="Times New Roman" w:eastAsia="Times New Roman" w:hAnsi="Times New Roman" w:cs="Times New Roman"/>
                <w:color w:val="000000" w:themeColor="text1"/>
                <w:sz w:val="24"/>
                <w:szCs w:val="24"/>
                <w:lang w:eastAsia="lv-LV"/>
              </w:rPr>
              <w:t>Definition</w:t>
            </w:r>
            <w:proofErr w:type="spellEnd"/>
            <w:r w:rsidR="005061B5" w:rsidRPr="00DE15AA">
              <w:rPr>
                <w:rFonts w:ascii="Times New Roman" w:eastAsia="Times New Roman" w:hAnsi="Times New Roman" w:cs="Times New Roman"/>
                <w:color w:val="000000" w:themeColor="text1"/>
                <w:sz w:val="24"/>
                <w:szCs w:val="24"/>
                <w:lang w:eastAsia="lv-LV"/>
              </w:rPr>
              <w:t xml:space="preserve"> (turpmāk - XSD) shēmu uzturēs savā tīmekļvietnē, darot to publiski pieejamu Likuma subjektiem un to uzraudzības un kontroles institūcijām.</w:t>
            </w:r>
          </w:p>
          <w:p w14:paraId="7CC29E11" w14:textId="77777777" w:rsidR="005061B5" w:rsidRDefault="005061B5" w:rsidP="007A15DA">
            <w:pPr>
              <w:spacing w:after="0" w:line="240" w:lineRule="auto"/>
              <w:jc w:val="both"/>
              <w:rPr>
                <w:rFonts w:ascii="Times New Roman" w:eastAsia="Times New Roman" w:hAnsi="Times New Roman" w:cs="Times New Roman"/>
                <w:color w:val="000000" w:themeColor="text1"/>
                <w:sz w:val="24"/>
                <w:szCs w:val="24"/>
                <w:lang w:eastAsia="lv-LV"/>
              </w:rPr>
            </w:pPr>
          </w:p>
          <w:p w14:paraId="1FD242F0" w14:textId="3FE2D999" w:rsidR="00FF08A0" w:rsidRDefault="00033B5E" w:rsidP="007A15DA">
            <w:pPr>
              <w:spacing w:after="0" w:line="240" w:lineRule="auto"/>
              <w:jc w:val="both"/>
              <w:rPr>
                <w:rFonts w:ascii="Times New Roman" w:eastAsia="Times New Roman" w:hAnsi="Times New Roman" w:cs="Times New Roman"/>
                <w:color w:val="000000" w:themeColor="text1"/>
                <w:sz w:val="24"/>
                <w:szCs w:val="24"/>
                <w:lang w:eastAsia="lv-LV"/>
              </w:rPr>
            </w:pPr>
            <w:r w:rsidRPr="004A3DD2">
              <w:rPr>
                <w:rFonts w:ascii="Times New Roman" w:eastAsia="Times New Roman" w:hAnsi="Times New Roman" w:cs="Times New Roman"/>
                <w:color w:val="000000" w:themeColor="text1"/>
                <w:sz w:val="24"/>
                <w:szCs w:val="24"/>
                <w:lang w:eastAsia="lv-LV"/>
              </w:rPr>
              <w:t xml:space="preserve">Noteikumu </w:t>
            </w:r>
            <w:r w:rsidR="0037600C" w:rsidRPr="004A3DD2">
              <w:rPr>
                <w:rFonts w:ascii="Times New Roman" w:eastAsia="Times New Roman" w:hAnsi="Times New Roman" w:cs="Times New Roman"/>
                <w:color w:val="000000" w:themeColor="text1"/>
                <w:sz w:val="24"/>
                <w:szCs w:val="24"/>
                <w:lang w:eastAsia="lv-LV"/>
              </w:rPr>
              <w:t xml:space="preserve">projekta </w:t>
            </w:r>
            <w:r w:rsidRPr="004A3DD2">
              <w:rPr>
                <w:rFonts w:ascii="Times New Roman" w:eastAsia="Times New Roman" w:hAnsi="Times New Roman" w:cs="Times New Roman"/>
                <w:color w:val="000000" w:themeColor="text1"/>
                <w:sz w:val="24"/>
                <w:szCs w:val="24"/>
                <w:lang w:eastAsia="lv-LV"/>
              </w:rPr>
              <w:t>pielikumā pievienotā veidlapa ievērojami samazin</w:t>
            </w:r>
            <w:r w:rsidR="00BD2DD2" w:rsidRPr="004A3DD2">
              <w:rPr>
                <w:rFonts w:ascii="Times New Roman" w:eastAsia="Times New Roman" w:hAnsi="Times New Roman" w:cs="Times New Roman"/>
                <w:color w:val="000000" w:themeColor="text1"/>
                <w:sz w:val="24"/>
                <w:szCs w:val="24"/>
                <w:lang w:eastAsia="lv-LV"/>
              </w:rPr>
              <w:t>a</w:t>
            </w:r>
            <w:r w:rsidRPr="004A3DD2">
              <w:rPr>
                <w:rFonts w:ascii="Times New Roman" w:eastAsia="Times New Roman" w:hAnsi="Times New Roman" w:cs="Times New Roman"/>
                <w:color w:val="000000" w:themeColor="text1"/>
                <w:sz w:val="24"/>
                <w:szCs w:val="24"/>
                <w:lang w:eastAsia="lv-LV"/>
              </w:rPr>
              <w:t xml:space="preserve">  Likuma subjekta sliekšņa deklarācijā iekļaujamās informācijas apjomu, salīdzinot ar ziņojuma iesniegšanu par neparastu darījumu. Tiek paredzēts, ka sliekšņa deklarācijas veidlapa aizpildāma tikai par darījuma dalībniekiem, papildus personai, kura ir sliekšņa deklarācijas iesniedzēja - Likuma subjekta - klients, iekļaujot informāciju par personas saistību ar politiski nozīmīgu personu un patiesā labuma guvēju.  </w:t>
            </w:r>
          </w:p>
          <w:p w14:paraId="2BAEAA9C" w14:textId="77777777" w:rsidR="00FF08A0" w:rsidRDefault="00FF08A0" w:rsidP="007A15DA">
            <w:pPr>
              <w:spacing w:after="0" w:line="240" w:lineRule="auto"/>
              <w:jc w:val="both"/>
              <w:rPr>
                <w:rFonts w:ascii="Times New Roman" w:eastAsia="Times New Roman" w:hAnsi="Times New Roman" w:cs="Times New Roman"/>
                <w:color w:val="000000" w:themeColor="text1"/>
                <w:sz w:val="24"/>
                <w:szCs w:val="24"/>
                <w:lang w:eastAsia="lv-LV"/>
              </w:rPr>
            </w:pPr>
          </w:p>
          <w:p w14:paraId="6BC7B390" w14:textId="2302C780" w:rsidR="00FF08A0" w:rsidRDefault="00FF08A0" w:rsidP="007A15D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Visas sliekšņa deklarācijas kā atsevišķus ziņojumus būs iespējams iesniegt vienā XML failā.</w:t>
            </w:r>
          </w:p>
          <w:p w14:paraId="33C35253" w14:textId="77777777" w:rsidR="00FF08A0" w:rsidRDefault="00FF08A0" w:rsidP="007A15DA">
            <w:pPr>
              <w:spacing w:after="0" w:line="240" w:lineRule="auto"/>
              <w:jc w:val="both"/>
              <w:rPr>
                <w:rFonts w:ascii="Times New Roman" w:eastAsia="Times New Roman" w:hAnsi="Times New Roman" w:cs="Times New Roman"/>
                <w:color w:val="000000" w:themeColor="text1"/>
                <w:sz w:val="24"/>
                <w:szCs w:val="24"/>
                <w:lang w:eastAsia="lv-LV"/>
              </w:rPr>
            </w:pPr>
          </w:p>
          <w:p w14:paraId="4DF89EA9" w14:textId="74F87350" w:rsidR="00FF08A0" w:rsidRPr="003A621B" w:rsidRDefault="00033B5E" w:rsidP="007A15DA">
            <w:pPr>
              <w:spacing w:after="0" w:line="240" w:lineRule="auto"/>
              <w:jc w:val="both"/>
              <w:rPr>
                <w:rFonts w:ascii="Times New Roman" w:eastAsia="Times New Roman" w:hAnsi="Times New Roman" w:cs="Times New Roman"/>
                <w:color w:val="000000" w:themeColor="text1"/>
                <w:sz w:val="24"/>
                <w:szCs w:val="24"/>
                <w:lang w:eastAsia="lv-LV"/>
              </w:rPr>
            </w:pPr>
            <w:r w:rsidRPr="004A3DD2">
              <w:rPr>
                <w:rFonts w:ascii="Times New Roman" w:eastAsia="Times New Roman" w:hAnsi="Times New Roman" w:cs="Times New Roman"/>
                <w:color w:val="000000" w:themeColor="text1"/>
                <w:sz w:val="24"/>
                <w:szCs w:val="24"/>
                <w:lang w:eastAsia="lv-LV"/>
              </w:rPr>
              <w:t>Sliekšņa deklarācijas veidlapa nosaka maksimālo deklarācijā iekļaujamo informāciju, kas tiks pielāgota Likuma subjektam atkarībā no tā saimnieciskās vai profesionālās darbības veida.</w:t>
            </w:r>
            <w:r w:rsidR="00BD2DD2" w:rsidRPr="004A3DD2">
              <w:rPr>
                <w:rFonts w:ascii="Times New Roman" w:eastAsia="Times New Roman" w:hAnsi="Times New Roman" w:cs="Times New Roman"/>
                <w:color w:val="000000" w:themeColor="text1"/>
                <w:sz w:val="24"/>
                <w:szCs w:val="24"/>
                <w:lang w:eastAsia="lv-LV"/>
              </w:rPr>
              <w:t xml:space="preserve"> Attiecīgi norādāms, ka Likuma subjektiem nebūs obligāti jāaizpilda visi Noteikumu projekta pielikumā šobrīd ietvertie lauki, tādējādi nodrošinot iespēju iesniegt sliekšņa deklarāciju arī tad, ja ņemot vērā Likuma subjekta darbības specifiku, attiecīgā informācija Likuma subjektiem nav zināma (piemēram attiecībā uz </w:t>
            </w:r>
            <w:proofErr w:type="spellStart"/>
            <w:r w:rsidR="00BD2DD2" w:rsidRPr="004A3DD2">
              <w:rPr>
                <w:rFonts w:ascii="Times New Roman" w:eastAsia="Times New Roman" w:hAnsi="Times New Roman" w:cs="Times New Roman"/>
                <w:color w:val="000000" w:themeColor="text1"/>
                <w:sz w:val="24"/>
                <w:szCs w:val="24"/>
                <w:lang w:eastAsia="lv-LV"/>
              </w:rPr>
              <w:t>nefinanšu</w:t>
            </w:r>
            <w:proofErr w:type="spellEnd"/>
            <w:r w:rsidR="00BD2DD2" w:rsidRPr="004A3DD2">
              <w:rPr>
                <w:rFonts w:ascii="Times New Roman" w:eastAsia="Times New Roman" w:hAnsi="Times New Roman" w:cs="Times New Roman"/>
                <w:color w:val="000000" w:themeColor="text1"/>
                <w:sz w:val="24"/>
                <w:szCs w:val="24"/>
                <w:lang w:eastAsia="lv-LV"/>
              </w:rPr>
              <w:t xml:space="preserve"> sektora lauks „Darījuma dalībnieka konta informācija” u.c. nebūs obligāti aizpildāmi).</w:t>
            </w:r>
            <w:r w:rsidR="00FF08A0" w:rsidRPr="004A3DD2">
              <w:rPr>
                <w:rFonts w:ascii="Times New Roman" w:eastAsia="Times New Roman" w:hAnsi="Times New Roman" w:cs="Times New Roman"/>
                <w:color w:val="000000" w:themeColor="text1"/>
                <w:sz w:val="24"/>
                <w:szCs w:val="24"/>
                <w:lang w:eastAsia="lv-LV"/>
              </w:rPr>
              <w:t xml:space="preserve"> </w:t>
            </w:r>
            <w:r w:rsidR="00FF08A0">
              <w:rPr>
                <w:rFonts w:ascii="Times New Roman" w:eastAsia="Times New Roman" w:hAnsi="Times New Roman" w:cs="Times New Roman"/>
                <w:color w:val="000000" w:themeColor="text1"/>
                <w:sz w:val="24"/>
                <w:szCs w:val="24"/>
                <w:lang w:eastAsia="lv-LV"/>
              </w:rPr>
              <w:t>Veidlapa ir vispārīga</w:t>
            </w:r>
            <w:r w:rsidR="005061B5">
              <w:rPr>
                <w:rFonts w:ascii="Times New Roman" w:eastAsia="Times New Roman" w:hAnsi="Times New Roman" w:cs="Times New Roman"/>
                <w:color w:val="000000" w:themeColor="text1"/>
                <w:sz w:val="24"/>
                <w:szCs w:val="24"/>
                <w:lang w:eastAsia="lv-LV"/>
              </w:rPr>
              <w:t xml:space="preserve"> un</w:t>
            </w:r>
            <w:r w:rsidR="00FF08A0">
              <w:rPr>
                <w:rFonts w:ascii="Times New Roman" w:eastAsia="Times New Roman" w:hAnsi="Times New Roman" w:cs="Times New Roman"/>
                <w:color w:val="000000" w:themeColor="text1"/>
                <w:sz w:val="24"/>
                <w:szCs w:val="24"/>
                <w:lang w:eastAsia="lv-LV"/>
              </w:rPr>
              <w:t xml:space="preserve"> pielāgošana (validācija) noteiktām Likuma subjektu grupām tiks veikta, publicējot veidlapu Finanšu izlūkošanas dienesta elektroniskajā vietnē, kā arī sliekšņa deklarāciju sniegšanas procesā.</w:t>
            </w:r>
          </w:p>
          <w:p w14:paraId="7D96C9F1" w14:textId="74733BE4" w:rsidR="00845A36" w:rsidRPr="009F0C6E" w:rsidRDefault="00845A36" w:rsidP="007A15DA">
            <w:pPr>
              <w:shd w:val="clear" w:color="auto" w:fill="FFFFFF"/>
              <w:spacing w:after="0" w:line="240" w:lineRule="auto"/>
              <w:jc w:val="both"/>
              <w:rPr>
                <w:rFonts w:ascii="Times New Roman" w:eastAsia="Calibri" w:hAnsi="Times New Roman" w:cs="Times New Roman"/>
                <w:bCs/>
                <w:sz w:val="24"/>
                <w:szCs w:val="24"/>
              </w:rPr>
            </w:pPr>
            <w:r w:rsidRPr="0037600C">
              <w:rPr>
                <w:rFonts w:ascii="Times New Roman" w:eastAsia="Times New Roman" w:hAnsi="Times New Roman" w:cs="Times New Roman"/>
                <w:color w:val="000000" w:themeColor="text1"/>
                <w:sz w:val="24"/>
                <w:szCs w:val="24"/>
                <w:lang w:eastAsia="lv-LV"/>
              </w:rPr>
              <w:lastRenderedPageBreak/>
              <w:t xml:space="preserve">Ievērojot to, ka </w:t>
            </w:r>
            <w:r w:rsidR="00033B5E" w:rsidRPr="0037600C">
              <w:rPr>
                <w:rFonts w:ascii="Times New Roman" w:eastAsia="Times New Roman" w:hAnsi="Times New Roman" w:cs="Times New Roman"/>
                <w:color w:val="000000" w:themeColor="text1"/>
                <w:sz w:val="24"/>
                <w:szCs w:val="24"/>
                <w:lang w:eastAsia="lv-LV"/>
              </w:rPr>
              <w:t xml:space="preserve">Likuma pārejas noteikumu </w:t>
            </w:r>
            <w:r w:rsidR="00033B5E" w:rsidRPr="0037600C">
              <w:rPr>
                <w:rFonts w:ascii="Times New Roman" w:hAnsi="Times New Roman" w:cs="Times New Roman"/>
                <w:color w:val="000000" w:themeColor="text1"/>
                <w:sz w:val="24"/>
                <w:szCs w:val="24"/>
                <w:shd w:val="clear" w:color="auto" w:fill="FFFFFF"/>
              </w:rPr>
              <w:t>3</w:t>
            </w:r>
            <w:r w:rsidR="00304E55">
              <w:rPr>
                <w:rFonts w:ascii="Times New Roman" w:hAnsi="Times New Roman" w:cs="Times New Roman"/>
                <w:color w:val="000000" w:themeColor="text1"/>
                <w:sz w:val="24"/>
                <w:szCs w:val="24"/>
                <w:shd w:val="clear" w:color="auto" w:fill="FFFFFF"/>
              </w:rPr>
              <w:t>9</w:t>
            </w:r>
            <w:r w:rsidR="00033B5E" w:rsidRPr="0037600C">
              <w:rPr>
                <w:rFonts w:ascii="Times New Roman" w:hAnsi="Times New Roman" w:cs="Times New Roman"/>
                <w:color w:val="000000" w:themeColor="text1"/>
                <w:sz w:val="24"/>
                <w:szCs w:val="24"/>
                <w:shd w:val="clear" w:color="auto" w:fill="FFFFFF"/>
              </w:rPr>
              <w:t xml:space="preserve">. punkts paredz, ka kārtība par sliekšņa deklarāciju iesniegšanu stāsies spēkā 2019.gada 17.decembrī, </w:t>
            </w:r>
            <w:r w:rsidR="00BD2DD2">
              <w:rPr>
                <w:rFonts w:ascii="Times New Roman" w:hAnsi="Times New Roman" w:cs="Times New Roman"/>
                <w:color w:val="000000" w:themeColor="text1"/>
                <w:sz w:val="24"/>
                <w:szCs w:val="24"/>
                <w:shd w:val="clear" w:color="auto" w:fill="FFFFFF"/>
              </w:rPr>
              <w:t xml:space="preserve">līdz ar </w:t>
            </w:r>
            <w:r w:rsidR="00BD2DD2" w:rsidRPr="004A3DD2">
              <w:rPr>
                <w:rFonts w:ascii="Times New Roman" w:hAnsi="Times New Roman" w:cs="Times New Roman"/>
                <w:b/>
                <w:color w:val="000000" w:themeColor="text1"/>
                <w:sz w:val="24"/>
                <w:szCs w:val="24"/>
                <w:shd w:val="clear" w:color="auto" w:fill="FFFFFF"/>
              </w:rPr>
              <w:t>Noteikumu projekta 8.punktu</w:t>
            </w:r>
            <w:r w:rsidR="00BD2DD2">
              <w:rPr>
                <w:rFonts w:ascii="Times New Roman" w:hAnsi="Times New Roman" w:cs="Times New Roman"/>
                <w:color w:val="000000" w:themeColor="text1"/>
                <w:sz w:val="24"/>
                <w:szCs w:val="24"/>
                <w:shd w:val="clear" w:color="auto" w:fill="FFFFFF"/>
              </w:rPr>
              <w:t xml:space="preserve"> </w:t>
            </w:r>
            <w:r w:rsidR="00033B5E" w:rsidRPr="0037600C">
              <w:rPr>
                <w:rFonts w:ascii="Times New Roman" w:hAnsi="Times New Roman" w:cs="Times New Roman"/>
                <w:color w:val="000000" w:themeColor="text1"/>
                <w:sz w:val="24"/>
                <w:szCs w:val="24"/>
                <w:shd w:val="clear" w:color="auto" w:fill="FFFFFF"/>
              </w:rPr>
              <w:t xml:space="preserve">tiek noteikts, ka </w:t>
            </w:r>
            <w:r w:rsidR="00033B5E" w:rsidRPr="0037600C">
              <w:rPr>
                <w:rFonts w:ascii="Times New Roman" w:eastAsia="Times New Roman" w:hAnsi="Times New Roman" w:cs="Times New Roman"/>
                <w:bCs/>
                <w:color w:val="000000" w:themeColor="text1"/>
                <w:sz w:val="24"/>
                <w:szCs w:val="24"/>
                <w:lang w:eastAsia="lv-LV"/>
              </w:rPr>
              <w:t>Noteikumi par sliekšņa deklarācijas iesniegšanas kārtību un saturu</w:t>
            </w:r>
            <w:r w:rsidR="00033B5E" w:rsidRPr="0037600C">
              <w:rPr>
                <w:rFonts w:ascii="Times New Roman" w:eastAsia="Times New Roman" w:hAnsi="Times New Roman" w:cs="Times New Roman"/>
                <w:color w:val="000000" w:themeColor="text1"/>
                <w:sz w:val="24"/>
                <w:szCs w:val="24"/>
                <w:lang w:eastAsia="lv-LV"/>
              </w:rPr>
              <w:t xml:space="preserve"> stājas spēkā 2019. gada 17. decembrī.</w:t>
            </w:r>
          </w:p>
        </w:tc>
      </w:tr>
      <w:tr w:rsidR="00845A36" w:rsidRPr="009F0C6E" w14:paraId="4C486196" w14:textId="77777777" w:rsidTr="00AC43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486D6" w14:textId="77777777" w:rsidR="00845A36" w:rsidRPr="009F0C6E" w:rsidRDefault="00845A36" w:rsidP="007A15DA">
            <w:pPr>
              <w:spacing w:after="0" w:line="240" w:lineRule="auto"/>
              <w:rPr>
                <w:rFonts w:ascii="Times New Roman" w:eastAsia="Times New Roman" w:hAnsi="Times New Roman" w:cs="Times New Roman"/>
                <w:iCs/>
                <w:sz w:val="24"/>
                <w:szCs w:val="24"/>
                <w:lang w:eastAsia="lv-LV"/>
              </w:rPr>
            </w:pPr>
            <w:r w:rsidRPr="009F0C6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0B58952" w14:textId="77777777" w:rsidR="00845A36" w:rsidRPr="009F0C6E" w:rsidRDefault="00845A36" w:rsidP="007A15DA">
            <w:pPr>
              <w:spacing w:after="0" w:line="240" w:lineRule="auto"/>
              <w:rPr>
                <w:rFonts w:ascii="Times New Roman" w:eastAsia="Times New Roman" w:hAnsi="Times New Roman" w:cs="Times New Roman"/>
                <w:iCs/>
                <w:sz w:val="24"/>
                <w:szCs w:val="24"/>
                <w:lang w:eastAsia="lv-LV"/>
              </w:rPr>
            </w:pPr>
            <w:r w:rsidRPr="009F0C6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F61F6DD" w14:textId="18A5A3AD" w:rsidR="00845A36" w:rsidRPr="009F0C6E" w:rsidRDefault="00390D60" w:rsidP="007A15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00F262EE">
              <w:rPr>
                <w:rFonts w:ascii="Times New Roman" w:eastAsia="Times New Roman" w:hAnsi="Times New Roman" w:cs="Times New Roman"/>
                <w:iCs/>
                <w:sz w:val="24"/>
                <w:szCs w:val="24"/>
                <w:lang w:eastAsia="lv-LV"/>
              </w:rPr>
              <w:t>Finanšu izlūkošanas dienests</w:t>
            </w:r>
            <w:r>
              <w:rPr>
                <w:rFonts w:ascii="Times New Roman" w:eastAsia="Times New Roman" w:hAnsi="Times New Roman" w:cs="Times New Roman"/>
                <w:iCs/>
                <w:sz w:val="24"/>
                <w:szCs w:val="24"/>
                <w:lang w:eastAsia="lv-LV"/>
              </w:rPr>
              <w:t>.</w:t>
            </w:r>
          </w:p>
        </w:tc>
      </w:tr>
      <w:tr w:rsidR="00845A36" w:rsidRPr="002C6D96" w14:paraId="4C2A365B" w14:textId="77777777" w:rsidTr="00AC43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D4A783"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C2B1545"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BDBD93F"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14:paraId="0A740D30" w14:textId="77777777" w:rsidR="00845A36" w:rsidRPr="002C6D96" w:rsidRDefault="00845A36" w:rsidP="00845A36">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5A36" w:rsidRPr="002C6D96" w14:paraId="7E1DC777" w14:textId="77777777" w:rsidTr="00AC43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2AB2E5" w14:textId="77777777" w:rsidR="00845A36" w:rsidRPr="002C6D96" w:rsidRDefault="00845A36" w:rsidP="007A15DA">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45A36" w:rsidRPr="002C6D96" w14:paraId="2DDB268D" w14:textId="77777777" w:rsidTr="00AC43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7A1CFC"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B6DA06"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Sabiedrības </w:t>
            </w:r>
            <w:proofErr w:type="spellStart"/>
            <w:r w:rsidRPr="002C6D96">
              <w:rPr>
                <w:rFonts w:ascii="Times New Roman" w:eastAsia="Times New Roman" w:hAnsi="Times New Roman" w:cs="Times New Roman"/>
                <w:iCs/>
                <w:sz w:val="24"/>
                <w:szCs w:val="24"/>
                <w:lang w:eastAsia="lv-LV"/>
              </w:rPr>
              <w:t>mērķgrupas</w:t>
            </w:r>
            <w:proofErr w:type="spellEnd"/>
            <w:r w:rsidRPr="002C6D9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4B79918" w14:textId="77777777" w:rsidR="00063598" w:rsidRDefault="00063598" w:rsidP="007A15DA">
            <w:pPr>
              <w:pStyle w:val="tv213"/>
              <w:shd w:val="clear" w:color="auto" w:fill="FFFFFF"/>
              <w:spacing w:before="0" w:beforeAutospacing="0" w:after="0" w:afterAutospacing="0"/>
              <w:jc w:val="both"/>
            </w:pPr>
            <w:r>
              <w:rPr>
                <w:color w:val="000000"/>
              </w:rPr>
              <w:t xml:space="preserve">Likuma subjekti - </w:t>
            </w:r>
            <w:r>
              <w:t>kredītiestādes, finanšu iestādes,  ārpakalpojuma grāmatveži, zvērināti revidenti, zvērinātu revidentu komercsabiedrības un nodokļu konsultanti, kā arī jebkura cita persona, kas apņemas sniegt palīdzību nodokļu jautājumos vai rīkojas kā starpnieks šādas palīdzības sniegšanā, zvērināti notāri, zvērināti advokāti, citi neatkarīgi juridisko pakalpojumu sniedzēji, juridiska veidojuma vai juridiskās personas dibināšanas un darbības nodrošināšanas pakalpojumu sniedzēji, personas, kas darbojas kā aģenti vai starpnieki darījumos ar nekustamo īpašumu, izložu un azartspēļu organizētāji,  personas, kas sniedz inkasācijas pakalpojumus, juridiskās vai fiziskās personas, kas nodarbojas ar transportlīdzekļu, kultūras pieminekļu, dārgmetālu, dārgakmeņu, to izstrādājumu vai cita veida preču tirdzniecību, kā arī ar starpniecību minētajos darījumos, parāda atgūšanas pakalpojuma sniedzēji, virtuālās valūtas pakalpojuma sniedzēji, personas, kas darbojas mākslas un antikvāro priekšmetu apritē.</w:t>
            </w:r>
          </w:p>
          <w:p w14:paraId="72791C29" w14:textId="77777777" w:rsidR="00063598" w:rsidRDefault="00063598" w:rsidP="007A15DA">
            <w:pPr>
              <w:pStyle w:val="tv213"/>
              <w:shd w:val="clear" w:color="auto" w:fill="FFFFFF"/>
              <w:spacing w:before="0" w:beforeAutospacing="0" w:after="0" w:afterAutospacing="0"/>
              <w:jc w:val="both"/>
              <w:rPr>
                <w:iCs/>
              </w:rPr>
            </w:pPr>
          </w:p>
          <w:p w14:paraId="2B3A470F" w14:textId="77777777" w:rsidR="00063598" w:rsidRPr="003A621B" w:rsidRDefault="00063598" w:rsidP="007A15DA">
            <w:pPr>
              <w:pStyle w:val="tv213"/>
              <w:shd w:val="clear" w:color="auto" w:fill="FFFFFF"/>
              <w:spacing w:before="0" w:beforeAutospacing="0" w:after="0" w:afterAutospacing="0"/>
              <w:jc w:val="both"/>
            </w:pPr>
            <w:r>
              <w:rPr>
                <w:iCs/>
              </w:rPr>
              <w:t xml:space="preserve">Likuma </w:t>
            </w:r>
            <w:r w:rsidRPr="003A621B">
              <w:t>subjektu klienti, kas plāno veikt vai veic darījumus, iesaistot Likuma subjektu.</w:t>
            </w:r>
          </w:p>
          <w:p w14:paraId="75C4CF28" w14:textId="77777777" w:rsidR="00063598" w:rsidRPr="003A621B" w:rsidRDefault="00063598" w:rsidP="007A15DA">
            <w:pPr>
              <w:pStyle w:val="tv213"/>
              <w:shd w:val="clear" w:color="auto" w:fill="FFFFFF"/>
              <w:spacing w:before="0" w:beforeAutospacing="0" w:after="0" w:afterAutospacing="0"/>
              <w:jc w:val="both"/>
            </w:pPr>
          </w:p>
          <w:p w14:paraId="3AF39656" w14:textId="469D3E30" w:rsidR="00845A36" w:rsidRPr="002C6D96" w:rsidRDefault="00063598" w:rsidP="007A15DA">
            <w:pPr>
              <w:pStyle w:val="tv213"/>
              <w:shd w:val="clear" w:color="auto" w:fill="FFFFFF"/>
              <w:spacing w:before="0" w:beforeAutospacing="0" w:after="0" w:afterAutospacing="0"/>
              <w:jc w:val="both"/>
              <w:rPr>
                <w:iCs/>
              </w:rPr>
            </w:pPr>
            <w:r w:rsidRPr="003A621B">
              <w:t>Uzraudzības un kontroles institūcijas, kā arī tiesībaizsardzības iestādes.</w:t>
            </w:r>
          </w:p>
        </w:tc>
      </w:tr>
      <w:tr w:rsidR="00845A36" w:rsidRPr="002C6D96" w14:paraId="50877715" w14:textId="77777777" w:rsidTr="00AC43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62C9BC"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E21B52"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83EF374" w14:textId="77777777" w:rsidR="00845A36" w:rsidRPr="00FB1F30" w:rsidRDefault="00845A36" w:rsidP="007A15DA">
            <w:pPr>
              <w:spacing w:after="0" w:line="240" w:lineRule="auto"/>
              <w:jc w:val="both"/>
              <w:rPr>
                <w:rFonts w:ascii="Times New Roman" w:eastAsia="Times New Roman" w:hAnsi="Times New Roman" w:cs="Times New Roman"/>
                <w:sz w:val="24"/>
                <w:szCs w:val="24"/>
                <w:lang w:eastAsia="lv-LV"/>
              </w:rPr>
            </w:pPr>
            <w:r w:rsidRPr="00FB1F30">
              <w:rPr>
                <w:rFonts w:ascii="Times New Roman" w:eastAsia="Times New Roman" w:hAnsi="Times New Roman" w:cs="Times New Roman"/>
                <w:sz w:val="24"/>
                <w:szCs w:val="24"/>
                <w:lang w:eastAsia="lv-LV"/>
              </w:rPr>
              <w:t xml:space="preserve">Valsts mērogā tiks pastiprināta cīņa </w:t>
            </w:r>
            <w:r>
              <w:rPr>
                <w:rFonts w:ascii="Times New Roman" w:eastAsia="Times New Roman" w:hAnsi="Times New Roman" w:cs="Times New Roman"/>
                <w:sz w:val="24"/>
                <w:szCs w:val="24"/>
                <w:lang w:eastAsia="lv-LV"/>
              </w:rPr>
              <w:t xml:space="preserve">ar </w:t>
            </w:r>
            <w:r w:rsidRPr="00FB1F30">
              <w:rPr>
                <w:rFonts w:ascii="Times New Roman" w:eastAsia="Times New Roman" w:hAnsi="Times New Roman" w:cs="Times New Roman"/>
                <w:sz w:val="24"/>
                <w:szCs w:val="24"/>
                <w:lang w:eastAsia="lv-LV"/>
              </w:rPr>
              <w:t xml:space="preserve">noziedzīgi iegūtu līdzekļu legalizāciju, terorisma vai proliferācijas finansēšanu,  tādējādi stiprinot </w:t>
            </w:r>
            <w:r>
              <w:rPr>
                <w:rFonts w:ascii="Times New Roman" w:eastAsia="Times New Roman" w:hAnsi="Times New Roman" w:cs="Times New Roman"/>
                <w:sz w:val="24"/>
                <w:szCs w:val="24"/>
                <w:lang w:eastAsia="lv-LV"/>
              </w:rPr>
              <w:t>cīņu pret Latvijas finanšu sistēmas izmantošanu noziedzīgiem mērķiem.</w:t>
            </w:r>
            <w:r w:rsidRPr="00FB1F30">
              <w:rPr>
                <w:rFonts w:ascii="Times New Roman" w:eastAsia="Times New Roman" w:hAnsi="Times New Roman" w:cs="Times New Roman"/>
                <w:sz w:val="24"/>
                <w:szCs w:val="24"/>
                <w:lang w:eastAsia="lv-LV"/>
              </w:rPr>
              <w:t xml:space="preserve"> </w:t>
            </w:r>
          </w:p>
          <w:p w14:paraId="120E7ABE" w14:textId="1B3B51D4" w:rsidR="00845A36" w:rsidRPr="002F4D01" w:rsidRDefault="00845A36" w:rsidP="007A15DA">
            <w:pPr>
              <w:spacing w:after="0" w:line="240" w:lineRule="auto"/>
              <w:jc w:val="both"/>
              <w:rPr>
                <w:rFonts w:ascii="Times New Roman" w:eastAsia="Times New Roman" w:hAnsi="Times New Roman" w:cs="Times New Roman"/>
                <w:sz w:val="24"/>
                <w:szCs w:val="24"/>
                <w:lang w:eastAsia="lv-LV"/>
              </w:rPr>
            </w:pPr>
            <w:r w:rsidRPr="00FB1F30">
              <w:rPr>
                <w:rFonts w:ascii="Times New Roman" w:eastAsia="Times New Roman" w:hAnsi="Times New Roman" w:cs="Times New Roman"/>
                <w:sz w:val="24"/>
                <w:szCs w:val="24"/>
                <w:lang w:eastAsia="lv-LV"/>
              </w:rPr>
              <w:t xml:space="preserve">Likuma subjekti </w:t>
            </w:r>
            <w:r w:rsidR="0037600C">
              <w:rPr>
                <w:rFonts w:ascii="Times New Roman" w:eastAsia="Times New Roman" w:hAnsi="Times New Roman" w:cs="Times New Roman"/>
                <w:sz w:val="24"/>
                <w:szCs w:val="24"/>
                <w:lang w:eastAsia="lv-LV"/>
              </w:rPr>
              <w:t>sliekšņa deklarācijas</w:t>
            </w:r>
            <w:r>
              <w:rPr>
                <w:rFonts w:ascii="Times New Roman" w:eastAsia="Times New Roman" w:hAnsi="Times New Roman" w:cs="Times New Roman"/>
                <w:sz w:val="24"/>
                <w:szCs w:val="24"/>
                <w:lang w:eastAsia="lv-LV"/>
              </w:rPr>
              <w:t xml:space="preserve"> </w:t>
            </w:r>
            <w:r w:rsidR="0037600C">
              <w:rPr>
                <w:rFonts w:ascii="Times New Roman" w:eastAsia="Times New Roman" w:hAnsi="Times New Roman" w:cs="Times New Roman"/>
                <w:sz w:val="24"/>
                <w:szCs w:val="24"/>
                <w:lang w:eastAsia="lv-LV"/>
              </w:rPr>
              <w:t>sniegs</w:t>
            </w:r>
            <w:r w:rsidRPr="00FB1F30">
              <w:rPr>
                <w:rFonts w:ascii="Times New Roman" w:eastAsia="Times New Roman" w:hAnsi="Times New Roman" w:cs="Times New Roman"/>
                <w:sz w:val="24"/>
                <w:szCs w:val="24"/>
                <w:lang w:eastAsia="lv-LV"/>
              </w:rPr>
              <w:t>, izmantojot IT risinājumus, tādējādi nepalielinot administratīvo slogu uz tautsaimniecību.</w:t>
            </w:r>
          </w:p>
        </w:tc>
      </w:tr>
      <w:tr w:rsidR="00845A36" w:rsidRPr="002C6D96" w14:paraId="62AA8B68" w14:textId="77777777" w:rsidTr="00AC43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F032F9"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4E06C32"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0A3B02D" w14:textId="7BAD89BC" w:rsidR="00845A36" w:rsidRPr="004E2C5A" w:rsidRDefault="00AC7BD5" w:rsidP="007A15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845A36" w:rsidRPr="002C6D96" w14:paraId="055CFAC2" w14:textId="77777777" w:rsidTr="00AC43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B3058C"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E8B3DC"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B48DD43" w14:textId="4B89E2E3" w:rsidR="00845A36" w:rsidRPr="002C6D96" w:rsidRDefault="00AC7BD5" w:rsidP="007A15D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845A36" w:rsidRPr="002C6D96" w14:paraId="1E7D83EC" w14:textId="77777777" w:rsidTr="00AC43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0C866B"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A8D9B94"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5963509"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Nav.</w:t>
            </w:r>
          </w:p>
        </w:tc>
      </w:tr>
    </w:tbl>
    <w:p w14:paraId="503AACB5" w14:textId="77777777" w:rsidR="00845A36" w:rsidRPr="002C6D96" w:rsidRDefault="00845A36" w:rsidP="00845A36">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5A36" w:rsidRPr="002C6D96" w14:paraId="08DD4EB7" w14:textId="77777777" w:rsidTr="00AC4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06987" w14:textId="77777777" w:rsidR="00845A36" w:rsidRPr="002C6D96" w:rsidRDefault="00845A36" w:rsidP="00AC43DB">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III. Tiesību akta projekta ietekme uz valsts budžetu un pašvaldību budžetiem</w:t>
            </w:r>
          </w:p>
        </w:tc>
      </w:tr>
      <w:tr w:rsidR="00845A36" w:rsidRPr="002C6D96" w14:paraId="795AB6CA" w14:textId="77777777" w:rsidTr="00AC4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2180E6" w14:textId="77777777" w:rsidR="00845A36" w:rsidRPr="009F0C6E" w:rsidRDefault="00845A36" w:rsidP="00AC43DB">
            <w:pPr>
              <w:spacing w:after="0" w:line="240" w:lineRule="auto"/>
              <w:jc w:val="center"/>
              <w:rPr>
                <w:rFonts w:ascii="Times New Roman" w:eastAsia="Times New Roman" w:hAnsi="Times New Roman" w:cs="Times New Roman"/>
                <w:bCs/>
                <w:iCs/>
                <w:sz w:val="24"/>
                <w:szCs w:val="24"/>
                <w:lang w:eastAsia="lv-LV"/>
              </w:rPr>
            </w:pPr>
            <w:r w:rsidRPr="009F0C6E">
              <w:rPr>
                <w:rFonts w:ascii="Times New Roman" w:eastAsia="Times New Roman" w:hAnsi="Times New Roman" w:cs="Times New Roman"/>
                <w:bCs/>
                <w:iCs/>
                <w:sz w:val="24"/>
                <w:szCs w:val="24"/>
                <w:lang w:eastAsia="lv-LV"/>
              </w:rPr>
              <w:t>Projekts šo jomu neskar</w:t>
            </w:r>
          </w:p>
        </w:tc>
      </w:tr>
    </w:tbl>
    <w:p w14:paraId="28236F47" w14:textId="77777777" w:rsidR="00845A36" w:rsidRPr="002C6D96" w:rsidRDefault="00845A36" w:rsidP="00845A36">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5A36" w:rsidRPr="002C6D96" w14:paraId="67F8E276" w14:textId="77777777" w:rsidTr="00AC43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70AF10" w14:textId="77777777" w:rsidR="00845A36" w:rsidRPr="002C6D96" w:rsidRDefault="00845A36" w:rsidP="007A15DA">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IV. Tiesību akta projekta ietekme uz spēkā esošo tiesību normu sistēmu</w:t>
            </w:r>
          </w:p>
        </w:tc>
      </w:tr>
      <w:tr w:rsidR="00845A36" w:rsidRPr="002C6D96" w14:paraId="2779517B" w14:textId="77777777" w:rsidTr="00AC43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14A733"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5F43AA"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4AB3BF6D" w14:textId="73F8F8E0" w:rsidR="00845A36" w:rsidRDefault="00845A36" w:rsidP="007A15DA">
            <w:pPr>
              <w:shd w:val="clear" w:color="auto" w:fill="FFFFFF"/>
              <w:spacing w:after="0" w:line="240" w:lineRule="auto"/>
              <w:jc w:val="both"/>
              <w:rPr>
                <w:rFonts w:ascii="Times New Roman" w:hAnsi="Times New Roman" w:cs="Times New Roman"/>
                <w:sz w:val="24"/>
                <w:szCs w:val="24"/>
              </w:rPr>
            </w:pPr>
            <w:r w:rsidRPr="00056408">
              <w:rPr>
                <w:rFonts w:ascii="Times New Roman" w:hAnsi="Times New Roman" w:cs="Times New Roman"/>
                <w:sz w:val="24"/>
                <w:szCs w:val="24"/>
              </w:rPr>
              <w:t xml:space="preserve">Vienlaikus ar Noteikumu projektu </w:t>
            </w:r>
            <w:r w:rsidR="003F5E6B">
              <w:rPr>
                <w:rFonts w:ascii="Times New Roman" w:hAnsi="Times New Roman" w:cs="Times New Roman"/>
                <w:sz w:val="24"/>
                <w:szCs w:val="24"/>
              </w:rPr>
              <w:t>M</w:t>
            </w:r>
            <w:r w:rsidRPr="00056408">
              <w:rPr>
                <w:rFonts w:ascii="Times New Roman" w:hAnsi="Times New Roman" w:cs="Times New Roman"/>
                <w:sz w:val="24"/>
                <w:szCs w:val="24"/>
              </w:rPr>
              <w:t xml:space="preserve">inistru kabinetā tiek virzīti apstiprināšanai </w:t>
            </w:r>
            <w:bookmarkStart w:id="2" w:name="_Hlk14078205"/>
            <w:r w:rsidR="003F5E6B">
              <w:rPr>
                <w:rFonts w:ascii="Times New Roman" w:hAnsi="Times New Roman" w:cs="Times New Roman"/>
                <w:sz w:val="24"/>
                <w:szCs w:val="24"/>
              </w:rPr>
              <w:t>M</w:t>
            </w:r>
            <w:r>
              <w:rPr>
                <w:rFonts w:ascii="Times New Roman" w:hAnsi="Times New Roman" w:cs="Times New Roman"/>
                <w:sz w:val="24"/>
                <w:szCs w:val="24"/>
              </w:rPr>
              <w:t>inistru kabineta noteikumi „</w:t>
            </w:r>
            <w:r w:rsidR="0037600C" w:rsidRPr="0037600C">
              <w:rPr>
                <w:rFonts w:ascii="Times New Roman" w:hAnsi="Times New Roman" w:cs="Times New Roman"/>
                <w:sz w:val="24"/>
                <w:szCs w:val="24"/>
              </w:rPr>
              <w:t xml:space="preserve"> Noteikumi par kārtību, kādā sniedzami ziņojumi par aizdomīgiem darījumiem</w:t>
            </w:r>
            <w:r w:rsidRPr="0037600C">
              <w:rPr>
                <w:rFonts w:ascii="Times New Roman" w:hAnsi="Times New Roman" w:cs="Times New Roman"/>
                <w:sz w:val="24"/>
                <w:szCs w:val="24"/>
              </w:rPr>
              <w:t>”.</w:t>
            </w:r>
          </w:p>
          <w:p w14:paraId="3170A5FB" w14:textId="77777777" w:rsidR="00C4705D" w:rsidRPr="0037600C" w:rsidRDefault="00C4705D" w:rsidP="007A15DA">
            <w:pPr>
              <w:shd w:val="clear" w:color="auto" w:fill="FFFFFF"/>
              <w:spacing w:after="0" w:line="240" w:lineRule="auto"/>
              <w:jc w:val="both"/>
              <w:rPr>
                <w:rFonts w:ascii="Times New Roman" w:hAnsi="Times New Roman" w:cs="Times New Roman"/>
                <w:sz w:val="24"/>
                <w:szCs w:val="24"/>
              </w:rPr>
            </w:pPr>
          </w:p>
          <w:p w14:paraId="6CC39D60" w14:textId="196793D4" w:rsidR="00845A36" w:rsidRPr="00056408" w:rsidRDefault="00845A36" w:rsidP="007A15DA">
            <w:pPr>
              <w:shd w:val="clear" w:color="auto" w:fill="FFFFFF"/>
              <w:spacing w:after="0" w:line="240" w:lineRule="auto"/>
              <w:jc w:val="both"/>
              <w:rPr>
                <w:rFonts w:ascii="Times New Roman" w:eastAsia="Times New Roman" w:hAnsi="Times New Roman" w:cs="Times New Roman"/>
                <w:bCs/>
                <w:color w:val="000000" w:themeColor="text1"/>
                <w:sz w:val="24"/>
                <w:szCs w:val="24"/>
                <w:lang w:eastAsia="lv-LV"/>
              </w:rPr>
            </w:pPr>
            <w:r w:rsidRPr="00056408">
              <w:rPr>
                <w:rFonts w:ascii="Times New Roman" w:eastAsia="Times New Roman" w:hAnsi="Times New Roman" w:cs="Times New Roman"/>
                <w:bCs/>
                <w:color w:val="000000" w:themeColor="text1"/>
                <w:sz w:val="24"/>
                <w:szCs w:val="24"/>
                <w:lang w:eastAsia="lv-LV"/>
              </w:rPr>
              <w:t>Ievērojot minēto</w:t>
            </w:r>
            <w:r w:rsidR="0037600C">
              <w:rPr>
                <w:rFonts w:ascii="Times New Roman" w:eastAsia="Times New Roman" w:hAnsi="Times New Roman" w:cs="Times New Roman"/>
                <w:bCs/>
                <w:color w:val="000000" w:themeColor="text1"/>
                <w:sz w:val="24"/>
                <w:szCs w:val="24"/>
                <w:lang w:eastAsia="lv-LV"/>
              </w:rPr>
              <w:t>, kā arī pamatojoties uz Likuma Pārejas noteikumu 3</w:t>
            </w:r>
            <w:r w:rsidR="00304E55">
              <w:rPr>
                <w:rFonts w:ascii="Times New Roman" w:eastAsia="Times New Roman" w:hAnsi="Times New Roman" w:cs="Times New Roman"/>
                <w:bCs/>
                <w:color w:val="000000" w:themeColor="text1"/>
                <w:sz w:val="24"/>
                <w:szCs w:val="24"/>
                <w:lang w:eastAsia="lv-LV"/>
              </w:rPr>
              <w:t>9</w:t>
            </w:r>
            <w:r w:rsidR="0037600C">
              <w:rPr>
                <w:rFonts w:ascii="Times New Roman" w:eastAsia="Times New Roman" w:hAnsi="Times New Roman" w:cs="Times New Roman"/>
                <w:bCs/>
                <w:color w:val="000000" w:themeColor="text1"/>
                <w:sz w:val="24"/>
                <w:szCs w:val="24"/>
                <w:lang w:eastAsia="lv-LV"/>
              </w:rPr>
              <w:t>.punktu,</w:t>
            </w:r>
            <w:r w:rsidRPr="00056408">
              <w:rPr>
                <w:rFonts w:ascii="Times New Roman" w:eastAsia="Times New Roman" w:hAnsi="Times New Roman" w:cs="Times New Roman"/>
                <w:bCs/>
                <w:color w:val="000000" w:themeColor="text1"/>
                <w:sz w:val="24"/>
                <w:szCs w:val="24"/>
                <w:lang w:eastAsia="lv-LV"/>
              </w:rPr>
              <w:t xml:space="preserve"> gan </w:t>
            </w:r>
            <w:r w:rsidR="003F5E6B">
              <w:rPr>
                <w:rFonts w:ascii="Times New Roman" w:eastAsia="Times New Roman" w:hAnsi="Times New Roman" w:cs="Times New Roman"/>
                <w:bCs/>
                <w:color w:val="000000" w:themeColor="text1"/>
                <w:sz w:val="24"/>
                <w:szCs w:val="24"/>
                <w:lang w:eastAsia="lv-LV"/>
              </w:rPr>
              <w:t>M</w:t>
            </w:r>
            <w:r w:rsidRPr="00056408">
              <w:rPr>
                <w:rFonts w:ascii="Times New Roman" w:eastAsia="Times New Roman" w:hAnsi="Times New Roman" w:cs="Times New Roman"/>
                <w:bCs/>
                <w:color w:val="000000" w:themeColor="text1"/>
                <w:sz w:val="24"/>
                <w:szCs w:val="24"/>
                <w:lang w:eastAsia="lv-LV"/>
              </w:rPr>
              <w:t xml:space="preserve">inistru kabineta noteikumiem „Noteikumi par kārtību, kādā sniedzami ziņojumi par aizdomīgiem darījumiem”, gan </w:t>
            </w:r>
            <w:r w:rsidRPr="00056408">
              <w:rPr>
                <w:rFonts w:ascii="Times New Roman" w:hAnsi="Times New Roman" w:cs="Times New Roman"/>
                <w:color w:val="000000"/>
                <w:sz w:val="24"/>
                <w:szCs w:val="24"/>
              </w:rPr>
              <w:t>Ministru kabineta noteikumiem „Noteikumi par sliekšņa deklarācijas iesniegšanas kārtību un saturu” tiek noteikts spēkā stāšanās termiņš 2019.gada 17.decembris.</w:t>
            </w:r>
            <w:bookmarkEnd w:id="2"/>
          </w:p>
        </w:tc>
      </w:tr>
      <w:tr w:rsidR="00845A36" w:rsidRPr="002C6D96" w14:paraId="706CAEC5" w14:textId="77777777" w:rsidTr="00AC43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379AD8"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3C5565"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69A4C028" w14:textId="14425C7B" w:rsidR="00845A36" w:rsidRPr="002C6D96" w:rsidRDefault="00AC7BD5" w:rsidP="007A15D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Finanšu ministrija</w:t>
            </w:r>
          </w:p>
        </w:tc>
      </w:tr>
      <w:tr w:rsidR="00845A36" w:rsidRPr="002C6D96" w14:paraId="69CCE279" w14:textId="77777777" w:rsidTr="00AC43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79BF85"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DB4FFD9"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3C7F9F4" w14:textId="77777777" w:rsidR="00845A36" w:rsidRPr="002C6D96" w:rsidRDefault="00845A36" w:rsidP="007A15DA">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14:paraId="74193E2E" w14:textId="77777777" w:rsidR="00845A36" w:rsidRPr="002C6D96" w:rsidRDefault="00845A36" w:rsidP="00845A36">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45A36" w:rsidRPr="002C6D96" w14:paraId="7013392F" w14:textId="77777777" w:rsidTr="00AC4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35F14" w14:textId="77777777" w:rsidR="00845A36" w:rsidRPr="002C6D96" w:rsidRDefault="00845A36" w:rsidP="00AC43DB">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45A36" w:rsidRPr="002C6D96" w14:paraId="23000C07" w14:textId="77777777" w:rsidTr="00AC4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C85C5BF" w14:textId="77777777" w:rsidR="00845A36" w:rsidRPr="009F0C6E" w:rsidRDefault="00845A36" w:rsidP="00AC43DB">
            <w:pPr>
              <w:spacing w:after="0" w:line="240" w:lineRule="auto"/>
              <w:jc w:val="center"/>
              <w:rPr>
                <w:rFonts w:ascii="Times New Roman" w:eastAsia="Times New Roman" w:hAnsi="Times New Roman" w:cs="Times New Roman"/>
                <w:bCs/>
                <w:iCs/>
                <w:sz w:val="24"/>
                <w:szCs w:val="24"/>
                <w:lang w:eastAsia="lv-LV"/>
              </w:rPr>
            </w:pPr>
            <w:r w:rsidRPr="009F0C6E">
              <w:rPr>
                <w:rFonts w:ascii="Times New Roman" w:eastAsia="Times New Roman" w:hAnsi="Times New Roman" w:cs="Times New Roman"/>
                <w:bCs/>
                <w:iCs/>
                <w:sz w:val="24"/>
                <w:szCs w:val="24"/>
                <w:lang w:eastAsia="lv-LV"/>
              </w:rPr>
              <w:t>Projekts šo jomu neskar</w:t>
            </w:r>
          </w:p>
        </w:tc>
      </w:tr>
    </w:tbl>
    <w:p w14:paraId="53DA21A3" w14:textId="77777777" w:rsidR="00845A36" w:rsidRPr="002C6D96" w:rsidRDefault="00845A36" w:rsidP="00845A36">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5A36" w:rsidRPr="002C6D96" w14:paraId="0220439A" w14:textId="77777777" w:rsidTr="00AC43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4953C9" w14:textId="77777777" w:rsidR="00845A36" w:rsidRPr="002C6D96" w:rsidRDefault="00845A36" w:rsidP="00AC43DB">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VI. Sabiedrības līdzdalība un komunikācijas aktivitātes</w:t>
            </w:r>
          </w:p>
        </w:tc>
      </w:tr>
      <w:tr w:rsidR="00845A36" w:rsidRPr="002C6D96" w14:paraId="77276764" w14:textId="77777777" w:rsidTr="00AC43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CE2EE8" w14:textId="77777777"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A4A75" w14:textId="77777777"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137429F" w14:textId="441EEBD5" w:rsidR="00845A36" w:rsidRPr="005E20DF" w:rsidRDefault="00845A36" w:rsidP="00AC43DB">
            <w:pPr>
              <w:spacing w:after="0" w:line="240" w:lineRule="auto"/>
              <w:jc w:val="both"/>
              <w:rPr>
                <w:rFonts w:ascii="Times New Roman" w:hAnsi="Times New Roman" w:cs="Times New Roman"/>
                <w:sz w:val="24"/>
                <w:szCs w:val="24"/>
              </w:rPr>
            </w:pPr>
            <w:r w:rsidRPr="005E20DF">
              <w:rPr>
                <w:rFonts w:ascii="Times New Roman" w:hAnsi="Times New Roman" w:cs="Times New Roman"/>
                <w:sz w:val="24"/>
                <w:szCs w:val="24"/>
              </w:rPr>
              <w:t xml:space="preserve">Noteikumu </w:t>
            </w:r>
            <w:r>
              <w:rPr>
                <w:rFonts w:ascii="Times New Roman" w:hAnsi="Times New Roman" w:cs="Times New Roman"/>
                <w:sz w:val="24"/>
                <w:szCs w:val="24"/>
              </w:rPr>
              <w:t xml:space="preserve">projekta </w:t>
            </w:r>
            <w:r w:rsidRPr="005E20DF">
              <w:rPr>
                <w:rFonts w:ascii="Times New Roman" w:hAnsi="Times New Roman" w:cs="Times New Roman"/>
                <w:sz w:val="24"/>
                <w:szCs w:val="24"/>
              </w:rPr>
              <w:t xml:space="preserve">izstrāde notika, konsultējoties ar  </w:t>
            </w:r>
            <w:r>
              <w:rPr>
                <w:rFonts w:ascii="Times New Roman" w:hAnsi="Times New Roman" w:cs="Times New Roman"/>
                <w:sz w:val="24"/>
                <w:szCs w:val="24"/>
              </w:rPr>
              <w:t>Finanšu</w:t>
            </w:r>
            <w:r w:rsidR="003F5E6B">
              <w:rPr>
                <w:rFonts w:ascii="Times New Roman" w:hAnsi="Times New Roman" w:cs="Times New Roman"/>
                <w:sz w:val="24"/>
                <w:szCs w:val="24"/>
              </w:rPr>
              <w:t xml:space="preserve"> nozares</w:t>
            </w:r>
            <w:r>
              <w:rPr>
                <w:rFonts w:ascii="Times New Roman" w:hAnsi="Times New Roman" w:cs="Times New Roman"/>
                <w:sz w:val="24"/>
                <w:szCs w:val="24"/>
              </w:rPr>
              <w:t xml:space="preserve"> asociāciju</w:t>
            </w:r>
            <w:r w:rsidRPr="005E20DF">
              <w:rPr>
                <w:rFonts w:ascii="Times New Roman" w:hAnsi="Times New Roman" w:cs="Times New Roman"/>
                <w:sz w:val="24"/>
                <w:szCs w:val="24"/>
              </w:rPr>
              <w:t>.</w:t>
            </w:r>
          </w:p>
          <w:p w14:paraId="3003989E" w14:textId="357C46E0" w:rsidR="00845A36" w:rsidRDefault="00845A36" w:rsidP="00AC43DB">
            <w:pPr>
              <w:pStyle w:val="NormalWeb"/>
              <w:spacing w:before="0" w:after="0"/>
              <w:ind w:firstLine="0"/>
              <w:rPr>
                <w:rFonts w:eastAsia="Times New Roman"/>
                <w:color w:val="414142"/>
                <w:lang w:eastAsia="lv-LV"/>
              </w:rPr>
            </w:pPr>
          </w:p>
          <w:p w14:paraId="52E794C3" w14:textId="77777777" w:rsidR="005061B5" w:rsidRPr="00FA3EC7" w:rsidRDefault="005061B5" w:rsidP="005061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Nosūtīts saskaņošanai </w:t>
            </w:r>
            <w:r w:rsidRPr="00FA3EC7">
              <w:rPr>
                <w:rFonts w:ascii="Times New Roman" w:hAnsi="Times New Roman" w:cs="Times New Roman"/>
                <w:sz w:val="24"/>
                <w:szCs w:val="24"/>
              </w:rPr>
              <w:t>Tieslietu ministrija</w:t>
            </w:r>
            <w:r>
              <w:rPr>
                <w:rFonts w:ascii="Times New Roman" w:hAnsi="Times New Roman" w:cs="Times New Roman"/>
                <w:sz w:val="24"/>
                <w:szCs w:val="24"/>
              </w:rPr>
              <w:t>i</w:t>
            </w:r>
            <w:r w:rsidRPr="00FA3EC7">
              <w:rPr>
                <w:rFonts w:ascii="Times New Roman" w:hAnsi="Times New Roman" w:cs="Times New Roman"/>
                <w:sz w:val="24"/>
                <w:szCs w:val="24"/>
              </w:rPr>
              <w:t>, Ārlietu ministrija</w:t>
            </w:r>
            <w:r>
              <w:rPr>
                <w:rFonts w:ascii="Times New Roman" w:hAnsi="Times New Roman" w:cs="Times New Roman"/>
                <w:sz w:val="24"/>
                <w:szCs w:val="24"/>
              </w:rPr>
              <w:t>i</w:t>
            </w:r>
            <w:r w:rsidRPr="00FA3EC7">
              <w:rPr>
                <w:rFonts w:ascii="Times New Roman" w:hAnsi="Times New Roman" w:cs="Times New Roman"/>
                <w:sz w:val="24"/>
                <w:szCs w:val="24"/>
              </w:rPr>
              <w:t>, Iekšlietu ministrija</w:t>
            </w:r>
            <w:r>
              <w:rPr>
                <w:rFonts w:ascii="Times New Roman" w:hAnsi="Times New Roman" w:cs="Times New Roman"/>
                <w:sz w:val="24"/>
                <w:szCs w:val="24"/>
              </w:rPr>
              <w:t>i</w:t>
            </w:r>
            <w:r w:rsidRPr="00FA3EC7">
              <w:rPr>
                <w:rFonts w:ascii="Times New Roman" w:hAnsi="Times New Roman" w:cs="Times New Roman"/>
                <w:sz w:val="24"/>
                <w:szCs w:val="24"/>
              </w:rPr>
              <w:t>, Ekonomikas ministrija</w:t>
            </w:r>
            <w:r>
              <w:rPr>
                <w:rFonts w:ascii="Times New Roman" w:hAnsi="Times New Roman" w:cs="Times New Roman"/>
                <w:sz w:val="24"/>
                <w:szCs w:val="24"/>
              </w:rPr>
              <w:t>i</w:t>
            </w:r>
            <w:r w:rsidRPr="00FA3EC7">
              <w:rPr>
                <w:rFonts w:ascii="Times New Roman" w:hAnsi="Times New Roman" w:cs="Times New Roman"/>
                <w:sz w:val="24"/>
                <w:szCs w:val="24"/>
              </w:rPr>
              <w:t>, Kultūras ministrija</w:t>
            </w:r>
            <w:r>
              <w:rPr>
                <w:rFonts w:ascii="Times New Roman" w:hAnsi="Times New Roman" w:cs="Times New Roman"/>
                <w:sz w:val="24"/>
                <w:szCs w:val="24"/>
              </w:rPr>
              <w:t>i</w:t>
            </w:r>
            <w:r w:rsidRPr="00FA3EC7">
              <w:rPr>
                <w:rFonts w:ascii="Times New Roman" w:hAnsi="Times New Roman" w:cs="Times New Roman"/>
                <w:sz w:val="24"/>
                <w:szCs w:val="24"/>
              </w:rPr>
              <w:t>, Ģenerālprokuratūra</w:t>
            </w:r>
            <w:r>
              <w:rPr>
                <w:rFonts w:ascii="Times New Roman" w:hAnsi="Times New Roman" w:cs="Times New Roman"/>
                <w:sz w:val="24"/>
                <w:szCs w:val="24"/>
              </w:rPr>
              <w:t>i</w:t>
            </w:r>
            <w:r w:rsidRPr="00FA3EC7">
              <w:rPr>
                <w:rFonts w:ascii="Times New Roman" w:hAnsi="Times New Roman" w:cs="Times New Roman"/>
                <w:sz w:val="24"/>
                <w:szCs w:val="24"/>
              </w:rPr>
              <w:t>, Finanšu un kapitāla tirgus komisija</w:t>
            </w:r>
            <w:r>
              <w:rPr>
                <w:rFonts w:ascii="Times New Roman" w:hAnsi="Times New Roman" w:cs="Times New Roman"/>
                <w:sz w:val="24"/>
                <w:szCs w:val="24"/>
              </w:rPr>
              <w:t>i</w:t>
            </w:r>
            <w:r w:rsidRPr="00FA3EC7">
              <w:rPr>
                <w:rFonts w:ascii="Times New Roman" w:hAnsi="Times New Roman" w:cs="Times New Roman"/>
                <w:sz w:val="24"/>
                <w:szCs w:val="24"/>
              </w:rPr>
              <w:t>, Latvijas Zvērinātu advokātu padome</w:t>
            </w:r>
            <w:r>
              <w:rPr>
                <w:rFonts w:ascii="Times New Roman" w:hAnsi="Times New Roman" w:cs="Times New Roman"/>
                <w:sz w:val="24"/>
                <w:szCs w:val="24"/>
              </w:rPr>
              <w:t>i</w:t>
            </w:r>
            <w:r w:rsidRPr="00FA3EC7">
              <w:rPr>
                <w:rFonts w:ascii="Times New Roman" w:hAnsi="Times New Roman" w:cs="Times New Roman"/>
                <w:sz w:val="24"/>
                <w:szCs w:val="24"/>
              </w:rPr>
              <w:t>, Latvijas Zvērinātu notāru padome</w:t>
            </w:r>
            <w:r>
              <w:rPr>
                <w:rFonts w:ascii="Times New Roman" w:hAnsi="Times New Roman" w:cs="Times New Roman"/>
                <w:sz w:val="24"/>
                <w:szCs w:val="24"/>
              </w:rPr>
              <w:t>i</w:t>
            </w:r>
            <w:r w:rsidRPr="00FA3EC7">
              <w:rPr>
                <w:rFonts w:ascii="Times New Roman" w:hAnsi="Times New Roman" w:cs="Times New Roman"/>
                <w:sz w:val="24"/>
                <w:szCs w:val="24"/>
              </w:rPr>
              <w:t>, Latvijas Zvērinātu revidentu asociācija</w:t>
            </w:r>
            <w:r>
              <w:rPr>
                <w:rFonts w:ascii="Times New Roman" w:hAnsi="Times New Roman" w:cs="Times New Roman"/>
                <w:sz w:val="24"/>
                <w:szCs w:val="24"/>
              </w:rPr>
              <w:t>i</w:t>
            </w:r>
            <w:r w:rsidRPr="00FA3EC7">
              <w:rPr>
                <w:rFonts w:ascii="Times New Roman" w:hAnsi="Times New Roman" w:cs="Times New Roman"/>
                <w:sz w:val="24"/>
                <w:szCs w:val="24"/>
              </w:rPr>
              <w:t>, Latvijas Banka</w:t>
            </w:r>
            <w:r>
              <w:rPr>
                <w:rFonts w:ascii="Times New Roman" w:hAnsi="Times New Roman" w:cs="Times New Roman"/>
                <w:sz w:val="24"/>
                <w:szCs w:val="24"/>
              </w:rPr>
              <w:t>i</w:t>
            </w:r>
            <w:r w:rsidRPr="00FA3EC7">
              <w:rPr>
                <w:rFonts w:ascii="Times New Roman" w:hAnsi="Times New Roman" w:cs="Times New Roman"/>
                <w:sz w:val="24"/>
                <w:szCs w:val="24"/>
              </w:rPr>
              <w:t>, Izložu un azartspēļu uzraudzības inspekcija</w:t>
            </w:r>
            <w:r>
              <w:rPr>
                <w:rFonts w:ascii="Times New Roman" w:hAnsi="Times New Roman" w:cs="Times New Roman"/>
                <w:sz w:val="24"/>
                <w:szCs w:val="24"/>
              </w:rPr>
              <w:t>i</w:t>
            </w:r>
            <w:r w:rsidRPr="00FA3EC7">
              <w:rPr>
                <w:rFonts w:ascii="Times New Roman" w:hAnsi="Times New Roman" w:cs="Times New Roman"/>
                <w:sz w:val="24"/>
                <w:szCs w:val="24"/>
              </w:rPr>
              <w:t>, Nacionālā kultūras mantojuma pārvalde</w:t>
            </w:r>
            <w:r>
              <w:rPr>
                <w:rFonts w:ascii="Times New Roman" w:hAnsi="Times New Roman" w:cs="Times New Roman"/>
                <w:sz w:val="24"/>
                <w:szCs w:val="24"/>
              </w:rPr>
              <w:t>i</w:t>
            </w:r>
            <w:r w:rsidRPr="00FA3EC7">
              <w:rPr>
                <w:rFonts w:ascii="Times New Roman" w:hAnsi="Times New Roman" w:cs="Times New Roman"/>
                <w:sz w:val="24"/>
                <w:szCs w:val="24"/>
              </w:rPr>
              <w:t>, Patērētāju tiesību aizsardzības centr</w:t>
            </w:r>
            <w:r>
              <w:rPr>
                <w:rFonts w:ascii="Times New Roman" w:hAnsi="Times New Roman" w:cs="Times New Roman"/>
                <w:sz w:val="24"/>
                <w:szCs w:val="24"/>
              </w:rPr>
              <w:t>am</w:t>
            </w:r>
            <w:r w:rsidRPr="00FA3EC7">
              <w:rPr>
                <w:rFonts w:ascii="Times New Roman" w:hAnsi="Times New Roman" w:cs="Times New Roman"/>
                <w:sz w:val="24"/>
                <w:szCs w:val="24"/>
              </w:rPr>
              <w:t>, Latvijas Finanšu nozares asociācija</w:t>
            </w:r>
            <w:r>
              <w:rPr>
                <w:rFonts w:ascii="Times New Roman" w:hAnsi="Times New Roman" w:cs="Times New Roman"/>
                <w:sz w:val="24"/>
                <w:szCs w:val="24"/>
              </w:rPr>
              <w:t>i</w:t>
            </w:r>
            <w:r w:rsidRPr="00FA3EC7">
              <w:rPr>
                <w:rFonts w:ascii="Times New Roman" w:hAnsi="Times New Roman" w:cs="Times New Roman"/>
                <w:sz w:val="24"/>
                <w:szCs w:val="24"/>
              </w:rPr>
              <w:t>, Latvijas Maksājumu pakalpojumu un elektroniskās naudas iestāžu asociācija</w:t>
            </w:r>
            <w:r>
              <w:rPr>
                <w:rFonts w:ascii="Times New Roman" w:hAnsi="Times New Roman" w:cs="Times New Roman"/>
                <w:sz w:val="24"/>
                <w:szCs w:val="24"/>
              </w:rPr>
              <w:t>i</w:t>
            </w:r>
            <w:r w:rsidRPr="00FA3EC7">
              <w:rPr>
                <w:rFonts w:ascii="Times New Roman" w:hAnsi="Times New Roman" w:cs="Times New Roman"/>
                <w:sz w:val="24"/>
                <w:szCs w:val="24"/>
              </w:rPr>
              <w:t xml:space="preserve">, Latvijas </w:t>
            </w:r>
            <w:r w:rsidRPr="00FA3EC7">
              <w:rPr>
                <w:rFonts w:ascii="Times New Roman" w:hAnsi="Times New Roman" w:cs="Times New Roman"/>
                <w:sz w:val="24"/>
                <w:szCs w:val="24"/>
              </w:rPr>
              <w:lastRenderedPageBreak/>
              <w:t>Alternatīvo finanšu pakalpojumu asociācija</w:t>
            </w:r>
            <w:r>
              <w:rPr>
                <w:rFonts w:ascii="Times New Roman" w:hAnsi="Times New Roman" w:cs="Times New Roman"/>
                <w:sz w:val="24"/>
                <w:szCs w:val="24"/>
              </w:rPr>
              <w:t>i</w:t>
            </w:r>
            <w:r w:rsidRPr="00FA3EC7">
              <w:rPr>
                <w:rFonts w:ascii="Times New Roman" w:hAnsi="Times New Roman" w:cs="Times New Roman"/>
                <w:sz w:val="24"/>
                <w:szCs w:val="24"/>
              </w:rPr>
              <w:t>, Latvijas Darba devēju konfederācija</w:t>
            </w:r>
            <w:r>
              <w:rPr>
                <w:rFonts w:ascii="Times New Roman" w:hAnsi="Times New Roman" w:cs="Times New Roman"/>
                <w:sz w:val="24"/>
                <w:szCs w:val="24"/>
              </w:rPr>
              <w:t>i</w:t>
            </w:r>
            <w:r w:rsidRPr="00FA3EC7">
              <w:rPr>
                <w:rFonts w:ascii="Times New Roman" w:hAnsi="Times New Roman" w:cs="Times New Roman"/>
                <w:sz w:val="24"/>
                <w:szCs w:val="24"/>
              </w:rPr>
              <w:t>, Latvijas Apdrošinātāju asociācija</w:t>
            </w:r>
            <w:r>
              <w:rPr>
                <w:rFonts w:ascii="Times New Roman" w:hAnsi="Times New Roman" w:cs="Times New Roman"/>
                <w:sz w:val="24"/>
                <w:szCs w:val="24"/>
              </w:rPr>
              <w:t>i</w:t>
            </w:r>
            <w:r w:rsidRPr="00FA3EC7">
              <w:rPr>
                <w:rFonts w:ascii="Times New Roman" w:hAnsi="Times New Roman" w:cs="Times New Roman"/>
                <w:sz w:val="24"/>
                <w:szCs w:val="24"/>
              </w:rPr>
              <w:t>, Latvijas Tirdzniecības un rūpniecības kamera</w:t>
            </w:r>
            <w:r>
              <w:rPr>
                <w:rFonts w:ascii="Times New Roman" w:hAnsi="Times New Roman" w:cs="Times New Roman"/>
                <w:sz w:val="24"/>
                <w:szCs w:val="24"/>
              </w:rPr>
              <w:t>i</w:t>
            </w:r>
            <w:r w:rsidRPr="00FA3EC7">
              <w:rPr>
                <w:rFonts w:ascii="Times New Roman" w:hAnsi="Times New Roman" w:cs="Times New Roman"/>
                <w:sz w:val="24"/>
                <w:szCs w:val="24"/>
              </w:rPr>
              <w:t>, Latvijas Privātā un Riska kapitāla asociācija</w:t>
            </w:r>
            <w:r>
              <w:rPr>
                <w:rFonts w:ascii="Times New Roman" w:hAnsi="Times New Roman" w:cs="Times New Roman"/>
                <w:sz w:val="24"/>
                <w:szCs w:val="24"/>
              </w:rPr>
              <w:t>i</w:t>
            </w:r>
            <w:r w:rsidRPr="00FA3EC7">
              <w:rPr>
                <w:rFonts w:ascii="Times New Roman" w:hAnsi="Times New Roman" w:cs="Times New Roman"/>
                <w:sz w:val="24"/>
                <w:szCs w:val="24"/>
              </w:rPr>
              <w:t>, Latvijas Līzinga devēju asociācija</w:t>
            </w:r>
            <w:r>
              <w:rPr>
                <w:rFonts w:ascii="Times New Roman" w:hAnsi="Times New Roman" w:cs="Times New Roman"/>
                <w:sz w:val="24"/>
                <w:szCs w:val="24"/>
              </w:rPr>
              <w:t>i</w:t>
            </w:r>
            <w:r w:rsidRPr="00FA3EC7">
              <w:rPr>
                <w:rFonts w:ascii="Times New Roman" w:hAnsi="Times New Roman" w:cs="Times New Roman"/>
                <w:sz w:val="24"/>
                <w:szCs w:val="24"/>
              </w:rPr>
              <w:t>, Biedrība</w:t>
            </w:r>
            <w:r>
              <w:rPr>
                <w:rFonts w:ascii="Times New Roman" w:hAnsi="Times New Roman" w:cs="Times New Roman"/>
                <w:sz w:val="24"/>
                <w:szCs w:val="24"/>
              </w:rPr>
              <w:t>i</w:t>
            </w:r>
            <w:r w:rsidRPr="00FA3EC7">
              <w:rPr>
                <w:rFonts w:ascii="Times New Roman" w:hAnsi="Times New Roman" w:cs="Times New Roman"/>
                <w:sz w:val="24"/>
                <w:szCs w:val="24"/>
              </w:rPr>
              <w:t xml:space="preserve"> “Latvijas Spēļu biznesa asociācija”, Latvijas Republikas Grāmatvežu asociācija</w:t>
            </w:r>
            <w:r>
              <w:rPr>
                <w:rFonts w:ascii="Times New Roman" w:hAnsi="Times New Roman" w:cs="Times New Roman"/>
                <w:sz w:val="24"/>
                <w:szCs w:val="24"/>
              </w:rPr>
              <w:t>i</w:t>
            </w:r>
            <w:r w:rsidRPr="00FA3EC7">
              <w:rPr>
                <w:rFonts w:ascii="Times New Roman" w:hAnsi="Times New Roman" w:cs="Times New Roman"/>
                <w:sz w:val="24"/>
                <w:szCs w:val="24"/>
              </w:rPr>
              <w:t>, Latvijas Apdrošināšanas brokeru asociācija</w:t>
            </w:r>
            <w:r>
              <w:rPr>
                <w:rFonts w:ascii="Times New Roman" w:hAnsi="Times New Roman" w:cs="Times New Roman"/>
                <w:sz w:val="24"/>
                <w:szCs w:val="24"/>
              </w:rPr>
              <w:t>i</w:t>
            </w:r>
            <w:r w:rsidRPr="00FA3EC7">
              <w:rPr>
                <w:rFonts w:ascii="Times New Roman" w:hAnsi="Times New Roman" w:cs="Times New Roman"/>
                <w:sz w:val="24"/>
                <w:szCs w:val="24"/>
              </w:rPr>
              <w:t>, Latvijas Kooperatīvo krājaizdevu sabiedrību savienība</w:t>
            </w:r>
            <w:r>
              <w:rPr>
                <w:rFonts w:ascii="Times New Roman" w:hAnsi="Times New Roman" w:cs="Times New Roman"/>
                <w:sz w:val="24"/>
                <w:szCs w:val="24"/>
              </w:rPr>
              <w:t>i.</w:t>
            </w:r>
            <w:r w:rsidRPr="00FA3EC7">
              <w:rPr>
                <w:rFonts w:ascii="Times New Roman" w:hAnsi="Times New Roman" w:cs="Times New Roman"/>
                <w:sz w:val="24"/>
                <w:szCs w:val="24"/>
              </w:rPr>
              <w:t xml:space="preserve"> </w:t>
            </w:r>
          </w:p>
          <w:p w14:paraId="7BB7BD56" w14:textId="77777777" w:rsidR="005061B5" w:rsidRDefault="005061B5" w:rsidP="00AC43DB">
            <w:pPr>
              <w:pStyle w:val="NormalWeb"/>
              <w:spacing w:before="0" w:after="0"/>
              <w:ind w:firstLine="0"/>
              <w:rPr>
                <w:rFonts w:eastAsia="Times New Roman"/>
                <w:color w:val="414142"/>
                <w:lang w:eastAsia="lv-LV"/>
              </w:rPr>
            </w:pPr>
          </w:p>
          <w:p w14:paraId="697F290D" w14:textId="4D9F8158" w:rsidR="00845A36" w:rsidRPr="00AC0522" w:rsidRDefault="00845A36" w:rsidP="00AC43DB">
            <w:pPr>
              <w:pStyle w:val="naisf"/>
              <w:spacing w:before="0" w:after="0"/>
              <w:ind w:firstLine="0"/>
              <w:rPr>
                <w:rFonts w:eastAsiaTheme="minorHAnsi"/>
                <w:lang w:eastAsia="en-US"/>
              </w:rPr>
            </w:pPr>
            <w:r w:rsidRPr="00AC0522">
              <w:rPr>
                <w:rFonts w:eastAsiaTheme="minorHAnsi"/>
                <w:lang w:eastAsia="en-US"/>
              </w:rPr>
              <w:t xml:space="preserve">Noteikumu projekts neskar privātpersonas tiešā veidā – tas attiecas uz šīs anotācijas II sadaļa minētajiem Likuma subjektiem. Vienlaikus norādām, ka Likuma subjektiem jau līdz šo Noteikumu spēkā stāšanās brīdim bija jāiesniedz Finanšu izlūkošanas dienestam ziņojumi par </w:t>
            </w:r>
            <w:r w:rsidR="0037600C">
              <w:rPr>
                <w:rFonts w:eastAsiaTheme="minorHAnsi"/>
                <w:lang w:eastAsia="en-US"/>
              </w:rPr>
              <w:t>neparastiem</w:t>
            </w:r>
            <w:r w:rsidRPr="00AC0522">
              <w:rPr>
                <w:rFonts w:eastAsiaTheme="minorHAnsi"/>
                <w:lang w:eastAsia="en-US"/>
              </w:rPr>
              <w:t xml:space="preserve"> darījumiem. </w:t>
            </w:r>
            <w:r w:rsidR="0037600C">
              <w:rPr>
                <w:rFonts w:eastAsiaTheme="minorHAnsi"/>
                <w:lang w:eastAsia="en-US"/>
              </w:rPr>
              <w:t xml:space="preserve">Līdz ar noteikumu projektu, Likuma subjektiem tiek atvieglota līdz šim spēkā esošā ziņošanas kārtība, samazinot </w:t>
            </w:r>
            <w:r w:rsidR="00063598">
              <w:rPr>
                <w:rFonts w:eastAsiaTheme="minorHAnsi"/>
                <w:lang w:eastAsia="en-US"/>
              </w:rPr>
              <w:t xml:space="preserve">gadījumu </w:t>
            </w:r>
            <w:r w:rsidR="0037600C">
              <w:rPr>
                <w:rFonts w:eastAsiaTheme="minorHAnsi"/>
                <w:lang w:eastAsia="en-US"/>
              </w:rPr>
              <w:t xml:space="preserve">skaitu, </w:t>
            </w:r>
            <w:r w:rsidR="00063598">
              <w:rPr>
                <w:rFonts w:eastAsiaTheme="minorHAnsi"/>
                <w:lang w:eastAsia="en-US"/>
              </w:rPr>
              <w:t>kad iesniedzama sliekšņa deklarācija</w:t>
            </w:r>
            <w:r w:rsidR="00061AF8">
              <w:rPr>
                <w:rFonts w:eastAsiaTheme="minorHAnsi"/>
                <w:lang w:eastAsia="en-US"/>
              </w:rPr>
              <w:t xml:space="preserve"> </w:t>
            </w:r>
            <w:r w:rsidR="0037600C">
              <w:rPr>
                <w:rFonts w:eastAsiaTheme="minorHAnsi"/>
                <w:lang w:eastAsia="en-US"/>
              </w:rPr>
              <w:t>kā arī nosakot regularitāti šādu ziņojumu iesniegšanai</w:t>
            </w:r>
            <w:r w:rsidR="00AC7BD5">
              <w:rPr>
                <w:rFonts w:eastAsiaTheme="minorHAnsi"/>
                <w:lang w:eastAsia="en-US"/>
              </w:rPr>
              <w:t>.</w:t>
            </w:r>
          </w:p>
          <w:p w14:paraId="4E56D7A0" w14:textId="77777777" w:rsidR="00845A36" w:rsidRPr="00AC0522" w:rsidRDefault="00845A36" w:rsidP="00AC43DB">
            <w:pPr>
              <w:pStyle w:val="NormalWeb"/>
              <w:spacing w:before="0" w:after="0"/>
              <w:ind w:firstLine="0"/>
              <w:rPr>
                <w:rFonts w:eastAsiaTheme="minorHAnsi"/>
                <w:lang w:eastAsia="en-US"/>
              </w:rPr>
            </w:pPr>
          </w:p>
          <w:p w14:paraId="749AF149" w14:textId="77777777" w:rsidR="00845A36" w:rsidRPr="003C507D" w:rsidRDefault="00845A36" w:rsidP="00AC43DB">
            <w:pPr>
              <w:pStyle w:val="NormalWeb"/>
              <w:spacing w:before="0" w:after="0"/>
              <w:ind w:firstLine="0"/>
            </w:pPr>
            <w:r w:rsidRPr="00204B33">
              <w:t>Ievērojot iepriekš minēto sabiedrības līdzdalība nav neieciešama.</w:t>
            </w:r>
          </w:p>
        </w:tc>
      </w:tr>
      <w:tr w:rsidR="00845A36" w:rsidRPr="002C6D96" w14:paraId="711F67DD" w14:textId="77777777" w:rsidTr="00AC43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B65A7E" w14:textId="77777777"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7BA74A9" w14:textId="77777777"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71A258C" w14:textId="03D20665" w:rsidR="00845A36" w:rsidRPr="002C6D96" w:rsidRDefault="00AC7BD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845A36" w:rsidRPr="002C6D96" w14:paraId="12D3AEE2" w14:textId="77777777" w:rsidTr="00AC43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E07ABA" w14:textId="77777777"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D10BB6" w14:textId="77777777"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0BB0C4D" w14:textId="2B4C01B2" w:rsidR="00845A36" w:rsidRPr="002C6D96" w:rsidRDefault="00AC7BD5" w:rsidP="00AC43D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rsidR="00845A36" w:rsidRPr="002C6D96" w14:paraId="3962761E" w14:textId="77777777" w:rsidTr="00AC43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E8BD76" w14:textId="77777777"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B93BE6" w14:textId="77777777"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3BACD7" w14:textId="77777777" w:rsidR="00845A36" w:rsidRPr="002C6D96" w:rsidRDefault="00845A36" w:rsidP="00AC43DB">
            <w:pPr>
              <w:spacing w:after="0" w:line="240" w:lineRule="auto"/>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14:paraId="7FDC16DB" w14:textId="734C91CF" w:rsidR="002F74C4" w:rsidRPr="002C6D96" w:rsidRDefault="00845A36" w:rsidP="00845A36">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5A36" w:rsidRPr="002C6D96" w14:paraId="31A970D9" w14:textId="77777777" w:rsidTr="00AC43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1820A6" w14:textId="77777777" w:rsidR="00845A36" w:rsidRPr="002C6D96" w:rsidRDefault="00845A36" w:rsidP="00AC43DB">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45A36" w:rsidRPr="002C6D96" w14:paraId="765AB2B5" w14:textId="77777777" w:rsidTr="002F74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B07ED" w14:textId="77777777"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4BF9CB" w14:textId="77777777"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CBAD3C4" w14:textId="5574FE74" w:rsidR="00845A36" w:rsidRPr="004E2C5A" w:rsidRDefault="00845A36" w:rsidP="00AC43DB">
            <w:pPr>
              <w:spacing w:after="0" w:line="240" w:lineRule="auto"/>
              <w:jc w:val="both"/>
              <w:rPr>
                <w:rFonts w:ascii="Times New Roman" w:eastAsia="Times New Roman" w:hAnsi="Times New Roman" w:cs="Times New Roman"/>
                <w:iCs/>
                <w:sz w:val="24"/>
                <w:szCs w:val="24"/>
                <w:lang w:eastAsia="lv-LV"/>
              </w:rPr>
            </w:pPr>
            <w:r w:rsidRPr="004E2C5A">
              <w:rPr>
                <w:rFonts w:ascii="Times New Roman" w:eastAsia="SimSun" w:hAnsi="Times New Roman" w:cs="Times New Roman"/>
                <w:sz w:val="24"/>
                <w:szCs w:val="24"/>
                <w:lang w:eastAsia="zh-CN"/>
              </w:rPr>
              <w:t>Finanšu izlūkošanas dienests</w:t>
            </w:r>
            <w:r>
              <w:rPr>
                <w:rFonts w:ascii="Times New Roman" w:eastAsia="SimSun" w:hAnsi="Times New Roman" w:cs="Times New Roman"/>
                <w:sz w:val="24"/>
                <w:szCs w:val="24"/>
                <w:lang w:eastAsia="zh-CN"/>
              </w:rPr>
              <w:t>, Finanšu nozares asociācija</w:t>
            </w:r>
            <w:r w:rsidR="00AC7BD5">
              <w:rPr>
                <w:rFonts w:ascii="Times New Roman" w:eastAsia="SimSun" w:hAnsi="Times New Roman" w:cs="Times New Roman"/>
                <w:sz w:val="24"/>
                <w:szCs w:val="24"/>
                <w:lang w:eastAsia="zh-CN"/>
              </w:rPr>
              <w:t>.</w:t>
            </w:r>
          </w:p>
        </w:tc>
      </w:tr>
      <w:tr w:rsidR="00845A36" w:rsidRPr="002C6D96" w14:paraId="23B31454" w14:textId="77777777" w:rsidTr="002F74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86C5EA" w14:textId="77777777"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D6354BD" w14:textId="77777777"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izpildes ietekme uz pārvaldes funkcijām un institucionālo struktūru.</w:t>
            </w:r>
            <w:r w:rsidRPr="002C6D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7F4D4C8F" w14:textId="77777777" w:rsidR="00063598" w:rsidRDefault="00063598" w:rsidP="00063598">
            <w:pPr>
              <w:spacing w:after="0" w:line="240" w:lineRule="auto"/>
              <w:jc w:val="both"/>
              <w:rPr>
                <w:rFonts w:ascii="Times New Roman" w:eastAsia="Times New Roman" w:hAnsi="Times New Roman" w:cs="Times New Roman"/>
                <w:sz w:val="24"/>
                <w:szCs w:val="24"/>
                <w:lang w:eastAsia="lv-LV"/>
              </w:rPr>
            </w:pPr>
            <w:r w:rsidRPr="002C6D96">
              <w:rPr>
                <w:rFonts w:ascii="Times New Roman" w:eastAsia="Times New Roman" w:hAnsi="Times New Roman" w:cs="Times New Roman"/>
                <w:sz w:val="24"/>
                <w:szCs w:val="24"/>
                <w:lang w:eastAsia="lv-LV"/>
              </w:rPr>
              <w:t>Nav plānota jaunu institūciju izveide, esošu institūciju likvidācija vai reorganizācija</w:t>
            </w:r>
            <w:r>
              <w:rPr>
                <w:rFonts w:ascii="Times New Roman" w:eastAsia="Times New Roman" w:hAnsi="Times New Roman" w:cs="Times New Roman"/>
                <w:sz w:val="24"/>
                <w:szCs w:val="24"/>
                <w:lang w:eastAsia="lv-LV"/>
              </w:rPr>
              <w:t>, kā arī paplašināt vai sašaurināt iesaistīto institūciju funkcijas un uzdevumus.</w:t>
            </w:r>
          </w:p>
          <w:p w14:paraId="06B68904" w14:textId="39DC3DDE" w:rsidR="00D2287F" w:rsidRPr="002C6D96" w:rsidRDefault="00063598" w:rsidP="00AC43D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tiks realizēts esošo cilvēkresursu ietvaros.</w:t>
            </w:r>
          </w:p>
        </w:tc>
      </w:tr>
    </w:tbl>
    <w:p w14:paraId="1A4B87CA" w14:textId="77777777" w:rsidR="002F74C4" w:rsidRDefault="002F74C4">
      <w: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45A36" w:rsidRPr="002C6D96" w14:paraId="2A979FD0" w14:textId="77777777" w:rsidTr="002F74C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1FA4FF" w14:textId="580A32CB"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109933E" w14:textId="77777777" w:rsidR="00845A36" w:rsidRPr="002C6D96" w:rsidRDefault="00845A36" w:rsidP="00AC43DB">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7628BBD" w14:textId="5E30366C" w:rsidR="00845A36" w:rsidRPr="002C6D96" w:rsidRDefault="00845A36" w:rsidP="00AC43DB">
            <w:pPr>
              <w:spacing w:after="0" w:line="240" w:lineRule="auto"/>
              <w:jc w:val="both"/>
              <w:rPr>
                <w:rFonts w:ascii="Times New Roman" w:eastAsia="Times New Roman" w:hAnsi="Times New Roman" w:cs="Times New Roman"/>
                <w:iCs/>
                <w:sz w:val="24"/>
                <w:szCs w:val="24"/>
                <w:lang w:eastAsia="lv-LV"/>
              </w:rPr>
            </w:pPr>
            <w:r w:rsidRPr="00DB02A6">
              <w:rPr>
                <w:rFonts w:ascii="Times New Roman" w:eastAsia="Batang"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r w:rsidRPr="008A5906">
              <w:rPr>
                <w:rFonts w:ascii="Times New Roman" w:eastAsia="Batang" w:hAnsi="Times New Roman" w:cs="Times New Roman"/>
                <w:sz w:val="24"/>
                <w:szCs w:val="24"/>
                <w:lang w:eastAsia="lv-LV"/>
              </w:rPr>
              <w:t>www.vestnesis.lv</w:t>
            </w:r>
            <w:r w:rsidRPr="00DB02A6">
              <w:rPr>
                <w:rFonts w:ascii="Times New Roman" w:eastAsia="Times New Roman" w:hAnsi="Times New Roman" w:cs="Times New Roman"/>
                <w:sz w:val="24"/>
                <w:szCs w:val="24"/>
                <w:lang w:eastAsia="lv-LV"/>
              </w:rPr>
              <w:t>.</w:t>
            </w:r>
          </w:p>
        </w:tc>
      </w:tr>
    </w:tbl>
    <w:p w14:paraId="15DAB359" w14:textId="546D6974" w:rsidR="00845A36" w:rsidRDefault="00845A36" w:rsidP="00845A36">
      <w:pPr>
        <w:spacing w:after="0" w:line="240" w:lineRule="auto"/>
        <w:rPr>
          <w:rFonts w:ascii="Times New Roman" w:hAnsi="Times New Roman" w:cs="Times New Roman"/>
          <w:sz w:val="24"/>
          <w:szCs w:val="24"/>
        </w:rPr>
      </w:pPr>
    </w:p>
    <w:p w14:paraId="04736FF8" w14:textId="77777777" w:rsidR="002F74C4" w:rsidRPr="002C6D96" w:rsidRDefault="002F74C4" w:rsidP="00845A36">
      <w:pPr>
        <w:spacing w:after="0" w:line="240" w:lineRule="auto"/>
        <w:rPr>
          <w:rFonts w:ascii="Times New Roman" w:hAnsi="Times New Roman" w:cs="Times New Roman"/>
          <w:sz w:val="24"/>
          <w:szCs w:val="24"/>
        </w:rPr>
      </w:pPr>
    </w:p>
    <w:p w14:paraId="021F2D6F" w14:textId="77777777" w:rsidR="00845A36" w:rsidRPr="002C6D96" w:rsidRDefault="00845A36" w:rsidP="00845A36">
      <w:pPr>
        <w:spacing w:after="0" w:line="240" w:lineRule="auto"/>
        <w:rPr>
          <w:rFonts w:ascii="Times New Roman" w:hAnsi="Times New Roman" w:cs="Times New Roman"/>
          <w:sz w:val="24"/>
          <w:szCs w:val="24"/>
        </w:rPr>
      </w:pPr>
    </w:p>
    <w:p w14:paraId="122494A4" w14:textId="50AAE9A9" w:rsidR="00845A36" w:rsidRPr="002C6D96" w:rsidRDefault="00845A36" w:rsidP="00845A36">
      <w:pPr>
        <w:tabs>
          <w:tab w:val="left" w:pos="7513"/>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Finanšu ministrs</w:t>
      </w:r>
      <w:r w:rsidRPr="002C6D9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J.Reirs</w:t>
      </w:r>
    </w:p>
    <w:p w14:paraId="2D6EDA09" w14:textId="59203E2D" w:rsidR="00BF31AB" w:rsidRPr="00A41DC0" w:rsidRDefault="00BF31AB" w:rsidP="00845A36">
      <w:pPr>
        <w:tabs>
          <w:tab w:val="left" w:pos="6237"/>
        </w:tabs>
        <w:spacing w:after="0" w:line="240" w:lineRule="auto"/>
        <w:rPr>
          <w:rFonts w:ascii="Times New Roman" w:hAnsi="Times New Roman" w:cs="Times New Roman"/>
          <w:color w:val="000000" w:themeColor="text1"/>
          <w:sz w:val="24"/>
          <w:szCs w:val="24"/>
        </w:rPr>
      </w:pPr>
    </w:p>
    <w:p w14:paraId="44FE22FB" w14:textId="77777777" w:rsidR="00BF31AB" w:rsidRPr="00A41DC0" w:rsidRDefault="00BF31AB" w:rsidP="00845A36">
      <w:pPr>
        <w:tabs>
          <w:tab w:val="left" w:pos="6237"/>
        </w:tabs>
        <w:spacing w:after="0" w:line="240" w:lineRule="auto"/>
        <w:rPr>
          <w:rFonts w:ascii="Times New Roman" w:hAnsi="Times New Roman" w:cs="Times New Roman"/>
          <w:color w:val="000000" w:themeColor="text1"/>
          <w:sz w:val="24"/>
          <w:szCs w:val="24"/>
        </w:rPr>
      </w:pPr>
    </w:p>
    <w:p w14:paraId="388CF932" w14:textId="77777777" w:rsidR="00845A36" w:rsidRPr="00A41DC0" w:rsidRDefault="00845A36" w:rsidP="00845A36">
      <w:pPr>
        <w:tabs>
          <w:tab w:val="left" w:pos="6237"/>
        </w:tabs>
        <w:spacing w:after="0" w:line="240" w:lineRule="auto"/>
        <w:rPr>
          <w:rFonts w:ascii="Times New Roman" w:hAnsi="Times New Roman" w:cs="Times New Roman"/>
          <w:color w:val="000000" w:themeColor="text1"/>
          <w:sz w:val="24"/>
          <w:szCs w:val="24"/>
        </w:rPr>
      </w:pPr>
    </w:p>
    <w:p w14:paraId="205DAA0B" w14:textId="77777777" w:rsidR="006A0344" w:rsidRPr="00A41DC0" w:rsidRDefault="006A0344" w:rsidP="00900BF7">
      <w:pPr>
        <w:tabs>
          <w:tab w:val="left" w:pos="6237"/>
        </w:tabs>
        <w:spacing w:after="0" w:line="240" w:lineRule="auto"/>
        <w:rPr>
          <w:rFonts w:ascii="Times New Roman" w:hAnsi="Times New Roman" w:cs="Times New Roman"/>
          <w:color w:val="000000" w:themeColor="text1"/>
          <w:sz w:val="24"/>
          <w:szCs w:val="24"/>
        </w:rPr>
      </w:pPr>
    </w:p>
    <w:p w14:paraId="6C4B6CB6" w14:textId="77777777" w:rsidR="006A0344" w:rsidRPr="00A41DC0" w:rsidRDefault="006A0344" w:rsidP="00900BF7">
      <w:pPr>
        <w:tabs>
          <w:tab w:val="left" w:pos="6237"/>
        </w:tabs>
        <w:spacing w:after="0" w:line="240" w:lineRule="auto"/>
        <w:rPr>
          <w:rFonts w:ascii="Times New Roman" w:hAnsi="Times New Roman" w:cs="Times New Roman"/>
          <w:color w:val="000000" w:themeColor="text1"/>
          <w:sz w:val="24"/>
          <w:szCs w:val="24"/>
        </w:rPr>
      </w:pPr>
    </w:p>
    <w:p w14:paraId="18EC17F3" w14:textId="32DD9FA4" w:rsidR="00900BF7" w:rsidRDefault="00900BF7" w:rsidP="00900BF7">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Buse, 67095535</w:t>
      </w:r>
    </w:p>
    <w:p w14:paraId="345F93E1" w14:textId="5C46478E" w:rsidR="00900BF7" w:rsidRDefault="00900BF7" w:rsidP="00900BF7">
      <w:pPr>
        <w:tabs>
          <w:tab w:val="left" w:pos="6237"/>
        </w:tabs>
        <w:spacing w:after="0" w:line="240" w:lineRule="auto"/>
      </w:pPr>
      <w:r w:rsidRPr="008A5906">
        <w:rPr>
          <w:rFonts w:ascii="Times New Roman" w:hAnsi="Times New Roman" w:cs="Times New Roman"/>
          <w:sz w:val="20"/>
          <w:szCs w:val="20"/>
        </w:rPr>
        <w:t>Dina.Buse@fm.gov.lv</w:t>
      </w:r>
    </w:p>
    <w:p w14:paraId="2B5E57FB" w14:textId="77777777" w:rsidR="00900BF7" w:rsidRPr="00A238BA" w:rsidRDefault="00900BF7" w:rsidP="00845A36">
      <w:pPr>
        <w:tabs>
          <w:tab w:val="left" w:pos="6237"/>
        </w:tabs>
        <w:spacing w:after="0" w:line="240" w:lineRule="auto"/>
        <w:rPr>
          <w:rFonts w:ascii="Times New Roman" w:hAnsi="Times New Roman" w:cs="Times New Roman"/>
          <w:color w:val="000000" w:themeColor="text1"/>
          <w:sz w:val="24"/>
          <w:szCs w:val="24"/>
        </w:rPr>
      </w:pPr>
    </w:p>
    <w:p w14:paraId="1340BBEC" w14:textId="263A7319" w:rsidR="00845A36" w:rsidRPr="002C6D96" w:rsidRDefault="00845A36" w:rsidP="00845A36">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Vītola, 67969496</w:t>
      </w:r>
    </w:p>
    <w:p w14:paraId="35760E86" w14:textId="3F5865D8" w:rsidR="00845A36" w:rsidRDefault="00C70E04" w:rsidP="00845A36">
      <w:pPr>
        <w:tabs>
          <w:tab w:val="left" w:pos="6237"/>
        </w:tabs>
        <w:spacing w:after="0" w:line="240" w:lineRule="auto"/>
        <w:rPr>
          <w:rFonts w:ascii="Times New Roman" w:hAnsi="Times New Roman" w:cs="Times New Roman"/>
          <w:color w:val="000000" w:themeColor="text1"/>
          <w:sz w:val="20"/>
          <w:szCs w:val="20"/>
        </w:rPr>
      </w:pPr>
      <w:r w:rsidRPr="008A5906">
        <w:rPr>
          <w:rFonts w:ascii="Times New Roman" w:hAnsi="Times New Roman" w:cs="Times New Roman"/>
          <w:sz w:val="20"/>
          <w:szCs w:val="20"/>
        </w:rPr>
        <w:t>Dace.Vitola@kd.gov.lv</w:t>
      </w:r>
    </w:p>
    <w:p w14:paraId="195DD27A" w14:textId="200702B1" w:rsidR="00AE38BB" w:rsidRDefault="0068731C" w:rsidP="00C70E04">
      <w:pPr>
        <w:tabs>
          <w:tab w:val="left" w:pos="6237"/>
        </w:tabs>
        <w:spacing w:after="0" w:line="240" w:lineRule="auto"/>
      </w:pPr>
    </w:p>
    <w:sectPr w:rsidR="00AE38BB"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15B8D" w14:textId="77777777" w:rsidR="00C172AE" w:rsidRDefault="00C172AE" w:rsidP="00845A36">
      <w:pPr>
        <w:spacing w:after="0" w:line="240" w:lineRule="auto"/>
      </w:pPr>
      <w:r>
        <w:separator/>
      </w:r>
    </w:p>
  </w:endnote>
  <w:endnote w:type="continuationSeparator" w:id="0">
    <w:p w14:paraId="38A47A13" w14:textId="77777777" w:rsidR="00C172AE" w:rsidRDefault="00C172AE" w:rsidP="0084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827495"/>
      <w:docPartObj>
        <w:docPartGallery w:val="Page Numbers (Bottom of Page)"/>
        <w:docPartUnique/>
      </w:docPartObj>
    </w:sdtPr>
    <w:sdtEndPr>
      <w:rPr>
        <w:noProof/>
      </w:rPr>
    </w:sdtEndPr>
    <w:sdtContent>
      <w:p w14:paraId="1FCF4CD7" w14:textId="5A3AA184" w:rsidR="00DF12B1" w:rsidRDefault="00DF12B1">
        <w:pPr>
          <w:pStyle w:val="Footer"/>
          <w:jc w:val="center"/>
        </w:pPr>
        <w:r>
          <w:fldChar w:fldCharType="begin"/>
        </w:r>
        <w:r>
          <w:instrText xml:space="preserve"> PAGE   \* MERGEFORMAT </w:instrText>
        </w:r>
        <w:r>
          <w:fldChar w:fldCharType="separate"/>
        </w:r>
        <w:r w:rsidR="0068731C">
          <w:rPr>
            <w:noProof/>
          </w:rPr>
          <w:t>12</w:t>
        </w:r>
        <w:r>
          <w:rPr>
            <w:noProof/>
          </w:rPr>
          <w:fldChar w:fldCharType="end"/>
        </w:r>
      </w:p>
    </w:sdtContent>
  </w:sdt>
  <w:p w14:paraId="754B53DF" w14:textId="43143320" w:rsidR="006A0344" w:rsidRPr="006A0344" w:rsidRDefault="006A0344" w:rsidP="006A0344">
    <w:pPr>
      <w:shd w:val="clear" w:color="auto" w:fill="FFFFFF"/>
      <w:spacing w:after="0" w:line="240" w:lineRule="auto"/>
      <w:jc w:val="both"/>
      <w:rPr>
        <w:rFonts w:ascii="Times New Roman" w:hAnsi="Times New Roman" w:cs="Times New Roman"/>
        <w:color w:val="000000"/>
        <w:sz w:val="20"/>
        <w:szCs w:val="20"/>
      </w:rPr>
    </w:pPr>
    <w:r w:rsidRPr="006A0344">
      <w:rPr>
        <w:rFonts w:ascii="Times New Roman" w:hAnsi="Times New Roman" w:cs="Times New Roman"/>
        <w:color w:val="000000"/>
        <w:sz w:val="20"/>
        <w:szCs w:val="20"/>
      </w:rPr>
      <w:t>FM</w:t>
    </w:r>
    <w:r w:rsidR="00FE7213">
      <w:rPr>
        <w:rFonts w:ascii="Times New Roman" w:hAnsi="Times New Roman" w:cs="Times New Roman"/>
        <w:color w:val="000000"/>
        <w:sz w:val="20"/>
        <w:szCs w:val="20"/>
      </w:rPr>
      <w:t>a</w:t>
    </w:r>
    <w:r w:rsidRPr="006A0344">
      <w:rPr>
        <w:rFonts w:ascii="Times New Roman" w:hAnsi="Times New Roman" w:cs="Times New Roman"/>
        <w:color w:val="000000"/>
        <w:sz w:val="20"/>
        <w:szCs w:val="20"/>
      </w:rPr>
      <w:t>not_</w:t>
    </w:r>
    <w:r w:rsidR="005D4559">
      <w:rPr>
        <w:rFonts w:ascii="Times New Roman" w:hAnsi="Times New Roman" w:cs="Times New Roman"/>
        <w:color w:val="000000"/>
        <w:sz w:val="20"/>
        <w:szCs w:val="20"/>
      </w:rPr>
      <w:t>22</w:t>
    </w:r>
    <w:r w:rsidRPr="006A0344">
      <w:rPr>
        <w:rFonts w:ascii="Times New Roman" w:hAnsi="Times New Roman" w:cs="Times New Roman"/>
        <w:color w:val="000000"/>
        <w:sz w:val="20"/>
        <w:szCs w:val="20"/>
      </w:rPr>
      <w:t>0819_slieksnis</w:t>
    </w:r>
  </w:p>
  <w:p w14:paraId="62C1BA20" w14:textId="040F23BE" w:rsidR="00894C55" w:rsidRPr="00BB4594" w:rsidRDefault="0068731C" w:rsidP="00BB4594">
    <w:pPr>
      <w:shd w:val="clear" w:color="auto" w:fill="FFFFFF"/>
      <w:spacing w:after="0" w:line="240" w:lineRule="auto"/>
      <w:jc w:val="both"/>
      <w:rPr>
        <w:rFonts w:ascii="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E025" w14:textId="6F82DD10" w:rsidR="009A2654" w:rsidRPr="00BB4594" w:rsidRDefault="00FE7213" w:rsidP="006219E4">
    <w:pPr>
      <w:shd w:val="clear" w:color="auto" w:fill="FFFFFF"/>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FMa</w:t>
    </w:r>
    <w:r w:rsidR="0037600C" w:rsidRPr="00BB4594">
      <w:rPr>
        <w:rFonts w:ascii="Times New Roman" w:hAnsi="Times New Roman" w:cs="Times New Roman"/>
        <w:sz w:val="20"/>
        <w:szCs w:val="20"/>
      </w:rPr>
      <w:t>not_</w:t>
    </w:r>
    <w:r w:rsidR="008B3461">
      <w:rPr>
        <w:rFonts w:ascii="Times New Roman" w:hAnsi="Times New Roman" w:cs="Times New Roman"/>
        <w:sz w:val="20"/>
        <w:szCs w:val="20"/>
      </w:rPr>
      <w:t>22</w:t>
    </w:r>
    <w:r w:rsidR="006A0344">
      <w:rPr>
        <w:rFonts w:ascii="Times New Roman" w:hAnsi="Times New Roman" w:cs="Times New Roman"/>
        <w:sz w:val="20"/>
        <w:szCs w:val="20"/>
      </w:rPr>
      <w:t>08</w:t>
    </w:r>
    <w:r w:rsidR="0037600C" w:rsidRPr="00BB4594">
      <w:rPr>
        <w:rFonts w:ascii="Times New Roman" w:hAnsi="Times New Roman" w:cs="Times New Roman"/>
        <w:sz w:val="20"/>
        <w:szCs w:val="20"/>
      </w:rPr>
      <w:t>19_</w:t>
    </w:r>
    <w:r w:rsidR="00BB4594" w:rsidRPr="00BB4594">
      <w:rPr>
        <w:rFonts w:ascii="Times New Roman" w:hAnsi="Times New Roman" w:cs="Times New Roman"/>
        <w:sz w:val="20"/>
        <w:szCs w:val="20"/>
      </w:rPr>
      <w:t>slieksnis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C809A" w14:textId="77777777" w:rsidR="00C172AE" w:rsidRDefault="00C172AE" w:rsidP="00845A36">
      <w:pPr>
        <w:spacing w:after="0" w:line="240" w:lineRule="auto"/>
      </w:pPr>
      <w:r>
        <w:separator/>
      </w:r>
    </w:p>
  </w:footnote>
  <w:footnote w:type="continuationSeparator" w:id="0">
    <w:p w14:paraId="071E91F9" w14:textId="77777777" w:rsidR="00C172AE" w:rsidRDefault="00C172AE" w:rsidP="00845A36">
      <w:pPr>
        <w:spacing w:after="0" w:line="240" w:lineRule="auto"/>
      </w:pPr>
      <w:r>
        <w:continuationSeparator/>
      </w:r>
    </w:p>
  </w:footnote>
  <w:footnote w:id="1">
    <w:p w14:paraId="6A759663" w14:textId="0A093255" w:rsidR="00845A36" w:rsidRPr="00E97131" w:rsidRDefault="00845A36" w:rsidP="00845A36">
      <w:pPr>
        <w:pStyle w:val="FootnoteText"/>
        <w:jc w:val="both"/>
      </w:pPr>
      <w:r w:rsidRPr="00E97131">
        <w:rPr>
          <w:rStyle w:val="FootnoteReference"/>
        </w:rPr>
        <w:footnoteRef/>
      </w:r>
      <w:r w:rsidRPr="00E97131">
        <w:t xml:space="preserve"> </w:t>
      </w:r>
      <w:r w:rsidRPr="00E97131">
        <w:rPr>
          <w:iCs/>
        </w:rPr>
        <w:t>Noziedzīgi iegūtu līdzekļu legalizācijas un terorisma un proliferācijas finansēšanas novēršanas likuma pārejas noteikumu 3</w:t>
      </w:r>
      <w:r w:rsidR="007A15DA">
        <w:rPr>
          <w:iCs/>
        </w:rPr>
        <w:t>9</w:t>
      </w:r>
      <w:r w:rsidRPr="00E97131">
        <w:rPr>
          <w:iCs/>
        </w:rPr>
        <w:t>.punkts nosaka, ka regulējums attiecībā uz sliekšņa deklarāciju stājas spēkā 2019.gada 17.decembrī.</w:t>
      </w:r>
    </w:p>
  </w:footnote>
  <w:footnote w:id="2">
    <w:p w14:paraId="61CACBF8" w14:textId="77777777" w:rsidR="00BB4594" w:rsidRPr="00BB4594" w:rsidRDefault="00BB4594" w:rsidP="00BB4594">
      <w:pPr>
        <w:pStyle w:val="tv213"/>
        <w:shd w:val="clear" w:color="auto" w:fill="FFFFFF"/>
        <w:spacing w:before="0" w:beforeAutospacing="0" w:after="0" w:afterAutospacing="0"/>
        <w:jc w:val="both"/>
        <w:rPr>
          <w:color w:val="000000" w:themeColor="text1"/>
          <w:sz w:val="20"/>
          <w:szCs w:val="20"/>
        </w:rPr>
      </w:pPr>
      <w:r>
        <w:rPr>
          <w:rStyle w:val="FootnoteReference"/>
        </w:rPr>
        <w:footnoteRef/>
      </w:r>
      <w:r w:rsidRPr="00BB4594">
        <w:rPr>
          <w:color w:val="000000" w:themeColor="text1"/>
          <w:sz w:val="20"/>
          <w:szCs w:val="20"/>
        </w:rPr>
        <w:t xml:space="preserve">Piemēram: </w:t>
      </w:r>
    </w:p>
    <w:p w14:paraId="337AED2C" w14:textId="3BFFC568" w:rsidR="00BB4594" w:rsidRPr="00BB4594" w:rsidRDefault="00BB4594" w:rsidP="00BB4594">
      <w:pPr>
        <w:pStyle w:val="tv213"/>
        <w:shd w:val="clear" w:color="auto" w:fill="FFFFFF"/>
        <w:spacing w:before="0" w:beforeAutospacing="0" w:after="0" w:afterAutospacing="0"/>
        <w:jc w:val="both"/>
        <w:rPr>
          <w:color w:val="000000" w:themeColor="text1"/>
          <w:sz w:val="20"/>
          <w:szCs w:val="20"/>
        </w:rPr>
      </w:pPr>
      <w:r w:rsidRPr="00BB4594">
        <w:rPr>
          <w:color w:val="000000" w:themeColor="text1"/>
          <w:sz w:val="20"/>
          <w:szCs w:val="20"/>
        </w:rPr>
        <w:t>5.1.1. darījums, kurā piedalās klients, kas tiek turēts aizdomās par iesaistīšanos teroristiskās darbībās vai masveida iznīcināšanas ieroču izgatavošanā, glabāšanā, pārvietošanā, lietošanā vai izplatīšanā un par kuru informācija ir iekļauta Kontroles dienesta uzturētajā tīmekļvietnē http://sankcijas.kd.gov.lv;</w:t>
      </w:r>
    </w:p>
    <w:p w14:paraId="4693EAE5" w14:textId="3F9BA6EF" w:rsidR="00BB4594" w:rsidRPr="00BB4594" w:rsidRDefault="00BB4594" w:rsidP="00BB4594">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r w:rsidRPr="00BB4594">
        <w:rPr>
          <w:rFonts w:ascii="Times New Roman" w:eastAsia="Times New Roman" w:hAnsi="Times New Roman" w:cs="Times New Roman"/>
          <w:color w:val="000000" w:themeColor="text1"/>
          <w:sz w:val="20"/>
          <w:szCs w:val="20"/>
          <w:lang w:eastAsia="lv-LV"/>
        </w:rPr>
        <w:t>5.1.2. klients vai klienta patiesais labuma guvējs un tā veiktais darījums (tai skaitā līdzekļi, kas vēl nav iesaistīti darījumā vai tā mēģinājumā), par kuru klienta izpētes ietvaros konstatēta publiski pieejama negatīva rakstura informācija, kas liecina par tā iespējamu saistību ar noziedzīgi iegūtiem līdzekļiem vai to legalizēšanu vai ar terorismu vai tā finansēšanu;</w:t>
      </w:r>
    </w:p>
  </w:footnote>
  <w:footnote w:id="3">
    <w:p w14:paraId="08EF49CD" w14:textId="029E9FE2" w:rsidR="00D643B8" w:rsidRDefault="00D643B8">
      <w:pPr>
        <w:pStyle w:val="FootnoteText"/>
      </w:pPr>
      <w:r>
        <w:rPr>
          <w:rStyle w:val="FootnoteReference"/>
        </w:rPr>
        <w:footnoteRef/>
      </w:r>
      <w:r>
        <w:t xml:space="preserve"> Pieejams Finanšu izlūkošanas dienesta elektroniskajā vietnē: </w:t>
      </w:r>
      <w:r w:rsidRPr="008A5906">
        <w:t>http://www.kd.gov.lv/images/Downloads/useful/FINAL_kopsav_sektoralie_risku_nov_2019.pdf</w:t>
      </w:r>
    </w:p>
  </w:footnote>
  <w:footnote w:id="4">
    <w:p w14:paraId="50FA759A" w14:textId="25F85D90" w:rsidR="00CD0D17" w:rsidRDefault="00CD0D17" w:rsidP="00CD0D17">
      <w:pPr>
        <w:pStyle w:val="FootnoteText"/>
      </w:pPr>
      <w:r>
        <w:rPr>
          <w:rStyle w:val="FootnoteReference"/>
        </w:rPr>
        <w:footnoteRef/>
      </w:r>
      <w:r>
        <w:t xml:space="preserve"> Pieejams Finanšu izlūkošanas dienesta elektroniskajā vietnē: </w:t>
      </w:r>
      <w:r w:rsidRPr="008A5906">
        <w:t>http://www.kd.gov.lv/images/Downloads/useful/FINAL_kopsav_sektoralie_risku_nov_2019.pdf</w:t>
      </w:r>
    </w:p>
    <w:p w14:paraId="01744AC9" w14:textId="07C7B4F6" w:rsidR="00CD0D17" w:rsidRDefault="00CD0D17">
      <w:pPr>
        <w:pStyle w:val="FootnoteText"/>
      </w:pPr>
    </w:p>
  </w:footnote>
  <w:footnote w:id="5">
    <w:p w14:paraId="64047E0D" w14:textId="35A06657" w:rsidR="002946C7" w:rsidRDefault="002946C7">
      <w:pPr>
        <w:pStyle w:val="FootnoteText"/>
      </w:pPr>
      <w:r>
        <w:rPr>
          <w:rStyle w:val="FootnoteReference"/>
        </w:rPr>
        <w:footnoteRef/>
      </w:r>
      <w:r>
        <w:t xml:space="preserve"> Pieejams Finanšu izlūkošanas dienesta elektroniskajā vietnē: </w:t>
      </w:r>
      <w:r w:rsidRPr="008A5906">
        <w:t>http://www.kd.gov.lv/images/Downloads/useful/FINAL_kopsav_sektoralie_risku_nov_2019.pdf</w:t>
      </w:r>
    </w:p>
  </w:footnote>
  <w:footnote w:id="6">
    <w:p w14:paraId="7646751C" w14:textId="43243819" w:rsidR="0037600C" w:rsidRDefault="0037600C">
      <w:pPr>
        <w:pStyle w:val="FootnoteText"/>
      </w:pPr>
      <w:r>
        <w:rPr>
          <w:rStyle w:val="FootnoteReference"/>
        </w:rPr>
        <w:footnoteRef/>
      </w:r>
      <w:r>
        <w:t xml:space="preserve"> Pieejams Finanšu izlūkošanas dienesta elektroniskajā vietnē: </w:t>
      </w:r>
      <w:r w:rsidRPr="008A5906">
        <w:t>http://www.kd.gov.lv/images/Downloads/useful/FINAL_kopsav_sektoralie_risku_nov_2019.pdf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4362" w14:textId="795F0919" w:rsidR="00894C55" w:rsidRPr="00C25B49" w:rsidRDefault="0068731C">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8B5"/>
    <w:multiLevelType w:val="hybridMultilevel"/>
    <w:tmpl w:val="950EA02E"/>
    <w:lvl w:ilvl="0" w:tplc="DAC082FC">
      <w:start w:val="3"/>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9E7216A"/>
    <w:multiLevelType w:val="hybridMultilevel"/>
    <w:tmpl w:val="D6F02D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C84837"/>
    <w:multiLevelType w:val="hybridMultilevel"/>
    <w:tmpl w:val="91D41212"/>
    <w:lvl w:ilvl="0" w:tplc="5F9EC0D8">
      <w:start w:val="1"/>
      <w:numFmt w:val="decimal"/>
      <w:lvlText w:val="%1."/>
      <w:lvlJc w:val="left"/>
      <w:pPr>
        <w:ind w:left="360" w:hanging="360"/>
      </w:pPr>
      <w:rPr>
        <w:rFonts w:ascii="Times New Roman" w:eastAsia="Calibri" w:hAnsi="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C31B26"/>
    <w:multiLevelType w:val="hybridMultilevel"/>
    <w:tmpl w:val="FC666FC4"/>
    <w:lvl w:ilvl="0" w:tplc="3D10E882">
      <w:start w:val="1"/>
      <w:numFmt w:val="decimal"/>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35B16"/>
    <w:multiLevelType w:val="multilevel"/>
    <w:tmpl w:val="8B885EDA"/>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15:restartNumberingAfterBreak="0">
    <w:nsid w:val="5DBB2770"/>
    <w:multiLevelType w:val="hybridMultilevel"/>
    <w:tmpl w:val="C660F506"/>
    <w:lvl w:ilvl="0" w:tplc="6F904EA6">
      <w:start w:val="1"/>
      <w:numFmt w:val="decimal"/>
      <w:lvlText w:val="%1."/>
      <w:lvlJc w:val="left"/>
      <w:pPr>
        <w:ind w:left="720" w:hanging="360"/>
      </w:pPr>
      <w:rPr>
        <w:rFonts w:hint="default"/>
        <w:b w:val="0"/>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ED7AFF"/>
    <w:multiLevelType w:val="hybridMultilevel"/>
    <w:tmpl w:val="1E7C0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36"/>
    <w:rsid w:val="00023A5A"/>
    <w:rsid w:val="00033B5E"/>
    <w:rsid w:val="00043ADF"/>
    <w:rsid w:val="00061AF8"/>
    <w:rsid w:val="00063598"/>
    <w:rsid w:val="000907A1"/>
    <w:rsid w:val="00091D3F"/>
    <w:rsid w:val="00091F61"/>
    <w:rsid w:val="000B35E1"/>
    <w:rsid w:val="000D30D4"/>
    <w:rsid w:val="000D39D2"/>
    <w:rsid w:val="00103F4F"/>
    <w:rsid w:val="00161031"/>
    <w:rsid w:val="00177CB9"/>
    <w:rsid w:val="00185C6E"/>
    <w:rsid w:val="001F5384"/>
    <w:rsid w:val="0024739D"/>
    <w:rsid w:val="00263789"/>
    <w:rsid w:val="00290F21"/>
    <w:rsid w:val="002946C7"/>
    <w:rsid w:val="002A72D9"/>
    <w:rsid w:val="002B515C"/>
    <w:rsid w:val="002C7C1F"/>
    <w:rsid w:val="002F74C4"/>
    <w:rsid w:val="00304E55"/>
    <w:rsid w:val="00330244"/>
    <w:rsid w:val="0034408E"/>
    <w:rsid w:val="0037600C"/>
    <w:rsid w:val="00390D60"/>
    <w:rsid w:val="003F5E6B"/>
    <w:rsid w:val="00406D46"/>
    <w:rsid w:val="00433F32"/>
    <w:rsid w:val="00435A09"/>
    <w:rsid w:val="00467604"/>
    <w:rsid w:val="004A3DD2"/>
    <w:rsid w:val="004F3E34"/>
    <w:rsid w:val="005061B5"/>
    <w:rsid w:val="00540C77"/>
    <w:rsid w:val="00550E34"/>
    <w:rsid w:val="0055217C"/>
    <w:rsid w:val="0059556E"/>
    <w:rsid w:val="005D4559"/>
    <w:rsid w:val="0061453D"/>
    <w:rsid w:val="00633CE6"/>
    <w:rsid w:val="0068731C"/>
    <w:rsid w:val="0069768E"/>
    <w:rsid w:val="006A0344"/>
    <w:rsid w:val="006C237E"/>
    <w:rsid w:val="006D59BE"/>
    <w:rsid w:val="006F4780"/>
    <w:rsid w:val="006F5C1A"/>
    <w:rsid w:val="00730E59"/>
    <w:rsid w:val="007730FC"/>
    <w:rsid w:val="007A15DA"/>
    <w:rsid w:val="007F67D6"/>
    <w:rsid w:val="00845A36"/>
    <w:rsid w:val="00852821"/>
    <w:rsid w:val="00867902"/>
    <w:rsid w:val="00886AF3"/>
    <w:rsid w:val="008A5906"/>
    <w:rsid w:val="008B3461"/>
    <w:rsid w:val="008E2FC2"/>
    <w:rsid w:val="008F0074"/>
    <w:rsid w:val="00900BF7"/>
    <w:rsid w:val="00914790"/>
    <w:rsid w:val="0092341F"/>
    <w:rsid w:val="00967D27"/>
    <w:rsid w:val="00983840"/>
    <w:rsid w:val="00987B27"/>
    <w:rsid w:val="009D6997"/>
    <w:rsid w:val="00A13A1E"/>
    <w:rsid w:val="00A238BA"/>
    <w:rsid w:val="00A41DC0"/>
    <w:rsid w:val="00A60766"/>
    <w:rsid w:val="00A71A5E"/>
    <w:rsid w:val="00AC4C0F"/>
    <w:rsid w:val="00AC7BD5"/>
    <w:rsid w:val="00B1177B"/>
    <w:rsid w:val="00B125DB"/>
    <w:rsid w:val="00B2624D"/>
    <w:rsid w:val="00B61AC3"/>
    <w:rsid w:val="00BB282B"/>
    <w:rsid w:val="00BB4594"/>
    <w:rsid w:val="00BD2DD2"/>
    <w:rsid w:val="00BE11E0"/>
    <w:rsid w:val="00BE2900"/>
    <w:rsid w:val="00BF31AB"/>
    <w:rsid w:val="00C172AE"/>
    <w:rsid w:val="00C4705D"/>
    <w:rsid w:val="00C70E04"/>
    <w:rsid w:val="00CA2944"/>
    <w:rsid w:val="00CC2B0B"/>
    <w:rsid w:val="00CD0D17"/>
    <w:rsid w:val="00D2287F"/>
    <w:rsid w:val="00D43199"/>
    <w:rsid w:val="00D63857"/>
    <w:rsid w:val="00D643B8"/>
    <w:rsid w:val="00D9378B"/>
    <w:rsid w:val="00DE2294"/>
    <w:rsid w:val="00DE4624"/>
    <w:rsid w:val="00DE48FD"/>
    <w:rsid w:val="00DF12B1"/>
    <w:rsid w:val="00E10D17"/>
    <w:rsid w:val="00E12384"/>
    <w:rsid w:val="00E16E3A"/>
    <w:rsid w:val="00E21E7B"/>
    <w:rsid w:val="00E45B54"/>
    <w:rsid w:val="00EB1169"/>
    <w:rsid w:val="00ED3EF9"/>
    <w:rsid w:val="00EE07B3"/>
    <w:rsid w:val="00EE27A4"/>
    <w:rsid w:val="00EE7A26"/>
    <w:rsid w:val="00EF60F9"/>
    <w:rsid w:val="00F262EE"/>
    <w:rsid w:val="00F4663D"/>
    <w:rsid w:val="00F53906"/>
    <w:rsid w:val="00F91DC7"/>
    <w:rsid w:val="00FC66C7"/>
    <w:rsid w:val="00FE1C85"/>
    <w:rsid w:val="00FE7213"/>
    <w:rsid w:val="00FF0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74003"/>
  <w15:chartTrackingRefBased/>
  <w15:docId w15:val="{6A1B1955-9959-4D48-8E08-75A2F442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A36"/>
    <w:rPr>
      <w:color w:val="0000FF"/>
      <w:u w:val="single"/>
    </w:rPr>
  </w:style>
  <w:style w:type="paragraph" w:styleId="Header">
    <w:name w:val="header"/>
    <w:basedOn w:val="Normal"/>
    <w:link w:val="HeaderChar"/>
    <w:uiPriority w:val="99"/>
    <w:unhideWhenUsed/>
    <w:rsid w:val="00845A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5A36"/>
  </w:style>
  <w:style w:type="paragraph" w:styleId="ListParagraph">
    <w:name w:val="List Paragraph"/>
    <w:aliases w:val="2,Strip,H&amp;P List Paragraph"/>
    <w:basedOn w:val="Normal"/>
    <w:link w:val="ListParagraphChar"/>
    <w:uiPriority w:val="34"/>
    <w:qFormat/>
    <w:rsid w:val="00845A36"/>
    <w:pPr>
      <w:ind w:left="720"/>
      <w:contextualSpacing/>
    </w:pPr>
  </w:style>
  <w:style w:type="character" w:styleId="CommentReference">
    <w:name w:val="annotation reference"/>
    <w:basedOn w:val="DefaultParagraphFont"/>
    <w:uiPriority w:val="99"/>
    <w:semiHidden/>
    <w:unhideWhenUsed/>
    <w:rsid w:val="00845A36"/>
    <w:rPr>
      <w:sz w:val="16"/>
      <w:szCs w:val="16"/>
    </w:rPr>
  </w:style>
  <w:style w:type="paragraph" w:styleId="CommentText">
    <w:name w:val="annotation text"/>
    <w:basedOn w:val="Normal"/>
    <w:link w:val="CommentTextChar"/>
    <w:uiPriority w:val="99"/>
    <w:unhideWhenUsed/>
    <w:rsid w:val="00845A36"/>
    <w:pPr>
      <w:spacing w:line="240" w:lineRule="auto"/>
    </w:pPr>
    <w:rPr>
      <w:sz w:val="20"/>
      <w:szCs w:val="20"/>
    </w:rPr>
  </w:style>
  <w:style w:type="character" w:customStyle="1" w:styleId="CommentTextChar">
    <w:name w:val="Comment Text Char"/>
    <w:basedOn w:val="DefaultParagraphFont"/>
    <w:link w:val="CommentText"/>
    <w:uiPriority w:val="99"/>
    <w:rsid w:val="00845A36"/>
    <w:rPr>
      <w:sz w:val="20"/>
      <w:szCs w:val="20"/>
    </w:rPr>
  </w:style>
  <w:style w:type="paragraph" w:customStyle="1" w:styleId="tv213">
    <w:name w:val="tv213"/>
    <w:basedOn w:val="Normal"/>
    <w:rsid w:val="00845A3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
    <w:basedOn w:val="Normal"/>
    <w:link w:val="FootnoteTextChar"/>
    <w:uiPriority w:val="99"/>
    <w:rsid w:val="00845A36"/>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w:basedOn w:val="DefaultParagraphFont"/>
    <w:link w:val="FootnoteText"/>
    <w:uiPriority w:val="99"/>
    <w:rsid w:val="00845A36"/>
    <w:rPr>
      <w:rFonts w:ascii="Times New Roman" w:eastAsia="Times New Roman" w:hAnsi="Times New Roman" w:cs="Times New Roman"/>
      <w:sz w:val="20"/>
      <w:szCs w:val="20"/>
      <w:lang w:eastAsia="lv-LV"/>
    </w:rPr>
  </w:style>
  <w:style w:type="character" w:styleId="FootnoteReference">
    <w:name w:val="footnote reference"/>
    <w:aliases w:val="Footnote Reference Number"/>
    <w:uiPriority w:val="99"/>
    <w:rsid w:val="00845A36"/>
    <w:rPr>
      <w:vertAlign w:val="superscript"/>
    </w:rPr>
  </w:style>
  <w:style w:type="paragraph" w:styleId="NormalWeb">
    <w:name w:val="Normal (Web)"/>
    <w:basedOn w:val="Normal"/>
    <w:uiPriority w:val="99"/>
    <w:rsid w:val="00845A36"/>
    <w:pPr>
      <w:spacing w:before="75" w:after="75" w:line="240" w:lineRule="auto"/>
      <w:ind w:firstLine="375"/>
      <w:jc w:val="both"/>
    </w:pPr>
    <w:rPr>
      <w:rFonts w:ascii="Times New Roman" w:eastAsia="SimSun" w:hAnsi="Times New Roman" w:cs="Times New Roman"/>
      <w:sz w:val="24"/>
      <w:szCs w:val="24"/>
      <w:lang w:eastAsia="zh-CN"/>
    </w:rPr>
  </w:style>
  <w:style w:type="character" w:customStyle="1" w:styleId="ListParagraphChar">
    <w:name w:val="List Paragraph Char"/>
    <w:aliases w:val="2 Char,Strip Char,H&amp;P List Paragraph Char"/>
    <w:link w:val="ListParagraph"/>
    <w:uiPriority w:val="34"/>
    <w:locked/>
    <w:rsid w:val="00845A36"/>
  </w:style>
  <w:style w:type="paragraph" w:customStyle="1" w:styleId="naisf">
    <w:name w:val="naisf"/>
    <w:basedOn w:val="Normal"/>
    <w:rsid w:val="00845A3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45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A36"/>
    <w:rPr>
      <w:rFonts w:ascii="Segoe UI" w:hAnsi="Segoe UI" w:cs="Segoe UI"/>
      <w:sz w:val="18"/>
      <w:szCs w:val="18"/>
    </w:rPr>
  </w:style>
  <w:style w:type="paragraph" w:styleId="Footer">
    <w:name w:val="footer"/>
    <w:basedOn w:val="Normal"/>
    <w:link w:val="FooterChar"/>
    <w:uiPriority w:val="99"/>
    <w:unhideWhenUsed/>
    <w:rsid w:val="00BB45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4594"/>
  </w:style>
  <w:style w:type="character" w:customStyle="1" w:styleId="UnresolvedMention1">
    <w:name w:val="Unresolved Mention1"/>
    <w:basedOn w:val="DefaultParagraphFont"/>
    <w:uiPriority w:val="99"/>
    <w:semiHidden/>
    <w:unhideWhenUsed/>
    <w:rsid w:val="00D643B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4408E"/>
    <w:rPr>
      <w:b/>
      <w:bCs/>
    </w:rPr>
  </w:style>
  <w:style w:type="character" w:customStyle="1" w:styleId="CommentSubjectChar">
    <w:name w:val="Comment Subject Char"/>
    <w:basedOn w:val="CommentTextChar"/>
    <w:link w:val="CommentSubject"/>
    <w:uiPriority w:val="99"/>
    <w:semiHidden/>
    <w:rsid w:val="00344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35671">
      <w:bodyDiv w:val="1"/>
      <w:marLeft w:val="0"/>
      <w:marRight w:val="0"/>
      <w:marTop w:val="0"/>
      <w:marBottom w:val="0"/>
      <w:divBdr>
        <w:top w:val="none" w:sz="0" w:space="0" w:color="auto"/>
        <w:left w:val="none" w:sz="0" w:space="0" w:color="auto"/>
        <w:bottom w:val="none" w:sz="0" w:space="0" w:color="auto"/>
        <w:right w:val="none" w:sz="0" w:space="0" w:color="auto"/>
      </w:divBdr>
    </w:div>
    <w:div w:id="855079205">
      <w:bodyDiv w:val="1"/>
      <w:marLeft w:val="0"/>
      <w:marRight w:val="0"/>
      <w:marTop w:val="0"/>
      <w:marBottom w:val="0"/>
      <w:divBdr>
        <w:top w:val="none" w:sz="0" w:space="0" w:color="auto"/>
        <w:left w:val="none" w:sz="0" w:space="0" w:color="auto"/>
        <w:bottom w:val="none" w:sz="0" w:space="0" w:color="auto"/>
        <w:right w:val="none" w:sz="0" w:space="0" w:color="auto"/>
      </w:divBdr>
    </w:div>
    <w:div w:id="1045132814">
      <w:bodyDiv w:val="1"/>
      <w:marLeft w:val="0"/>
      <w:marRight w:val="0"/>
      <w:marTop w:val="0"/>
      <w:marBottom w:val="0"/>
      <w:divBdr>
        <w:top w:val="none" w:sz="0" w:space="0" w:color="auto"/>
        <w:left w:val="none" w:sz="0" w:space="0" w:color="auto"/>
        <w:bottom w:val="none" w:sz="0" w:space="0" w:color="auto"/>
        <w:right w:val="none" w:sz="0" w:space="0" w:color="auto"/>
      </w:divBdr>
    </w:div>
    <w:div w:id="1574705641">
      <w:bodyDiv w:val="1"/>
      <w:marLeft w:val="0"/>
      <w:marRight w:val="0"/>
      <w:marTop w:val="0"/>
      <w:marBottom w:val="0"/>
      <w:divBdr>
        <w:top w:val="none" w:sz="0" w:space="0" w:color="auto"/>
        <w:left w:val="none" w:sz="0" w:space="0" w:color="auto"/>
        <w:bottom w:val="none" w:sz="0" w:space="0" w:color="auto"/>
        <w:right w:val="none" w:sz="0" w:space="0" w:color="auto"/>
      </w:divBdr>
    </w:div>
    <w:div w:id="18905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171F-087B-4FCD-9230-38718E66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14922</Words>
  <Characters>8507</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Ministru kabineta noteikumu projekta "Noteikumi par sliekšņa deklarācijas iesniegšanas kārtību un saturu" sākotnējās ietekmes novērtējuma ziņojums</vt:lpstr>
    </vt:vector>
  </TitlesOfParts>
  <Company>Finanšu ministrija</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sliekšņa deklarācijas iesniegšanas kārtību un saturu" sākotnējās ietekmes novērtējuma ziņojums</dc:title>
  <dc:subject>Anotācija</dc:subject>
  <dc:creator>Dina Buse</dc:creator>
  <cp:keywords/>
  <dc:description>67095535, Dina.Buse@fm.gov.lv</dc:description>
  <cp:lastModifiedBy>Baiba Zvirgzdiņa</cp:lastModifiedBy>
  <cp:revision>28</cp:revision>
  <dcterms:created xsi:type="dcterms:W3CDTF">2019-08-20T07:18:00Z</dcterms:created>
  <dcterms:modified xsi:type="dcterms:W3CDTF">2019-08-22T07:06:00Z</dcterms:modified>
</cp:coreProperties>
</file>