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4CDD1" w14:textId="77777777" w:rsidR="009C2DAF" w:rsidRPr="005A4D04" w:rsidRDefault="009C2DAF" w:rsidP="009C2DAF">
      <w:pPr>
        <w:pStyle w:val="naislab"/>
        <w:spacing w:before="0" w:after="0"/>
        <w:ind w:firstLine="720"/>
      </w:pPr>
      <w:r w:rsidRPr="005A4D04">
        <w:t>4.pielikums</w:t>
      </w:r>
    </w:p>
    <w:p w14:paraId="7078C522" w14:textId="77777777" w:rsidR="009C2DAF" w:rsidRPr="005A4D04" w:rsidRDefault="009C2DAF" w:rsidP="009C2DAF">
      <w:pPr>
        <w:pStyle w:val="naislab"/>
        <w:spacing w:before="0" w:after="0"/>
        <w:ind w:firstLine="720"/>
      </w:pPr>
      <w:r w:rsidRPr="005A4D04">
        <w:t>Ministru kabineta</w:t>
      </w:r>
    </w:p>
    <w:p w14:paraId="642F8D14" w14:textId="77777777" w:rsidR="009C2DAF" w:rsidRPr="005A4D04" w:rsidRDefault="009C2DAF" w:rsidP="009C2DAF">
      <w:pPr>
        <w:pStyle w:val="naislab"/>
        <w:spacing w:before="0" w:after="0"/>
        <w:ind w:firstLine="720"/>
      </w:pPr>
      <w:r w:rsidRPr="005A4D04">
        <w:t>2009.gada 7.aprīļa</w:t>
      </w:r>
    </w:p>
    <w:p w14:paraId="0F442F7B" w14:textId="77777777" w:rsidR="009C2DAF" w:rsidRPr="005A4D04" w:rsidRDefault="009C2DAF" w:rsidP="009C2DAF">
      <w:pPr>
        <w:pStyle w:val="naislab"/>
        <w:spacing w:before="0" w:after="0"/>
        <w:ind w:firstLine="720"/>
      </w:pPr>
      <w:r w:rsidRPr="005A4D04">
        <w:t>noteikumiem Nr.300</w:t>
      </w:r>
    </w:p>
    <w:p w14:paraId="45DE34C9" w14:textId="77777777" w:rsidR="009C2DAF" w:rsidRPr="00712B66" w:rsidRDefault="009C2DAF" w:rsidP="009C2DAF">
      <w:pPr>
        <w:pStyle w:val="naislab"/>
        <w:spacing w:before="0" w:after="0"/>
        <w:ind w:firstLine="720"/>
        <w:rPr>
          <w:sz w:val="28"/>
          <w:szCs w:val="28"/>
        </w:rPr>
      </w:pPr>
      <w:r w:rsidRPr="00712B66">
        <w:rPr>
          <w:sz w:val="28"/>
          <w:szCs w:val="28"/>
        </w:rPr>
        <w:t> </w:t>
      </w:r>
    </w:p>
    <w:p w14:paraId="789BD836" w14:textId="77777777" w:rsidR="009C2DAF" w:rsidRPr="00810B6F" w:rsidRDefault="009C2DAF" w:rsidP="009C2DAF">
      <w:pPr>
        <w:pStyle w:val="naisnod"/>
        <w:spacing w:before="0" w:after="0"/>
        <w:ind w:firstLine="720"/>
      </w:pPr>
      <w:r w:rsidRPr="00810B6F">
        <w:t>Izziņa par atzinumos sniegtajiem iebildumiem</w:t>
      </w:r>
    </w:p>
    <w:tbl>
      <w:tblPr>
        <w:tblW w:w="0" w:type="auto"/>
        <w:jc w:val="center"/>
        <w:tblLook w:val="00A0" w:firstRow="1" w:lastRow="0" w:firstColumn="1" w:lastColumn="0" w:noHBand="0" w:noVBand="0"/>
      </w:tblPr>
      <w:tblGrid>
        <w:gridCol w:w="12268"/>
      </w:tblGrid>
      <w:tr w:rsidR="009C2DAF" w:rsidRPr="00810B6F" w14:paraId="7959BC62" w14:textId="77777777" w:rsidTr="00557296">
        <w:trPr>
          <w:jc w:val="center"/>
        </w:trPr>
        <w:tc>
          <w:tcPr>
            <w:tcW w:w="12268" w:type="dxa"/>
            <w:tcBorders>
              <w:bottom w:val="single" w:sz="6" w:space="0" w:color="000000"/>
            </w:tcBorders>
          </w:tcPr>
          <w:p w14:paraId="0DC27D9E" w14:textId="774FB071" w:rsidR="009C2DAF" w:rsidRPr="00100123" w:rsidRDefault="00B22E7F" w:rsidP="009C2DAF">
            <w:pPr>
              <w:shd w:val="clear" w:color="auto" w:fill="FFFFFF"/>
              <w:jc w:val="center"/>
              <w:rPr>
                <w:b/>
                <w:bCs/>
              </w:rPr>
            </w:pPr>
            <w:r>
              <w:rPr>
                <w:b/>
              </w:rPr>
              <w:t>M</w:t>
            </w:r>
            <w:r w:rsidR="009C2DAF">
              <w:rPr>
                <w:b/>
              </w:rPr>
              <w:t xml:space="preserve">inistru kabineta noteikumu projektam </w:t>
            </w:r>
            <w:bookmarkStart w:id="0" w:name="_Hlk13664824"/>
            <w:bookmarkStart w:id="1" w:name="_Hlk14078205"/>
            <w:r w:rsidR="009C2DAF">
              <w:rPr>
                <w:b/>
              </w:rPr>
              <w:t>„</w:t>
            </w:r>
            <w:r w:rsidR="009C2DAF" w:rsidRPr="0036572B">
              <w:rPr>
                <w:b/>
                <w:bCs/>
                <w:color w:val="000000" w:themeColor="text1"/>
              </w:rPr>
              <w:t xml:space="preserve">Noteikumi par </w:t>
            </w:r>
            <w:r w:rsidR="009C2DAF">
              <w:rPr>
                <w:b/>
                <w:bCs/>
                <w:color w:val="000000" w:themeColor="text1"/>
              </w:rPr>
              <w:t>kārtību, kādā sniedzami ziņojumi par aizdomīgiem darījumiem</w:t>
            </w:r>
            <w:bookmarkEnd w:id="0"/>
            <w:bookmarkEnd w:id="1"/>
            <w:r w:rsidR="009C2DAF" w:rsidRPr="00810B6F">
              <w:rPr>
                <w:b/>
                <w:bCs/>
              </w:rPr>
              <w:t>”</w:t>
            </w:r>
          </w:p>
        </w:tc>
      </w:tr>
    </w:tbl>
    <w:p w14:paraId="029CFF54" w14:textId="77777777" w:rsidR="009C2DAF" w:rsidRPr="00712B66" w:rsidRDefault="009C2DAF" w:rsidP="006F121D">
      <w:pPr>
        <w:pStyle w:val="naisc"/>
        <w:spacing w:before="0" w:after="0"/>
      </w:pPr>
      <w:r w:rsidRPr="00712B66">
        <w:t>(dokumenta veids un nosaukums)</w:t>
      </w:r>
    </w:p>
    <w:p w14:paraId="5BFBF994" w14:textId="77777777" w:rsidR="009C2DAF" w:rsidRPr="00712B66" w:rsidRDefault="009C2DAF" w:rsidP="009C2DAF">
      <w:pPr>
        <w:pStyle w:val="naisf"/>
        <w:spacing w:before="0" w:after="0"/>
        <w:ind w:firstLine="0"/>
      </w:pPr>
    </w:p>
    <w:p w14:paraId="2BE26F16" w14:textId="77777777" w:rsidR="009C2DAF" w:rsidRPr="00712B66" w:rsidRDefault="009C2DAF" w:rsidP="009C2DAF">
      <w:pPr>
        <w:pStyle w:val="naisf"/>
        <w:spacing w:before="0" w:after="0"/>
        <w:ind w:firstLine="0"/>
        <w:rPr>
          <w:b/>
        </w:rPr>
      </w:pPr>
      <w:r w:rsidRPr="00712B66">
        <w:rPr>
          <w:b/>
        </w:rPr>
        <w:t>Informācija par starpministriju (starpinstitūciju) sanāksmi vai elektronisko saskaņošanu</w:t>
      </w:r>
    </w:p>
    <w:p w14:paraId="28CC6FB1" w14:textId="77777777" w:rsidR="009C2DAF" w:rsidRPr="00712B66" w:rsidRDefault="009C2DAF" w:rsidP="009C2DAF">
      <w:pPr>
        <w:pStyle w:val="naisf"/>
        <w:spacing w:before="0" w:after="0"/>
        <w:ind w:firstLine="0"/>
        <w:rPr>
          <w:b/>
        </w:rPr>
      </w:pPr>
    </w:p>
    <w:tbl>
      <w:tblPr>
        <w:tblW w:w="12582" w:type="dxa"/>
        <w:tblLook w:val="00A0" w:firstRow="1" w:lastRow="0" w:firstColumn="1" w:lastColumn="0" w:noHBand="0" w:noVBand="0"/>
      </w:tblPr>
      <w:tblGrid>
        <w:gridCol w:w="6345"/>
        <w:gridCol w:w="6237"/>
      </w:tblGrid>
      <w:tr w:rsidR="009C2DAF" w:rsidRPr="00712B66" w14:paraId="61C2C705" w14:textId="77777777" w:rsidTr="00557296">
        <w:tc>
          <w:tcPr>
            <w:tcW w:w="6345" w:type="dxa"/>
          </w:tcPr>
          <w:p w14:paraId="45E5A4D4" w14:textId="77777777" w:rsidR="009C2DAF" w:rsidRPr="00712B66" w:rsidRDefault="009C2DAF" w:rsidP="00557296">
            <w:pPr>
              <w:pStyle w:val="naisf"/>
              <w:spacing w:before="0" w:after="0"/>
              <w:ind w:firstLine="0"/>
            </w:pPr>
            <w:r w:rsidRPr="00712B66">
              <w:t>Datums</w:t>
            </w:r>
          </w:p>
        </w:tc>
        <w:tc>
          <w:tcPr>
            <w:tcW w:w="6237" w:type="dxa"/>
            <w:tcBorders>
              <w:bottom w:val="single" w:sz="4" w:space="0" w:color="auto"/>
            </w:tcBorders>
          </w:tcPr>
          <w:p w14:paraId="15F13674" w14:textId="3C08FA61" w:rsidR="009C2DAF" w:rsidRPr="00712B66" w:rsidRDefault="009C2DAF" w:rsidP="00557296">
            <w:pPr>
              <w:pStyle w:val="NormalWeb"/>
              <w:spacing w:before="0" w:beforeAutospacing="0" w:after="0" w:afterAutospacing="0"/>
              <w:jc w:val="both"/>
            </w:pPr>
            <w:r w:rsidRPr="00CE5808">
              <w:rPr>
                <w:color w:val="000000" w:themeColor="text1"/>
              </w:rPr>
              <w:t xml:space="preserve">2019.gada </w:t>
            </w:r>
            <w:r>
              <w:rPr>
                <w:color w:val="000000" w:themeColor="text1"/>
              </w:rPr>
              <w:t>8</w:t>
            </w:r>
            <w:r w:rsidRPr="00CE5808">
              <w:rPr>
                <w:color w:val="000000" w:themeColor="text1"/>
              </w:rPr>
              <w:t>.</w:t>
            </w:r>
            <w:r>
              <w:rPr>
                <w:color w:val="000000" w:themeColor="text1"/>
              </w:rPr>
              <w:t>augustā</w:t>
            </w:r>
            <w:r w:rsidR="00A9339C">
              <w:rPr>
                <w:color w:val="000000" w:themeColor="text1"/>
              </w:rPr>
              <w:t>, 2019.gada 16</w:t>
            </w:r>
            <w:r w:rsidR="004229BA">
              <w:rPr>
                <w:color w:val="000000" w:themeColor="text1"/>
              </w:rPr>
              <w:t>.augustā</w:t>
            </w:r>
            <w:r w:rsidRPr="00CE5808">
              <w:rPr>
                <w:color w:val="000000" w:themeColor="text1"/>
              </w:rPr>
              <w:t xml:space="preserve"> (elektroniskā saskaņošana pirms virzības saskaņošanai Ministru kabineta sēdē)</w:t>
            </w:r>
          </w:p>
        </w:tc>
      </w:tr>
      <w:tr w:rsidR="009C2DAF" w:rsidRPr="00712B66" w14:paraId="24BD5234" w14:textId="77777777" w:rsidTr="00557296">
        <w:tc>
          <w:tcPr>
            <w:tcW w:w="6345" w:type="dxa"/>
          </w:tcPr>
          <w:p w14:paraId="085A0494" w14:textId="77777777" w:rsidR="009C2DAF" w:rsidRPr="00712B66" w:rsidRDefault="009C2DAF" w:rsidP="00557296">
            <w:pPr>
              <w:pStyle w:val="naisf"/>
              <w:spacing w:before="0" w:after="0"/>
              <w:ind w:firstLine="0"/>
            </w:pPr>
          </w:p>
        </w:tc>
        <w:tc>
          <w:tcPr>
            <w:tcW w:w="6237" w:type="dxa"/>
            <w:tcBorders>
              <w:top w:val="single" w:sz="4" w:space="0" w:color="auto"/>
            </w:tcBorders>
          </w:tcPr>
          <w:p w14:paraId="006E5B9D" w14:textId="77777777" w:rsidR="009C2DAF" w:rsidRPr="00712B66" w:rsidRDefault="009C2DAF" w:rsidP="00557296">
            <w:pPr>
              <w:pStyle w:val="NormalWeb"/>
              <w:spacing w:before="0" w:beforeAutospacing="0" w:after="0" w:afterAutospacing="0"/>
            </w:pPr>
          </w:p>
        </w:tc>
      </w:tr>
      <w:tr w:rsidR="009C2DAF" w:rsidRPr="00712B66" w14:paraId="25362F9F" w14:textId="77777777" w:rsidTr="00557296">
        <w:tc>
          <w:tcPr>
            <w:tcW w:w="6345" w:type="dxa"/>
          </w:tcPr>
          <w:p w14:paraId="0E076944" w14:textId="77777777" w:rsidR="009C2DAF" w:rsidRPr="00712B66" w:rsidRDefault="009C2DAF" w:rsidP="00557296">
            <w:pPr>
              <w:pStyle w:val="naiskr"/>
              <w:spacing w:before="0" w:after="0"/>
            </w:pPr>
            <w:r>
              <w:t>Saskaņošanas d</w:t>
            </w:r>
            <w:r w:rsidRPr="00712B66">
              <w:t>alībnieki</w:t>
            </w:r>
          </w:p>
        </w:tc>
        <w:tc>
          <w:tcPr>
            <w:tcW w:w="6237" w:type="dxa"/>
          </w:tcPr>
          <w:p w14:paraId="216B1CA2" w14:textId="03B7F45C" w:rsidR="009C2DAF" w:rsidRPr="00712B66" w:rsidRDefault="009C2DAF" w:rsidP="00A80BA8">
            <w:pPr>
              <w:jc w:val="both"/>
            </w:pPr>
            <w:r w:rsidRPr="007D6B81">
              <w:rPr>
                <w:bCs/>
              </w:rPr>
              <w:t xml:space="preserve">Tieslietu ministrija, Ārlietu ministrija, Iekšlietu ministrija, Ekonomikas ministrija, Kultūras ministrija, Ģenerālprokuratūra, Finanšu izlūkošanas dienests, Finanšu un kapitāla tirgus komisija, Latvijas Zvērinātu advokātu padome, Latvijas Zvērinātu notāru padome, Latvijas Zvērinātu revidentu asociācija, Latvijas Banka, Izložu un azartspēļu uzraudzības inspekcija, Nacionālā kultūras mantojuma pārvalde, Patērētāju tiesību aizsardzības centrs, Latvijas Finanšu nozares asociācija, Latvijas Maksājumu pakalpojumu un elektroniskās naudas iestāžu asociācija, Latvijas Alternatīvo finanšu pakalpojumu asociācija, Latvijas Darba devēju konfederācija, Latvijas Apdrošinātāju asociācija, Latvijas Tirdzniecības un rūpniecības kamera, Latvijas Privātā un Riska kapitāla asociācija, Latvijas Līzinga devēju asociācija, Biedrība “Latvijas Spēļu biznesa asociācija”, Latvijas Republikas Grāmatvežu asociācija, Latvijas Apdrošināšanas brokeru </w:t>
            </w:r>
            <w:r w:rsidRPr="007D6B81">
              <w:rPr>
                <w:bCs/>
              </w:rPr>
              <w:lastRenderedPageBreak/>
              <w:t>asociācija, Latvijas Kooperatīvo krājaizdevu sabiedrību savienība</w:t>
            </w:r>
          </w:p>
        </w:tc>
      </w:tr>
    </w:tbl>
    <w:p w14:paraId="2ACDA627" w14:textId="77777777" w:rsidR="009C2DAF" w:rsidRDefault="009C2DAF" w:rsidP="009C2DAF"/>
    <w:tbl>
      <w:tblPr>
        <w:tblW w:w="12582" w:type="dxa"/>
        <w:tblLook w:val="00A0" w:firstRow="1" w:lastRow="0" w:firstColumn="1" w:lastColumn="0" w:noHBand="0" w:noVBand="0"/>
      </w:tblPr>
      <w:tblGrid>
        <w:gridCol w:w="6708"/>
        <w:gridCol w:w="840"/>
        <w:gridCol w:w="5034"/>
      </w:tblGrid>
      <w:tr w:rsidR="009C2DAF" w:rsidRPr="00712B66" w14:paraId="0743893F" w14:textId="77777777" w:rsidTr="00557296">
        <w:trPr>
          <w:trHeight w:val="285"/>
        </w:trPr>
        <w:tc>
          <w:tcPr>
            <w:tcW w:w="6708" w:type="dxa"/>
          </w:tcPr>
          <w:p w14:paraId="2E6BF345" w14:textId="77777777" w:rsidR="009C2DAF" w:rsidRPr="00712B66" w:rsidRDefault="009C2DAF" w:rsidP="00557296">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14:paraId="7E607461" w14:textId="77777777" w:rsidR="009C2DAF" w:rsidRPr="00712B66" w:rsidRDefault="009C2DAF" w:rsidP="00557296">
            <w:pPr>
              <w:pStyle w:val="naiskr"/>
              <w:spacing w:before="0" w:after="0"/>
              <w:ind w:firstLine="720"/>
            </w:pPr>
          </w:p>
        </w:tc>
        <w:tc>
          <w:tcPr>
            <w:tcW w:w="5034" w:type="dxa"/>
          </w:tcPr>
          <w:p w14:paraId="555DB708" w14:textId="197137D8" w:rsidR="009C2DAF" w:rsidRPr="00D269F5" w:rsidRDefault="009C2DAF" w:rsidP="00557296">
            <w:pPr>
              <w:pStyle w:val="naiskr"/>
              <w:spacing w:before="0" w:after="0"/>
              <w:jc w:val="both"/>
              <w:rPr>
                <w:color w:val="FF0000"/>
              </w:rPr>
            </w:pPr>
            <w:r>
              <w:rPr>
                <w:bCs/>
              </w:rPr>
              <w:t>Tieslietu ministrija</w:t>
            </w:r>
          </w:p>
        </w:tc>
      </w:tr>
      <w:tr w:rsidR="009C2DAF" w:rsidRPr="00712B66" w14:paraId="05136AA8" w14:textId="77777777" w:rsidTr="00557296">
        <w:trPr>
          <w:trHeight w:val="465"/>
        </w:trPr>
        <w:tc>
          <w:tcPr>
            <w:tcW w:w="12582" w:type="dxa"/>
            <w:gridSpan w:val="3"/>
          </w:tcPr>
          <w:p w14:paraId="44F4F979" w14:textId="77777777" w:rsidR="009C2DAF" w:rsidRPr="00712B66" w:rsidRDefault="009C2DAF" w:rsidP="00557296">
            <w:pPr>
              <w:pStyle w:val="naisc"/>
              <w:spacing w:before="0" w:after="0"/>
              <w:jc w:val="left"/>
            </w:pPr>
            <w:bookmarkStart w:id="2" w:name="_GoBack"/>
            <w:bookmarkEnd w:id="2"/>
          </w:p>
        </w:tc>
      </w:tr>
      <w:tr w:rsidR="009C2DAF" w:rsidRPr="00712B66" w14:paraId="19601EF6" w14:textId="77777777" w:rsidTr="00557296">
        <w:tc>
          <w:tcPr>
            <w:tcW w:w="6708" w:type="dxa"/>
          </w:tcPr>
          <w:p w14:paraId="54EF5E63" w14:textId="77777777" w:rsidR="009C2DAF" w:rsidRPr="00712B66" w:rsidRDefault="009C2DAF" w:rsidP="00557296">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7E04CE02" w14:textId="77777777" w:rsidR="009C2DAF" w:rsidRPr="00712B66" w:rsidRDefault="009C2DAF" w:rsidP="00557296">
            <w:pPr>
              <w:pStyle w:val="naiskr"/>
              <w:spacing w:before="0" w:after="0"/>
              <w:jc w:val="center"/>
            </w:pPr>
            <w:r>
              <w:t>-</w:t>
            </w:r>
          </w:p>
        </w:tc>
      </w:tr>
    </w:tbl>
    <w:p w14:paraId="17907D24" w14:textId="77777777" w:rsidR="009C2DAF" w:rsidRPr="00712B66" w:rsidRDefault="009C2DAF" w:rsidP="009C2DAF">
      <w:pPr>
        <w:pStyle w:val="naisf"/>
        <w:spacing w:before="0" w:after="0"/>
        <w:ind w:firstLine="0"/>
      </w:pPr>
    </w:p>
    <w:p w14:paraId="1D1D8348" w14:textId="77777777" w:rsidR="009C2DAF" w:rsidRPr="00712B66" w:rsidRDefault="009C2DAF" w:rsidP="009C2DAF">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10421349" w14:textId="77777777" w:rsidR="009C2DAF" w:rsidRPr="00712B66" w:rsidRDefault="009C2DAF" w:rsidP="009C2DAF">
      <w:pPr>
        <w:pStyle w:val="naisf"/>
        <w:spacing w:before="0" w:after="0"/>
        <w:ind w:firstLine="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49"/>
        <w:gridCol w:w="428"/>
        <w:gridCol w:w="3260"/>
        <w:gridCol w:w="2491"/>
        <w:gridCol w:w="1053"/>
        <w:gridCol w:w="3969"/>
      </w:tblGrid>
      <w:tr w:rsidR="009C2DAF" w:rsidRPr="00104C26" w14:paraId="1BBF294A" w14:textId="77777777" w:rsidTr="00557296">
        <w:tc>
          <w:tcPr>
            <w:tcW w:w="559" w:type="dxa"/>
            <w:tcBorders>
              <w:top w:val="single" w:sz="6" w:space="0" w:color="000000"/>
              <w:left w:val="single" w:sz="6" w:space="0" w:color="000000"/>
              <w:bottom w:val="single" w:sz="6" w:space="0" w:color="000000"/>
              <w:right w:val="single" w:sz="6" w:space="0" w:color="000000"/>
            </w:tcBorders>
            <w:vAlign w:val="center"/>
          </w:tcPr>
          <w:p w14:paraId="51EA9EDA" w14:textId="77777777" w:rsidR="009C2DAF" w:rsidRPr="00104C26" w:rsidRDefault="009C2DAF" w:rsidP="00557296">
            <w:pPr>
              <w:pStyle w:val="naisc"/>
              <w:spacing w:before="0" w:after="0"/>
              <w:rPr>
                <w:sz w:val="20"/>
                <w:szCs w:val="20"/>
              </w:rPr>
            </w:pPr>
            <w:r w:rsidRPr="00104C26">
              <w:rPr>
                <w:sz w:val="20"/>
                <w:szCs w:val="20"/>
              </w:rPr>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30DCE80A" w14:textId="77777777" w:rsidR="009C2DAF" w:rsidRPr="00104C26" w:rsidRDefault="009C2DAF" w:rsidP="00557296">
            <w:pPr>
              <w:pStyle w:val="naisc"/>
              <w:spacing w:before="0" w:after="0"/>
              <w:ind w:firstLine="12"/>
              <w:rPr>
                <w:sz w:val="20"/>
                <w:szCs w:val="20"/>
              </w:rPr>
            </w:pPr>
            <w:r w:rsidRPr="00104C26">
              <w:rPr>
                <w:sz w:val="20"/>
                <w:szCs w:val="20"/>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25BE8F1E" w14:textId="77777777" w:rsidR="009C2DAF" w:rsidRPr="00104C26" w:rsidRDefault="009C2DAF" w:rsidP="00557296">
            <w:pPr>
              <w:pStyle w:val="naisc"/>
              <w:spacing w:before="0" w:after="0"/>
              <w:ind w:right="3"/>
              <w:rPr>
                <w:sz w:val="20"/>
                <w:szCs w:val="20"/>
              </w:rPr>
            </w:pPr>
            <w:r w:rsidRPr="00104C26">
              <w:rPr>
                <w:sz w:val="20"/>
                <w:szCs w:val="20"/>
              </w:rPr>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1A853051" w14:textId="77777777" w:rsidR="009C2DAF" w:rsidRPr="00104C26" w:rsidRDefault="009C2DAF" w:rsidP="00557296">
            <w:pPr>
              <w:pStyle w:val="naisc"/>
              <w:spacing w:before="0" w:after="0"/>
              <w:ind w:firstLine="21"/>
              <w:rPr>
                <w:sz w:val="20"/>
                <w:szCs w:val="20"/>
              </w:rPr>
            </w:pPr>
            <w:r w:rsidRPr="00104C26">
              <w:rPr>
                <w:sz w:val="20"/>
                <w:szCs w:val="20"/>
              </w:rPr>
              <w:t>Atbildīgās ministrijas norāde par to, ka iebildums ir ņemts vērā,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14:paraId="029B52AB" w14:textId="77777777" w:rsidR="009C2DAF" w:rsidRPr="00104C26" w:rsidRDefault="009C2DAF" w:rsidP="00557296">
            <w:pPr>
              <w:jc w:val="center"/>
              <w:rPr>
                <w:sz w:val="20"/>
                <w:szCs w:val="20"/>
              </w:rPr>
            </w:pPr>
            <w:r w:rsidRPr="00104C26">
              <w:rPr>
                <w:sz w:val="20"/>
                <w:szCs w:val="20"/>
              </w:rPr>
              <w:t>Projekta attiecīgā punkta (panta) galīgā redakcija</w:t>
            </w:r>
          </w:p>
        </w:tc>
      </w:tr>
      <w:tr w:rsidR="009C2DAF" w:rsidRPr="00104C26" w14:paraId="57D40474" w14:textId="77777777" w:rsidTr="00557296">
        <w:tc>
          <w:tcPr>
            <w:tcW w:w="559" w:type="dxa"/>
            <w:tcBorders>
              <w:top w:val="single" w:sz="6" w:space="0" w:color="000000"/>
              <w:left w:val="single" w:sz="6" w:space="0" w:color="000000"/>
              <w:bottom w:val="single" w:sz="6" w:space="0" w:color="000000"/>
              <w:right w:val="single" w:sz="6" w:space="0" w:color="000000"/>
            </w:tcBorders>
          </w:tcPr>
          <w:p w14:paraId="0F9FB416" w14:textId="77777777" w:rsidR="009C2DAF" w:rsidRPr="00104C26" w:rsidRDefault="009C2DAF" w:rsidP="00557296">
            <w:pPr>
              <w:pStyle w:val="naisc"/>
              <w:spacing w:before="0" w:after="0"/>
              <w:rPr>
                <w:sz w:val="20"/>
                <w:szCs w:val="20"/>
              </w:rPr>
            </w:pPr>
            <w:r w:rsidRPr="00104C26">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7CCC5CF2" w14:textId="77777777" w:rsidR="009C2DAF" w:rsidRPr="00104C26" w:rsidRDefault="009C2DAF" w:rsidP="00557296">
            <w:pPr>
              <w:pStyle w:val="naisc"/>
              <w:spacing w:before="0" w:after="0"/>
              <w:ind w:firstLine="720"/>
              <w:rPr>
                <w:sz w:val="20"/>
                <w:szCs w:val="20"/>
              </w:rPr>
            </w:pPr>
            <w:r w:rsidRPr="00104C26">
              <w:rPr>
                <w:sz w:val="20"/>
                <w:szCs w:val="20"/>
              </w:rPr>
              <w:t>2</w:t>
            </w:r>
          </w:p>
        </w:tc>
        <w:tc>
          <w:tcPr>
            <w:tcW w:w="3260" w:type="dxa"/>
            <w:tcBorders>
              <w:top w:val="single" w:sz="6" w:space="0" w:color="000000"/>
              <w:left w:val="single" w:sz="6" w:space="0" w:color="000000"/>
              <w:bottom w:val="single" w:sz="6" w:space="0" w:color="000000"/>
              <w:right w:val="single" w:sz="6" w:space="0" w:color="000000"/>
            </w:tcBorders>
          </w:tcPr>
          <w:p w14:paraId="4716AF84" w14:textId="77777777" w:rsidR="009C2DAF" w:rsidRPr="00104C26" w:rsidRDefault="009C2DAF" w:rsidP="00557296">
            <w:pPr>
              <w:pStyle w:val="naisc"/>
              <w:spacing w:before="0" w:after="0"/>
              <w:ind w:firstLine="720"/>
              <w:rPr>
                <w:sz w:val="20"/>
                <w:szCs w:val="20"/>
              </w:rPr>
            </w:pPr>
            <w:r w:rsidRPr="00104C26">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4C5841AE" w14:textId="77777777" w:rsidR="009C2DAF" w:rsidRPr="00104C26" w:rsidRDefault="009C2DAF" w:rsidP="00557296">
            <w:pPr>
              <w:pStyle w:val="naisc"/>
              <w:spacing w:before="0" w:after="0"/>
              <w:ind w:firstLine="720"/>
              <w:rPr>
                <w:sz w:val="20"/>
                <w:szCs w:val="20"/>
              </w:rPr>
            </w:pPr>
            <w:r w:rsidRPr="00104C26">
              <w:rPr>
                <w:sz w:val="20"/>
                <w:szCs w:val="20"/>
              </w:rPr>
              <w:t>4</w:t>
            </w:r>
          </w:p>
        </w:tc>
        <w:tc>
          <w:tcPr>
            <w:tcW w:w="3969" w:type="dxa"/>
            <w:tcBorders>
              <w:top w:val="single" w:sz="4" w:space="0" w:color="auto"/>
              <w:left w:val="single" w:sz="4" w:space="0" w:color="auto"/>
              <w:bottom w:val="single" w:sz="4" w:space="0" w:color="auto"/>
            </w:tcBorders>
          </w:tcPr>
          <w:p w14:paraId="70DC8B2C" w14:textId="77777777" w:rsidR="009C2DAF" w:rsidRPr="00104C26" w:rsidRDefault="009C2DAF" w:rsidP="00557296">
            <w:pPr>
              <w:jc w:val="center"/>
              <w:rPr>
                <w:sz w:val="20"/>
                <w:szCs w:val="20"/>
              </w:rPr>
            </w:pPr>
            <w:r w:rsidRPr="00104C26">
              <w:rPr>
                <w:sz w:val="20"/>
                <w:szCs w:val="20"/>
              </w:rPr>
              <w:t>5</w:t>
            </w:r>
          </w:p>
        </w:tc>
      </w:tr>
      <w:tr w:rsidR="001C17D6" w:rsidRPr="00104C26" w14:paraId="7B188707" w14:textId="77777777" w:rsidTr="00557296">
        <w:tc>
          <w:tcPr>
            <w:tcW w:w="559" w:type="dxa"/>
            <w:tcBorders>
              <w:top w:val="single" w:sz="6" w:space="0" w:color="000000"/>
              <w:left w:val="single" w:sz="6" w:space="0" w:color="000000"/>
              <w:bottom w:val="single" w:sz="6" w:space="0" w:color="000000"/>
              <w:right w:val="single" w:sz="6" w:space="0" w:color="000000"/>
            </w:tcBorders>
          </w:tcPr>
          <w:p w14:paraId="756D65E0" w14:textId="575D76BD" w:rsidR="001C17D6" w:rsidRPr="00104C26" w:rsidRDefault="00141121" w:rsidP="00557296">
            <w:pPr>
              <w:pStyle w:val="naisc"/>
              <w:spacing w:before="0" w:after="0"/>
              <w:rPr>
                <w:sz w:val="20"/>
                <w:szCs w:val="20"/>
              </w:rPr>
            </w:pPr>
            <w:r>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4C2923C0" w14:textId="2F27C518" w:rsidR="001C17D6" w:rsidRPr="00141121" w:rsidRDefault="001C17D6" w:rsidP="00141121">
            <w:pPr>
              <w:shd w:val="clear" w:color="auto" w:fill="FFFFFF"/>
              <w:jc w:val="both"/>
              <w:rPr>
                <w:b/>
                <w:color w:val="000000" w:themeColor="text1"/>
                <w:sz w:val="20"/>
                <w:szCs w:val="20"/>
              </w:rPr>
            </w:pPr>
            <w:r w:rsidRPr="00141121">
              <w:rPr>
                <w:b/>
                <w:sz w:val="20"/>
                <w:szCs w:val="20"/>
              </w:rPr>
              <w:t>Noteikumu projekta 2., 3., 5. un 7. punkts:</w:t>
            </w:r>
          </w:p>
          <w:p w14:paraId="0CF5F1FD" w14:textId="44A3850F" w:rsidR="001C17D6" w:rsidRPr="00141121" w:rsidRDefault="001C17D6" w:rsidP="00141121">
            <w:pPr>
              <w:shd w:val="clear" w:color="auto" w:fill="FFFFFF"/>
              <w:jc w:val="both"/>
              <w:rPr>
                <w:color w:val="000000" w:themeColor="text1"/>
                <w:sz w:val="20"/>
                <w:szCs w:val="20"/>
              </w:rPr>
            </w:pPr>
            <w:r w:rsidRPr="00141121">
              <w:rPr>
                <w:color w:val="000000" w:themeColor="text1"/>
                <w:sz w:val="20"/>
                <w:szCs w:val="20"/>
              </w:rPr>
              <w:t xml:space="preserve">„2. </w:t>
            </w:r>
            <w:hyperlink r:id="rId7" w:tgtFrame="_blank" w:history="1">
              <w:r w:rsidRPr="00141121">
                <w:rPr>
                  <w:color w:val="000000" w:themeColor="text1"/>
                  <w:sz w:val="20"/>
                  <w:szCs w:val="20"/>
                </w:rPr>
                <w:t>Noziedzīgi iegūtu līdzekļu legalizācijas un terorisma un proliferācijas finansēšanas novēršanas likumā</w:t>
              </w:r>
            </w:hyperlink>
            <w:r w:rsidRPr="00141121">
              <w:rPr>
                <w:color w:val="000000" w:themeColor="text1"/>
                <w:sz w:val="20"/>
                <w:szCs w:val="20"/>
              </w:rPr>
              <w:t> (turpmāk – likums) noteiktiem likuma subjektiem (turpmāk – likuma subjekti) atbilstoši likuma prasībām ir pienākums nekavējoties ziņot Finanšu izlūkošanas dienestam par katru konsultētu, plānotu, pieteiktu, uzsāktu, atliktu, veiktu vai apstiprinātu klienta izpētes vai darījumu uzraudzības rezultātā konstatētu aizdomīgu darījumu.”</w:t>
            </w:r>
          </w:p>
          <w:p w14:paraId="525122AB" w14:textId="77777777" w:rsidR="001C17D6" w:rsidRPr="00141121" w:rsidRDefault="001C17D6" w:rsidP="00141121">
            <w:pPr>
              <w:jc w:val="both"/>
              <w:rPr>
                <w:color w:val="000000" w:themeColor="text1"/>
                <w:sz w:val="20"/>
                <w:szCs w:val="20"/>
              </w:rPr>
            </w:pPr>
          </w:p>
          <w:p w14:paraId="0DABD6F6" w14:textId="78610673" w:rsidR="001C17D6" w:rsidRPr="00141121" w:rsidRDefault="001C17D6" w:rsidP="00141121">
            <w:pPr>
              <w:jc w:val="both"/>
              <w:rPr>
                <w:color w:val="000000" w:themeColor="text1"/>
                <w:sz w:val="20"/>
                <w:szCs w:val="20"/>
              </w:rPr>
            </w:pPr>
            <w:r w:rsidRPr="00141121">
              <w:rPr>
                <w:color w:val="000000" w:themeColor="text1"/>
                <w:sz w:val="20"/>
                <w:szCs w:val="20"/>
              </w:rPr>
              <w:lastRenderedPageBreak/>
              <w:t>„3.Ja darījuma aizdomīgumu rada vairāki savstarpēji saistīti darījumi, tad ziņojumā ietver ziņas par visiem attiecīgajiem darījumiem.”</w:t>
            </w:r>
          </w:p>
          <w:p w14:paraId="146250DE" w14:textId="77777777" w:rsidR="001C17D6" w:rsidRPr="00141121" w:rsidRDefault="001C17D6" w:rsidP="00141121">
            <w:pPr>
              <w:pStyle w:val="ListParagraph"/>
              <w:rPr>
                <w:color w:val="000000" w:themeColor="text1"/>
                <w:sz w:val="20"/>
                <w:szCs w:val="20"/>
                <w:highlight w:val="yellow"/>
              </w:rPr>
            </w:pPr>
          </w:p>
          <w:p w14:paraId="7FDEA198" w14:textId="7D4EE471" w:rsidR="001C17D6" w:rsidRPr="00141121" w:rsidRDefault="001C17D6" w:rsidP="00141121">
            <w:pPr>
              <w:shd w:val="clear" w:color="auto" w:fill="FFFFFF"/>
              <w:jc w:val="both"/>
              <w:rPr>
                <w:color w:val="000000" w:themeColor="text1"/>
                <w:sz w:val="20"/>
                <w:szCs w:val="20"/>
              </w:rPr>
            </w:pPr>
            <w:bookmarkStart w:id="3" w:name="p-638560"/>
            <w:bookmarkEnd w:id="3"/>
            <w:r w:rsidRPr="00141121">
              <w:rPr>
                <w:color w:val="000000" w:themeColor="text1"/>
                <w:sz w:val="20"/>
                <w:szCs w:val="20"/>
              </w:rPr>
              <w:t>„5.Ziņojumā likuma subjekts iekļauj informāciju par iespējamo noziedzīgo nodarījumu, darbības metodi (turpmāk - tipoloģiju), pamatojumu aizdomām par saistību ar noziedzīgi iegūtu līdzekļu legalizāciju, terorisma vai proliferācijas finansēšanu, kā arī darījumu shēmu (ja iespējams). “</w:t>
            </w:r>
          </w:p>
          <w:p w14:paraId="1AEA3F41" w14:textId="77777777" w:rsidR="001C17D6" w:rsidRPr="00141121" w:rsidRDefault="001C17D6" w:rsidP="00141121">
            <w:pPr>
              <w:pStyle w:val="ListParagraph"/>
              <w:shd w:val="clear" w:color="auto" w:fill="FFFFFF"/>
              <w:ind w:left="426"/>
              <w:jc w:val="both"/>
              <w:rPr>
                <w:color w:val="000000" w:themeColor="text1"/>
                <w:sz w:val="20"/>
                <w:szCs w:val="20"/>
              </w:rPr>
            </w:pPr>
          </w:p>
          <w:p w14:paraId="50342780" w14:textId="57DB5465" w:rsidR="001C17D6" w:rsidRPr="00141121" w:rsidRDefault="001C17D6" w:rsidP="00141121">
            <w:pPr>
              <w:shd w:val="clear" w:color="auto" w:fill="FFFFFF"/>
              <w:jc w:val="both"/>
              <w:rPr>
                <w:color w:val="000000" w:themeColor="text1"/>
                <w:sz w:val="20"/>
                <w:szCs w:val="20"/>
              </w:rPr>
            </w:pPr>
            <w:bookmarkStart w:id="4" w:name="p-638561"/>
            <w:bookmarkEnd w:id="4"/>
            <w:r w:rsidRPr="00141121">
              <w:rPr>
                <w:color w:val="000000" w:themeColor="text1"/>
                <w:sz w:val="20"/>
                <w:szCs w:val="20"/>
              </w:rPr>
              <w:t>„7.Likuma subjekti ziņojuma pamatojumā apraksta veidā sniedz informāciju arī par jaunatklātām noziedzīgi iegūtu līdzekļu legalizācijas, terorisma vai proliferācijas finansēšanas un ar to saistīto noziedzīgo nodarījumu tipoloģijām.”</w:t>
            </w:r>
          </w:p>
          <w:p w14:paraId="7BDC32D0" w14:textId="77777777" w:rsidR="001C17D6" w:rsidRPr="00141121" w:rsidRDefault="001C17D6" w:rsidP="00141121">
            <w:pPr>
              <w:shd w:val="clear" w:color="auto" w:fill="FFFFFF"/>
              <w:ind w:firstLine="300"/>
              <w:jc w:val="both"/>
              <w:rPr>
                <w:color w:val="000000" w:themeColor="text1"/>
                <w:sz w:val="20"/>
                <w:szCs w:val="20"/>
              </w:rPr>
            </w:pPr>
          </w:p>
          <w:p w14:paraId="00EA3F76" w14:textId="77777777" w:rsidR="001C17D6" w:rsidRPr="00141121" w:rsidRDefault="001C17D6" w:rsidP="00141121">
            <w:pPr>
              <w:shd w:val="clear" w:color="auto" w:fill="FFFFFF"/>
              <w:tabs>
                <w:tab w:val="left" w:pos="993"/>
              </w:tabs>
              <w:jc w:val="center"/>
              <w:rPr>
                <w:b/>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AAA1D52" w14:textId="77777777" w:rsidR="001C17D6" w:rsidRDefault="001C17D6" w:rsidP="001C17D6">
            <w:pPr>
              <w:jc w:val="center"/>
              <w:rPr>
                <w:b/>
                <w:bCs/>
                <w:sz w:val="20"/>
                <w:szCs w:val="20"/>
              </w:rPr>
            </w:pPr>
            <w:r>
              <w:rPr>
                <w:b/>
                <w:bCs/>
                <w:sz w:val="20"/>
                <w:szCs w:val="20"/>
              </w:rPr>
              <w:lastRenderedPageBreak/>
              <w:t>Tieslietu ministrija</w:t>
            </w:r>
          </w:p>
          <w:p w14:paraId="0B1E8F62" w14:textId="77777777" w:rsidR="001C17D6" w:rsidRDefault="001C17D6" w:rsidP="001C17D6">
            <w:pPr>
              <w:jc w:val="center"/>
              <w:rPr>
                <w:b/>
                <w:bCs/>
                <w:sz w:val="20"/>
                <w:szCs w:val="20"/>
              </w:rPr>
            </w:pPr>
          </w:p>
          <w:p w14:paraId="392A86E6" w14:textId="77777777" w:rsidR="001C17D6" w:rsidRPr="001C17D6" w:rsidRDefault="001C17D6" w:rsidP="001C17D6">
            <w:pPr>
              <w:jc w:val="both"/>
              <w:rPr>
                <w:sz w:val="20"/>
                <w:szCs w:val="20"/>
              </w:rPr>
            </w:pPr>
            <w:r w:rsidRPr="001C17D6">
              <w:rPr>
                <w:sz w:val="20"/>
                <w:szCs w:val="20"/>
              </w:rPr>
              <w:t xml:space="preserve">Projekta 2., 3., 5. un 7. punkts noteic ziņojuma par aizdomīgu darījuma saturu. Norādām, ka ziņojuma par aizdomīgu darījumu saturu noteic Noziedzīgi iegūtu līdzekļu legalizācijas un terorisma un proliferācijas finansēšanas novēršanas likuma (turpmāk – likums) 31. panta pirmā daļa. Attiecīgi, ja minētais regulējums ir iekļauts likumā, likumdevējs ir to uzskatījis par likumdevēja kompetencē esošu jautājumu, tādējādi Ministru kabinetam nemaz nav kompetences izdot šādu normatīvo regulējumu. </w:t>
            </w:r>
          </w:p>
          <w:p w14:paraId="56144D47" w14:textId="77777777" w:rsidR="001C17D6" w:rsidRDefault="001C17D6" w:rsidP="001C17D6">
            <w:pPr>
              <w:jc w:val="both"/>
              <w:rPr>
                <w:sz w:val="20"/>
                <w:szCs w:val="20"/>
              </w:rPr>
            </w:pPr>
          </w:p>
          <w:p w14:paraId="2F86016B" w14:textId="22669FFC" w:rsidR="001C17D6" w:rsidRPr="001C17D6" w:rsidRDefault="001C17D6" w:rsidP="001C17D6">
            <w:pPr>
              <w:jc w:val="both"/>
              <w:rPr>
                <w:sz w:val="20"/>
                <w:szCs w:val="20"/>
              </w:rPr>
            </w:pPr>
            <w:r w:rsidRPr="001C17D6">
              <w:rPr>
                <w:sz w:val="20"/>
                <w:szCs w:val="20"/>
              </w:rPr>
              <w:lastRenderedPageBreak/>
              <w:t>Tāpat norādām, ka likuma 31. panta otrajā daļā iekļautais likumdevēja pilnvarojums Ministru kabinetam paredz tiesības noteikt kārtību, kādā sniedzami ziņojumi par aizdomīgiem darījumiem, kā arī apstiprināt ziņojuma veidlapu. Norādām, ka jēdziens "kārtība" nozīmē norises īstenošanas veidu vai darbības organizāciju, proti, attiecīgais pilnvarojums likuma 31. panta otrajā daļā paredz tiesības Ministru kabinetam regulēt attiecīgā jautājuma procesuālo aspektu (</w:t>
            </w:r>
            <w:r w:rsidRPr="001C17D6">
              <w:rPr>
                <w:i/>
                <w:iCs/>
                <w:sz w:val="20"/>
                <w:szCs w:val="20"/>
              </w:rPr>
              <w:t>skat. Satversmes tiesas 2012. gada 2. maija sprieduma lietā Nr. 2011-17-03 13.3. apakšpunktu</w:t>
            </w:r>
            <w:r w:rsidRPr="001C17D6">
              <w:rPr>
                <w:sz w:val="20"/>
                <w:szCs w:val="20"/>
              </w:rPr>
              <w:t>).  Ievērojot minēto, Ministru kabinets nedrīkst pārsniegt pilnvarojošajā tiesību normā noteiktās robežas. Ievērojot minēto, lūdzam svītrot projekta 2., 3., 5. un 7. punktu.</w:t>
            </w:r>
          </w:p>
          <w:p w14:paraId="02B2F302" w14:textId="77777777" w:rsidR="001C17D6" w:rsidRDefault="001C17D6" w:rsidP="001C17D6">
            <w:pPr>
              <w:jc w:val="center"/>
              <w:rPr>
                <w:b/>
                <w:bCs/>
                <w:sz w:val="20"/>
                <w:szCs w:val="20"/>
              </w:rPr>
            </w:pPr>
          </w:p>
          <w:p w14:paraId="647935CA" w14:textId="77777777" w:rsidR="001C17D6" w:rsidRDefault="001C17D6" w:rsidP="001C17D6">
            <w:pPr>
              <w:jc w:val="center"/>
              <w:rPr>
                <w:b/>
                <w:bCs/>
                <w:sz w:val="20"/>
                <w:szCs w:val="20"/>
              </w:rPr>
            </w:pPr>
          </w:p>
          <w:p w14:paraId="4CF8419C" w14:textId="77777777" w:rsidR="001C17D6" w:rsidRDefault="001C17D6" w:rsidP="001C17D6">
            <w:pPr>
              <w:jc w:val="center"/>
              <w:rPr>
                <w:b/>
                <w:bCs/>
                <w:sz w:val="20"/>
                <w:szCs w:val="20"/>
              </w:rPr>
            </w:pPr>
          </w:p>
          <w:p w14:paraId="359152D5" w14:textId="19116FBC" w:rsidR="001C17D6" w:rsidRPr="001C17D6" w:rsidRDefault="001C17D6" w:rsidP="001C17D6">
            <w:pPr>
              <w:jc w:val="center"/>
              <w:rPr>
                <w:b/>
                <w:bCs/>
                <w:sz w:val="20"/>
                <w:szCs w:val="20"/>
              </w:rPr>
            </w:pPr>
          </w:p>
        </w:tc>
        <w:tc>
          <w:tcPr>
            <w:tcW w:w="3544" w:type="dxa"/>
            <w:gridSpan w:val="2"/>
            <w:tcBorders>
              <w:top w:val="single" w:sz="6" w:space="0" w:color="000000"/>
              <w:left w:val="single" w:sz="6" w:space="0" w:color="000000"/>
              <w:bottom w:val="single" w:sz="6" w:space="0" w:color="000000"/>
              <w:right w:val="single" w:sz="6" w:space="0" w:color="000000"/>
            </w:tcBorders>
          </w:tcPr>
          <w:p w14:paraId="2282E01D" w14:textId="0D45A3D2" w:rsidR="001C17D6" w:rsidRPr="00096140" w:rsidRDefault="00A30960" w:rsidP="00096140">
            <w:pPr>
              <w:pStyle w:val="naisc"/>
              <w:spacing w:before="0" w:after="0"/>
              <w:rPr>
                <w:b/>
                <w:color w:val="000000" w:themeColor="text1"/>
                <w:sz w:val="20"/>
                <w:szCs w:val="20"/>
              </w:rPr>
            </w:pPr>
            <w:r>
              <w:rPr>
                <w:b/>
                <w:color w:val="000000" w:themeColor="text1"/>
                <w:sz w:val="20"/>
                <w:szCs w:val="20"/>
              </w:rPr>
              <w:lastRenderedPageBreak/>
              <w:t>Iebildums</w:t>
            </w:r>
            <w:r w:rsidR="00141121" w:rsidRPr="00096140">
              <w:rPr>
                <w:b/>
                <w:color w:val="000000" w:themeColor="text1"/>
                <w:sz w:val="20"/>
                <w:szCs w:val="20"/>
              </w:rPr>
              <w:t xml:space="preserve"> ņemts vērā</w:t>
            </w:r>
          </w:p>
          <w:p w14:paraId="2AB4E19A" w14:textId="77777777" w:rsidR="00166815" w:rsidRPr="00096140" w:rsidRDefault="00166815" w:rsidP="0032556B">
            <w:pPr>
              <w:pStyle w:val="naisc"/>
              <w:spacing w:before="0" w:after="0"/>
              <w:jc w:val="left"/>
              <w:rPr>
                <w:b/>
                <w:color w:val="000000" w:themeColor="text1"/>
                <w:sz w:val="20"/>
                <w:szCs w:val="20"/>
              </w:rPr>
            </w:pPr>
          </w:p>
          <w:p w14:paraId="7CA04B8B" w14:textId="4E477CE3" w:rsidR="00166815" w:rsidRPr="00096140" w:rsidRDefault="00166815" w:rsidP="00096140">
            <w:pPr>
              <w:pStyle w:val="naisc"/>
              <w:spacing w:before="0" w:after="0"/>
              <w:jc w:val="both"/>
              <w:rPr>
                <w:color w:val="000000" w:themeColor="text1"/>
                <w:sz w:val="20"/>
                <w:szCs w:val="20"/>
                <w:u w:val="single"/>
              </w:rPr>
            </w:pPr>
            <w:r w:rsidRPr="00096140">
              <w:rPr>
                <w:bCs/>
                <w:color w:val="000000" w:themeColor="text1"/>
                <w:sz w:val="20"/>
                <w:szCs w:val="20"/>
                <w:shd w:val="clear" w:color="auto" w:fill="FFFFFF"/>
              </w:rPr>
              <w:t>Noziedzīgi iegūtu līdzekļu legalizācijas un terorisma un proliferācijas finansēšanas novēršanas likuma</w:t>
            </w:r>
            <w:r w:rsidR="00300AB3" w:rsidRPr="00096140">
              <w:rPr>
                <w:bCs/>
                <w:color w:val="000000" w:themeColor="text1"/>
                <w:sz w:val="20"/>
                <w:szCs w:val="20"/>
                <w:shd w:val="clear" w:color="auto" w:fill="FFFFFF"/>
              </w:rPr>
              <w:t xml:space="preserve"> (turpmāk – Likums)</w:t>
            </w:r>
            <w:r w:rsidRPr="00096140">
              <w:rPr>
                <w:bCs/>
                <w:color w:val="000000" w:themeColor="text1"/>
                <w:sz w:val="20"/>
                <w:szCs w:val="20"/>
                <w:shd w:val="clear" w:color="auto" w:fill="FFFFFF"/>
              </w:rPr>
              <w:t xml:space="preserve"> </w:t>
            </w:r>
            <w:r w:rsidRPr="00166815">
              <w:rPr>
                <w:bCs/>
                <w:color w:val="000000" w:themeColor="text1"/>
                <w:sz w:val="20"/>
                <w:szCs w:val="20"/>
              </w:rPr>
              <w:t>31. pants</w:t>
            </w:r>
            <w:r w:rsidRPr="00096140">
              <w:rPr>
                <w:bCs/>
                <w:color w:val="000000" w:themeColor="text1"/>
                <w:sz w:val="20"/>
                <w:szCs w:val="20"/>
              </w:rPr>
              <w:t xml:space="preserve"> ietver regulējumu par z</w:t>
            </w:r>
            <w:r w:rsidRPr="00166815">
              <w:rPr>
                <w:bCs/>
                <w:color w:val="000000" w:themeColor="text1"/>
                <w:sz w:val="20"/>
                <w:szCs w:val="20"/>
              </w:rPr>
              <w:t>iņojuma par aizdomīgu darījumu satur</w:t>
            </w:r>
            <w:r w:rsidRPr="00096140">
              <w:rPr>
                <w:bCs/>
                <w:color w:val="000000" w:themeColor="text1"/>
                <w:sz w:val="20"/>
                <w:szCs w:val="20"/>
              </w:rPr>
              <w:t xml:space="preserve">u, vienlaikus paredzot, ka ziņojumā </w:t>
            </w:r>
            <w:r w:rsidRPr="00096140">
              <w:rPr>
                <w:bCs/>
                <w:color w:val="000000" w:themeColor="text1"/>
                <w:sz w:val="20"/>
                <w:szCs w:val="20"/>
                <w:u w:val="single"/>
              </w:rPr>
              <w:t xml:space="preserve">ir ietveramas </w:t>
            </w:r>
            <w:r w:rsidRPr="00166815">
              <w:rPr>
                <w:color w:val="000000" w:themeColor="text1"/>
                <w:sz w:val="20"/>
                <w:szCs w:val="20"/>
                <w:u w:val="single"/>
              </w:rPr>
              <w:t>citas normatīvajos aktos noteiktās ziņas.</w:t>
            </w:r>
          </w:p>
          <w:p w14:paraId="37756255" w14:textId="2D4A1CDD" w:rsidR="00166815" w:rsidRPr="00096140" w:rsidRDefault="00166815" w:rsidP="0032556B">
            <w:pPr>
              <w:shd w:val="clear" w:color="auto" w:fill="FFFFFF"/>
              <w:jc w:val="both"/>
              <w:rPr>
                <w:color w:val="000000" w:themeColor="text1"/>
                <w:sz w:val="20"/>
                <w:szCs w:val="20"/>
              </w:rPr>
            </w:pPr>
          </w:p>
          <w:p w14:paraId="0F4216CA" w14:textId="002477A4" w:rsidR="00166815" w:rsidRPr="00096140" w:rsidRDefault="00166815" w:rsidP="00096140">
            <w:pPr>
              <w:shd w:val="clear" w:color="auto" w:fill="FFFFFF"/>
              <w:jc w:val="both"/>
              <w:rPr>
                <w:color w:val="000000" w:themeColor="text1"/>
                <w:sz w:val="20"/>
                <w:szCs w:val="20"/>
              </w:rPr>
            </w:pPr>
            <w:r w:rsidRPr="00096140">
              <w:rPr>
                <w:color w:val="000000" w:themeColor="text1"/>
                <w:sz w:val="20"/>
                <w:szCs w:val="20"/>
              </w:rPr>
              <w:t>Ievērojot minēto, norādāms, ka ar mērķi nedublēt tiesību normas, tiek svītroti Noteikumu projekta 2. un 3. punkts</w:t>
            </w:r>
            <w:r w:rsidR="005E4DCA" w:rsidRPr="00096140">
              <w:rPr>
                <w:color w:val="000000" w:themeColor="text1"/>
                <w:sz w:val="20"/>
                <w:szCs w:val="20"/>
              </w:rPr>
              <w:t xml:space="preserve"> (precizējot anotāciju)</w:t>
            </w:r>
            <w:r w:rsidRPr="00096140">
              <w:rPr>
                <w:color w:val="000000" w:themeColor="text1"/>
                <w:sz w:val="20"/>
                <w:szCs w:val="20"/>
              </w:rPr>
              <w:t>. Savukārt 5.un 7.punktā ietvertās ziņas: darījum</w:t>
            </w:r>
            <w:r w:rsidR="005E4DCA" w:rsidRPr="00096140">
              <w:rPr>
                <w:color w:val="000000" w:themeColor="text1"/>
                <w:sz w:val="20"/>
                <w:szCs w:val="20"/>
              </w:rPr>
              <w:t>a</w:t>
            </w:r>
            <w:r w:rsidRPr="00096140">
              <w:rPr>
                <w:color w:val="000000" w:themeColor="text1"/>
                <w:sz w:val="20"/>
                <w:szCs w:val="20"/>
              </w:rPr>
              <w:t xml:space="preserve"> shēm</w:t>
            </w:r>
            <w:r w:rsidR="005E4DCA" w:rsidRPr="00096140">
              <w:rPr>
                <w:color w:val="000000" w:themeColor="text1"/>
                <w:sz w:val="20"/>
                <w:szCs w:val="20"/>
              </w:rPr>
              <w:t>a</w:t>
            </w:r>
            <w:r w:rsidRPr="00096140">
              <w:rPr>
                <w:color w:val="000000" w:themeColor="text1"/>
                <w:sz w:val="20"/>
                <w:szCs w:val="20"/>
              </w:rPr>
              <w:t xml:space="preserve"> (ja iespējams) un informācija par jaunatklātām noziedzīgi iegūtu līdzekļu legalizācijas, terorisma vai proliferācijas </w:t>
            </w:r>
            <w:r w:rsidRPr="00096140">
              <w:rPr>
                <w:color w:val="000000" w:themeColor="text1"/>
                <w:sz w:val="20"/>
                <w:szCs w:val="20"/>
              </w:rPr>
              <w:lastRenderedPageBreak/>
              <w:t>finansēšanas un ar to saistīto noziedzīgo nodarījumu tipoloģijām tiek apvienota</w:t>
            </w:r>
            <w:r w:rsidR="005E4DCA" w:rsidRPr="00096140">
              <w:rPr>
                <w:color w:val="000000" w:themeColor="text1"/>
                <w:sz w:val="20"/>
                <w:szCs w:val="20"/>
              </w:rPr>
              <w:t>s</w:t>
            </w:r>
            <w:r w:rsidRPr="00096140">
              <w:rPr>
                <w:color w:val="000000" w:themeColor="text1"/>
                <w:sz w:val="20"/>
                <w:szCs w:val="20"/>
              </w:rPr>
              <w:t xml:space="preserve"> vienā punktā.</w:t>
            </w:r>
            <w:r w:rsidR="00300AB3" w:rsidRPr="00096140">
              <w:rPr>
                <w:color w:val="000000" w:themeColor="text1"/>
                <w:sz w:val="20"/>
                <w:szCs w:val="20"/>
              </w:rPr>
              <w:t xml:space="preserve"> Vienlaikus norādāms, ka papildus ietveramā informācija ir sniedzama gadījumos, ja tāda ir Likuma subjekta rīcībā un nav kā obligāts priekšnosacījums. Informācija ir nepieciešama ar mērķi pēc iespējas savlaicīgāk veikt saņemtās informācijas analīzi, vērtējot arī darījumu shēmas, kuras Likuma subjekts nereti ir sagatavojis, nodrošinot klienta izpēti un gatavojot ziņojumu. </w:t>
            </w:r>
          </w:p>
          <w:p w14:paraId="3ADE34A7" w14:textId="77777777" w:rsidR="00300AB3" w:rsidRPr="00096140" w:rsidRDefault="00300AB3" w:rsidP="00096140">
            <w:pPr>
              <w:shd w:val="clear" w:color="auto" w:fill="FFFFFF"/>
              <w:jc w:val="both"/>
              <w:rPr>
                <w:color w:val="000000" w:themeColor="text1"/>
                <w:sz w:val="20"/>
                <w:szCs w:val="20"/>
              </w:rPr>
            </w:pPr>
            <w:r w:rsidRPr="00096140">
              <w:rPr>
                <w:color w:val="000000" w:themeColor="text1"/>
                <w:sz w:val="20"/>
                <w:szCs w:val="20"/>
              </w:rPr>
              <w:t>Tāpat Finanšu izlūkošanas vērš uzmanību, ka, pamatojoties uz Likuma 51.pantu:</w:t>
            </w:r>
          </w:p>
          <w:p w14:paraId="120E85A7" w14:textId="11A2447E" w:rsidR="00300AB3" w:rsidRPr="00096140" w:rsidRDefault="00300AB3" w:rsidP="00096140">
            <w:pPr>
              <w:pStyle w:val="ListParagraph"/>
              <w:numPr>
                <w:ilvl w:val="0"/>
                <w:numId w:val="6"/>
              </w:numPr>
              <w:shd w:val="clear" w:color="auto" w:fill="FFFFFF"/>
              <w:ind w:left="321" w:hanging="142"/>
              <w:jc w:val="both"/>
              <w:rPr>
                <w:color w:val="000000" w:themeColor="text1"/>
                <w:sz w:val="20"/>
                <w:szCs w:val="20"/>
                <w:shd w:val="clear" w:color="auto" w:fill="FFFFFF"/>
              </w:rPr>
            </w:pPr>
            <w:r w:rsidRPr="00096140">
              <w:rPr>
                <w:color w:val="000000" w:themeColor="text1"/>
                <w:sz w:val="20"/>
                <w:szCs w:val="20"/>
                <w:shd w:val="clear" w:color="auto" w:fill="FFFFFF"/>
              </w:rPr>
              <w:t>Finanšu izlūkošanas dienesta mājaslapā internetā tiek uzturēta vispārīga rakstura informāciju par aktuālajām noziedzīgi iegūtu līdzekļu legalizācijas, terorisma un proliferācijas finansēšanas un ar tām saistīto noziedzīgo nodarījumu tipoloģijām;</w:t>
            </w:r>
          </w:p>
          <w:p w14:paraId="0097C571" w14:textId="73B5A007" w:rsidR="00300AB3" w:rsidRPr="00096140" w:rsidRDefault="00300AB3" w:rsidP="00096140">
            <w:pPr>
              <w:pStyle w:val="ListParagraph"/>
              <w:numPr>
                <w:ilvl w:val="0"/>
                <w:numId w:val="6"/>
              </w:numPr>
              <w:shd w:val="clear" w:color="auto" w:fill="FFFFFF"/>
              <w:ind w:left="321" w:hanging="142"/>
              <w:jc w:val="both"/>
              <w:rPr>
                <w:color w:val="000000" w:themeColor="text1"/>
                <w:sz w:val="20"/>
                <w:szCs w:val="20"/>
              </w:rPr>
            </w:pPr>
            <w:r w:rsidRPr="00096140">
              <w:rPr>
                <w:color w:val="000000" w:themeColor="text1"/>
                <w:sz w:val="20"/>
                <w:szCs w:val="20"/>
                <w:shd w:val="clear" w:color="auto" w:fill="FFFFFF"/>
              </w:rPr>
              <w:t>Finanšu izlūkošanas dienests sniedz uzraudzības un kontroles institūcijām detalizētu informāciju par aktuālajām noziedzīgi iegūtu līdzekļu legalizācijas, terorisma un proliferācijas finansēšanas un ar tām saistīto noziedzīgo nodarījumu tipoloģijām.</w:t>
            </w:r>
          </w:p>
          <w:p w14:paraId="23237B5D" w14:textId="77694770" w:rsidR="002149C5" w:rsidRPr="00A30960" w:rsidRDefault="00300AB3" w:rsidP="00A30960">
            <w:pPr>
              <w:shd w:val="clear" w:color="auto" w:fill="FFFFFF"/>
              <w:jc w:val="both"/>
              <w:rPr>
                <w:color w:val="000000" w:themeColor="text1"/>
                <w:sz w:val="20"/>
                <w:szCs w:val="20"/>
              </w:rPr>
            </w:pPr>
            <w:r w:rsidRPr="00096140">
              <w:rPr>
                <w:color w:val="000000" w:themeColor="text1"/>
                <w:sz w:val="20"/>
                <w:szCs w:val="20"/>
              </w:rPr>
              <w:t xml:space="preserve">Norādāms, ka </w:t>
            </w:r>
            <w:r w:rsidR="00096140" w:rsidRPr="00096140">
              <w:rPr>
                <w:color w:val="000000" w:themeColor="text1"/>
                <w:sz w:val="20"/>
                <w:szCs w:val="20"/>
              </w:rPr>
              <w:t xml:space="preserve">informāciju par </w:t>
            </w:r>
            <w:r w:rsidR="00096140" w:rsidRPr="00096140">
              <w:rPr>
                <w:color w:val="000000" w:themeColor="text1"/>
                <w:sz w:val="20"/>
                <w:szCs w:val="20"/>
                <w:shd w:val="clear" w:color="auto" w:fill="FFFFFF"/>
              </w:rPr>
              <w:t>aktuālākajām noziedzīgi iegūtu līdzekļu legalizācijas, terorisma un proliferācijas finansēšanas metodēm</w:t>
            </w:r>
            <w:r w:rsidR="00A94AD5">
              <w:rPr>
                <w:color w:val="000000" w:themeColor="text1"/>
                <w:sz w:val="20"/>
                <w:szCs w:val="20"/>
                <w:shd w:val="clear" w:color="auto" w:fill="FFFFFF"/>
              </w:rPr>
              <w:t xml:space="preserve"> </w:t>
            </w:r>
            <w:r w:rsidR="00096140" w:rsidRPr="00096140">
              <w:rPr>
                <w:color w:val="000000" w:themeColor="text1"/>
                <w:sz w:val="20"/>
                <w:szCs w:val="20"/>
                <w:shd w:val="clear" w:color="auto" w:fill="FFFFFF"/>
              </w:rPr>
              <w:t xml:space="preserve">un ar tām saistīto noziedzīgo nodarījumu tipoloģijām, Finanšu izlūkošanas dienests var konstatēt, saņemot informāciju no Likuma subjektiem, kas ikdienā veic </w:t>
            </w:r>
            <w:r w:rsidR="00096140" w:rsidRPr="00096140">
              <w:rPr>
                <w:color w:val="000000" w:themeColor="text1"/>
                <w:sz w:val="20"/>
                <w:szCs w:val="20"/>
                <w:shd w:val="clear" w:color="auto" w:fill="FFFFFF"/>
              </w:rPr>
              <w:lastRenderedPageBreak/>
              <w:t>darījumus ar klientiem, to izpēti un darījumu uzraudzību.</w:t>
            </w:r>
          </w:p>
        </w:tc>
        <w:tc>
          <w:tcPr>
            <w:tcW w:w="3969" w:type="dxa"/>
            <w:tcBorders>
              <w:top w:val="single" w:sz="4" w:space="0" w:color="auto"/>
              <w:left w:val="single" w:sz="4" w:space="0" w:color="auto"/>
              <w:bottom w:val="single" w:sz="4" w:space="0" w:color="auto"/>
            </w:tcBorders>
          </w:tcPr>
          <w:p w14:paraId="0B03E9AC" w14:textId="15F51297" w:rsidR="001C17D6" w:rsidRDefault="00166815" w:rsidP="00557296">
            <w:pPr>
              <w:pStyle w:val="NoSpacing"/>
              <w:jc w:val="both"/>
              <w:rPr>
                <w:rFonts w:ascii="Times New Roman" w:hAnsi="Times New Roman"/>
                <w:sz w:val="20"/>
                <w:szCs w:val="20"/>
              </w:rPr>
            </w:pPr>
            <w:r>
              <w:rPr>
                <w:rFonts w:ascii="Times New Roman" w:hAnsi="Times New Roman"/>
                <w:sz w:val="20"/>
                <w:szCs w:val="20"/>
              </w:rPr>
              <w:lastRenderedPageBreak/>
              <w:t>Svītrots Noteikumu projekta 2.</w:t>
            </w:r>
            <w:r w:rsidR="000C7DC0">
              <w:rPr>
                <w:rFonts w:ascii="Times New Roman" w:hAnsi="Times New Roman"/>
                <w:sz w:val="20"/>
                <w:szCs w:val="20"/>
              </w:rPr>
              <w:t>,</w:t>
            </w:r>
            <w:r>
              <w:rPr>
                <w:rFonts w:ascii="Times New Roman" w:hAnsi="Times New Roman"/>
                <w:sz w:val="20"/>
                <w:szCs w:val="20"/>
              </w:rPr>
              <w:t>3.</w:t>
            </w:r>
            <w:r w:rsidR="000C7DC0">
              <w:rPr>
                <w:rFonts w:ascii="Times New Roman" w:hAnsi="Times New Roman"/>
                <w:sz w:val="20"/>
                <w:szCs w:val="20"/>
              </w:rPr>
              <w:t xml:space="preserve"> 5. un 7.punkti. </w:t>
            </w:r>
          </w:p>
          <w:p w14:paraId="0DB17B1F" w14:textId="77777777" w:rsidR="00096140" w:rsidRDefault="00096140" w:rsidP="00557296">
            <w:pPr>
              <w:pStyle w:val="NoSpacing"/>
              <w:jc w:val="both"/>
              <w:rPr>
                <w:rFonts w:ascii="Times New Roman" w:hAnsi="Times New Roman"/>
                <w:sz w:val="20"/>
                <w:szCs w:val="20"/>
              </w:rPr>
            </w:pPr>
          </w:p>
          <w:p w14:paraId="234076C1" w14:textId="1C838849" w:rsidR="00096140" w:rsidRPr="000C7DC0" w:rsidRDefault="00096140" w:rsidP="000C7DC0">
            <w:pPr>
              <w:jc w:val="both"/>
              <w:rPr>
                <w:sz w:val="20"/>
                <w:szCs w:val="20"/>
              </w:rPr>
            </w:pPr>
          </w:p>
        </w:tc>
      </w:tr>
      <w:tr w:rsidR="00141121" w:rsidRPr="00104C26" w14:paraId="065469C5" w14:textId="77777777" w:rsidTr="00557296">
        <w:tc>
          <w:tcPr>
            <w:tcW w:w="559" w:type="dxa"/>
            <w:tcBorders>
              <w:top w:val="single" w:sz="6" w:space="0" w:color="000000"/>
              <w:left w:val="single" w:sz="6" w:space="0" w:color="000000"/>
              <w:bottom w:val="single" w:sz="6" w:space="0" w:color="000000"/>
              <w:right w:val="single" w:sz="6" w:space="0" w:color="000000"/>
            </w:tcBorders>
          </w:tcPr>
          <w:p w14:paraId="4AE108D3" w14:textId="7C2934AD" w:rsidR="00141121" w:rsidRPr="00104C26" w:rsidRDefault="00141121" w:rsidP="00557296">
            <w:pPr>
              <w:pStyle w:val="naisc"/>
              <w:spacing w:before="0" w:after="0"/>
              <w:rPr>
                <w:sz w:val="20"/>
                <w:szCs w:val="20"/>
              </w:rPr>
            </w:pPr>
            <w:r>
              <w:rPr>
                <w:sz w:val="20"/>
                <w:szCs w:val="20"/>
              </w:rPr>
              <w:lastRenderedPageBreak/>
              <w:t>2.</w:t>
            </w:r>
          </w:p>
        </w:tc>
        <w:tc>
          <w:tcPr>
            <w:tcW w:w="2977" w:type="dxa"/>
            <w:gridSpan w:val="2"/>
            <w:tcBorders>
              <w:top w:val="single" w:sz="6" w:space="0" w:color="000000"/>
              <w:left w:val="single" w:sz="6" w:space="0" w:color="000000"/>
              <w:bottom w:val="single" w:sz="6" w:space="0" w:color="000000"/>
              <w:right w:val="single" w:sz="6" w:space="0" w:color="000000"/>
            </w:tcBorders>
          </w:tcPr>
          <w:p w14:paraId="361C76BF" w14:textId="1123E722" w:rsidR="00141121" w:rsidRPr="00141121" w:rsidRDefault="00141121" w:rsidP="00557296">
            <w:pPr>
              <w:shd w:val="clear" w:color="auto" w:fill="FFFFFF"/>
              <w:jc w:val="both"/>
              <w:rPr>
                <w:b/>
                <w:color w:val="000000" w:themeColor="text1"/>
                <w:sz w:val="20"/>
                <w:szCs w:val="20"/>
              </w:rPr>
            </w:pPr>
            <w:r w:rsidRPr="00141121">
              <w:rPr>
                <w:b/>
                <w:sz w:val="20"/>
                <w:szCs w:val="20"/>
              </w:rPr>
              <w:t xml:space="preserve">Noteikumu projekta </w:t>
            </w:r>
            <w:r>
              <w:rPr>
                <w:b/>
                <w:sz w:val="20"/>
                <w:szCs w:val="20"/>
              </w:rPr>
              <w:t>4</w:t>
            </w:r>
            <w:r w:rsidRPr="00141121">
              <w:rPr>
                <w:b/>
                <w:sz w:val="20"/>
                <w:szCs w:val="20"/>
              </w:rPr>
              <w:t>. punkts:</w:t>
            </w:r>
          </w:p>
          <w:p w14:paraId="2966ADB0" w14:textId="5225397F" w:rsidR="00141121" w:rsidRPr="00141121" w:rsidRDefault="00141121" w:rsidP="00141121">
            <w:pPr>
              <w:shd w:val="clear" w:color="auto" w:fill="FFFFFF"/>
              <w:jc w:val="both"/>
              <w:rPr>
                <w:color w:val="000000" w:themeColor="text1"/>
                <w:sz w:val="20"/>
                <w:szCs w:val="20"/>
              </w:rPr>
            </w:pPr>
            <w:r w:rsidRPr="00141121">
              <w:rPr>
                <w:color w:val="000000" w:themeColor="text1"/>
                <w:sz w:val="20"/>
                <w:szCs w:val="20"/>
              </w:rPr>
              <w:t xml:space="preserve">„4.Ziņojuma iesniegšana neatbrīvo likuma subjektu no pienākuma iesniegt sliekšņa deklarāciju, ja darījums, uz ko attiecas ziņojums, atbilst kādai no ministru kabineta noteikumos </w:t>
            </w:r>
            <w:r w:rsidRPr="00141121">
              <w:rPr>
                <w:bCs/>
                <w:color w:val="000000" w:themeColor="text1"/>
                <w:sz w:val="20"/>
                <w:szCs w:val="20"/>
              </w:rPr>
              <w:t xml:space="preserve">par sliekšņa deklarācijas iesniegšanas kārtību un saturu </w:t>
            </w:r>
            <w:r w:rsidRPr="00141121">
              <w:rPr>
                <w:color w:val="000000" w:themeColor="text1"/>
                <w:sz w:val="20"/>
                <w:szCs w:val="20"/>
              </w:rPr>
              <w:t>noteiktajām sliekšņa deklarācijas pazīmēm.”</w:t>
            </w:r>
          </w:p>
          <w:p w14:paraId="09AEE370" w14:textId="77777777" w:rsidR="00141121" w:rsidRPr="00141121" w:rsidRDefault="00141121" w:rsidP="00557296">
            <w:pPr>
              <w:shd w:val="clear" w:color="auto" w:fill="FFFFFF"/>
              <w:ind w:firstLine="300"/>
              <w:jc w:val="both"/>
              <w:rPr>
                <w:color w:val="000000" w:themeColor="text1"/>
                <w:sz w:val="20"/>
                <w:szCs w:val="20"/>
              </w:rPr>
            </w:pPr>
          </w:p>
          <w:p w14:paraId="1557FBB5" w14:textId="77777777" w:rsidR="00141121" w:rsidRPr="00141121" w:rsidRDefault="00141121" w:rsidP="00557296">
            <w:pPr>
              <w:shd w:val="clear" w:color="auto" w:fill="FFFFFF"/>
              <w:tabs>
                <w:tab w:val="left" w:pos="993"/>
              </w:tabs>
              <w:jc w:val="center"/>
              <w:rPr>
                <w:b/>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6B60152F" w14:textId="77777777" w:rsidR="00141121" w:rsidRDefault="00141121" w:rsidP="00557296">
            <w:pPr>
              <w:jc w:val="center"/>
              <w:rPr>
                <w:b/>
                <w:bCs/>
                <w:sz w:val="20"/>
                <w:szCs w:val="20"/>
              </w:rPr>
            </w:pPr>
            <w:r>
              <w:rPr>
                <w:b/>
                <w:bCs/>
                <w:sz w:val="20"/>
                <w:szCs w:val="20"/>
              </w:rPr>
              <w:t>Tieslietu ministrija</w:t>
            </w:r>
          </w:p>
          <w:p w14:paraId="6019A262" w14:textId="77777777" w:rsidR="00141121" w:rsidRDefault="00141121" w:rsidP="00557296">
            <w:pPr>
              <w:jc w:val="center"/>
              <w:rPr>
                <w:b/>
                <w:bCs/>
                <w:sz w:val="20"/>
                <w:szCs w:val="20"/>
              </w:rPr>
            </w:pPr>
          </w:p>
          <w:p w14:paraId="1245BE95" w14:textId="6EF55805" w:rsidR="00141121" w:rsidRPr="00141121" w:rsidRDefault="00141121" w:rsidP="00141121">
            <w:pPr>
              <w:jc w:val="both"/>
              <w:rPr>
                <w:sz w:val="20"/>
                <w:szCs w:val="20"/>
              </w:rPr>
            </w:pPr>
            <w:r w:rsidRPr="00141121">
              <w:rPr>
                <w:sz w:val="20"/>
                <w:szCs w:val="20"/>
              </w:rPr>
              <w:t>Projekta 4. punkts noteic, ka ziņojuma iesniegšana neatbrīvo likuma subjektu no pienākuma iesniegt sliekšņa deklarāciju, ja darījums, uz ko attiecas ziņojums, atbilst kādai no Ministru kabineta noteikumos par sliekšņa deklarācijas iesniegšanas kārtību un saturu noteiktajām sliekšņa deklarācijas pazīmēm.</w:t>
            </w:r>
          </w:p>
          <w:p w14:paraId="64F023B0" w14:textId="77777777" w:rsidR="00141121" w:rsidRDefault="00141121" w:rsidP="00141121">
            <w:pPr>
              <w:jc w:val="both"/>
              <w:rPr>
                <w:sz w:val="20"/>
                <w:szCs w:val="20"/>
              </w:rPr>
            </w:pPr>
          </w:p>
          <w:p w14:paraId="18AD22D0" w14:textId="6229495B" w:rsidR="00141121" w:rsidRPr="00141121" w:rsidRDefault="00141121" w:rsidP="00141121">
            <w:pPr>
              <w:jc w:val="both"/>
              <w:rPr>
                <w:sz w:val="20"/>
                <w:szCs w:val="20"/>
              </w:rPr>
            </w:pPr>
            <w:r w:rsidRPr="00141121">
              <w:rPr>
                <w:sz w:val="20"/>
                <w:szCs w:val="20"/>
              </w:rPr>
              <w:t>Norādām, ka projektā nevar tikt ietverts regulējums, kas attiecas uz sliekšņa deklarācijām, ievērojot, ka tas neatbilst likuma 31. panta otrajā daļā noteiktajam pilnvarojumam. Tāpat attiecībā uz sliekšņa deklarācijām tiks izdoti atsevišķi Ministru kabineta noteikumi (skat. likuma 31.</w:t>
            </w:r>
            <w:r w:rsidRPr="00141121">
              <w:rPr>
                <w:sz w:val="20"/>
                <w:szCs w:val="20"/>
                <w:vertAlign w:val="superscript"/>
              </w:rPr>
              <w:t>3</w:t>
            </w:r>
            <w:r w:rsidRPr="00141121">
              <w:rPr>
                <w:sz w:val="20"/>
                <w:szCs w:val="20"/>
              </w:rPr>
              <w:t> pantu). Ievērojot minēto, lūdzam svītrot projekta 4. punktu.</w:t>
            </w:r>
          </w:p>
          <w:p w14:paraId="71B4CE89" w14:textId="77777777" w:rsidR="00141121" w:rsidRPr="001C17D6" w:rsidRDefault="00141121" w:rsidP="002149C5">
            <w:pPr>
              <w:rPr>
                <w:b/>
                <w:bCs/>
                <w:sz w:val="20"/>
                <w:szCs w:val="20"/>
              </w:rPr>
            </w:pPr>
          </w:p>
        </w:tc>
        <w:tc>
          <w:tcPr>
            <w:tcW w:w="3544" w:type="dxa"/>
            <w:gridSpan w:val="2"/>
            <w:tcBorders>
              <w:top w:val="single" w:sz="6" w:space="0" w:color="000000"/>
              <w:left w:val="single" w:sz="6" w:space="0" w:color="000000"/>
              <w:bottom w:val="single" w:sz="6" w:space="0" w:color="000000"/>
              <w:right w:val="single" w:sz="6" w:space="0" w:color="000000"/>
            </w:tcBorders>
          </w:tcPr>
          <w:p w14:paraId="45A19B78" w14:textId="7D7E043D" w:rsidR="00096140" w:rsidRDefault="00A30960" w:rsidP="00557296">
            <w:pPr>
              <w:pStyle w:val="naisc"/>
              <w:spacing w:before="0" w:after="0"/>
              <w:rPr>
                <w:b/>
                <w:sz w:val="20"/>
                <w:szCs w:val="20"/>
              </w:rPr>
            </w:pPr>
            <w:r w:rsidRPr="00104C26">
              <w:rPr>
                <w:b/>
                <w:sz w:val="20"/>
                <w:szCs w:val="20"/>
              </w:rPr>
              <w:t>Iebildums</w:t>
            </w:r>
            <w:r>
              <w:rPr>
                <w:b/>
                <w:sz w:val="20"/>
                <w:szCs w:val="20"/>
              </w:rPr>
              <w:t xml:space="preserve"> ņemts vērā </w:t>
            </w:r>
          </w:p>
          <w:p w14:paraId="40644027" w14:textId="6CA9B56A" w:rsidR="00096140" w:rsidRPr="00104C26" w:rsidRDefault="00096140" w:rsidP="00557296">
            <w:pPr>
              <w:pStyle w:val="naisc"/>
              <w:spacing w:before="0" w:after="0"/>
              <w:rPr>
                <w:b/>
                <w:sz w:val="20"/>
                <w:szCs w:val="20"/>
              </w:rPr>
            </w:pPr>
          </w:p>
        </w:tc>
        <w:tc>
          <w:tcPr>
            <w:tcW w:w="3969" w:type="dxa"/>
            <w:tcBorders>
              <w:top w:val="single" w:sz="4" w:space="0" w:color="auto"/>
              <w:left w:val="single" w:sz="4" w:space="0" w:color="auto"/>
              <w:bottom w:val="single" w:sz="4" w:space="0" w:color="auto"/>
            </w:tcBorders>
          </w:tcPr>
          <w:p w14:paraId="60FDDEAC" w14:textId="590E8507" w:rsidR="00141121" w:rsidRPr="001C17D6" w:rsidRDefault="00096140" w:rsidP="00557296">
            <w:pPr>
              <w:pStyle w:val="NoSpacing"/>
              <w:jc w:val="both"/>
              <w:rPr>
                <w:rFonts w:ascii="Times New Roman" w:hAnsi="Times New Roman"/>
                <w:sz w:val="20"/>
                <w:szCs w:val="20"/>
              </w:rPr>
            </w:pPr>
            <w:r>
              <w:rPr>
                <w:rFonts w:ascii="Times New Roman" w:hAnsi="Times New Roman"/>
                <w:sz w:val="20"/>
                <w:szCs w:val="20"/>
              </w:rPr>
              <w:t>Noteikumu projekta 4.punkts svītrots. Precizēta anotācija</w:t>
            </w:r>
          </w:p>
        </w:tc>
      </w:tr>
      <w:tr w:rsidR="00141121" w:rsidRPr="00104C26" w14:paraId="53D6EB1B" w14:textId="77777777" w:rsidTr="00557296">
        <w:tc>
          <w:tcPr>
            <w:tcW w:w="559" w:type="dxa"/>
            <w:tcBorders>
              <w:top w:val="single" w:sz="6" w:space="0" w:color="000000"/>
              <w:left w:val="single" w:sz="6" w:space="0" w:color="000000"/>
              <w:bottom w:val="single" w:sz="6" w:space="0" w:color="000000"/>
              <w:right w:val="single" w:sz="6" w:space="0" w:color="000000"/>
            </w:tcBorders>
          </w:tcPr>
          <w:p w14:paraId="56C283B2" w14:textId="731331FC" w:rsidR="00141121" w:rsidRPr="00104C26" w:rsidRDefault="00141121" w:rsidP="00557296">
            <w:pPr>
              <w:pStyle w:val="naisc"/>
              <w:spacing w:before="0" w:after="0"/>
              <w:rPr>
                <w:sz w:val="20"/>
                <w:szCs w:val="20"/>
              </w:rPr>
            </w:pPr>
            <w:r>
              <w:rPr>
                <w:sz w:val="20"/>
                <w:szCs w:val="20"/>
              </w:rPr>
              <w:t>3.</w:t>
            </w:r>
          </w:p>
        </w:tc>
        <w:tc>
          <w:tcPr>
            <w:tcW w:w="2977" w:type="dxa"/>
            <w:gridSpan w:val="2"/>
            <w:tcBorders>
              <w:top w:val="single" w:sz="6" w:space="0" w:color="000000"/>
              <w:left w:val="single" w:sz="6" w:space="0" w:color="000000"/>
              <w:bottom w:val="single" w:sz="6" w:space="0" w:color="000000"/>
              <w:right w:val="single" w:sz="6" w:space="0" w:color="000000"/>
            </w:tcBorders>
          </w:tcPr>
          <w:p w14:paraId="7F43193B" w14:textId="6E2AEABF" w:rsidR="00141121" w:rsidRPr="00141121" w:rsidRDefault="00141121" w:rsidP="00557296">
            <w:pPr>
              <w:shd w:val="clear" w:color="auto" w:fill="FFFFFF"/>
              <w:jc w:val="both"/>
              <w:rPr>
                <w:b/>
                <w:color w:val="000000" w:themeColor="text1"/>
                <w:sz w:val="20"/>
                <w:szCs w:val="20"/>
              </w:rPr>
            </w:pPr>
            <w:r w:rsidRPr="00141121">
              <w:rPr>
                <w:b/>
                <w:sz w:val="20"/>
                <w:szCs w:val="20"/>
              </w:rPr>
              <w:t>Noteikumu projekta 6. punkts:</w:t>
            </w:r>
          </w:p>
          <w:p w14:paraId="423BB4DD" w14:textId="3859A91C" w:rsidR="00141121" w:rsidRPr="00141121" w:rsidRDefault="00141121" w:rsidP="00141121">
            <w:pPr>
              <w:shd w:val="clear" w:color="auto" w:fill="FFFFFF"/>
              <w:jc w:val="both"/>
              <w:rPr>
                <w:color w:val="000000" w:themeColor="text1"/>
                <w:sz w:val="20"/>
                <w:szCs w:val="20"/>
              </w:rPr>
            </w:pPr>
            <w:r w:rsidRPr="00141121">
              <w:rPr>
                <w:color w:val="000000" w:themeColor="text1"/>
                <w:sz w:val="20"/>
                <w:szCs w:val="20"/>
              </w:rPr>
              <w:t>„6.Informāciju par aktuālākajām noziedzīgi iegūtu līdzekļu legalizācijas un ar to saistīto noziedzīgo nodarījumu tipoloģijām un to raksturīgākajām pazīmēm Finanšu izlūkošanas dienests ietver metodiskajās vadlīnijās, ko publicē un aktualizē savā tīmekļvietnē.</w:t>
            </w:r>
          </w:p>
          <w:p w14:paraId="4C2BD6E8" w14:textId="66A42566" w:rsidR="00141121" w:rsidRPr="00141121" w:rsidRDefault="00141121" w:rsidP="00557296">
            <w:pPr>
              <w:shd w:val="clear" w:color="auto" w:fill="FFFFFF"/>
              <w:jc w:val="both"/>
              <w:rPr>
                <w:color w:val="000000" w:themeColor="text1"/>
                <w:sz w:val="20"/>
                <w:szCs w:val="20"/>
              </w:rPr>
            </w:pPr>
          </w:p>
          <w:p w14:paraId="48E06077" w14:textId="77777777" w:rsidR="00141121" w:rsidRPr="00141121" w:rsidRDefault="00141121" w:rsidP="00557296">
            <w:pPr>
              <w:shd w:val="clear" w:color="auto" w:fill="FFFFFF"/>
              <w:ind w:firstLine="300"/>
              <w:jc w:val="both"/>
              <w:rPr>
                <w:color w:val="000000" w:themeColor="text1"/>
                <w:sz w:val="20"/>
                <w:szCs w:val="20"/>
              </w:rPr>
            </w:pPr>
          </w:p>
          <w:p w14:paraId="62E19B6E" w14:textId="77777777" w:rsidR="00141121" w:rsidRPr="00141121" w:rsidRDefault="00141121" w:rsidP="00557296">
            <w:pPr>
              <w:shd w:val="clear" w:color="auto" w:fill="FFFFFF"/>
              <w:tabs>
                <w:tab w:val="left" w:pos="993"/>
              </w:tabs>
              <w:jc w:val="center"/>
              <w:rPr>
                <w:b/>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0414C1E0" w14:textId="77777777" w:rsidR="00141121" w:rsidRDefault="00141121" w:rsidP="00557296">
            <w:pPr>
              <w:jc w:val="center"/>
              <w:rPr>
                <w:b/>
                <w:bCs/>
                <w:sz w:val="20"/>
                <w:szCs w:val="20"/>
              </w:rPr>
            </w:pPr>
            <w:r>
              <w:rPr>
                <w:b/>
                <w:bCs/>
                <w:sz w:val="20"/>
                <w:szCs w:val="20"/>
              </w:rPr>
              <w:t>Tieslietu ministrija</w:t>
            </w:r>
          </w:p>
          <w:p w14:paraId="2B5E6BF8" w14:textId="77777777" w:rsidR="00141121" w:rsidRDefault="00141121" w:rsidP="00557296">
            <w:pPr>
              <w:jc w:val="center"/>
              <w:rPr>
                <w:b/>
                <w:bCs/>
                <w:sz w:val="20"/>
                <w:szCs w:val="20"/>
              </w:rPr>
            </w:pPr>
          </w:p>
          <w:p w14:paraId="7870FB1B" w14:textId="69F115CF" w:rsidR="00141121" w:rsidRPr="005E2845" w:rsidRDefault="00141121" w:rsidP="005E2845">
            <w:pPr>
              <w:jc w:val="both"/>
              <w:rPr>
                <w:sz w:val="20"/>
                <w:szCs w:val="20"/>
              </w:rPr>
            </w:pPr>
            <w:r w:rsidRPr="00141121">
              <w:rPr>
                <w:sz w:val="20"/>
                <w:szCs w:val="20"/>
              </w:rPr>
              <w:t xml:space="preserve">Projekta 6. punkts noteic, ka informāciju par aktuālajām noziedzīgi iegūtu līdzekļu legalizācijas un ar to saistīto noziedzīgo nodarījumu tipoloģijām un to raksturīgākajām pazīmēm Finanšu izlūkošanas dienests ietver metodiskajās vadlīnijās, ko publicē un aktualizē savā tīmekļvietnē. Savukārt likuma 51. panta pirmās daļas 15. punkts noteic pienākumu Finanšu izlūkošanas dienestam uzturēt Finanšu izlūkošanas dienesta </w:t>
            </w:r>
            <w:r w:rsidRPr="00141121">
              <w:rPr>
                <w:sz w:val="20"/>
                <w:szCs w:val="20"/>
              </w:rPr>
              <w:lastRenderedPageBreak/>
              <w:t xml:space="preserve">mājaslapā internetā vispārīga rakstura informāciju par aktuālajām noziedzīgi iegūtu līdzekļu legalizācijas, terorisma un proliferācijas finansēšanas un ar tām saistīto noziedzīgo nodarījumu tipoloģijām. Ievērojot, ka normatīvā akta projektā neietver normas, kas dublē augstāka vai tāda paša spēka normatīvā akta tiesību normās ietverto normatīvo regulējumu </w:t>
            </w:r>
            <w:r w:rsidRPr="00141121">
              <w:rPr>
                <w:i/>
                <w:iCs/>
                <w:sz w:val="20"/>
                <w:szCs w:val="20"/>
              </w:rPr>
              <w:t xml:space="preserve">(Ministru kabineta 2009. gada 3. februāra noteikumu Nr. 108 "Normatīvo aktu projektu sagatavošanas noteikumi " 3.2. apakšpunkts), </w:t>
            </w:r>
            <w:r w:rsidRPr="00141121">
              <w:rPr>
                <w:sz w:val="20"/>
                <w:szCs w:val="20"/>
              </w:rPr>
              <w:t>lūdzam svītrot projekta 6. punktu.</w:t>
            </w:r>
          </w:p>
        </w:tc>
        <w:tc>
          <w:tcPr>
            <w:tcW w:w="3544" w:type="dxa"/>
            <w:gridSpan w:val="2"/>
            <w:tcBorders>
              <w:top w:val="single" w:sz="6" w:space="0" w:color="000000"/>
              <w:left w:val="single" w:sz="6" w:space="0" w:color="000000"/>
              <w:bottom w:val="single" w:sz="6" w:space="0" w:color="000000"/>
              <w:right w:val="single" w:sz="6" w:space="0" w:color="000000"/>
            </w:tcBorders>
          </w:tcPr>
          <w:p w14:paraId="215E449B" w14:textId="068541FD" w:rsidR="00141121" w:rsidRPr="00104C26" w:rsidRDefault="00A30960" w:rsidP="00557296">
            <w:pPr>
              <w:pStyle w:val="naisc"/>
              <w:spacing w:before="0" w:after="0"/>
              <w:rPr>
                <w:b/>
                <w:sz w:val="20"/>
                <w:szCs w:val="20"/>
              </w:rPr>
            </w:pPr>
            <w:r w:rsidRPr="00104C26">
              <w:rPr>
                <w:b/>
                <w:sz w:val="20"/>
                <w:szCs w:val="20"/>
              </w:rPr>
              <w:lastRenderedPageBreak/>
              <w:t>Iebildums</w:t>
            </w:r>
            <w:r>
              <w:rPr>
                <w:b/>
                <w:sz w:val="20"/>
                <w:szCs w:val="20"/>
              </w:rPr>
              <w:t xml:space="preserve"> ņemts vērā</w:t>
            </w:r>
          </w:p>
        </w:tc>
        <w:tc>
          <w:tcPr>
            <w:tcW w:w="3969" w:type="dxa"/>
            <w:tcBorders>
              <w:top w:val="single" w:sz="4" w:space="0" w:color="auto"/>
              <w:left w:val="single" w:sz="4" w:space="0" w:color="auto"/>
              <w:bottom w:val="single" w:sz="4" w:space="0" w:color="auto"/>
            </w:tcBorders>
          </w:tcPr>
          <w:p w14:paraId="387AA349" w14:textId="760DA0A1" w:rsidR="00141121" w:rsidRPr="001C17D6" w:rsidRDefault="00096140" w:rsidP="00557296">
            <w:pPr>
              <w:pStyle w:val="NoSpacing"/>
              <w:jc w:val="both"/>
              <w:rPr>
                <w:rFonts w:ascii="Times New Roman" w:hAnsi="Times New Roman"/>
                <w:sz w:val="20"/>
                <w:szCs w:val="20"/>
              </w:rPr>
            </w:pPr>
            <w:r>
              <w:rPr>
                <w:rFonts w:ascii="Times New Roman" w:hAnsi="Times New Roman"/>
                <w:sz w:val="20"/>
                <w:szCs w:val="20"/>
              </w:rPr>
              <w:t>Noteikumu projekta 6.punkts svītrots.</w:t>
            </w:r>
          </w:p>
        </w:tc>
      </w:tr>
      <w:tr w:rsidR="00141121" w:rsidRPr="00104C26" w14:paraId="349AE8E8" w14:textId="77777777" w:rsidTr="00557296">
        <w:tc>
          <w:tcPr>
            <w:tcW w:w="559" w:type="dxa"/>
            <w:tcBorders>
              <w:top w:val="single" w:sz="6" w:space="0" w:color="000000"/>
              <w:left w:val="single" w:sz="6" w:space="0" w:color="000000"/>
              <w:bottom w:val="single" w:sz="6" w:space="0" w:color="000000"/>
              <w:right w:val="single" w:sz="6" w:space="0" w:color="000000"/>
            </w:tcBorders>
          </w:tcPr>
          <w:p w14:paraId="09F2090A" w14:textId="5F2B0366" w:rsidR="00141121" w:rsidRPr="00104C26" w:rsidRDefault="0020788A" w:rsidP="00557296">
            <w:pPr>
              <w:pStyle w:val="naisc"/>
              <w:spacing w:before="0" w:after="0"/>
              <w:rPr>
                <w:sz w:val="20"/>
                <w:szCs w:val="20"/>
              </w:rPr>
            </w:pPr>
            <w:r>
              <w:rPr>
                <w:sz w:val="20"/>
                <w:szCs w:val="20"/>
              </w:rPr>
              <w:t>4</w:t>
            </w:r>
            <w:r w:rsidR="00141121">
              <w:rPr>
                <w:sz w:val="20"/>
                <w:szCs w:val="20"/>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25516ED2" w14:textId="5E302740" w:rsidR="00141121" w:rsidRPr="00141121" w:rsidRDefault="00141121" w:rsidP="00141121">
            <w:pPr>
              <w:shd w:val="clear" w:color="auto" w:fill="FFFFFF"/>
              <w:jc w:val="both"/>
              <w:rPr>
                <w:b/>
                <w:color w:val="000000" w:themeColor="text1"/>
                <w:sz w:val="20"/>
                <w:szCs w:val="20"/>
              </w:rPr>
            </w:pPr>
            <w:r w:rsidRPr="00141121">
              <w:rPr>
                <w:b/>
                <w:sz w:val="20"/>
                <w:szCs w:val="20"/>
              </w:rPr>
              <w:t>Noteikumu projekta 10. un 11. punkts:</w:t>
            </w:r>
          </w:p>
          <w:p w14:paraId="6A6F7032" w14:textId="1FD0DE36" w:rsidR="00141121" w:rsidRPr="00141121" w:rsidRDefault="00141121" w:rsidP="00141121">
            <w:pPr>
              <w:shd w:val="clear" w:color="auto" w:fill="FFFFFF"/>
              <w:tabs>
                <w:tab w:val="left" w:pos="709"/>
              </w:tabs>
              <w:jc w:val="both"/>
              <w:rPr>
                <w:color w:val="000000" w:themeColor="text1"/>
                <w:sz w:val="20"/>
                <w:szCs w:val="20"/>
              </w:rPr>
            </w:pPr>
            <w:r w:rsidRPr="00141121">
              <w:rPr>
                <w:color w:val="000000" w:themeColor="text1"/>
                <w:sz w:val="20"/>
                <w:szCs w:val="20"/>
              </w:rPr>
              <w:t xml:space="preserve">„10.Finanšu izlūkošanas dienests XML shēmas struktūru jeb </w:t>
            </w:r>
            <w:r w:rsidRPr="00141121">
              <w:rPr>
                <w:i/>
                <w:iCs/>
                <w:color w:val="000000" w:themeColor="text1"/>
                <w:sz w:val="20"/>
                <w:szCs w:val="20"/>
              </w:rPr>
              <w:t xml:space="preserve">XML </w:t>
            </w:r>
            <w:proofErr w:type="spellStart"/>
            <w:r w:rsidRPr="00141121">
              <w:rPr>
                <w:i/>
                <w:iCs/>
                <w:color w:val="000000" w:themeColor="text1"/>
                <w:sz w:val="20"/>
                <w:szCs w:val="20"/>
              </w:rPr>
              <w:t>Schema</w:t>
            </w:r>
            <w:proofErr w:type="spellEnd"/>
            <w:r w:rsidRPr="00141121">
              <w:rPr>
                <w:i/>
                <w:iCs/>
                <w:color w:val="000000" w:themeColor="text1"/>
                <w:sz w:val="20"/>
                <w:szCs w:val="20"/>
              </w:rPr>
              <w:t xml:space="preserve"> </w:t>
            </w:r>
            <w:proofErr w:type="spellStart"/>
            <w:r w:rsidRPr="00141121">
              <w:rPr>
                <w:i/>
                <w:iCs/>
                <w:color w:val="000000" w:themeColor="text1"/>
                <w:sz w:val="20"/>
                <w:szCs w:val="20"/>
              </w:rPr>
              <w:t>Definition</w:t>
            </w:r>
            <w:proofErr w:type="spellEnd"/>
            <w:r w:rsidRPr="00141121">
              <w:rPr>
                <w:color w:val="000000" w:themeColor="text1"/>
                <w:sz w:val="20"/>
                <w:szCs w:val="20"/>
              </w:rPr>
              <w:t xml:space="preserve"> (turpmāk - XSD) shēmu uztur savā tīmekļvietnē www.fid.gov.lv, darot to pieejamu likuma subjektiem un to uzraudzības un kontroles institūcijām.”</w:t>
            </w:r>
          </w:p>
          <w:p w14:paraId="50301856" w14:textId="77777777" w:rsidR="00141121" w:rsidRPr="00141121" w:rsidRDefault="00141121" w:rsidP="00141121">
            <w:pPr>
              <w:pStyle w:val="ListParagraph"/>
              <w:jc w:val="both"/>
              <w:rPr>
                <w:color w:val="000000" w:themeColor="text1"/>
                <w:sz w:val="20"/>
                <w:szCs w:val="20"/>
              </w:rPr>
            </w:pPr>
          </w:p>
          <w:p w14:paraId="602283D7" w14:textId="20B14181" w:rsidR="00141121" w:rsidRPr="00141121" w:rsidRDefault="00141121" w:rsidP="00141121">
            <w:pPr>
              <w:shd w:val="clear" w:color="auto" w:fill="FFFFFF"/>
              <w:tabs>
                <w:tab w:val="left" w:pos="709"/>
              </w:tabs>
              <w:jc w:val="both"/>
              <w:rPr>
                <w:color w:val="000000" w:themeColor="text1"/>
                <w:sz w:val="20"/>
                <w:szCs w:val="20"/>
              </w:rPr>
            </w:pPr>
            <w:r w:rsidRPr="00141121">
              <w:rPr>
                <w:color w:val="000000" w:themeColor="text1"/>
                <w:sz w:val="20"/>
                <w:szCs w:val="20"/>
              </w:rPr>
              <w:t>„11.Ja Finanšu izlūkošanas dienests veic būtiskas izmaiņas šo noteikumu 10.punktā minētajā XSD shēmā, tad ne vēlāk kā divus mēnešus pirms izmaiņu stāšanās spēkā Finanšu izlūkošanas dienests publicē jauno XSD shēmu.”</w:t>
            </w:r>
          </w:p>
          <w:p w14:paraId="6CB79B00" w14:textId="77777777" w:rsidR="00141121" w:rsidRPr="00141121" w:rsidRDefault="00141121" w:rsidP="00141121">
            <w:pPr>
              <w:shd w:val="clear" w:color="auto" w:fill="FFFFFF"/>
              <w:ind w:firstLine="300"/>
              <w:jc w:val="both"/>
              <w:rPr>
                <w:color w:val="000000" w:themeColor="text1"/>
                <w:sz w:val="20"/>
                <w:szCs w:val="20"/>
              </w:rPr>
            </w:pPr>
          </w:p>
          <w:p w14:paraId="5AC24FCD" w14:textId="77777777" w:rsidR="00141121" w:rsidRPr="00141121" w:rsidRDefault="00141121" w:rsidP="00141121">
            <w:pPr>
              <w:shd w:val="clear" w:color="auto" w:fill="FFFFFF"/>
              <w:tabs>
                <w:tab w:val="left" w:pos="993"/>
              </w:tabs>
              <w:jc w:val="both"/>
              <w:rPr>
                <w:b/>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6B7C4E9A" w14:textId="77777777" w:rsidR="00141121" w:rsidRDefault="00141121" w:rsidP="00557296">
            <w:pPr>
              <w:jc w:val="center"/>
              <w:rPr>
                <w:b/>
                <w:bCs/>
                <w:sz w:val="20"/>
                <w:szCs w:val="20"/>
              </w:rPr>
            </w:pPr>
            <w:r>
              <w:rPr>
                <w:b/>
                <w:bCs/>
                <w:sz w:val="20"/>
                <w:szCs w:val="20"/>
              </w:rPr>
              <w:t>Tieslietu ministrija</w:t>
            </w:r>
          </w:p>
          <w:p w14:paraId="1AE04FB3" w14:textId="77777777" w:rsidR="00141121" w:rsidRDefault="00141121" w:rsidP="00557296">
            <w:pPr>
              <w:jc w:val="center"/>
              <w:rPr>
                <w:b/>
                <w:bCs/>
                <w:sz w:val="20"/>
                <w:szCs w:val="20"/>
              </w:rPr>
            </w:pPr>
          </w:p>
          <w:p w14:paraId="7F49EB2C" w14:textId="77777777" w:rsidR="00141121" w:rsidRPr="00141121" w:rsidRDefault="00141121" w:rsidP="00141121">
            <w:pPr>
              <w:jc w:val="both"/>
              <w:rPr>
                <w:sz w:val="20"/>
                <w:szCs w:val="20"/>
              </w:rPr>
            </w:pPr>
            <w:r w:rsidRPr="00141121">
              <w:rPr>
                <w:sz w:val="20"/>
                <w:szCs w:val="20"/>
              </w:rPr>
              <w:t>Projekta 10. un 11. punkts noteic Finanšu izlūkošanas dienesta pienākumus XML shēmas struktūras uzturēšanā un izmaiņu veikšanā. Norādām, ka nav saprotams, kā minētie projekta punkti attiecas uz projektā regulējamo jautājumu, proti, kārtību, kādā iesniedzami ziņojumi par aizdomīgiem darījumiem. Tāpat papildus norādām, ka normatīvā akta projektu raksta, ievērojot valsts valodas prasības, kā arī tam ir jābūt lakoniskam un saprotamam (</w:t>
            </w:r>
            <w:r w:rsidRPr="00141121">
              <w:rPr>
                <w:i/>
                <w:iCs/>
                <w:sz w:val="20"/>
                <w:szCs w:val="20"/>
              </w:rPr>
              <w:t xml:space="preserve">Ministru kabineta 2009. gada 3. februāra noteikumu Nr. 108 "Normatīvo aktu projektu sagatavošanas noteikumi " 2.1. un 2.2. apakšpunkts). </w:t>
            </w:r>
            <w:r w:rsidRPr="00141121">
              <w:rPr>
                <w:sz w:val="20"/>
                <w:szCs w:val="20"/>
              </w:rPr>
              <w:t>Ievērojot minēto, lūdzam attiecīgi precizēt projekta 10. un 11. punktu.</w:t>
            </w:r>
          </w:p>
          <w:p w14:paraId="11286ED3" w14:textId="6B0C176A" w:rsidR="00141121" w:rsidRPr="001C17D6" w:rsidRDefault="00141121" w:rsidP="005E2845">
            <w:pPr>
              <w:ind w:firstLine="720"/>
              <w:jc w:val="both"/>
              <w:rPr>
                <w:b/>
                <w:bCs/>
                <w:sz w:val="20"/>
                <w:szCs w:val="20"/>
              </w:rPr>
            </w:pPr>
            <w:r w:rsidRPr="00141121">
              <w:rPr>
                <w:sz w:val="20"/>
                <w:szCs w:val="20"/>
              </w:rPr>
              <w:t>Papildus lūdzam projekta sākotnējās (</w:t>
            </w:r>
            <w:proofErr w:type="spellStart"/>
            <w:r w:rsidRPr="00141121">
              <w:rPr>
                <w:i/>
                <w:iCs/>
                <w:sz w:val="20"/>
                <w:szCs w:val="20"/>
              </w:rPr>
              <w:t>ex</w:t>
            </w:r>
            <w:proofErr w:type="spellEnd"/>
            <w:r w:rsidRPr="00141121">
              <w:rPr>
                <w:i/>
                <w:iCs/>
                <w:sz w:val="20"/>
                <w:szCs w:val="20"/>
              </w:rPr>
              <w:t xml:space="preserve"> – </w:t>
            </w:r>
            <w:proofErr w:type="spellStart"/>
            <w:r w:rsidRPr="00141121">
              <w:rPr>
                <w:i/>
                <w:iCs/>
                <w:sz w:val="20"/>
                <w:szCs w:val="20"/>
              </w:rPr>
              <w:t>ante</w:t>
            </w:r>
            <w:proofErr w:type="spellEnd"/>
            <w:r w:rsidRPr="00141121">
              <w:rPr>
                <w:i/>
                <w:iCs/>
                <w:sz w:val="20"/>
                <w:szCs w:val="20"/>
              </w:rPr>
              <w:t xml:space="preserve">) </w:t>
            </w:r>
            <w:r w:rsidRPr="00141121">
              <w:rPr>
                <w:sz w:val="20"/>
                <w:szCs w:val="20"/>
              </w:rPr>
              <w:t xml:space="preserve">ietekmes novērtējuma ziņojuma (turpmāk – </w:t>
            </w:r>
            <w:r w:rsidRPr="00141121">
              <w:rPr>
                <w:sz w:val="20"/>
                <w:szCs w:val="20"/>
              </w:rPr>
              <w:lastRenderedPageBreak/>
              <w:t xml:space="preserve">anotācija) I sadaļas 2. punktā skaidrot gan minēto projekta punktu, gan citu projektā iekļauto vienību mērķi un būtību </w:t>
            </w:r>
            <w:r w:rsidRPr="00141121">
              <w:rPr>
                <w:i/>
                <w:iCs/>
                <w:sz w:val="20"/>
                <w:szCs w:val="20"/>
              </w:rPr>
              <w:t xml:space="preserve">(Smiltēna A., </w:t>
            </w:r>
            <w:proofErr w:type="spellStart"/>
            <w:r w:rsidRPr="00141121">
              <w:rPr>
                <w:i/>
                <w:iCs/>
                <w:sz w:val="20"/>
                <w:szCs w:val="20"/>
              </w:rPr>
              <w:t>Bloma</w:t>
            </w:r>
            <w:proofErr w:type="spellEnd"/>
            <w:r w:rsidRPr="00141121">
              <w:rPr>
                <w:i/>
                <w:iCs/>
                <w:sz w:val="20"/>
                <w:szCs w:val="20"/>
              </w:rPr>
              <w:t xml:space="preserve"> I. Tiesību akta projekta ietekmes sākotnējā izvērtēšana. [</w:t>
            </w:r>
            <w:proofErr w:type="spellStart"/>
            <w:r w:rsidRPr="00141121">
              <w:rPr>
                <w:i/>
                <w:iCs/>
                <w:sz w:val="20"/>
                <w:szCs w:val="20"/>
              </w:rPr>
              <w:t>B.v</w:t>
            </w:r>
            <w:proofErr w:type="spellEnd"/>
            <w:r w:rsidRPr="00141121">
              <w:rPr>
                <w:i/>
                <w:iCs/>
                <w:sz w:val="20"/>
                <w:szCs w:val="20"/>
              </w:rPr>
              <w:t xml:space="preserve">.]: Valsts kanceleja, 2014, 17. lpp.), </w:t>
            </w:r>
            <w:r w:rsidRPr="00141121">
              <w:rPr>
                <w:sz w:val="20"/>
                <w:szCs w:val="20"/>
              </w:rPr>
              <w:t>necitējot projektā ietvertās normas.</w:t>
            </w:r>
          </w:p>
        </w:tc>
        <w:tc>
          <w:tcPr>
            <w:tcW w:w="3544" w:type="dxa"/>
            <w:gridSpan w:val="2"/>
            <w:tcBorders>
              <w:top w:val="single" w:sz="6" w:space="0" w:color="000000"/>
              <w:left w:val="single" w:sz="6" w:space="0" w:color="000000"/>
              <w:bottom w:val="single" w:sz="6" w:space="0" w:color="000000"/>
              <w:right w:val="single" w:sz="6" w:space="0" w:color="000000"/>
            </w:tcBorders>
          </w:tcPr>
          <w:p w14:paraId="57303F23" w14:textId="56E7D4CE" w:rsidR="00141121" w:rsidRPr="00104C26" w:rsidRDefault="00A30960" w:rsidP="00557296">
            <w:pPr>
              <w:pStyle w:val="naisc"/>
              <w:spacing w:before="0" w:after="0"/>
              <w:rPr>
                <w:b/>
                <w:sz w:val="20"/>
                <w:szCs w:val="20"/>
              </w:rPr>
            </w:pPr>
            <w:r w:rsidRPr="00104C26">
              <w:rPr>
                <w:b/>
                <w:sz w:val="20"/>
                <w:szCs w:val="20"/>
              </w:rPr>
              <w:lastRenderedPageBreak/>
              <w:t>Iebildums</w:t>
            </w:r>
            <w:r>
              <w:rPr>
                <w:b/>
                <w:sz w:val="20"/>
                <w:szCs w:val="20"/>
              </w:rPr>
              <w:t xml:space="preserve"> ņ</w:t>
            </w:r>
            <w:r w:rsidR="00141121">
              <w:rPr>
                <w:b/>
                <w:sz w:val="20"/>
                <w:szCs w:val="20"/>
              </w:rPr>
              <w:t>emts vērā</w:t>
            </w:r>
          </w:p>
        </w:tc>
        <w:tc>
          <w:tcPr>
            <w:tcW w:w="3969" w:type="dxa"/>
            <w:tcBorders>
              <w:top w:val="single" w:sz="4" w:space="0" w:color="auto"/>
              <w:left w:val="single" w:sz="4" w:space="0" w:color="auto"/>
              <w:bottom w:val="single" w:sz="4" w:space="0" w:color="auto"/>
            </w:tcBorders>
          </w:tcPr>
          <w:p w14:paraId="70F2FB2D" w14:textId="69C771D6" w:rsidR="00141121" w:rsidRPr="001C17D6" w:rsidRDefault="00F035E8" w:rsidP="00557296">
            <w:pPr>
              <w:pStyle w:val="NoSpacing"/>
              <w:jc w:val="both"/>
              <w:rPr>
                <w:rFonts w:ascii="Times New Roman" w:hAnsi="Times New Roman"/>
                <w:sz w:val="20"/>
                <w:szCs w:val="20"/>
              </w:rPr>
            </w:pPr>
            <w:r>
              <w:rPr>
                <w:rFonts w:ascii="Times New Roman" w:hAnsi="Times New Roman"/>
                <w:sz w:val="20"/>
                <w:szCs w:val="20"/>
              </w:rPr>
              <w:t>Noteikumu 10.un 11.punkts svītrots.</w:t>
            </w:r>
          </w:p>
        </w:tc>
      </w:tr>
      <w:tr w:rsidR="0020788A" w:rsidRPr="00104C26" w14:paraId="5CDC3D6B" w14:textId="77777777" w:rsidTr="00557296">
        <w:tc>
          <w:tcPr>
            <w:tcW w:w="559" w:type="dxa"/>
            <w:tcBorders>
              <w:top w:val="single" w:sz="6" w:space="0" w:color="000000"/>
              <w:left w:val="single" w:sz="6" w:space="0" w:color="000000"/>
              <w:bottom w:val="single" w:sz="6" w:space="0" w:color="000000"/>
              <w:right w:val="single" w:sz="6" w:space="0" w:color="000000"/>
            </w:tcBorders>
          </w:tcPr>
          <w:p w14:paraId="578C3295" w14:textId="5919703B" w:rsidR="0020788A" w:rsidRDefault="0020788A" w:rsidP="00557296">
            <w:pPr>
              <w:pStyle w:val="naisc"/>
              <w:spacing w:before="0" w:after="0"/>
              <w:rPr>
                <w:sz w:val="20"/>
                <w:szCs w:val="20"/>
              </w:rPr>
            </w:pPr>
            <w:r>
              <w:rPr>
                <w:sz w:val="20"/>
                <w:szCs w:val="20"/>
              </w:rPr>
              <w:t>5.</w:t>
            </w:r>
          </w:p>
        </w:tc>
        <w:tc>
          <w:tcPr>
            <w:tcW w:w="2977" w:type="dxa"/>
            <w:gridSpan w:val="2"/>
            <w:tcBorders>
              <w:top w:val="single" w:sz="6" w:space="0" w:color="000000"/>
              <w:left w:val="single" w:sz="6" w:space="0" w:color="000000"/>
              <w:bottom w:val="single" w:sz="6" w:space="0" w:color="000000"/>
              <w:right w:val="single" w:sz="6" w:space="0" w:color="000000"/>
            </w:tcBorders>
          </w:tcPr>
          <w:p w14:paraId="35614CD9" w14:textId="77777777" w:rsidR="0020788A" w:rsidRPr="00141121" w:rsidRDefault="0020788A" w:rsidP="0020788A">
            <w:pPr>
              <w:shd w:val="clear" w:color="auto" w:fill="FFFFFF"/>
              <w:jc w:val="both"/>
              <w:rPr>
                <w:b/>
                <w:color w:val="000000" w:themeColor="text1"/>
                <w:sz w:val="20"/>
                <w:szCs w:val="20"/>
              </w:rPr>
            </w:pPr>
            <w:r w:rsidRPr="00141121">
              <w:rPr>
                <w:b/>
                <w:sz w:val="20"/>
                <w:szCs w:val="20"/>
              </w:rPr>
              <w:t>Noteikumu projekta 12. punkts:</w:t>
            </w:r>
          </w:p>
          <w:p w14:paraId="70CDF114" w14:textId="77777777" w:rsidR="0020788A" w:rsidRPr="00141121" w:rsidRDefault="0020788A" w:rsidP="0020788A">
            <w:pPr>
              <w:shd w:val="clear" w:color="auto" w:fill="FFFFFF"/>
              <w:tabs>
                <w:tab w:val="left" w:pos="709"/>
              </w:tabs>
              <w:jc w:val="both"/>
              <w:rPr>
                <w:color w:val="000000" w:themeColor="text1"/>
                <w:sz w:val="20"/>
                <w:szCs w:val="20"/>
              </w:rPr>
            </w:pPr>
            <w:r w:rsidRPr="00141121">
              <w:rPr>
                <w:color w:val="000000" w:themeColor="text1"/>
                <w:sz w:val="20"/>
                <w:szCs w:val="20"/>
              </w:rPr>
              <w:t>„12.Citām personām ir tiesības iesniegt ziņojumu papīra formā, aizpildot</w:t>
            </w:r>
            <w:r>
              <w:rPr>
                <w:color w:val="000000" w:themeColor="text1"/>
                <w:sz w:val="20"/>
                <w:szCs w:val="20"/>
              </w:rPr>
              <w:t xml:space="preserve"> </w:t>
            </w:r>
            <w:r w:rsidRPr="00141121">
              <w:rPr>
                <w:color w:val="000000" w:themeColor="text1"/>
                <w:sz w:val="20"/>
                <w:szCs w:val="20"/>
              </w:rPr>
              <w:t>šo noteikumu </w:t>
            </w:r>
            <w:hyperlink r:id="rId8" w:anchor="piel1" w:history="1">
              <w:r w:rsidRPr="00141121">
                <w:rPr>
                  <w:color w:val="000000" w:themeColor="text1"/>
                  <w:sz w:val="20"/>
                  <w:szCs w:val="20"/>
                </w:rPr>
                <w:t>2</w:t>
              </w:r>
            </w:hyperlink>
            <w:r>
              <w:rPr>
                <w:color w:val="000000" w:themeColor="text1"/>
                <w:sz w:val="20"/>
                <w:szCs w:val="20"/>
              </w:rPr>
              <w:t>.</w:t>
            </w:r>
            <w:r w:rsidRPr="00141121">
              <w:rPr>
                <w:color w:val="000000" w:themeColor="text1"/>
                <w:sz w:val="20"/>
                <w:szCs w:val="20"/>
              </w:rPr>
              <w:t xml:space="preserve"> pielikumā minēto veidlapu.” </w:t>
            </w:r>
          </w:p>
          <w:p w14:paraId="387D5665" w14:textId="77777777" w:rsidR="0020788A" w:rsidRPr="00141121" w:rsidRDefault="0020788A" w:rsidP="00141121">
            <w:pPr>
              <w:shd w:val="clear" w:color="auto" w:fill="FFFFFF"/>
              <w:jc w:val="both"/>
              <w:rPr>
                <w:b/>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7BAB26BE" w14:textId="77777777" w:rsidR="0020788A" w:rsidRDefault="0020788A" w:rsidP="0020788A">
            <w:pPr>
              <w:jc w:val="center"/>
              <w:rPr>
                <w:b/>
                <w:bCs/>
                <w:sz w:val="20"/>
                <w:szCs w:val="20"/>
              </w:rPr>
            </w:pPr>
            <w:r>
              <w:rPr>
                <w:b/>
                <w:bCs/>
                <w:sz w:val="20"/>
                <w:szCs w:val="20"/>
              </w:rPr>
              <w:t>Tieslietu ministrija</w:t>
            </w:r>
          </w:p>
          <w:p w14:paraId="6FFA4DAB" w14:textId="77777777" w:rsidR="0020788A" w:rsidRPr="002149C5" w:rsidRDefault="0020788A" w:rsidP="0020788A">
            <w:pPr>
              <w:jc w:val="both"/>
              <w:rPr>
                <w:sz w:val="20"/>
                <w:szCs w:val="20"/>
              </w:rPr>
            </w:pPr>
            <w:r w:rsidRPr="002149C5">
              <w:rPr>
                <w:sz w:val="20"/>
                <w:szCs w:val="20"/>
              </w:rPr>
              <w:t xml:space="preserve">Projekta 12. punkts noteic, ka citām personām ir tiesības iesniegt ziņojumu papīra formātā, aizpildot šo noteikumu 2. pielikumā minēto veidlapu. Norādām, ka nav saprotams, kas minētajā tiesību normā tiek saprasts ar vārdkopu "citas personas", ievērojot, ka ziņošanas pienākums par aizdomīgajiem darījumiem ir likumā norādītajiem "likuma subjektiem" </w:t>
            </w:r>
            <w:r w:rsidRPr="002149C5">
              <w:rPr>
                <w:i/>
                <w:iCs/>
                <w:sz w:val="20"/>
                <w:szCs w:val="20"/>
              </w:rPr>
              <w:t xml:space="preserve">(skat. likuma 3. panta pirmo daļu). </w:t>
            </w:r>
            <w:r w:rsidRPr="002149C5">
              <w:rPr>
                <w:sz w:val="20"/>
                <w:szCs w:val="20"/>
              </w:rPr>
              <w:t xml:space="preserve">Ievērojot minēto, lūdzam precizēt projekta 12. punktu. </w:t>
            </w:r>
          </w:p>
          <w:p w14:paraId="3B68397B" w14:textId="77777777" w:rsidR="0020788A" w:rsidRDefault="0020788A" w:rsidP="00557296">
            <w:pPr>
              <w:jc w:val="center"/>
              <w:rPr>
                <w:b/>
                <w:bCs/>
                <w:sz w:val="20"/>
                <w:szCs w:val="20"/>
              </w:rPr>
            </w:pPr>
          </w:p>
        </w:tc>
        <w:tc>
          <w:tcPr>
            <w:tcW w:w="3544" w:type="dxa"/>
            <w:gridSpan w:val="2"/>
            <w:tcBorders>
              <w:top w:val="single" w:sz="6" w:space="0" w:color="000000"/>
              <w:left w:val="single" w:sz="6" w:space="0" w:color="000000"/>
              <w:bottom w:val="single" w:sz="6" w:space="0" w:color="000000"/>
              <w:right w:val="single" w:sz="6" w:space="0" w:color="000000"/>
            </w:tcBorders>
          </w:tcPr>
          <w:p w14:paraId="264F260C" w14:textId="7C1D6CA1" w:rsidR="0020788A" w:rsidRDefault="0020788A" w:rsidP="0020788A">
            <w:pPr>
              <w:pStyle w:val="naisc"/>
              <w:spacing w:before="0" w:after="0"/>
              <w:rPr>
                <w:b/>
                <w:sz w:val="20"/>
                <w:szCs w:val="20"/>
              </w:rPr>
            </w:pPr>
            <w:r>
              <w:rPr>
                <w:b/>
                <w:sz w:val="20"/>
                <w:szCs w:val="20"/>
              </w:rPr>
              <w:t>Iebildums daļēji ņemts vērā</w:t>
            </w:r>
          </w:p>
          <w:p w14:paraId="45737446" w14:textId="77777777" w:rsidR="0020788A" w:rsidRPr="002149C5" w:rsidRDefault="0020788A" w:rsidP="0020788A">
            <w:pPr>
              <w:pStyle w:val="naisc"/>
              <w:spacing w:before="0" w:after="0"/>
              <w:jc w:val="both"/>
              <w:rPr>
                <w:b/>
                <w:color w:val="000000" w:themeColor="text1"/>
                <w:sz w:val="20"/>
                <w:szCs w:val="20"/>
              </w:rPr>
            </w:pPr>
          </w:p>
          <w:p w14:paraId="79407A11" w14:textId="77777777" w:rsidR="0020788A" w:rsidRPr="004631DB" w:rsidRDefault="0020788A" w:rsidP="0020788A">
            <w:pPr>
              <w:pStyle w:val="naisc"/>
              <w:spacing w:before="0" w:after="0"/>
              <w:jc w:val="both"/>
              <w:rPr>
                <w:bCs/>
                <w:color w:val="000000" w:themeColor="text1"/>
                <w:sz w:val="20"/>
                <w:szCs w:val="20"/>
                <w:shd w:val="clear" w:color="auto" w:fill="FFFFFF"/>
              </w:rPr>
            </w:pPr>
            <w:r w:rsidRPr="004631DB">
              <w:rPr>
                <w:bCs/>
                <w:color w:val="000000" w:themeColor="text1"/>
                <w:sz w:val="20"/>
                <w:szCs w:val="20"/>
                <w:shd w:val="clear" w:color="auto" w:fill="FFFFFF"/>
              </w:rPr>
              <w:t xml:space="preserve">Noziedzīgi iegūtu līdzekļu legalizācijas un terorisma un proliferācijas finansēšanas novēršanas likuma (turpmāk – Likums) 3.panta pirmajā daļā ir uzskaitīti Likuma subjekti: </w:t>
            </w:r>
          </w:p>
          <w:p w14:paraId="3997D9CF"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kredītiestādes;</w:t>
            </w:r>
          </w:p>
          <w:p w14:paraId="118BA8F4"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2) finanšu iestādes;</w:t>
            </w:r>
          </w:p>
          <w:p w14:paraId="35DD4872"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3) ārpakalpojuma grāmatveži, zvērināti revidenti, zvērinātu revidentu komercsabiedrības un nodokļu konsultanti, kā arī jebkura cita persona, kas apņemas sniegt palīdzību nodokļu jautājumos (piemēram, konsultācijas vai materiālu palīdzību) vai rīkojas kā starpnieks šādas palīdzības sniegšanā neatkarīgi no tās sniegšanas biežuma un atlīdzības esības;</w:t>
            </w:r>
          </w:p>
          <w:p w14:paraId="053112E9"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4) zvērināti notāri, zvērināti advokāti, citi neatkarīgi juridisko pakalpojumu sniedzēji, kad tie, darbojoties savu klientu vārdā un labā, sniedz palīdzību darījumu plānošanā vai veikšanā, piedalās tajos vai veic citas ar darījumiem saistītas profesionālas darbības sava klienta labā attiecībā uz:</w:t>
            </w:r>
          </w:p>
          <w:p w14:paraId="46AF31C9" w14:textId="77777777" w:rsidR="0020788A" w:rsidRPr="002149C5" w:rsidRDefault="0020788A" w:rsidP="0020788A">
            <w:pPr>
              <w:pStyle w:val="tv213"/>
              <w:shd w:val="clear" w:color="auto" w:fill="FFFFFF"/>
              <w:spacing w:before="0" w:beforeAutospacing="0" w:after="0" w:afterAutospacing="0"/>
              <w:ind w:left="9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lastRenderedPageBreak/>
              <w:t>a) nekustamā īpašuma, komercsabiedrības kapitāla daļu pirkšanu vai pārdošanu,</w:t>
            </w:r>
          </w:p>
          <w:p w14:paraId="4A15CE40" w14:textId="77777777" w:rsidR="0020788A" w:rsidRPr="002149C5" w:rsidRDefault="0020788A" w:rsidP="0020788A">
            <w:pPr>
              <w:pStyle w:val="tv213"/>
              <w:shd w:val="clear" w:color="auto" w:fill="FFFFFF"/>
              <w:spacing w:before="0" w:beforeAutospacing="0" w:after="0" w:afterAutospacing="0"/>
              <w:ind w:left="9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b) klienta naudas, finanšu instrumentu un citu līdzekļu pārvaldīšanu,</w:t>
            </w:r>
          </w:p>
          <w:p w14:paraId="41964C1C" w14:textId="77777777" w:rsidR="0020788A" w:rsidRPr="002149C5" w:rsidRDefault="0020788A" w:rsidP="0020788A">
            <w:pPr>
              <w:pStyle w:val="tv213"/>
              <w:shd w:val="clear" w:color="auto" w:fill="FFFFFF"/>
              <w:spacing w:before="0" w:beforeAutospacing="0" w:after="0" w:afterAutospacing="0"/>
              <w:ind w:left="9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c) visu veidu kontu atvēršanu vai pārvaldīšanu kredītiestādēs vai finanšu iestādēs,</w:t>
            </w:r>
          </w:p>
          <w:p w14:paraId="3DF2A65D" w14:textId="77777777" w:rsidR="0020788A" w:rsidRPr="002149C5" w:rsidRDefault="0020788A" w:rsidP="0020788A">
            <w:pPr>
              <w:pStyle w:val="tv213"/>
              <w:shd w:val="clear" w:color="auto" w:fill="FFFFFF"/>
              <w:spacing w:before="0" w:beforeAutospacing="0" w:after="0" w:afterAutospacing="0"/>
              <w:ind w:left="9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d) juridisko personu vai juridisku veidojumu dibināšanu, vadību vai darbības nodrošināšanu, kā arī attiecībā uz juridiskās personas vai juridiska veidojuma dibināšanai, vadīšanai vai pārvaldīšanai nepieciešamo ieguldījumu veikšanu;</w:t>
            </w:r>
          </w:p>
          <w:p w14:paraId="20E50F9C"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5) juridiska veidojuma vai juridiskās personas dibināšanas un darbības nodrošināšanas pakalpojumu sniedzēji;</w:t>
            </w:r>
          </w:p>
          <w:p w14:paraId="0E9494A3"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6) personas, kas darbojas kā aģenti vai starpnieki darījumos ar nekustamo īpašumu, tostarp gadījumos, kad tās rīkojas kā nekustamā īpašuma nomas starpnieki attiecībā uz darījumiem, kuriem ikmēneša nomas maksa ir 10 000 </w:t>
            </w:r>
            <w:r w:rsidRPr="002149C5">
              <w:rPr>
                <w:rFonts w:ascii="Times New Roman" w:hAnsi="Times New Roman" w:cs="Times New Roman"/>
                <w:i/>
                <w:iCs/>
                <w:color w:val="000000" w:themeColor="text1"/>
                <w:sz w:val="20"/>
                <w:szCs w:val="20"/>
              </w:rPr>
              <w:t>euro</w:t>
            </w:r>
            <w:r w:rsidRPr="002149C5">
              <w:rPr>
                <w:rFonts w:ascii="Times New Roman" w:hAnsi="Times New Roman" w:cs="Times New Roman"/>
                <w:color w:val="000000" w:themeColor="text1"/>
                <w:sz w:val="20"/>
                <w:szCs w:val="20"/>
              </w:rPr>
              <w:t> vai lielāka;</w:t>
            </w:r>
          </w:p>
          <w:p w14:paraId="7516F732"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7) izložu un azartspēļu organizētāji;</w:t>
            </w:r>
          </w:p>
          <w:p w14:paraId="0D162C08"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8) personas, kas sniedz inkasācijas pakalpojumus;</w:t>
            </w:r>
          </w:p>
          <w:p w14:paraId="26A3F3EB"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 xml:space="preserve">9) citas juridiskās vai fiziskās personas, kas nodarbojas ar transportlīdzekļu, kultūras </w:t>
            </w:r>
            <w:r w:rsidRPr="002149C5">
              <w:rPr>
                <w:rFonts w:ascii="Times New Roman" w:hAnsi="Times New Roman" w:cs="Times New Roman"/>
                <w:color w:val="000000" w:themeColor="text1"/>
                <w:sz w:val="20"/>
                <w:szCs w:val="20"/>
              </w:rPr>
              <w:lastRenderedPageBreak/>
              <w:t>pieminekļu, dārgmetālu, dārgakmeņu, to izstrādājumu vai cita veida preču tirdzniecību, kā arī ar starpniecību minētajos darījumos vai cita veida pakalpojumu sniegšanu, ja maksājumu veic skaidrā naudā vai skaidru naudu par šo darījumu iemaksā kredītiestādē pārdevēja kontā 10 000 </w:t>
            </w:r>
            <w:r w:rsidRPr="002149C5">
              <w:rPr>
                <w:rFonts w:ascii="Times New Roman" w:hAnsi="Times New Roman" w:cs="Times New Roman"/>
                <w:i/>
                <w:iCs/>
                <w:color w:val="000000" w:themeColor="text1"/>
                <w:sz w:val="20"/>
                <w:szCs w:val="20"/>
              </w:rPr>
              <w:t>euro </w:t>
            </w:r>
            <w:r w:rsidRPr="002149C5">
              <w:rPr>
                <w:rFonts w:ascii="Times New Roman" w:hAnsi="Times New Roman" w:cs="Times New Roman"/>
                <w:color w:val="000000" w:themeColor="text1"/>
                <w:sz w:val="20"/>
                <w:szCs w:val="20"/>
              </w:rPr>
              <w:t>vai lielākā apmērā vai valūtā, kas saskaņā ar grāmatvedībā izmantojamo ārvalstu valūtas kursu darījuma veikšanas dienas sākumā ir ekvivalenta 10 000 </w:t>
            </w:r>
            <w:r w:rsidRPr="002149C5">
              <w:rPr>
                <w:rFonts w:ascii="Times New Roman" w:hAnsi="Times New Roman" w:cs="Times New Roman"/>
                <w:i/>
                <w:iCs/>
                <w:color w:val="000000" w:themeColor="text1"/>
                <w:sz w:val="20"/>
                <w:szCs w:val="20"/>
              </w:rPr>
              <w:t>euro </w:t>
            </w:r>
            <w:r w:rsidRPr="002149C5">
              <w:rPr>
                <w:rFonts w:ascii="Times New Roman" w:hAnsi="Times New Roman" w:cs="Times New Roman"/>
                <w:color w:val="000000" w:themeColor="text1"/>
                <w:sz w:val="20"/>
                <w:szCs w:val="20"/>
              </w:rPr>
              <w:t>vai pārsniedz šo summu, neatkarīgi no tā, vai šo darījumu veic kā vienu operāciju vai kā vairākas savstarpēji saistītas operācijas;</w:t>
            </w:r>
          </w:p>
          <w:p w14:paraId="7AD13D02"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10) parāda atgūšanas pakalpojuma sniedzēji;</w:t>
            </w:r>
          </w:p>
          <w:p w14:paraId="481E703C"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11) virtuālās valūtas pakalpojuma sniedzēji;</w:t>
            </w:r>
          </w:p>
          <w:p w14:paraId="52C48709" w14:textId="77777777" w:rsidR="0020788A" w:rsidRPr="002149C5" w:rsidRDefault="0020788A" w:rsidP="0020788A">
            <w:pPr>
              <w:pStyle w:val="tv213"/>
              <w:shd w:val="clear" w:color="auto" w:fill="FFFFFF"/>
              <w:spacing w:before="0" w:beforeAutospacing="0" w:after="0" w:afterAutospacing="0"/>
              <w:ind w:left="600"/>
              <w:jc w:val="both"/>
              <w:rPr>
                <w:rFonts w:ascii="Times New Roman" w:hAnsi="Times New Roman" w:cs="Times New Roman"/>
                <w:color w:val="000000" w:themeColor="text1"/>
                <w:sz w:val="20"/>
                <w:szCs w:val="20"/>
              </w:rPr>
            </w:pPr>
            <w:r w:rsidRPr="002149C5">
              <w:rPr>
                <w:rFonts w:ascii="Times New Roman" w:hAnsi="Times New Roman" w:cs="Times New Roman"/>
                <w:color w:val="000000" w:themeColor="text1"/>
                <w:sz w:val="20"/>
                <w:szCs w:val="20"/>
              </w:rPr>
              <w:t>12) personas, kas darbojas mākslas un antikvāro priekšmetu apritē, tos ievedot Latvijas Republikā vai izvedot no tās, glabājot vai tirgojot, tostarp tādas personas, kas šajā punktā paredzētās darbības veic antikvariātos, izsoļu namos vai ostās, ja darījuma vai vairāku šķietami saistītu darījumu kopējā summa ir 10 000 </w:t>
            </w:r>
            <w:r w:rsidRPr="002149C5">
              <w:rPr>
                <w:rFonts w:ascii="Times New Roman" w:hAnsi="Times New Roman" w:cs="Times New Roman"/>
                <w:i/>
                <w:iCs/>
                <w:color w:val="000000" w:themeColor="text1"/>
                <w:sz w:val="20"/>
                <w:szCs w:val="20"/>
              </w:rPr>
              <w:t>euro</w:t>
            </w:r>
            <w:r w:rsidRPr="002149C5">
              <w:rPr>
                <w:rFonts w:ascii="Times New Roman" w:hAnsi="Times New Roman" w:cs="Times New Roman"/>
                <w:color w:val="000000" w:themeColor="text1"/>
                <w:sz w:val="20"/>
                <w:szCs w:val="20"/>
              </w:rPr>
              <w:t> vai lielāka.</w:t>
            </w:r>
          </w:p>
          <w:p w14:paraId="587D4AEC" w14:textId="77777777" w:rsidR="0020788A" w:rsidRPr="002149C5" w:rsidRDefault="0020788A" w:rsidP="0020788A">
            <w:pPr>
              <w:pStyle w:val="tv213"/>
              <w:shd w:val="clear" w:color="auto" w:fill="FFFFFF"/>
              <w:spacing w:before="0" w:beforeAutospacing="0" w:after="0" w:afterAutospacing="0"/>
              <w:jc w:val="both"/>
              <w:rPr>
                <w:rFonts w:ascii="Times New Roman" w:hAnsi="Times New Roman" w:cs="Times New Roman"/>
                <w:color w:val="000000" w:themeColor="text1"/>
                <w:sz w:val="20"/>
                <w:szCs w:val="20"/>
              </w:rPr>
            </w:pPr>
          </w:p>
          <w:p w14:paraId="59B013BA" w14:textId="77777777" w:rsidR="0020788A" w:rsidRPr="002149C5" w:rsidRDefault="0020788A" w:rsidP="0020788A">
            <w:pPr>
              <w:pStyle w:val="tv213"/>
              <w:shd w:val="clear" w:color="auto" w:fill="FFFFFF"/>
              <w:spacing w:before="0" w:beforeAutospacing="0" w:after="0" w:afterAutospacing="0"/>
              <w:jc w:val="both"/>
              <w:rPr>
                <w:rFonts w:ascii="Times New Roman" w:hAnsi="Times New Roman" w:cs="Times New Roman"/>
                <w:color w:val="000000" w:themeColor="text1"/>
                <w:sz w:val="20"/>
                <w:szCs w:val="20"/>
                <w:shd w:val="clear" w:color="auto" w:fill="FFFFFF"/>
              </w:rPr>
            </w:pPr>
            <w:r w:rsidRPr="002149C5">
              <w:rPr>
                <w:rFonts w:ascii="Times New Roman" w:hAnsi="Times New Roman" w:cs="Times New Roman"/>
                <w:color w:val="000000" w:themeColor="text1"/>
                <w:sz w:val="20"/>
                <w:szCs w:val="20"/>
              </w:rPr>
              <w:t xml:space="preserve">Vienlaikus norādāms, ka Likuma 3.panta ceturtajā daļā ir ietverts pienākums arī </w:t>
            </w:r>
            <w:r w:rsidRPr="002149C5">
              <w:rPr>
                <w:rFonts w:ascii="Times New Roman" w:hAnsi="Times New Roman" w:cs="Times New Roman"/>
                <w:color w:val="000000" w:themeColor="text1"/>
                <w:sz w:val="20"/>
                <w:szCs w:val="20"/>
                <w:shd w:val="clear" w:color="auto" w:fill="FFFFFF"/>
              </w:rPr>
              <w:t xml:space="preserve">panta pirmajā daļā nenorādītajām personām, kā arī valsts institūcijām, atvasinātām publiskām personām un to </w:t>
            </w:r>
            <w:r w:rsidRPr="002149C5">
              <w:rPr>
                <w:rFonts w:ascii="Times New Roman" w:hAnsi="Times New Roman" w:cs="Times New Roman"/>
                <w:color w:val="000000" w:themeColor="text1"/>
                <w:sz w:val="20"/>
                <w:szCs w:val="20"/>
                <w:shd w:val="clear" w:color="auto" w:fill="FFFFFF"/>
              </w:rPr>
              <w:lastRenderedPageBreak/>
              <w:t xml:space="preserve">institūcijām pildīt Likuma prasības attiecībā uz ziņu sniegšanu par aizdomīgiem darījumiem. </w:t>
            </w:r>
          </w:p>
          <w:p w14:paraId="52F1B829" w14:textId="77777777" w:rsidR="0020788A" w:rsidRPr="002149C5" w:rsidRDefault="0020788A" w:rsidP="0020788A">
            <w:pPr>
              <w:pStyle w:val="tv213"/>
              <w:shd w:val="clear" w:color="auto" w:fill="FFFFFF"/>
              <w:spacing w:before="0" w:beforeAutospacing="0" w:after="0" w:afterAutospacing="0"/>
              <w:jc w:val="both"/>
              <w:rPr>
                <w:rFonts w:ascii="Times New Roman" w:hAnsi="Times New Roman" w:cs="Times New Roman"/>
                <w:color w:val="000000" w:themeColor="text1"/>
                <w:sz w:val="20"/>
                <w:szCs w:val="20"/>
                <w:shd w:val="clear" w:color="auto" w:fill="FFFFFF"/>
              </w:rPr>
            </w:pPr>
          </w:p>
          <w:p w14:paraId="1E32E4D3" w14:textId="77777777" w:rsidR="0020788A" w:rsidRPr="002149C5" w:rsidRDefault="0020788A" w:rsidP="0020788A">
            <w:pPr>
              <w:pStyle w:val="tv213"/>
              <w:shd w:val="clear" w:color="auto" w:fill="FFFFFF"/>
              <w:spacing w:before="0" w:beforeAutospacing="0" w:after="0" w:afterAutospacing="0"/>
              <w:jc w:val="both"/>
              <w:rPr>
                <w:rFonts w:ascii="Times New Roman" w:hAnsi="Times New Roman" w:cs="Times New Roman"/>
                <w:color w:val="000000" w:themeColor="text1"/>
                <w:sz w:val="20"/>
                <w:szCs w:val="20"/>
                <w:shd w:val="clear" w:color="auto" w:fill="FFFFFF"/>
              </w:rPr>
            </w:pPr>
            <w:r w:rsidRPr="002149C5">
              <w:rPr>
                <w:rFonts w:ascii="Times New Roman" w:hAnsi="Times New Roman" w:cs="Times New Roman"/>
                <w:color w:val="000000" w:themeColor="text1"/>
                <w:sz w:val="20"/>
                <w:szCs w:val="20"/>
                <w:shd w:val="clear" w:color="auto" w:fill="FFFFFF"/>
              </w:rPr>
              <w:t>Vēl jo vairāk – ar mērķi skaidri nošķirt Likuma subjektus no citām personām, līdz ar grozījumiem Likumā, kas stājās spēkā 2019.gada 29.jūnijā, no 2019.gada 17.decembra minētā daļa tiek izteikta atsevišķā pantā šādā redakcijā:</w:t>
            </w:r>
          </w:p>
          <w:p w14:paraId="218123A8" w14:textId="77777777" w:rsidR="0020788A" w:rsidRPr="002149C5" w:rsidRDefault="0020788A" w:rsidP="0020788A">
            <w:pPr>
              <w:pStyle w:val="tv213"/>
              <w:shd w:val="clear" w:color="auto" w:fill="FFFFFF"/>
              <w:spacing w:before="0" w:beforeAutospacing="0" w:after="0" w:afterAutospacing="0"/>
              <w:jc w:val="both"/>
              <w:rPr>
                <w:rFonts w:ascii="Times New Roman" w:hAnsi="Times New Roman" w:cs="Times New Roman"/>
                <w:color w:val="000000" w:themeColor="text1"/>
                <w:sz w:val="20"/>
                <w:szCs w:val="20"/>
                <w:shd w:val="clear" w:color="auto" w:fill="FFFFFF"/>
              </w:rPr>
            </w:pPr>
          </w:p>
          <w:p w14:paraId="7241B5ED" w14:textId="77777777" w:rsidR="0020788A" w:rsidRPr="002149C5" w:rsidRDefault="0020788A" w:rsidP="0020788A">
            <w:pPr>
              <w:shd w:val="clear" w:color="auto" w:fill="FFFFFF"/>
              <w:ind w:firstLine="300"/>
              <w:jc w:val="both"/>
              <w:rPr>
                <w:color w:val="000000" w:themeColor="text1"/>
                <w:sz w:val="20"/>
                <w:szCs w:val="20"/>
              </w:rPr>
            </w:pPr>
            <w:r w:rsidRPr="002149C5">
              <w:rPr>
                <w:b/>
                <w:bCs/>
                <w:color w:val="000000" w:themeColor="text1"/>
                <w:sz w:val="20"/>
                <w:szCs w:val="20"/>
              </w:rPr>
              <w:t>„3.</w:t>
            </w:r>
            <w:r w:rsidRPr="002149C5">
              <w:rPr>
                <w:b/>
                <w:bCs/>
                <w:color w:val="000000" w:themeColor="text1"/>
                <w:sz w:val="20"/>
                <w:szCs w:val="20"/>
                <w:vertAlign w:val="superscript"/>
              </w:rPr>
              <w:t>1</w:t>
            </w:r>
            <w:r w:rsidRPr="002149C5">
              <w:rPr>
                <w:b/>
                <w:bCs/>
                <w:color w:val="000000" w:themeColor="text1"/>
                <w:sz w:val="20"/>
                <w:szCs w:val="20"/>
              </w:rPr>
              <w:t> pants. Citu personu pienākums attiecībā uz informācijas sniegšanu par aizdomīgiem darījumiem</w:t>
            </w:r>
          </w:p>
          <w:p w14:paraId="5DED3364" w14:textId="77777777" w:rsidR="0020788A" w:rsidRPr="002149C5" w:rsidRDefault="0020788A" w:rsidP="0020788A">
            <w:pPr>
              <w:shd w:val="clear" w:color="auto" w:fill="FFFFFF"/>
              <w:ind w:firstLine="300"/>
              <w:jc w:val="both"/>
              <w:rPr>
                <w:color w:val="000000" w:themeColor="text1"/>
                <w:sz w:val="20"/>
                <w:szCs w:val="20"/>
              </w:rPr>
            </w:pPr>
            <w:r w:rsidRPr="002149C5">
              <w:rPr>
                <w:color w:val="000000" w:themeColor="text1"/>
                <w:sz w:val="20"/>
                <w:szCs w:val="20"/>
              </w:rPr>
              <w:t>Lai novērstu ar noziedzīgi iegūtu līdzekļu legalizāciju un terorisma un proliferācijas finansēšanu saistītas darbības, arī šā likuma 3. pantā nenorādītām personām, kā arī valsts institūcijām, atvasinātām publiskām personām un to institūcijām ir pienākums sniegt Finanšu izlūkošanas dienestam informāciju par katru aizdomīgu darījumu, kā arī to rīcībā esošo informāciju un dokumentus, kas nepieciešami Finanšu izlūkošanas dienestam tā pienākumu veikšanai atbilstoši šā likuma prasībām. Šajā pantā norādītajām personām tiek piemēroti likuma subjektiem paredzētie tiesiskās aizsardzības mehānismi.</w:t>
            </w:r>
            <w:r w:rsidRPr="004631DB">
              <w:rPr>
                <w:color w:val="000000" w:themeColor="text1"/>
                <w:sz w:val="20"/>
                <w:szCs w:val="20"/>
              </w:rPr>
              <w:t>”</w:t>
            </w:r>
          </w:p>
          <w:p w14:paraId="6FD96B8D" w14:textId="77777777" w:rsidR="0020788A" w:rsidRPr="004631DB" w:rsidRDefault="0020788A" w:rsidP="0020788A">
            <w:pPr>
              <w:pStyle w:val="tv213"/>
              <w:shd w:val="clear" w:color="auto" w:fill="FFFFFF"/>
              <w:spacing w:before="0" w:beforeAutospacing="0" w:after="0" w:afterAutospacing="0"/>
              <w:jc w:val="both"/>
              <w:rPr>
                <w:rFonts w:ascii="Times New Roman" w:hAnsi="Times New Roman" w:cs="Times New Roman"/>
                <w:color w:val="000000" w:themeColor="text1"/>
                <w:sz w:val="20"/>
                <w:szCs w:val="20"/>
                <w:shd w:val="clear" w:color="auto" w:fill="FFFFFF"/>
              </w:rPr>
            </w:pPr>
          </w:p>
          <w:p w14:paraId="287206E4" w14:textId="29FB0958" w:rsidR="0020788A" w:rsidRPr="00104C26" w:rsidRDefault="0020788A" w:rsidP="00A72240">
            <w:pPr>
              <w:pStyle w:val="tv213"/>
              <w:shd w:val="clear" w:color="auto" w:fill="FFFFFF"/>
              <w:spacing w:before="0" w:beforeAutospacing="0" w:after="0" w:afterAutospacing="0"/>
              <w:jc w:val="both"/>
              <w:rPr>
                <w:b/>
                <w:sz w:val="20"/>
                <w:szCs w:val="20"/>
              </w:rPr>
            </w:pPr>
            <w:r w:rsidRPr="004631DB">
              <w:rPr>
                <w:rFonts w:ascii="Times New Roman" w:hAnsi="Times New Roman" w:cs="Times New Roman"/>
                <w:color w:val="000000" w:themeColor="text1"/>
                <w:sz w:val="20"/>
                <w:szCs w:val="20"/>
                <w:shd w:val="clear" w:color="auto" w:fill="FFFFFF"/>
              </w:rPr>
              <w:t xml:space="preserve">Norādāms, ka Finanšu izlūkošanas dienests saņem ziņojumus par aizdomīgiem darījumiem arī no Likuma 3.panta pirmajā daļā neminētajiem Likuma subjektiem, kas tiek analizēta ar mērķi novērst vai atklāt noziedzīgi iegūtu līdzekļu legalizāciju, terorisma vai proliferācijas finansēšanu. Vienlaikus, lai </w:t>
            </w:r>
            <w:r w:rsidRPr="004631DB">
              <w:rPr>
                <w:rFonts w:ascii="Times New Roman" w:hAnsi="Times New Roman" w:cs="Times New Roman"/>
                <w:color w:val="000000" w:themeColor="text1"/>
                <w:sz w:val="20"/>
                <w:szCs w:val="20"/>
                <w:shd w:val="clear" w:color="auto" w:fill="FFFFFF"/>
              </w:rPr>
              <w:lastRenderedPageBreak/>
              <w:t>atvieglotu un vienlaikus motivētu personas ziņot par attiecīgajiem faktiem, personām netiek noteikts obligāts pienākums aizpildīt Noteikumu projekta 1.pielikumā iekļauto veidlapu, kuras aizpildīšanai ir nepieciešamas padziļinātākas zināšanas, kā arī fakti, kurus var iegūt, veicot Likumā noteikto klienta izpēti, kas obligāta ir tikai Likuma 3.panta pirmajā daļā minētajiem Likuma subj</w:t>
            </w:r>
            <w:r w:rsidR="00A72240">
              <w:rPr>
                <w:rFonts w:ascii="Times New Roman" w:hAnsi="Times New Roman" w:cs="Times New Roman"/>
                <w:color w:val="000000" w:themeColor="text1"/>
                <w:sz w:val="20"/>
                <w:szCs w:val="20"/>
                <w:shd w:val="clear" w:color="auto" w:fill="FFFFFF"/>
              </w:rPr>
              <w:t>ektiem.</w:t>
            </w:r>
          </w:p>
        </w:tc>
        <w:tc>
          <w:tcPr>
            <w:tcW w:w="3969" w:type="dxa"/>
            <w:tcBorders>
              <w:top w:val="single" w:sz="4" w:space="0" w:color="auto"/>
              <w:left w:val="single" w:sz="4" w:space="0" w:color="auto"/>
              <w:bottom w:val="single" w:sz="4" w:space="0" w:color="auto"/>
            </w:tcBorders>
          </w:tcPr>
          <w:p w14:paraId="52E18534" w14:textId="6B3362E6" w:rsidR="0020788A" w:rsidRPr="00141121" w:rsidRDefault="0020788A" w:rsidP="0020788A">
            <w:pPr>
              <w:shd w:val="clear" w:color="auto" w:fill="FFFFFF"/>
              <w:jc w:val="both"/>
              <w:rPr>
                <w:b/>
                <w:color w:val="000000" w:themeColor="text1"/>
                <w:sz w:val="20"/>
                <w:szCs w:val="20"/>
              </w:rPr>
            </w:pPr>
            <w:r w:rsidRPr="00141121">
              <w:rPr>
                <w:b/>
                <w:sz w:val="20"/>
                <w:szCs w:val="20"/>
              </w:rPr>
              <w:lastRenderedPageBreak/>
              <w:t xml:space="preserve">Noteikumu projekta </w:t>
            </w:r>
            <w:r w:rsidR="000C7DC0">
              <w:rPr>
                <w:b/>
                <w:sz w:val="20"/>
                <w:szCs w:val="20"/>
              </w:rPr>
              <w:t>4</w:t>
            </w:r>
            <w:r w:rsidRPr="00141121">
              <w:rPr>
                <w:b/>
                <w:sz w:val="20"/>
                <w:szCs w:val="20"/>
              </w:rPr>
              <w:t>. punkts:</w:t>
            </w:r>
          </w:p>
          <w:p w14:paraId="30BFF714" w14:textId="3C9C6347" w:rsidR="0020788A" w:rsidRPr="00141121" w:rsidRDefault="0020788A" w:rsidP="0020788A">
            <w:pPr>
              <w:shd w:val="clear" w:color="auto" w:fill="FFFFFF"/>
              <w:tabs>
                <w:tab w:val="left" w:pos="709"/>
              </w:tabs>
              <w:jc w:val="both"/>
              <w:rPr>
                <w:color w:val="000000" w:themeColor="text1"/>
                <w:sz w:val="20"/>
                <w:szCs w:val="20"/>
              </w:rPr>
            </w:pPr>
            <w:r w:rsidRPr="00141121">
              <w:rPr>
                <w:color w:val="000000" w:themeColor="text1"/>
                <w:sz w:val="20"/>
                <w:szCs w:val="20"/>
              </w:rPr>
              <w:t>„</w:t>
            </w:r>
            <w:r w:rsidR="000C7DC0">
              <w:rPr>
                <w:color w:val="000000" w:themeColor="text1"/>
                <w:sz w:val="20"/>
                <w:szCs w:val="20"/>
              </w:rPr>
              <w:t>4</w:t>
            </w:r>
            <w:r w:rsidRPr="00141121">
              <w:rPr>
                <w:color w:val="000000" w:themeColor="text1"/>
                <w:sz w:val="20"/>
                <w:szCs w:val="20"/>
              </w:rPr>
              <w:t>.Cit</w:t>
            </w:r>
            <w:r w:rsidR="000C7DC0">
              <w:rPr>
                <w:color w:val="000000" w:themeColor="text1"/>
                <w:sz w:val="20"/>
                <w:szCs w:val="20"/>
              </w:rPr>
              <w:t>as</w:t>
            </w:r>
            <w:r w:rsidRPr="00141121">
              <w:rPr>
                <w:color w:val="000000" w:themeColor="text1"/>
                <w:sz w:val="20"/>
                <w:szCs w:val="20"/>
              </w:rPr>
              <w:t xml:space="preserve"> person</w:t>
            </w:r>
            <w:r w:rsidR="000C7DC0">
              <w:rPr>
                <w:color w:val="000000" w:themeColor="text1"/>
                <w:sz w:val="20"/>
                <w:szCs w:val="20"/>
              </w:rPr>
              <w:t>as</w:t>
            </w:r>
            <w:r w:rsidRPr="00141121">
              <w:rPr>
                <w:color w:val="000000" w:themeColor="text1"/>
                <w:sz w:val="20"/>
                <w:szCs w:val="20"/>
              </w:rPr>
              <w:t xml:space="preserve"> </w:t>
            </w:r>
            <w:r w:rsidR="000C7DC0">
              <w:rPr>
                <w:color w:val="000000" w:themeColor="text1"/>
                <w:sz w:val="20"/>
                <w:szCs w:val="20"/>
              </w:rPr>
              <w:t>var</w:t>
            </w:r>
            <w:r w:rsidRPr="00141121">
              <w:rPr>
                <w:color w:val="000000" w:themeColor="text1"/>
                <w:sz w:val="20"/>
                <w:szCs w:val="20"/>
              </w:rPr>
              <w:t xml:space="preserve"> iesniegt ziņojumu papīra formā, aizpildot</w:t>
            </w:r>
            <w:r>
              <w:rPr>
                <w:color w:val="000000" w:themeColor="text1"/>
                <w:sz w:val="20"/>
                <w:szCs w:val="20"/>
              </w:rPr>
              <w:t xml:space="preserve"> </w:t>
            </w:r>
            <w:r w:rsidRPr="00141121">
              <w:rPr>
                <w:color w:val="000000" w:themeColor="text1"/>
                <w:sz w:val="20"/>
                <w:szCs w:val="20"/>
              </w:rPr>
              <w:t>šo noteikumu </w:t>
            </w:r>
            <w:hyperlink r:id="rId9" w:anchor="piel1" w:history="1">
              <w:r w:rsidRPr="00141121">
                <w:rPr>
                  <w:color w:val="000000" w:themeColor="text1"/>
                  <w:sz w:val="20"/>
                  <w:szCs w:val="20"/>
                </w:rPr>
                <w:t>2</w:t>
              </w:r>
            </w:hyperlink>
            <w:r>
              <w:rPr>
                <w:color w:val="000000" w:themeColor="text1"/>
                <w:sz w:val="20"/>
                <w:szCs w:val="20"/>
              </w:rPr>
              <w:t>.</w:t>
            </w:r>
            <w:r w:rsidRPr="00141121">
              <w:rPr>
                <w:color w:val="000000" w:themeColor="text1"/>
                <w:sz w:val="20"/>
                <w:szCs w:val="20"/>
              </w:rPr>
              <w:t xml:space="preserve"> pielikumā minēto veidlapu.” </w:t>
            </w:r>
          </w:p>
          <w:p w14:paraId="136FFDBC" w14:textId="77777777" w:rsidR="0020788A" w:rsidRDefault="0020788A" w:rsidP="00557296">
            <w:pPr>
              <w:pStyle w:val="NoSpacing"/>
              <w:jc w:val="both"/>
              <w:rPr>
                <w:rFonts w:ascii="Times New Roman" w:hAnsi="Times New Roman"/>
                <w:sz w:val="20"/>
                <w:szCs w:val="20"/>
              </w:rPr>
            </w:pPr>
          </w:p>
          <w:p w14:paraId="397F1F30" w14:textId="1F0B2DFA" w:rsidR="0020788A" w:rsidRDefault="0020788A" w:rsidP="00557296">
            <w:pPr>
              <w:pStyle w:val="NoSpacing"/>
              <w:jc w:val="both"/>
              <w:rPr>
                <w:rFonts w:ascii="Times New Roman" w:hAnsi="Times New Roman"/>
                <w:sz w:val="20"/>
                <w:szCs w:val="20"/>
              </w:rPr>
            </w:pPr>
            <w:r>
              <w:rPr>
                <w:rFonts w:ascii="Times New Roman" w:hAnsi="Times New Roman"/>
                <w:sz w:val="20"/>
                <w:szCs w:val="20"/>
              </w:rPr>
              <w:t>Papildināts anotācijas teksts</w:t>
            </w:r>
          </w:p>
        </w:tc>
      </w:tr>
      <w:tr w:rsidR="009C2DAF" w:rsidRPr="00104C26" w14:paraId="6AF20732" w14:textId="77777777" w:rsidTr="00557296">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4C5E3432" w14:textId="77777777" w:rsidR="009C2DAF" w:rsidRPr="00104C26" w:rsidRDefault="009C2DAF" w:rsidP="00557296">
            <w:pPr>
              <w:pStyle w:val="naiskr"/>
              <w:spacing w:before="0" w:after="0"/>
              <w:rPr>
                <w:sz w:val="20"/>
                <w:szCs w:val="20"/>
              </w:rPr>
            </w:pPr>
          </w:p>
          <w:p w14:paraId="55054957" w14:textId="77777777" w:rsidR="009C2DAF" w:rsidRPr="00104C26" w:rsidRDefault="009C2DAF" w:rsidP="00557296">
            <w:pPr>
              <w:pStyle w:val="naiskr"/>
              <w:spacing w:before="0" w:after="0"/>
              <w:rPr>
                <w:sz w:val="20"/>
                <w:szCs w:val="20"/>
              </w:rPr>
            </w:pPr>
            <w:r w:rsidRPr="00104C26">
              <w:rPr>
                <w:sz w:val="20"/>
                <w:szCs w:val="20"/>
              </w:rPr>
              <w:t>Atbildīgā amatpersona</w:t>
            </w:r>
          </w:p>
        </w:tc>
        <w:tc>
          <w:tcPr>
            <w:tcW w:w="6179" w:type="dxa"/>
            <w:gridSpan w:val="3"/>
          </w:tcPr>
          <w:p w14:paraId="46DB6D04" w14:textId="77777777" w:rsidR="009C2DAF" w:rsidRPr="00104C26" w:rsidRDefault="009C2DAF" w:rsidP="00557296">
            <w:pPr>
              <w:pStyle w:val="naiskr"/>
              <w:spacing w:before="0" w:after="0"/>
              <w:rPr>
                <w:sz w:val="20"/>
                <w:szCs w:val="20"/>
              </w:rPr>
            </w:pPr>
          </w:p>
        </w:tc>
      </w:tr>
      <w:tr w:rsidR="009C2DAF" w:rsidRPr="00104C26" w14:paraId="4C138305" w14:textId="77777777" w:rsidTr="00557296">
        <w:tblPrEx>
          <w:tblBorders>
            <w:top w:val="none" w:sz="0" w:space="0" w:color="auto"/>
            <w:left w:val="none" w:sz="0" w:space="0" w:color="auto"/>
            <w:bottom w:val="none" w:sz="0" w:space="0" w:color="auto"/>
            <w:right w:val="none" w:sz="0" w:space="0" w:color="auto"/>
          </w:tblBorders>
        </w:tblPrEx>
        <w:trPr>
          <w:gridAfter w:val="2"/>
          <w:wAfter w:w="5022" w:type="dxa"/>
        </w:trPr>
        <w:tc>
          <w:tcPr>
            <w:tcW w:w="3108" w:type="dxa"/>
            <w:gridSpan w:val="2"/>
          </w:tcPr>
          <w:p w14:paraId="620AF3B6" w14:textId="77777777" w:rsidR="009C2DAF" w:rsidRPr="00104C26" w:rsidRDefault="009C2DAF" w:rsidP="00557296">
            <w:pPr>
              <w:pStyle w:val="naiskr"/>
              <w:spacing w:before="0" w:after="0"/>
              <w:ind w:firstLine="720"/>
              <w:rPr>
                <w:sz w:val="20"/>
                <w:szCs w:val="20"/>
              </w:rPr>
            </w:pPr>
          </w:p>
        </w:tc>
        <w:tc>
          <w:tcPr>
            <w:tcW w:w="6179" w:type="dxa"/>
            <w:gridSpan w:val="3"/>
            <w:tcBorders>
              <w:top w:val="single" w:sz="6" w:space="0" w:color="000000"/>
            </w:tcBorders>
          </w:tcPr>
          <w:p w14:paraId="59347258" w14:textId="77777777" w:rsidR="009C2DAF" w:rsidRPr="00104C26" w:rsidRDefault="009C2DAF" w:rsidP="00557296">
            <w:pPr>
              <w:pStyle w:val="naisc"/>
              <w:spacing w:before="0" w:after="0"/>
              <w:ind w:firstLine="720"/>
              <w:rPr>
                <w:sz w:val="20"/>
                <w:szCs w:val="20"/>
              </w:rPr>
            </w:pPr>
            <w:r w:rsidRPr="00104C26">
              <w:rPr>
                <w:sz w:val="20"/>
                <w:szCs w:val="20"/>
              </w:rPr>
              <w:t>(paraksts)*</w:t>
            </w:r>
          </w:p>
        </w:tc>
      </w:tr>
    </w:tbl>
    <w:p w14:paraId="2396239F" w14:textId="77777777" w:rsidR="009C2DAF" w:rsidRPr="00712B66" w:rsidRDefault="009C2DAF" w:rsidP="009C2DAF">
      <w:pPr>
        <w:pStyle w:val="naisf"/>
        <w:spacing w:before="0" w:after="0"/>
        <w:ind w:firstLine="0"/>
      </w:pPr>
    </w:p>
    <w:p w14:paraId="51E14534" w14:textId="77777777" w:rsidR="009C2DAF" w:rsidRDefault="009C2DAF" w:rsidP="009C2DAF">
      <w:pPr>
        <w:pStyle w:val="naisf"/>
        <w:spacing w:before="0" w:after="0"/>
        <w:ind w:firstLine="0"/>
      </w:pPr>
      <w:r>
        <w:t xml:space="preserve">Piezīme. </w:t>
      </w:r>
      <w:r w:rsidRPr="00712B66">
        <w:t xml:space="preserve">* 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005DE50F" w14:textId="64A3416B" w:rsidR="00AA5A16" w:rsidRDefault="004F1BA3" w:rsidP="009C2DAF">
      <w:r>
        <w:t>Dina Buse</w:t>
      </w:r>
    </w:p>
    <w:tbl>
      <w:tblPr>
        <w:tblW w:w="0" w:type="auto"/>
        <w:tblLook w:val="00A0" w:firstRow="1" w:lastRow="0" w:firstColumn="1" w:lastColumn="0" w:noHBand="0" w:noVBand="0"/>
      </w:tblPr>
      <w:tblGrid>
        <w:gridCol w:w="8268"/>
      </w:tblGrid>
      <w:tr w:rsidR="009C2DAF" w:rsidRPr="00712B66" w14:paraId="43333DA6" w14:textId="77777777" w:rsidTr="00557296">
        <w:tc>
          <w:tcPr>
            <w:tcW w:w="8268" w:type="dxa"/>
            <w:tcBorders>
              <w:top w:val="single" w:sz="4" w:space="0" w:color="000000"/>
            </w:tcBorders>
          </w:tcPr>
          <w:p w14:paraId="1AB8EB9A" w14:textId="77777777" w:rsidR="009C2DAF" w:rsidRPr="00712B66" w:rsidRDefault="009C2DAF" w:rsidP="00557296">
            <w:pPr>
              <w:jc w:val="center"/>
            </w:pPr>
            <w:r>
              <w:t>(</w:t>
            </w:r>
            <w:r w:rsidRPr="00712B66">
              <w:t xml:space="preserve">par projektu atbildīgās amatpersonas </w:t>
            </w:r>
            <w:r>
              <w:t xml:space="preserve">vārds un </w:t>
            </w:r>
            <w:r w:rsidRPr="00712B66">
              <w:t>uzvārds</w:t>
            </w:r>
            <w:r>
              <w:t>)</w:t>
            </w:r>
          </w:p>
        </w:tc>
      </w:tr>
      <w:tr w:rsidR="009C2DAF" w:rsidRPr="00712B66" w14:paraId="559E7A91" w14:textId="77777777" w:rsidTr="00557296">
        <w:tc>
          <w:tcPr>
            <w:tcW w:w="8268" w:type="dxa"/>
            <w:tcBorders>
              <w:bottom w:val="single" w:sz="4" w:space="0" w:color="000000"/>
            </w:tcBorders>
          </w:tcPr>
          <w:p w14:paraId="2C33ADC7" w14:textId="68CF2EBB" w:rsidR="009C2DAF" w:rsidRPr="00712B66" w:rsidRDefault="004F1BA3" w:rsidP="004F1BA3">
            <w:r w:rsidRPr="004F1BA3">
              <w:t>Finan</w:t>
            </w:r>
            <w:r>
              <w:t xml:space="preserve">šu tirgus politikas departamenta </w:t>
            </w:r>
            <w:r w:rsidRPr="004F1BA3">
              <w:t>direktor</w:t>
            </w:r>
            <w:r>
              <w:t>es</w:t>
            </w:r>
            <w:r w:rsidRPr="004F1BA3">
              <w:t xml:space="preserve"> vietniece</w:t>
            </w:r>
            <w:r>
              <w:t xml:space="preserve">, </w:t>
            </w:r>
            <w:r w:rsidRPr="004F1BA3">
              <w:t>Kredītiestāžu un maksājumu pakalpojumu politikas nodaļa</w:t>
            </w:r>
            <w:r>
              <w:t>s vadītāja</w:t>
            </w:r>
          </w:p>
        </w:tc>
      </w:tr>
      <w:tr w:rsidR="009C2DAF" w:rsidRPr="00712B66" w14:paraId="592ADBFC" w14:textId="77777777" w:rsidTr="00557296">
        <w:tc>
          <w:tcPr>
            <w:tcW w:w="8268" w:type="dxa"/>
            <w:tcBorders>
              <w:top w:val="single" w:sz="4" w:space="0" w:color="000000"/>
            </w:tcBorders>
          </w:tcPr>
          <w:p w14:paraId="3BD0ED42" w14:textId="77777777" w:rsidR="009C2DAF" w:rsidRPr="00712B66" w:rsidRDefault="009C2DAF" w:rsidP="00557296">
            <w:pPr>
              <w:jc w:val="center"/>
            </w:pPr>
            <w:r>
              <w:t>(</w:t>
            </w:r>
            <w:r w:rsidRPr="00712B66">
              <w:t>amats</w:t>
            </w:r>
            <w:r>
              <w:t>)</w:t>
            </w:r>
          </w:p>
        </w:tc>
      </w:tr>
      <w:tr w:rsidR="009C2DAF" w:rsidRPr="00712B66" w14:paraId="0CF90E6E" w14:textId="77777777" w:rsidTr="00557296">
        <w:tc>
          <w:tcPr>
            <w:tcW w:w="8268" w:type="dxa"/>
            <w:tcBorders>
              <w:bottom w:val="single" w:sz="4" w:space="0" w:color="000000"/>
            </w:tcBorders>
          </w:tcPr>
          <w:p w14:paraId="678C6C60" w14:textId="77777777" w:rsidR="00AA5A16" w:rsidRDefault="009C2DAF" w:rsidP="00557296">
            <w:r w:rsidRPr="00126349">
              <w:t>Tālrunis:</w:t>
            </w:r>
            <w:r>
              <w:t xml:space="preserve"> </w:t>
            </w:r>
          </w:p>
          <w:p w14:paraId="5C4638AC" w14:textId="446DE40A" w:rsidR="009C2DAF" w:rsidRPr="00712B66" w:rsidRDefault="00AA5A16" w:rsidP="004F1BA3">
            <w:r w:rsidRPr="00AA5A16">
              <w:rPr>
                <w:rFonts w:eastAsia="Calibri"/>
              </w:rPr>
              <w:t>67</w:t>
            </w:r>
            <w:r w:rsidR="004F1BA3">
              <w:rPr>
                <w:rFonts w:eastAsia="Calibri"/>
              </w:rPr>
              <w:t>095535</w:t>
            </w:r>
          </w:p>
        </w:tc>
      </w:tr>
      <w:tr w:rsidR="009C2DAF" w:rsidRPr="00712B66" w14:paraId="4CB5D2C9" w14:textId="77777777" w:rsidTr="00557296">
        <w:tc>
          <w:tcPr>
            <w:tcW w:w="8268" w:type="dxa"/>
            <w:tcBorders>
              <w:top w:val="single" w:sz="4" w:space="0" w:color="000000"/>
            </w:tcBorders>
          </w:tcPr>
          <w:p w14:paraId="49AB53AC" w14:textId="77777777" w:rsidR="009C2DAF" w:rsidRPr="00712B66" w:rsidRDefault="009C2DAF" w:rsidP="00557296">
            <w:pPr>
              <w:jc w:val="center"/>
            </w:pPr>
            <w:r>
              <w:t>(</w:t>
            </w:r>
            <w:r w:rsidRPr="00712B66">
              <w:t>tālruņa un faksa numurs</w:t>
            </w:r>
            <w:r>
              <w:t>)</w:t>
            </w:r>
          </w:p>
        </w:tc>
      </w:tr>
      <w:tr w:rsidR="009C2DAF" w:rsidRPr="00712B66" w14:paraId="02B89D51" w14:textId="77777777" w:rsidTr="00557296">
        <w:tc>
          <w:tcPr>
            <w:tcW w:w="8268" w:type="dxa"/>
            <w:tcBorders>
              <w:bottom w:val="single" w:sz="4" w:space="0" w:color="000000"/>
            </w:tcBorders>
          </w:tcPr>
          <w:p w14:paraId="76645909" w14:textId="14815FD6" w:rsidR="009C2DAF" w:rsidRPr="00AA5A16" w:rsidRDefault="004F1BA3" w:rsidP="00557296">
            <w:pPr>
              <w:rPr>
                <w:color w:val="0000FF"/>
                <w:u w:val="single"/>
              </w:rPr>
            </w:pPr>
            <w:r>
              <w:rPr>
                <w:rStyle w:val="Hyperlink"/>
              </w:rPr>
              <w:t>Dina.Buse@fm.gov.lv</w:t>
            </w:r>
          </w:p>
        </w:tc>
      </w:tr>
      <w:tr w:rsidR="009C2DAF" w:rsidRPr="00712B66" w14:paraId="35F4E5A9" w14:textId="77777777" w:rsidTr="00557296">
        <w:tc>
          <w:tcPr>
            <w:tcW w:w="8268" w:type="dxa"/>
            <w:tcBorders>
              <w:top w:val="single" w:sz="4" w:space="0" w:color="000000"/>
            </w:tcBorders>
          </w:tcPr>
          <w:p w14:paraId="7F77E764" w14:textId="77777777" w:rsidR="009C2DAF" w:rsidRPr="00712B66" w:rsidRDefault="009C2DAF" w:rsidP="00557296">
            <w:pPr>
              <w:jc w:val="center"/>
            </w:pPr>
            <w:r>
              <w:t>(</w:t>
            </w:r>
            <w:r w:rsidRPr="00712B66">
              <w:t>e-pasta adrese</w:t>
            </w:r>
            <w:r>
              <w:t>)</w:t>
            </w:r>
          </w:p>
        </w:tc>
      </w:tr>
    </w:tbl>
    <w:p w14:paraId="0F1B5864" w14:textId="77777777" w:rsidR="009C2DAF" w:rsidRDefault="009C2DAF" w:rsidP="009C2DAF">
      <w:pPr>
        <w:pStyle w:val="naisf"/>
        <w:spacing w:before="0" w:after="0"/>
        <w:ind w:firstLine="0"/>
        <w:jc w:val="left"/>
        <w:rPr>
          <w:sz w:val="28"/>
          <w:szCs w:val="28"/>
        </w:rPr>
      </w:pPr>
    </w:p>
    <w:p w14:paraId="7402A11B" w14:textId="61F58811" w:rsidR="004F1BA3" w:rsidRDefault="004F1BA3" w:rsidP="009C2DAF">
      <w:pPr>
        <w:jc w:val="both"/>
        <w:rPr>
          <w:rFonts w:eastAsia="Calibri"/>
          <w:sz w:val="20"/>
          <w:szCs w:val="20"/>
        </w:rPr>
      </w:pPr>
      <w:r>
        <w:rPr>
          <w:rFonts w:eastAsia="Calibri"/>
          <w:sz w:val="20"/>
          <w:szCs w:val="20"/>
        </w:rPr>
        <w:t>Buse</w:t>
      </w:r>
      <w:r w:rsidR="009C2DAF">
        <w:rPr>
          <w:rFonts w:eastAsia="Calibri"/>
          <w:sz w:val="20"/>
          <w:szCs w:val="20"/>
        </w:rPr>
        <w:t>, 67</w:t>
      </w:r>
      <w:r>
        <w:rPr>
          <w:rFonts w:eastAsia="Calibri"/>
          <w:sz w:val="20"/>
          <w:szCs w:val="20"/>
        </w:rPr>
        <w:t>095535</w:t>
      </w:r>
    </w:p>
    <w:p w14:paraId="3DA3C414" w14:textId="02265E95" w:rsidR="00AE38BB" w:rsidRDefault="004F1BA3" w:rsidP="004F1BA3">
      <w:pPr>
        <w:jc w:val="both"/>
      </w:pPr>
      <w:r>
        <w:rPr>
          <w:rFonts w:eastAsia="Calibri"/>
          <w:sz w:val="20"/>
          <w:szCs w:val="20"/>
        </w:rPr>
        <w:t>Dina.Buse@fm.gov.lv</w:t>
      </w:r>
    </w:p>
    <w:sectPr w:rsidR="00AE38BB" w:rsidSect="00935D50">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C7DA9" w14:textId="77777777" w:rsidR="00EB1DC9" w:rsidRDefault="00EB1DC9" w:rsidP="009C2DAF">
      <w:r>
        <w:separator/>
      </w:r>
    </w:p>
  </w:endnote>
  <w:endnote w:type="continuationSeparator" w:id="0">
    <w:p w14:paraId="07C77D10" w14:textId="77777777" w:rsidR="00EB1DC9" w:rsidRDefault="00EB1DC9" w:rsidP="009C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AE256" w14:textId="38E8BA58" w:rsidR="00954A6F" w:rsidRPr="007D6B81" w:rsidRDefault="006454DF" w:rsidP="007D6B81">
    <w:pPr>
      <w:pStyle w:val="Footer"/>
      <w:rPr>
        <w:sz w:val="20"/>
        <w:szCs w:val="20"/>
      </w:rPr>
    </w:pPr>
    <w:r>
      <w:rPr>
        <w:sz w:val="20"/>
        <w:szCs w:val="20"/>
      </w:rPr>
      <w:t>FMizz_22</w:t>
    </w:r>
    <w:r w:rsidR="008D375C">
      <w:rPr>
        <w:sz w:val="20"/>
        <w:szCs w:val="20"/>
      </w:rPr>
      <w:t>0819_</w:t>
    </w:r>
    <w:r w:rsidR="008246AF">
      <w:rPr>
        <w:sz w:val="20"/>
        <w:szCs w:val="20"/>
      </w:rPr>
      <w:t>aizdomigs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54B0" w14:textId="3946F88A" w:rsidR="00954A6F" w:rsidRPr="007642FE" w:rsidRDefault="00FB06C3" w:rsidP="00935D50">
    <w:pPr>
      <w:pStyle w:val="Footer"/>
      <w:rPr>
        <w:sz w:val="20"/>
        <w:szCs w:val="20"/>
      </w:rPr>
    </w:pPr>
    <w:r>
      <w:rPr>
        <w:sz w:val="20"/>
        <w:szCs w:val="20"/>
      </w:rPr>
      <w:t>FMizz_22</w:t>
    </w:r>
    <w:r w:rsidR="008D375C">
      <w:rPr>
        <w:sz w:val="20"/>
        <w:szCs w:val="20"/>
      </w:rPr>
      <w:t>0819_</w:t>
    </w:r>
    <w:r w:rsidR="009C2DAF">
      <w:rPr>
        <w:sz w:val="20"/>
        <w:szCs w:val="20"/>
      </w:rPr>
      <w:t>aizdomigs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22390" w14:textId="77777777" w:rsidR="00EB1DC9" w:rsidRDefault="00EB1DC9" w:rsidP="009C2DAF">
      <w:r>
        <w:separator/>
      </w:r>
    </w:p>
  </w:footnote>
  <w:footnote w:type="continuationSeparator" w:id="0">
    <w:p w14:paraId="4C2F67A0" w14:textId="77777777" w:rsidR="00EB1DC9" w:rsidRDefault="00EB1DC9" w:rsidP="009C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DFED" w14:textId="77777777" w:rsidR="00954A6F" w:rsidRDefault="008D375C"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C5001" w14:textId="77777777" w:rsidR="00954A6F" w:rsidRDefault="00325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5E06" w14:textId="5963C5C7" w:rsidR="00954A6F" w:rsidRDefault="008D375C" w:rsidP="00935D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56B">
      <w:rPr>
        <w:rStyle w:val="PageNumber"/>
        <w:noProof/>
      </w:rPr>
      <w:t>10</w:t>
    </w:r>
    <w:r>
      <w:rPr>
        <w:rStyle w:val="PageNumber"/>
      </w:rPr>
      <w:fldChar w:fldCharType="end"/>
    </w:r>
  </w:p>
  <w:p w14:paraId="00F7D277" w14:textId="77777777" w:rsidR="00954A6F" w:rsidRDefault="00325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1CC"/>
    <w:multiLevelType w:val="multilevel"/>
    <w:tmpl w:val="D55602C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B32258"/>
    <w:multiLevelType w:val="multilevel"/>
    <w:tmpl w:val="604A816A"/>
    <w:lvl w:ilvl="0">
      <w:start w:val="2"/>
      <w:numFmt w:val="decimal"/>
      <w:lvlText w:val="%1."/>
      <w:lvlJc w:val="left"/>
      <w:pPr>
        <w:ind w:left="360" w:hanging="360"/>
      </w:pPr>
      <w:rPr>
        <w:rFonts w:eastAsia="Times New Roman" w:cs="Times New Roman" w:hint="default"/>
        <w:color w:val="000000" w:themeColor="text1"/>
      </w:rPr>
    </w:lvl>
    <w:lvl w:ilvl="1">
      <w:start w:val="1"/>
      <w:numFmt w:val="decimal"/>
      <w:lvlText w:val="%1.%2."/>
      <w:lvlJc w:val="left"/>
      <w:pPr>
        <w:ind w:left="660" w:hanging="360"/>
      </w:pPr>
      <w:rPr>
        <w:rFonts w:eastAsia="Times New Roman" w:cs="Times New Roman" w:hint="default"/>
        <w:color w:val="000000" w:themeColor="text1"/>
      </w:rPr>
    </w:lvl>
    <w:lvl w:ilvl="2">
      <w:start w:val="1"/>
      <w:numFmt w:val="decimal"/>
      <w:lvlText w:val="%1.%2.%3."/>
      <w:lvlJc w:val="left"/>
      <w:pPr>
        <w:ind w:left="1320" w:hanging="720"/>
      </w:pPr>
      <w:rPr>
        <w:rFonts w:eastAsia="Times New Roman" w:cs="Times New Roman" w:hint="default"/>
        <w:color w:val="000000" w:themeColor="text1"/>
      </w:rPr>
    </w:lvl>
    <w:lvl w:ilvl="3">
      <w:start w:val="1"/>
      <w:numFmt w:val="decimal"/>
      <w:lvlText w:val="%1.%2.%3.%4."/>
      <w:lvlJc w:val="left"/>
      <w:pPr>
        <w:ind w:left="1620" w:hanging="720"/>
      </w:pPr>
      <w:rPr>
        <w:rFonts w:eastAsia="Times New Roman" w:cs="Times New Roman" w:hint="default"/>
        <w:color w:val="000000" w:themeColor="text1"/>
      </w:rPr>
    </w:lvl>
    <w:lvl w:ilvl="4">
      <w:start w:val="1"/>
      <w:numFmt w:val="decimal"/>
      <w:lvlText w:val="%1.%2.%3.%4.%5."/>
      <w:lvlJc w:val="left"/>
      <w:pPr>
        <w:ind w:left="2280" w:hanging="1080"/>
      </w:pPr>
      <w:rPr>
        <w:rFonts w:eastAsia="Times New Roman" w:cs="Times New Roman" w:hint="default"/>
        <w:color w:val="000000" w:themeColor="text1"/>
      </w:rPr>
    </w:lvl>
    <w:lvl w:ilvl="5">
      <w:start w:val="1"/>
      <w:numFmt w:val="decimal"/>
      <w:lvlText w:val="%1.%2.%3.%4.%5.%6."/>
      <w:lvlJc w:val="left"/>
      <w:pPr>
        <w:ind w:left="2580" w:hanging="1080"/>
      </w:pPr>
      <w:rPr>
        <w:rFonts w:eastAsia="Times New Roman" w:cs="Times New Roman" w:hint="default"/>
        <w:color w:val="000000" w:themeColor="text1"/>
      </w:rPr>
    </w:lvl>
    <w:lvl w:ilvl="6">
      <w:start w:val="1"/>
      <w:numFmt w:val="decimal"/>
      <w:lvlText w:val="%1.%2.%3.%4.%5.%6.%7."/>
      <w:lvlJc w:val="left"/>
      <w:pPr>
        <w:ind w:left="2880" w:hanging="1080"/>
      </w:pPr>
      <w:rPr>
        <w:rFonts w:eastAsia="Times New Roman" w:cs="Times New Roman" w:hint="default"/>
        <w:color w:val="000000" w:themeColor="text1"/>
      </w:rPr>
    </w:lvl>
    <w:lvl w:ilvl="7">
      <w:start w:val="1"/>
      <w:numFmt w:val="decimal"/>
      <w:lvlText w:val="%1.%2.%3.%4.%5.%6.%7.%8."/>
      <w:lvlJc w:val="left"/>
      <w:pPr>
        <w:ind w:left="3540" w:hanging="1440"/>
      </w:pPr>
      <w:rPr>
        <w:rFonts w:eastAsia="Times New Roman" w:cs="Times New Roman" w:hint="default"/>
        <w:color w:val="000000" w:themeColor="text1"/>
      </w:rPr>
    </w:lvl>
    <w:lvl w:ilvl="8">
      <w:start w:val="1"/>
      <w:numFmt w:val="decimal"/>
      <w:lvlText w:val="%1.%2.%3.%4.%5.%6.%7.%8.%9."/>
      <w:lvlJc w:val="left"/>
      <w:pPr>
        <w:ind w:left="3840" w:hanging="1440"/>
      </w:pPr>
      <w:rPr>
        <w:rFonts w:eastAsia="Times New Roman" w:cs="Times New Roman" w:hint="default"/>
        <w:color w:val="000000" w:themeColor="text1"/>
      </w:rPr>
    </w:lvl>
  </w:abstractNum>
  <w:abstractNum w:abstractNumId="3" w15:restartNumberingAfterBreak="0">
    <w:nsid w:val="0F12584D"/>
    <w:multiLevelType w:val="multilevel"/>
    <w:tmpl w:val="72DE34C4"/>
    <w:lvl w:ilvl="0">
      <w:start w:val="2"/>
      <w:numFmt w:val="decimal"/>
      <w:lvlText w:val="%1."/>
      <w:lvlJc w:val="left"/>
      <w:pPr>
        <w:ind w:left="360" w:hanging="360"/>
      </w:pPr>
      <w:rPr>
        <w:rFonts w:eastAsia="Times New Roman" w:cs="Times New Roman" w:hint="default"/>
        <w:color w:val="000000" w:themeColor="text1"/>
        <w:sz w:val="24"/>
      </w:rPr>
    </w:lvl>
    <w:lvl w:ilvl="1">
      <w:start w:val="1"/>
      <w:numFmt w:val="decimal"/>
      <w:lvlText w:val="%1.%2."/>
      <w:lvlJc w:val="left"/>
      <w:pPr>
        <w:ind w:left="1020" w:hanging="720"/>
      </w:pPr>
      <w:rPr>
        <w:rFonts w:eastAsia="Times New Roman" w:cs="Times New Roman" w:hint="default"/>
        <w:color w:val="000000" w:themeColor="text1"/>
        <w:sz w:val="24"/>
      </w:rPr>
    </w:lvl>
    <w:lvl w:ilvl="2">
      <w:start w:val="1"/>
      <w:numFmt w:val="decimal"/>
      <w:lvlText w:val="%1.%2.%3."/>
      <w:lvlJc w:val="left"/>
      <w:pPr>
        <w:ind w:left="1320" w:hanging="720"/>
      </w:pPr>
      <w:rPr>
        <w:rFonts w:eastAsia="Times New Roman" w:cs="Times New Roman" w:hint="default"/>
        <w:color w:val="000000" w:themeColor="text1"/>
        <w:sz w:val="24"/>
      </w:rPr>
    </w:lvl>
    <w:lvl w:ilvl="3">
      <w:start w:val="1"/>
      <w:numFmt w:val="decimal"/>
      <w:lvlText w:val="%1.%2.%3.%4."/>
      <w:lvlJc w:val="left"/>
      <w:pPr>
        <w:ind w:left="1980" w:hanging="1080"/>
      </w:pPr>
      <w:rPr>
        <w:rFonts w:eastAsia="Times New Roman" w:cs="Times New Roman" w:hint="default"/>
        <w:color w:val="000000" w:themeColor="text1"/>
        <w:sz w:val="24"/>
      </w:rPr>
    </w:lvl>
    <w:lvl w:ilvl="4">
      <w:start w:val="1"/>
      <w:numFmt w:val="decimal"/>
      <w:lvlText w:val="%1.%2.%3.%4.%5."/>
      <w:lvlJc w:val="left"/>
      <w:pPr>
        <w:ind w:left="2280" w:hanging="1080"/>
      </w:pPr>
      <w:rPr>
        <w:rFonts w:eastAsia="Times New Roman" w:cs="Times New Roman" w:hint="default"/>
        <w:color w:val="000000" w:themeColor="text1"/>
        <w:sz w:val="24"/>
      </w:rPr>
    </w:lvl>
    <w:lvl w:ilvl="5">
      <w:start w:val="1"/>
      <w:numFmt w:val="decimal"/>
      <w:lvlText w:val="%1.%2.%3.%4.%5.%6."/>
      <w:lvlJc w:val="left"/>
      <w:pPr>
        <w:ind w:left="2940" w:hanging="1440"/>
      </w:pPr>
      <w:rPr>
        <w:rFonts w:eastAsia="Times New Roman" w:cs="Times New Roman" w:hint="default"/>
        <w:color w:val="000000" w:themeColor="text1"/>
        <w:sz w:val="24"/>
      </w:rPr>
    </w:lvl>
    <w:lvl w:ilvl="6">
      <w:start w:val="1"/>
      <w:numFmt w:val="decimal"/>
      <w:lvlText w:val="%1.%2.%3.%4.%5.%6.%7."/>
      <w:lvlJc w:val="left"/>
      <w:pPr>
        <w:ind w:left="3600" w:hanging="1800"/>
      </w:pPr>
      <w:rPr>
        <w:rFonts w:eastAsia="Times New Roman" w:cs="Times New Roman" w:hint="default"/>
        <w:color w:val="000000" w:themeColor="text1"/>
        <w:sz w:val="24"/>
      </w:rPr>
    </w:lvl>
    <w:lvl w:ilvl="7">
      <w:start w:val="1"/>
      <w:numFmt w:val="decimal"/>
      <w:lvlText w:val="%1.%2.%3.%4.%5.%6.%7.%8."/>
      <w:lvlJc w:val="left"/>
      <w:pPr>
        <w:ind w:left="3900" w:hanging="1800"/>
      </w:pPr>
      <w:rPr>
        <w:rFonts w:eastAsia="Times New Roman" w:cs="Times New Roman" w:hint="default"/>
        <w:color w:val="000000" w:themeColor="text1"/>
        <w:sz w:val="24"/>
      </w:rPr>
    </w:lvl>
    <w:lvl w:ilvl="8">
      <w:start w:val="1"/>
      <w:numFmt w:val="decimal"/>
      <w:lvlText w:val="%1.%2.%3.%4.%5.%6.%7.%8.%9."/>
      <w:lvlJc w:val="left"/>
      <w:pPr>
        <w:ind w:left="4560" w:hanging="2160"/>
      </w:pPr>
      <w:rPr>
        <w:rFonts w:eastAsia="Times New Roman" w:cs="Times New Roman" w:hint="default"/>
        <w:color w:val="000000" w:themeColor="text1"/>
        <w:sz w:val="24"/>
      </w:rPr>
    </w:lvl>
  </w:abstractNum>
  <w:abstractNum w:abstractNumId="4"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4735B16"/>
    <w:multiLevelType w:val="multilevel"/>
    <w:tmpl w:val="8B885EDA"/>
    <w:lvl w:ilvl="0">
      <w:start w:val="1"/>
      <w:numFmt w:val="decimal"/>
      <w:lvlText w:val="%1."/>
      <w:lvlJc w:val="left"/>
      <w:pPr>
        <w:ind w:left="2912"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6" w15:restartNumberingAfterBreak="0">
    <w:nsid w:val="4D7953BA"/>
    <w:multiLevelType w:val="multilevel"/>
    <w:tmpl w:val="AFDC37B4"/>
    <w:lvl w:ilvl="0">
      <w:start w:val="4"/>
      <w:numFmt w:val="decimal"/>
      <w:lvlText w:val="%1."/>
      <w:lvlJc w:val="left"/>
      <w:pPr>
        <w:ind w:left="360" w:hanging="360"/>
      </w:pPr>
      <w:rPr>
        <w:rFonts w:eastAsia="Times New Roman" w:cs="Times New Roman" w:hint="default"/>
        <w:color w:val="000000" w:themeColor="text1"/>
      </w:rPr>
    </w:lvl>
    <w:lvl w:ilvl="1">
      <w:start w:val="1"/>
      <w:numFmt w:val="decimal"/>
      <w:lvlText w:val="%1.%2."/>
      <w:lvlJc w:val="left"/>
      <w:pPr>
        <w:ind w:left="660" w:hanging="360"/>
      </w:pPr>
      <w:rPr>
        <w:rFonts w:eastAsia="Times New Roman" w:cs="Times New Roman" w:hint="default"/>
        <w:color w:val="000000" w:themeColor="text1"/>
      </w:rPr>
    </w:lvl>
    <w:lvl w:ilvl="2">
      <w:start w:val="1"/>
      <w:numFmt w:val="decimal"/>
      <w:lvlText w:val="%1.%2.%3."/>
      <w:lvlJc w:val="left"/>
      <w:pPr>
        <w:ind w:left="1320" w:hanging="720"/>
      </w:pPr>
      <w:rPr>
        <w:rFonts w:eastAsia="Times New Roman" w:cs="Times New Roman" w:hint="default"/>
        <w:color w:val="000000" w:themeColor="text1"/>
      </w:rPr>
    </w:lvl>
    <w:lvl w:ilvl="3">
      <w:start w:val="1"/>
      <w:numFmt w:val="decimal"/>
      <w:lvlText w:val="%1.%2.%3.%4."/>
      <w:lvlJc w:val="left"/>
      <w:pPr>
        <w:ind w:left="1620" w:hanging="720"/>
      </w:pPr>
      <w:rPr>
        <w:rFonts w:eastAsia="Times New Roman" w:cs="Times New Roman" w:hint="default"/>
        <w:color w:val="000000" w:themeColor="text1"/>
      </w:rPr>
    </w:lvl>
    <w:lvl w:ilvl="4">
      <w:start w:val="1"/>
      <w:numFmt w:val="decimal"/>
      <w:lvlText w:val="%1.%2.%3.%4.%5."/>
      <w:lvlJc w:val="left"/>
      <w:pPr>
        <w:ind w:left="2280" w:hanging="1080"/>
      </w:pPr>
      <w:rPr>
        <w:rFonts w:eastAsia="Times New Roman" w:cs="Times New Roman" w:hint="default"/>
        <w:color w:val="000000" w:themeColor="text1"/>
      </w:rPr>
    </w:lvl>
    <w:lvl w:ilvl="5">
      <w:start w:val="1"/>
      <w:numFmt w:val="decimal"/>
      <w:lvlText w:val="%1.%2.%3.%4.%5.%6."/>
      <w:lvlJc w:val="left"/>
      <w:pPr>
        <w:ind w:left="2580" w:hanging="1080"/>
      </w:pPr>
      <w:rPr>
        <w:rFonts w:eastAsia="Times New Roman" w:cs="Times New Roman" w:hint="default"/>
        <w:color w:val="000000" w:themeColor="text1"/>
      </w:rPr>
    </w:lvl>
    <w:lvl w:ilvl="6">
      <w:start w:val="1"/>
      <w:numFmt w:val="decimal"/>
      <w:lvlText w:val="%1.%2.%3.%4.%5.%6.%7."/>
      <w:lvlJc w:val="left"/>
      <w:pPr>
        <w:ind w:left="2880" w:hanging="1080"/>
      </w:pPr>
      <w:rPr>
        <w:rFonts w:eastAsia="Times New Roman" w:cs="Times New Roman" w:hint="default"/>
        <w:color w:val="000000" w:themeColor="text1"/>
      </w:rPr>
    </w:lvl>
    <w:lvl w:ilvl="7">
      <w:start w:val="1"/>
      <w:numFmt w:val="decimal"/>
      <w:lvlText w:val="%1.%2.%3.%4.%5.%6.%7.%8."/>
      <w:lvlJc w:val="left"/>
      <w:pPr>
        <w:ind w:left="3540" w:hanging="1440"/>
      </w:pPr>
      <w:rPr>
        <w:rFonts w:eastAsia="Times New Roman" w:cs="Times New Roman" w:hint="default"/>
        <w:color w:val="000000" w:themeColor="text1"/>
      </w:rPr>
    </w:lvl>
    <w:lvl w:ilvl="8">
      <w:start w:val="1"/>
      <w:numFmt w:val="decimal"/>
      <w:lvlText w:val="%1.%2.%3.%4.%5.%6.%7.%8.%9."/>
      <w:lvlJc w:val="left"/>
      <w:pPr>
        <w:ind w:left="3840" w:hanging="1440"/>
      </w:pPr>
      <w:rPr>
        <w:rFonts w:eastAsia="Times New Roman" w:cs="Times New Roman" w:hint="default"/>
        <w:color w:val="000000" w:themeColor="text1"/>
      </w:rPr>
    </w:lvl>
  </w:abstractNum>
  <w:abstractNum w:abstractNumId="7" w15:restartNumberingAfterBreak="0">
    <w:nsid w:val="509F1D0F"/>
    <w:multiLevelType w:val="hybridMultilevel"/>
    <w:tmpl w:val="72A23AC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690D05"/>
    <w:multiLevelType w:val="hybridMultilevel"/>
    <w:tmpl w:val="BA3AD9A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8"/>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AF"/>
    <w:rsid w:val="00025354"/>
    <w:rsid w:val="00080D04"/>
    <w:rsid w:val="00092CE2"/>
    <w:rsid w:val="00096140"/>
    <w:rsid w:val="000C6125"/>
    <w:rsid w:val="000C7DC0"/>
    <w:rsid w:val="000D61E2"/>
    <w:rsid w:val="00100136"/>
    <w:rsid w:val="00141121"/>
    <w:rsid w:val="001462DE"/>
    <w:rsid w:val="00152921"/>
    <w:rsid w:val="00166815"/>
    <w:rsid w:val="001C17D6"/>
    <w:rsid w:val="0020788A"/>
    <w:rsid w:val="00212FBE"/>
    <w:rsid w:val="002149C5"/>
    <w:rsid w:val="00266775"/>
    <w:rsid w:val="00273A41"/>
    <w:rsid w:val="0027749D"/>
    <w:rsid w:val="00300AB3"/>
    <w:rsid w:val="003160B3"/>
    <w:rsid w:val="0032556B"/>
    <w:rsid w:val="00396E9E"/>
    <w:rsid w:val="003D7CDB"/>
    <w:rsid w:val="004229BA"/>
    <w:rsid w:val="004631DB"/>
    <w:rsid w:val="004F1BA3"/>
    <w:rsid w:val="005D7461"/>
    <w:rsid w:val="005E2845"/>
    <w:rsid w:val="005E4DCA"/>
    <w:rsid w:val="006454DF"/>
    <w:rsid w:val="006506A5"/>
    <w:rsid w:val="006B0D18"/>
    <w:rsid w:val="006E1A1E"/>
    <w:rsid w:val="006F121D"/>
    <w:rsid w:val="006F4F55"/>
    <w:rsid w:val="00726AC2"/>
    <w:rsid w:val="00744AB1"/>
    <w:rsid w:val="007505A8"/>
    <w:rsid w:val="007C5BBB"/>
    <w:rsid w:val="00822EF6"/>
    <w:rsid w:val="008246AF"/>
    <w:rsid w:val="008D375C"/>
    <w:rsid w:val="008F6236"/>
    <w:rsid w:val="009559F7"/>
    <w:rsid w:val="009C2DAF"/>
    <w:rsid w:val="00A30960"/>
    <w:rsid w:val="00A72240"/>
    <w:rsid w:val="00A80BA8"/>
    <w:rsid w:val="00A9339C"/>
    <w:rsid w:val="00A94AD5"/>
    <w:rsid w:val="00AA5A16"/>
    <w:rsid w:val="00B177B5"/>
    <w:rsid w:val="00B22E7F"/>
    <w:rsid w:val="00B93F82"/>
    <w:rsid w:val="00C00F4B"/>
    <w:rsid w:val="00CF2176"/>
    <w:rsid w:val="00D37BD9"/>
    <w:rsid w:val="00D63857"/>
    <w:rsid w:val="00DB7B0A"/>
    <w:rsid w:val="00DF2CD6"/>
    <w:rsid w:val="00E10DEA"/>
    <w:rsid w:val="00E442B8"/>
    <w:rsid w:val="00E45FFB"/>
    <w:rsid w:val="00E926DF"/>
    <w:rsid w:val="00EB1DC9"/>
    <w:rsid w:val="00EB3AEA"/>
    <w:rsid w:val="00F035E8"/>
    <w:rsid w:val="00FB06C3"/>
    <w:rsid w:val="00FC6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5215"/>
  <w15:chartTrackingRefBased/>
  <w15:docId w15:val="{384AC051-DDBE-4F15-8BC7-F64D61FC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C2DAF"/>
    <w:rPr>
      <w:rFonts w:cs="Times New Roman"/>
      <w:color w:val="0000FF"/>
      <w:u w:val="single"/>
    </w:rPr>
  </w:style>
  <w:style w:type="paragraph" w:styleId="NormalWeb">
    <w:name w:val="Normal (Web)"/>
    <w:basedOn w:val="Normal"/>
    <w:uiPriority w:val="99"/>
    <w:rsid w:val="009C2DAF"/>
    <w:pPr>
      <w:spacing w:before="100" w:beforeAutospacing="1" w:after="100" w:afterAutospacing="1"/>
    </w:pPr>
  </w:style>
  <w:style w:type="paragraph" w:customStyle="1" w:styleId="naisf">
    <w:name w:val="naisf"/>
    <w:basedOn w:val="Normal"/>
    <w:rsid w:val="009C2DAF"/>
    <w:pPr>
      <w:spacing w:before="75" w:after="75"/>
      <w:ind w:firstLine="375"/>
      <w:jc w:val="both"/>
    </w:pPr>
  </w:style>
  <w:style w:type="paragraph" w:customStyle="1" w:styleId="naisnod">
    <w:name w:val="naisnod"/>
    <w:basedOn w:val="Normal"/>
    <w:uiPriority w:val="99"/>
    <w:rsid w:val="009C2DAF"/>
    <w:pPr>
      <w:spacing w:before="150" w:after="150"/>
      <w:jc w:val="center"/>
    </w:pPr>
    <w:rPr>
      <w:b/>
      <w:bCs/>
    </w:rPr>
  </w:style>
  <w:style w:type="paragraph" w:customStyle="1" w:styleId="naislab">
    <w:name w:val="naislab"/>
    <w:basedOn w:val="Normal"/>
    <w:uiPriority w:val="99"/>
    <w:rsid w:val="009C2DAF"/>
    <w:pPr>
      <w:spacing w:before="75" w:after="75"/>
      <w:jc w:val="right"/>
    </w:pPr>
  </w:style>
  <w:style w:type="paragraph" w:customStyle="1" w:styleId="naiskr">
    <w:name w:val="naiskr"/>
    <w:basedOn w:val="Normal"/>
    <w:rsid w:val="009C2DAF"/>
    <w:pPr>
      <w:spacing w:before="75" w:after="75"/>
    </w:pPr>
  </w:style>
  <w:style w:type="paragraph" w:customStyle="1" w:styleId="naisc">
    <w:name w:val="naisc"/>
    <w:basedOn w:val="Normal"/>
    <w:rsid w:val="009C2DAF"/>
    <w:pPr>
      <w:spacing w:before="75" w:after="75"/>
      <w:jc w:val="center"/>
    </w:pPr>
  </w:style>
  <w:style w:type="paragraph" w:styleId="Header">
    <w:name w:val="header"/>
    <w:basedOn w:val="Normal"/>
    <w:link w:val="HeaderChar"/>
    <w:uiPriority w:val="99"/>
    <w:rsid w:val="009C2DAF"/>
    <w:pPr>
      <w:tabs>
        <w:tab w:val="center" w:pos="4153"/>
        <w:tab w:val="right" w:pos="8306"/>
      </w:tabs>
    </w:pPr>
  </w:style>
  <w:style w:type="character" w:customStyle="1" w:styleId="HeaderChar">
    <w:name w:val="Header Char"/>
    <w:basedOn w:val="DefaultParagraphFont"/>
    <w:link w:val="Header"/>
    <w:uiPriority w:val="99"/>
    <w:rsid w:val="009C2DAF"/>
    <w:rPr>
      <w:rFonts w:ascii="Times New Roman" w:eastAsia="Times New Roman" w:hAnsi="Times New Roman" w:cs="Times New Roman"/>
      <w:sz w:val="24"/>
      <w:szCs w:val="24"/>
      <w:lang w:eastAsia="lv-LV"/>
    </w:rPr>
  </w:style>
  <w:style w:type="character" w:styleId="PageNumber">
    <w:name w:val="page number"/>
    <w:uiPriority w:val="99"/>
    <w:rsid w:val="009C2DAF"/>
    <w:rPr>
      <w:rFonts w:cs="Times New Roman"/>
    </w:rPr>
  </w:style>
  <w:style w:type="paragraph" w:styleId="Footer">
    <w:name w:val="footer"/>
    <w:basedOn w:val="Normal"/>
    <w:link w:val="FooterChar"/>
    <w:uiPriority w:val="99"/>
    <w:rsid w:val="009C2DAF"/>
    <w:pPr>
      <w:tabs>
        <w:tab w:val="center" w:pos="4153"/>
        <w:tab w:val="right" w:pos="8306"/>
      </w:tabs>
    </w:pPr>
  </w:style>
  <w:style w:type="character" w:customStyle="1" w:styleId="FooterChar">
    <w:name w:val="Footer Char"/>
    <w:basedOn w:val="DefaultParagraphFont"/>
    <w:link w:val="Footer"/>
    <w:uiPriority w:val="99"/>
    <w:rsid w:val="009C2DAF"/>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C2DAF"/>
    <w:pPr>
      <w:ind w:left="720"/>
      <w:contextualSpacing/>
    </w:pPr>
  </w:style>
  <w:style w:type="paragraph" w:styleId="NoSpacing">
    <w:name w:val="No Spacing"/>
    <w:uiPriority w:val="1"/>
    <w:qFormat/>
    <w:rsid w:val="009C2DAF"/>
    <w:pPr>
      <w:suppressAutoHyphens/>
      <w:autoSpaceDN w:val="0"/>
      <w:spacing w:after="0" w:line="240" w:lineRule="auto"/>
      <w:textAlignment w:val="baseline"/>
    </w:pPr>
    <w:rPr>
      <w:rFonts w:ascii="Calibri" w:eastAsia="Calibri" w:hAnsi="Calibri" w:cs="Times New Roman"/>
    </w:rPr>
  </w:style>
  <w:style w:type="paragraph" w:customStyle="1" w:styleId="tv213">
    <w:name w:val="tv213"/>
    <w:basedOn w:val="Normal"/>
    <w:rsid w:val="002149C5"/>
    <w:pPr>
      <w:spacing w:before="100" w:beforeAutospacing="1" w:after="100" w:afterAutospacing="1"/>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AA5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7390">
      <w:bodyDiv w:val="1"/>
      <w:marLeft w:val="0"/>
      <w:marRight w:val="0"/>
      <w:marTop w:val="0"/>
      <w:marBottom w:val="0"/>
      <w:divBdr>
        <w:top w:val="none" w:sz="0" w:space="0" w:color="auto"/>
        <w:left w:val="none" w:sz="0" w:space="0" w:color="auto"/>
        <w:bottom w:val="none" w:sz="0" w:space="0" w:color="auto"/>
        <w:right w:val="none" w:sz="0" w:space="0" w:color="auto"/>
      </w:divBdr>
    </w:div>
    <w:div w:id="248655855">
      <w:bodyDiv w:val="1"/>
      <w:marLeft w:val="0"/>
      <w:marRight w:val="0"/>
      <w:marTop w:val="0"/>
      <w:marBottom w:val="0"/>
      <w:divBdr>
        <w:top w:val="none" w:sz="0" w:space="0" w:color="auto"/>
        <w:left w:val="none" w:sz="0" w:space="0" w:color="auto"/>
        <w:bottom w:val="none" w:sz="0" w:space="0" w:color="auto"/>
        <w:right w:val="none" w:sz="0" w:space="0" w:color="auto"/>
      </w:divBdr>
    </w:div>
    <w:div w:id="349723530">
      <w:bodyDiv w:val="1"/>
      <w:marLeft w:val="0"/>
      <w:marRight w:val="0"/>
      <w:marTop w:val="0"/>
      <w:marBottom w:val="0"/>
      <w:divBdr>
        <w:top w:val="none" w:sz="0" w:space="0" w:color="auto"/>
        <w:left w:val="none" w:sz="0" w:space="0" w:color="auto"/>
        <w:bottom w:val="none" w:sz="0" w:space="0" w:color="auto"/>
        <w:right w:val="none" w:sz="0" w:space="0" w:color="auto"/>
      </w:divBdr>
    </w:div>
    <w:div w:id="617033474">
      <w:bodyDiv w:val="1"/>
      <w:marLeft w:val="0"/>
      <w:marRight w:val="0"/>
      <w:marTop w:val="0"/>
      <w:marBottom w:val="0"/>
      <w:divBdr>
        <w:top w:val="none" w:sz="0" w:space="0" w:color="auto"/>
        <w:left w:val="none" w:sz="0" w:space="0" w:color="auto"/>
        <w:bottom w:val="none" w:sz="0" w:space="0" w:color="auto"/>
        <w:right w:val="none" w:sz="0" w:space="0" w:color="auto"/>
      </w:divBdr>
    </w:div>
    <w:div w:id="653950027">
      <w:bodyDiv w:val="1"/>
      <w:marLeft w:val="0"/>
      <w:marRight w:val="0"/>
      <w:marTop w:val="0"/>
      <w:marBottom w:val="0"/>
      <w:divBdr>
        <w:top w:val="none" w:sz="0" w:space="0" w:color="auto"/>
        <w:left w:val="none" w:sz="0" w:space="0" w:color="auto"/>
        <w:bottom w:val="none" w:sz="0" w:space="0" w:color="auto"/>
        <w:right w:val="none" w:sz="0" w:space="0" w:color="auto"/>
      </w:divBdr>
    </w:div>
    <w:div w:id="1053582277">
      <w:bodyDiv w:val="1"/>
      <w:marLeft w:val="0"/>
      <w:marRight w:val="0"/>
      <w:marTop w:val="0"/>
      <w:marBottom w:val="0"/>
      <w:divBdr>
        <w:top w:val="none" w:sz="0" w:space="0" w:color="auto"/>
        <w:left w:val="none" w:sz="0" w:space="0" w:color="auto"/>
        <w:bottom w:val="none" w:sz="0" w:space="0" w:color="auto"/>
        <w:right w:val="none" w:sz="0" w:space="0" w:color="auto"/>
      </w:divBdr>
    </w:div>
    <w:div w:id="1059860097">
      <w:bodyDiv w:val="1"/>
      <w:marLeft w:val="0"/>
      <w:marRight w:val="0"/>
      <w:marTop w:val="0"/>
      <w:marBottom w:val="0"/>
      <w:divBdr>
        <w:top w:val="none" w:sz="0" w:space="0" w:color="auto"/>
        <w:left w:val="none" w:sz="0" w:space="0" w:color="auto"/>
        <w:bottom w:val="none" w:sz="0" w:space="0" w:color="auto"/>
        <w:right w:val="none" w:sz="0" w:space="0" w:color="auto"/>
      </w:divBdr>
    </w:div>
    <w:div w:id="1605188460">
      <w:bodyDiv w:val="1"/>
      <w:marLeft w:val="0"/>
      <w:marRight w:val="0"/>
      <w:marTop w:val="0"/>
      <w:marBottom w:val="0"/>
      <w:divBdr>
        <w:top w:val="none" w:sz="0" w:space="0" w:color="auto"/>
        <w:left w:val="none" w:sz="0" w:space="0" w:color="auto"/>
        <w:bottom w:val="none" w:sz="0" w:space="0" w:color="auto"/>
        <w:right w:val="none" w:sz="0" w:space="0" w:color="auto"/>
      </w:divBdr>
    </w:div>
    <w:div w:id="1766270418">
      <w:bodyDiv w:val="1"/>
      <w:marLeft w:val="0"/>
      <w:marRight w:val="0"/>
      <w:marTop w:val="0"/>
      <w:marBottom w:val="0"/>
      <w:divBdr>
        <w:top w:val="none" w:sz="0" w:space="0" w:color="auto"/>
        <w:left w:val="none" w:sz="0" w:space="0" w:color="auto"/>
        <w:bottom w:val="none" w:sz="0" w:space="0" w:color="auto"/>
        <w:right w:val="none" w:sz="0" w:space="0" w:color="auto"/>
      </w:divBdr>
    </w:div>
    <w:div w:id="18755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24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178987-noziedzigi-iegutu-lidzeklu-legalizacijas-un-terorisma-finansesanas-noversana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952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10837</Words>
  <Characters>6178</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 "Noteikumi par kārtību, kādā sniedzami ziņojumi par aizdomīgiem darījumiem"</vt:lpstr>
    </vt:vector>
  </TitlesOfParts>
  <Company>Finanšu ministrija</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"Noteikumi par kārtību, kādā sniedzami ziņojumi par aizdomīgiem darījumiem"</dc:title>
  <dc:subject>Izziņa</dc:subject>
  <dc:creator>Dina Buse</dc:creator>
  <cp:keywords/>
  <dc:description>67095535, dina.buse@fm.gov.lv</dc:description>
  <cp:lastModifiedBy>Baiba Zvirgzdiņa</cp:lastModifiedBy>
  <cp:revision>29</cp:revision>
  <dcterms:created xsi:type="dcterms:W3CDTF">2019-08-20T07:17:00Z</dcterms:created>
  <dcterms:modified xsi:type="dcterms:W3CDTF">2019-08-21T13:05:00Z</dcterms:modified>
</cp:coreProperties>
</file>