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B34A" w14:textId="0FF16F8B" w:rsidR="00CA24DC" w:rsidRDefault="00CA24DC" w:rsidP="00CA24DC">
      <w:pPr>
        <w:shd w:val="clear" w:color="auto" w:fill="FFFFFF"/>
        <w:jc w:val="right"/>
        <w:rPr>
          <w:rFonts w:eastAsia="Times New Roman" w:cs="Times New Roman"/>
          <w:bCs/>
          <w:i/>
          <w:color w:val="000000" w:themeColor="text1"/>
          <w:sz w:val="24"/>
          <w:szCs w:val="24"/>
          <w:lang w:eastAsia="lv-LV"/>
        </w:rPr>
      </w:pPr>
      <w:r w:rsidRPr="00973C43">
        <w:rPr>
          <w:rFonts w:eastAsia="Times New Roman" w:cs="Times New Roman"/>
          <w:bCs/>
          <w:i/>
          <w:color w:val="000000" w:themeColor="text1"/>
          <w:sz w:val="24"/>
          <w:szCs w:val="24"/>
          <w:lang w:eastAsia="lv-LV"/>
        </w:rPr>
        <w:t>Projekts</w:t>
      </w:r>
    </w:p>
    <w:p w14:paraId="3C50F3EC" w14:textId="77777777" w:rsidR="00E62EE0" w:rsidRPr="00E62EE0" w:rsidRDefault="00E62EE0" w:rsidP="00CA24DC">
      <w:pPr>
        <w:shd w:val="clear" w:color="auto" w:fill="FFFFFF"/>
        <w:jc w:val="right"/>
        <w:rPr>
          <w:rFonts w:eastAsia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308F1B2A" w14:textId="77777777" w:rsidR="00CA24DC" w:rsidRPr="00973C43" w:rsidRDefault="00CA24DC" w:rsidP="00CA24DC">
      <w:pPr>
        <w:widowControl w:val="0"/>
        <w:spacing w:line="276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973C43">
        <w:rPr>
          <w:rFonts w:eastAsia="Times New Roman" w:cs="Times New Roman"/>
          <w:color w:val="000000" w:themeColor="text1"/>
          <w:sz w:val="24"/>
          <w:szCs w:val="24"/>
        </w:rPr>
        <w:t>LATVIJAS REPUBLIKAS MINISTRU KABINETS</w:t>
      </w:r>
    </w:p>
    <w:p w14:paraId="7D11E8B4" w14:textId="77777777" w:rsidR="00CA24DC" w:rsidRPr="00973C43" w:rsidRDefault="00CA24DC" w:rsidP="00CA24DC">
      <w:pPr>
        <w:widowControl w:val="0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3319486A" w14:textId="77777777" w:rsidR="00CA24DC" w:rsidRPr="00973C43" w:rsidRDefault="00CA24DC" w:rsidP="00CA24DC">
      <w:pPr>
        <w:widowControl w:val="0"/>
        <w:rPr>
          <w:rFonts w:eastAsia="Times New Roman" w:cs="Times New Roman"/>
          <w:color w:val="000000" w:themeColor="text1"/>
          <w:sz w:val="24"/>
          <w:szCs w:val="24"/>
        </w:rPr>
      </w:pPr>
      <w:r w:rsidRPr="00973C43">
        <w:rPr>
          <w:rFonts w:eastAsia="Times New Roman" w:cs="Times New Roman"/>
          <w:color w:val="000000" w:themeColor="text1"/>
          <w:sz w:val="24"/>
          <w:szCs w:val="24"/>
        </w:rPr>
        <w:t xml:space="preserve">2019. gada__________ </w:t>
      </w:r>
      <w:r w:rsidRPr="00973C43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973C43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973C43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973C43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973C43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973C43">
        <w:rPr>
          <w:rFonts w:eastAsia="Times New Roman" w:cs="Times New Roman"/>
          <w:color w:val="000000" w:themeColor="text1"/>
          <w:sz w:val="24"/>
          <w:szCs w:val="24"/>
        </w:rPr>
        <w:tab/>
        <w:t xml:space="preserve">       Noteikumi Nr.___</w:t>
      </w:r>
    </w:p>
    <w:p w14:paraId="6BFBCA45" w14:textId="77777777" w:rsidR="00CA24DC" w:rsidRPr="00973C43" w:rsidRDefault="00CA24DC" w:rsidP="00CA24DC">
      <w:pPr>
        <w:widowControl w:val="0"/>
        <w:tabs>
          <w:tab w:val="left" w:pos="426"/>
          <w:tab w:val="left" w:pos="6946"/>
        </w:tabs>
        <w:rPr>
          <w:rFonts w:eastAsia="Times New Roman" w:cs="Times New Roman"/>
          <w:color w:val="000000" w:themeColor="text1"/>
          <w:sz w:val="24"/>
          <w:szCs w:val="24"/>
        </w:rPr>
      </w:pPr>
      <w:r w:rsidRPr="00973C43">
        <w:rPr>
          <w:rFonts w:eastAsia="Times New Roman" w:cs="Times New Roman"/>
          <w:color w:val="000000" w:themeColor="text1"/>
          <w:sz w:val="24"/>
          <w:szCs w:val="24"/>
        </w:rPr>
        <w:t>Rīga</w:t>
      </w:r>
      <w:r w:rsidRPr="00973C43">
        <w:rPr>
          <w:rFonts w:eastAsia="Times New Roman" w:cs="Times New Roman"/>
          <w:color w:val="000000" w:themeColor="text1"/>
          <w:sz w:val="24"/>
          <w:szCs w:val="24"/>
        </w:rPr>
        <w:tab/>
        <w:t>(</w:t>
      </w:r>
      <w:proofErr w:type="spellStart"/>
      <w:r w:rsidRPr="00973C43">
        <w:rPr>
          <w:rFonts w:eastAsia="Times New Roman" w:cs="Times New Roman"/>
          <w:color w:val="000000" w:themeColor="text1"/>
          <w:sz w:val="24"/>
          <w:szCs w:val="24"/>
        </w:rPr>
        <w:t>prot.Nr</w:t>
      </w:r>
      <w:proofErr w:type="spellEnd"/>
      <w:r w:rsidRPr="00973C43">
        <w:rPr>
          <w:rFonts w:eastAsia="Times New Roman" w:cs="Times New Roman"/>
          <w:color w:val="000000" w:themeColor="text1"/>
          <w:sz w:val="24"/>
          <w:szCs w:val="24"/>
        </w:rPr>
        <w:t>.__</w:t>
      </w:r>
      <w:r w:rsidRPr="00973C43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Pr="00973C43">
        <w:rPr>
          <w:rFonts w:eastAsia="Times New Roman" w:cs="Times New Roman"/>
          <w:color w:val="000000" w:themeColor="text1"/>
          <w:sz w:val="24"/>
          <w:szCs w:val="24"/>
        </w:rPr>
        <w:t xml:space="preserve"> __.§)</w:t>
      </w:r>
    </w:p>
    <w:p w14:paraId="358BA903" w14:textId="77777777" w:rsidR="00CA24DC" w:rsidRPr="0036572B" w:rsidRDefault="00CA24DC" w:rsidP="00CA24DC">
      <w:pPr>
        <w:shd w:val="clear" w:color="auto" w:fill="FFFFFF"/>
        <w:jc w:val="right"/>
        <w:rPr>
          <w:rFonts w:eastAsia="Times New Roman" w:cs="Times New Roman"/>
          <w:color w:val="000000" w:themeColor="text1"/>
          <w:sz w:val="26"/>
          <w:szCs w:val="26"/>
          <w:lang w:eastAsia="lv-LV"/>
        </w:rPr>
      </w:pPr>
    </w:p>
    <w:p w14:paraId="2221F285" w14:textId="78203F63" w:rsidR="00CA24DC" w:rsidRDefault="00CA24DC" w:rsidP="00CA24DC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0" w:name="_Hlk14078205"/>
      <w:r w:rsidRPr="0036572B"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Noteikumi par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kārtību, kādā sniedzami ziņojumi par aizdomīgiem darījumiem </w:t>
      </w:r>
    </w:p>
    <w:bookmarkEnd w:id="0"/>
    <w:p w14:paraId="3B774817" w14:textId="60A08F4C" w:rsidR="00303A63" w:rsidRPr="0036572B" w:rsidRDefault="00303A63" w:rsidP="00486840">
      <w:pPr>
        <w:shd w:val="clear" w:color="auto" w:fill="FFFFFF"/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660ED447" w14:textId="2C869949" w:rsidR="00CA24DC" w:rsidRDefault="00CA24DC" w:rsidP="00CA24DC">
      <w:pPr>
        <w:shd w:val="clear" w:color="auto" w:fill="FFFFFF"/>
        <w:ind w:left="4536"/>
        <w:jc w:val="both"/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486840"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Izdoti saskaņā ar </w:t>
      </w:r>
      <w:hyperlink r:id="rId8" w:tgtFrame="_blank" w:history="1">
        <w:r w:rsidRPr="00486840">
          <w:rPr>
            <w:rFonts w:eastAsia="Times New Roman" w:cs="Times New Roman"/>
            <w:i/>
            <w:iCs/>
            <w:color w:val="000000" w:themeColor="text1"/>
            <w:sz w:val="24"/>
            <w:szCs w:val="24"/>
            <w:lang w:eastAsia="lv-LV"/>
          </w:rPr>
          <w:t>Noziedzīgi iegūtu līdzekļu legalizācijas un terorisma un proliferācijas finansēšanas novēršanas likuma</w:t>
        </w:r>
      </w:hyperlink>
      <w:r w:rsidRPr="00486840"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31. panta otro   daļu </w:t>
      </w:r>
    </w:p>
    <w:p w14:paraId="61F2970F" w14:textId="77777777" w:rsidR="00CA24DC" w:rsidRPr="0036572B" w:rsidRDefault="00CA24DC" w:rsidP="00CA24DC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6"/>
          <w:szCs w:val="26"/>
          <w:lang w:eastAsia="lv-LV"/>
        </w:rPr>
      </w:pPr>
    </w:p>
    <w:p w14:paraId="4668ED7D" w14:textId="7C37FFD9" w:rsidR="00CA24DC" w:rsidRPr="0072207A" w:rsidRDefault="00CA24DC" w:rsidP="00CA24DC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ind w:left="0" w:firstLine="30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1" w:name="p-638553"/>
      <w:bookmarkEnd w:id="1"/>
      <w:r w:rsidRPr="0072207A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Noteikumi nosaka </w:t>
      </w:r>
      <w:r w:rsidR="006F2F6F" w:rsidRPr="0072207A">
        <w:rPr>
          <w:rFonts w:cs="Times New Roman"/>
          <w:color w:val="000000" w:themeColor="text1"/>
          <w:sz w:val="24"/>
          <w:szCs w:val="24"/>
          <w:shd w:val="clear" w:color="auto" w:fill="FFFFFF"/>
        </w:rPr>
        <w:t>kārtību, kādā sniedzami ziņojumi par aizdomīgiem darījumiem</w:t>
      </w:r>
      <w:r w:rsidR="008B120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(turpmāk – ziņojumi)</w:t>
      </w:r>
      <w:r w:rsidR="00EF70B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kā arī </w:t>
      </w:r>
      <w:r w:rsidR="0048684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apstiprina </w:t>
      </w:r>
      <w:r w:rsidR="008B1209">
        <w:rPr>
          <w:rFonts w:cs="Times New Roman"/>
          <w:color w:val="000000" w:themeColor="text1"/>
          <w:sz w:val="24"/>
          <w:szCs w:val="24"/>
          <w:shd w:val="clear" w:color="auto" w:fill="FFFFFF"/>
        </w:rPr>
        <w:t>ziņojuma</w:t>
      </w:r>
      <w:r w:rsidR="00EF70B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veidlapu</w:t>
      </w:r>
      <w:r w:rsidR="00980548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90848B4" w14:textId="77777777" w:rsidR="00212981" w:rsidRDefault="00212981" w:rsidP="00973C43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2" w:name="p-638554"/>
      <w:bookmarkEnd w:id="2"/>
    </w:p>
    <w:bookmarkStart w:id="3" w:name="p-638555"/>
    <w:bookmarkStart w:id="4" w:name="p-638556"/>
    <w:bookmarkStart w:id="5" w:name="n2"/>
    <w:bookmarkStart w:id="6" w:name="n-638557"/>
    <w:bookmarkStart w:id="7" w:name="p-638560"/>
    <w:bookmarkStart w:id="8" w:name="p-638561"/>
    <w:bookmarkStart w:id="9" w:name="n4"/>
    <w:bookmarkStart w:id="10" w:name="n-638562"/>
    <w:bookmarkStart w:id="11" w:name="p-638563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4AAAC9D" w14:textId="46379902" w:rsidR="00CA24DC" w:rsidRPr="0036572B" w:rsidRDefault="0054619E" w:rsidP="00973C43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line="293" w:lineRule="atLeast"/>
        <w:ind w:left="0" w:firstLine="30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fldChar w:fldCharType="begin"/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instrText xml:space="preserve"> HYPERLINK "https://likumi.lv/ta/id/178987-noziedzigi-iegutu-lidzeklu-legalizacijas-un-terorisma-finansesanas-noversanas-likums" \t "_blank" </w:instrTex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fldChar w:fldCharType="separate"/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Noziedzīgi iegūtu līdzekļu legalizācijas un terorisma un proliferācijas finansēšanas novēršanas likum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fldChar w:fldCharType="end"/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a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  subjektiem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(turpmāk - l</w:t>
      </w:r>
      <w:r w:rsidR="00CA24DC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ikuma subjekti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)</w:t>
      </w:r>
      <w:r w:rsidR="00CA24DC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ir pienākums ziņojumu iesniegt elektroniski, izmantojot Finanšu izlūkošanas dienesta </w:t>
      </w:r>
      <w:r w:rsidR="00AD3923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uzturēt</w:t>
      </w:r>
      <w:r w:rsidR="00AD3923">
        <w:rPr>
          <w:rFonts w:eastAsia="Times New Roman" w:cs="Times New Roman"/>
          <w:color w:val="000000" w:themeColor="text1"/>
          <w:sz w:val="24"/>
          <w:szCs w:val="24"/>
          <w:lang w:eastAsia="lv-LV"/>
        </w:rPr>
        <w:t>o</w:t>
      </w:r>
      <w:r w:rsidR="00AD3923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B90FB2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tīmekļvietn</w:t>
      </w:r>
      <w:r w:rsidR="00B90FB2">
        <w:rPr>
          <w:rFonts w:eastAsia="Times New Roman" w:cs="Times New Roman"/>
          <w:color w:val="000000" w:themeColor="text1"/>
          <w:sz w:val="24"/>
          <w:szCs w:val="24"/>
          <w:lang w:eastAsia="lv-LV"/>
        </w:rPr>
        <w:t>i</w:t>
      </w:r>
      <w:r w:rsidR="00B90FB2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AD3923" w:rsidRPr="00260CFB">
        <w:rPr>
          <w:rFonts w:eastAsia="Times New Roman" w:cs="Times New Roman"/>
          <w:sz w:val="24"/>
          <w:szCs w:val="24"/>
          <w:lang w:eastAsia="lv-LV"/>
        </w:rPr>
        <w:t>https://zinojumi.fid.gov.lv</w:t>
      </w:r>
      <w:r w:rsidR="00AD3923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CA24DC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(turpmāk – e</w:t>
      </w:r>
      <w:r w:rsidR="00EB5AF5">
        <w:rPr>
          <w:rFonts w:eastAsia="Times New Roman" w:cs="Times New Roman"/>
          <w:color w:val="000000" w:themeColor="text1"/>
          <w:sz w:val="24"/>
          <w:szCs w:val="24"/>
          <w:lang w:eastAsia="lv-LV"/>
        </w:rPr>
        <w:noBreakHyphen/>
      </w:r>
      <w:r w:rsidR="00CA24DC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pakalpojums). </w:t>
      </w:r>
    </w:p>
    <w:p w14:paraId="02ACEE7D" w14:textId="1884B4A0" w:rsidR="00CA24DC" w:rsidRDefault="00CA24DC" w:rsidP="00CA24DC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12" w:name="_GoBack"/>
      <w:bookmarkEnd w:id="12"/>
    </w:p>
    <w:p w14:paraId="70209E57" w14:textId="031877BB" w:rsidR="00B90FB2" w:rsidRDefault="00CA24DC" w:rsidP="00973C43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line="293" w:lineRule="atLeast"/>
        <w:ind w:left="0" w:firstLine="30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Iesniedzot ziņojumu elektroniski – izmantojot e-pakalpojumu –, likuma subjekts aizpilda</w:t>
      </w:r>
      <w:r w:rsidR="00807AD3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veidlapu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tiešsaistes formā vai augšupielādē </w:t>
      </w:r>
      <w:r w:rsidR="00E6385A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XML faila 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datni </w:t>
      </w:r>
      <w:r w:rsidR="00AD3923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atbilstoši </w:t>
      </w:r>
      <w:r w:rsidR="008B3DCD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šo noteikumu </w:t>
      </w:r>
      <w:r w:rsidR="008908A3">
        <w:rPr>
          <w:rFonts w:eastAsia="Times New Roman" w:cs="Times New Roman"/>
          <w:color w:val="000000" w:themeColor="text1"/>
          <w:sz w:val="24"/>
          <w:szCs w:val="24"/>
          <w:lang w:eastAsia="lv-LV"/>
        </w:rPr>
        <w:t>1</w:t>
      </w:r>
      <w:r w:rsidR="00AD3923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.pielikumā noteiktajam datu saturam.</w:t>
      </w:r>
    </w:p>
    <w:p w14:paraId="4AE15828" w14:textId="2AAFE1E0" w:rsidR="00E6385A" w:rsidRDefault="00E6385A" w:rsidP="00E6385A">
      <w:pPr>
        <w:pStyle w:val="ListParagrap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7B08C410" w14:textId="2839CEBA" w:rsidR="000D1813" w:rsidRDefault="00CA24DC" w:rsidP="00973C43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line="293" w:lineRule="atLeast"/>
        <w:ind w:left="0" w:firstLine="30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13" w:name="p-638565"/>
      <w:bookmarkEnd w:id="13"/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Cit</w:t>
      </w:r>
      <w:r w:rsidR="009F1B16">
        <w:rPr>
          <w:rFonts w:eastAsia="Times New Roman" w:cs="Times New Roman"/>
          <w:color w:val="000000" w:themeColor="text1"/>
          <w:sz w:val="24"/>
          <w:szCs w:val="24"/>
          <w:lang w:eastAsia="lv-LV"/>
        </w:rPr>
        <w:t>as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person</w:t>
      </w:r>
      <w:r w:rsidR="009F1B16">
        <w:rPr>
          <w:rFonts w:eastAsia="Times New Roman" w:cs="Times New Roman"/>
          <w:color w:val="000000" w:themeColor="text1"/>
          <w:sz w:val="24"/>
          <w:szCs w:val="24"/>
          <w:lang w:eastAsia="lv-LV"/>
        </w:rPr>
        <w:t>as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9F1B16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var iesniegt 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ziņojumu </w:t>
      </w:r>
      <w:bookmarkStart w:id="14" w:name="p-638564"/>
      <w:bookmarkEnd w:id="14"/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papīra formā, aizpildot šo noteikumu </w:t>
      </w:r>
      <w:hyperlink r:id="rId9" w:anchor="piel1" w:history="1">
        <w:r w:rsidR="008908A3">
          <w:rPr>
            <w:rFonts w:eastAsia="Times New Roman" w:cs="Times New Roman"/>
            <w:color w:val="000000" w:themeColor="text1"/>
            <w:sz w:val="24"/>
            <w:szCs w:val="24"/>
            <w:lang w:eastAsia="lv-LV"/>
          </w:rPr>
          <w:t>2</w:t>
        </w:r>
      </w:hyperlink>
      <w:r w:rsidR="00CB2076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 pielikumā minēto veidlapu. </w:t>
      </w:r>
    </w:p>
    <w:p w14:paraId="06204B7C" w14:textId="11F608F5" w:rsidR="000D1813" w:rsidRDefault="000D1813" w:rsidP="00973C43">
      <w:pPr>
        <w:pStyle w:val="ListParagrap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2A4888C8" w14:textId="77777777" w:rsidR="00CA24DC" w:rsidRPr="0036572B" w:rsidRDefault="00CA24DC" w:rsidP="00973C43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ind w:left="0" w:firstLine="30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15" w:name="p-638566"/>
      <w:bookmarkStart w:id="16" w:name="n5"/>
      <w:bookmarkStart w:id="17" w:name="n-638567"/>
      <w:bookmarkStart w:id="18" w:name="p-638568"/>
      <w:bookmarkEnd w:id="15"/>
      <w:bookmarkEnd w:id="16"/>
      <w:bookmarkEnd w:id="17"/>
      <w:bookmarkEnd w:id="18"/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Atzīt par spēku zaudējušiem Ministru kabineta 201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9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. gada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2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jūlija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noteikumus Nr. 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281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"Noteikumi par neparasta darījuma pazīmju sarakstu un kārtību, kādā sniedzami ziņojumi par neparastiem vai aizdomīgiem darījumiem" (Latvijas Vēstnesis, 20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19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137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 nr.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).</w:t>
      </w:r>
    </w:p>
    <w:p w14:paraId="3BB43C98" w14:textId="77777777" w:rsidR="00CA24DC" w:rsidRPr="00785A1A" w:rsidRDefault="00CA24DC" w:rsidP="00785A1A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0C856831" w14:textId="7B50A669" w:rsidR="00CA24DC" w:rsidRPr="0036572B" w:rsidRDefault="00A26231" w:rsidP="00CA24DC">
      <w:pPr>
        <w:shd w:val="clear" w:color="auto" w:fill="FFFFFF"/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19" w:name="p-638569"/>
      <w:bookmarkStart w:id="20" w:name="p-638570"/>
      <w:bookmarkEnd w:id="19"/>
      <w:bookmarkEnd w:id="20"/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6</w:t>
      </w:r>
      <w:r w:rsidR="00CA24DC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 Noteikumi stājas spēkā 2019. gada 17. decembrī.</w:t>
      </w:r>
    </w:p>
    <w:p w14:paraId="74FAD286" w14:textId="62287ED6" w:rsidR="00CA24DC" w:rsidRDefault="00CA24DC" w:rsidP="00785A1A">
      <w:pPr>
        <w:shd w:val="clear" w:color="auto" w:fill="FFFFFF"/>
        <w:rPr>
          <w:rFonts w:eastAsia="Times New Roman" w:cs="Times New Roman"/>
          <w:iCs/>
          <w:color w:val="000000" w:themeColor="text1"/>
          <w:sz w:val="26"/>
          <w:szCs w:val="26"/>
          <w:lang w:eastAsia="lv-LV"/>
        </w:rPr>
      </w:pPr>
    </w:p>
    <w:p w14:paraId="4696B2B4" w14:textId="77777777" w:rsidR="007F2454" w:rsidRPr="00785A1A" w:rsidRDefault="007F2454" w:rsidP="00785A1A">
      <w:pPr>
        <w:shd w:val="clear" w:color="auto" w:fill="FFFFFF"/>
        <w:rPr>
          <w:rFonts w:eastAsia="Times New Roman" w:cs="Times New Roman"/>
          <w:iCs/>
          <w:color w:val="000000" w:themeColor="text1"/>
          <w:sz w:val="26"/>
          <w:szCs w:val="26"/>
          <w:lang w:eastAsia="lv-LV"/>
        </w:rPr>
      </w:pPr>
    </w:p>
    <w:p w14:paraId="5E9D3384" w14:textId="00F2658B" w:rsidR="006F2F6F" w:rsidRPr="004A0338" w:rsidRDefault="006F2F6F" w:rsidP="006F2F6F">
      <w:pPr>
        <w:spacing w:after="8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Ministru prezidents</w:t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ab/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ab/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ab/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ab/>
        <w:t xml:space="preserve">                                                      </w:t>
      </w:r>
      <w:r w:rsidR="00B82F9C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   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763AF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A.</w:t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K.Kariņš</w:t>
      </w:r>
      <w:proofErr w:type="spellEnd"/>
    </w:p>
    <w:p w14:paraId="4FCE2CB0" w14:textId="77777777" w:rsidR="006F2F6F" w:rsidRPr="004A0338" w:rsidRDefault="006F2F6F" w:rsidP="006F2F6F">
      <w:pPr>
        <w:keepNext/>
        <w:tabs>
          <w:tab w:val="left" w:pos="6480"/>
        </w:tabs>
        <w:spacing w:after="80"/>
        <w:jc w:val="both"/>
        <w:outlineLvl w:val="2"/>
        <w:rPr>
          <w:rFonts w:eastAsia="Times New Roman" w:cs="Times New Roman"/>
          <w:color w:val="000000" w:themeColor="text1"/>
          <w:sz w:val="24"/>
          <w:szCs w:val="24"/>
        </w:rPr>
      </w:pPr>
    </w:p>
    <w:p w14:paraId="7F92F592" w14:textId="7D70D843" w:rsidR="006F2F6F" w:rsidRPr="004A0338" w:rsidRDefault="006F2F6F" w:rsidP="00A57817">
      <w:pPr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cs="Times New Roman"/>
          <w:color w:val="000000" w:themeColor="text1"/>
          <w:sz w:val="24"/>
          <w:szCs w:val="24"/>
        </w:rPr>
        <w:t xml:space="preserve">Finanšu </w:t>
      </w:r>
      <w:r w:rsidRPr="004A0338">
        <w:rPr>
          <w:rFonts w:cs="Times New Roman"/>
          <w:color w:val="000000" w:themeColor="text1"/>
          <w:sz w:val="24"/>
          <w:szCs w:val="24"/>
        </w:rPr>
        <w:t xml:space="preserve">ministrs </w:t>
      </w:r>
      <w:r w:rsidRPr="004A0338">
        <w:rPr>
          <w:rFonts w:cs="Times New Roman"/>
          <w:color w:val="000000" w:themeColor="text1"/>
          <w:sz w:val="24"/>
          <w:szCs w:val="24"/>
        </w:rPr>
        <w:tab/>
      </w:r>
      <w:r w:rsidRPr="004A0338">
        <w:rPr>
          <w:rFonts w:cs="Times New Roman"/>
          <w:color w:val="000000" w:themeColor="text1"/>
          <w:sz w:val="24"/>
          <w:szCs w:val="24"/>
        </w:rPr>
        <w:tab/>
        <w:t xml:space="preserve">     </w:t>
      </w:r>
      <w:r w:rsidRPr="004A0338">
        <w:rPr>
          <w:rFonts w:cs="Times New Roman"/>
          <w:color w:val="000000" w:themeColor="text1"/>
          <w:sz w:val="24"/>
          <w:szCs w:val="24"/>
        </w:rPr>
        <w:tab/>
        <w:t xml:space="preserve">               </w:t>
      </w:r>
      <w:r w:rsidRPr="004A0338">
        <w:rPr>
          <w:rFonts w:cs="Times New Roman"/>
          <w:color w:val="000000" w:themeColor="text1"/>
          <w:sz w:val="24"/>
          <w:szCs w:val="24"/>
        </w:rPr>
        <w:tab/>
      </w:r>
      <w:r w:rsidRPr="004A0338"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 xml:space="preserve"> </w:t>
      </w:r>
      <w:r w:rsidR="003C29BD">
        <w:rPr>
          <w:rFonts w:cs="Times New Roman"/>
          <w:color w:val="000000" w:themeColor="text1"/>
          <w:sz w:val="24"/>
          <w:szCs w:val="24"/>
        </w:rPr>
        <w:t xml:space="preserve">  </w:t>
      </w:r>
      <w:r>
        <w:rPr>
          <w:rFonts w:cs="Times New Roman"/>
          <w:color w:val="000000" w:themeColor="text1"/>
          <w:sz w:val="24"/>
          <w:szCs w:val="24"/>
        </w:rPr>
        <w:t xml:space="preserve"> J.Reirs</w:t>
      </w:r>
    </w:p>
    <w:sectPr w:rsidR="006F2F6F" w:rsidRPr="004A0338" w:rsidSect="00262778">
      <w:headerReference w:type="default" r:id="rId10"/>
      <w:footerReference w:type="even" r:id="rId11"/>
      <w:footerReference w:type="default" r:id="rId12"/>
      <w:pgSz w:w="11906" w:h="16838"/>
      <w:pgMar w:top="1276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1749" w14:textId="77777777" w:rsidR="00140298" w:rsidRDefault="00140298" w:rsidP="0072207A">
      <w:r>
        <w:separator/>
      </w:r>
    </w:p>
  </w:endnote>
  <w:endnote w:type="continuationSeparator" w:id="0">
    <w:p w14:paraId="5388DC46" w14:textId="77777777" w:rsidR="00140298" w:rsidRDefault="00140298" w:rsidP="007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E93F" w14:textId="77777777" w:rsidR="00CD4112" w:rsidRPr="00484748" w:rsidRDefault="00260CFB" w:rsidP="00484748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219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2D7B" w14:textId="67FF2B04" w:rsidR="00281289" w:rsidRDefault="00281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B0082" w14:textId="1C9E551A" w:rsidR="00CD4112" w:rsidRPr="00484748" w:rsidRDefault="00F947C9" w:rsidP="004A0338">
    <w:pPr>
      <w:shd w:val="clear" w:color="auto" w:fill="FFFFFF"/>
      <w:jc w:val="both"/>
      <w:rPr>
        <w:sz w:val="20"/>
        <w:szCs w:val="20"/>
      </w:rPr>
    </w:pPr>
    <w:r>
      <w:rPr>
        <w:sz w:val="20"/>
        <w:szCs w:val="20"/>
      </w:rPr>
      <w:t>FMn</w:t>
    </w:r>
    <w:r w:rsidR="00537757">
      <w:rPr>
        <w:sz w:val="20"/>
        <w:szCs w:val="20"/>
      </w:rPr>
      <w:t>ot_</w:t>
    </w:r>
    <w:r w:rsidR="00B15E5C">
      <w:rPr>
        <w:sz w:val="20"/>
        <w:szCs w:val="20"/>
      </w:rPr>
      <w:t>22</w:t>
    </w:r>
    <w:r w:rsidR="00537757">
      <w:rPr>
        <w:sz w:val="20"/>
        <w:szCs w:val="20"/>
      </w:rPr>
      <w:t>0819_aizdomigs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19AA5" w14:textId="77777777" w:rsidR="00140298" w:rsidRDefault="00140298" w:rsidP="0072207A">
      <w:r>
        <w:separator/>
      </w:r>
    </w:p>
  </w:footnote>
  <w:footnote w:type="continuationSeparator" w:id="0">
    <w:p w14:paraId="120A43DE" w14:textId="77777777" w:rsidR="00140298" w:rsidRDefault="00140298" w:rsidP="0072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AB46" w14:textId="77101DFE" w:rsidR="00CD4112" w:rsidRPr="00262778" w:rsidRDefault="00260CFB">
    <w:pPr>
      <w:pStyle w:val="Header"/>
      <w:jc w:val="center"/>
      <w:rPr>
        <w:sz w:val="24"/>
        <w:szCs w:val="24"/>
      </w:rPr>
    </w:pPr>
  </w:p>
  <w:p w14:paraId="33016244" w14:textId="77777777" w:rsidR="00CD4112" w:rsidRPr="00484748" w:rsidRDefault="00260CFB" w:rsidP="00484748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A7E"/>
    <w:multiLevelType w:val="hybridMultilevel"/>
    <w:tmpl w:val="72163E28"/>
    <w:lvl w:ilvl="0" w:tplc="F9A26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166A"/>
    <w:multiLevelType w:val="hybridMultilevel"/>
    <w:tmpl w:val="AAA644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5B16"/>
    <w:multiLevelType w:val="multilevel"/>
    <w:tmpl w:val="CF50E5E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435C7453"/>
    <w:multiLevelType w:val="multilevel"/>
    <w:tmpl w:val="8B885ED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DC"/>
    <w:rsid w:val="00027371"/>
    <w:rsid w:val="00033479"/>
    <w:rsid w:val="00036253"/>
    <w:rsid w:val="000434A1"/>
    <w:rsid w:val="000A00AB"/>
    <w:rsid w:val="000D1813"/>
    <w:rsid w:val="000D6E27"/>
    <w:rsid w:val="00140298"/>
    <w:rsid w:val="00150EA0"/>
    <w:rsid w:val="00172F41"/>
    <w:rsid w:val="001A761A"/>
    <w:rsid w:val="001C6283"/>
    <w:rsid w:val="001D4D83"/>
    <w:rsid w:val="001F649D"/>
    <w:rsid w:val="00212981"/>
    <w:rsid w:val="00235C0A"/>
    <w:rsid w:val="00260CFB"/>
    <w:rsid w:val="00281289"/>
    <w:rsid w:val="002E2870"/>
    <w:rsid w:val="00303A63"/>
    <w:rsid w:val="003064C9"/>
    <w:rsid w:val="00315C52"/>
    <w:rsid w:val="0034285D"/>
    <w:rsid w:val="00382BCD"/>
    <w:rsid w:val="003C29BD"/>
    <w:rsid w:val="00400094"/>
    <w:rsid w:val="004259EA"/>
    <w:rsid w:val="004355D6"/>
    <w:rsid w:val="0044393C"/>
    <w:rsid w:val="0047777B"/>
    <w:rsid w:val="00480928"/>
    <w:rsid w:val="004847C6"/>
    <w:rsid w:val="00486840"/>
    <w:rsid w:val="004C3FF6"/>
    <w:rsid w:val="004C7353"/>
    <w:rsid w:val="004D3794"/>
    <w:rsid w:val="00530303"/>
    <w:rsid w:val="00537757"/>
    <w:rsid w:val="0054619E"/>
    <w:rsid w:val="00551D74"/>
    <w:rsid w:val="005706C0"/>
    <w:rsid w:val="00597B08"/>
    <w:rsid w:val="005E30F1"/>
    <w:rsid w:val="005F4694"/>
    <w:rsid w:val="005F6876"/>
    <w:rsid w:val="00611A41"/>
    <w:rsid w:val="00613DCE"/>
    <w:rsid w:val="006216A9"/>
    <w:rsid w:val="006F2F6F"/>
    <w:rsid w:val="006F6F2F"/>
    <w:rsid w:val="006F7D3D"/>
    <w:rsid w:val="0072207A"/>
    <w:rsid w:val="00744F04"/>
    <w:rsid w:val="007544F7"/>
    <w:rsid w:val="00763AF8"/>
    <w:rsid w:val="00763C2D"/>
    <w:rsid w:val="00785A1A"/>
    <w:rsid w:val="007B7FFB"/>
    <w:rsid w:val="007D4A8B"/>
    <w:rsid w:val="007F2454"/>
    <w:rsid w:val="00807AD3"/>
    <w:rsid w:val="00826638"/>
    <w:rsid w:val="008465D2"/>
    <w:rsid w:val="00860952"/>
    <w:rsid w:val="00873533"/>
    <w:rsid w:val="008908A3"/>
    <w:rsid w:val="008B1209"/>
    <w:rsid w:val="008B3DCD"/>
    <w:rsid w:val="0091389B"/>
    <w:rsid w:val="00973C43"/>
    <w:rsid w:val="00980548"/>
    <w:rsid w:val="009E33CC"/>
    <w:rsid w:val="009F1B16"/>
    <w:rsid w:val="00A0668F"/>
    <w:rsid w:val="00A26231"/>
    <w:rsid w:val="00A57817"/>
    <w:rsid w:val="00AD3923"/>
    <w:rsid w:val="00AF0150"/>
    <w:rsid w:val="00B15E5C"/>
    <w:rsid w:val="00B3321F"/>
    <w:rsid w:val="00B63471"/>
    <w:rsid w:val="00B82F9C"/>
    <w:rsid w:val="00B90FB2"/>
    <w:rsid w:val="00B977D5"/>
    <w:rsid w:val="00BB2E82"/>
    <w:rsid w:val="00BD048F"/>
    <w:rsid w:val="00BF681C"/>
    <w:rsid w:val="00C7156A"/>
    <w:rsid w:val="00C81197"/>
    <w:rsid w:val="00CA24DC"/>
    <w:rsid w:val="00CB2076"/>
    <w:rsid w:val="00CF36F4"/>
    <w:rsid w:val="00D63857"/>
    <w:rsid w:val="00D65BCE"/>
    <w:rsid w:val="00D841D3"/>
    <w:rsid w:val="00D86CA8"/>
    <w:rsid w:val="00DB45CC"/>
    <w:rsid w:val="00DB5177"/>
    <w:rsid w:val="00E62EE0"/>
    <w:rsid w:val="00E6385A"/>
    <w:rsid w:val="00E91F06"/>
    <w:rsid w:val="00E969BC"/>
    <w:rsid w:val="00E9726A"/>
    <w:rsid w:val="00EB07E5"/>
    <w:rsid w:val="00EB5AF5"/>
    <w:rsid w:val="00EF70BD"/>
    <w:rsid w:val="00F665D5"/>
    <w:rsid w:val="00F90250"/>
    <w:rsid w:val="00F947C9"/>
    <w:rsid w:val="00FC66C7"/>
    <w:rsid w:val="00FC7227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56960"/>
  <w15:chartTrackingRefBased/>
  <w15:docId w15:val="{DD0B2986-19C7-4A75-A1D9-E4030E7A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D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4DC"/>
    <w:rPr>
      <w:color w:val="0000FF"/>
      <w:u w:val="single"/>
    </w:rPr>
  </w:style>
  <w:style w:type="paragraph" w:customStyle="1" w:styleId="tv213">
    <w:name w:val="tv213"/>
    <w:basedOn w:val="Normal"/>
    <w:rsid w:val="00CA24D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A2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A2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DC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2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0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7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092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78987-noziedzigi-iegutu-lidzeklu-legalizacijas-un-terorisma-finansesanas-noversan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952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C2FD-8EFE-4C2A-A571-4E48F06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kārtību, kādā sniedzami ziņojumi par aizdomīgiem darījumiem"</vt:lpstr>
    </vt:vector>
  </TitlesOfParts>
  <Company>Finanšu ministrija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sniedzami ziņojumi par aizdomīgiem darījumiem"</dc:title>
  <dc:subject>Noteikumu projekts</dc:subject>
  <dc:creator>Dina Buse</dc:creator>
  <cp:keywords/>
  <dc:description>67095535, Dina.Buse@fm.gov.lv</dc:description>
  <cp:lastModifiedBy>Baiba Zvirgzdiņa</cp:lastModifiedBy>
  <cp:revision>6</cp:revision>
  <cp:lastPrinted>2019-08-20T07:13:00Z</cp:lastPrinted>
  <dcterms:created xsi:type="dcterms:W3CDTF">2019-08-20T07:16:00Z</dcterms:created>
  <dcterms:modified xsi:type="dcterms:W3CDTF">2019-08-22T06:46:00Z</dcterms:modified>
  <cp:contentStatus/>
</cp:coreProperties>
</file>