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79CA9" w14:textId="77777777" w:rsidR="000D2339" w:rsidRPr="008D7A04" w:rsidRDefault="00F564B2" w:rsidP="00567D43">
      <w:pPr>
        <w:spacing w:before="360"/>
        <w:ind w:firstLine="720"/>
        <w:jc w:val="center"/>
        <w:rPr>
          <w:b/>
          <w:sz w:val="28"/>
        </w:rPr>
      </w:pPr>
      <w:r w:rsidRPr="008D7A04">
        <w:rPr>
          <w:b/>
          <w:sz w:val="28"/>
        </w:rPr>
        <w:t xml:space="preserve">Informatīvais ziņojums </w:t>
      </w:r>
    </w:p>
    <w:p w14:paraId="1CD1FF73" w14:textId="77777777" w:rsidR="000D2339" w:rsidRPr="008D7A04" w:rsidRDefault="00F564B2" w:rsidP="00C06AA1">
      <w:pPr>
        <w:spacing w:after="120"/>
        <w:ind w:firstLine="720"/>
        <w:jc w:val="center"/>
        <w:rPr>
          <w:b/>
          <w:sz w:val="28"/>
        </w:rPr>
      </w:pPr>
      <w:r w:rsidRPr="008D7A04">
        <w:rPr>
          <w:b/>
          <w:sz w:val="28"/>
        </w:rPr>
        <w:t>„Par Eiropas Stabilitātes mehānisma darbību 2018. gadā”</w:t>
      </w:r>
    </w:p>
    <w:p w14:paraId="3F41A296" w14:textId="77777777" w:rsidR="0029137B" w:rsidRPr="008D7A04" w:rsidRDefault="0029137B" w:rsidP="002D12F8">
      <w:pPr>
        <w:spacing w:before="240" w:after="60" w:line="264" w:lineRule="auto"/>
        <w:ind w:firstLine="720"/>
        <w:jc w:val="both"/>
      </w:pPr>
      <w:r w:rsidRPr="008D7A04">
        <w:rPr>
          <w:rFonts w:eastAsia="Times New Roman"/>
          <w:szCs w:val="24"/>
        </w:rPr>
        <w:t>Info</w:t>
      </w:r>
      <w:r w:rsidR="008A03CC" w:rsidRPr="008D7A04">
        <w:rPr>
          <w:rFonts w:eastAsia="Times New Roman"/>
          <w:szCs w:val="24"/>
        </w:rPr>
        <w:t>rmatīvais ziņojums ir izstrādāts</w:t>
      </w:r>
      <w:r w:rsidRPr="008D7A04">
        <w:rPr>
          <w:rFonts w:eastAsia="Times New Roman"/>
          <w:szCs w:val="24"/>
        </w:rPr>
        <w:t xml:space="preserve"> saskaņā ar likuma „Par Latvijas pārstāvību Eiropas Stabilitātes mehānisma Valdē un Direktoru padomē” 7.pantu, kas nosaka, ka Ministru kabinets katru gadu ne vēlāk kā trīs mēnešus pēc tam, kad </w:t>
      </w:r>
      <w:r w:rsidR="00D10F53" w:rsidRPr="008D7A04">
        <w:rPr>
          <w:rFonts w:eastAsia="Times New Roman"/>
          <w:szCs w:val="24"/>
        </w:rPr>
        <w:t>Eiropas Stabilitātes mehānisms (turpmāk – ESM)</w:t>
      </w:r>
      <w:r w:rsidRPr="008D7A04">
        <w:rPr>
          <w:rFonts w:eastAsia="Times New Roman"/>
          <w:szCs w:val="24"/>
        </w:rPr>
        <w:t xml:space="preserve"> publicējis gada pārskatu</w:t>
      </w:r>
      <w:r w:rsidR="00617962" w:rsidRPr="008D7A04">
        <w:rPr>
          <w:rStyle w:val="FootnoteReference"/>
          <w:rFonts w:eastAsia="Times New Roman"/>
          <w:szCs w:val="24"/>
        </w:rPr>
        <w:footnoteReference w:id="1"/>
      </w:r>
      <w:r w:rsidR="00617962" w:rsidRPr="008D7A04">
        <w:rPr>
          <w:rFonts w:eastAsia="Times New Roman"/>
          <w:szCs w:val="24"/>
        </w:rPr>
        <w:t xml:space="preserve"> </w:t>
      </w:r>
      <w:r w:rsidRPr="008D7A04">
        <w:rPr>
          <w:rFonts w:eastAsia="Times New Roman"/>
          <w:szCs w:val="24"/>
        </w:rPr>
        <w:t>saskaņā ar Līgum</w:t>
      </w:r>
      <w:r w:rsidR="009F426E" w:rsidRPr="008D7A04">
        <w:rPr>
          <w:rFonts w:eastAsia="Times New Roman"/>
          <w:szCs w:val="24"/>
        </w:rPr>
        <w:t>a</w:t>
      </w:r>
      <w:r w:rsidRPr="008D7A04">
        <w:rPr>
          <w:rFonts w:eastAsia="Times New Roman"/>
          <w:szCs w:val="24"/>
        </w:rPr>
        <w:t xml:space="preserve"> par Eiropas Stabilitātes mehānisma dibināšanu 27.panta 2.punktu, iesniedz Saeimai ziņojumu par ESM darbību iepriekšējā gadā.</w:t>
      </w:r>
      <w:r w:rsidR="005D4A62" w:rsidRPr="008D7A04">
        <w:t xml:space="preserve"> </w:t>
      </w:r>
      <w:r w:rsidR="00ED1239" w:rsidRPr="008D7A04">
        <w:t xml:space="preserve">Pamatojoties uz augstāk minēto, </w:t>
      </w:r>
      <w:r w:rsidR="002D351A" w:rsidRPr="008D7A04">
        <w:t>informatīvais ziņojums turpmākajās sadaļās sniedz informāciju par ESM darbību 201</w:t>
      </w:r>
      <w:r w:rsidR="002D3808" w:rsidRPr="008D7A04">
        <w:t>8</w:t>
      </w:r>
      <w:r w:rsidR="002D351A" w:rsidRPr="008D7A04">
        <w:t>.gadā.</w:t>
      </w:r>
    </w:p>
    <w:p w14:paraId="54073D17" w14:textId="26F80DA3" w:rsidR="00065412" w:rsidRPr="008D7A04" w:rsidRDefault="00915E22" w:rsidP="004B3996">
      <w:pPr>
        <w:spacing w:before="60" w:after="60" w:line="264" w:lineRule="auto"/>
        <w:ind w:firstLine="720"/>
        <w:jc w:val="both"/>
      </w:pPr>
      <w:r w:rsidRPr="008D7A04">
        <w:t>A</w:t>
      </w:r>
      <w:r w:rsidR="002D3808" w:rsidRPr="008D7A04">
        <w:t xml:space="preserve">tbilstoši </w:t>
      </w:r>
      <w:r w:rsidR="009C438F" w:rsidRPr="008D7A04">
        <w:t xml:space="preserve">Līguma par </w:t>
      </w:r>
      <w:r w:rsidR="00101D4E" w:rsidRPr="008D7A04">
        <w:t xml:space="preserve">Eiropas Stabilitātes mehānisma </w:t>
      </w:r>
      <w:r w:rsidR="009C438F" w:rsidRPr="008D7A04">
        <w:t>dibināšanu 48.</w:t>
      </w:r>
      <w:r w:rsidR="00ED6AEB" w:rsidRPr="008D7A04">
        <w:t>panta trešajā daļā noteikto</w:t>
      </w:r>
      <w:r w:rsidR="002D3808" w:rsidRPr="008D7A04">
        <w:t>,</w:t>
      </w:r>
      <w:r w:rsidR="000F4067" w:rsidRPr="008D7A04">
        <w:t xml:space="preserve"> Latvija 2014.gada</w:t>
      </w:r>
      <w:r w:rsidR="00ED6AEB" w:rsidRPr="008D7A04">
        <w:t xml:space="preserve"> </w:t>
      </w:r>
      <w:r w:rsidR="00284E15" w:rsidRPr="008D7A04">
        <w:t>13.martā</w:t>
      </w:r>
      <w:r w:rsidR="009C438F" w:rsidRPr="008D7A04">
        <w:t xml:space="preserve"> kļuva par ESM dalībnieci ar pilnām tiesībām un pienākumiem.</w:t>
      </w:r>
      <w:r w:rsidR="00F35B7F" w:rsidRPr="008D7A04">
        <w:t xml:space="preserve"> </w:t>
      </w:r>
      <w:r w:rsidR="007D48E9" w:rsidRPr="008D7A04">
        <w:t>Latvija</w:t>
      </w:r>
      <w:r w:rsidR="00AE01C0" w:rsidRPr="008D7A04">
        <w:t>i</w:t>
      </w:r>
      <w:r w:rsidR="00F35B7F" w:rsidRPr="008D7A04">
        <w:t xml:space="preserve"> </w:t>
      </w:r>
      <w:r w:rsidR="00ED1239" w:rsidRPr="008D7A04">
        <w:t>šobrīd pieder</w:t>
      </w:r>
      <w:r w:rsidR="00AE01C0" w:rsidRPr="008D7A04">
        <w:t xml:space="preserve"> 0,2746%</w:t>
      </w:r>
      <w:r w:rsidR="00ED1239" w:rsidRPr="008D7A04">
        <w:t xml:space="preserve"> no ESM kapitāla</w:t>
      </w:r>
      <w:r w:rsidR="006710BE" w:rsidRPr="008D7A04">
        <w:t>, un l</w:t>
      </w:r>
      <w:r w:rsidR="00AE01C0" w:rsidRPr="008D7A04">
        <w:t xml:space="preserve">īdz </w:t>
      </w:r>
      <w:r w:rsidR="00127E5D" w:rsidRPr="008D7A04">
        <w:t>2018.</w:t>
      </w:r>
      <w:r w:rsidR="00862E26" w:rsidRPr="008D7A04">
        <w:t xml:space="preserve">gadam </w:t>
      </w:r>
      <w:r w:rsidR="00B55702" w:rsidRPr="008D7A04">
        <w:t>Latvija</w:t>
      </w:r>
      <w:r w:rsidR="00CB5414" w:rsidRPr="008D7A04">
        <w:t xml:space="preserve"> </w:t>
      </w:r>
      <w:r w:rsidR="00F35B7F" w:rsidRPr="008D7A04">
        <w:t xml:space="preserve">ESM kapitālā </w:t>
      </w:r>
      <w:r w:rsidR="00CE3404" w:rsidRPr="008D7A04">
        <w:t xml:space="preserve">iemaksājusi </w:t>
      </w:r>
      <w:r w:rsidR="009A13DB" w:rsidRPr="008D7A04">
        <w:t>221</w:t>
      </w:r>
      <w:r w:rsidR="00AE01C0" w:rsidRPr="008D7A04">
        <w:t>,</w:t>
      </w:r>
      <w:r w:rsidR="009A13DB" w:rsidRPr="008D7A04">
        <w:t>2</w:t>
      </w:r>
      <w:r w:rsidR="00127E5D" w:rsidRPr="008D7A04">
        <w:t xml:space="preserve"> milj. </w:t>
      </w:r>
      <w:proofErr w:type="spellStart"/>
      <w:r w:rsidR="009B403B" w:rsidRPr="008D7A04">
        <w:rPr>
          <w:i/>
        </w:rPr>
        <w:t>euro</w:t>
      </w:r>
      <w:proofErr w:type="spellEnd"/>
      <w:r w:rsidR="00AE01C0" w:rsidRPr="008D7A04">
        <w:t>.</w:t>
      </w:r>
      <w:r w:rsidR="00862E26" w:rsidRPr="008D7A04">
        <w:t xml:space="preserve"> Atlikusī summa</w:t>
      </w:r>
      <w:r w:rsidR="009A13DB" w:rsidRPr="008D7A04">
        <w:t xml:space="preserve"> </w:t>
      </w:r>
      <w:r w:rsidR="00862E26" w:rsidRPr="008D7A04">
        <w:t>103,2 milj. </w:t>
      </w:r>
      <w:proofErr w:type="spellStart"/>
      <w:r w:rsidR="00862E26" w:rsidRPr="008D7A04">
        <w:rPr>
          <w:i/>
        </w:rPr>
        <w:t>euro</w:t>
      </w:r>
      <w:proofErr w:type="spellEnd"/>
      <w:r w:rsidR="00862E26" w:rsidRPr="008D7A04">
        <w:rPr>
          <w:i/>
        </w:rPr>
        <w:t xml:space="preserve"> </w:t>
      </w:r>
      <w:r w:rsidR="00862E26" w:rsidRPr="008D7A04">
        <w:t>apmērā</w:t>
      </w:r>
      <w:r w:rsidR="00ED1239" w:rsidRPr="008D7A04">
        <w:t xml:space="preserve"> </w:t>
      </w:r>
      <w:r w:rsidR="00E7588C" w:rsidRPr="008D7A04">
        <w:t>jāiemaksā</w:t>
      </w:r>
      <w:r w:rsidR="00862E26" w:rsidRPr="008D7A04">
        <w:t xml:space="preserve"> </w:t>
      </w:r>
      <w:r w:rsidR="00ED1239" w:rsidRPr="008D7A04">
        <w:t xml:space="preserve">vienā maksājuma reizē </w:t>
      </w:r>
      <w:r w:rsidR="00127E5D" w:rsidRPr="008D7A04">
        <w:t>pēc pārejas perioda 2026.</w:t>
      </w:r>
      <w:r w:rsidR="00862E26" w:rsidRPr="008D7A04">
        <w:t>gadā.</w:t>
      </w:r>
    </w:p>
    <w:p w14:paraId="34BF8B13" w14:textId="77777777" w:rsidR="00051835" w:rsidRPr="008D7A04" w:rsidRDefault="00051835" w:rsidP="00485A69">
      <w:pPr>
        <w:pStyle w:val="ListParagraph"/>
        <w:numPr>
          <w:ilvl w:val="0"/>
          <w:numId w:val="14"/>
        </w:numPr>
        <w:spacing w:before="240" w:after="120" w:line="264" w:lineRule="auto"/>
        <w:ind w:left="1066" w:hanging="357"/>
        <w:contextualSpacing w:val="0"/>
        <w:jc w:val="center"/>
        <w:rPr>
          <w:b/>
          <w:i/>
        </w:rPr>
      </w:pPr>
      <w:r w:rsidRPr="008D7A04">
        <w:rPr>
          <w:b/>
        </w:rPr>
        <w:t>Par Eiropas Stabilitātes mehānismu</w:t>
      </w:r>
    </w:p>
    <w:p w14:paraId="33472B13" w14:textId="77777777" w:rsidR="004C5DF6" w:rsidRPr="008D7A04" w:rsidRDefault="00A30852" w:rsidP="004B3996">
      <w:pPr>
        <w:spacing w:before="60" w:after="60" w:line="264" w:lineRule="auto"/>
        <w:ind w:firstLine="720"/>
        <w:jc w:val="both"/>
        <w:rPr>
          <w:i/>
        </w:rPr>
      </w:pPr>
      <w:r w:rsidRPr="008D7A04">
        <w:t xml:space="preserve">ESM ir </w:t>
      </w:r>
      <w:r w:rsidR="004805C3" w:rsidRPr="008D7A04">
        <w:t>starptautiska finanšu institūcija</w:t>
      </w:r>
      <w:r w:rsidRPr="008D7A04">
        <w:t xml:space="preserve">, kas </w:t>
      </w:r>
      <w:r w:rsidR="004805C3" w:rsidRPr="008D7A04">
        <w:t>izveidota</w:t>
      </w:r>
      <w:r w:rsidR="00953357" w:rsidRPr="008D7A04">
        <w:t xml:space="preserve"> ar mērķi</w:t>
      </w:r>
      <w:r w:rsidR="001C32E4" w:rsidRPr="008D7A04">
        <w:t xml:space="preserve"> </w:t>
      </w:r>
      <w:r w:rsidR="001503D4" w:rsidRPr="008D7A04">
        <w:t xml:space="preserve">sniegt finansiālu palīdzību </w:t>
      </w:r>
      <w:proofErr w:type="spellStart"/>
      <w:r w:rsidR="007408FE" w:rsidRPr="008D7A04">
        <w:rPr>
          <w:i/>
        </w:rPr>
        <w:t>eu</w:t>
      </w:r>
      <w:r w:rsidR="00C34547" w:rsidRPr="008D7A04">
        <w:rPr>
          <w:i/>
        </w:rPr>
        <w:t>ro</w:t>
      </w:r>
      <w:proofErr w:type="spellEnd"/>
      <w:r w:rsidR="00C34547" w:rsidRPr="008D7A04">
        <w:t xml:space="preserve"> zonas dalībvalstīm, k</w:t>
      </w:r>
      <w:r w:rsidR="00AB3EC0" w:rsidRPr="008D7A04">
        <w:t>urām</w:t>
      </w:r>
      <w:r w:rsidR="00C34547" w:rsidRPr="008D7A04">
        <w:t xml:space="preserve"> radušās vai draud finansēšanas problēmas</w:t>
      </w:r>
      <w:r w:rsidR="003C03BE" w:rsidRPr="008D7A04">
        <w:t>. E</w:t>
      </w:r>
      <w:r w:rsidR="008C151A" w:rsidRPr="008D7A04">
        <w:t xml:space="preserve">SM </w:t>
      </w:r>
      <w:r w:rsidR="004805C3" w:rsidRPr="008D7A04">
        <w:t xml:space="preserve">darbību rezultātā </w:t>
      </w:r>
      <w:r w:rsidR="003C03BE" w:rsidRPr="008D7A04">
        <w:t xml:space="preserve">tiek mazināta atsevišķu valstu radīto fiskālo un finanšu satricinājumu ietekme uz </w:t>
      </w:r>
      <w:r w:rsidR="00AD742F" w:rsidRPr="008D7A04">
        <w:t xml:space="preserve">kopējo </w:t>
      </w:r>
      <w:proofErr w:type="spellStart"/>
      <w:r w:rsidR="00AD742F" w:rsidRPr="008D7A04">
        <w:rPr>
          <w:i/>
        </w:rPr>
        <w:t>eu</w:t>
      </w:r>
      <w:r w:rsidR="003C03BE" w:rsidRPr="008D7A04">
        <w:rPr>
          <w:i/>
        </w:rPr>
        <w:t>ro</w:t>
      </w:r>
      <w:proofErr w:type="spellEnd"/>
      <w:r w:rsidR="003C03BE" w:rsidRPr="008D7A04">
        <w:t xml:space="preserve"> zonas stabilitāti. </w:t>
      </w:r>
      <w:r w:rsidR="00B51911" w:rsidRPr="008D7A04">
        <w:t>ESM</w:t>
      </w:r>
      <w:r w:rsidR="00E01935" w:rsidRPr="008D7A04">
        <w:t xml:space="preserve"> ir uzskatām</w:t>
      </w:r>
      <w:r w:rsidR="00B51911" w:rsidRPr="008D7A04">
        <w:t>s</w:t>
      </w:r>
      <w:r w:rsidR="00E01935" w:rsidRPr="008D7A04">
        <w:t xml:space="preserve"> par aizdevēj</w:t>
      </w:r>
      <w:r w:rsidR="005E6CED" w:rsidRPr="008D7A04">
        <w:t>u</w:t>
      </w:r>
      <w:r w:rsidR="00E01935" w:rsidRPr="008D7A04">
        <w:rPr>
          <w:i/>
        </w:rPr>
        <w:t xml:space="preserve"> </w:t>
      </w:r>
      <w:proofErr w:type="spellStart"/>
      <w:r w:rsidR="00AD742F" w:rsidRPr="008D7A04">
        <w:rPr>
          <w:i/>
        </w:rPr>
        <w:t>eu</w:t>
      </w:r>
      <w:r w:rsidR="001F006C" w:rsidRPr="008D7A04">
        <w:rPr>
          <w:i/>
        </w:rPr>
        <w:t>ro</w:t>
      </w:r>
      <w:proofErr w:type="spellEnd"/>
      <w:r w:rsidR="005966DB" w:rsidRPr="008D7A04">
        <w:t xml:space="preserve"> </w:t>
      </w:r>
      <w:r w:rsidR="001F006C" w:rsidRPr="008D7A04">
        <w:t>z</w:t>
      </w:r>
      <w:r w:rsidR="00F33A20" w:rsidRPr="008D7A04">
        <w:t xml:space="preserve">onas </w:t>
      </w:r>
      <w:r w:rsidR="001B5973" w:rsidRPr="008D7A04">
        <w:t xml:space="preserve">valstīm </w:t>
      </w:r>
      <w:r w:rsidR="00E01935" w:rsidRPr="008D7A04">
        <w:t xml:space="preserve">situācijās, kad </w:t>
      </w:r>
      <w:r w:rsidR="001B5973" w:rsidRPr="008D7A04">
        <w:t>tās nevar piekļūt finanšu tirgiem pa</w:t>
      </w:r>
      <w:r w:rsidR="00065412" w:rsidRPr="008D7A04">
        <w:t>r ilgtspēj</w:t>
      </w:r>
      <w:bookmarkStart w:id="0" w:name="_GoBack"/>
      <w:bookmarkEnd w:id="0"/>
      <w:r w:rsidR="00065412" w:rsidRPr="008D7A04">
        <w:t xml:space="preserve">īgām procentu likmēm. </w:t>
      </w:r>
      <w:r w:rsidR="001B5973" w:rsidRPr="008D7A04">
        <w:t xml:space="preserve">Tādējādi </w:t>
      </w:r>
      <w:r w:rsidR="00287D40" w:rsidRPr="008D7A04">
        <w:t xml:space="preserve">viens no </w:t>
      </w:r>
      <w:r w:rsidR="00E05509" w:rsidRPr="008D7A04">
        <w:t>ESM</w:t>
      </w:r>
      <w:r w:rsidR="00E01935" w:rsidRPr="008D7A04">
        <w:t xml:space="preserve"> </w:t>
      </w:r>
      <w:r w:rsidR="00B1324D" w:rsidRPr="008D7A04">
        <w:t>uzdevumiem</w:t>
      </w:r>
      <w:r w:rsidR="00CF08C5" w:rsidRPr="008D7A04">
        <w:t xml:space="preserve"> ir </w:t>
      </w:r>
      <w:r w:rsidR="00E01935" w:rsidRPr="008D7A04">
        <w:t>stiprin</w:t>
      </w:r>
      <w:r w:rsidR="001B5973" w:rsidRPr="008D7A04">
        <w:t>āt</w:t>
      </w:r>
      <w:r w:rsidR="00E01935" w:rsidRPr="008D7A04">
        <w:t xml:space="preserve"> investoru uzticību un palīdz</w:t>
      </w:r>
      <w:r w:rsidR="001B5973" w:rsidRPr="008D7A04">
        <w:t>ēt dalībvalstīm</w:t>
      </w:r>
      <w:r w:rsidR="00937054" w:rsidRPr="008D7A04">
        <w:t xml:space="preserve"> </w:t>
      </w:r>
      <w:r w:rsidR="00E01935" w:rsidRPr="008D7A04">
        <w:t xml:space="preserve">stabilizēt </w:t>
      </w:r>
      <w:r w:rsidR="005D5B6C" w:rsidRPr="008D7A04">
        <w:t xml:space="preserve">to </w:t>
      </w:r>
      <w:r w:rsidR="001B5973" w:rsidRPr="008D7A04">
        <w:t xml:space="preserve">situāciju </w:t>
      </w:r>
      <w:r w:rsidR="00E01935" w:rsidRPr="008D7A04">
        <w:rPr>
          <w:rFonts w:cs="Times New Roman"/>
        </w:rPr>
        <w:t>finanšu tirgos</w:t>
      </w:r>
      <w:r w:rsidR="006A1A20" w:rsidRPr="008D7A04">
        <w:rPr>
          <w:rFonts w:cs="Times New Roman"/>
        </w:rPr>
        <w:t>.</w:t>
      </w:r>
      <w:r w:rsidR="00254817" w:rsidRPr="008D7A04">
        <w:rPr>
          <w:rFonts w:cs="Times New Roman"/>
        </w:rPr>
        <w:t xml:space="preserve"> </w:t>
      </w:r>
      <w:r w:rsidR="00CA4839" w:rsidRPr="008D7A04">
        <w:rPr>
          <w:rFonts w:cs="Times New Roman"/>
        </w:rPr>
        <w:t xml:space="preserve">ESM akcionāri ir </w:t>
      </w:r>
      <w:r w:rsidR="001F006C" w:rsidRPr="008D7A04">
        <w:rPr>
          <w:rFonts w:cs="Times New Roman"/>
        </w:rPr>
        <w:t xml:space="preserve">visas </w:t>
      </w:r>
      <w:r w:rsidR="00470EBE" w:rsidRPr="008D7A04">
        <w:rPr>
          <w:rFonts w:cs="Times New Roman"/>
        </w:rPr>
        <w:t xml:space="preserve">19 </w:t>
      </w:r>
      <w:proofErr w:type="spellStart"/>
      <w:r w:rsidR="00DF5AE2" w:rsidRPr="008D7A04">
        <w:rPr>
          <w:rFonts w:cs="Times New Roman"/>
          <w:i/>
        </w:rPr>
        <w:t>eu</w:t>
      </w:r>
      <w:r w:rsidR="001F006C" w:rsidRPr="008D7A04">
        <w:rPr>
          <w:rFonts w:cs="Times New Roman"/>
          <w:i/>
        </w:rPr>
        <w:t>ro</w:t>
      </w:r>
      <w:proofErr w:type="spellEnd"/>
      <w:r w:rsidR="005966DB" w:rsidRPr="008D7A04">
        <w:rPr>
          <w:rFonts w:cs="Times New Roman"/>
        </w:rPr>
        <w:t xml:space="preserve"> </w:t>
      </w:r>
      <w:r w:rsidR="001F006C" w:rsidRPr="008D7A04">
        <w:rPr>
          <w:rFonts w:cs="Times New Roman"/>
        </w:rPr>
        <w:t xml:space="preserve">zonas </w:t>
      </w:r>
      <w:r w:rsidR="00CA4839" w:rsidRPr="008D7A04">
        <w:rPr>
          <w:rFonts w:cs="Times New Roman"/>
        </w:rPr>
        <w:t>valstis</w:t>
      </w:r>
      <w:r w:rsidR="00470EBE" w:rsidRPr="008D7A04">
        <w:rPr>
          <w:rFonts w:cs="Times New Roman"/>
        </w:rPr>
        <w:t xml:space="preserve">, </w:t>
      </w:r>
      <w:r w:rsidR="00E05509" w:rsidRPr="008D7A04">
        <w:rPr>
          <w:rFonts w:cs="Times New Roman"/>
        </w:rPr>
        <w:t xml:space="preserve">kas </w:t>
      </w:r>
      <w:r w:rsidR="00004E13" w:rsidRPr="008D7A04">
        <w:rPr>
          <w:rFonts w:cs="Times New Roman"/>
        </w:rPr>
        <w:t xml:space="preserve">kopā </w:t>
      </w:r>
      <w:r w:rsidR="002B22DD" w:rsidRPr="008D7A04">
        <w:rPr>
          <w:rFonts w:cs="Times New Roman"/>
        </w:rPr>
        <w:t>līdz 2018</w:t>
      </w:r>
      <w:r w:rsidR="00B95FE9" w:rsidRPr="008D7A04">
        <w:rPr>
          <w:rFonts w:cs="Times New Roman"/>
        </w:rPr>
        <w:t xml:space="preserve">.gada 31.decembrim </w:t>
      </w:r>
      <w:r w:rsidR="000553F9" w:rsidRPr="008D7A04">
        <w:rPr>
          <w:rFonts w:cs="Times New Roman"/>
        </w:rPr>
        <w:t xml:space="preserve">ESM kapitālā </w:t>
      </w:r>
      <w:r w:rsidR="00004E13" w:rsidRPr="008D7A04">
        <w:rPr>
          <w:rFonts w:cs="Times New Roman"/>
        </w:rPr>
        <w:t xml:space="preserve">ir </w:t>
      </w:r>
      <w:r w:rsidR="00E05509" w:rsidRPr="008D7A04">
        <w:rPr>
          <w:rFonts w:cs="Times New Roman"/>
        </w:rPr>
        <w:t>ieguldījušas</w:t>
      </w:r>
      <w:r w:rsidR="00004E13" w:rsidRPr="008D7A04">
        <w:rPr>
          <w:rFonts w:cs="Times New Roman"/>
        </w:rPr>
        <w:t xml:space="preserve"> 80,</w:t>
      </w:r>
      <w:r w:rsidR="00921961" w:rsidRPr="008D7A04">
        <w:rPr>
          <w:rFonts w:cs="Times New Roman"/>
        </w:rPr>
        <w:t>5</w:t>
      </w:r>
      <w:r w:rsidR="00004E13" w:rsidRPr="008D7A04">
        <w:rPr>
          <w:rFonts w:cs="Times New Roman"/>
        </w:rPr>
        <w:t xml:space="preserve"> </w:t>
      </w:r>
      <w:r w:rsidR="00A4581D" w:rsidRPr="008D7A04">
        <w:rPr>
          <w:rFonts w:eastAsia="Times New Roman" w:cs="Times New Roman"/>
          <w:szCs w:val="24"/>
          <w:lang w:eastAsia="lv-LV"/>
        </w:rPr>
        <w:t>mljrd.</w:t>
      </w:r>
      <w:r w:rsidR="00A4581D" w:rsidRPr="008D7A04">
        <w:t xml:space="preserve"> </w:t>
      </w:r>
      <w:proofErr w:type="spellStart"/>
      <w:r w:rsidR="00004E13" w:rsidRPr="008D7A04">
        <w:rPr>
          <w:rFonts w:cs="Times New Roman"/>
          <w:i/>
        </w:rPr>
        <w:t>euro</w:t>
      </w:r>
      <w:proofErr w:type="spellEnd"/>
      <w:r w:rsidR="00004E13" w:rsidRPr="008D7A04">
        <w:rPr>
          <w:rFonts w:cs="Times New Roman"/>
          <w:i/>
        </w:rPr>
        <w:t>.</w:t>
      </w:r>
    </w:p>
    <w:p w14:paraId="4C4C4334" w14:textId="77777777" w:rsidR="001953F5" w:rsidRPr="008D7A04" w:rsidRDefault="005C7085" w:rsidP="00C06AA1">
      <w:pPr>
        <w:spacing w:before="60" w:after="60" w:line="264" w:lineRule="auto"/>
        <w:ind w:firstLine="709"/>
        <w:jc w:val="both"/>
        <w:rPr>
          <w:i/>
        </w:rPr>
      </w:pPr>
      <w:r w:rsidRPr="008D7A04">
        <w:rPr>
          <w:rFonts w:cs="Times New Roman"/>
        </w:rPr>
        <w:t>ESM akt</w:t>
      </w:r>
      <w:r w:rsidR="007F6361" w:rsidRPr="008D7A04">
        <w:rPr>
          <w:rFonts w:cs="Times New Roman"/>
        </w:rPr>
        <w:t>ivitātes iedalās trīs funkcijās:</w:t>
      </w:r>
    </w:p>
    <w:p w14:paraId="24BB10C9" w14:textId="77777777" w:rsidR="00D639C5" w:rsidRPr="008D7A04" w:rsidRDefault="00FC70EB" w:rsidP="00C06AA1">
      <w:pPr>
        <w:pStyle w:val="ListParagraph"/>
        <w:numPr>
          <w:ilvl w:val="0"/>
          <w:numId w:val="12"/>
        </w:numPr>
        <w:spacing w:before="60" w:after="60"/>
        <w:contextualSpacing w:val="0"/>
        <w:jc w:val="both"/>
        <w:rPr>
          <w:rFonts w:cs="Times New Roman"/>
        </w:rPr>
      </w:pPr>
      <w:r w:rsidRPr="008D7A04">
        <w:rPr>
          <w:rFonts w:cs="Times New Roman"/>
          <w:b/>
        </w:rPr>
        <w:t>a</w:t>
      </w:r>
      <w:r w:rsidR="00D639C5" w:rsidRPr="008D7A04">
        <w:rPr>
          <w:rFonts w:cs="Times New Roman"/>
          <w:b/>
        </w:rPr>
        <w:t xml:space="preserve">izdevumu </w:t>
      </w:r>
      <w:r w:rsidR="007F6361" w:rsidRPr="008D7A04">
        <w:rPr>
          <w:rFonts w:cs="Times New Roman"/>
          <w:b/>
        </w:rPr>
        <w:t>iz</w:t>
      </w:r>
      <w:r w:rsidR="00D639C5" w:rsidRPr="008D7A04">
        <w:rPr>
          <w:rFonts w:cs="Times New Roman"/>
          <w:b/>
        </w:rPr>
        <w:t>sniegšana dalībvalstīm</w:t>
      </w:r>
      <w:r w:rsidR="00D639C5" w:rsidRPr="008D7A04">
        <w:rPr>
          <w:rFonts w:cs="Times New Roman"/>
        </w:rPr>
        <w:t xml:space="preserve">. ESM sniedz </w:t>
      </w:r>
      <w:r w:rsidR="000B529B" w:rsidRPr="008D7A04">
        <w:rPr>
          <w:rFonts w:cs="Times New Roman"/>
        </w:rPr>
        <w:t>vairākus</w:t>
      </w:r>
      <w:r w:rsidR="00D639C5" w:rsidRPr="008D7A04">
        <w:rPr>
          <w:rFonts w:cs="Times New Roman"/>
        </w:rPr>
        <w:t xml:space="preserve"> palīdzības veidus: </w:t>
      </w:r>
    </w:p>
    <w:p w14:paraId="377FC244" w14:textId="77777777" w:rsidR="00D639C5" w:rsidRPr="008D7A04" w:rsidRDefault="00FC70EB" w:rsidP="00C06AA1">
      <w:pPr>
        <w:pStyle w:val="ListParagraph"/>
        <w:numPr>
          <w:ilvl w:val="0"/>
          <w:numId w:val="15"/>
        </w:numPr>
        <w:spacing w:before="60" w:after="60"/>
        <w:contextualSpacing w:val="0"/>
        <w:jc w:val="both"/>
        <w:rPr>
          <w:rFonts w:cs="Times New Roman"/>
        </w:rPr>
      </w:pPr>
      <w:r w:rsidRPr="008D7A04">
        <w:rPr>
          <w:rFonts w:cs="Times New Roman"/>
        </w:rPr>
        <w:t>a</w:t>
      </w:r>
      <w:r w:rsidR="00D639C5" w:rsidRPr="008D7A04">
        <w:rPr>
          <w:rFonts w:cs="Times New Roman"/>
        </w:rPr>
        <w:t>izdevumu sniegšana, lai segtu finanšu vajadzības;</w:t>
      </w:r>
    </w:p>
    <w:p w14:paraId="3B4C7CFA" w14:textId="4E52EEF2" w:rsidR="00D639C5" w:rsidRPr="008D7A04" w:rsidRDefault="00FC70EB" w:rsidP="00C06AA1">
      <w:pPr>
        <w:pStyle w:val="ListParagraph"/>
        <w:numPr>
          <w:ilvl w:val="0"/>
          <w:numId w:val="15"/>
        </w:numPr>
        <w:spacing w:before="60" w:after="60"/>
        <w:contextualSpacing w:val="0"/>
        <w:jc w:val="both"/>
        <w:rPr>
          <w:rFonts w:cs="Times New Roman"/>
        </w:rPr>
      </w:pPr>
      <w:r w:rsidRPr="008D7A04">
        <w:rPr>
          <w:rFonts w:cs="Times New Roman"/>
        </w:rPr>
        <w:t>a</w:t>
      </w:r>
      <w:r w:rsidR="00D639C5" w:rsidRPr="008D7A04">
        <w:rPr>
          <w:rFonts w:cs="Times New Roman"/>
        </w:rPr>
        <w:t xml:space="preserve">izdevumu sniegšana un tiešas kapitāla injekcijas, lai </w:t>
      </w:r>
      <w:proofErr w:type="spellStart"/>
      <w:r w:rsidR="00D639C5" w:rsidRPr="008D7A04">
        <w:rPr>
          <w:rFonts w:cs="Times New Roman"/>
        </w:rPr>
        <w:t>rekapitalizētu</w:t>
      </w:r>
      <w:proofErr w:type="spellEnd"/>
      <w:r w:rsidR="00D639C5" w:rsidRPr="008D7A04">
        <w:rPr>
          <w:rFonts w:cs="Times New Roman"/>
        </w:rPr>
        <w:t xml:space="preserve"> finanšu iestādes;</w:t>
      </w:r>
      <w:r w:rsidR="00060396" w:rsidRPr="008D7A04">
        <w:rPr>
          <w:rFonts w:cs="Times New Roman"/>
        </w:rPr>
        <w:t xml:space="preserve"> </w:t>
      </w:r>
    </w:p>
    <w:p w14:paraId="0063473C" w14:textId="77777777" w:rsidR="00D639C5" w:rsidRPr="008D7A04" w:rsidRDefault="00FC70EB" w:rsidP="00C06AA1">
      <w:pPr>
        <w:pStyle w:val="ListParagraph"/>
        <w:numPr>
          <w:ilvl w:val="0"/>
          <w:numId w:val="15"/>
        </w:numPr>
        <w:spacing w:before="60" w:after="60"/>
        <w:contextualSpacing w:val="0"/>
        <w:jc w:val="both"/>
        <w:rPr>
          <w:rFonts w:cs="Times New Roman"/>
        </w:rPr>
      </w:pPr>
      <w:r w:rsidRPr="008D7A04">
        <w:rPr>
          <w:rFonts w:cs="Times New Roman"/>
        </w:rPr>
        <w:t>k</w:t>
      </w:r>
      <w:r w:rsidR="00D639C5" w:rsidRPr="008D7A04">
        <w:rPr>
          <w:rFonts w:cs="Times New Roman"/>
        </w:rPr>
        <w:t xml:space="preserve">redītlīnijas </w:t>
      </w:r>
      <w:r w:rsidR="001B1337" w:rsidRPr="008D7A04">
        <w:rPr>
          <w:rFonts w:cs="Times New Roman"/>
        </w:rPr>
        <w:t>iz</w:t>
      </w:r>
      <w:r w:rsidR="00D639C5" w:rsidRPr="008D7A04">
        <w:rPr>
          <w:rFonts w:cs="Times New Roman"/>
        </w:rPr>
        <w:t>sniegšana kā piesardzības instruments;</w:t>
      </w:r>
    </w:p>
    <w:p w14:paraId="7BB0760D" w14:textId="6FF0C700" w:rsidR="00D639C5" w:rsidRPr="008D7A04" w:rsidRDefault="00FC70EB" w:rsidP="00C06AA1">
      <w:pPr>
        <w:pStyle w:val="ListParagraph"/>
        <w:numPr>
          <w:ilvl w:val="0"/>
          <w:numId w:val="15"/>
        </w:numPr>
        <w:spacing w:before="60" w:after="60"/>
        <w:contextualSpacing w:val="0"/>
        <w:jc w:val="both"/>
        <w:rPr>
          <w:rFonts w:cs="Times New Roman"/>
        </w:rPr>
      </w:pPr>
      <w:r w:rsidRPr="008D7A04">
        <w:rPr>
          <w:rFonts w:cs="Times New Roman"/>
        </w:rPr>
        <w:t>d</w:t>
      </w:r>
      <w:r w:rsidR="00D639C5" w:rsidRPr="008D7A04">
        <w:rPr>
          <w:rFonts w:cs="Times New Roman"/>
        </w:rPr>
        <w:t>alībvalstu obligāciju iepirkšana primār</w:t>
      </w:r>
      <w:r w:rsidR="004B0EC0" w:rsidRPr="008D7A04">
        <w:rPr>
          <w:rFonts w:cs="Times New Roman"/>
        </w:rPr>
        <w:t>aj</w:t>
      </w:r>
      <w:r w:rsidR="00D639C5" w:rsidRPr="008D7A04">
        <w:rPr>
          <w:rFonts w:cs="Times New Roman"/>
        </w:rPr>
        <w:t>o</w:t>
      </w:r>
      <w:r w:rsidR="004B0EC0" w:rsidRPr="008D7A04">
        <w:rPr>
          <w:rFonts w:cs="Times New Roman"/>
        </w:rPr>
        <w:t>s</w:t>
      </w:r>
      <w:r w:rsidR="00D639C5" w:rsidRPr="008D7A04">
        <w:rPr>
          <w:rFonts w:cs="Times New Roman"/>
        </w:rPr>
        <w:t xml:space="preserve"> un sekundārajos </w:t>
      </w:r>
      <w:r w:rsidR="00BC1502" w:rsidRPr="008D7A04">
        <w:rPr>
          <w:rFonts w:cs="Times New Roman"/>
        </w:rPr>
        <w:t xml:space="preserve">vērtspapīru </w:t>
      </w:r>
      <w:r w:rsidR="00D639C5" w:rsidRPr="008D7A04">
        <w:rPr>
          <w:rFonts w:cs="Times New Roman"/>
        </w:rPr>
        <w:t>tirgos</w:t>
      </w:r>
      <w:r w:rsidRPr="008D7A04">
        <w:rPr>
          <w:rFonts w:cs="Times New Roman"/>
        </w:rPr>
        <w:t>;</w:t>
      </w:r>
      <w:r w:rsidR="00D639C5" w:rsidRPr="008D7A04">
        <w:rPr>
          <w:rFonts w:cs="Times New Roman"/>
        </w:rPr>
        <w:t xml:space="preserve"> </w:t>
      </w:r>
    </w:p>
    <w:p w14:paraId="3BADC5D6" w14:textId="4BFAE43A" w:rsidR="001953F5" w:rsidRPr="008D7A04" w:rsidRDefault="001953F5" w:rsidP="00C06AA1">
      <w:pPr>
        <w:pStyle w:val="ListParagraph"/>
        <w:numPr>
          <w:ilvl w:val="0"/>
          <w:numId w:val="12"/>
        </w:numPr>
        <w:spacing w:before="60" w:after="60"/>
        <w:contextualSpacing w:val="0"/>
        <w:jc w:val="both"/>
        <w:rPr>
          <w:rFonts w:cs="Times New Roman"/>
        </w:rPr>
      </w:pPr>
      <w:r w:rsidRPr="008D7A04">
        <w:rPr>
          <w:rFonts w:cs="Times New Roman"/>
          <w:b/>
        </w:rPr>
        <w:t>finanšu līdzekļu piesaiste finanšu tirgos</w:t>
      </w:r>
      <w:r w:rsidR="00B95FE9" w:rsidRPr="008D7A04">
        <w:rPr>
          <w:rFonts w:cs="Times New Roman"/>
        </w:rPr>
        <w:t>,</w:t>
      </w:r>
      <w:r w:rsidR="005C7085" w:rsidRPr="008D7A04">
        <w:rPr>
          <w:rFonts w:cs="Times New Roman"/>
        </w:rPr>
        <w:t xml:space="preserve"> lai finansētu aizdevumu veikšanu</w:t>
      </w:r>
      <w:r w:rsidR="00FC70EB" w:rsidRPr="008D7A04">
        <w:rPr>
          <w:rFonts w:cs="Times New Roman"/>
        </w:rPr>
        <w:t>;</w:t>
      </w:r>
      <w:r w:rsidR="005C7085" w:rsidRPr="008D7A04">
        <w:rPr>
          <w:rFonts w:cs="Times New Roman"/>
        </w:rPr>
        <w:t xml:space="preserve"> </w:t>
      </w:r>
    </w:p>
    <w:p w14:paraId="148B8760" w14:textId="2972EEE7" w:rsidR="007C6A47" w:rsidRPr="008D7A04" w:rsidRDefault="004201EB" w:rsidP="00C06AA1">
      <w:pPr>
        <w:pStyle w:val="ListParagraph"/>
        <w:numPr>
          <w:ilvl w:val="0"/>
          <w:numId w:val="12"/>
        </w:numPr>
        <w:spacing w:before="60" w:after="60"/>
        <w:contextualSpacing w:val="0"/>
        <w:jc w:val="both"/>
        <w:rPr>
          <w:rFonts w:cs="Times New Roman"/>
        </w:rPr>
      </w:pPr>
      <w:r w:rsidRPr="008D7A04">
        <w:rPr>
          <w:rFonts w:cs="Times New Roman"/>
          <w:b/>
        </w:rPr>
        <w:t>investīcijas</w:t>
      </w:r>
      <w:r w:rsidRPr="008D7A04">
        <w:rPr>
          <w:rFonts w:cs="Times New Roman"/>
        </w:rPr>
        <w:t xml:space="preserve">, ko </w:t>
      </w:r>
      <w:r w:rsidR="00400110" w:rsidRPr="008D7A04">
        <w:rPr>
          <w:rFonts w:cs="Times New Roman"/>
        </w:rPr>
        <w:t>nodrošina</w:t>
      </w:r>
      <w:r w:rsidRPr="008D7A04">
        <w:rPr>
          <w:rFonts w:cs="Times New Roman"/>
        </w:rPr>
        <w:t xml:space="preserve"> ESM akcionāru ieguldījums</w:t>
      </w:r>
      <w:r w:rsidR="00400110" w:rsidRPr="008D7A04">
        <w:rPr>
          <w:rFonts w:cs="Times New Roman"/>
        </w:rPr>
        <w:t xml:space="preserve"> </w:t>
      </w:r>
      <w:r w:rsidR="00A807EA" w:rsidRPr="008D7A04">
        <w:rPr>
          <w:rFonts w:cs="Times New Roman"/>
        </w:rPr>
        <w:t>80,5</w:t>
      </w:r>
      <w:r w:rsidR="005C7085" w:rsidRPr="008D7A04">
        <w:rPr>
          <w:rFonts w:cs="Times New Roman"/>
        </w:rPr>
        <w:t xml:space="preserve"> ml</w:t>
      </w:r>
      <w:r w:rsidR="001953F5" w:rsidRPr="008D7A04">
        <w:rPr>
          <w:rFonts w:cs="Times New Roman"/>
        </w:rPr>
        <w:t>j</w:t>
      </w:r>
      <w:r w:rsidR="005C7085" w:rsidRPr="008D7A04">
        <w:rPr>
          <w:rFonts w:cs="Times New Roman"/>
        </w:rPr>
        <w:t>rd</w:t>
      </w:r>
      <w:r w:rsidR="001953F5" w:rsidRPr="008D7A04">
        <w:rPr>
          <w:rFonts w:cs="Times New Roman"/>
        </w:rPr>
        <w:t>. </w:t>
      </w:r>
      <w:proofErr w:type="spellStart"/>
      <w:r w:rsidR="001953F5" w:rsidRPr="008D7A04">
        <w:rPr>
          <w:rFonts w:cs="Times New Roman"/>
          <w:i/>
        </w:rPr>
        <w:t>euro</w:t>
      </w:r>
      <w:proofErr w:type="spellEnd"/>
      <w:r w:rsidR="001953F5" w:rsidRPr="008D7A04">
        <w:rPr>
          <w:rFonts w:cs="Times New Roman"/>
        </w:rPr>
        <w:t xml:space="preserve"> apmērā, rezerves fondu un ESM likviditātes buferi</w:t>
      </w:r>
      <w:r w:rsidRPr="008D7A04">
        <w:rPr>
          <w:rFonts w:cs="Times New Roman"/>
        </w:rPr>
        <w:t>s</w:t>
      </w:r>
      <w:r w:rsidR="001953F5" w:rsidRPr="008D7A04">
        <w:rPr>
          <w:rFonts w:cs="Times New Roman"/>
        </w:rPr>
        <w:t xml:space="preserve">. </w:t>
      </w:r>
    </w:p>
    <w:p w14:paraId="47D51F2D" w14:textId="36BB63B0" w:rsidR="00205871" w:rsidRPr="008D7A04" w:rsidRDefault="002373FE" w:rsidP="00205871">
      <w:pPr>
        <w:spacing w:before="60" w:after="60"/>
        <w:ind w:firstLine="709"/>
        <w:jc w:val="both"/>
      </w:pPr>
      <w:r w:rsidRPr="008D7A04">
        <w:t xml:space="preserve">Pateicoties stabilai kapitāla struktūrai un finansēšanas un investīciju stratēģijai, </w:t>
      </w:r>
      <w:r w:rsidR="00004DF1" w:rsidRPr="008D7A04">
        <w:t xml:space="preserve">ESM </w:t>
      </w:r>
      <w:r w:rsidRPr="008D7A04">
        <w:t xml:space="preserve">vairākus gadus </w:t>
      </w:r>
      <w:r w:rsidR="00004DF1" w:rsidRPr="008D7A04">
        <w:t>ir novērtēts</w:t>
      </w:r>
      <w:r w:rsidRPr="008D7A04">
        <w:t xml:space="preserve"> ar augst</w:t>
      </w:r>
      <w:r w:rsidR="006B54DE" w:rsidRPr="008D7A04">
        <w:t>u</w:t>
      </w:r>
      <w:r w:rsidRPr="008D7A04">
        <w:t xml:space="preserve"> </w:t>
      </w:r>
      <w:r w:rsidR="006418BD" w:rsidRPr="008D7A04">
        <w:t>kredīt</w:t>
      </w:r>
      <w:r w:rsidRPr="008D7A04">
        <w:t>reitingu</w:t>
      </w:r>
      <w:r w:rsidR="00004DF1" w:rsidRPr="008D7A04">
        <w:t xml:space="preserve"> </w:t>
      </w:r>
      <w:r w:rsidR="00F07ADA" w:rsidRPr="008D7A04">
        <w:t>(</w:t>
      </w:r>
      <w:r w:rsidR="00F07ADA" w:rsidRPr="008D7A04">
        <w:rPr>
          <w:i/>
        </w:rPr>
        <w:t>skatīt 1.tabulu</w:t>
      </w:r>
      <w:r w:rsidR="00F07ADA" w:rsidRPr="008D7A04">
        <w:t>)</w:t>
      </w:r>
      <w:r w:rsidR="004D4710" w:rsidRPr="008D7A04">
        <w:t>, tādējādi</w:t>
      </w:r>
      <w:r w:rsidR="00652E23" w:rsidRPr="008D7A04">
        <w:t xml:space="preserve"> veiksmīgi</w:t>
      </w:r>
      <w:r w:rsidR="004D4710" w:rsidRPr="008D7A04">
        <w:t xml:space="preserve"> piesaistot un palielinot finanšu resursus</w:t>
      </w:r>
      <w:r w:rsidR="003D3313" w:rsidRPr="008D7A04">
        <w:t xml:space="preserve"> par ļoti izdevīgām procentu likmēm</w:t>
      </w:r>
      <w:r w:rsidR="00004DF1" w:rsidRPr="008D7A04">
        <w:t>.</w:t>
      </w:r>
      <w:r w:rsidR="00F65E89" w:rsidRPr="008D7A04">
        <w:t xml:space="preserve"> </w:t>
      </w:r>
      <w:r w:rsidR="00205871" w:rsidRPr="008D7A04">
        <w:t xml:space="preserve">2018.gadā reitingu aģentūra </w:t>
      </w:r>
      <w:proofErr w:type="spellStart"/>
      <w:r w:rsidR="00205871" w:rsidRPr="008D7A04">
        <w:rPr>
          <w:i/>
        </w:rPr>
        <w:t>Moody's</w:t>
      </w:r>
      <w:proofErr w:type="spellEnd"/>
      <w:r w:rsidR="00205871" w:rsidRPr="008D7A04">
        <w:t xml:space="preserve"> mainīja ESM reitinga prognozi no stabilas uz pozitīvu.</w:t>
      </w:r>
    </w:p>
    <w:p w14:paraId="5619EF1E" w14:textId="77777777" w:rsidR="00D7649A" w:rsidRPr="006E7176" w:rsidRDefault="00004DF1" w:rsidP="00842BEA">
      <w:pPr>
        <w:spacing w:before="120" w:after="120"/>
        <w:ind w:left="74"/>
        <w:jc w:val="right"/>
        <w:rPr>
          <w:rFonts w:eastAsia="Times New Roman" w:cs="Times New Roman"/>
          <w:b/>
          <w:i/>
          <w:color w:val="000000" w:themeColor="text1"/>
          <w:sz w:val="20"/>
          <w:szCs w:val="20"/>
          <w:lang w:val="en" w:eastAsia="lv-LV"/>
        </w:rPr>
      </w:pPr>
      <w:r w:rsidRPr="008D7A04">
        <w:rPr>
          <w:b/>
          <w:i/>
          <w:sz w:val="20"/>
          <w:szCs w:val="20"/>
        </w:rPr>
        <w:t>1.tabula</w:t>
      </w:r>
      <w:r w:rsidR="00936759" w:rsidRPr="008D7A04">
        <w:rPr>
          <w:b/>
          <w:i/>
          <w:sz w:val="20"/>
          <w:szCs w:val="20"/>
        </w:rPr>
        <w:t>.</w:t>
      </w:r>
      <w:r w:rsidRPr="008D7A04">
        <w:rPr>
          <w:b/>
          <w:i/>
          <w:sz w:val="20"/>
          <w:szCs w:val="20"/>
        </w:rPr>
        <w:t xml:space="preserve"> </w:t>
      </w:r>
      <w:proofErr w:type="spellStart"/>
      <w:r w:rsidRPr="008D7A04">
        <w:rPr>
          <w:rFonts w:eastAsia="Times New Roman" w:cs="Times New Roman"/>
          <w:b/>
          <w:i/>
          <w:sz w:val="20"/>
          <w:szCs w:val="20"/>
          <w:lang w:val="en" w:eastAsia="lv-LV"/>
        </w:rPr>
        <w:t>Starptautisko</w:t>
      </w:r>
      <w:proofErr w:type="spellEnd"/>
      <w:r w:rsidRPr="008D7A04">
        <w:rPr>
          <w:rFonts w:eastAsia="Times New Roman" w:cs="Times New Roman"/>
          <w:b/>
          <w:i/>
          <w:sz w:val="20"/>
          <w:szCs w:val="20"/>
          <w:lang w:val="en" w:eastAsia="lv-LV"/>
        </w:rPr>
        <w:t xml:space="preserve"> </w:t>
      </w:r>
      <w:proofErr w:type="spellStart"/>
      <w:r w:rsidRPr="008D7A04">
        <w:rPr>
          <w:rFonts w:eastAsia="Times New Roman" w:cs="Times New Roman"/>
          <w:b/>
          <w:i/>
          <w:sz w:val="20"/>
          <w:szCs w:val="20"/>
          <w:lang w:val="en" w:eastAsia="lv-LV"/>
        </w:rPr>
        <w:t>kredītreitingu</w:t>
      </w:r>
      <w:proofErr w:type="spellEnd"/>
      <w:r w:rsidRPr="008D7A04">
        <w:rPr>
          <w:rFonts w:eastAsia="Times New Roman" w:cs="Times New Roman"/>
          <w:b/>
          <w:i/>
          <w:sz w:val="20"/>
          <w:szCs w:val="20"/>
          <w:lang w:val="en" w:eastAsia="lv-LV"/>
        </w:rPr>
        <w:t xml:space="preserve"> </w:t>
      </w:r>
      <w:proofErr w:type="spellStart"/>
      <w:r w:rsidRPr="008D7A04">
        <w:rPr>
          <w:rFonts w:eastAsia="Times New Roman" w:cs="Times New Roman"/>
          <w:b/>
          <w:i/>
          <w:sz w:val="20"/>
          <w:szCs w:val="20"/>
          <w:lang w:val="en" w:eastAsia="lv-LV"/>
        </w:rPr>
        <w:t>aģentūru</w:t>
      </w:r>
      <w:proofErr w:type="spellEnd"/>
      <w:r w:rsidRPr="008D7A04">
        <w:rPr>
          <w:rFonts w:eastAsia="Times New Roman" w:cs="Times New Roman"/>
          <w:b/>
          <w:i/>
          <w:sz w:val="20"/>
          <w:szCs w:val="20"/>
          <w:lang w:val="en" w:eastAsia="lv-LV"/>
        </w:rPr>
        <w:t xml:space="preserve"> </w:t>
      </w:r>
      <w:proofErr w:type="spellStart"/>
      <w:r w:rsidRPr="008D7A04">
        <w:rPr>
          <w:rFonts w:eastAsia="Times New Roman" w:cs="Times New Roman"/>
          <w:b/>
          <w:i/>
          <w:sz w:val="20"/>
          <w:szCs w:val="20"/>
          <w:lang w:val="en" w:eastAsia="lv-LV"/>
        </w:rPr>
        <w:t>novērtējums</w:t>
      </w:r>
      <w:proofErr w:type="spellEnd"/>
    </w:p>
    <w:tbl>
      <w:tblPr>
        <w:tblStyle w:val="GridTable3-Accent1"/>
        <w:tblW w:w="3964" w:type="pct"/>
        <w:jc w:val="center"/>
        <w:tblLook w:val="04A0" w:firstRow="1" w:lastRow="0" w:firstColumn="1" w:lastColumn="0" w:noHBand="0" w:noVBand="1"/>
        <w:tblDescription w:val="rating table"/>
      </w:tblPr>
      <w:tblGrid>
        <w:gridCol w:w="1439"/>
        <w:gridCol w:w="1749"/>
        <w:gridCol w:w="1611"/>
        <w:gridCol w:w="2611"/>
      </w:tblGrid>
      <w:tr w:rsidR="00004DF1" w:rsidRPr="006E7176" w14:paraId="7524A58D" w14:textId="77777777" w:rsidTr="00567D4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71" w:type="pct"/>
            <w:tcBorders>
              <w:bottom w:val="single" w:sz="4" w:space="0" w:color="auto"/>
              <w:right w:val="single" w:sz="4" w:space="0" w:color="auto"/>
            </w:tcBorders>
            <w:hideMark/>
          </w:tcPr>
          <w:p w14:paraId="3BF72FB6" w14:textId="77777777" w:rsidR="00004DF1" w:rsidRPr="006E7176" w:rsidRDefault="00004DF1" w:rsidP="00EE06D4">
            <w:pPr>
              <w:jc w:val="center"/>
              <w:rPr>
                <w:rFonts w:eastAsia="Times New Roman" w:cs="Times New Roman"/>
                <w:color w:val="000000" w:themeColor="text1"/>
                <w:sz w:val="20"/>
                <w:szCs w:val="20"/>
                <w:lang w:eastAsia="lv-LV"/>
              </w:rPr>
            </w:pPr>
          </w:p>
        </w:tc>
        <w:tc>
          <w:tcPr>
            <w:tcW w:w="1180" w:type="pct"/>
            <w:tcBorders>
              <w:left w:val="single" w:sz="4" w:space="0" w:color="auto"/>
              <w:bottom w:val="single" w:sz="4" w:space="0" w:color="auto"/>
              <w:right w:val="single" w:sz="4" w:space="0" w:color="auto"/>
            </w:tcBorders>
            <w:hideMark/>
          </w:tcPr>
          <w:p w14:paraId="14EE1C7B" w14:textId="77777777" w:rsidR="00004DF1" w:rsidRPr="006E7176" w:rsidRDefault="00004DF1" w:rsidP="00EE06D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Ilgtermiņa</w:t>
            </w:r>
          </w:p>
        </w:tc>
        <w:tc>
          <w:tcPr>
            <w:tcW w:w="1087" w:type="pct"/>
            <w:tcBorders>
              <w:left w:val="single" w:sz="4" w:space="0" w:color="auto"/>
              <w:bottom w:val="single" w:sz="4" w:space="0" w:color="auto"/>
              <w:right w:val="single" w:sz="4" w:space="0" w:color="auto"/>
            </w:tcBorders>
            <w:hideMark/>
          </w:tcPr>
          <w:p w14:paraId="0DC7597A" w14:textId="77777777" w:rsidR="00004DF1" w:rsidRPr="006E7176" w:rsidRDefault="00004DF1" w:rsidP="00EE06D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Īstermiņa</w:t>
            </w:r>
          </w:p>
        </w:tc>
        <w:tc>
          <w:tcPr>
            <w:tcW w:w="1762" w:type="pct"/>
            <w:tcBorders>
              <w:left w:val="single" w:sz="4" w:space="0" w:color="auto"/>
              <w:bottom w:val="single" w:sz="4" w:space="0" w:color="auto"/>
            </w:tcBorders>
          </w:tcPr>
          <w:p w14:paraId="33C0590A" w14:textId="77777777" w:rsidR="00004DF1" w:rsidRPr="006E7176" w:rsidRDefault="00004DF1" w:rsidP="00EC5D98">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 xml:space="preserve">Reitinga </w:t>
            </w:r>
            <w:r w:rsidR="00EC5D98">
              <w:rPr>
                <w:rFonts w:eastAsia="Times New Roman" w:cs="Times New Roman"/>
                <w:color w:val="000000" w:themeColor="text1"/>
                <w:sz w:val="20"/>
                <w:szCs w:val="20"/>
                <w:lang w:eastAsia="lv-LV"/>
              </w:rPr>
              <w:t>prognoze</w:t>
            </w:r>
          </w:p>
        </w:tc>
      </w:tr>
      <w:tr w:rsidR="00004DF1" w:rsidRPr="006E7176" w14:paraId="6B738D5C" w14:textId="77777777" w:rsidTr="00567D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1" w:type="pct"/>
            <w:tcBorders>
              <w:top w:val="single" w:sz="4" w:space="0" w:color="auto"/>
              <w:bottom w:val="single" w:sz="4" w:space="0" w:color="auto"/>
              <w:right w:val="single" w:sz="4" w:space="0" w:color="auto"/>
            </w:tcBorders>
            <w:hideMark/>
          </w:tcPr>
          <w:p w14:paraId="19F01905" w14:textId="77777777" w:rsidR="00004DF1" w:rsidRPr="006E7176" w:rsidRDefault="00004DF1" w:rsidP="00EE06D4">
            <w:pPr>
              <w:rPr>
                <w:rFonts w:eastAsia="Times New Roman" w:cs="Times New Roman"/>
                <w:color w:val="000000" w:themeColor="text1"/>
                <w:sz w:val="20"/>
                <w:szCs w:val="20"/>
                <w:lang w:eastAsia="lv-LV"/>
              </w:rPr>
            </w:pPr>
            <w:proofErr w:type="spellStart"/>
            <w:r w:rsidRPr="006E7176">
              <w:rPr>
                <w:rFonts w:eastAsia="Times New Roman" w:cs="Times New Roman"/>
                <w:color w:val="000000" w:themeColor="text1"/>
                <w:sz w:val="20"/>
                <w:szCs w:val="20"/>
                <w:lang w:eastAsia="lv-LV"/>
              </w:rPr>
              <w:t>Moody's</w:t>
            </w:r>
            <w:proofErr w:type="spellEnd"/>
          </w:p>
        </w:tc>
        <w:tc>
          <w:tcPr>
            <w:tcW w:w="1180" w:type="pct"/>
            <w:tcBorders>
              <w:top w:val="single" w:sz="4" w:space="0" w:color="auto"/>
              <w:left w:val="single" w:sz="4" w:space="0" w:color="auto"/>
              <w:bottom w:val="single" w:sz="4" w:space="0" w:color="auto"/>
              <w:right w:val="single" w:sz="4" w:space="0" w:color="auto"/>
            </w:tcBorders>
            <w:hideMark/>
          </w:tcPr>
          <w:p w14:paraId="2AFCA5F7" w14:textId="77777777" w:rsidR="00004DF1" w:rsidRPr="006E7176" w:rsidRDefault="00004DF1" w:rsidP="00EE06D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Aa1</w:t>
            </w:r>
          </w:p>
        </w:tc>
        <w:tc>
          <w:tcPr>
            <w:tcW w:w="1087" w:type="pct"/>
            <w:tcBorders>
              <w:top w:val="single" w:sz="4" w:space="0" w:color="auto"/>
              <w:left w:val="single" w:sz="4" w:space="0" w:color="auto"/>
              <w:bottom w:val="single" w:sz="4" w:space="0" w:color="auto"/>
              <w:right w:val="single" w:sz="4" w:space="0" w:color="auto"/>
            </w:tcBorders>
            <w:hideMark/>
          </w:tcPr>
          <w:p w14:paraId="3977C3B5" w14:textId="77777777" w:rsidR="00004DF1" w:rsidRPr="006E7176" w:rsidRDefault="00004DF1" w:rsidP="00EE06D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P-1</w:t>
            </w:r>
          </w:p>
        </w:tc>
        <w:tc>
          <w:tcPr>
            <w:tcW w:w="1762" w:type="pct"/>
            <w:tcBorders>
              <w:top w:val="single" w:sz="4" w:space="0" w:color="auto"/>
              <w:left w:val="single" w:sz="4" w:space="0" w:color="auto"/>
              <w:bottom w:val="single" w:sz="4" w:space="0" w:color="auto"/>
            </w:tcBorders>
          </w:tcPr>
          <w:p w14:paraId="429BBB77" w14:textId="77777777" w:rsidR="00004DF1" w:rsidRPr="006E7176" w:rsidRDefault="00EC5D98" w:rsidP="00EE06D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Pr>
                <w:rFonts w:eastAsia="Times New Roman" w:cs="Times New Roman"/>
                <w:color w:val="000000" w:themeColor="text1"/>
                <w:sz w:val="20"/>
                <w:szCs w:val="20"/>
                <w:lang w:eastAsia="lv-LV"/>
              </w:rPr>
              <w:t>Pozitīva</w:t>
            </w:r>
          </w:p>
        </w:tc>
      </w:tr>
      <w:tr w:rsidR="00004DF1" w:rsidRPr="006E7176" w14:paraId="33EE8BBC" w14:textId="77777777" w:rsidTr="00567D43">
        <w:trPr>
          <w:jc w:val="center"/>
        </w:trPr>
        <w:tc>
          <w:tcPr>
            <w:cnfStyle w:val="001000000000" w:firstRow="0" w:lastRow="0" w:firstColumn="1" w:lastColumn="0" w:oddVBand="0" w:evenVBand="0" w:oddHBand="0" w:evenHBand="0" w:firstRowFirstColumn="0" w:firstRowLastColumn="0" w:lastRowFirstColumn="0" w:lastRowLastColumn="0"/>
            <w:tcW w:w="971" w:type="pct"/>
            <w:tcBorders>
              <w:top w:val="single" w:sz="4" w:space="0" w:color="auto"/>
              <w:bottom w:val="single" w:sz="4" w:space="0" w:color="auto"/>
              <w:right w:val="single" w:sz="4" w:space="0" w:color="auto"/>
            </w:tcBorders>
            <w:hideMark/>
          </w:tcPr>
          <w:p w14:paraId="4B02E70D" w14:textId="77777777" w:rsidR="00004DF1" w:rsidRPr="006E7176" w:rsidRDefault="00004DF1" w:rsidP="00EE06D4">
            <w:pPr>
              <w:rPr>
                <w:rFonts w:eastAsia="Times New Roman" w:cs="Times New Roman"/>
                <w:color w:val="000000" w:themeColor="text1"/>
                <w:sz w:val="20"/>
                <w:szCs w:val="20"/>
                <w:lang w:eastAsia="lv-LV"/>
              </w:rPr>
            </w:pPr>
            <w:proofErr w:type="spellStart"/>
            <w:r w:rsidRPr="006E7176">
              <w:rPr>
                <w:rFonts w:eastAsia="Times New Roman" w:cs="Times New Roman"/>
                <w:color w:val="000000" w:themeColor="text1"/>
                <w:sz w:val="20"/>
                <w:szCs w:val="20"/>
                <w:lang w:eastAsia="lv-LV"/>
              </w:rPr>
              <w:t>Fitch</w:t>
            </w:r>
            <w:proofErr w:type="spellEnd"/>
            <w:r w:rsidRPr="006E7176">
              <w:rPr>
                <w:rFonts w:eastAsia="Times New Roman" w:cs="Times New Roman"/>
                <w:color w:val="000000" w:themeColor="text1"/>
                <w:sz w:val="20"/>
                <w:szCs w:val="20"/>
                <w:lang w:eastAsia="lv-LV"/>
              </w:rPr>
              <w:t xml:space="preserve"> </w:t>
            </w:r>
            <w:proofErr w:type="spellStart"/>
            <w:r w:rsidRPr="006E7176">
              <w:rPr>
                <w:rFonts w:eastAsia="Times New Roman" w:cs="Times New Roman"/>
                <w:color w:val="000000" w:themeColor="text1"/>
                <w:sz w:val="20"/>
                <w:szCs w:val="20"/>
                <w:lang w:eastAsia="lv-LV"/>
              </w:rPr>
              <w:t>Ratings</w:t>
            </w:r>
            <w:proofErr w:type="spellEnd"/>
          </w:p>
        </w:tc>
        <w:tc>
          <w:tcPr>
            <w:tcW w:w="1180" w:type="pct"/>
            <w:tcBorders>
              <w:top w:val="single" w:sz="4" w:space="0" w:color="auto"/>
              <w:left w:val="single" w:sz="4" w:space="0" w:color="auto"/>
              <w:bottom w:val="single" w:sz="4" w:space="0" w:color="auto"/>
              <w:right w:val="single" w:sz="4" w:space="0" w:color="auto"/>
            </w:tcBorders>
            <w:hideMark/>
          </w:tcPr>
          <w:p w14:paraId="4966B577" w14:textId="77777777" w:rsidR="00004DF1" w:rsidRPr="006E7176" w:rsidRDefault="00004DF1" w:rsidP="00EE06D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AAA</w:t>
            </w:r>
          </w:p>
        </w:tc>
        <w:tc>
          <w:tcPr>
            <w:tcW w:w="1087" w:type="pct"/>
            <w:tcBorders>
              <w:top w:val="single" w:sz="4" w:space="0" w:color="auto"/>
              <w:left w:val="single" w:sz="4" w:space="0" w:color="auto"/>
              <w:bottom w:val="single" w:sz="4" w:space="0" w:color="auto"/>
              <w:right w:val="single" w:sz="4" w:space="0" w:color="auto"/>
            </w:tcBorders>
            <w:hideMark/>
          </w:tcPr>
          <w:p w14:paraId="044C649C" w14:textId="77777777" w:rsidR="00004DF1" w:rsidRPr="006E7176" w:rsidRDefault="00004DF1" w:rsidP="00EE06D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F1+</w:t>
            </w:r>
          </w:p>
        </w:tc>
        <w:tc>
          <w:tcPr>
            <w:tcW w:w="1762" w:type="pct"/>
            <w:tcBorders>
              <w:top w:val="single" w:sz="4" w:space="0" w:color="auto"/>
              <w:left w:val="single" w:sz="4" w:space="0" w:color="auto"/>
              <w:bottom w:val="single" w:sz="4" w:space="0" w:color="auto"/>
            </w:tcBorders>
          </w:tcPr>
          <w:p w14:paraId="01BC6800" w14:textId="77777777" w:rsidR="00004DF1" w:rsidRPr="006E7176" w:rsidRDefault="00EC5D98" w:rsidP="00EE06D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Pr>
                <w:rFonts w:eastAsia="Times New Roman" w:cs="Times New Roman"/>
                <w:color w:val="000000" w:themeColor="text1"/>
                <w:sz w:val="20"/>
                <w:szCs w:val="20"/>
                <w:lang w:eastAsia="lv-LV"/>
              </w:rPr>
              <w:t>Stabila</w:t>
            </w:r>
          </w:p>
        </w:tc>
      </w:tr>
      <w:tr w:rsidR="00004DF1" w:rsidRPr="006E7176" w14:paraId="4DF0C1F9" w14:textId="77777777" w:rsidTr="00567D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1" w:type="pct"/>
            <w:tcBorders>
              <w:top w:val="single" w:sz="4" w:space="0" w:color="auto"/>
              <w:right w:val="single" w:sz="4" w:space="0" w:color="auto"/>
            </w:tcBorders>
            <w:hideMark/>
          </w:tcPr>
          <w:p w14:paraId="61738CEE" w14:textId="77777777" w:rsidR="00004DF1" w:rsidRPr="006E7176" w:rsidRDefault="00004DF1" w:rsidP="00EE06D4">
            <w:pPr>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DBRS</w:t>
            </w:r>
          </w:p>
        </w:tc>
        <w:tc>
          <w:tcPr>
            <w:tcW w:w="1180" w:type="pct"/>
            <w:tcBorders>
              <w:top w:val="single" w:sz="4" w:space="0" w:color="auto"/>
              <w:left w:val="single" w:sz="4" w:space="0" w:color="auto"/>
              <w:right w:val="single" w:sz="4" w:space="0" w:color="auto"/>
            </w:tcBorders>
            <w:hideMark/>
          </w:tcPr>
          <w:p w14:paraId="28F26AF1" w14:textId="77777777" w:rsidR="00004DF1" w:rsidRPr="006E7176" w:rsidRDefault="00004DF1" w:rsidP="00EE06D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AAA</w:t>
            </w:r>
          </w:p>
        </w:tc>
        <w:tc>
          <w:tcPr>
            <w:tcW w:w="1087" w:type="pct"/>
            <w:tcBorders>
              <w:top w:val="single" w:sz="4" w:space="0" w:color="auto"/>
              <w:left w:val="single" w:sz="4" w:space="0" w:color="auto"/>
              <w:right w:val="single" w:sz="4" w:space="0" w:color="auto"/>
            </w:tcBorders>
            <w:hideMark/>
          </w:tcPr>
          <w:p w14:paraId="76FD6947" w14:textId="77777777" w:rsidR="00004DF1" w:rsidRPr="006E7176" w:rsidRDefault="00004DF1" w:rsidP="00EE06D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R-1 (augsts)</w:t>
            </w:r>
          </w:p>
        </w:tc>
        <w:tc>
          <w:tcPr>
            <w:tcW w:w="1762" w:type="pct"/>
            <w:tcBorders>
              <w:top w:val="single" w:sz="4" w:space="0" w:color="auto"/>
              <w:left w:val="single" w:sz="4" w:space="0" w:color="auto"/>
            </w:tcBorders>
          </w:tcPr>
          <w:p w14:paraId="72BCBECD" w14:textId="77777777" w:rsidR="00004DF1" w:rsidRPr="006E7176" w:rsidRDefault="00EC5D98" w:rsidP="00EE06D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Pr>
                <w:rFonts w:eastAsia="Times New Roman" w:cs="Times New Roman"/>
                <w:color w:val="000000" w:themeColor="text1"/>
                <w:sz w:val="20"/>
                <w:szCs w:val="20"/>
                <w:lang w:eastAsia="lv-LV"/>
              </w:rPr>
              <w:t>Stabila</w:t>
            </w:r>
          </w:p>
        </w:tc>
      </w:tr>
    </w:tbl>
    <w:p w14:paraId="284E3EE8" w14:textId="77777777" w:rsidR="00BD7A7E" w:rsidRPr="00620DBB" w:rsidRDefault="00280255" w:rsidP="000B1FC7">
      <w:pPr>
        <w:pStyle w:val="ListParagraph"/>
        <w:numPr>
          <w:ilvl w:val="0"/>
          <w:numId w:val="14"/>
        </w:numPr>
        <w:spacing w:before="240" w:after="120"/>
        <w:ind w:left="1066" w:hanging="357"/>
        <w:jc w:val="center"/>
        <w:rPr>
          <w:rFonts w:eastAsia="Times New Roman" w:cs="Times New Roman"/>
          <w:b/>
          <w:szCs w:val="24"/>
          <w:lang w:eastAsia="lv-LV"/>
        </w:rPr>
      </w:pPr>
      <w:r w:rsidRPr="00620DBB">
        <w:rPr>
          <w:rFonts w:eastAsia="Times New Roman" w:cs="Times New Roman"/>
          <w:b/>
          <w:szCs w:val="24"/>
          <w:lang w:eastAsia="lv-LV"/>
        </w:rPr>
        <w:lastRenderedPageBreak/>
        <w:t xml:space="preserve">ESM </w:t>
      </w:r>
      <w:r w:rsidR="001F5245" w:rsidRPr="00620DBB">
        <w:rPr>
          <w:rFonts w:eastAsia="Times New Roman" w:cs="Times New Roman"/>
          <w:b/>
          <w:szCs w:val="24"/>
          <w:lang w:eastAsia="lv-LV"/>
        </w:rPr>
        <w:t>īstenot</w:t>
      </w:r>
      <w:r w:rsidR="00A0553D" w:rsidRPr="00620DBB">
        <w:rPr>
          <w:rFonts w:eastAsia="Times New Roman" w:cs="Times New Roman"/>
          <w:b/>
          <w:szCs w:val="24"/>
          <w:lang w:eastAsia="lv-LV"/>
        </w:rPr>
        <w:t>o</w:t>
      </w:r>
      <w:r w:rsidR="00A83D94" w:rsidRPr="00620DBB">
        <w:rPr>
          <w:rFonts w:eastAsia="Times New Roman" w:cs="Times New Roman"/>
          <w:b/>
          <w:szCs w:val="24"/>
          <w:lang w:eastAsia="lv-LV"/>
        </w:rPr>
        <w:t xml:space="preserve"> finansiāl</w:t>
      </w:r>
      <w:r w:rsidR="00A0553D" w:rsidRPr="00620DBB">
        <w:rPr>
          <w:rFonts w:eastAsia="Times New Roman" w:cs="Times New Roman"/>
          <w:b/>
          <w:szCs w:val="24"/>
          <w:lang w:eastAsia="lv-LV"/>
        </w:rPr>
        <w:t>o</w:t>
      </w:r>
      <w:r w:rsidR="00A83D94" w:rsidRPr="00620DBB">
        <w:rPr>
          <w:rFonts w:eastAsia="Times New Roman" w:cs="Times New Roman"/>
          <w:b/>
          <w:szCs w:val="24"/>
          <w:lang w:eastAsia="lv-LV"/>
        </w:rPr>
        <w:t xml:space="preserve"> palīdzīb</w:t>
      </w:r>
      <w:r w:rsidR="00A0553D" w:rsidRPr="00620DBB">
        <w:rPr>
          <w:rFonts w:eastAsia="Times New Roman" w:cs="Times New Roman"/>
          <w:b/>
          <w:szCs w:val="24"/>
          <w:lang w:eastAsia="lv-LV"/>
        </w:rPr>
        <w:t>u</w:t>
      </w:r>
      <w:r w:rsidR="00A83D94" w:rsidRPr="00620DBB">
        <w:rPr>
          <w:rFonts w:eastAsia="Times New Roman" w:cs="Times New Roman"/>
          <w:b/>
          <w:szCs w:val="24"/>
          <w:lang w:eastAsia="lv-LV"/>
        </w:rPr>
        <w:t xml:space="preserve"> programm</w:t>
      </w:r>
      <w:r w:rsidR="000B1FC7" w:rsidRPr="00620DBB">
        <w:rPr>
          <w:rFonts w:eastAsia="Times New Roman" w:cs="Times New Roman"/>
          <w:b/>
          <w:szCs w:val="24"/>
          <w:lang w:eastAsia="lv-LV"/>
        </w:rPr>
        <w:t>u pieredze</w:t>
      </w:r>
    </w:p>
    <w:p w14:paraId="5CD00EC4" w14:textId="77777777" w:rsidR="00936759" w:rsidRPr="00620DBB" w:rsidRDefault="00AF1364" w:rsidP="004B3996">
      <w:pPr>
        <w:spacing w:before="60" w:after="60"/>
        <w:ind w:firstLine="720"/>
        <w:jc w:val="both"/>
      </w:pPr>
      <w:r w:rsidRPr="00620DBB">
        <w:rPr>
          <w:rFonts w:eastAsia="Times New Roman" w:cs="Times New Roman"/>
          <w:szCs w:val="24"/>
          <w:lang w:eastAsia="lv-LV"/>
        </w:rPr>
        <w:t xml:space="preserve">Kopš dibināšanas brīža ESM ir </w:t>
      </w:r>
      <w:r w:rsidR="00985AE8" w:rsidRPr="00620DBB">
        <w:rPr>
          <w:rFonts w:eastAsia="Times New Roman" w:cs="Times New Roman"/>
          <w:szCs w:val="24"/>
          <w:lang w:eastAsia="lv-LV"/>
        </w:rPr>
        <w:t xml:space="preserve">sniedzis palīdzību trīs valstīm. </w:t>
      </w:r>
      <w:r w:rsidR="00BE41B3" w:rsidRPr="00620DBB">
        <w:rPr>
          <w:rFonts w:eastAsia="Times New Roman" w:cs="Times New Roman"/>
          <w:szCs w:val="24"/>
          <w:lang w:eastAsia="lv-LV"/>
        </w:rPr>
        <w:t>Kipra un Spānija</w:t>
      </w:r>
      <w:r w:rsidR="008E56A0" w:rsidRPr="00620DBB">
        <w:rPr>
          <w:rFonts w:eastAsia="Times New Roman" w:cs="Times New Roman"/>
          <w:szCs w:val="24"/>
          <w:lang w:eastAsia="lv-LV"/>
        </w:rPr>
        <w:t xml:space="preserve"> </w:t>
      </w:r>
      <w:r w:rsidRPr="00620DBB">
        <w:t xml:space="preserve">makroekonomikas korekcijas </w:t>
      </w:r>
      <w:r w:rsidR="008E56A0" w:rsidRPr="00620DBB">
        <w:rPr>
          <w:rFonts w:eastAsia="Times New Roman" w:cs="Times New Roman"/>
          <w:szCs w:val="24"/>
          <w:lang w:eastAsia="lv-LV"/>
        </w:rPr>
        <w:t>programmas</w:t>
      </w:r>
      <w:r w:rsidR="00B0682A" w:rsidRPr="00620DBB">
        <w:rPr>
          <w:rFonts w:eastAsia="Times New Roman" w:cs="Times New Roman"/>
          <w:szCs w:val="24"/>
          <w:lang w:eastAsia="lv-LV"/>
        </w:rPr>
        <w:t xml:space="preserve"> (turpmāk –</w:t>
      </w:r>
      <w:r w:rsidR="00B64211" w:rsidRPr="00620DBB">
        <w:rPr>
          <w:rFonts w:eastAsia="Times New Roman" w:cs="Times New Roman"/>
          <w:szCs w:val="24"/>
          <w:lang w:eastAsia="lv-LV"/>
        </w:rPr>
        <w:t xml:space="preserve"> </w:t>
      </w:r>
      <w:r w:rsidRPr="00620DBB">
        <w:rPr>
          <w:rFonts w:eastAsia="Times New Roman" w:cs="Times New Roman"/>
          <w:szCs w:val="24"/>
          <w:lang w:eastAsia="lv-LV"/>
        </w:rPr>
        <w:t>programma)</w:t>
      </w:r>
      <w:r w:rsidR="008E56A0" w:rsidRPr="00620DBB">
        <w:rPr>
          <w:rFonts w:eastAsia="Times New Roman" w:cs="Times New Roman"/>
          <w:szCs w:val="24"/>
          <w:lang w:eastAsia="lv-LV"/>
        </w:rPr>
        <w:t xml:space="preserve"> ir </w:t>
      </w:r>
      <w:r w:rsidR="00985AE8" w:rsidRPr="00620DBB">
        <w:rPr>
          <w:rFonts w:eastAsia="Times New Roman" w:cs="Times New Roman"/>
          <w:szCs w:val="24"/>
          <w:lang w:eastAsia="lv-LV"/>
        </w:rPr>
        <w:t>noslēgušas</w:t>
      </w:r>
      <w:r w:rsidR="00C32A57" w:rsidRPr="00620DBB">
        <w:rPr>
          <w:rFonts w:eastAsia="Times New Roman" w:cs="Times New Roman"/>
          <w:szCs w:val="24"/>
          <w:lang w:eastAsia="lv-LV"/>
        </w:rPr>
        <w:t>,</w:t>
      </w:r>
      <w:r w:rsidR="00A4581D" w:rsidRPr="00620DBB">
        <w:rPr>
          <w:rFonts w:eastAsia="Times New Roman" w:cs="Times New Roman"/>
          <w:szCs w:val="24"/>
          <w:lang w:eastAsia="lv-LV"/>
        </w:rPr>
        <w:t xml:space="preserve"> attiecīgi </w:t>
      </w:r>
      <w:r w:rsidR="00A4581D" w:rsidRPr="00620DBB">
        <w:t>2013.gadā un 2016.gadā</w:t>
      </w:r>
      <w:r w:rsidR="00BE41B3" w:rsidRPr="00620DBB">
        <w:rPr>
          <w:rFonts w:eastAsia="Times New Roman" w:cs="Times New Roman"/>
          <w:szCs w:val="24"/>
          <w:lang w:eastAsia="lv-LV"/>
        </w:rPr>
        <w:t>, s</w:t>
      </w:r>
      <w:r w:rsidR="004C5DF6" w:rsidRPr="00620DBB">
        <w:rPr>
          <w:rFonts w:eastAsia="Times New Roman" w:cs="Times New Roman"/>
          <w:szCs w:val="24"/>
          <w:lang w:eastAsia="lv-LV"/>
        </w:rPr>
        <w:t>avuk</w:t>
      </w:r>
      <w:r w:rsidR="00B0682A" w:rsidRPr="00620DBB">
        <w:rPr>
          <w:rFonts w:eastAsia="Times New Roman" w:cs="Times New Roman"/>
          <w:szCs w:val="24"/>
          <w:lang w:eastAsia="lv-LV"/>
        </w:rPr>
        <w:t>ārt Grieķijas programma noslēdzās 2018.gada 20.augustā.</w:t>
      </w:r>
      <w:r w:rsidR="00D840EE" w:rsidRPr="00620DBB">
        <w:t xml:space="preserve"> </w:t>
      </w:r>
    </w:p>
    <w:p w14:paraId="34D34FCB" w14:textId="77777777" w:rsidR="00280255" w:rsidRPr="00620DBB" w:rsidRDefault="00475EBE" w:rsidP="000B1FC7">
      <w:pPr>
        <w:pStyle w:val="ListParagraph"/>
        <w:numPr>
          <w:ilvl w:val="1"/>
          <w:numId w:val="14"/>
        </w:numPr>
        <w:spacing w:before="240" w:after="120" w:line="264" w:lineRule="auto"/>
        <w:contextualSpacing w:val="0"/>
        <w:jc w:val="center"/>
        <w:rPr>
          <w:rFonts w:eastAsia="Times New Roman" w:cs="Times New Roman"/>
          <w:b/>
          <w:szCs w:val="24"/>
          <w:lang w:eastAsia="lv-LV"/>
        </w:rPr>
      </w:pPr>
      <w:r w:rsidRPr="00620DBB">
        <w:rPr>
          <w:rFonts w:eastAsia="Times New Roman" w:cs="Times New Roman"/>
          <w:b/>
          <w:szCs w:val="24"/>
          <w:lang w:eastAsia="lv-LV"/>
        </w:rPr>
        <w:t xml:space="preserve"> </w:t>
      </w:r>
      <w:r w:rsidR="00D43DE7" w:rsidRPr="00620DBB">
        <w:rPr>
          <w:rFonts w:eastAsia="Times New Roman" w:cs="Times New Roman"/>
          <w:b/>
          <w:szCs w:val="24"/>
          <w:lang w:eastAsia="lv-LV"/>
        </w:rPr>
        <w:t xml:space="preserve">Finansiālās palīdzības programma </w:t>
      </w:r>
      <w:r w:rsidR="00280255" w:rsidRPr="00620DBB">
        <w:rPr>
          <w:rFonts w:eastAsia="Times New Roman" w:cs="Times New Roman"/>
          <w:b/>
          <w:szCs w:val="24"/>
          <w:lang w:eastAsia="lv-LV"/>
        </w:rPr>
        <w:t>Kipra</w:t>
      </w:r>
      <w:r w:rsidR="00D43DE7" w:rsidRPr="00620DBB">
        <w:rPr>
          <w:rFonts w:eastAsia="Times New Roman" w:cs="Times New Roman"/>
          <w:b/>
          <w:szCs w:val="24"/>
          <w:lang w:eastAsia="lv-LV"/>
        </w:rPr>
        <w:t>i</w:t>
      </w:r>
    </w:p>
    <w:p w14:paraId="29A8E960" w14:textId="2A8533FC" w:rsidR="00780130" w:rsidRPr="00620DBB" w:rsidRDefault="00AF1364" w:rsidP="00865FC9">
      <w:pPr>
        <w:spacing w:before="60" w:after="60" w:line="264" w:lineRule="auto"/>
        <w:ind w:firstLine="720"/>
        <w:jc w:val="both"/>
        <w:rPr>
          <w:rFonts w:eastAsia="Times New Roman" w:cs="Times New Roman"/>
          <w:szCs w:val="24"/>
          <w:lang w:eastAsia="lv-LV"/>
        </w:rPr>
      </w:pPr>
      <w:r w:rsidRPr="00620DBB">
        <w:t>Kipra</w:t>
      </w:r>
      <w:r w:rsidR="0037448F" w:rsidRPr="00620DBB">
        <w:t>s</w:t>
      </w:r>
      <w:r w:rsidRPr="00620DBB">
        <w:t xml:space="preserve"> finansiālās palīdzības </w:t>
      </w:r>
      <w:r w:rsidR="00780130" w:rsidRPr="00620DBB">
        <w:t>p</w:t>
      </w:r>
      <w:r w:rsidR="00780130" w:rsidRPr="00620DBB">
        <w:rPr>
          <w:rFonts w:eastAsia="Times New Roman" w:cs="Times New Roman"/>
          <w:szCs w:val="24"/>
          <w:lang w:eastAsia="lv-LV"/>
        </w:rPr>
        <w:t>rogramm</w:t>
      </w:r>
      <w:r w:rsidR="0037448F" w:rsidRPr="00620DBB">
        <w:rPr>
          <w:rFonts w:eastAsia="Times New Roman" w:cs="Times New Roman"/>
          <w:szCs w:val="24"/>
          <w:lang w:eastAsia="lv-LV"/>
        </w:rPr>
        <w:t>a</w:t>
      </w:r>
      <w:r w:rsidR="00881652" w:rsidRPr="00620DBB">
        <w:rPr>
          <w:rFonts w:eastAsia="Times New Roman" w:cs="Times New Roman"/>
          <w:szCs w:val="24"/>
          <w:lang w:eastAsia="lv-LV"/>
        </w:rPr>
        <w:t xml:space="preserve"> </w:t>
      </w:r>
      <w:r w:rsidR="007C6A47" w:rsidRPr="00620DBB">
        <w:rPr>
          <w:rFonts w:eastAsia="Times New Roman" w:cs="Times New Roman"/>
          <w:szCs w:val="24"/>
          <w:lang w:eastAsia="lv-LV"/>
        </w:rPr>
        <w:t xml:space="preserve">noslēdzās </w:t>
      </w:r>
      <w:r w:rsidR="0086357A" w:rsidRPr="00620DBB">
        <w:rPr>
          <w:rFonts w:eastAsia="Times New Roman" w:cs="Times New Roman"/>
          <w:szCs w:val="24"/>
          <w:lang w:eastAsia="lv-LV"/>
        </w:rPr>
        <w:t>2016.gadā</w:t>
      </w:r>
      <w:r w:rsidR="00881652" w:rsidRPr="00620DBB">
        <w:rPr>
          <w:rFonts w:eastAsia="Times New Roman" w:cs="Times New Roman"/>
          <w:szCs w:val="24"/>
          <w:lang w:eastAsia="lv-LV"/>
        </w:rPr>
        <w:t xml:space="preserve">, izmantojot </w:t>
      </w:r>
      <w:r w:rsidR="00D32429" w:rsidRPr="00620DBB">
        <w:rPr>
          <w:rFonts w:eastAsia="Times New Roman" w:cs="Times New Roman"/>
          <w:szCs w:val="24"/>
          <w:lang w:eastAsia="lv-LV"/>
        </w:rPr>
        <w:t xml:space="preserve">6,3 mljrd. </w:t>
      </w:r>
      <w:proofErr w:type="spellStart"/>
      <w:r w:rsidR="00D32429" w:rsidRPr="00620DBB">
        <w:rPr>
          <w:rFonts w:eastAsia="Times New Roman" w:cs="Times New Roman"/>
          <w:i/>
          <w:szCs w:val="24"/>
          <w:lang w:eastAsia="lv-LV"/>
        </w:rPr>
        <w:t>euro</w:t>
      </w:r>
      <w:proofErr w:type="spellEnd"/>
      <w:r w:rsidR="000C45E9" w:rsidRPr="00620DBB">
        <w:rPr>
          <w:rFonts w:eastAsia="Times New Roman" w:cs="Times New Roman"/>
          <w:szCs w:val="24"/>
          <w:lang w:eastAsia="lv-LV"/>
        </w:rPr>
        <w:t>.</w:t>
      </w:r>
      <w:r w:rsidR="00780130" w:rsidRPr="00620DBB">
        <w:rPr>
          <w:rFonts w:eastAsia="Times New Roman" w:cs="Times New Roman"/>
          <w:i/>
          <w:szCs w:val="24"/>
          <w:lang w:eastAsia="lv-LV"/>
        </w:rPr>
        <w:t xml:space="preserve"> </w:t>
      </w:r>
      <w:r w:rsidR="00C302E9" w:rsidRPr="00620DBB">
        <w:rPr>
          <w:rFonts w:eastAsia="Times New Roman" w:cs="Times New Roman"/>
          <w:szCs w:val="24"/>
          <w:lang w:eastAsia="lv-LV"/>
        </w:rPr>
        <w:t xml:space="preserve">Piešķirtais finansējums tika izlietots </w:t>
      </w:r>
      <w:r w:rsidR="00780130" w:rsidRPr="00620DBB">
        <w:rPr>
          <w:rFonts w:eastAsia="Times New Roman" w:cs="Times New Roman"/>
          <w:szCs w:val="24"/>
          <w:lang w:eastAsia="lv-LV"/>
        </w:rPr>
        <w:t xml:space="preserve">i) </w:t>
      </w:r>
      <w:r w:rsidR="00C302E9" w:rsidRPr="00620DBB">
        <w:rPr>
          <w:rFonts w:eastAsia="Times New Roman" w:cs="Times New Roman"/>
          <w:szCs w:val="24"/>
          <w:lang w:eastAsia="lv-LV"/>
        </w:rPr>
        <w:t>finanšu sektora stabilitātes atjaunošana</w:t>
      </w:r>
      <w:r w:rsidR="00E1433D" w:rsidRPr="00620DBB">
        <w:rPr>
          <w:rFonts w:eastAsia="Times New Roman" w:cs="Times New Roman"/>
          <w:szCs w:val="24"/>
          <w:lang w:eastAsia="lv-LV"/>
        </w:rPr>
        <w:t>i</w:t>
      </w:r>
      <w:r w:rsidR="00C302E9" w:rsidRPr="00620DBB">
        <w:rPr>
          <w:rFonts w:eastAsia="Times New Roman" w:cs="Times New Roman"/>
          <w:szCs w:val="24"/>
          <w:lang w:eastAsia="lv-LV"/>
        </w:rPr>
        <w:t xml:space="preserve">, </w:t>
      </w:r>
      <w:r w:rsidR="00780130" w:rsidRPr="00620DBB">
        <w:rPr>
          <w:rFonts w:eastAsia="Times New Roman" w:cs="Times New Roman"/>
          <w:szCs w:val="24"/>
          <w:lang w:eastAsia="lv-LV"/>
        </w:rPr>
        <w:t xml:space="preserve">ii) </w:t>
      </w:r>
      <w:r w:rsidR="00C302E9" w:rsidRPr="00620DBB">
        <w:rPr>
          <w:rFonts w:eastAsia="Times New Roman" w:cs="Times New Roman"/>
          <w:szCs w:val="24"/>
          <w:lang w:eastAsia="lv-LV"/>
        </w:rPr>
        <w:t>publisko finanšu ilgtspējas stiprināšana</w:t>
      </w:r>
      <w:r w:rsidR="00260B26" w:rsidRPr="00620DBB">
        <w:rPr>
          <w:rFonts w:eastAsia="Times New Roman" w:cs="Times New Roman"/>
          <w:szCs w:val="24"/>
          <w:lang w:eastAsia="lv-LV"/>
        </w:rPr>
        <w:t>i</w:t>
      </w:r>
      <w:r w:rsidR="00C302E9" w:rsidRPr="00620DBB">
        <w:rPr>
          <w:rFonts w:eastAsia="Times New Roman" w:cs="Times New Roman"/>
          <w:szCs w:val="24"/>
          <w:lang w:eastAsia="lv-LV"/>
        </w:rPr>
        <w:t xml:space="preserve">, </w:t>
      </w:r>
      <w:r w:rsidR="00780130" w:rsidRPr="00620DBB">
        <w:rPr>
          <w:rFonts w:eastAsia="Times New Roman" w:cs="Times New Roman"/>
          <w:szCs w:val="24"/>
          <w:lang w:eastAsia="lv-LV"/>
        </w:rPr>
        <w:t xml:space="preserve">iii) </w:t>
      </w:r>
      <w:r w:rsidR="00C302E9" w:rsidRPr="00620DBB">
        <w:rPr>
          <w:rFonts w:eastAsia="Times New Roman" w:cs="Times New Roman"/>
          <w:szCs w:val="24"/>
          <w:lang w:eastAsia="lv-LV"/>
        </w:rPr>
        <w:t>strukturālo reformu veicināšana</w:t>
      </w:r>
      <w:r w:rsidR="00260B26" w:rsidRPr="00620DBB">
        <w:rPr>
          <w:rFonts w:eastAsia="Times New Roman" w:cs="Times New Roman"/>
          <w:szCs w:val="24"/>
          <w:lang w:eastAsia="lv-LV"/>
        </w:rPr>
        <w:t>i</w:t>
      </w:r>
      <w:r w:rsidR="00C302E9" w:rsidRPr="00620DBB">
        <w:rPr>
          <w:rFonts w:eastAsia="Times New Roman" w:cs="Times New Roman"/>
          <w:szCs w:val="24"/>
          <w:lang w:eastAsia="lv-LV"/>
        </w:rPr>
        <w:t xml:space="preserve">, kā arī </w:t>
      </w:r>
      <w:r w:rsidR="00780130" w:rsidRPr="00620DBB">
        <w:rPr>
          <w:rFonts w:eastAsia="Times New Roman" w:cs="Times New Roman"/>
          <w:szCs w:val="24"/>
          <w:lang w:eastAsia="lv-LV"/>
        </w:rPr>
        <w:t xml:space="preserve">iv) </w:t>
      </w:r>
      <w:r w:rsidR="00C302E9" w:rsidRPr="00620DBB">
        <w:rPr>
          <w:rFonts w:eastAsia="Times New Roman" w:cs="Times New Roman"/>
          <w:szCs w:val="24"/>
          <w:lang w:eastAsia="lv-LV"/>
        </w:rPr>
        <w:t xml:space="preserve">banku </w:t>
      </w:r>
      <w:proofErr w:type="spellStart"/>
      <w:r w:rsidR="00C302E9" w:rsidRPr="00620DBB">
        <w:rPr>
          <w:rFonts w:eastAsia="Times New Roman" w:cs="Times New Roman"/>
          <w:szCs w:val="24"/>
          <w:lang w:eastAsia="lv-LV"/>
        </w:rPr>
        <w:t>rekapitalizācijai</w:t>
      </w:r>
      <w:proofErr w:type="spellEnd"/>
      <w:r w:rsidR="00865FC9" w:rsidRPr="00620DBB">
        <w:rPr>
          <w:rFonts w:eastAsia="Times New Roman" w:cs="Times New Roman"/>
          <w:szCs w:val="24"/>
          <w:lang w:eastAsia="lv-LV"/>
        </w:rPr>
        <w:t xml:space="preserve">. </w:t>
      </w:r>
      <w:r w:rsidR="00365FAB" w:rsidRPr="00620DBB">
        <w:rPr>
          <w:rFonts w:eastAsia="Times New Roman" w:cs="Times New Roman"/>
          <w:szCs w:val="24"/>
          <w:lang w:eastAsia="lv-LV"/>
        </w:rPr>
        <w:t>Izaugsme</w:t>
      </w:r>
      <w:r w:rsidR="005A4F0B" w:rsidRPr="00620DBB">
        <w:rPr>
          <w:rFonts w:eastAsia="Times New Roman" w:cs="Times New Roman"/>
          <w:szCs w:val="24"/>
          <w:lang w:eastAsia="lv-LV"/>
        </w:rPr>
        <w:t>s</w:t>
      </w:r>
      <w:r w:rsidR="00365FAB" w:rsidRPr="00620DBB">
        <w:rPr>
          <w:rFonts w:eastAsia="Times New Roman" w:cs="Times New Roman"/>
          <w:szCs w:val="24"/>
          <w:lang w:eastAsia="lv-LV"/>
        </w:rPr>
        <w:t xml:space="preserve"> un fiskālā</w:t>
      </w:r>
      <w:r w:rsidR="005A4F0B" w:rsidRPr="00620DBB">
        <w:rPr>
          <w:rFonts w:eastAsia="Times New Roman" w:cs="Times New Roman"/>
          <w:szCs w:val="24"/>
          <w:lang w:eastAsia="lv-LV"/>
        </w:rPr>
        <w:t>s</w:t>
      </w:r>
      <w:r w:rsidR="00365FAB" w:rsidRPr="00620DBB">
        <w:rPr>
          <w:rFonts w:eastAsia="Times New Roman" w:cs="Times New Roman"/>
          <w:szCs w:val="24"/>
          <w:lang w:eastAsia="lv-LV"/>
        </w:rPr>
        <w:t xml:space="preserve"> situācija</w:t>
      </w:r>
      <w:r w:rsidR="005A4F0B" w:rsidRPr="00620DBB">
        <w:rPr>
          <w:rFonts w:eastAsia="Times New Roman" w:cs="Times New Roman"/>
          <w:szCs w:val="24"/>
          <w:lang w:eastAsia="lv-LV"/>
        </w:rPr>
        <w:t>s uzlabošanās</w:t>
      </w:r>
      <w:r w:rsidR="00365FAB" w:rsidRPr="00620DBB">
        <w:rPr>
          <w:rFonts w:eastAsia="Times New Roman" w:cs="Times New Roman"/>
          <w:szCs w:val="24"/>
          <w:lang w:eastAsia="lv-LV"/>
        </w:rPr>
        <w:t xml:space="preserve"> palīdzēja Kiprai atgūt pieeju finanšu tirgiem un ļāva veiksmīgi </w:t>
      </w:r>
      <w:r w:rsidR="005A4F0B" w:rsidRPr="00620DBB">
        <w:rPr>
          <w:rFonts w:eastAsia="Times New Roman" w:cs="Times New Roman"/>
          <w:szCs w:val="24"/>
          <w:lang w:eastAsia="lv-LV"/>
        </w:rPr>
        <w:t xml:space="preserve">noslēgt programmu </w:t>
      </w:r>
      <w:r w:rsidR="00365FAB" w:rsidRPr="00620DBB">
        <w:rPr>
          <w:rFonts w:eastAsia="Times New Roman" w:cs="Times New Roman"/>
          <w:szCs w:val="24"/>
          <w:lang w:eastAsia="lv-LV"/>
        </w:rPr>
        <w:t>bez turpmā</w:t>
      </w:r>
      <w:r w:rsidR="00A31105" w:rsidRPr="00620DBB">
        <w:rPr>
          <w:rFonts w:eastAsia="Times New Roman" w:cs="Times New Roman"/>
          <w:szCs w:val="24"/>
          <w:lang w:eastAsia="lv-LV"/>
        </w:rPr>
        <w:t>k</w:t>
      </w:r>
      <w:r w:rsidR="005A4F0B" w:rsidRPr="00620DBB">
        <w:rPr>
          <w:rFonts w:eastAsia="Times New Roman" w:cs="Times New Roman"/>
          <w:szCs w:val="24"/>
          <w:lang w:eastAsia="lv-LV"/>
        </w:rPr>
        <w:t>iem piesardzības pasākumiem.</w:t>
      </w:r>
      <w:r w:rsidR="00E01018" w:rsidRPr="00620DBB">
        <w:rPr>
          <w:rFonts w:eastAsia="Times New Roman" w:cs="Times New Roman"/>
          <w:szCs w:val="24"/>
          <w:lang w:eastAsia="lv-LV"/>
        </w:rPr>
        <w:t xml:space="preserve"> </w:t>
      </w:r>
      <w:r w:rsidR="00780130" w:rsidRPr="00620DBB">
        <w:rPr>
          <w:rFonts w:cs="Times New Roman"/>
          <w:szCs w:val="24"/>
        </w:rPr>
        <w:t xml:space="preserve">Šobrīd </w:t>
      </w:r>
      <w:r w:rsidR="00480DB4" w:rsidRPr="00620DBB">
        <w:rPr>
          <w:rFonts w:cs="Times New Roman"/>
          <w:szCs w:val="24"/>
        </w:rPr>
        <w:t xml:space="preserve">Kipra ir pakļauta </w:t>
      </w:r>
      <w:r w:rsidR="00D441AD" w:rsidRPr="00620DBB">
        <w:rPr>
          <w:rFonts w:cs="Times New Roman"/>
          <w:szCs w:val="24"/>
        </w:rPr>
        <w:t>pēc-programmas uzraudzībai, kas</w:t>
      </w:r>
      <w:r w:rsidR="00480DB4" w:rsidRPr="00620DBB">
        <w:rPr>
          <w:rFonts w:cs="Times New Roman"/>
          <w:szCs w:val="24"/>
        </w:rPr>
        <w:t xml:space="preserve"> ilgs līdz brīdim, kad tiks atmaksāti 75%</w:t>
      </w:r>
      <w:r w:rsidR="00F859CE" w:rsidRPr="00620DBB">
        <w:rPr>
          <w:rFonts w:cs="Times New Roman"/>
          <w:szCs w:val="24"/>
        </w:rPr>
        <w:t xml:space="preserve"> no izsniegtā aizdevuma.</w:t>
      </w:r>
    </w:p>
    <w:p w14:paraId="500DDE6B" w14:textId="31011F7A" w:rsidR="00382674" w:rsidRPr="00620DBB" w:rsidRDefault="00EB646B" w:rsidP="008F7805">
      <w:pPr>
        <w:spacing w:before="60" w:after="60" w:line="264" w:lineRule="auto"/>
        <w:ind w:firstLine="720"/>
        <w:jc w:val="both"/>
        <w:rPr>
          <w:rFonts w:eastAsia="Times New Roman" w:cs="Times New Roman"/>
          <w:szCs w:val="24"/>
          <w:lang w:eastAsia="lv-LV"/>
        </w:rPr>
      </w:pPr>
      <w:r w:rsidRPr="00620DBB">
        <w:rPr>
          <w:rFonts w:eastAsia="Times New Roman" w:cs="Times New Roman"/>
          <w:szCs w:val="24"/>
          <w:lang w:eastAsia="lv-LV"/>
        </w:rPr>
        <w:t xml:space="preserve">2018.gadā Kipra </w:t>
      </w:r>
      <w:r w:rsidR="0086357A" w:rsidRPr="00620DBB">
        <w:rPr>
          <w:rFonts w:eastAsia="Times New Roman" w:cs="Times New Roman"/>
          <w:szCs w:val="24"/>
          <w:lang w:eastAsia="lv-LV"/>
        </w:rPr>
        <w:t xml:space="preserve">trešo gadu pēc kārtas </w:t>
      </w:r>
      <w:r w:rsidR="00E01018" w:rsidRPr="00620DBB">
        <w:rPr>
          <w:rFonts w:eastAsia="Times New Roman" w:cs="Times New Roman"/>
          <w:szCs w:val="24"/>
          <w:lang w:eastAsia="lv-LV"/>
        </w:rPr>
        <w:t xml:space="preserve">piedzīvoja </w:t>
      </w:r>
      <w:r w:rsidR="0086357A" w:rsidRPr="00620DBB">
        <w:rPr>
          <w:rFonts w:eastAsia="Times New Roman" w:cs="Times New Roman"/>
          <w:szCs w:val="24"/>
          <w:lang w:eastAsia="lv-LV"/>
        </w:rPr>
        <w:t>ekonomikas izaugsmi</w:t>
      </w:r>
      <w:r w:rsidR="00E01018" w:rsidRPr="00620DBB">
        <w:rPr>
          <w:rFonts w:eastAsia="Times New Roman" w:cs="Times New Roman"/>
          <w:szCs w:val="24"/>
          <w:lang w:eastAsia="lv-LV"/>
        </w:rPr>
        <w:t xml:space="preserve">, iekšzemes kopproduktam (turpmāk – IKP) pieaugot </w:t>
      </w:r>
      <w:r w:rsidR="00BC1502" w:rsidRPr="00620DBB">
        <w:rPr>
          <w:rFonts w:eastAsia="Times New Roman" w:cs="Times New Roman"/>
          <w:szCs w:val="24"/>
          <w:lang w:eastAsia="lv-LV"/>
        </w:rPr>
        <w:t>tuvu</w:t>
      </w:r>
      <w:r w:rsidR="00F91648" w:rsidRPr="00620DBB">
        <w:rPr>
          <w:rFonts w:eastAsia="Times New Roman" w:cs="Times New Roman"/>
          <w:szCs w:val="24"/>
          <w:lang w:eastAsia="lv-LV"/>
        </w:rPr>
        <w:t xml:space="preserve"> </w:t>
      </w:r>
      <w:r w:rsidR="001C2094" w:rsidRPr="00620DBB">
        <w:rPr>
          <w:rFonts w:eastAsia="Times New Roman" w:cs="Times New Roman"/>
          <w:szCs w:val="24"/>
          <w:lang w:eastAsia="lv-LV"/>
        </w:rPr>
        <w:t>4% un bezdarba līmenim</w:t>
      </w:r>
      <w:r w:rsidR="00865FC9" w:rsidRPr="00620DBB">
        <w:rPr>
          <w:rFonts w:eastAsia="Times New Roman" w:cs="Times New Roman"/>
          <w:szCs w:val="24"/>
          <w:lang w:eastAsia="lv-LV"/>
        </w:rPr>
        <w:t xml:space="preserve"> </w:t>
      </w:r>
      <w:r w:rsidR="001C2094" w:rsidRPr="00620DBB">
        <w:rPr>
          <w:rFonts w:eastAsia="Times New Roman" w:cs="Times New Roman"/>
          <w:szCs w:val="24"/>
          <w:lang w:eastAsia="lv-LV"/>
        </w:rPr>
        <w:t>samazinoties</w:t>
      </w:r>
      <w:r w:rsidR="00865FC9" w:rsidRPr="00620DBB">
        <w:rPr>
          <w:rFonts w:eastAsia="Times New Roman" w:cs="Times New Roman"/>
          <w:szCs w:val="24"/>
          <w:lang w:eastAsia="lv-LV"/>
        </w:rPr>
        <w:t xml:space="preserve"> </w:t>
      </w:r>
      <w:r w:rsidR="00BC1502" w:rsidRPr="00620DBB">
        <w:rPr>
          <w:rFonts w:eastAsia="Times New Roman" w:cs="Times New Roman"/>
          <w:szCs w:val="24"/>
          <w:lang w:eastAsia="lv-LV"/>
        </w:rPr>
        <w:t>tuvu</w:t>
      </w:r>
      <w:r w:rsidR="00F91648" w:rsidRPr="00620DBB">
        <w:rPr>
          <w:rFonts w:eastAsia="Times New Roman" w:cs="Times New Roman"/>
          <w:szCs w:val="24"/>
          <w:lang w:eastAsia="lv-LV"/>
        </w:rPr>
        <w:t xml:space="preserve"> </w:t>
      </w:r>
      <w:r w:rsidR="00865FC9" w:rsidRPr="00620DBB">
        <w:rPr>
          <w:rFonts w:eastAsia="Times New Roman" w:cs="Times New Roman"/>
          <w:szCs w:val="24"/>
          <w:lang w:eastAsia="lv-LV"/>
        </w:rPr>
        <w:t>8%. Tomēr b</w:t>
      </w:r>
      <w:r w:rsidR="0086357A" w:rsidRPr="00620DBB">
        <w:rPr>
          <w:rFonts w:eastAsia="Times New Roman" w:cs="Times New Roman"/>
          <w:szCs w:val="24"/>
          <w:lang w:eastAsia="lv-LV"/>
        </w:rPr>
        <w:t xml:space="preserve">udžeta bilance 2018.gadā </w:t>
      </w:r>
      <w:r w:rsidR="00865FC9" w:rsidRPr="00620DBB">
        <w:rPr>
          <w:rFonts w:eastAsia="Times New Roman" w:cs="Times New Roman"/>
          <w:szCs w:val="24"/>
          <w:lang w:eastAsia="lv-LV"/>
        </w:rPr>
        <w:t>veid</w:t>
      </w:r>
      <w:r w:rsidR="00DE15A6" w:rsidRPr="00620DBB">
        <w:rPr>
          <w:rFonts w:eastAsia="Times New Roman" w:cs="Times New Roman"/>
          <w:szCs w:val="24"/>
          <w:lang w:eastAsia="lv-LV"/>
        </w:rPr>
        <w:t xml:space="preserve">ojās ar deficītu, kas saistāms </w:t>
      </w:r>
      <w:r w:rsidR="0086357A" w:rsidRPr="00620DBB">
        <w:rPr>
          <w:rFonts w:eastAsia="Times New Roman" w:cs="Times New Roman"/>
          <w:szCs w:val="24"/>
          <w:lang w:eastAsia="lv-LV"/>
        </w:rPr>
        <w:t xml:space="preserve">ar </w:t>
      </w:r>
      <w:r w:rsidR="00DA7DBA" w:rsidRPr="00620DBB">
        <w:rPr>
          <w:rFonts w:eastAsia="Times New Roman" w:cs="Times New Roman"/>
          <w:szCs w:val="24"/>
          <w:lang w:eastAsia="lv-LV"/>
        </w:rPr>
        <w:t>vienreizēju</w:t>
      </w:r>
      <w:r w:rsidR="0086357A" w:rsidRPr="00620DBB">
        <w:rPr>
          <w:rFonts w:eastAsia="Times New Roman" w:cs="Times New Roman"/>
          <w:szCs w:val="24"/>
          <w:lang w:eastAsia="lv-LV"/>
        </w:rPr>
        <w:t xml:space="preserve"> atbalstu Kipras Kooperatīvai bankai (</w:t>
      </w:r>
      <w:r w:rsidR="00DE15A6" w:rsidRPr="00620DBB">
        <w:rPr>
          <w:rFonts w:eastAsia="Times New Roman" w:cs="Times New Roman"/>
          <w:szCs w:val="24"/>
          <w:lang w:eastAsia="lv-LV"/>
        </w:rPr>
        <w:t xml:space="preserve">turpmāk – </w:t>
      </w:r>
      <w:r w:rsidR="0086357A" w:rsidRPr="00620DBB">
        <w:rPr>
          <w:rFonts w:eastAsia="Times New Roman" w:cs="Times New Roman"/>
          <w:szCs w:val="24"/>
          <w:lang w:eastAsia="lv-LV"/>
        </w:rPr>
        <w:t xml:space="preserve">KKB). </w:t>
      </w:r>
      <w:r w:rsidR="00196E53" w:rsidRPr="00620DBB">
        <w:rPr>
          <w:rFonts w:eastAsia="Times New Roman" w:cs="Times New Roman"/>
          <w:szCs w:val="24"/>
          <w:lang w:eastAsia="lv-LV"/>
        </w:rPr>
        <w:t xml:space="preserve">Valsts atbalsts un iesaiste </w:t>
      </w:r>
      <w:r w:rsidR="0086357A" w:rsidRPr="00620DBB">
        <w:rPr>
          <w:rFonts w:eastAsia="Times New Roman" w:cs="Times New Roman"/>
          <w:szCs w:val="24"/>
          <w:lang w:eastAsia="lv-LV"/>
        </w:rPr>
        <w:t>KKB aktīvu pārdošanā</w:t>
      </w:r>
      <w:r w:rsidR="00CA124C" w:rsidRPr="00620DBB">
        <w:rPr>
          <w:rFonts w:eastAsia="Times New Roman" w:cs="Times New Roman"/>
          <w:szCs w:val="24"/>
          <w:lang w:eastAsia="lv-LV"/>
        </w:rPr>
        <w:t xml:space="preserve"> 2018.gadā ir palielinājis</w:t>
      </w:r>
      <w:r w:rsidR="0086357A" w:rsidRPr="00620DBB">
        <w:rPr>
          <w:rFonts w:eastAsia="Times New Roman" w:cs="Times New Roman"/>
          <w:szCs w:val="24"/>
          <w:lang w:eastAsia="lv-LV"/>
        </w:rPr>
        <w:t xml:space="preserve"> valsts parādu līdz 102,5%, kas ir viens no augstākajiem </w:t>
      </w:r>
      <w:proofErr w:type="spellStart"/>
      <w:r w:rsidR="0086357A" w:rsidRPr="00620DBB">
        <w:rPr>
          <w:rFonts w:eastAsia="Times New Roman" w:cs="Times New Roman"/>
          <w:i/>
          <w:szCs w:val="24"/>
          <w:lang w:eastAsia="lv-LV"/>
        </w:rPr>
        <w:t>euro</w:t>
      </w:r>
      <w:proofErr w:type="spellEnd"/>
      <w:r w:rsidR="0086357A" w:rsidRPr="00620DBB">
        <w:rPr>
          <w:rFonts w:eastAsia="Times New Roman" w:cs="Times New Roman"/>
          <w:szCs w:val="24"/>
          <w:lang w:eastAsia="lv-LV"/>
        </w:rPr>
        <w:t xml:space="preserve"> zonā.</w:t>
      </w:r>
      <w:r w:rsidR="00865FC9" w:rsidRPr="00620DBB">
        <w:rPr>
          <w:rFonts w:eastAsia="Times New Roman" w:cs="Times New Roman"/>
          <w:szCs w:val="24"/>
          <w:lang w:eastAsia="lv-LV"/>
        </w:rPr>
        <w:t xml:space="preserve"> </w:t>
      </w:r>
      <w:r w:rsidR="00D650E8" w:rsidRPr="00620DBB">
        <w:rPr>
          <w:rFonts w:eastAsia="Times New Roman" w:cs="Times New Roman"/>
          <w:szCs w:val="24"/>
          <w:lang w:eastAsia="lv-LV"/>
        </w:rPr>
        <w:t>2018.</w:t>
      </w:r>
      <w:r w:rsidR="00D56E5D" w:rsidRPr="00620DBB">
        <w:rPr>
          <w:rFonts w:eastAsia="Times New Roman" w:cs="Times New Roman"/>
          <w:szCs w:val="24"/>
          <w:lang w:eastAsia="lv-LV"/>
        </w:rPr>
        <w:t>gadā</w:t>
      </w:r>
      <w:r w:rsidR="00D650E8" w:rsidRPr="00620DBB">
        <w:rPr>
          <w:rFonts w:eastAsia="Times New Roman" w:cs="Times New Roman"/>
          <w:szCs w:val="24"/>
          <w:lang w:eastAsia="lv-LV"/>
        </w:rPr>
        <w:t xml:space="preserve"> Kipra </w:t>
      </w:r>
      <w:r w:rsidR="00856BC7" w:rsidRPr="00620DBB">
        <w:rPr>
          <w:rFonts w:eastAsia="Times New Roman" w:cs="Times New Roman"/>
          <w:szCs w:val="24"/>
          <w:lang w:eastAsia="lv-LV"/>
        </w:rPr>
        <w:t xml:space="preserve">ir </w:t>
      </w:r>
      <w:r w:rsidR="00D56E5D" w:rsidRPr="00620DBB">
        <w:rPr>
          <w:rFonts w:eastAsia="Times New Roman" w:cs="Times New Roman"/>
          <w:szCs w:val="24"/>
          <w:lang w:eastAsia="lv-LV"/>
        </w:rPr>
        <w:t>atguvusi investīciju kategori</w:t>
      </w:r>
      <w:r w:rsidR="007C6A47" w:rsidRPr="00620DBB">
        <w:rPr>
          <w:rFonts w:eastAsia="Times New Roman" w:cs="Times New Roman"/>
          <w:szCs w:val="24"/>
          <w:lang w:eastAsia="lv-LV"/>
        </w:rPr>
        <w:t>jas kredītreitingu novērtējumu</w:t>
      </w:r>
      <w:r w:rsidRPr="00620DBB">
        <w:t xml:space="preserve"> </w:t>
      </w:r>
      <w:r w:rsidR="007A2797" w:rsidRPr="00620DBB">
        <w:t xml:space="preserve">no </w:t>
      </w:r>
      <w:r w:rsidR="002D70ED" w:rsidRPr="00620DBB">
        <w:rPr>
          <w:rFonts w:eastAsia="Times New Roman" w:cs="Times New Roman"/>
          <w:szCs w:val="24"/>
          <w:lang w:eastAsia="lv-LV"/>
        </w:rPr>
        <w:t>trīs</w:t>
      </w:r>
      <w:r w:rsidR="003C40F7" w:rsidRPr="00620DBB">
        <w:rPr>
          <w:rFonts w:eastAsia="Times New Roman" w:cs="Times New Roman"/>
          <w:szCs w:val="24"/>
          <w:lang w:eastAsia="lv-LV"/>
        </w:rPr>
        <w:t xml:space="preserve"> </w:t>
      </w:r>
      <w:r w:rsidR="007A2797" w:rsidRPr="00620DBB">
        <w:rPr>
          <w:rFonts w:eastAsia="Times New Roman" w:cs="Times New Roman"/>
          <w:szCs w:val="24"/>
          <w:lang w:eastAsia="lv-LV"/>
        </w:rPr>
        <w:t>galvenajām</w:t>
      </w:r>
      <w:r w:rsidRPr="00620DBB">
        <w:rPr>
          <w:rFonts w:eastAsia="Times New Roman" w:cs="Times New Roman"/>
          <w:szCs w:val="24"/>
          <w:lang w:eastAsia="lv-LV"/>
        </w:rPr>
        <w:t xml:space="preserve"> </w:t>
      </w:r>
      <w:r w:rsidR="009F3B4C" w:rsidRPr="00620DBB">
        <w:rPr>
          <w:rFonts w:eastAsia="Times New Roman" w:cs="Times New Roman"/>
          <w:szCs w:val="24"/>
          <w:lang w:eastAsia="lv-LV"/>
        </w:rPr>
        <w:t xml:space="preserve">kredītreitingu </w:t>
      </w:r>
      <w:r w:rsidR="007A2797" w:rsidRPr="00620DBB">
        <w:rPr>
          <w:rFonts w:eastAsia="Times New Roman" w:cs="Times New Roman"/>
          <w:szCs w:val="24"/>
          <w:lang w:eastAsia="lv-LV"/>
        </w:rPr>
        <w:t>aģentūrām</w:t>
      </w:r>
      <w:r w:rsidR="003C40F7" w:rsidRPr="00620DBB">
        <w:rPr>
          <w:rFonts w:eastAsia="Times New Roman" w:cs="Times New Roman"/>
          <w:szCs w:val="24"/>
          <w:lang w:eastAsia="lv-LV"/>
        </w:rPr>
        <w:t xml:space="preserve"> (</w:t>
      </w:r>
      <w:proofErr w:type="spellStart"/>
      <w:r w:rsidR="003C40F7" w:rsidRPr="00620DBB">
        <w:rPr>
          <w:rFonts w:eastAsia="Times New Roman" w:cs="Times New Roman"/>
          <w:i/>
          <w:szCs w:val="24"/>
          <w:lang w:eastAsia="lv-LV"/>
        </w:rPr>
        <w:t>Fitch</w:t>
      </w:r>
      <w:proofErr w:type="spellEnd"/>
      <w:r w:rsidR="003C40F7" w:rsidRPr="00620DBB">
        <w:rPr>
          <w:rFonts w:eastAsia="Times New Roman" w:cs="Times New Roman"/>
          <w:i/>
          <w:szCs w:val="24"/>
          <w:lang w:eastAsia="lv-LV"/>
        </w:rPr>
        <w:t xml:space="preserve">, </w:t>
      </w:r>
      <w:proofErr w:type="spellStart"/>
      <w:r w:rsidR="002D70ED" w:rsidRPr="00620DBB">
        <w:rPr>
          <w:rFonts w:eastAsia="Times New Roman" w:cs="Times New Roman"/>
          <w:i/>
          <w:szCs w:val="24"/>
          <w:lang w:eastAsia="lv-LV"/>
        </w:rPr>
        <w:t>Moody’s</w:t>
      </w:r>
      <w:proofErr w:type="spellEnd"/>
      <w:r w:rsidR="002D70ED" w:rsidRPr="00620DBB">
        <w:rPr>
          <w:rFonts w:eastAsia="Times New Roman" w:cs="Times New Roman"/>
          <w:i/>
          <w:szCs w:val="24"/>
          <w:lang w:eastAsia="lv-LV"/>
        </w:rPr>
        <w:t>, S&amp;P</w:t>
      </w:r>
      <w:r w:rsidR="003C40F7" w:rsidRPr="00620DBB">
        <w:rPr>
          <w:rFonts w:eastAsia="Times New Roman" w:cs="Times New Roman"/>
          <w:szCs w:val="24"/>
          <w:lang w:eastAsia="lv-LV"/>
        </w:rPr>
        <w:t>)</w:t>
      </w:r>
      <w:r w:rsidRPr="00620DBB">
        <w:rPr>
          <w:rFonts w:eastAsia="Times New Roman" w:cs="Times New Roman"/>
          <w:szCs w:val="24"/>
          <w:lang w:eastAsia="lv-LV"/>
        </w:rPr>
        <w:t>.</w:t>
      </w:r>
      <w:r w:rsidR="00382674" w:rsidRPr="00620DBB">
        <w:rPr>
          <w:rFonts w:eastAsia="Times New Roman" w:cs="Times New Roman"/>
          <w:szCs w:val="24"/>
          <w:lang w:eastAsia="lv-LV"/>
        </w:rPr>
        <w:t xml:space="preserve"> </w:t>
      </w:r>
    </w:p>
    <w:p w14:paraId="3F1A80D8" w14:textId="77777777" w:rsidR="00650DD5" w:rsidRPr="00620DBB" w:rsidRDefault="00865FC9" w:rsidP="004B3996">
      <w:pPr>
        <w:spacing w:before="60" w:after="60" w:line="264" w:lineRule="auto"/>
        <w:ind w:firstLine="720"/>
        <w:jc w:val="both"/>
        <w:rPr>
          <w:rFonts w:eastAsia="Times New Roman" w:cs="Times New Roman"/>
          <w:szCs w:val="24"/>
          <w:lang w:eastAsia="lv-LV"/>
        </w:rPr>
      </w:pPr>
      <w:r w:rsidRPr="00620DBB">
        <w:rPr>
          <w:rFonts w:eastAsia="Times New Roman" w:cs="Times New Roman"/>
          <w:szCs w:val="24"/>
          <w:lang w:eastAsia="lv-LV"/>
        </w:rPr>
        <w:t>Kiprai piešķirtā aizdevuma</w:t>
      </w:r>
      <w:r w:rsidR="00AA565A" w:rsidRPr="00620DBB">
        <w:rPr>
          <w:rFonts w:eastAsia="Times New Roman" w:cs="Times New Roman"/>
          <w:szCs w:val="24"/>
          <w:lang w:eastAsia="lv-LV"/>
        </w:rPr>
        <w:t xml:space="preserve"> atlikusī nominālvērtība 2018.g</w:t>
      </w:r>
      <w:r w:rsidR="00382674" w:rsidRPr="00620DBB">
        <w:rPr>
          <w:rFonts w:eastAsia="Times New Roman" w:cs="Times New Roman"/>
          <w:szCs w:val="24"/>
          <w:lang w:eastAsia="lv-LV"/>
        </w:rPr>
        <w:t>ada 3</w:t>
      </w:r>
      <w:r w:rsidR="00AA565A" w:rsidRPr="00620DBB">
        <w:rPr>
          <w:rFonts w:eastAsia="Times New Roman" w:cs="Times New Roman"/>
          <w:szCs w:val="24"/>
          <w:lang w:eastAsia="lv-LV"/>
        </w:rPr>
        <w:t>1.</w:t>
      </w:r>
      <w:r w:rsidR="00382674" w:rsidRPr="00620DBB">
        <w:rPr>
          <w:rFonts w:eastAsia="Times New Roman" w:cs="Times New Roman"/>
          <w:szCs w:val="24"/>
          <w:lang w:eastAsia="lv-LV"/>
        </w:rPr>
        <w:t xml:space="preserve">decembrī ir 6,3 mljrd. </w:t>
      </w:r>
      <w:proofErr w:type="spellStart"/>
      <w:r w:rsidR="00382674" w:rsidRPr="00620DBB">
        <w:rPr>
          <w:rFonts w:eastAsia="Times New Roman" w:cs="Times New Roman"/>
          <w:i/>
          <w:szCs w:val="24"/>
          <w:lang w:eastAsia="lv-LV"/>
        </w:rPr>
        <w:t>euro</w:t>
      </w:r>
      <w:proofErr w:type="spellEnd"/>
      <w:r w:rsidR="003A2FFA" w:rsidRPr="00620DBB">
        <w:rPr>
          <w:rFonts w:eastAsia="Times New Roman" w:cs="Times New Roman"/>
          <w:szCs w:val="24"/>
          <w:lang w:eastAsia="lv-LV"/>
        </w:rPr>
        <w:t xml:space="preserve">, </w:t>
      </w:r>
      <w:r w:rsidR="006A13FF" w:rsidRPr="00620DBB">
        <w:rPr>
          <w:rFonts w:eastAsia="Times New Roman" w:cs="Times New Roman"/>
          <w:szCs w:val="24"/>
          <w:lang w:eastAsia="lv-LV"/>
        </w:rPr>
        <w:t xml:space="preserve">un </w:t>
      </w:r>
      <w:r w:rsidRPr="00620DBB">
        <w:rPr>
          <w:rFonts w:eastAsia="Times New Roman" w:cs="Times New Roman"/>
          <w:szCs w:val="24"/>
          <w:lang w:eastAsia="lv-LV"/>
        </w:rPr>
        <w:t>pēc</w:t>
      </w:r>
      <w:r w:rsidR="003A2FFA" w:rsidRPr="00620DBB">
        <w:rPr>
          <w:rFonts w:eastAsia="Times New Roman" w:cs="Times New Roman"/>
          <w:szCs w:val="24"/>
          <w:lang w:eastAsia="lv-LV"/>
        </w:rPr>
        <w:t>-</w:t>
      </w:r>
      <w:r w:rsidRPr="00620DBB">
        <w:rPr>
          <w:rFonts w:eastAsia="Times New Roman" w:cs="Times New Roman"/>
          <w:szCs w:val="24"/>
          <w:lang w:eastAsia="lv-LV"/>
        </w:rPr>
        <w:t>programmas uzraudzības misijās secināts, ka pastāv zems risks, ka Kipra nespēs nodrošināt ESM aizdevuma atmaksu.</w:t>
      </w:r>
    </w:p>
    <w:p w14:paraId="76CDAD5D" w14:textId="77777777" w:rsidR="00593D13" w:rsidRPr="00620DBB" w:rsidRDefault="00475EBE" w:rsidP="000B1FC7">
      <w:pPr>
        <w:pStyle w:val="ListParagraph"/>
        <w:numPr>
          <w:ilvl w:val="1"/>
          <w:numId w:val="14"/>
        </w:numPr>
        <w:spacing w:before="240" w:after="120"/>
        <w:contextualSpacing w:val="0"/>
        <w:jc w:val="center"/>
        <w:rPr>
          <w:b/>
        </w:rPr>
      </w:pPr>
      <w:r w:rsidRPr="00620DBB">
        <w:rPr>
          <w:rFonts w:eastAsia="Times New Roman" w:cs="Times New Roman"/>
          <w:b/>
          <w:szCs w:val="24"/>
          <w:lang w:eastAsia="lv-LV"/>
        </w:rPr>
        <w:t xml:space="preserve"> </w:t>
      </w:r>
      <w:r w:rsidR="00D43DE7" w:rsidRPr="00620DBB">
        <w:rPr>
          <w:rFonts w:eastAsia="Times New Roman" w:cs="Times New Roman"/>
          <w:b/>
          <w:szCs w:val="24"/>
          <w:lang w:eastAsia="lv-LV"/>
        </w:rPr>
        <w:t>Finansiālās palīdzības programma Spānijai</w:t>
      </w:r>
    </w:p>
    <w:p w14:paraId="4B80D341" w14:textId="77777777" w:rsidR="000C45E9" w:rsidRPr="00620DBB" w:rsidRDefault="00D826B4" w:rsidP="00603D6D">
      <w:pPr>
        <w:spacing w:before="60" w:after="60" w:line="264" w:lineRule="auto"/>
        <w:ind w:firstLine="720"/>
        <w:jc w:val="both"/>
        <w:rPr>
          <w:rFonts w:eastAsia="Times New Roman" w:cs="Times New Roman"/>
          <w:szCs w:val="24"/>
          <w:lang w:eastAsia="lv-LV"/>
        </w:rPr>
      </w:pPr>
      <w:r w:rsidRPr="00620DBB">
        <w:t xml:space="preserve">Spānijas programma ilga līdz </w:t>
      </w:r>
      <w:r w:rsidR="007B04A8" w:rsidRPr="00620DBB">
        <w:t xml:space="preserve">2013.gada </w:t>
      </w:r>
      <w:r w:rsidR="008364B0" w:rsidRPr="00620DBB">
        <w:t>dec</w:t>
      </w:r>
      <w:r w:rsidR="006A1A20" w:rsidRPr="00620DBB">
        <w:t>em</w:t>
      </w:r>
      <w:r w:rsidR="008364B0" w:rsidRPr="00620DBB">
        <w:t>br</w:t>
      </w:r>
      <w:r w:rsidRPr="00620DBB">
        <w:t>im</w:t>
      </w:r>
      <w:r w:rsidR="007805C2" w:rsidRPr="00620DBB">
        <w:t>, ar m</w:t>
      </w:r>
      <w:r w:rsidR="000C45E9" w:rsidRPr="00620DBB">
        <w:t>ēr</w:t>
      </w:r>
      <w:r w:rsidR="007805C2" w:rsidRPr="00620DBB">
        <w:t xml:space="preserve">ķi </w:t>
      </w:r>
      <w:r w:rsidR="007B04A8" w:rsidRPr="00620DBB">
        <w:t xml:space="preserve">i) </w:t>
      </w:r>
      <w:r w:rsidR="008364B0" w:rsidRPr="00620DBB">
        <w:t xml:space="preserve">atjaunot banku kapitāla pietiekamību un </w:t>
      </w:r>
      <w:r w:rsidR="007B04A8" w:rsidRPr="00620DBB">
        <w:t xml:space="preserve">ii) </w:t>
      </w:r>
      <w:r w:rsidR="008364B0" w:rsidRPr="00620DBB">
        <w:t xml:space="preserve">izveidot ietvaru problemātisko aktīvu pārvaldībai, kā arī </w:t>
      </w:r>
      <w:r w:rsidR="007B04A8" w:rsidRPr="00620DBB">
        <w:t xml:space="preserve">iii) </w:t>
      </w:r>
      <w:r w:rsidR="008364B0" w:rsidRPr="00620DBB">
        <w:t>uzlabot banku pārraudzību un regulējumu.</w:t>
      </w:r>
      <w:r w:rsidR="009C2FBF" w:rsidRPr="00620DBB">
        <w:t xml:space="preserve"> </w:t>
      </w:r>
      <w:r w:rsidR="00603D6D" w:rsidRPr="00620DBB">
        <w:t>Šobrīd</w:t>
      </w:r>
      <w:r w:rsidR="000C45E9" w:rsidRPr="00620DBB">
        <w:t xml:space="preserve"> Spānija ir pakļa</w:t>
      </w:r>
      <w:r w:rsidR="00603D6D" w:rsidRPr="00620DBB">
        <w:t xml:space="preserve">uta pēc-programmas uzraudzības posmam, </w:t>
      </w:r>
      <w:r w:rsidR="00603D6D" w:rsidRPr="00620DBB">
        <w:rPr>
          <w:rFonts w:cs="Times New Roman"/>
          <w:szCs w:val="24"/>
        </w:rPr>
        <w:t>līdz brīdim, kad tiks atmaksāti 75% no izsniegtā aizdevumu apjoma.</w:t>
      </w:r>
      <w:r w:rsidR="00603D6D" w:rsidRPr="00620DBB">
        <w:rPr>
          <w:rFonts w:eastAsia="Times New Roman" w:cs="Times New Roman"/>
          <w:szCs w:val="24"/>
          <w:lang w:eastAsia="lv-LV"/>
        </w:rPr>
        <w:t xml:space="preserve"> </w:t>
      </w:r>
    </w:p>
    <w:p w14:paraId="283531DE" w14:textId="6B35E996" w:rsidR="00B06664" w:rsidRPr="00620DBB" w:rsidRDefault="00A35C89" w:rsidP="00B06664">
      <w:pPr>
        <w:spacing w:before="60" w:after="60" w:line="264" w:lineRule="auto"/>
        <w:ind w:firstLine="720"/>
        <w:jc w:val="both"/>
      </w:pPr>
      <w:r w:rsidRPr="00620DBB">
        <w:t>Pateicoties ekonomikas un nekustamā īpašuma tirgus atveseļošanai</w:t>
      </w:r>
      <w:r w:rsidR="00B46A65" w:rsidRPr="00620DBB">
        <w:t>,</w:t>
      </w:r>
      <w:r w:rsidRPr="00620DBB">
        <w:t xml:space="preserve"> </w:t>
      </w:r>
      <w:r w:rsidR="0076340D" w:rsidRPr="00620DBB">
        <w:t>2018.gadā Spānijas bankas uzlaboja savu re</w:t>
      </w:r>
      <w:r w:rsidRPr="00620DBB">
        <w:t xml:space="preserve">ntabilitāti un aktīvu kvalitāti. </w:t>
      </w:r>
      <w:r w:rsidR="00B06664" w:rsidRPr="00620DBB">
        <w:t>Valsts budžeta deficīts, neskatoties uz 2018.gada jūnijā notikušo valdības maiņu, samazinājās līdz 2,5% no IKP. Bezdarba līmenis samazinājās līdz 14,5%, bet jop</w:t>
      </w:r>
      <w:r w:rsidR="003738C6" w:rsidRPr="00620DBB">
        <w:t>rojām saglabāja</w:t>
      </w:r>
      <w:r w:rsidR="00B06664" w:rsidRPr="00620DBB">
        <w:t xml:space="preserve">s krietni virs </w:t>
      </w:r>
      <w:proofErr w:type="spellStart"/>
      <w:r w:rsidR="00B06664" w:rsidRPr="00620DBB">
        <w:rPr>
          <w:i/>
        </w:rPr>
        <w:t>euro</w:t>
      </w:r>
      <w:proofErr w:type="spellEnd"/>
      <w:r w:rsidR="00B06664" w:rsidRPr="00620DBB">
        <w:t xml:space="preserve"> zonas vidējā rādītāja.</w:t>
      </w:r>
      <w:r w:rsidR="00D61857" w:rsidRPr="00620DBB">
        <w:t xml:space="preserve"> 2</w:t>
      </w:r>
      <w:r w:rsidR="00BC1502" w:rsidRPr="00620DBB">
        <w:t xml:space="preserve">018. gadā </w:t>
      </w:r>
      <w:r w:rsidR="000443F9" w:rsidRPr="00620DBB">
        <w:t>valsts parāda līmenis bija</w:t>
      </w:r>
      <w:r w:rsidR="00BC1502" w:rsidRPr="00620DBB">
        <w:t xml:space="preserve"> 97,1</w:t>
      </w:r>
      <w:r w:rsidR="00D61857" w:rsidRPr="00620DBB">
        <w:t>%</w:t>
      </w:r>
      <w:r w:rsidR="000443F9" w:rsidRPr="00620DBB">
        <w:t>, lai gan pēdējos gados mazinās,</w:t>
      </w:r>
      <w:r w:rsidR="00D61857" w:rsidRPr="00620DBB">
        <w:t xml:space="preserve"> </w:t>
      </w:r>
      <w:r w:rsidR="00B06664" w:rsidRPr="00620DBB">
        <w:t xml:space="preserve">tas joprojām </w:t>
      </w:r>
      <w:r w:rsidR="00BC1502" w:rsidRPr="00620DBB">
        <w:t>saglabājas</w:t>
      </w:r>
      <w:r w:rsidR="00B06664" w:rsidRPr="00620DBB">
        <w:t xml:space="preserve"> augsts</w:t>
      </w:r>
      <w:r w:rsidR="00D61857" w:rsidRPr="00620DBB">
        <w:t>.</w:t>
      </w:r>
    </w:p>
    <w:p w14:paraId="3514BC52" w14:textId="1BB5925D" w:rsidR="007E110C" w:rsidRPr="00620DBB" w:rsidRDefault="00305DC0" w:rsidP="00196E53">
      <w:pPr>
        <w:spacing w:before="60" w:after="60" w:line="264" w:lineRule="auto"/>
        <w:ind w:firstLine="720"/>
        <w:jc w:val="both"/>
      </w:pPr>
      <w:r w:rsidRPr="00620DBB">
        <w:t xml:space="preserve">Spānija 2018. gadā </w:t>
      </w:r>
      <w:r w:rsidR="00D61857" w:rsidRPr="00620DBB">
        <w:t xml:space="preserve">ir </w:t>
      </w:r>
      <w:r w:rsidRPr="00620DBB">
        <w:t>veikusi t</w:t>
      </w:r>
      <w:r w:rsidR="00564783" w:rsidRPr="00620DBB">
        <w:t xml:space="preserve">rīs </w:t>
      </w:r>
      <w:r w:rsidRPr="00620DBB">
        <w:t xml:space="preserve">priekšlaicīgus </w:t>
      </w:r>
      <w:r w:rsidR="00564783" w:rsidRPr="00620DBB">
        <w:t>maks</w:t>
      </w:r>
      <w:r w:rsidRPr="00620DBB">
        <w:t>ājumus ESM</w:t>
      </w:r>
      <w:r w:rsidR="00564783" w:rsidRPr="00620DBB">
        <w:t xml:space="preserve"> </w:t>
      </w:r>
      <w:r w:rsidR="000443F9" w:rsidRPr="00620DBB">
        <w:t xml:space="preserve">kopsummā </w:t>
      </w:r>
      <w:r w:rsidR="00564783" w:rsidRPr="00620DBB">
        <w:t xml:space="preserve">8 mljrd. </w:t>
      </w:r>
      <w:proofErr w:type="spellStart"/>
      <w:r w:rsidR="00564783" w:rsidRPr="00620DBB">
        <w:rPr>
          <w:i/>
        </w:rPr>
        <w:t>euro</w:t>
      </w:r>
      <w:proofErr w:type="spellEnd"/>
      <w:r w:rsidR="00564783" w:rsidRPr="00620DBB">
        <w:t xml:space="preserve"> </w:t>
      </w:r>
      <w:r w:rsidR="000443F9" w:rsidRPr="00620DBB">
        <w:t>apmērā</w:t>
      </w:r>
      <w:r w:rsidR="00D61857" w:rsidRPr="00620DBB">
        <w:t>, un k</w:t>
      </w:r>
      <w:r w:rsidR="005A2D2E" w:rsidRPr="00620DBB">
        <w:t xml:space="preserve">opš 2014.gada </w:t>
      </w:r>
      <w:r w:rsidR="00564783" w:rsidRPr="00620DBB">
        <w:t>kopumā</w:t>
      </w:r>
      <w:r w:rsidR="005A2D2E" w:rsidRPr="00620DBB">
        <w:t xml:space="preserve"> </w:t>
      </w:r>
      <w:r w:rsidRPr="00620DBB">
        <w:t xml:space="preserve">ir veikusi </w:t>
      </w:r>
      <w:r w:rsidR="005A2D2E" w:rsidRPr="00620DBB">
        <w:t>deviņus brīvprātīgus priekšlaicīgus maksājumus</w:t>
      </w:r>
      <w:r w:rsidR="00564783" w:rsidRPr="00620DBB">
        <w:t xml:space="preserve">. </w:t>
      </w:r>
      <w:r w:rsidR="00F859CE" w:rsidRPr="00620DBB">
        <w:t>ESM i</w:t>
      </w:r>
      <w:r w:rsidR="00B06664" w:rsidRPr="00620DBB">
        <w:t>zsniegtā aizdevuma ne</w:t>
      </w:r>
      <w:r w:rsidR="004960EF" w:rsidRPr="00620DBB">
        <w:t>atmaksāt</w:t>
      </w:r>
      <w:r w:rsidR="00B06664" w:rsidRPr="00620DBB">
        <w:t xml:space="preserve">ā summa </w:t>
      </w:r>
      <w:r w:rsidR="00C81D2D" w:rsidRPr="00620DBB">
        <w:t xml:space="preserve">uz </w:t>
      </w:r>
      <w:r w:rsidR="004960EF" w:rsidRPr="00620DBB">
        <w:t>2018.gada 31.</w:t>
      </w:r>
      <w:r w:rsidR="00C81D2D" w:rsidRPr="00620DBB">
        <w:t>decembri veido 23,7 mljrd.</w:t>
      </w:r>
      <w:r w:rsidR="00B06664" w:rsidRPr="00620DBB">
        <w:t xml:space="preserve"> </w:t>
      </w:r>
      <w:proofErr w:type="spellStart"/>
      <w:r w:rsidR="00B06664" w:rsidRPr="00620DBB">
        <w:rPr>
          <w:i/>
        </w:rPr>
        <w:t>euro</w:t>
      </w:r>
      <w:proofErr w:type="spellEnd"/>
      <w:r w:rsidR="005E160B" w:rsidRPr="00620DBB">
        <w:t>.</w:t>
      </w:r>
    </w:p>
    <w:p w14:paraId="778971CC" w14:textId="77777777" w:rsidR="002239E0" w:rsidRPr="00620DBB" w:rsidRDefault="0070151F" w:rsidP="00D87B51">
      <w:pPr>
        <w:spacing w:before="240" w:after="120"/>
        <w:ind w:firstLine="567"/>
        <w:jc w:val="center"/>
        <w:rPr>
          <w:rFonts w:eastAsia="Times New Roman" w:cs="Times New Roman"/>
          <w:b/>
          <w:szCs w:val="24"/>
          <w:lang w:eastAsia="lv-LV"/>
        </w:rPr>
      </w:pPr>
      <w:r w:rsidRPr="00620DBB">
        <w:rPr>
          <w:rFonts w:eastAsia="Times New Roman" w:cs="Times New Roman"/>
          <w:b/>
          <w:szCs w:val="24"/>
          <w:lang w:eastAsia="lv-LV"/>
        </w:rPr>
        <w:t xml:space="preserve">2.3. </w:t>
      </w:r>
      <w:r w:rsidR="002239E0" w:rsidRPr="00620DBB">
        <w:rPr>
          <w:rFonts w:eastAsia="Times New Roman" w:cs="Times New Roman"/>
          <w:b/>
          <w:szCs w:val="24"/>
          <w:lang w:eastAsia="lv-LV"/>
        </w:rPr>
        <w:t>Finansiālās palīdzības programma Grieķijai</w:t>
      </w:r>
    </w:p>
    <w:p w14:paraId="6EDFA168" w14:textId="45D0E213" w:rsidR="009930A8" w:rsidRPr="00620DBB" w:rsidRDefault="00640508" w:rsidP="004B3996">
      <w:pPr>
        <w:spacing w:before="60" w:after="60" w:line="264" w:lineRule="auto"/>
        <w:ind w:firstLine="720"/>
        <w:jc w:val="both"/>
        <w:rPr>
          <w:rFonts w:eastAsia="Times New Roman" w:cs="Times New Roman"/>
          <w:kern w:val="24"/>
          <w:szCs w:val="24"/>
        </w:rPr>
      </w:pPr>
      <w:r w:rsidRPr="00620DBB">
        <w:rPr>
          <w:rFonts w:eastAsia="Calibri" w:cs="Times New Roman"/>
          <w:kern w:val="24"/>
          <w:szCs w:val="24"/>
        </w:rPr>
        <w:t xml:space="preserve">2018.gada augustā Grieķija noslēdza 2015.gadā uzsākto ESM atbalsta programmu, </w:t>
      </w:r>
      <w:r w:rsidR="000A0264" w:rsidRPr="00620DBB">
        <w:rPr>
          <w:rFonts w:eastAsia="Calibri" w:cs="Times New Roman"/>
          <w:kern w:val="24"/>
          <w:szCs w:val="24"/>
        </w:rPr>
        <w:t>izmantojot aizdevumu</w:t>
      </w:r>
      <w:r w:rsidRPr="00620DBB">
        <w:rPr>
          <w:rFonts w:eastAsia="Calibri" w:cs="Times New Roman"/>
          <w:kern w:val="24"/>
          <w:szCs w:val="24"/>
        </w:rPr>
        <w:t xml:space="preserve"> 61,9 mljrd. </w:t>
      </w:r>
      <w:proofErr w:type="spellStart"/>
      <w:r w:rsidRPr="00620DBB">
        <w:rPr>
          <w:rFonts w:eastAsia="Calibri" w:cs="Times New Roman"/>
          <w:i/>
          <w:kern w:val="24"/>
          <w:szCs w:val="24"/>
        </w:rPr>
        <w:t>euro</w:t>
      </w:r>
      <w:proofErr w:type="spellEnd"/>
      <w:r w:rsidR="006B3A51" w:rsidRPr="00620DBB">
        <w:rPr>
          <w:rFonts w:eastAsia="Calibri" w:cs="Times New Roman"/>
          <w:kern w:val="24"/>
          <w:szCs w:val="24"/>
        </w:rPr>
        <w:t xml:space="preserve"> apmērā.</w:t>
      </w:r>
      <w:r w:rsidR="00AD6689" w:rsidRPr="00620DBB">
        <w:rPr>
          <w:rFonts w:eastAsia="Calibri" w:cs="Times New Roman"/>
          <w:kern w:val="24"/>
          <w:szCs w:val="24"/>
        </w:rPr>
        <w:t xml:space="preserve"> </w:t>
      </w:r>
      <w:r w:rsidR="00557EFA" w:rsidRPr="00620DBB">
        <w:rPr>
          <w:rFonts w:eastAsia="Times New Roman" w:cs="Times New Roman"/>
          <w:kern w:val="24"/>
          <w:szCs w:val="24"/>
        </w:rPr>
        <w:t>Programmas mērķis bija</w:t>
      </w:r>
      <w:r w:rsidR="00D92A93" w:rsidRPr="00620DBB">
        <w:rPr>
          <w:rFonts w:eastAsia="Times New Roman" w:cs="Times New Roman"/>
          <w:kern w:val="24"/>
          <w:szCs w:val="24"/>
        </w:rPr>
        <w:t xml:space="preserve"> ieviest</w:t>
      </w:r>
      <w:r w:rsidR="002239E0" w:rsidRPr="00620DBB">
        <w:rPr>
          <w:rFonts w:eastAsia="Times New Roman" w:cs="Times New Roman"/>
          <w:kern w:val="24"/>
          <w:szCs w:val="24"/>
        </w:rPr>
        <w:t xml:space="preserve"> </w:t>
      </w:r>
      <w:r w:rsidR="00D92A93" w:rsidRPr="00620DBB">
        <w:rPr>
          <w:rFonts w:eastAsia="Times New Roman" w:cs="Times New Roman"/>
          <w:kern w:val="24"/>
          <w:szCs w:val="24"/>
        </w:rPr>
        <w:t xml:space="preserve">reformas </w:t>
      </w:r>
      <w:r w:rsidR="002239E0" w:rsidRPr="00620DBB">
        <w:rPr>
          <w:rFonts w:eastAsia="Times New Roman" w:cs="Times New Roman"/>
          <w:kern w:val="24"/>
          <w:szCs w:val="24"/>
        </w:rPr>
        <w:t>četr</w:t>
      </w:r>
      <w:r w:rsidR="00D92A93" w:rsidRPr="00620DBB">
        <w:rPr>
          <w:rFonts w:eastAsia="Times New Roman" w:cs="Times New Roman"/>
          <w:kern w:val="24"/>
          <w:szCs w:val="24"/>
        </w:rPr>
        <w:t>o</w:t>
      </w:r>
      <w:r w:rsidR="002239E0" w:rsidRPr="00620DBB">
        <w:rPr>
          <w:rFonts w:eastAsia="Times New Roman" w:cs="Times New Roman"/>
          <w:kern w:val="24"/>
          <w:szCs w:val="24"/>
        </w:rPr>
        <w:t xml:space="preserve">s </w:t>
      </w:r>
      <w:r w:rsidR="00992B5B" w:rsidRPr="00620DBB">
        <w:rPr>
          <w:rFonts w:eastAsia="Times New Roman" w:cs="Times New Roman"/>
          <w:kern w:val="24"/>
          <w:szCs w:val="24"/>
        </w:rPr>
        <w:t>nozīmīgos virzieno</w:t>
      </w:r>
      <w:r w:rsidR="00303D5F" w:rsidRPr="00620DBB">
        <w:rPr>
          <w:rFonts w:eastAsia="Times New Roman" w:cs="Times New Roman"/>
          <w:kern w:val="24"/>
          <w:szCs w:val="24"/>
        </w:rPr>
        <w:t xml:space="preserve">s i) </w:t>
      </w:r>
      <w:r w:rsidR="009524FE" w:rsidRPr="00620DBB">
        <w:rPr>
          <w:rFonts w:eastAsia="Calibri" w:cs="Times New Roman"/>
          <w:szCs w:val="24"/>
          <w:lang w:eastAsia="lv-LV"/>
        </w:rPr>
        <w:t>fiskālās ilgtspējas atjaunošana,</w:t>
      </w:r>
      <w:r w:rsidR="00F84EEA" w:rsidRPr="00620DBB">
        <w:rPr>
          <w:rFonts w:eastAsia="Calibri" w:cs="Times New Roman"/>
          <w:szCs w:val="24"/>
          <w:lang w:eastAsia="lv-LV"/>
        </w:rPr>
        <w:t xml:space="preserve"> </w:t>
      </w:r>
      <w:r w:rsidR="00303D5F" w:rsidRPr="00620DBB">
        <w:rPr>
          <w:rFonts w:eastAsia="Calibri" w:cs="Times New Roman"/>
          <w:szCs w:val="24"/>
          <w:lang w:eastAsia="lv-LV"/>
        </w:rPr>
        <w:t xml:space="preserve">ii) </w:t>
      </w:r>
      <w:r w:rsidR="002239E0" w:rsidRPr="00620DBB">
        <w:rPr>
          <w:rFonts w:eastAsia="Calibri" w:cs="Times New Roman"/>
          <w:szCs w:val="24"/>
          <w:lang w:eastAsia="lv-LV"/>
        </w:rPr>
        <w:t>fin</w:t>
      </w:r>
      <w:r w:rsidR="00D91CBE" w:rsidRPr="00620DBB">
        <w:rPr>
          <w:rFonts w:eastAsia="Calibri" w:cs="Times New Roman"/>
          <w:szCs w:val="24"/>
          <w:lang w:eastAsia="lv-LV"/>
        </w:rPr>
        <w:t>anšu stabilitātes nodrošināšana</w:t>
      </w:r>
      <w:r w:rsidR="009524FE" w:rsidRPr="00620DBB">
        <w:rPr>
          <w:rFonts w:eastAsia="Calibri" w:cs="Times New Roman"/>
          <w:szCs w:val="24"/>
          <w:lang w:eastAsia="lv-LV"/>
        </w:rPr>
        <w:t>,</w:t>
      </w:r>
      <w:r w:rsidR="00303D5F" w:rsidRPr="00620DBB">
        <w:rPr>
          <w:rFonts w:eastAsia="Calibri" w:cs="Times New Roman"/>
          <w:szCs w:val="24"/>
          <w:lang w:eastAsia="lv-LV"/>
        </w:rPr>
        <w:t xml:space="preserve"> iii</w:t>
      </w:r>
      <w:r w:rsidR="00D91CBE" w:rsidRPr="00620DBB">
        <w:rPr>
          <w:rFonts w:eastAsia="Calibri" w:cs="Times New Roman"/>
          <w:szCs w:val="24"/>
          <w:lang w:eastAsia="lv-LV"/>
        </w:rPr>
        <w:t xml:space="preserve">) </w:t>
      </w:r>
      <w:r w:rsidR="004333B1" w:rsidRPr="00620DBB">
        <w:rPr>
          <w:rFonts w:eastAsia="Calibri" w:cs="Times New Roman"/>
          <w:szCs w:val="24"/>
          <w:lang w:eastAsia="lv-LV"/>
        </w:rPr>
        <w:t>izaugsmes</w:t>
      </w:r>
      <w:r w:rsidR="00C660D3" w:rsidRPr="00620DBB">
        <w:rPr>
          <w:rFonts w:eastAsia="Calibri" w:cs="Times New Roman"/>
          <w:szCs w:val="24"/>
          <w:lang w:eastAsia="lv-LV"/>
        </w:rPr>
        <w:t xml:space="preserve"> un konkurētspējas veicināšana</w:t>
      </w:r>
      <w:r w:rsidR="009524FE" w:rsidRPr="00620DBB">
        <w:rPr>
          <w:rFonts w:eastAsia="Calibri" w:cs="Times New Roman"/>
          <w:szCs w:val="24"/>
          <w:lang w:eastAsia="lv-LV"/>
        </w:rPr>
        <w:t>,</w:t>
      </w:r>
      <w:r w:rsidR="00303D5F" w:rsidRPr="00620DBB">
        <w:rPr>
          <w:rFonts w:eastAsia="Calibri" w:cs="Times New Roman"/>
          <w:szCs w:val="24"/>
          <w:lang w:eastAsia="lv-LV"/>
        </w:rPr>
        <w:t xml:space="preserve"> iv</w:t>
      </w:r>
      <w:r w:rsidR="00D91CBE" w:rsidRPr="00620DBB">
        <w:rPr>
          <w:rFonts w:eastAsia="Calibri" w:cs="Times New Roman"/>
          <w:szCs w:val="24"/>
          <w:lang w:eastAsia="lv-LV"/>
        </w:rPr>
        <w:t xml:space="preserve">) </w:t>
      </w:r>
      <w:r w:rsidR="002239E0" w:rsidRPr="00620DBB">
        <w:rPr>
          <w:rFonts w:eastAsia="Times New Roman" w:cs="Times New Roman"/>
          <w:kern w:val="24"/>
          <w:szCs w:val="24"/>
        </w:rPr>
        <w:t>valsts pārvaldes uzlabošana.</w:t>
      </w:r>
      <w:r w:rsidR="00AA2CE8" w:rsidRPr="00620DBB">
        <w:rPr>
          <w:rFonts w:eastAsia="Times New Roman" w:cs="Times New Roman"/>
          <w:kern w:val="24"/>
          <w:szCs w:val="24"/>
        </w:rPr>
        <w:t xml:space="preserve"> </w:t>
      </w:r>
      <w:r w:rsidR="00BC5CBC" w:rsidRPr="00620DBB">
        <w:t xml:space="preserve">Pēc programmas noslēgšanās Grieķijā ir uzsākta </w:t>
      </w:r>
      <w:r w:rsidR="00BC5CBC" w:rsidRPr="00620DBB">
        <w:rPr>
          <w:rFonts w:eastAsia="Times New Roman" w:cs="Times New Roman"/>
          <w:kern w:val="24"/>
          <w:szCs w:val="24"/>
        </w:rPr>
        <w:t>pastiprināta</w:t>
      </w:r>
      <w:r w:rsidR="00A6252B" w:rsidRPr="00620DBB">
        <w:rPr>
          <w:rFonts w:eastAsia="Times New Roman" w:cs="Times New Roman"/>
          <w:kern w:val="24"/>
          <w:szCs w:val="24"/>
        </w:rPr>
        <w:t xml:space="preserve"> </w:t>
      </w:r>
      <w:r w:rsidR="00BC5CBC" w:rsidRPr="00620DBB">
        <w:rPr>
          <w:rFonts w:eastAsia="Times New Roman" w:cs="Times New Roman"/>
          <w:kern w:val="24"/>
          <w:szCs w:val="24"/>
        </w:rPr>
        <w:t xml:space="preserve">pēc-programmas </w:t>
      </w:r>
      <w:r w:rsidR="001A2456" w:rsidRPr="00620DBB">
        <w:rPr>
          <w:rFonts w:eastAsia="Times New Roman" w:cs="Times New Roman"/>
          <w:kern w:val="24"/>
          <w:szCs w:val="24"/>
        </w:rPr>
        <w:t>uzraudzība</w:t>
      </w:r>
      <w:r w:rsidR="007A1D60" w:rsidRPr="00620DBB">
        <w:rPr>
          <w:rFonts w:eastAsia="Times New Roman" w:cs="Times New Roman"/>
          <w:kern w:val="24"/>
          <w:szCs w:val="24"/>
        </w:rPr>
        <w:t>,</w:t>
      </w:r>
      <w:r w:rsidR="0023328D" w:rsidRPr="00620DBB">
        <w:rPr>
          <w:rFonts w:eastAsia="Times New Roman" w:cs="Times New Roman"/>
          <w:kern w:val="24"/>
          <w:szCs w:val="24"/>
        </w:rPr>
        <w:t xml:space="preserve"> un katru ceturksni </w:t>
      </w:r>
      <w:r w:rsidR="000A0264" w:rsidRPr="00620DBB">
        <w:rPr>
          <w:rFonts w:eastAsia="Times New Roman" w:cs="Times New Roman"/>
          <w:kern w:val="24"/>
          <w:szCs w:val="24"/>
        </w:rPr>
        <w:t>Eiropas Komisija p</w:t>
      </w:r>
      <w:r w:rsidR="0023328D" w:rsidRPr="00620DBB">
        <w:rPr>
          <w:rFonts w:eastAsia="Times New Roman" w:cs="Times New Roman"/>
          <w:kern w:val="24"/>
          <w:szCs w:val="24"/>
        </w:rPr>
        <w:t>ublic</w:t>
      </w:r>
      <w:r w:rsidR="000A0264" w:rsidRPr="00620DBB">
        <w:rPr>
          <w:rFonts w:eastAsia="Times New Roman" w:cs="Times New Roman"/>
          <w:kern w:val="24"/>
          <w:szCs w:val="24"/>
        </w:rPr>
        <w:t>ē</w:t>
      </w:r>
      <w:r w:rsidR="0023328D" w:rsidRPr="00620DBB">
        <w:rPr>
          <w:rFonts w:eastAsia="Times New Roman" w:cs="Times New Roman"/>
          <w:kern w:val="24"/>
          <w:szCs w:val="24"/>
        </w:rPr>
        <w:t xml:space="preserve"> </w:t>
      </w:r>
      <w:r w:rsidR="000A0264" w:rsidRPr="00620DBB">
        <w:rPr>
          <w:rFonts w:eastAsia="Times New Roman" w:cs="Times New Roman"/>
          <w:kern w:val="24"/>
          <w:szCs w:val="24"/>
        </w:rPr>
        <w:t>uzraudzības ziņojumus</w:t>
      </w:r>
      <w:r w:rsidR="0023328D" w:rsidRPr="00620DBB">
        <w:rPr>
          <w:rFonts w:eastAsia="Times New Roman" w:cs="Times New Roman"/>
          <w:kern w:val="24"/>
          <w:szCs w:val="24"/>
        </w:rPr>
        <w:t xml:space="preserve">, </w:t>
      </w:r>
      <w:r w:rsidR="00265EF8" w:rsidRPr="00620DBB">
        <w:rPr>
          <w:rFonts w:eastAsia="Times New Roman" w:cs="Times New Roman"/>
          <w:kern w:val="24"/>
          <w:szCs w:val="24"/>
        </w:rPr>
        <w:t xml:space="preserve">lai </w:t>
      </w:r>
      <w:r w:rsidR="000A0264" w:rsidRPr="00620DBB">
        <w:rPr>
          <w:rFonts w:eastAsia="Times New Roman" w:cs="Times New Roman"/>
          <w:kern w:val="24"/>
          <w:szCs w:val="24"/>
        </w:rPr>
        <w:t>novērtētu</w:t>
      </w:r>
      <w:r w:rsidR="00FA76C8" w:rsidRPr="00620DBB">
        <w:rPr>
          <w:rFonts w:eastAsia="Times New Roman" w:cs="Times New Roman"/>
          <w:kern w:val="24"/>
          <w:szCs w:val="24"/>
        </w:rPr>
        <w:t xml:space="preserve"> </w:t>
      </w:r>
      <w:r w:rsidR="00265EF8" w:rsidRPr="00620DBB">
        <w:rPr>
          <w:rFonts w:eastAsia="Times New Roman" w:cs="Times New Roman"/>
          <w:kern w:val="24"/>
          <w:szCs w:val="24"/>
        </w:rPr>
        <w:t xml:space="preserve">pieņemto reformu </w:t>
      </w:r>
      <w:r w:rsidR="00FA76C8" w:rsidRPr="00620DBB">
        <w:rPr>
          <w:rFonts w:eastAsia="Times New Roman" w:cs="Times New Roman"/>
          <w:kern w:val="24"/>
          <w:szCs w:val="24"/>
        </w:rPr>
        <w:t>īstenošanu atbilstoši</w:t>
      </w:r>
      <w:r w:rsidR="00265EF8" w:rsidRPr="00620DBB">
        <w:rPr>
          <w:rFonts w:eastAsia="Times New Roman" w:cs="Times New Roman"/>
          <w:kern w:val="24"/>
          <w:szCs w:val="24"/>
        </w:rPr>
        <w:t xml:space="preserve"> saistībām</w:t>
      </w:r>
      <w:r w:rsidR="00FA76C8" w:rsidRPr="00620DBB">
        <w:rPr>
          <w:rFonts w:eastAsia="Times New Roman" w:cs="Times New Roman"/>
          <w:kern w:val="24"/>
          <w:szCs w:val="24"/>
        </w:rPr>
        <w:t>.</w:t>
      </w:r>
      <w:r w:rsidR="0023328D" w:rsidRPr="00620DBB">
        <w:rPr>
          <w:rFonts w:eastAsia="Times New Roman" w:cs="Times New Roman"/>
          <w:kern w:val="24"/>
          <w:szCs w:val="24"/>
        </w:rPr>
        <w:t xml:space="preserve"> </w:t>
      </w:r>
    </w:p>
    <w:p w14:paraId="14400E31" w14:textId="77777777" w:rsidR="00B04CBB" w:rsidRPr="00620DBB" w:rsidRDefault="00B04CBB" w:rsidP="004B3996">
      <w:pPr>
        <w:spacing w:before="60" w:after="60" w:line="264" w:lineRule="auto"/>
        <w:ind w:firstLine="720"/>
        <w:jc w:val="both"/>
        <w:rPr>
          <w:rFonts w:eastAsia="Times New Roman" w:cs="Times New Roman"/>
          <w:kern w:val="24"/>
          <w:szCs w:val="24"/>
        </w:rPr>
      </w:pPr>
      <w:r w:rsidRPr="00620DBB">
        <w:rPr>
          <w:rFonts w:eastAsia="Times New Roman" w:cs="Times New Roman"/>
          <w:kern w:val="24"/>
          <w:szCs w:val="24"/>
        </w:rPr>
        <w:t>Finanšu palīdzības izmaksa Grieķijai tika nodrošināta atsevišķās daļās</w:t>
      </w:r>
      <w:r w:rsidR="00057128" w:rsidRPr="00620DBB">
        <w:rPr>
          <w:rFonts w:eastAsia="Times New Roman" w:cs="Times New Roman"/>
          <w:kern w:val="24"/>
          <w:szCs w:val="24"/>
        </w:rPr>
        <w:t>,</w:t>
      </w:r>
      <w:r w:rsidRPr="00620DBB">
        <w:rPr>
          <w:rFonts w:eastAsia="Times New Roman" w:cs="Times New Roman"/>
          <w:kern w:val="24"/>
          <w:szCs w:val="24"/>
        </w:rPr>
        <w:t xml:space="preserve"> un katra maksājuma izmaksa bija atkarīga no apstiprināto nosacījumu izpildes. 2018.gadā ESM Grieķijai </w:t>
      </w:r>
      <w:r w:rsidR="00057128" w:rsidRPr="00620DBB">
        <w:rPr>
          <w:rFonts w:eastAsia="Times New Roman" w:cs="Times New Roman"/>
          <w:kern w:val="24"/>
          <w:szCs w:val="24"/>
        </w:rPr>
        <w:t>izsniedza</w:t>
      </w:r>
      <w:r w:rsidRPr="00620DBB">
        <w:rPr>
          <w:rFonts w:eastAsia="Times New Roman" w:cs="Times New Roman"/>
          <w:kern w:val="24"/>
          <w:szCs w:val="24"/>
        </w:rPr>
        <w:t xml:space="preserve"> pēdējos trīs aizdevuma maksājumus 21,7 mljrd. </w:t>
      </w:r>
      <w:proofErr w:type="spellStart"/>
      <w:r w:rsidRPr="00620DBB">
        <w:rPr>
          <w:rFonts w:eastAsia="Times New Roman" w:cs="Times New Roman"/>
          <w:i/>
          <w:kern w:val="24"/>
          <w:szCs w:val="24"/>
        </w:rPr>
        <w:t>euro</w:t>
      </w:r>
      <w:proofErr w:type="spellEnd"/>
      <w:r w:rsidR="007A1D60" w:rsidRPr="00620DBB">
        <w:rPr>
          <w:rFonts w:eastAsia="Times New Roman" w:cs="Times New Roman"/>
          <w:i/>
          <w:kern w:val="24"/>
          <w:szCs w:val="24"/>
        </w:rPr>
        <w:t xml:space="preserve"> </w:t>
      </w:r>
      <w:r w:rsidR="007A1D60" w:rsidRPr="00620DBB">
        <w:rPr>
          <w:rFonts w:eastAsia="Times New Roman" w:cs="Times New Roman"/>
          <w:kern w:val="24"/>
          <w:szCs w:val="24"/>
        </w:rPr>
        <w:t>apmērā</w:t>
      </w:r>
      <w:r w:rsidRPr="00620DBB">
        <w:rPr>
          <w:rFonts w:eastAsia="Times New Roman" w:cs="Times New Roman"/>
          <w:kern w:val="24"/>
          <w:szCs w:val="24"/>
        </w:rPr>
        <w:t>.</w:t>
      </w:r>
    </w:p>
    <w:p w14:paraId="786D2791" w14:textId="1CA77E7F" w:rsidR="0003320B" w:rsidRPr="00620DBB" w:rsidRDefault="007D1C2E" w:rsidP="00173195">
      <w:pPr>
        <w:spacing w:before="60" w:after="60" w:line="264" w:lineRule="auto"/>
        <w:ind w:firstLine="720"/>
        <w:jc w:val="both"/>
        <w:rPr>
          <w:rFonts w:eastAsia="Times New Roman" w:cs="Times New Roman"/>
          <w:kern w:val="24"/>
          <w:szCs w:val="24"/>
        </w:rPr>
      </w:pPr>
      <w:r w:rsidRPr="00620DBB">
        <w:rPr>
          <w:rFonts w:eastAsia="Times New Roman" w:cs="Times New Roman"/>
          <w:kern w:val="24"/>
          <w:szCs w:val="24"/>
        </w:rPr>
        <w:t>Panākto</w:t>
      </w:r>
      <w:r w:rsidR="006D7475" w:rsidRPr="00620DBB">
        <w:rPr>
          <w:rFonts w:eastAsia="Times New Roman" w:cs="Times New Roman"/>
          <w:kern w:val="24"/>
          <w:szCs w:val="24"/>
        </w:rPr>
        <w:t xml:space="preserve"> progresu </w:t>
      </w:r>
      <w:r w:rsidR="006A16B0" w:rsidRPr="00620DBB">
        <w:rPr>
          <w:rFonts w:eastAsia="Times New Roman" w:cs="Times New Roman"/>
          <w:kern w:val="24"/>
          <w:szCs w:val="24"/>
        </w:rPr>
        <w:t xml:space="preserve">2018.gadā </w:t>
      </w:r>
      <w:r w:rsidR="006D7475" w:rsidRPr="00620DBB">
        <w:rPr>
          <w:rFonts w:eastAsia="Times New Roman" w:cs="Times New Roman"/>
          <w:kern w:val="24"/>
          <w:szCs w:val="24"/>
        </w:rPr>
        <w:t>apstiprina Grieķijas ekonomisko rādītāju uzlabošanās.</w:t>
      </w:r>
      <w:r w:rsidR="00173195" w:rsidRPr="00620DBB">
        <w:rPr>
          <w:rFonts w:eastAsia="Times New Roman" w:cs="Times New Roman"/>
          <w:kern w:val="24"/>
          <w:szCs w:val="24"/>
        </w:rPr>
        <w:t xml:space="preserve"> </w:t>
      </w:r>
      <w:r w:rsidR="007145BE" w:rsidRPr="00620DBB">
        <w:rPr>
          <w:rFonts w:eastAsia="Times New Roman" w:cs="Times New Roman"/>
          <w:kern w:val="24"/>
          <w:szCs w:val="24"/>
        </w:rPr>
        <w:t xml:space="preserve">2017.gadā bija vērojama </w:t>
      </w:r>
      <w:r w:rsidR="00E87F67" w:rsidRPr="00620DBB">
        <w:rPr>
          <w:rFonts w:eastAsia="Times New Roman" w:cs="Times New Roman"/>
          <w:kern w:val="24"/>
          <w:szCs w:val="24"/>
        </w:rPr>
        <w:t xml:space="preserve">ekonomiskā </w:t>
      </w:r>
      <w:r w:rsidR="007145BE" w:rsidRPr="00620DBB">
        <w:rPr>
          <w:rFonts w:eastAsia="Times New Roman" w:cs="Times New Roman"/>
          <w:kern w:val="24"/>
          <w:szCs w:val="24"/>
        </w:rPr>
        <w:t>izaugsme, kas turpinājās arī 2018.gad</w:t>
      </w:r>
      <w:r w:rsidR="007327DE" w:rsidRPr="00620DBB">
        <w:rPr>
          <w:rFonts w:eastAsia="Times New Roman" w:cs="Times New Roman"/>
          <w:kern w:val="24"/>
          <w:szCs w:val="24"/>
        </w:rPr>
        <w:t>ā, IKP tempam palielinoties par 1,9%</w:t>
      </w:r>
      <w:r w:rsidR="00F21FCB" w:rsidRPr="00620DBB">
        <w:rPr>
          <w:rFonts w:eastAsia="Times New Roman" w:cs="Times New Roman"/>
          <w:kern w:val="24"/>
          <w:szCs w:val="24"/>
        </w:rPr>
        <w:t>, ko galvenokārt veicināja eksporta un privātā patēriņa pieaugums</w:t>
      </w:r>
      <w:r w:rsidR="006D7475" w:rsidRPr="00620DBB">
        <w:rPr>
          <w:rFonts w:eastAsia="Times New Roman" w:cs="Times New Roman"/>
          <w:kern w:val="24"/>
          <w:szCs w:val="24"/>
        </w:rPr>
        <w:t xml:space="preserve">. Paredzams, </w:t>
      </w:r>
      <w:r w:rsidR="0046422B" w:rsidRPr="00620DBB">
        <w:rPr>
          <w:rFonts w:eastAsia="Times New Roman" w:cs="Times New Roman"/>
          <w:kern w:val="24"/>
          <w:szCs w:val="24"/>
        </w:rPr>
        <w:t xml:space="preserve">ka IKP pieaugums 2019. un </w:t>
      </w:r>
      <w:r w:rsidR="0038519E" w:rsidRPr="00620DBB">
        <w:rPr>
          <w:rFonts w:eastAsia="Times New Roman" w:cs="Times New Roman"/>
          <w:kern w:val="24"/>
          <w:szCs w:val="24"/>
        </w:rPr>
        <w:t>2020.gadā ik gadu sasniegs 2,3</w:t>
      </w:r>
      <w:r w:rsidR="0046422B" w:rsidRPr="00620DBB">
        <w:rPr>
          <w:rFonts w:eastAsia="Times New Roman" w:cs="Times New Roman"/>
          <w:kern w:val="24"/>
          <w:szCs w:val="24"/>
        </w:rPr>
        <w:t xml:space="preserve">% un to galvenokārt </w:t>
      </w:r>
      <w:r w:rsidR="00AB128C" w:rsidRPr="00620DBB">
        <w:rPr>
          <w:rFonts w:eastAsia="Times New Roman" w:cs="Times New Roman"/>
          <w:kern w:val="24"/>
          <w:szCs w:val="24"/>
        </w:rPr>
        <w:t>stimulēs</w:t>
      </w:r>
      <w:r w:rsidR="0046422B" w:rsidRPr="00620DBB">
        <w:rPr>
          <w:rFonts w:eastAsia="Times New Roman" w:cs="Times New Roman"/>
          <w:kern w:val="24"/>
          <w:szCs w:val="24"/>
        </w:rPr>
        <w:t xml:space="preserve"> iekšzemes pieprasījums.</w:t>
      </w:r>
      <w:r w:rsidR="00173195" w:rsidRPr="00620DBB">
        <w:rPr>
          <w:rFonts w:eastAsia="Times New Roman" w:cs="Times New Roman"/>
          <w:kern w:val="24"/>
          <w:szCs w:val="24"/>
        </w:rPr>
        <w:t xml:space="preserve"> </w:t>
      </w:r>
      <w:r w:rsidR="00E730BC" w:rsidRPr="00620DBB">
        <w:rPr>
          <w:rFonts w:eastAsia="Times New Roman" w:cs="Times New Roman"/>
          <w:kern w:val="24"/>
          <w:szCs w:val="24"/>
        </w:rPr>
        <w:t>Lai gan bezdarba līmenis</w:t>
      </w:r>
      <w:r w:rsidR="00E87F67" w:rsidRPr="00620DBB">
        <w:rPr>
          <w:rFonts w:eastAsia="Times New Roman" w:cs="Times New Roman"/>
          <w:kern w:val="24"/>
          <w:szCs w:val="24"/>
        </w:rPr>
        <w:t xml:space="preserve"> joprojām saglabājas </w:t>
      </w:r>
      <w:r w:rsidR="00E730BC" w:rsidRPr="00620DBB">
        <w:rPr>
          <w:rFonts w:eastAsia="Times New Roman" w:cs="Times New Roman"/>
          <w:kern w:val="24"/>
          <w:szCs w:val="24"/>
        </w:rPr>
        <w:t xml:space="preserve">augsts, 2018.gada beigās tas ir samazinājies </w:t>
      </w:r>
      <w:r w:rsidR="004D1073" w:rsidRPr="00620DBB">
        <w:rPr>
          <w:rFonts w:eastAsia="Times New Roman" w:cs="Times New Roman"/>
          <w:kern w:val="24"/>
          <w:szCs w:val="24"/>
        </w:rPr>
        <w:t>līdz 18,4%.</w:t>
      </w:r>
      <w:r w:rsidR="007739F3" w:rsidRPr="00620DBB">
        <w:t xml:space="preserve"> </w:t>
      </w:r>
      <w:r w:rsidR="007739F3" w:rsidRPr="00620DBB">
        <w:rPr>
          <w:rFonts w:eastAsia="Times New Roman" w:cs="Times New Roman"/>
          <w:kern w:val="24"/>
          <w:szCs w:val="24"/>
        </w:rPr>
        <w:t>Darba tirgū arī turpmāk tiek prognozēti uzlabojumi un</w:t>
      </w:r>
      <w:r w:rsidR="007739F3" w:rsidRPr="00620DBB">
        <w:t xml:space="preserve"> </w:t>
      </w:r>
      <w:r w:rsidR="007739F3" w:rsidRPr="00620DBB">
        <w:rPr>
          <w:rFonts w:eastAsia="Times New Roman" w:cs="Times New Roman"/>
          <w:kern w:val="24"/>
          <w:szCs w:val="24"/>
        </w:rPr>
        <w:t>paredzēta detalizēta uzraudzība, lai novērtētu nesenās</w:t>
      </w:r>
      <w:r w:rsidR="00E87F67" w:rsidRPr="00620DBB">
        <w:rPr>
          <w:rFonts w:eastAsia="Times New Roman" w:cs="Times New Roman"/>
          <w:kern w:val="24"/>
          <w:szCs w:val="24"/>
        </w:rPr>
        <w:t xml:space="preserve"> minimālās algas palielināšanas </w:t>
      </w:r>
      <w:r w:rsidR="007739F3" w:rsidRPr="00620DBB">
        <w:rPr>
          <w:rFonts w:eastAsia="Times New Roman" w:cs="Times New Roman"/>
          <w:kern w:val="24"/>
          <w:szCs w:val="24"/>
        </w:rPr>
        <w:t>ietekmi uz darba tirgus atveseļošanās tempu.</w:t>
      </w:r>
      <w:r w:rsidR="00173195" w:rsidRPr="00620DBB">
        <w:rPr>
          <w:rFonts w:eastAsia="Times New Roman" w:cs="Times New Roman"/>
          <w:kern w:val="24"/>
          <w:szCs w:val="24"/>
        </w:rPr>
        <w:t xml:space="preserve"> </w:t>
      </w:r>
      <w:r w:rsidR="007A356C" w:rsidRPr="00620DBB">
        <w:rPr>
          <w:rFonts w:eastAsia="Times New Roman" w:cs="Times New Roman"/>
          <w:kern w:val="24"/>
          <w:szCs w:val="24"/>
        </w:rPr>
        <w:t xml:space="preserve">Grieķijas fiskālā bilance ievērojami uzlabojusies no </w:t>
      </w:r>
      <w:r w:rsidR="00CD16CE" w:rsidRPr="00620DBB">
        <w:rPr>
          <w:rFonts w:eastAsia="Times New Roman" w:cs="Times New Roman"/>
          <w:kern w:val="24"/>
          <w:szCs w:val="24"/>
        </w:rPr>
        <w:t>15,1%</w:t>
      </w:r>
      <w:r w:rsidRPr="00620DBB">
        <w:rPr>
          <w:rFonts w:eastAsia="Times New Roman" w:cs="Times New Roman"/>
          <w:kern w:val="24"/>
          <w:szCs w:val="24"/>
        </w:rPr>
        <w:t xml:space="preserve"> </w:t>
      </w:r>
      <w:r w:rsidR="0023328D" w:rsidRPr="00620DBB">
        <w:rPr>
          <w:rFonts w:eastAsia="Times New Roman" w:cs="Times New Roman"/>
          <w:kern w:val="24"/>
          <w:szCs w:val="24"/>
        </w:rPr>
        <w:t>deficīta</w:t>
      </w:r>
      <w:r w:rsidR="00CD16CE" w:rsidRPr="00620DBB">
        <w:rPr>
          <w:rFonts w:eastAsia="Times New Roman" w:cs="Times New Roman"/>
          <w:kern w:val="24"/>
          <w:szCs w:val="24"/>
        </w:rPr>
        <w:t xml:space="preserve"> </w:t>
      </w:r>
      <w:r w:rsidR="00DE54D9" w:rsidRPr="00620DBB">
        <w:rPr>
          <w:rFonts w:eastAsia="Times New Roman" w:cs="Times New Roman"/>
          <w:kern w:val="24"/>
          <w:szCs w:val="24"/>
        </w:rPr>
        <w:t>2009.</w:t>
      </w:r>
      <w:r w:rsidR="007A356C" w:rsidRPr="00620DBB">
        <w:rPr>
          <w:rFonts w:eastAsia="Times New Roman" w:cs="Times New Roman"/>
          <w:kern w:val="24"/>
          <w:szCs w:val="24"/>
        </w:rPr>
        <w:t xml:space="preserve">gadā līdz </w:t>
      </w:r>
      <w:r w:rsidR="00DE54D9" w:rsidRPr="00620DBB">
        <w:rPr>
          <w:rFonts w:eastAsia="Times New Roman" w:cs="Times New Roman"/>
          <w:kern w:val="24"/>
          <w:szCs w:val="24"/>
        </w:rPr>
        <w:t>budžeta pārpalikumam kopš 2016.</w:t>
      </w:r>
      <w:r w:rsidR="007A356C" w:rsidRPr="00620DBB">
        <w:rPr>
          <w:rFonts w:eastAsia="Times New Roman" w:cs="Times New Roman"/>
          <w:kern w:val="24"/>
          <w:szCs w:val="24"/>
        </w:rPr>
        <w:t xml:space="preserve">gada. </w:t>
      </w:r>
      <w:r w:rsidR="00CD16CE" w:rsidRPr="00620DBB">
        <w:rPr>
          <w:rFonts w:eastAsia="Times New Roman" w:cs="Times New Roman"/>
          <w:kern w:val="24"/>
          <w:szCs w:val="24"/>
        </w:rPr>
        <w:t>Primārais budžeta</w:t>
      </w:r>
      <w:r w:rsidR="0073785B" w:rsidRPr="00620DBB">
        <w:rPr>
          <w:rFonts w:eastAsia="Times New Roman" w:cs="Times New Roman"/>
          <w:kern w:val="24"/>
          <w:szCs w:val="24"/>
        </w:rPr>
        <w:t xml:space="preserve"> pārpalikums </w:t>
      </w:r>
      <w:r w:rsidR="00CD16CE" w:rsidRPr="00620DBB">
        <w:rPr>
          <w:rFonts w:eastAsia="Times New Roman" w:cs="Times New Roman"/>
          <w:kern w:val="24"/>
          <w:szCs w:val="24"/>
        </w:rPr>
        <w:t>2018.gadā sasniedza 4,3%,</w:t>
      </w:r>
      <w:r w:rsidR="0046422B" w:rsidRPr="00620DBB">
        <w:t xml:space="preserve"> </w:t>
      </w:r>
      <w:r w:rsidR="0046422B" w:rsidRPr="00620DBB">
        <w:rPr>
          <w:rFonts w:eastAsia="Times New Roman" w:cs="Times New Roman"/>
          <w:kern w:val="24"/>
          <w:szCs w:val="24"/>
        </w:rPr>
        <w:t>pārsniedzot noteikto primāro pārpalikuma mērķ</w:t>
      </w:r>
      <w:r w:rsidR="00DF74E9" w:rsidRPr="00620DBB">
        <w:rPr>
          <w:rFonts w:eastAsia="Times New Roman" w:cs="Times New Roman"/>
          <w:kern w:val="24"/>
          <w:szCs w:val="24"/>
        </w:rPr>
        <w:t>i</w:t>
      </w:r>
      <w:r w:rsidR="0046422B" w:rsidRPr="00620DBB">
        <w:rPr>
          <w:rFonts w:eastAsia="Times New Roman" w:cs="Times New Roman"/>
          <w:kern w:val="24"/>
          <w:szCs w:val="24"/>
        </w:rPr>
        <w:t xml:space="preserve"> 3,5</w:t>
      </w:r>
      <w:r w:rsidR="0073785B" w:rsidRPr="00620DBB">
        <w:rPr>
          <w:rFonts w:eastAsia="Times New Roman" w:cs="Times New Roman"/>
          <w:kern w:val="24"/>
          <w:szCs w:val="24"/>
        </w:rPr>
        <w:t>% apmērā no IKP, kas saistāms ar investīciju projektu kavējumiem.</w:t>
      </w:r>
      <w:r w:rsidR="00173195" w:rsidRPr="00620DBB">
        <w:rPr>
          <w:rFonts w:eastAsia="Times New Roman" w:cs="Times New Roman"/>
          <w:kern w:val="24"/>
          <w:szCs w:val="24"/>
        </w:rPr>
        <w:t xml:space="preserve"> </w:t>
      </w:r>
      <w:r w:rsidR="00E57B97" w:rsidRPr="00620DBB">
        <w:rPr>
          <w:rFonts w:eastAsia="Times New Roman" w:cs="Times New Roman"/>
          <w:kern w:val="24"/>
          <w:szCs w:val="24"/>
        </w:rPr>
        <w:t>Grieķijas parāds 2018.ga</w:t>
      </w:r>
      <w:r w:rsidR="00E730BC" w:rsidRPr="00620DBB">
        <w:rPr>
          <w:rFonts w:eastAsia="Times New Roman" w:cs="Times New Roman"/>
          <w:kern w:val="24"/>
          <w:szCs w:val="24"/>
        </w:rPr>
        <w:t xml:space="preserve">dā joprojām saglabājās augsts </w:t>
      </w:r>
      <w:r w:rsidR="00E57B97" w:rsidRPr="00620DBB">
        <w:rPr>
          <w:rFonts w:eastAsia="Times New Roman" w:cs="Times New Roman"/>
          <w:kern w:val="24"/>
          <w:szCs w:val="24"/>
        </w:rPr>
        <w:t xml:space="preserve">181,1% no IKP, kas būtiski pārsniedz Māstrihtas </w:t>
      </w:r>
      <w:r w:rsidR="00E730BC" w:rsidRPr="00620DBB">
        <w:rPr>
          <w:rFonts w:eastAsia="Times New Roman" w:cs="Times New Roman"/>
          <w:kern w:val="24"/>
          <w:szCs w:val="24"/>
        </w:rPr>
        <w:t>līgumā noteikt</w:t>
      </w:r>
      <w:r w:rsidR="00B04CBB" w:rsidRPr="00620DBB">
        <w:rPr>
          <w:rFonts w:eastAsia="Times New Roman" w:cs="Times New Roman"/>
          <w:kern w:val="24"/>
          <w:szCs w:val="24"/>
        </w:rPr>
        <w:t>os</w:t>
      </w:r>
      <w:r w:rsidR="00E57B97" w:rsidRPr="00620DBB">
        <w:rPr>
          <w:rFonts w:eastAsia="Times New Roman" w:cs="Times New Roman"/>
          <w:kern w:val="24"/>
          <w:szCs w:val="24"/>
        </w:rPr>
        <w:t xml:space="preserve"> 60% no IKP. </w:t>
      </w:r>
      <w:r w:rsidR="003A7D77" w:rsidRPr="00620DBB">
        <w:rPr>
          <w:rFonts w:eastAsia="Times New Roman" w:cs="Times New Roman"/>
          <w:kern w:val="24"/>
          <w:szCs w:val="24"/>
        </w:rPr>
        <w:t xml:space="preserve">Tomēr parāda </w:t>
      </w:r>
      <w:proofErr w:type="spellStart"/>
      <w:r w:rsidR="003A7D77" w:rsidRPr="00620DBB">
        <w:rPr>
          <w:rFonts w:eastAsia="Times New Roman" w:cs="Times New Roman"/>
          <w:kern w:val="24"/>
          <w:szCs w:val="24"/>
        </w:rPr>
        <w:t>atmaksājamības</w:t>
      </w:r>
      <w:proofErr w:type="spellEnd"/>
      <w:r w:rsidR="003A7D77" w:rsidRPr="00620DBB">
        <w:rPr>
          <w:rFonts w:eastAsia="Times New Roman" w:cs="Times New Roman"/>
          <w:kern w:val="24"/>
          <w:szCs w:val="24"/>
        </w:rPr>
        <w:t xml:space="preserve"> novērtējums </w:t>
      </w:r>
      <w:r w:rsidR="00E730BC" w:rsidRPr="00620DBB">
        <w:rPr>
          <w:rFonts w:eastAsia="Times New Roman" w:cs="Times New Roman"/>
          <w:kern w:val="24"/>
          <w:szCs w:val="24"/>
        </w:rPr>
        <w:t xml:space="preserve">ir stabils un </w:t>
      </w:r>
      <w:r w:rsidR="00E57B97" w:rsidRPr="00620DBB">
        <w:rPr>
          <w:rFonts w:eastAsia="Times New Roman" w:cs="Times New Roman"/>
          <w:kern w:val="24"/>
          <w:szCs w:val="24"/>
        </w:rPr>
        <w:t xml:space="preserve">tiek </w:t>
      </w:r>
      <w:r w:rsidR="003A7D77" w:rsidRPr="00620DBB">
        <w:rPr>
          <w:rFonts w:eastAsia="Times New Roman" w:cs="Times New Roman"/>
          <w:kern w:val="24"/>
          <w:szCs w:val="24"/>
        </w:rPr>
        <w:t xml:space="preserve">prognozēts, ka parāda līmenis </w:t>
      </w:r>
      <w:r w:rsidR="00E730BC" w:rsidRPr="00620DBB">
        <w:rPr>
          <w:rFonts w:eastAsia="Times New Roman" w:cs="Times New Roman"/>
          <w:kern w:val="24"/>
          <w:szCs w:val="24"/>
        </w:rPr>
        <w:t>mazināsies.</w:t>
      </w:r>
    </w:p>
    <w:p w14:paraId="0E93E79B" w14:textId="18F78C8A" w:rsidR="00380BC8" w:rsidRPr="00620DBB" w:rsidRDefault="00380BC8" w:rsidP="00173195">
      <w:pPr>
        <w:spacing w:before="60" w:after="60" w:line="264" w:lineRule="auto"/>
        <w:ind w:firstLine="720"/>
        <w:jc w:val="both"/>
        <w:rPr>
          <w:rFonts w:eastAsia="Times New Roman" w:cs="Times New Roman"/>
          <w:kern w:val="24"/>
          <w:szCs w:val="24"/>
        </w:rPr>
      </w:pPr>
      <w:r w:rsidRPr="00620DBB">
        <w:rPr>
          <w:rFonts w:eastAsia="Times New Roman" w:cs="Times New Roman"/>
          <w:kern w:val="24"/>
          <w:szCs w:val="24"/>
        </w:rPr>
        <w:t xml:space="preserve"> </w:t>
      </w:r>
      <w:r w:rsidR="004410F8" w:rsidRPr="00620DBB">
        <w:rPr>
          <w:rFonts w:eastAsia="Times New Roman" w:cs="Times New Roman"/>
          <w:kern w:val="24"/>
          <w:szCs w:val="24"/>
        </w:rPr>
        <w:t>2018.gada 22.</w:t>
      </w:r>
      <w:r w:rsidR="001F7A49" w:rsidRPr="00620DBB">
        <w:rPr>
          <w:rFonts w:eastAsia="Times New Roman" w:cs="Times New Roman"/>
          <w:kern w:val="24"/>
          <w:szCs w:val="24"/>
        </w:rPr>
        <w:t xml:space="preserve">jūnija </w:t>
      </w:r>
      <w:proofErr w:type="spellStart"/>
      <w:r w:rsidR="001F7A49" w:rsidRPr="00620DBB">
        <w:rPr>
          <w:rFonts w:eastAsia="Times New Roman" w:cs="Times New Roman"/>
          <w:i/>
          <w:kern w:val="24"/>
          <w:szCs w:val="24"/>
        </w:rPr>
        <w:t>Eu</w:t>
      </w:r>
      <w:r w:rsidRPr="00620DBB">
        <w:rPr>
          <w:rFonts w:eastAsia="Times New Roman" w:cs="Times New Roman"/>
          <w:i/>
          <w:kern w:val="24"/>
          <w:szCs w:val="24"/>
        </w:rPr>
        <w:t>ro</w:t>
      </w:r>
      <w:proofErr w:type="spellEnd"/>
      <w:r w:rsidR="001F7A49" w:rsidRPr="00620DBB">
        <w:rPr>
          <w:rFonts w:eastAsia="Times New Roman" w:cs="Times New Roman"/>
          <w:i/>
          <w:kern w:val="24"/>
          <w:szCs w:val="24"/>
        </w:rPr>
        <w:t xml:space="preserve"> </w:t>
      </w:r>
      <w:r w:rsidRPr="00620DBB">
        <w:rPr>
          <w:rFonts w:eastAsia="Times New Roman" w:cs="Times New Roman"/>
          <w:kern w:val="24"/>
          <w:szCs w:val="24"/>
        </w:rPr>
        <w:t>grupā tika panākta vienošanās</w:t>
      </w:r>
      <w:r w:rsidR="004410F8" w:rsidRPr="00620DBB">
        <w:rPr>
          <w:rFonts w:eastAsia="Times New Roman" w:cs="Times New Roman"/>
          <w:kern w:val="24"/>
          <w:szCs w:val="24"/>
        </w:rPr>
        <w:t xml:space="preserve"> par</w:t>
      </w:r>
      <w:r w:rsidRPr="00620DBB">
        <w:rPr>
          <w:rFonts w:eastAsia="Times New Roman" w:cs="Times New Roman"/>
          <w:kern w:val="24"/>
          <w:szCs w:val="24"/>
        </w:rPr>
        <w:t xml:space="preserve"> Grieķijas parāda sa</w:t>
      </w:r>
      <w:r w:rsidR="004410F8" w:rsidRPr="00620DBB">
        <w:rPr>
          <w:rFonts w:eastAsia="Times New Roman" w:cs="Times New Roman"/>
          <w:kern w:val="24"/>
          <w:szCs w:val="24"/>
        </w:rPr>
        <w:t>mazināšanas pasākumiem, kas tiks veikti</w:t>
      </w:r>
      <w:r w:rsidRPr="00620DBB">
        <w:rPr>
          <w:rFonts w:eastAsia="Times New Roman" w:cs="Times New Roman"/>
          <w:kern w:val="24"/>
          <w:szCs w:val="24"/>
        </w:rPr>
        <w:t xml:space="preserve"> Gri</w:t>
      </w:r>
      <w:r w:rsidR="006D7378" w:rsidRPr="00620DBB">
        <w:rPr>
          <w:rFonts w:eastAsia="Times New Roman" w:cs="Times New Roman"/>
          <w:kern w:val="24"/>
          <w:szCs w:val="24"/>
        </w:rPr>
        <w:t>eķijai reizi pusgadā līdz 2022.</w:t>
      </w:r>
      <w:r w:rsidRPr="00620DBB">
        <w:rPr>
          <w:rFonts w:eastAsia="Times New Roman" w:cs="Times New Roman"/>
          <w:kern w:val="24"/>
          <w:szCs w:val="24"/>
        </w:rPr>
        <w:t>gada vidum</w:t>
      </w:r>
      <w:r w:rsidR="004410F8" w:rsidRPr="00620DBB">
        <w:rPr>
          <w:rFonts w:eastAsia="Times New Roman" w:cs="Times New Roman"/>
          <w:kern w:val="24"/>
          <w:szCs w:val="24"/>
        </w:rPr>
        <w:t xml:space="preserve"> (paredzētais reformu ieviešanas termiņš)</w:t>
      </w:r>
      <w:r w:rsidRPr="00620DBB">
        <w:rPr>
          <w:rFonts w:eastAsia="Times New Roman" w:cs="Times New Roman"/>
          <w:kern w:val="24"/>
          <w:szCs w:val="24"/>
        </w:rPr>
        <w:t>, ja Grieķija pildīs savas saistības attiecībā uz reformu nepārtrauktību un pabeigšanu</w:t>
      </w:r>
      <w:r w:rsidR="00ED3F25" w:rsidRPr="00620DBB">
        <w:rPr>
          <w:rFonts w:eastAsia="Times New Roman" w:cs="Times New Roman"/>
          <w:kern w:val="24"/>
          <w:szCs w:val="24"/>
        </w:rPr>
        <w:t>. Pasākumi</w:t>
      </w:r>
      <w:r w:rsidRPr="00620DBB">
        <w:rPr>
          <w:rFonts w:eastAsia="Times New Roman" w:cs="Times New Roman"/>
          <w:kern w:val="24"/>
          <w:szCs w:val="24"/>
        </w:rPr>
        <w:t xml:space="preserve"> ietver: i) </w:t>
      </w:r>
      <w:r w:rsidR="00B421FA" w:rsidRPr="00620DBB">
        <w:rPr>
          <w:rFonts w:eastAsia="Times New Roman" w:cs="Times New Roman"/>
          <w:kern w:val="24"/>
          <w:szCs w:val="24"/>
        </w:rPr>
        <w:t>ekvivalentu</w:t>
      </w:r>
      <w:r w:rsidRPr="00620DBB">
        <w:rPr>
          <w:rFonts w:eastAsia="Times New Roman" w:cs="Times New Roman"/>
          <w:kern w:val="24"/>
          <w:szCs w:val="24"/>
        </w:rPr>
        <w:t xml:space="preserve"> summu atgriešanu, kuras izriet no centrālo banku </w:t>
      </w:r>
      <w:r w:rsidR="008E17B8" w:rsidRPr="00620DBB">
        <w:rPr>
          <w:rFonts w:eastAsia="Times New Roman" w:cs="Times New Roman"/>
          <w:kern w:val="24"/>
          <w:szCs w:val="24"/>
        </w:rPr>
        <w:t xml:space="preserve">turētajām Grieķijas obligācijām </w:t>
      </w:r>
      <w:r w:rsidRPr="00620DBB">
        <w:rPr>
          <w:rFonts w:eastAsia="Times New Roman" w:cs="Times New Roman"/>
          <w:kern w:val="24"/>
          <w:szCs w:val="24"/>
        </w:rPr>
        <w:t>saskaņā ar Vērtspapīru tirgu programmu un Nolīgumu par neto finanšu aktīviem, un ii) atteikšanos no palielinātās procentu likmju starpības daļai aizdevumu, kurus izsniedzis Eiropas f</w:t>
      </w:r>
      <w:r w:rsidR="00D21452" w:rsidRPr="00620DBB">
        <w:rPr>
          <w:rFonts w:eastAsia="Times New Roman" w:cs="Times New Roman"/>
          <w:kern w:val="24"/>
          <w:szCs w:val="24"/>
        </w:rPr>
        <w:t>inanšu stabilitātes instruments</w:t>
      </w:r>
      <w:r w:rsidR="00ED3F25" w:rsidRPr="00620DBB">
        <w:rPr>
          <w:rStyle w:val="FootnoteReference"/>
          <w:rFonts w:eastAsia="Times New Roman" w:cs="Times New Roman"/>
          <w:kern w:val="24"/>
          <w:szCs w:val="24"/>
        </w:rPr>
        <w:footnoteReference w:id="2"/>
      </w:r>
      <w:r w:rsidRPr="00620DBB">
        <w:rPr>
          <w:rFonts w:eastAsia="Times New Roman" w:cs="Times New Roman"/>
          <w:kern w:val="24"/>
          <w:szCs w:val="24"/>
        </w:rPr>
        <w:t>.</w:t>
      </w:r>
    </w:p>
    <w:p w14:paraId="5B28D796" w14:textId="297FBE72" w:rsidR="006D7475" w:rsidRPr="00620DBB" w:rsidRDefault="006D7475" w:rsidP="00480D71">
      <w:pPr>
        <w:spacing w:before="60" w:after="60" w:line="264" w:lineRule="auto"/>
        <w:ind w:firstLine="720"/>
        <w:jc w:val="both"/>
        <w:rPr>
          <w:rFonts w:eastAsia="Times New Roman" w:cs="Times New Roman"/>
          <w:kern w:val="24"/>
          <w:szCs w:val="24"/>
        </w:rPr>
      </w:pPr>
      <w:r w:rsidRPr="00620DBB">
        <w:rPr>
          <w:rFonts w:eastAsia="Times New Roman" w:cs="Times New Roman"/>
          <w:kern w:val="24"/>
          <w:szCs w:val="24"/>
        </w:rPr>
        <w:t>Grieķijai piešķirtā</w:t>
      </w:r>
      <w:r w:rsidR="002E6FC2" w:rsidRPr="00620DBB">
        <w:rPr>
          <w:rFonts w:eastAsia="Times New Roman" w:cs="Times New Roman"/>
          <w:kern w:val="24"/>
          <w:szCs w:val="24"/>
        </w:rPr>
        <w:t xml:space="preserve"> ESM</w:t>
      </w:r>
      <w:r w:rsidRPr="00620DBB">
        <w:rPr>
          <w:rFonts w:eastAsia="Times New Roman" w:cs="Times New Roman"/>
          <w:kern w:val="24"/>
          <w:szCs w:val="24"/>
        </w:rPr>
        <w:t xml:space="preserve"> aizdevuma</w:t>
      </w:r>
      <w:r w:rsidR="00AA565A" w:rsidRPr="00620DBB">
        <w:rPr>
          <w:rFonts w:eastAsia="Times New Roman" w:cs="Times New Roman"/>
          <w:kern w:val="24"/>
          <w:szCs w:val="24"/>
        </w:rPr>
        <w:t xml:space="preserve"> atlikusī nominālvērtība 2018.gada 31.</w:t>
      </w:r>
      <w:r w:rsidRPr="00620DBB">
        <w:rPr>
          <w:rFonts w:eastAsia="Times New Roman" w:cs="Times New Roman"/>
          <w:kern w:val="24"/>
          <w:szCs w:val="24"/>
        </w:rPr>
        <w:t xml:space="preserve">decembrī ir 59,9 mljrd. </w:t>
      </w:r>
      <w:proofErr w:type="spellStart"/>
      <w:r w:rsidRPr="00620DBB">
        <w:rPr>
          <w:rFonts w:eastAsia="Times New Roman" w:cs="Times New Roman"/>
          <w:i/>
          <w:kern w:val="24"/>
          <w:szCs w:val="24"/>
        </w:rPr>
        <w:t>euro</w:t>
      </w:r>
      <w:proofErr w:type="spellEnd"/>
      <w:r w:rsidRPr="00620DBB">
        <w:rPr>
          <w:rFonts w:eastAsia="Times New Roman" w:cs="Times New Roman"/>
          <w:kern w:val="24"/>
          <w:szCs w:val="24"/>
        </w:rPr>
        <w:t>.</w:t>
      </w:r>
    </w:p>
    <w:p w14:paraId="48E36AC3" w14:textId="074FE903" w:rsidR="009A6EAD" w:rsidRPr="00620DBB" w:rsidRDefault="00A76219" w:rsidP="000B1FC7">
      <w:pPr>
        <w:pStyle w:val="ListParagraph"/>
        <w:numPr>
          <w:ilvl w:val="0"/>
          <w:numId w:val="14"/>
        </w:numPr>
        <w:spacing w:before="240" w:after="120" w:line="264" w:lineRule="auto"/>
        <w:jc w:val="center"/>
        <w:rPr>
          <w:rFonts w:eastAsia="Times New Roman" w:cs="Times New Roman"/>
          <w:b/>
          <w:kern w:val="24"/>
          <w:szCs w:val="24"/>
        </w:rPr>
      </w:pPr>
      <w:r w:rsidRPr="00620DBB">
        <w:rPr>
          <w:rFonts w:eastAsia="Times New Roman" w:cs="Times New Roman"/>
          <w:b/>
          <w:kern w:val="24"/>
          <w:szCs w:val="24"/>
        </w:rPr>
        <w:t>ESM reforma</w:t>
      </w:r>
    </w:p>
    <w:p w14:paraId="57838970" w14:textId="77777777" w:rsidR="008333C4" w:rsidRPr="00620DBB" w:rsidRDefault="009A6EAD" w:rsidP="004B3996">
      <w:pPr>
        <w:spacing w:before="120" w:after="120" w:line="264" w:lineRule="auto"/>
        <w:ind w:firstLine="720"/>
        <w:jc w:val="both"/>
        <w:rPr>
          <w:rFonts w:eastAsia="Times New Roman" w:cs="Times New Roman"/>
          <w:szCs w:val="24"/>
          <w:lang w:eastAsia="lv-LV"/>
        </w:rPr>
      </w:pPr>
      <w:r w:rsidRPr="00620DBB">
        <w:rPr>
          <w:rFonts w:eastAsia="Times New Roman" w:cs="Times New Roman"/>
          <w:szCs w:val="24"/>
          <w:lang w:eastAsia="lv-LV"/>
        </w:rPr>
        <w:t xml:space="preserve">2018.gada 14.decembrī notikušajā </w:t>
      </w:r>
      <w:proofErr w:type="spellStart"/>
      <w:r w:rsidRPr="00620DBB">
        <w:rPr>
          <w:rFonts w:eastAsia="Times New Roman" w:cs="Times New Roman"/>
          <w:i/>
          <w:szCs w:val="24"/>
          <w:lang w:eastAsia="lv-LV"/>
        </w:rPr>
        <w:t>Euro</w:t>
      </w:r>
      <w:proofErr w:type="spellEnd"/>
      <w:r w:rsidRPr="00620DBB">
        <w:rPr>
          <w:rFonts w:eastAsia="Times New Roman" w:cs="Times New Roman"/>
          <w:szCs w:val="24"/>
          <w:lang w:eastAsia="lv-LV"/>
        </w:rPr>
        <w:t xml:space="preserve"> samita laikā </w:t>
      </w:r>
      <w:proofErr w:type="spellStart"/>
      <w:r w:rsidRPr="00620DBB">
        <w:rPr>
          <w:rFonts w:eastAsia="Times New Roman" w:cs="Times New Roman"/>
          <w:i/>
          <w:szCs w:val="24"/>
          <w:lang w:eastAsia="lv-LV"/>
        </w:rPr>
        <w:t>euro</w:t>
      </w:r>
      <w:proofErr w:type="spellEnd"/>
      <w:r w:rsidRPr="00620DBB">
        <w:rPr>
          <w:rFonts w:eastAsia="Times New Roman" w:cs="Times New Roman"/>
          <w:szCs w:val="24"/>
          <w:lang w:eastAsia="lv-LV"/>
        </w:rPr>
        <w:t xml:space="preserve"> zonas valstu un valdību vadītāji atbalstīja priekšlikumu kopumu par Eiropas Ekonomikas un monetārās savienības padziļināšanu, kas ietvēra arī ESM lomas stiprināšanu </w:t>
      </w:r>
      <w:proofErr w:type="spellStart"/>
      <w:r w:rsidRPr="00620DBB">
        <w:rPr>
          <w:rFonts w:eastAsia="Times New Roman" w:cs="Times New Roman"/>
          <w:i/>
          <w:szCs w:val="24"/>
          <w:lang w:eastAsia="lv-LV"/>
        </w:rPr>
        <w:t>euro</w:t>
      </w:r>
      <w:proofErr w:type="spellEnd"/>
      <w:r w:rsidRPr="00620DBB">
        <w:rPr>
          <w:rFonts w:eastAsia="Times New Roman" w:cs="Times New Roman"/>
          <w:szCs w:val="24"/>
          <w:lang w:eastAsia="lv-LV"/>
        </w:rPr>
        <w:t xml:space="preserve"> zonas dalībvalstu ekonomisko un</w:t>
      </w:r>
      <w:r w:rsidR="008D010E" w:rsidRPr="00620DBB">
        <w:rPr>
          <w:rFonts w:eastAsia="Times New Roman" w:cs="Times New Roman"/>
          <w:szCs w:val="24"/>
          <w:lang w:eastAsia="lv-LV"/>
        </w:rPr>
        <w:t xml:space="preserve"> finanšu krīžu vadības ietvarā. </w:t>
      </w:r>
      <w:proofErr w:type="spellStart"/>
      <w:r w:rsidR="007F1153" w:rsidRPr="00620DBB">
        <w:rPr>
          <w:rFonts w:eastAsia="Times New Roman" w:cs="Times New Roman"/>
          <w:i/>
          <w:szCs w:val="24"/>
          <w:lang w:eastAsia="lv-LV"/>
        </w:rPr>
        <w:t>Euro</w:t>
      </w:r>
      <w:proofErr w:type="spellEnd"/>
      <w:r w:rsidR="007F1153" w:rsidRPr="00620DBB">
        <w:rPr>
          <w:rFonts w:eastAsia="Times New Roman" w:cs="Times New Roman"/>
          <w:szCs w:val="24"/>
          <w:lang w:eastAsia="lv-LV"/>
        </w:rPr>
        <w:t xml:space="preserve"> samita laikā</w:t>
      </w:r>
      <w:r w:rsidR="00823887" w:rsidRPr="00620DBB">
        <w:rPr>
          <w:rFonts w:eastAsia="Times New Roman" w:cs="Times New Roman"/>
          <w:szCs w:val="24"/>
          <w:lang w:eastAsia="lv-LV"/>
        </w:rPr>
        <w:t xml:space="preserve"> </w:t>
      </w:r>
      <w:r w:rsidR="00B839E7" w:rsidRPr="00620DBB">
        <w:rPr>
          <w:rFonts w:eastAsia="Times New Roman" w:cs="Times New Roman"/>
          <w:szCs w:val="24"/>
          <w:lang w:eastAsia="lv-LV"/>
        </w:rPr>
        <w:t xml:space="preserve">tika panākta vienošanās par </w:t>
      </w:r>
      <w:r w:rsidR="009574EF" w:rsidRPr="00620DBB">
        <w:rPr>
          <w:rFonts w:eastAsia="Times New Roman" w:cs="Times New Roman"/>
          <w:szCs w:val="24"/>
          <w:lang w:eastAsia="lv-LV"/>
        </w:rPr>
        <w:t>vairākiem</w:t>
      </w:r>
      <w:r w:rsidR="00B839E7" w:rsidRPr="00620DBB">
        <w:rPr>
          <w:rFonts w:eastAsia="Times New Roman" w:cs="Times New Roman"/>
          <w:szCs w:val="24"/>
          <w:lang w:eastAsia="lv-LV"/>
        </w:rPr>
        <w:t xml:space="preserve"> būtiskiem </w:t>
      </w:r>
      <w:r w:rsidR="00B64211" w:rsidRPr="00620DBB">
        <w:rPr>
          <w:rFonts w:eastAsia="Times New Roman" w:cs="Times New Roman"/>
          <w:szCs w:val="24"/>
          <w:lang w:eastAsia="lv-LV"/>
        </w:rPr>
        <w:t>jautājumiem</w:t>
      </w:r>
      <w:r w:rsidR="002C0546" w:rsidRPr="00620DBB">
        <w:t xml:space="preserve"> </w:t>
      </w:r>
      <w:r w:rsidR="002C0546" w:rsidRPr="00620DBB">
        <w:rPr>
          <w:rFonts w:eastAsia="Times New Roman" w:cs="Times New Roman"/>
          <w:szCs w:val="24"/>
          <w:lang w:eastAsia="lv-LV"/>
        </w:rPr>
        <w:t>ESM kontekstā</w:t>
      </w:r>
      <w:r w:rsidR="008333C4" w:rsidRPr="00620DBB">
        <w:rPr>
          <w:rFonts w:eastAsia="Times New Roman" w:cs="Times New Roman"/>
          <w:szCs w:val="24"/>
          <w:lang w:eastAsia="lv-LV"/>
        </w:rPr>
        <w:t>:</w:t>
      </w:r>
    </w:p>
    <w:p w14:paraId="6C3C7C47" w14:textId="77777777" w:rsidR="00B24D3D" w:rsidRPr="00620DBB" w:rsidRDefault="00273663" w:rsidP="004B3996">
      <w:pPr>
        <w:pStyle w:val="ListParagraph"/>
        <w:numPr>
          <w:ilvl w:val="0"/>
          <w:numId w:val="17"/>
        </w:numPr>
        <w:spacing w:before="120" w:after="120" w:line="264" w:lineRule="auto"/>
        <w:ind w:left="1080"/>
        <w:jc w:val="both"/>
        <w:rPr>
          <w:rFonts w:eastAsia="Times New Roman" w:cs="Times New Roman"/>
          <w:szCs w:val="24"/>
          <w:lang w:eastAsia="lv-LV"/>
        </w:rPr>
      </w:pPr>
      <w:r w:rsidRPr="00620DBB">
        <w:rPr>
          <w:rFonts w:eastAsia="Times New Roman" w:cs="Times New Roman"/>
          <w:szCs w:val="24"/>
          <w:lang w:eastAsia="lv-LV"/>
        </w:rPr>
        <w:t>Grozījumu priek</w:t>
      </w:r>
      <w:r w:rsidR="008D010E" w:rsidRPr="00620DBB">
        <w:rPr>
          <w:rFonts w:eastAsia="Times New Roman" w:cs="Times New Roman"/>
          <w:szCs w:val="24"/>
          <w:lang w:eastAsia="lv-LV"/>
        </w:rPr>
        <w:t>šlikumu izstrāde</w:t>
      </w:r>
      <w:r w:rsidRPr="00620DBB">
        <w:rPr>
          <w:rFonts w:eastAsia="Times New Roman" w:cs="Times New Roman"/>
          <w:szCs w:val="24"/>
          <w:lang w:eastAsia="lv-LV"/>
        </w:rPr>
        <w:t xml:space="preserve"> </w:t>
      </w:r>
      <w:r w:rsidRPr="00620DBB">
        <w:rPr>
          <w:rFonts w:eastAsia="Times New Roman" w:cs="Times New Roman"/>
          <w:i/>
          <w:szCs w:val="24"/>
          <w:lang w:eastAsia="lv-LV"/>
        </w:rPr>
        <w:t>Līgumā par Eiropas Stabilitātes mehānisma dibināšanu</w:t>
      </w:r>
      <w:r w:rsidRPr="00620DBB">
        <w:rPr>
          <w:rFonts w:eastAsia="Times New Roman" w:cs="Times New Roman"/>
          <w:szCs w:val="24"/>
          <w:lang w:eastAsia="lv-LV"/>
        </w:rPr>
        <w:t xml:space="preserve"> </w:t>
      </w:r>
      <w:r w:rsidR="00B64211" w:rsidRPr="00620DBB">
        <w:rPr>
          <w:rFonts w:eastAsia="Times New Roman" w:cs="Times New Roman"/>
          <w:szCs w:val="24"/>
          <w:lang w:eastAsia="lv-LV"/>
        </w:rPr>
        <w:t>ESM reformas īstenošanai un publiskā atbalsta instrumenta ieviešanai</w:t>
      </w:r>
      <w:r w:rsidR="00B24D3D" w:rsidRPr="00620DBB">
        <w:rPr>
          <w:rFonts w:eastAsia="Times New Roman" w:cs="Times New Roman"/>
          <w:szCs w:val="24"/>
          <w:lang w:eastAsia="lv-LV"/>
        </w:rPr>
        <w:t>:</w:t>
      </w:r>
    </w:p>
    <w:p w14:paraId="6778B3E4" w14:textId="77777777" w:rsidR="00B84A91" w:rsidRPr="00620DBB" w:rsidRDefault="00B84A91" w:rsidP="004B3996">
      <w:pPr>
        <w:pStyle w:val="ListParagraph"/>
        <w:numPr>
          <w:ilvl w:val="1"/>
          <w:numId w:val="18"/>
        </w:numPr>
        <w:spacing w:before="120" w:after="120" w:line="264" w:lineRule="auto"/>
        <w:ind w:left="1800"/>
        <w:jc w:val="both"/>
        <w:rPr>
          <w:rFonts w:eastAsia="Times New Roman" w:cs="Times New Roman"/>
          <w:szCs w:val="24"/>
          <w:lang w:eastAsia="lv-LV"/>
        </w:rPr>
      </w:pPr>
      <w:r w:rsidRPr="00620DBB">
        <w:rPr>
          <w:rFonts w:eastAsia="Times New Roman" w:cs="Times New Roman"/>
          <w:szCs w:val="24"/>
          <w:lang w:eastAsia="lv-LV"/>
        </w:rPr>
        <w:t>Publiskā atbalsta instrumenta (</w:t>
      </w:r>
      <w:proofErr w:type="spellStart"/>
      <w:r w:rsidRPr="00620DBB">
        <w:rPr>
          <w:rFonts w:eastAsia="Times New Roman" w:cs="Times New Roman"/>
          <w:i/>
          <w:szCs w:val="24"/>
          <w:lang w:eastAsia="lv-LV"/>
        </w:rPr>
        <w:t>common</w:t>
      </w:r>
      <w:proofErr w:type="spellEnd"/>
      <w:r w:rsidRPr="00620DBB">
        <w:rPr>
          <w:rFonts w:eastAsia="Times New Roman" w:cs="Times New Roman"/>
          <w:i/>
          <w:szCs w:val="24"/>
          <w:lang w:eastAsia="lv-LV"/>
        </w:rPr>
        <w:t xml:space="preserve"> </w:t>
      </w:r>
      <w:proofErr w:type="spellStart"/>
      <w:r w:rsidRPr="00620DBB">
        <w:rPr>
          <w:rFonts w:eastAsia="Times New Roman" w:cs="Times New Roman"/>
          <w:i/>
          <w:szCs w:val="24"/>
          <w:lang w:eastAsia="lv-LV"/>
        </w:rPr>
        <w:t>backstop</w:t>
      </w:r>
      <w:proofErr w:type="spellEnd"/>
      <w:r w:rsidRPr="00620DBB">
        <w:rPr>
          <w:rFonts w:eastAsia="Times New Roman" w:cs="Times New Roman"/>
          <w:szCs w:val="24"/>
          <w:lang w:eastAsia="lv-LV"/>
        </w:rPr>
        <w:t>) darbības galveno nosacījumu izstrāde Vienotajam noregulējuma fondam;</w:t>
      </w:r>
    </w:p>
    <w:p w14:paraId="1C9A14A9" w14:textId="77777777" w:rsidR="00B24D3D" w:rsidRPr="00620DBB" w:rsidRDefault="00B24D3D" w:rsidP="004B3996">
      <w:pPr>
        <w:pStyle w:val="ListParagraph"/>
        <w:numPr>
          <w:ilvl w:val="1"/>
          <w:numId w:val="18"/>
        </w:numPr>
        <w:spacing w:before="120" w:after="120" w:line="264" w:lineRule="auto"/>
        <w:ind w:left="1800"/>
        <w:jc w:val="both"/>
        <w:rPr>
          <w:rFonts w:eastAsia="Times New Roman" w:cs="Times New Roman"/>
          <w:szCs w:val="24"/>
          <w:lang w:eastAsia="lv-LV"/>
        </w:rPr>
      </w:pPr>
      <w:r w:rsidRPr="00620DBB">
        <w:rPr>
          <w:rFonts w:eastAsia="Times New Roman" w:cs="Times New Roman"/>
          <w:szCs w:val="24"/>
          <w:lang w:eastAsia="lv-LV"/>
        </w:rPr>
        <w:t xml:space="preserve">Esošo ESM </w:t>
      </w:r>
      <w:r w:rsidR="00B84A91" w:rsidRPr="00620DBB">
        <w:rPr>
          <w:rFonts w:eastAsia="Times New Roman" w:cs="Times New Roman"/>
          <w:szCs w:val="24"/>
          <w:lang w:eastAsia="lv-LV"/>
        </w:rPr>
        <w:t xml:space="preserve">piesardzības </w:t>
      </w:r>
      <w:r w:rsidRPr="00620DBB">
        <w:rPr>
          <w:rFonts w:eastAsia="Times New Roman" w:cs="Times New Roman"/>
          <w:szCs w:val="24"/>
          <w:lang w:eastAsia="lv-LV"/>
        </w:rPr>
        <w:t>instrumentu – Piesardzības nosacījumu kredītlīnijas ar nosacījumiem (PCCL) un Uzlaboto nosacījumu kredī</w:t>
      </w:r>
      <w:r w:rsidR="008014FA" w:rsidRPr="00620DBB">
        <w:rPr>
          <w:rFonts w:eastAsia="Times New Roman" w:cs="Times New Roman"/>
          <w:szCs w:val="24"/>
          <w:lang w:eastAsia="lv-LV"/>
        </w:rPr>
        <w:t>tlīnijas (ECCL) – pilnveidošana;</w:t>
      </w:r>
    </w:p>
    <w:p w14:paraId="5E176146" w14:textId="77777777" w:rsidR="008014FA" w:rsidRPr="00620DBB" w:rsidRDefault="00E97DF3" w:rsidP="004B3996">
      <w:pPr>
        <w:pStyle w:val="ListParagraph"/>
        <w:numPr>
          <w:ilvl w:val="1"/>
          <w:numId w:val="18"/>
        </w:numPr>
        <w:spacing w:before="120" w:after="120" w:line="264" w:lineRule="auto"/>
        <w:ind w:left="1800"/>
        <w:jc w:val="both"/>
        <w:rPr>
          <w:rFonts w:eastAsia="Times New Roman" w:cs="Times New Roman"/>
          <w:szCs w:val="24"/>
          <w:lang w:eastAsia="lv-LV"/>
        </w:rPr>
      </w:pPr>
      <w:r w:rsidRPr="00620DBB">
        <w:rPr>
          <w:rFonts w:eastAsia="Times New Roman" w:cs="Times New Roman"/>
          <w:szCs w:val="24"/>
          <w:lang w:eastAsia="lv-LV"/>
        </w:rPr>
        <w:t>Parāda</w:t>
      </w:r>
      <w:r w:rsidR="007072BC" w:rsidRPr="00620DBB">
        <w:rPr>
          <w:rFonts w:eastAsia="Times New Roman" w:cs="Times New Roman"/>
          <w:szCs w:val="24"/>
          <w:lang w:eastAsia="lv-LV"/>
        </w:rPr>
        <w:t xml:space="preserve"> ilgtspējas analīzes pilnveide</w:t>
      </w:r>
      <w:r w:rsidR="008014FA" w:rsidRPr="00620DBB">
        <w:rPr>
          <w:rFonts w:eastAsia="Times New Roman" w:cs="Times New Roman"/>
          <w:szCs w:val="24"/>
          <w:lang w:eastAsia="lv-LV"/>
        </w:rPr>
        <w:t>, t.sk. kolektīvās rīcības klauzulas modeļa pāreja no</w:t>
      </w:r>
      <w:r w:rsidR="00105EEE" w:rsidRPr="00620DBB">
        <w:rPr>
          <w:rFonts w:eastAsia="Times New Roman" w:cs="Times New Roman"/>
          <w:szCs w:val="24"/>
          <w:lang w:eastAsia="lv-LV"/>
        </w:rPr>
        <w:t xml:space="preserve"> dubultās kārtas uz vienu kārtu;</w:t>
      </w:r>
    </w:p>
    <w:p w14:paraId="41FB9804" w14:textId="150665B7" w:rsidR="00105EEE" w:rsidRPr="00620DBB" w:rsidRDefault="00105EEE" w:rsidP="004B3996">
      <w:pPr>
        <w:pStyle w:val="ListParagraph"/>
        <w:numPr>
          <w:ilvl w:val="1"/>
          <w:numId w:val="18"/>
        </w:numPr>
        <w:spacing w:before="120" w:after="120" w:line="264" w:lineRule="auto"/>
        <w:ind w:left="1800"/>
        <w:jc w:val="both"/>
        <w:rPr>
          <w:rFonts w:eastAsia="Times New Roman" w:cs="Times New Roman"/>
          <w:szCs w:val="24"/>
          <w:lang w:eastAsia="lv-LV"/>
        </w:rPr>
      </w:pPr>
      <w:r w:rsidRPr="00620DBB">
        <w:rPr>
          <w:rFonts w:eastAsia="Times New Roman" w:cs="Times New Roman"/>
          <w:szCs w:val="24"/>
          <w:lang w:eastAsia="lv-LV"/>
        </w:rPr>
        <w:t>ESM un Eiropas Komisijas sadarbības veicināšana, integrējot ESM Eiropas Savienības juridiskajā ietvarā</w:t>
      </w:r>
      <w:r w:rsidR="00D60254" w:rsidRPr="00620DBB">
        <w:rPr>
          <w:rFonts w:eastAsia="Times New Roman" w:cs="Times New Roman"/>
          <w:szCs w:val="24"/>
          <w:lang w:eastAsia="lv-LV"/>
        </w:rPr>
        <w:t>.</w:t>
      </w:r>
    </w:p>
    <w:p w14:paraId="6C03A645" w14:textId="77777777" w:rsidR="005266B8" w:rsidRPr="00620DBB" w:rsidRDefault="00C80BB1" w:rsidP="000B1FC7">
      <w:pPr>
        <w:pStyle w:val="ListParagraph"/>
        <w:numPr>
          <w:ilvl w:val="0"/>
          <w:numId w:val="14"/>
        </w:numPr>
        <w:spacing w:before="240" w:after="120"/>
        <w:ind w:left="1066" w:hanging="357"/>
        <w:contextualSpacing w:val="0"/>
        <w:jc w:val="center"/>
        <w:rPr>
          <w:b/>
        </w:rPr>
      </w:pPr>
      <w:r w:rsidRPr="00620DBB">
        <w:rPr>
          <w:b/>
        </w:rPr>
        <w:t>G</w:t>
      </w:r>
      <w:r w:rsidR="00FF6896" w:rsidRPr="00620DBB">
        <w:rPr>
          <w:b/>
        </w:rPr>
        <w:t xml:space="preserve">alvenie </w:t>
      </w:r>
      <w:r w:rsidRPr="00620DBB">
        <w:rPr>
          <w:b/>
        </w:rPr>
        <w:t xml:space="preserve">ESM </w:t>
      </w:r>
      <w:r w:rsidR="00102197" w:rsidRPr="00620DBB">
        <w:rPr>
          <w:b/>
        </w:rPr>
        <w:t>finanšu darbības rezultāti</w:t>
      </w:r>
      <w:r w:rsidRPr="00620DBB">
        <w:rPr>
          <w:b/>
        </w:rPr>
        <w:t xml:space="preserve"> 2018.gadā</w:t>
      </w:r>
    </w:p>
    <w:p w14:paraId="630E9695" w14:textId="7C59CD12" w:rsidR="0008199E" w:rsidRPr="00620DBB" w:rsidRDefault="0068172B" w:rsidP="00EE6452">
      <w:pPr>
        <w:spacing w:before="60" w:after="60" w:line="264" w:lineRule="auto"/>
        <w:ind w:firstLine="694"/>
        <w:jc w:val="both"/>
      </w:pPr>
      <w:r w:rsidRPr="00620DBB">
        <w:t xml:space="preserve">2018.gada </w:t>
      </w:r>
      <w:r w:rsidR="008C7216" w:rsidRPr="00620DBB">
        <w:t>31.decembrī</w:t>
      </w:r>
      <w:r w:rsidRPr="00620DBB">
        <w:t xml:space="preserve"> ESM bilance </w:t>
      </w:r>
      <w:r w:rsidR="0008199E" w:rsidRPr="00620DBB">
        <w:t>veido</w:t>
      </w:r>
      <w:r w:rsidR="00377E10" w:rsidRPr="00620DBB">
        <w:t>ja</w:t>
      </w:r>
      <w:r w:rsidRPr="00620DBB">
        <w:t xml:space="preserve"> EUR 807,</w:t>
      </w:r>
      <w:r w:rsidR="00D931E1" w:rsidRPr="00620DBB">
        <w:t xml:space="preserve">1 mljrd. </w:t>
      </w:r>
      <w:proofErr w:type="spellStart"/>
      <w:r w:rsidR="00D931E1" w:rsidRPr="00620DBB">
        <w:rPr>
          <w:i/>
        </w:rPr>
        <w:t>euro</w:t>
      </w:r>
      <w:proofErr w:type="spellEnd"/>
      <w:r w:rsidR="00D931E1" w:rsidRPr="00620DBB">
        <w:t>, kas, salīdzinot ar 2017.gadu</w:t>
      </w:r>
      <w:r w:rsidRPr="00620DBB">
        <w:t xml:space="preserve">, </w:t>
      </w:r>
      <w:r w:rsidR="00D931E1" w:rsidRPr="00620DBB">
        <w:t>ir</w:t>
      </w:r>
      <w:r w:rsidRPr="00620DBB">
        <w:t xml:space="preserve"> p</w:t>
      </w:r>
      <w:r w:rsidR="00D931E1" w:rsidRPr="00620DBB">
        <w:t xml:space="preserve">alielinājusies par 10,1 mljrd. </w:t>
      </w:r>
      <w:proofErr w:type="spellStart"/>
      <w:r w:rsidR="00D931E1" w:rsidRPr="00620DBB">
        <w:rPr>
          <w:i/>
        </w:rPr>
        <w:t>eu</w:t>
      </w:r>
      <w:r w:rsidRPr="00620DBB">
        <w:rPr>
          <w:i/>
        </w:rPr>
        <w:t>ro</w:t>
      </w:r>
      <w:proofErr w:type="spellEnd"/>
      <w:r w:rsidR="00D931E1" w:rsidRPr="00620DBB">
        <w:t>.</w:t>
      </w:r>
      <w:r w:rsidRPr="00620DBB">
        <w:t xml:space="preserve"> </w:t>
      </w:r>
      <w:r w:rsidR="001E3573" w:rsidRPr="00620DBB">
        <w:t xml:space="preserve">Tas saistāms ar </w:t>
      </w:r>
      <w:r w:rsidR="008F75BB" w:rsidRPr="00620DBB">
        <w:t>ESM aizdevuma</w:t>
      </w:r>
      <w:r w:rsidRPr="00620DBB">
        <w:t xml:space="preserve"> </w:t>
      </w:r>
      <w:r w:rsidR="001E3573" w:rsidRPr="00620DBB">
        <w:t>iz</w:t>
      </w:r>
      <w:r w:rsidR="009A2C69" w:rsidRPr="00620DBB">
        <w:t>s</w:t>
      </w:r>
      <w:r w:rsidR="001E3573" w:rsidRPr="00620DBB">
        <w:t xml:space="preserve">niegšanu Grieķijai 21,7 mljrd. </w:t>
      </w:r>
      <w:proofErr w:type="spellStart"/>
      <w:r w:rsidR="001E3573" w:rsidRPr="00620DBB">
        <w:rPr>
          <w:i/>
        </w:rPr>
        <w:t>eu</w:t>
      </w:r>
      <w:r w:rsidRPr="00620DBB">
        <w:rPr>
          <w:i/>
        </w:rPr>
        <w:t>ro</w:t>
      </w:r>
      <w:proofErr w:type="spellEnd"/>
      <w:r w:rsidR="009A2C69" w:rsidRPr="00620DBB">
        <w:t xml:space="preserve"> </w:t>
      </w:r>
      <w:r w:rsidR="008F75BB" w:rsidRPr="00620DBB">
        <w:t>apmēr</w:t>
      </w:r>
      <w:r w:rsidR="00D840EE" w:rsidRPr="00620DBB">
        <w:t xml:space="preserve">ā </w:t>
      </w:r>
      <w:r w:rsidR="009A2C69" w:rsidRPr="00620DBB">
        <w:t xml:space="preserve">un </w:t>
      </w:r>
      <w:r w:rsidR="008F75BB" w:rsidRPr="00620DBB">
        <w:t>Spānijas saņe</w:t>
      </w:r>
      <w:r w:rsidR="009A2C69" w:rsidRPr="00620DBB">
        <w:t>mto priekšlaicīgo atmaksu</w:t>
      </w:r>
      <w:r w:rsidRPr="00620DBB">
        <w:t xml:space="preserve"> 8 m</w:t>
      </w:r>
      <w:r w:rsidR="009A2C69" w:rsidRPr="00620DBB">
        <w:t xml:space="preserve">ljrd. </w:t>
      </w:r>
      <w:proofErr w:type="spellStart"/>
      <w:r w:rsidR="009A2C69" w:rsidRPr="00620DBB">
        <w:rPr>
          <w:i/>
        </w:rPr>
        <w:t>eu</w:t>
      </w:r>
      <w:r w:rsidRPr="00620DBB">
        <w:rPr>
          <w:i/>
        </w:rPr>
        <w:t>ro</w:t>
      </w:r>
      <w:proofErr w:type="spellEnd"/>
      <w:r w:rsidRPr="00620DBB">
        <w:rPr>
          <w:i/>
        </w:rPr>
        <w:t xml:space="preserve"> </w:t>
      </w:r>
      <w:r w:rsidRPr="00620DBB">
        <w:t>apmērā.</w:t>
      </w:r>
    </w:p>
    <w:p w14:paraId="41B3B329" w14:textId="1825B3CC" w:rsidR="0008199E" w:rsidRPr="00620DBB" w:rsidRDefault="002C3BC5" w:rsidP="00EE6452">
      <w:pPr>
        <w:spacing w:before="60" w:after="60" w:line="264" w:lineRule="auto"/>
        <w:ind w:firstLine="694"/>
        <w:jc w:val="both"/>
      </w:pPr>
      <w:r w:rsidRPr="00620DBB">
        <w:t xml:space="preserve">2018.gadā ESM tīrā peļņa sastādīja 284,7 milj. </w:t>
      </w:r>
      <w:proofErr w:type="spellStart"/>
      <w:r w:rsidRPr="00620DBB">
        <w:rPr>
          <w:i/>
        </w:rPr>
        <w:t>euro</w:t>
      </w:r>
      <w:proofErr w:type="spellEnd"/>
      <w:r w:rsidRPr="00620DBB">
        <w:t xml:space="preserve">, kas, salīdzinot ar 2017.gadu, ir par 216,1 milj. </w:t>
      </w:r>
      <w:proofErr w:type="spellStart"/>
      <w:r w:rsidRPr="00620DBB">
        <w:rPr>
          <w:i/>
        </w:rPr>
        <w:t>euro</w:t>
      </w:r>
      <w:proofErr w:type="spellEnd"/>
      <w:r w:rsidR="006A7D2C" w:rsidRPr="00620DBB">
        <w:t xml:space="preserve"> vairāk. </w:t>
      </w:r>
      <w:r w:rsidRPr="00620DBB">
        <w:t>Ievērojamais peļņas pieaugums galvenokārt saistāms ar Vācijas un Francijas maksājumiem, attiecīgi 128,9 milj.</w:t>
      </w:r>
      <w:r w:rsidRPr="00620DBB">
        <w:rPr>
          <w:i/>
        </w:rPr>
        <w:t xml:space="preserve"> </w:t>
      </w:r>
      <w:proofErr w:type="spellStart"/>
      <w:r w:rsidRPr="00620DBB">
        <w:rPr>
          <w:i/>
        </w:rPr>
        <w:t>euro</w:t>
      </w:r>
      <w:proofErr w:type="spellEnd"/>
      <w:r w:rsidRPr="00620DBB">
        <w:t xml:space="preserve"> un 86,7 milj. </w:t>
      </w:r>
      <w:proofErr w:type="spellStart"/>
      <w:r w:rsidRPr="00620DBB">
        <w:rPr>
          <w:i/>
        </w:rPr>
        <w:t>euro</w:t>
      </w:r>
      <w:proofErr w:type="spellEnd"/>
      <w:r w:rsidR="005F79AE" w:rsidRPr="00620DBB">
        <w:t xml:space="preserve"> </w:t>
      </w:r>
      <w:r w:rsidR="006A7D2C" w:rsidRPr="00620DBB">
        <w:t xml:space="preserve">. Naudas </w:t>
      </w:r>
      <w:proofErr w:type="spellStart"/>
      <w:r w:rsidR="006A7D2C" w:rsidRPr="00620DBB">
        <w:t>p</w:t>
      </w:r>
      <w:r w:rsidR="0008199E" w:rsidRPr="00620DBB">
        <w:t>ārskaitī</w:t>
      </w:r>
      <w:r w:rsidRPr="00620DBB">
        <w:t>jumi</w:t>
      </w:r>
      <w:proofErr w:type="spellEnd"/>
      <w:r w:rsidRPr="00620DBB">
        <w:t xml:space="preserve"> veikti, ņemot vērā minēto valstu politisko apņemšanos atgriezt ESM negatīvo procentu summu, kas tika iekasēta par</w:t>
      </w:r>
      <w:r w:rsidR="00377E10" w:rsidRPr="00620DBB">
        <w:t xml:space="preserve"> ESM</w:t>
      </w:r>
      <w:r w:rsidRPr="00620DBB">
        <w:t xml:space="preserve"> naudas līdzekļu uzturēšanu attiecīgo valstu centrālajās bankās 2017.gadā. </w:t>
      </w:r>
    </w:p>
    <w:p w14:paraId="25ED0E5A" w14:textId="60944166" w:rsidR="0008199E" w:rsidRPr="00620DBB" w:rsidRDefault="002C3BC5" w:rsidP="00EE6452">
      <w:pPr>
        <w:spacing w:before="60" w:after="60" w:line="264" w:lineRule="auto"/>
        <w:ind w:firstLine="694"/>
        <w:jc w:val="both"/>
      </w:pPr>
      <w:r w:rsidRPr="00620DBB">
        <w:t xml:space="preserve">2018.gada peļņu 284,7 milj. </w:t>
      </w:r>
      <w:proofErr w:type="spellStart"/>
      <w:r w:rsidRPr="00620DBB">
        <w:rPr>
          <w:i/>
        </w:rPr>
        <w:t>euro</w:t>
      </w:r>
      <w:proofErr w:type="spellEnd"/>
      <w:r w:rsidR="00D87B51" w:rsidRPr="00620DBB">
        <w:t xml:space="preserve"> </w:t>
      </w:r>
      <w:r w:rsidRPr="00620DBB">
        <w:t xml:space="preserve">paredzēts novirzīt rezerves fondā. Līdz šim, katru </w:t>
      </w:r>
      <w:r w:rsidR="00D407BC" w:rsidRPr="00620DBB">
        <w:t>gadu ESM peļņa pilnā a</w:t>
      </w:r>
      <w:r w:rsidR="00497EB7" w:rsidRPr="00620DBB">
        <w:t>pmērā</w:t>
      </w:r>
      <w:r w:rsidR="00D407BC" w:rsidRPr="00620DBB">
        <w:t xml:space="preserve"> tika</w:t>
      </w:r>
      <w:r w:rsidRPr="00620DBB">
        <w:t xml:space="preserve"> ieskaitīta rezerves fondā, nevis izmaksāta dividendēs ESM dalībvalstīm. Šāda lēmuma mērķis ir uzkrāt līdzekļus, lai nodrošinātos pret iespējamiem zaudējumiem un mazinātu risku, ka būtu jāizmanto kapitāla pēc pieprasījuma</w:t>
      </w:r>
      <w:r w:rsidR="00377E10" w:rsidRPr="00620DBB">
        <w:t xml:space="preserve"> iesaukšana</w:t>
      </w:r>
      <w:r w:rsidRPr="00620DBB">
        <w:t xml:space="preserve">, kam </w:t>
      </w:r>
      <w:r w:rsidR="0008199E" w:rsidRPr="00620DBB">
        <w:t xml:space="preserve">attiecīgi </w:t>
      </w:r>
      <w:r w:rsidRPr="00620DBB">
        <w:t>būtu negatīva ietekme uz dalībvalstu vispārēj</w:t>
      </w:r>
      <w:r w:rsidR="00377E10" w:rsidRPr="00620DBB">
        <w:t>ās</w:t>
      </w:r>
      <w:r w:rsidRPr="00620DBB">
        <w:t xml:space="preserve"> valdīb</w:t>
      </w:r>
      <w:r w:rsidR="00377E10" w:rsidRPr="00620DBB">
        <w:t>as</w:t>
      </w:r>
      <w:r w:rsidRPr="00620DBB">
        <w:t xml:space="preserve"> budžet</w:t>
      </w:r>
      <w:r w:rsidR="00377E10" w:rsidRPr="00620DBB">
        <w:t>a</w:t>
      </w:r>
      <w:r w:rsidRPr="00620DBB">
        <w:t xml:space="preserve"> bilancēm.</w:t>
      </w:r>
      <w:r w:rsidR="00D407BC" w:rsidRPr="00620DBB">
        <w:t xml:space="preserve"> </w:t>
      </w:r>
    </w:p>
    <w:p w14:paraId="124C6019" w14:textId="77777777" w:rsidR="0008199E" w:rsidRPr="00620DBB" w:rsidRDefault="00D407BC" w:rsidP="0008199E">
      <w:pPr>
        <w:spacing w:before="60" w:after="60" w:line="264" w:lineRule="auto"/>
        <w:ind w:firstLine="694"/>
        <w:jc w:val="both"/>
        <w:rPr>
          <w:sz w:val="20"/>
          <w:szCs w:val="20"/>
        </w:rPr>
      </w:pPr>
      <w:r w:rsidRPr="00620DBB">
        <w:t xml:space="preserve">2018.gadā </w:t>
      </w:r>
      <w:r w:rsidR="002C3BC5" w:rsidRPr="00620DBB">
        <w:t xml:space="preserve">ESM apmaksājamais kapitāls veidoja 80,5 mljrd. </w:t>
      </w:r>
      <w:proofErr w:type="spellStart"/>
      <w:r w:rsidR="002C3BC5" w:rsidRPr="00620DBB">
        <w:rPr>
          <w:i/>
        </w:rPr>
        <w:t>euro</w:t>
      </w:r>
      <w:proofErr w:type="spellEnd"/>
      <w:r w:rsidR="002C3BC5" w:rsidRPr="00620DBB">
        <w:t xml:space="preserve">, kas tika investēts parāda vērtspapīros vai turēts skaidrā naudā ESM </w:t>
      </w:r>
      <w:r w:rsidR="00494ECF" w:rsidRPr="00620DBB">
        <w:t>dalībvalstu centrālajās bankās.</w:t>
      </w:r>
      <w:r w:rsidR="002E416D" w:rsidRPr="00620DBB">
        <w:t xml:space="preserve"> </w:t>
      </w:r>
    </w:p>
    <w:p w14:paraId="170F6AEA" w14:textId="77777777" w:rsidR="002C3BC5" w:rsidRPr="00620DBB" w:rsidRDefault="002C3BC5" w:rsidP="0008199E">
      <w:pPr>
        <w:spacing w:before="60" w:after="60" w:line="264" w:lineRule="auto"/>
        <w:ind w:firstLine="694"/>
        <w:jc w:val="both"/>
        <w:rPr>
          <w:sz w:val="20"/>
          <w:szCs w:val="20"/>
        </w:rPr>
      </w:pPr>
      <w:r w:rsidRPr="00620DBB">
        <w:t>ESM Auditoru padome un ārējā auditoru kompānija “</w:t>
      </w:r>
      <w:proofErr w:type="spellStart"/>
      <w:r w:rsidRPr="00620DBB">
        <w:t>Ernst&amp;Young</w:t>
      </w:r>
      <w:proofErr w:type="spellEnd"/>
      <w:r w:rsidRPr="00620DBB">
        <w:t xml:space="preserve">” apstiprināja, ka sagatavotais </w:t>
      </w:r>
      <w:r w:rsidR="00BC1BC2" w:rsidRPr="00620DBB">
        <w:t xml:space="preserve">ESM </w:t>
      </w:r>
      <w:r w:rsidRPr="00620DBB">
        <w:t>gada pārskats sniedz patiesu informāciju par finanšu stāvokli</w:t>
      </w:r>
      <w:r w:rsidR="005764A0" w:rsidRPr="00620DBB">
        <w:t>,</w:t>
      </w:r>
      <w:r w:rsidRPr="00620DBB">
        <w:t xml:space="preserve"> darbības rezultātiem un naudas plūsmu 2018.gadā.</w:t>
      </w:r>
    </w:p>
    <w:p w14:paraId="45853F97" w14:textId="77777777" w:rsidR="00392FC8" w:rsidRDefault="00392FC8" w:rsidP="00E35D7B">
      <w:pPr>
        <w:jc w:val="both"/>
      </w:pPr>
    </w:p>
    <w:p w14:paraId="23E5609E" w14:textId="77777777" w:rsidR="00AA3373" w:rsidRPr="006E7176" w:rsidRDefault="005871E8" w:rsidP="002018E8">
      <w:pPr>
        <w:spacing w:after="120"/>
        <w:jc w:val="right"/>
        <w:rPr>
          <w:b/>
          <w:i/>
          <w:sz w:val="20"/>
          <w:szCs w:val="20"/>
        </w:rPr>
      </w:pPr>
      <w:r>
        <w:rPr>
          <w:b/>
          <w:i/>
          <w:color w:val="000000"/>
          <w:sz w:val="20"/>
        </w:rPr>
        <w:t>3</w:t>
      </w:r>
      <w:r w:rsidR="00FE30BC" w:rsidRPr="006E7176">
        <w:rPr>
          <w:b/>
          <w:i/>
          <w:color w:val="000000"/>
          <w:sz w:val="20"/>
        </w:rPr>
        <w:t>.tabula</w:t>
      </w:r>
      <w:r w:rsidR="00936759">
        <w:rPr>
          <w:b/>
          <w:i/>
          <w:color w:val="000000"/>
          <w:sz w:val="20"/>
        </w:rPr>
        <w:t xml:space="preserve">. </w:t>
      </w:r>
      <w:r w:rsidR="00AA3373" w:rsidRPr="006E7176">
        <w:rPr>
          <w:b/>
          <w:i/>
          <w:color w:val="000000"/>
          <w:sz w:val="20"/>
        </w:rPr>
        <w:t xml:space="preserve">ESM peļņa vai zaudējums attiecīgajā gadā kopš ESM dibināšanas (milj. </w:t>
      </w:r>
      <w:proofErr w:type="spellStart"/>
      <w:r w:rsidR="00AA3373" w:rsidRPr="006E7176">
        <w:rPr>
          <w:b/>
          <w:i/>
          <w:color w:val="000000"/>
          <w:sz w:val="20"/>
        </w:rPr>
        <w:t>euro</w:t>
      </w:r>
      <w:proofErr w:type="spellEnd"/>
      <w:r w:rsidR="00AA3373" w:rsidRPr="006E7176">
        <w:rPr>
          <w:b/>
          <w:i/>
          <w:color w:val="000000"/>
          <w:sz w:val="20"/>
        </w:rPr>
        <w:t>)</w:t>
      </w:r>
    </w:p>
    <w:tbl>
      <w:tblPr>
        <w:tblStyle w:val="GridTable1Light"/>
        <w:tblW w:w="0" w:type="auto"/>
        <w:jc w:val="center"/>
        <w:tblLook w:val="04A0" w:firstRow="1" w:lastRow="0" w:firstColumn="1" w:lastColumn="0" w:noHBand="0" w:noVBand="1"/>
      </w:tblPr>
      <w:tblGrid>
        <w:gridCol w:w="2566"/>
        <w:gridCol w:w="851"/>
        <w:gridCol w:w="850"/>
        <w:gridCol w:w="844"/>
        <w:gridCol w:w="857"/>
        <w:gridCol w:w="851"/>
        <w:gridCol w:w="850"/>
        <w:gridCol w:w="851"/>
      </w:tblGrid>
      <w:tr w:rsidR="00692AE1" w:rsidRPr="00692AE1" w14:paraId="3AF3A53A" w14:textId="77777777" w:rsidTr="0089424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66" w:type="dxa"/>
            <w:shd w:val="clear" w:color="auto" w:fill="DEEAF6" w:themeFill="accent1" w:themeFillTint="33"/>
          </w:tcPr>
          <w:p w14:paraId="31B8624B" w14:textId="77777777" w:rsidR="00692AE1" w:rsidRPr="00692AE1" w:rsidRDefault="00692AE1" w:rsidP="00692AE1">
            <w:pPr>
              <w:spacing w:before="40" w:after="40"/>
              <w:jc w:val="both"/>
              <w:rPr>
                <w:sz w:val="20"/>
                <w:szCs w:val="20"/>
              </w:rPr>
            </w:pPr>
          </w:p>
        </w:tc>
        <w:tc>
          <w:tcPr>
            <w:tcW w:w="851" w:type="dxa"/>
            <w:shd w:val="clear" w:color="auto" w:fill="DEEAF6" w:themeFill="accent1" w:themeFillTint="33"/>
          </w:tcPr>
          <w:p w14:paraId="099FA95F" w14:textId="77777777" w:rsidR="00692AE1" w:rsidRPr="00692AE1" w:rsidRDefault="00692AE1" w:rsidP="00BF641D">
            <w:pPr>
              <w:spacing w:before="40" w:after="40"/>
              <w:jc w:val="center"/>
              <w:cnfStyle w:val="100000000000" w:firstRow="1" w:lastRow="0" w:firstColumn="0" w:lastColumn="0" w:oddVBand="0" w:evenVBand="0" w:oddHBand="0" w:evenHBand="0" w:firstRowFirstColumn="0" w:firstRowLastColumn="0" w:lastRowFirstColumn="0" w:lastRowLastColumn="0"/>
              <w:rPr>
                <w:sz w:val="20"/>
                <w:szCs w:val="20"/>
              </w:rPr>
            </w:pPr>
            <w:r w:rsidRPr="00692AE1">
              <w:rPr>
                <w:sz w:val="20"/>
                <w:szCs w:val="20"/>
              </w:rPr>
              <w:t>2012</w:t>
            </w:r>
          </w:p>
        </w:tc>
        <w:tc>
          <w:tcPr>
            <w:tcW w:w="850" w:type="dxa"/>
            <w:shd w:val="clear" w:color="auto" w:fill="DEEAF6" w:themeFill="accent1" w:themeFillTint="33"/>
          </w:tcPr>
          <w:p w14:paraId="4D3157FC" w14:textId="77777777" w:rsidR="00692AE1" w:rsidRPr="00692AE1" w:rsidRDefault="00692AE1" w:rsidP="00BF641D">
            <w:pPr>
              <w:spacing w:before="40" w:after="40"/>
              <w:jc w:val="center"/>
              <w:cnfStyle w:val="100000000000" w:firstRow="1" w:lastRow="0" w:firstColumn="0" w:lastColumn="0" w:oddVBand="0" w:evenVBand="0" w:oddHBand="0" w:evenHBand="0" w:firstRowFirstColumn="0" w:firstRowLastColumn="0" w:lastRowFirstColumn="0" w:lastRowLastColumn="0"/>
              <w:rPr>
                <w:sz w:val="20"/>
                <w:szCs w:val="20"/>
              </w:rPr>
            </w:pPr>
            <w:r w:rsidRPr="00692AE1">
              <w:rPr>
                <w:sz w:val="20"/>
                <w:szCs w:val="20"/>
              </w:rPr>
              <w:t>2013</w:t>
            </w:r>
          </w:p>
        </w:tc>
        <w:tc>
          <w:tcPr>
            <w:tcW w:w="844" w:type="dxa"/>
            <w:shd w:val="clear" w:color="auto" w:fill="DEEAF6" w:themeFill="accent1" w:themeFillTint="33"/>
          </w:tcPr>
          <w:p w14:paraId="79093A68" w14:textId="77777777" w:rsidR="00692AE1" w:rsidRPr="00692AE1" w:rsidRDefault="00692AE1" w:rsidP="00BF641D">
            <w:pPr>
              <w:spacing w:before="40" w:after="40"/>
              <w:jc w:val="center"/>
              <w:cnfStyle w:val="100000000000" w:firstRow="1" w:lastRow="0" w:firstColumn="0" w:lastColumn="0" w:oddVBand="0" w:evenVBand="0" w:oddHBand="0" w:evenHBand="0" w:firstRowFirstColumn="0" w:firstRowLastColumn="0" w:lastRowFirstColumn="0" w:lastRowLastColumn="0"/>
              <w:rPr>
                <w:sz w:val="20"/>
                <w:szCs w:val="20"/>
              </w:rPr>
            </w:pPr>
            <w:r w:rsidRPr="00692AE1">
              <w:rPr>
                <w:sz w:val="20"/>
                <w:szCs w:val="20"/>
              </w:rPr>
              <w:t>2014</w:t>
            </w:r>
          </w:p>
        </w:tc>
        <w:tc>
          <w:tcPr>
            <w:tcW w:w="857" w:type="dxa"/>
            <w:shd w:val="clear" w:color="auto" w:fill="DEEAF6" w:themeFill="accent1" w:themeFillTint="33"/>
          </w:tcPr>
          <w:p w14:paraId="72129C24" w14:textId="77777777" w:rsidR="00692AE1" w:rsidRPr="00692AE1" w:rsidRDefault="00692AE1" w:rsidP="00BF641D">
            <w:pPr>
              <w:spacing w:before="40" w:after="40"/>
              <w:jc w:val="center"/>
              <w:cnfStyle w:val="100000000000" w:firstRow="1" w:lastRow="0" w:firstColumn="0" w:lastColumn="0" w:oddVBand="0" w:evenVBand="0" w:oddHBand="0" w:evenHBand="0" w:firstRowFirstColumn="0" w:firstRowLastColumn="0" w:lastRowFirstColumn="0" w:lastRowLastColumn="0"/>
              <w:rPr>
                <w:sz w:val="20"/>
                <w:szCs w:val="20"/>
              </w:rPr>
            </w:pPr>
            <w:r w:rsidRPr="00692AE1">
              <w:rPr>
                <w:sz w:val="20"/>
                <w:szCs w:val="20"/>
              </w:rPr>
              <w:t>2015</w:t>
            </w:r>
          </w:p>
        </w:tc>
        <w:tc>
          <w:tcPr>
            <w:tcW w:w="851" w:type="dxa"/>
            <w:shd w:val="clear" w:color="auto" w:fill="DEEAF6" w:themeFill="accent1" w:themeFillTint="33"/>
          </w:tcPr>
          <w:p w14:paraId="4EFD14BA" w14:textId="77777777" w:rsidR="00692AE1" w:rsidRPr="00692AE1" w:rsidRDefault="00692AE1" w:rsidP="00BF641D">
            <w:pPr>
              <w:spacing w:before="40" w:after="40"/>
              <w:jc w:val="center"/>
              <w:cnfStyle w:val="100000000000" w:firstRow="1" w:lastRow="0" w:firstColumn="0" w:lastColumn="0" w:oddVBand="0" w:evenVBand="0" w:oddHBand="0" w:evenHBand="0" w:firstRowFirstColumn="0" w:firstRowLastColumn="0" w:lastRowFirstColumn="0" w:lastRowLastColumn="0"/>
              <w:rPr>
                <w:sz w:val="20"/>
                <w:szCs w:val="20"/>
              </w:rPr>
            </w:pPr>
            <w:r w:rsidRPr="00692AE1">
              <w:rPr>
                <w:sz w:val="20"/>
                <w:szCs w:val="20"/>
              </w:rPr>
              <w:t>2016</w:t>
            </w:r>
          </w:p>
        </w:tc>
        <w:tc>
          <w:tcPr>
            <w:tcW w:w="850" w:type="dxa"/>
            <w:shd w:val="clear" w:color="auto" w:fill="DEEAF6" w:themeFill="accent1" w:themeFillTint="33"/>
          </w:tcPr>
          <w:p w14:paraId="5E1102F4" w14:textId="77777777" w:rsidR="00692AE1" w:rsidRPr="00692AE1" w:rsidRDefault="00692AE1" w:rsidP="00BF641D">
            <w:pPr>
              <w:spacing w:before="40" w:after="40"/>
              <w:jc w:val="center"/>
              <w:cnfStyle w:val="100000000000" w:firstRow="1" w:lastRow="0" w:firstColumn="0" w:lastColumn="0" w:oddVBand="0" w:evenVBand="0" w:oddHBand="0" w:evenHBand="0" w:firstRowFirstColumn="0" w:firstRowLastColumn="0" w:lastRowFirstColumn="0" w:lastRowLastColumn="0"/>
              <w:rPr>
                <w:sz w:val="20"/>
                <w:szCs w:val="20"/>
              </w:rPr>
            </w:pPr>
            <w:r w:rsidRPr="00692AE1">
              <w:rPr>
                <w:sz w:val="20"/>
                <w:szCs w:val="20"/>
              </w:rPr>
              <w:t>2017</w:t>
            </w:r>
          </w:p>
        </w:tc>
        <w:tc>
          <w:tcPr>
            <w:tcW w:w="851" w:type="dxa"/>
            <w:shd w:val="clear" w:color="auto" w:fill="DEEAF6" w:themeFill="accent1" w:themeFillTint="33"/>
          </w:tcPr>
          <w:p w14:paraId="4DAB2D3F" w14:textId="77777777" w:rsidR="00692AE1" w:rsidRPr="00692AE1" w:rsidRDefault="00692AE1" w:rsidP="00BF641D">
            <w:pPr>
              <w:spacing w:before="40" w:after="40"/>
              <w:jc w:val="center"/>
              <w:cnfStyle w:val="100000000000" w:firstRow="1" w:lastRow="0" w:firstColumn="0" w:lastColumn="0" w:oddVBand="0" w:evenVBand="0" w:oddHBand="0" w:evenHBand="0" w:firstRowFirstColumn="0" w:firstRowLastColumn="0" w:lastRowFirstColumn="0" w:lastRowLastColumn="0"/>
              <w:rPr>
                <w:sz w:val="20"/>
                <w:szCs w:val="20"/>
              </w:rPr>
            </w:pPr>
            <w:r w:rsidRPr="00692AE1">
              <w:rPr>
                <w:sz w:val="20"/>
                <w:szCs w:val="20"/>
              </w:rPr>
              <w:t>2018</w:t>
            </w:r>
          </w:p>
        </w:tc>
      </w:tr>
      <w:tr w:rsidR="00692AE1" w:rsidRPr="00692AE1" w14:paraId="2BF5B002" w14:textId="77777777" w:rsidTr="00692AE1">
        <w:trPr>
          <w:jc w:val="center"/>
        </w:trPr>
        <w:tc>
          <w:tcPr>
            <w:cnfStyle w:val="001000000000" w:firstRow="0" w:lastRow="0" w:firstColumn="1" w:lastColumn="0" w:oddVBand="0" w:evenVBand="0" w:oddHBand="0" w:evenHBand="0" w:firstRowFirstColumn="0" w:firstRowLastColumn="0" w:lastRowFirstColumn="0" w:lastRowLastColumn="0"/>
            <w:tcW w:w="2566" w:type="dxa"/>
          </w:tcPr>
          <w:p w14:paraId="301665A8" w14:textId="77777777" w:rsidR="00692AE1" w:rsidRPr="00692AE1" w:rsidRDefault="00692AE1" w:rsidP="00692AE1">
            <w:pPr>
              <w:spacing w:before="40" w:after="40"/>
              <w:jc w:val="both"/>
              <w:rPr>
                <w:sz w:val="20"/>
                <w:szCs w:val="20"/>
              </w:rPr>
            </w:pPr>
            <w:r w:rsidRPr="00692AE1">
              <w:rPr>
                <w:sz w:val="20"/>
                <w:szCs w:val="20"/>
              </w:rPr>
              <w:t>ESM peļņa vai zaudējumi</w:t>
            </w:r>
          </w:p>
        </w:tc>
        <w:tc>
          <w:tcPr>
            <w:tcW w:w="851" w:type="dxa"/>
          </w:tcPr>
          <w:p w14:paraId="6646B1B9" w14:textId="77777777" w:rsidR="00692AE1" w:rsidRPr="00692AE1" w:rsidRDefault="00692AE1" w:rsidP="00BF641D">
            <w:pPr>
              <w:spacing w:before="40" w:after="40"/>
              <w:jc w:val="center"/>
              <w:cnfStyle w:val="000000000000" w:firstRow="0" w:lastRow="0" w:firstColumn="0" w:lastColumn="0" w:oddVBand="0" w:evenVBand="0" w:oddHBand="0" w:evenHBand="0" w:firstRowFirstColumn="0" w:firstRowLastColumn="0" w:lastRowFirstColumn="0" w:lastRowLastColumn="0"/>
              <w:rPr>
                <w:sz w:val="20"/>
                <w:szCs w:val="20"/>
              </w:rPr>
            </w:pPr>
            <w:r w:rsidRPr="00692AE1">
              <w:rPr>
                <w:sz w:val="20"/>
                <w:szCs w:val="20"/>
              </w:rPr>
              <w:t>-0,5</w:t>
            </w:r>
          </w:p>
        </w:tc>
        <w:tc>
          <w:tcPr>
            <w:tcW w:w="850" w:type="dxa"/>
          </w:tcPr>
          <w:p w14:paraId="411D024A" w14:textId="77777777" w:rsidR="00692AE1" w:rsidRPr="00692AE1" w:rsidRDefault="00692AE1" w:rsidP="00BF641D">
            <w:pPr>
              <w:spacing w:before="40" w:after="40"/>
              <w:jc w:val="center"/>
              <w:cnfStyle w:val="000000000000" w:firstRow="0" w:lastRow="0" w:firstColumn="0" w:lastColumn="0" w:oddVBand="0" w:evenVBand="0" w:oddHBand="0" w:evenHBand="0" w:firstRowFirstColumn="0" w:firstRowLastColumn="0" w:lastRowFirstColumn="0" w:lastRowLastColumn="0"/>
              <w:rPr>
                <w:sz w:val="20"/>
                <w:szCs w:val="20"/>
              </w:rPr>
            </w:pPr>
            <w:r w:rsidRPr="00692AE1">
              <w:rPr>
                <w:sz w:val="20"/>
                <w:szCs w:val="20"/>
              </w:rPr>
              <w:t>253,9</w:t>
            </w:r>
          </w:p>
        </w:tc>
        <w:tc>
          <w:tcPr>
            <w:tcW w:w="844" w:type="dxa"/>
          </w:tcPr>
          <w:p w14:paraId="10EDA2EF" w14:textId="77777777" w:rsidR="00692AE1" w:rsidRPr="00692AE1" w:rsidRDefault="00692AE1" w:rsidP="00BF641D">
            <w:pPr>
              <w:spacing w:before="40" w:after="40"/>
              <w:jc w:val="center"/>
              <w:cnfStyle w:val="000000000000" w:firstRow="0" w:lastRow="0" w:firstColumn="0" w:lastColumn="0" w:oddVBand="0" w:evenVBand="0" w:oddHBand="0" w:evenHBand="0" w:firstRowFirstColumn="0" w:firstRowLastColumn="0" w:lastRowFirstColumn="0" w:lastRowLastColumn="0"/>
              <w:rPr>
                <w:sz w:val="20"/>
                <w:szCs w:val="20"/>
              </w:rPr>
            </w:pPr>
            <w:r w:rsidRPr="00692AE1">
              <w:rPr>
                <w:sz w:val="20"/>
                <w:szCs w:val="20"/>
              </w:rPr>
              <w:t>443,9</w:t>
            </w:r>
          </w:p>
        </w:tc>
        <w:tc>
          <w:tcPr>
            <w:tcW w:w="857" w:type="dxa"/>
          </w:tcPr>
          <w:p w14:paraId="07905A55" w14:textId="77777777" w:rsidR="00692AE1" w:rsidRPr="00692AE1" w:rsidRDefault="00692AE1" w:rsidP="00BF641D">
            <w:pPr>
              <w:spacing w:before="40" w:after="40"/>
              <w:jc w:val="center"/>
              <w:cnfStyle w:val="000000000000" w:firstRow="0" w:lastRow="0" w:firstColumn="0" w:lastColumn="0" w:oddVBand="0" w:evenVBand="0" w:oddHBand="0" w:evenHBand="0" w:firstRowFirstColumn="0" w:firstRowLastColumn="0" w:lastRowFirstColumn="0" w:lastRowLastColumn="0"/>
              <w:rPr>
                <w:sz w:val="20"/>
                <w:szCs w:val="20"/>
              </w:rPr>
            </w:pPr>
            <w:r w:rsidRPr="00692AE1">
              <w:rPr>
                <w:sz w:val="20"/>
                <w:szCs w:val="20"/>
              </w:rPr>
              <w:t>729,4</w:t>
            </w:r>
          </w:p>
        </w:tc>
        <w:tc>
          <w:tcPr>
            <w:tcW w:w="851" w:type="dxa"/>
          </w:tcPr>
          <w:p w14:paraId="47E62880" w14:textId="77777777" w:rsidR="00692AE1" w:rsidRPr="00692AE1" w:rsidRDefault="00692AE1" w:rsidP="00BF641D">
            <w:pPr>
              <w:spacing w:before="40" w:after="40"/>
              <w:jc w:val="center"/>
              <w:cnfStyle w:val="000000000000" w:firstRow="0" w:lastRow="0" w:firstColumn="0" w:lastColumn="0" w:oddVBand="0" w:evenVBand="0" w:oddHBand="0" w:evenHBand="0" w:firstRowFirstColumn="0" w:firstRowLastColumn="0" w:lastRowFirstColumn="0" w:lastRowLastColumn="0"/>
              <w:rPr>
                <w:sz w:val="20"/>
                <w:szCs w:val="20"/>
              </w:rPr>
            </w:pPr>
            <w:r w:rsidRPr="00692AE1">
              <w:rPr>
                <w:sz w:val="20"/>
                <w:szCs w:val="20"/>
              </w:rPr>
              <w:t>568,8</w:t>
            </w:r>
          </w:p>
        </w:tc>
        <w:tc>
          <w:tcPr>
            <w:tcW w:w="850" w:type="dxa"/>
          </w:tcPr>
          <w:p w14:paraId="63AC8420" w14:textId="77777777" w:rsidR="00692AE1" w:rsidRPr="00692AE1" w:rsidRDefault="00692AE1" w:rsidP="00BF641D">
            <w:pPr>
              <w:spacing w:before="40" w:after="40"/>
              <w:jc w:val="center"/>
              <w:cnfStyle w:val="000000000000" w:firstRow="0" w:lastRow="0" w:firstColumn="0" w:lastColumn="0" w:oddVBand="0" w:evenVBand="0" w:oddHBand="0" w:evenHBand="0" w:firstRowFirstColumn="0" w:firstRowLastColumn="0" w:lastRowFirstColumn="0" w:lastRowLastColumn="0"/>
              <w:rPr>
                <w:sz w:val="20"/>
                <w:szCs w:val="20"/>
              </w:rPr>
            </w:pPr>
            <w:r w:rsidRPr="00692AE1">
              <w:rPr>
                <w:sz w:val="20"/>
                <w:szCs w:val="20"/>
              </w:rPr>
              <w:t>68,6</w:t>
            </w:r>
          </w:p>
        </w:tc>
        <w:tc>
          <w:tcPr>
            <w:tcW w:w="851" w:type="dxa"/>
          </w:tcPr>
          <w:p w14:paraId="6C55A05B" w14:textId="77777777" w:rsidR="00692AE1" w:rsidRPr="00692AE1" w:rsidRDefault="00692AE1" w:rsidP="00BF641D">
            <w:pPr>
              <w:spacing w:before="40" w:after="40"/>
              <w:jc w:val="center"/>
              <w:cnfStyle w:val="000000000000" w:firstRow="0" w:lastRow="0" w:firstColumn="0" w:lastColumn="0" w:oddVBand="0" w:evenVBand="0" w:oddHBand="0" w:evenHBand="0" w:firstRowFirstColumn="0" w:firstRowLastColumn="0" w:lastRowFirstColumn="0" w:lastRowLastColumn="0"/>
              <w:rPr>
                <w:sz w:val="20"/>
                <w:szCs w:val="20"/>
              </w:rPr>
            </w:pPr>
            <w:r w:rsidRPr="00692AE1">
              <w:rPr>
                <w:sz w:val="20"/>
                <w:szCs w:val="20"/>
              </w:rPr>
              <w:t>284,7</w:t>
            </w:r>
          </w:p>
        </w:tc>
      </w:tr>
    </w:tbl>
    <w:p w14:paraId="0B6DF467" w14:textId="77777777" w:rsidR="001424FF" w:rsidRDefault="001424FF" w:rsidP="00D2454B">
      <w:pPr>
        <w:jc w:val="both"/>
        <w:rPr>
          <w:sz w:val="20"/>
          <w:szCs w:val="20"/>
        </w:rPr>
      </w:pPr>
    </w:p>
    <w:p w14:paraId="1445C553" w14:textId="77777777" w:rsidR="00D2454B" w:rsidRDefault="00D2454B" w:rsidP="00D2454B">
      <w:pPr>
        <w:jc w:val="both"/>
        <w:rPr>
          <w:sz w:val="20"/>
          <w:szCs w:val="20"/>
        </w:rPr>
      </w:pPr>
    </w:p>
    <w:p w14:paraId="53AFB394" w14:textId="77777777" w:rsidR="00B11113" w:rsidRPr="00B11113" w:rsidRDefault="00091292" w:rsidP="00B11113">
      <w:pPr>
        <w:pStyle w:val="Heading1"/>
        <w:tabs>
          <w:tab w:val="left" w:pos="6840"/>
        </w:tabs>
        <w:rPr>
          <w:rFonts w:ascii="Times New Roman" w:hAnsi="Times New Roman" w:cs="Times New Roman"/>
          <w:color w:val="000000" w:themeColor="text1"/>
          <w:lang w:eastAsia="lv-LV"/>
        </w:rPr>
      </w:pPr>
      <w:r>
        <w:rPr>
          <w:rFonts w:ascii="Times New Roman" w:hAnsi="Times New Roman" w:cs="Times New Roman"/>
          <w:noProof/>
          <w:color w:val="000000" w:themeColor="text1"/>
          <w:sz w:val="24"/>
        </w:rPr>
        <w:t>Finanšu ministrs</w:t>
      </w:r>
      <w:r w:rsidR="00B11113" w:rsidRPr="00B11113">
        <w:rPr>
          <w:rFonts w:ascii="Times New Roman" w:hAnsi="Times New Roman" w:cs="Times New Roman"/>
          <w:noProof/>
          <w:color w:val="000000" w:themeColor="text1"/>
          <w:sz w:val="24"/>
        </w:rPr>
        <w:tab/>
      </w:r>
      <w:r w:rsidR="00AE3856">
        <w:rPr>
          <w:rFonts w:ascii="Times New Roman" w:hAnsi="Times New Roman" w:cs="Times New Roman"/>
          <w:noProof/>
          <w:color w:val="000000" w:themeColor="text1"/>
          <w:sz w:val="24"/>
        </w:rPr>
        <w:t xml:space="preserve"> </w:t>
      </w:r>
      <w:r w:rsidR="009A21B6">
        <w:rPr>
          <w:rFonts w:ascii="Times New Roman" w:hAnsi="Times New Roman" w:cs="Times New Roman"/>
          <w:noProof/>
          <w:color w:val="000000" w:themeColor="text1"/>
          <w:sz w:val="24"/>
        </w:rPr>
        <w:t xml:space="preserve">       </w:t>
      </w:r>
      <w:r w:rsidR="00C81D2D">
        <w:rPr>
          <w:rFonts w:ascii="Times New Roman" w:hAnsi="Times New Roman" w:cs="Times New Roman"/>
          <w:noProof/>
          <w:color w:val="000000" w:themeColor="text1"/>
          <w:sz w:val="24"/>
        </w:rPr>
        <w:t xml:space="preserve">           </w:t>
      </w:r>
      <w:r w:rsidR="00B221BD">
        <w:rPr>
          <w:rFonts w:ascii="Times New Roman" w:hAnsi="Times New Roman" w:cs="Times New Roman"/>
          <w:noProof/>
          <w:color w:val="000000" w:themeColor="text1"/>
          <w:sz w:val="24"/>
        </w:rPr>
        <w:t xml:space="preserve">  </w:t>
      </w:r>
      <w:r w:rsidR="00C81D2D">
        <w:rPr>
          <w:rFonts w:ascii="Times New Roman" w:hAnsi="Times New Roman" w:cs="Times New Roman"/>
          <w:noProof/>
          <w:color w:val="000000" w:themeColor="text1"/>
          <w:sz w:val="24"/>
        </w:rPr>
        <w:t xml:space="preserve">         </w:t>
      </w:r>
      <w:r w:rsidR="009A21B6" w:rsidRPr="00F104F1">
        <w:rPr>
          <w:rFonts w:ascii="Times New Roman" w:hAnsi="Times New Roman" w:cs="Times New Roman"/>
          <w:noProof/>
          <w:color w:val="000000" w:themeColor="text1"/>
          <w:sz w:val="24"/>
        </w:rPr>
        <w:t>J.Reirs</w:t>
      </w:r>
    </w:p>
    <w:p w14:paraId="168917F9" w14:textId="77777777" w:rsidR="00CF216A" w:rsidRPr="00D2454B" w:rsidRDefault="00CF216A" w:rsidP="00D2454B">
      <w:pPr>
        <w:tabs>
          <w:tab w:val="left" w:pos="4216"/>
        </w:tabs>
        <w:jc w:val="both"/>
        <w:rPr>
          <w:sz w:val="16"/>
          <w:szCs w:val="16"/>
        </w:rPr>
      </w:pPr>
    </w:p>
    <w:sectPr w:rsidR="00CF216A" w:rsidRPr="00D2454B" w:rsidSect="00462240">
      <w:headerReference w:type="default" r:id="rId8"/>
      <w:footerReference w:type="default" r:id="rId9"/>
      <w:footerReference w:type="first" r:id="rId10"/>
      <w:pgSz w:w="11906" w:h="16838"/>
      <w:pgMar w:top="709" w:right="1274" w:bottom="1134" w:left="1276"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1FEF6" w14:textId="77777777" w:rsidR="00C80E64" w:rsidRDefault="00C80E64" w:rsidP="001907A7">
      <w:r>
        <w:separator/>
      </w:r>
    </w:p>
  </w:endnote>
  <w:endnote w:type="continuationSeparator" w:id="0">
    <w:p w14:paraId="05C34759" w14:textId="77777777" w:rsidR="00C80E64" w:rsidRDefault="00C80E64" w:rsidP="0019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CC890" w14:textId="086BD6E9" w:rsidR="005B1B7A" w:rsidRDefault="00F721A3" w:rsidP="00FD4846">
    <w:pPr>
      <w:pStyle w:val="Footer"/>
      <w:rPr>
        <w:noProof/>
        <w:sz w:val="20"/>
        <w:szCs w:val="20"/>
      </w:rPr>
    </w:pPr>
    <w:r w:rsidRPr="00F721A3">
      <w:rPr>
        <w:noProof/>
        <w:sz w:val="20"/>
        <w:szCs w:val="20"/>
      </w:rPr>
      <w:t>FMzin_200819_ESM_2018</w:t>
    </w:r>
    <w:r w:rsidR="00447552" w:rsidRPr="00447552">
      <w:rPr>
        <w:noProof/>
        <w:sz w:val="20"/>
        <w:szCs w:val="20"/>
      </w:rPr>
      <w:t>.docx</w:t>
    </w:r>
  </w:p>
  <w:p w14:paraId="27C71FF8" w14:textId="77777777" w:rsidR="00447552" w:rsidRPr="00FD4846" w:rsidRDefault="00447552" w:rsidP="00FD4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0EC2C" w14:textId="4010A03B" w:rsidR="00804885" w:rsidRPr="00FF1FB0" w:rsidRDefault="00FF1FB0" w:rsidP="00804885">
    <w:pPr>
      <w:jc w:val="both"/>
      <w:rPr>
        <w:noProof/>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F721A3" w:rsidRPr="00F721A3">
      <w:rPr>
        <w:noProof/>
        <w:sz w:val="18"/>
        <w:szCs w:val="18"/>
      </w:rPr>
      <w:t>FMzin_200819_ESM_2018</w:t>
    </w:r>
    <w:r w:rsidR="003D3313">
      <w:rPr>
        <w:noProof/>
        <w:sz w:val="18"/>
        <w:szCs w:val="18"/>
      </w:rPr>
      <w:t>.docx</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E3FB9" w14:textId="77777777" w:rsidR="00C80E64" w:rsidRDefault="00C80E64" w:rsidP="001907A7">
      <w:r>
        <w:separator/>
      </w:r>
    </w:p>
  </w:footnote>
  <w:footnote w:type="continuationSeparator" w:id="0">
    <w:p w14:paraId="18B19A27" w14:textId="77777777" w:rsidR="00C80E64" w:rsidRDefault="00C80E64" w:rsidP="001907A7">
      <w:r>
        <w:continuationSeparator/>
      </w:r>
    </w:p>
  </w:footnote>
  <w:footnote w:id="1">
    <w:p w14:paraId="66C65800" w14:textId="77777777" w:rsidR="00617962" w:rsidRPr="00D47BAE" w:rsidRDefault="00617962" w:rsidP="00617962">
      <w:pPr>
        <w:pStyle w:val="FootnoteText"/>
        <w:rPr>
          <w:sz w:val="18"/>
          <w:szCs w:val="18"/>
        </w:rPr>
      </w:pPr>
      <w:r w:rsidRPr="00D47BAE">
        <w:rPr>
          <w:rStyle w:val="FootnoteReference"/>
          <w:sz w:val="18"/>
          <w:szCs w:val="18"/>
        </w:rPr>
        <w:footnoteRef/>
      </w:r>
      <w:r w:rsidRPr="00D47BAE">
        <w:rPr>
          <w:sz w:val="18"/>
          <w:szCs w:val="18"/>
        </w:rPr>
        <w:t xml:space="preserve"> ESM 2018.</w:t>
      </w:r>
      <w:r w:rsidR="00ED1239" w:rsidRPr="00D47BAE">
        <w:rPr>
          <w:sz w:val="18"/>
          <w:szCs w:val="18"/>
        </w:rPr>
        <w:t xml:space="preserve"> </w:t>
      </w:r>
      <w:r w:rsidRPr="00D47BAE">
        <w:rPr>
          <w:sz w:val="18"/>
          <w:szCs w:val="18"/>
        </w:rPr>
        <w:t>gada pārskats publicēts 2019.</w:t>
      </w:r>
      <w:r w:rsidR="00ED1239" w:rsidRPr="00D47BAE">
        <w:rPr>
          <w:sz w:val="18"/>
          <w:szCs w:val="18"/>
        </w:rPr>
        <w:t xml:space="preserve"> </w:t>
      </w:r>
      <w:r w:rsidRPr="00F82711">
        <w:rPr>
          <w:sz w:val="18"/>
          <w:szCs w:val="18"/>
        </w:rPr>
        <w:t>gada 13.</w:t>
      </w:r>
      <w:r w:rsidR="00ED1239" w:rsidRPr="00F82711">
        <w:rPr>
          <w:sz w:val="18"/>
          <w:szCs w:val="18"/>
        </w:rPr>
        <w:t xml:space="preserve"> </w:t>
      </w:r>
      <w:r w:rsidRPr="00F82711">
        <w:rPr>
          <w:sz w:val="18"/>
          <w:szCs w:val="18"/>
        </w:rPr>
        <w:t>jūnijā.</w:t>
      </w:r>
      <w:r w:rsidRPr="00D47BAE">
        <w:rPr>
          <w:sz w:val="18"/>
          <w:szCs w:val="18"/>
        </w:rPr>
        <w:t xml:space="preserve">  </w:t>
      </w:r>
    </w:p>
  </w:footnote>
  <w:footnote w:id="2">
    <w:p w14:paraId="252D5851" w14:textId="77777777" w:rsidR="00ED3F25" w:rsidRDefault="00ED3F25">
      <w:pPr>
        <w:pStyle w:val="FootnoteText"/>
      </w:pPr>
      <w:r>
        <w:rPr>
          <w:rStyle w:val="FootnoteReference"/>
        </w:rPr>
        <w:footnoteRef/>
      </w:r>
      <w:r>
        <w:t xml:space="preserve"> </w:t>
      </w:r>
      <w:r w:rsidRPr="00ED3F25">
        <w:t>https://ec.europa.eu/info/publications/economy-finance/enhanced-surveillance-report-greece-november-2018_en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52100"/>
      <w:docPartObj>
        <w:docPartGallery w:val="Page Numbers (Top of Page)"/>
        <w:docPartUnique/>
      </w:docPartObj>
    </w:sdtPr>
    <w:sdtEndPr>
      <w:rPr>
        <w:noProof/>
        <w:sz w:val="22"/>
      </w:rPr>
    </w:sdtEndPr>
    <w:sdtContent>
      <w:p w14:paraId="2F71331C" w14:textId="517E45CE" w:rsidR="005B1B7A" w:rsidRPr="00A31105" w:rsidRDefault="005B1B7A" w:rsidP="00896C7F">
        <w:pPr>
          <w:pStyle w:val="Header"/>
          <w:jc w:val="center"/>
          <w:rPr>
            <w:sz w:val="22"/>
          </w:rPr>
        </w:pPr>
        <w:r w:rsidRPr="00A31105">
          <w:rPr>
            <w:sz w:val="22"/>
          </w:rPr>
          <w:fldChar w:fldCharType="begin"/>
        </w:r>
        <w:r w:rsidRPr="00A31105">
          <w:rPr>
            <w:sz w:val="22"/>
          </w:rPr>
          <w:instrText xml:space="preserve"> PAGE   \* MERGEFORMAT </w:instrText>
        </w:r>
        <w:r w:rsidRPr="00A31105">
          <w:rPr>
            <w:sz w:val="22"/>
          </w:rPr>
          <w:fldChar w:fldCharType="separate"/>
        </w:r>
        <w:r w:rsidR="00620DBB">
          <w:rPr>
            <w:noProof/>
            <w:sz w:val="22"/>
          </w:rPr>
          <w:t>2</w:t>
        </w:r>
        <w:r w:rsidRPr="00A31105">
          <w:rPr>
            <w:noProof/>
            <w:sz w:val="22"/>
          </w:rPr>
          <w:fldChar w:fldCharType="end"/>
        </w:r>
      </w:p>
    </w:sdtContent>
  </w:sdt>
  <w:p w14:paraId="24C28048" w14:textId="77777777" w:rsidR="00497D97" w:rsidRDefault="00497D9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901"/>
    <w:multiLevelType w:val="hybridMultilevel"/>
    <w:tmpl w:val="F8E27BF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A120161"/>
    <w:multiLevelType w:val="hybridMultilevel"/>
    <w:tmpl w:val="32C8867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056B9E"/>
    <w:multiLevelType w:val="multilevel"/>
    <w:tmpl w:val="014C1A1C"/>
    <w:lvl w:ilvl="0">
      <w:start w:val="1"/>
      <w:numFmt w:val="decimal"/>
      <w:lvlText w:val="%1."/>
      <w:lvlJc w:val="left"/>
      <w:pPr>
        <w:ind w:left="1069" w:hanging="360"/>
      </w:pPr>
      <w:rPr>
        <w:rFonts w:hint="default"/>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BD46648"/>
    <w:multiLevelType w:val="hybridMultilevel"/>
    <w:tmpl w:val="74C2939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217A7BC2"/>
    <w:multiLevelType w:val="hybridMultilevel"/>
    <w:tmpl w:val="433E01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7E7742A"/>
    <w:multiLevelType w:val="hybridMultilevel"/>
    <w:tmpl w:val="93A47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FA2C11"/>
    <w:multiLevelType w:val="hybridMultilevel"/>
    <w:tmpl w:val="7F509B04"/>
    <w:lvl w:ilvl="0" w:tplc="EEF02E40">
      <w:start w:val="2012"/>
      <w:numFmt w:val="bullet"/>
      <w:lvlText w:val="-"/>
      <w:lvlJc w:val="left"/>
      <w:pPr>
        <w:ind w:left="720" w:hanging="360"/>
      </w:pPr>
      <w:rPr>
        <w:rFonts w:ascii="Times New Roman" w:eastAsia="Times New Roman" w:hAnsi="Times New Roman" w:cs="Times New Roman" w:hint="default"/>
      </w:rPr>
    </w:lvl>
    <w:lvl w:ilvl="1" w:tplc="0809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D322336"/>
    <w:multiLevelType w:val="hybridMultilevel"/>
    <w:tmpl w:val="F208E3D8"/>
    <w:lvl w:ilvl="0" w:tplc="EEF02E40">
      <w:start w:val="20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D83356A"/>
    <w:multiLevelType w:val="hybridMultilevel"/>
    <w:tmpl w:val="B25C0E0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0AF63AF"/>
    <w:multiLevelType w:val="multilevel"/>
    <w:tmpl w:val="D562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716853"/>
    <w:multiLevelType w:val="hybridMultilevel"/>
    <w:tmpl w:val="F442085E"/>
    <w:lvl w:ilvl="0" w:tplc="EEF02E40">
      <w:start w:val="2012"/>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15:restartNumberingAfterBreak="0">
    <w:nsid w:val="423C3C52"/>
    <w:multiLevelType w:val="hybridMultilevel"/>
    <w:tmpl w:val="5EF65FF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31D4125"/>
    <w:multiLevelType w:val="hybridMultilevel"/>
    <w:tmpl w:val="CBC60B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54E67EA"/>
    <w:multiLevelType w:val="hybridMultilevel"/>
    <w:tmpl w:val="996E9DD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4" w15:restartNumberingAfterBreak="0">
    <w:nsid w:val="635744F5"/>
    <w:multiLevelType w:val="hybridMultilevel"/>
    <w:tmpl w:val="4052F8A4"/>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15:restartNumberingAfterBreak="0">
    <w:nsid w:val="65AE1497"/>
    <w:multiLevelType w:val="multilevel"/>
    <w:tmpl w:val="014C1A1C"/>
    <w:lvl w:ilvl="0">
      <w:start w:val="1"/>
      <w:numFmt w:val="decimal"/>
      <w:lvlText w:val="%1."/>
      <w:lvlJc w:val="left"/>
      <w:pPr>
        <w:ind w:left="1069" w:hanging="360"/>
      </w:pPr>
      <w:rPr>
        <w:rFonts w:hint="default"/>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6C4D0A2A"/>
    <w:multiLevelType w:val="multilevel"/>
    <w:tmpl w:val="014C1A1C"/>
    <w:lvl w:ilvl="0">
      <w:start w:val="1"/>
      <w:numFmt w:val="decimal"/>
      <w:lvlText w:val="%1."/>
      <w:lvlJc w:val="left"/>
      <w:pPr>
        <w:ind w:left="1069" w:hanging="360"/>
      </w:pPr>
      <w:rPr>
        <w:rFonts w:hint="default"/>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70997F96"/>
    <w:multiLevelType w:val="hybridMultilevel"/>
    <w:tmpl w:val="E744B964"/>
    <w:lvl w:ilvl="0" w:tplc="EEF02E40">
      <w:start w:val="2012"/>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8" w15:restartNumberingAfterBreak="0">
    <w:nsid w:val="7B041730"/>
    <w:multiLevelType w:val="hybridMultilevel"/>
    <w:tmpl w:val="9FA401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CD432F9"/>
    <w:multiLevelType w:val="hybridMultilevel"/>
    <w:tmpl w:val="813AF68C"/>
    <w:lvl w:ilvl="0" w:tplc="04260005">
      <w:start w:val="1"/>
      <w:numFmt w:val="bullet"/>
      <w:lvlText w:val=""/>
      <w:lvlJc w:val="left"/>
      <w:pPr>
        <w:ind w:left="757" w:hanging="360"/>
      </w:pPr>
      <w:rPr>
        <w:rFonts w:ascii="Wingdings" w:hAnsi="Wingdings"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20" w15:restartNumberingAfterBreak="0">
    <w:nsid w:val="7E6C3CFC"/>
    <w:multiLevelType w:val="hybridMultilevel"/>
    <w:tmpl w:val="C2C6B8C6"/>
    <w:lvl w:ilvl="0" w:tplc="EEF02E40">
      <w:start w:val="201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4"/>
  </w:num>
  <w:num w:numId="4">
    <w:abstractNumId w:val="0"/>
  </w:num>
  <w:num w:numId="5">
    <w:abstractNumId w:val="19"/>
  </w:num>
  <w:num w:numId="6">
    <w:abstractNumId w:val="3"/>
  </w:num>
  <w:num w:numId="7">
    <w:abstractNumId w:val="4"/>
  </w:num>
  <w:num w:numId="8">
    <w:abstractNumId w:val="18"/>
  </w:num>
  <w:num w:numId="9">
    <w:abstractNumId w:val="12"/>
  </w:num>
  <w:num w:numId="10">
    <w:abstractNumId w:val="11"/>
  </w:num>
  <w:num w:numId="11">
    <w:abstractNumId w:val="1"/>
  </w:num>
  <w:num w:numId="12">
    <w:abstractNumId w:val="8"/>
  </w:num>
  <w:num w:numId="13">
    <w:abstractNumId w:val="13"/>
  </w:num>
  <w:num w:numId="14">
    <w:abstractNumId w:val="16"/>
  </w:num>
  <w:num w:numId="15">
    <w:abstractNumId w:val="17"/>
  </w:num>
  <w:num w:numId="16">
    <w:abstractNumId w:val="10"/>
  </w:num>
  <w:num w:numId="17">
    <w:abstractNumId w:val="20"/>
  </w:num>
  <w:num w:numId="18">
    <w:abstractNumId w:val="6"/>
  </w:num>
  <w:num w:numId="19">
    <w:abstractNumId w:val="7"/>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9F"/>
    <w:rsid w:val="0000092A"/>
    <w:rsid w:val="00000971"/>
    <w:rsid w:val="00000D0D"/>
    <w:rsid w:val="00004B78"/>
    <w:rsid w:val="00004DF1"/>
    <w:rsid w:val="00004E13"/>
    <w:rsid w:val="0000616B"/>
    <w:rsid w:val="00014BC7"/>
    <w:rsid w:val="0002018B"/>
    <w:rsid w:val="00032C70"/>
    <w:rsid w:val="0003320B"/>
    <w:rsid w:val="00033372"/>
    <w:rsid w:val="00033A36"/>
    <w:rsid w:val="000357AB"/>
    <w:rsid w:val="00036CBF"/>
    <w:rsid w:val="00041182"/>
    <w:rsid w:val="000415DE"/>
    <w:rsid w:val="00041D64"/>
    <w:rsid w:val="00042155"/>
    <w:rsid w:val="00042954"/>
    <w:rsid w:val="000430F2"/>
    <w:rsid w:val="000443F9"/>
    <w:rsid w:val="00051835"/>
    <w:rsid w:val="00052415"/>
    <w:rsid w:val="000546FE"/>
    <w:rsid w:val="000553F9"/>
    <w:rsid w:val="00057128"/>
    <w:rsid w:val="00060396"/>
    <w:rsid w:val="00061979"/>
    <w:rsid w:val="00065412"/>
    <w:rsid w:val="000702C9"/>
    <w:rsid w:val="000753CB"/>
    <w:rsid w:val="0008170F"/>
    <w:rsid w:val="0008199E"/>
    <w:rsid w:val="00084DC8"/>
    <w:rsid w:val="00085635"/>
    <w:rsid w:val="00090C27"/>
    <w:rsid w:val="00091292"/>
    <w:rsid w:val="000A0264"/>
    <w:rsid w:val="000A07C1"/>
    <w:rsid w:val="000B13AC"/>
    <w:rsid w:val="000B18F7"/>
    <w:rsid w:val="000B1FC7"/>
    <w:rsid w:val="000B4FF2"/>
    <w:rsid w:val="000B529B"/>
    <w:rsid w:val="000B540C"/>
    <w:rsid w:val="000B5B8A"/>
    <w:rsid w:val="000C076D"/>
    <w:rsid w:val="000C45E9"/>
    <w:rsid w:val="000C5365"/>
    <w:rsid w:val="000C5D0C"/>
    <w:rsid w:val="000C7419"/>
    <w:rsid w:val="000D2339"/>
    <w:rsid w:val="000D4194"/>
    <w:rsid w:val="000D5783"/>
    <w:rsid w:val="000E3AB8"/>
    <w:rsid w:val="000E698F"/>
    <w:rsid w:val="000E7D90"/>
    <w:rsid w:val="000F00DF"/>
    <w:rsid w:val="000F237C"/>
    <w:rsid w:val="000F4067"/>
    <w:rsid w:val="000F48EA"/>
    <w:rsid w:val="00100216"/>
    <w:rsid w:val="00101D4E"/>
    <w:rsid w:val="00102197"/>
    <w:rsid w:val="00105EEE"/>
    <w:rsid w:val="001113BF"/>
    <w:rsid w:val="001145D4"/>
    <w:rsid w:val="00122D35"/>
    <w:rsid w:val="0012434F"/>
    <w:rsid w:val="00124DEE"/>
    <w:rsid w:val="00125B6D"/>
    <w:rsid w:val="00126779"/>
    <w:rsid w:val="00127E5D"/>
    <w:rsid w:val="0013137B"/>
    <w:rsid w:val="00131D60"/>
    <w:rsid w:val="00141D76"/>
    <w:rsid w:val="001420FB"/>
    <w:rsid w:val="001424FF"/>
    <w:rsid w:val="00143EEE"/>
    <w:rsid w:val="0014588E"/>
    <w:rsid w:val="00146655"/>
    <w:rsid w:val="001503D4"/>
    <w:rsid w:val="00151A50"/>
    <w:rsid w:val="00157DB9"/>
    <w:rsid w:val="0016203E"/>
    <w:rsid w:val="001643D0"/>
    <w:rsid w:val="001672A6"/>
    <w:rsid w:val="00171469"/>
    <w:rsid w:val="00171BE2"/>
    <w:rsid w:val="00173195"/>
    <w:rsid w:val="0017633C"/>
    <w:rsid w:val="0018674C"/>
    <w:rsid w:val="001907A7"/>
    <w:rsid w:val="00192C59"/>
    <w:rsid w:val="001953F5"/>
    <w:rsid w:val="001960C9"/>
    <w:rsid w:val="00196E53"/>
    <w:rsid w:val="001A2456"/>
    <w:rsid w:val="001A4106"/>
    <w:rsid w:val="001A7C49"/>
    <w:rsid w:val="001A7F8F"/>
    <w:rsid w:val="001B1337"/>
    <w:rsid w:val="001B19A6"/>
    <w:rsid w:val="001B5973"/>
    <w:rsid w:val="001B7BA9"/>
    <w:rsid w:val="001C1B34"/>
    <w:rsid w:val="001C1D85"/>
    <w:rsid w:val="001C2094"/>
    <w:rsid w:val="001C32E4"/>
    <w:rsid w:val="001C4618"/>
    <w:rsid w:val="001C55AA"/>
    <w:rsid w:val="001C7FED"/>
    <w:rsid w:val="001D0841"/>
    <w:rsid w:val="001D63F2"/>
    <w:rsid w:val="001E3573"/>
    <w:rsid w:val="001E3DD6"/>
    <w:rsid w:val="001E7658"/>
    <w:rsid w:val="001E79A9"/>
    <w:rsid w:val="001F006C"/>
    <w:rsid w:val="001F3658"/>
    <w:rsid w:val="001F5245"/>
    <w:rsid w:val="001F57B3"/>
    <w:rsid w:val="001F7A49"/>
    <w:rsid w:val="0020097B"/>
    <w:rsid w:val="002018E8"/>
    <w:rsid w:val="00202D1F"/>
    <w:rsid w:val="00204419"/>
    <w:rsid w:val="00205871"/>
    <w:rsid w:val="002102E3"/>
    <w:rsid w:val="00210F31"/>
    <w:rsid w:val="00210F59"/>
    <w:rsid w:val="00221D74"/>
    <w:rsid w:val="00222243"/>
    <w:rsid w:val="0022352E"/>
    <w:rsid w:val="002239E0"/>
    <w:rsid w:val="002245D4"/>
    <w:rsid w:val="00225BE6"/>
    <w:rsid w:val="002307F3"/>
    <w:rsid w:val="0023328D"/>
    <w:rsid w:val="00233BEA"/>
    <w:rsid w:val="00233E6D"/>
    <w:rsid w:val="002373FE"/>
    <w:rsid w:val="00240A47"/>
    <w:rsid w:val="0024294E"/>
    <w:rsid w:val="0024666A"/>
    <w:rsid w:val="00246D5D"/>
    <w:rsid w:val="00246F94"/>
    <w:rsid w:val="00254817"/>
    <w:rsid w:val="00257A47"/>
    <w:rsid w:val="002601B4"/>
    <w:rsid w:val="00260B26"/>
    <w:rsid w:val="00263737"/>
    <w:rsid w:val="00265EF8"/>
    <w:rsid w:val="002713EE"/>
    <w:rsid w:val="002715CA"/>
    <w:rsid w:val="00273663"/>
    <w:rsid w:val="002764F1"/>
    <w:rsid w:val="002774B1"/>
    <w:rsid w:val="00277AC8"/>
    <w:rsid w:val="00277D1B"/>
    <w:rsid w:val="00277D76"/>
    <w:rsid w:val="00280255"/>
    <w:rsid w:val="002848A6"/>
    <w:rsid w:val="00284E15"/>
    <w:rsid w:val="00287D40"/>
    <w:rsid w:val="0029137B"/>
    <w:rsid w:val="002920DF"/>
    <w:rsid w:val="002924A1"/>
    <w:rsid w:val="00293A15"/>
    <w:rsid w:val="00296AC1"/>
    <w:rsid w:val="002A2D30"/>
    <w:rsid w:val="002A5780"/>
    <w:rsid w:val="002A6276"/>
    <w:rsid w:val="002A7ADA"/>
    <w:rsid w:val="002B22DD"/>
    <w:rsid w:val="002B4459"/>
    <w:rsid w:val="002B46EA"/>
    <w:rsid w:val="002B54BC"/>
    <w:rsid w:val="002B6B90"/>
    <w:rsid w:val="002C0546"/>
    <w:rsid w:val="002C13FC"/>
    <w:rsid w:val="002C3BC5"/>
    <w:rsid w:val="002D12F8"/>
    <w:rsid w:val="002D1435"/>
    <w:rsid w:val="002D2D0B"/>
    <w:rsid w:val="002D351A"/>
    <w:rsid w:val="002D3808"/>
    <w:rsid w:val="002D3D40"/>
    <w:rsid w:val="002D3E68"/>
    <w:rsid w:val="002D70ED"/>
    <w:rsid w:val="002E12CB"/>
    <w:rsid w:val="002E2149"/>
    <w:rsid w:val="002E416D"/>
    <w:rsid w:val="002E422A"/>
    <w:rsid w:val="002E6FC2"/>
    <w:rsid w:val="002F4990"/>
    <w:rsid w:val="002F7DC9"/>
    <w:rsid w:val="002F7FB5"/>
    <w:rsid w:val="00302D46"/>
    <w:rsid w:val="00303D5F"/>
    <w:rsid w:val="0030497D"/>
    <w:rsid w:val="00305DC0"/>
    <w:rsid w:val="0030661F"/>
    <w:rsid w:val="003200F7"/>
    <w:rsid w:val="00321309"/>
    <w:rsid w:val="00325000"/>
    <w:rsid w:val="00325E12"/>
    <w:rsid w:val="00327473"/>
    <w:rsid w:val="00327D5C"/>
    <w:rsid w:val="00331EFA"/>
    <w:rsid w:val="00336790"/>
    <w:rsid w:val="00337E78"/>
    <w:rsid w:val="00346138"/>
    <w:rsid w:val="003537F5"/>
    <w:rsid w:val="003540A8"/>
    <w:rsid w:val="00357760"/>
    <w:rsid w:val="0036034E"/>
    <w:rsid w:val="003604A0"/>
    <w:rsid w:val="00361095"/>
    <w:rsid w:val="00365447"/>
    <w:rsid w:val="00365FAB"/>
    <w:rsid w:val="0036609C"/>
    <w:rsid w:val="00371C18"/>
    <w:rsid w:val="00372DDE"/>
    <w:rsid w:val="003738C6"/>
    <w:rsid w:val="0037448F"/>
    <w:rsid w:val="00376402"/>
    <w:rsid w:val="00377E10"/>
    <w:rsid w:val="00380BC8"/>
    <w:rsid w:val="00381906"/>
    <w:rsid w:val="0038266A"/>
    <w:rsid w:val="00382674"/>
    <w:rsid w:val="0038519E"/>
    <w:rsid w:val="00385E18"/>
    <w:rsid w:val="003869A2"/>
    <w:rsid w:val="00392FC8"/>
    <w:rsid w:val="00393AFB"/>
    <w:rsid w:val="003A0482"/>
    <w:rsid w:val="003A0EC6"/>
    <w:rsid w:val="003A1421"/>
    <w:rsid w:val="003A2703"/>
    <w:rsid w:val="003A2FFA"/>
    <w:rsid w:val="003A3BCE"/>
    <w:rsid w:val="003A7D77"/>
    <w:rsid w:val="003C03BE"/>
    <w:rsid w:val="003C40F7"/>
    <w:rsid w:val="003C472D"/>
    <w:rsid w:val="003C62E5"/>
    <w:rsid w:val="003D2C89"/>
    <w:rsid w:val="003D3313"/>
    <w:rsid w:val="003D3B72"/>
    <w:rsid w:val="003D486A"/>
    <w:rsid w:val="003D79C9"/>
    <w:rsid w:val="003E67F9"/>
    <w:rsid w:val="003F0316"/>
    <w:rsid w:val="003F0F01"/>
    <w:rsid w:val="003F4BE0"/>
    <w:rsid w:val="00400110"/>
    <w:rsid w:val="00403BE4"/>
    <w:rsid w:val="0040727A"/>
    <w:rsid w:val="0041354F"/>
    <w:rsid w:val="00413851"/>
    <w:rsid w:val="004201EB"/>
    <w:rsid w:val="00422C1A"/>
    <w:rsid w:val="004248FE"/>
    <w:rsid w:val="004257A2"/>
    <w:rsid w:val="00426DDA"/>
    <w:rsid w:val="004333B1"/>
    <w:rsid w:val="00434122"/>
    <w:rsid w:val="0043593D"/>
    <w:rsid w:val="004370EC"/>
    <w:rsid w:val="0044061A"/>
    <w:rsid w:val="00440F0E"/>
    <w:rsid w:val="004410F8"/>
    <w:rsid w:val="00441B6B"/>
    <w:rsid w:val="00447552"/>
    <w:rsid w:val="004502A9"/>
    <w:rsid w:val="00452349"/>
    <w:rsid w:val="004530C9"/>
    <w:rsid w:val="00461FE6"/>
    <w:rsid w:val="00462240"/>
    <w:rsid w:val="00463107"/>
    <w:rsid w:val="00463C73"/>
    <w:rsid w:val="0046422B"/>
    <w:rsid w:val="00467C93"/>
    <w:rsid w:val="00470EBE"/>
    <w:rsid w:val="00472AC6"/>
    <w:rsid w:val="0047337B"/>
    <w:rsid w:val="00475EBE"/>
    <w:rsid w:val="004805C3"/>
    <w:rsid w:val="00480D71"/>
    <w:rsid w:val="00480DB4"/>
    <w:rsid w:val="00481EC5"/>
    <w:rsid w:val="00483B38"/>
    <w:rsid w:val="00485A69"/>
    <w:rsid w:val="00486227"/>
    <w:rsid w:val="004901FB"/>
    <w:rsid w:val="00494ECF"/>
    <w:rsid w:val="004960EF"/>
    <w:rsid w:val="00497D97"/>
    <w:rsid w:val="00497EB7"/>
    <w:rsid w:val="004A12D9"/>
    <w:rsid w:val="004A5280"/>
    <w:rsid w:val="004A59BA"/>
    <w:rsid w:val="004A7DAD"/>
    <w:rsid w:val="004B0EC0"/>
    <w:rsid w:val="004B115F"/>
    <w:rsid w:val="004B33A0"/>
    <w:rsid w:val="004B3996"/>
    <w:rsid w:val="004B6A15"/>
    <w:rsid w:val="004C1197"/>
    <w:rsid w:val="004C2792"/>
    <w:rsid w:val="004C2FFF"/>
    <w:rsid w:val="004C31FD"/>
    <w:rsid w:val="004C4B2C"/>
    <w:rsid w:val="004C5DF6"/>
    <w:rsid w:val="004D1073"/>
    <w:rsid w:val="004D18B9"/>
    <w:rsid w:val="004D2877"/>
    <w:rsid w:val="004D4710"/>
    <w:rsid w:val="004D5485"/>
    <w:rsid w:val="004E2EE9"/>
    <w:rsid w:val="004E5B2C"/>
    <w:rsid w:val="004F02AD"/>
    <w:rsid w:val="004F31B4"/>
    <w:rsid w:val="004F3AD4"/>
    <w:rsid w:val="004F74A5"/>
    <w:rsid w:val="00502D31"/>
    <w:rsid w:val="005040EB"/>
    <w:rsid w:val="00505E01"/>
    <w:rsid w:val="00512201"/>
    <w:rsid w:val="00513965"/>
    <w:rsid w:val="00513E8F"/>
    <w:rsid w:val="00516182"/>
    <w:rsid w:val="00520B86"/>
    <w:rsid w:val="005220CE"/>
    <w:rsid w:val="00522FBC"/>
    <w:rsid w:val="00523B26"/>
    <w:rsid w:val="005266B8"/>
    <w:rsid w:val="00527C4A"/>
    <w:rsid w:val="005331AC"/>
    <w:rsid w:val="005338F1"/>
    <w:rsid w:val="00534A3A"/>
    <w:rsid w:val="00542E18"/>
    <w:rsid w:val="005438CE"/>
    <w:rsid w:val="00546390"/>
    <w:rsid w:val="0054738D"/>
    <w:rsid w:val="00557EFA"/>
    <w:rsid w:val="00560607"/>
    <w:rsid w:val="00560C13"/>
    <w:rsid w:val="00560F9A"/>
    <w:rsid w:val="00564783"/>
    <w:rsid w:val="0056686E"/>
    <w:rsid w:val="005676C1"/>
    <w:rsid w:val="00567D43"/>
    <w:rsid w:val="00570769"/>
    <w:rsid w:val="00573E7C"/>
    <w:rsid w:val="005764A0"/>
    <w:rsid w:val="00581E46"/>
    <w:rsid w:val="005835CE"/>
    <w:rsid w:val="00583715"/>
    <w:rsid w:val="005871E8"/>
    <w:rsid w:val="005900EA"/>
    <w:rsid w:val="00591A7B"/>
    <w:rsid w:val="00593D13"/>
    <w:rsid w:val="00593F53"/>
    <w:rsid w:val="00595DDF"/>
    <w:rsid w:val="005966DB"/>
    <w:rsid w:val="005A0FBC"/>
    <w:rsid w:val="005A10A1"/>
    <w:rsid w:val="005A2D2E"/>
    <w:rsid w:val="005A4A5D"/>
    <w:rsid w:val="005A4F0B"/>
    <w:rsid w:val="005A52BF"/>
    <w:rsid w:val="005A77B8"/>
    <w:rsid w:val="005B0C8D"/>
    <w:rsid w:val="005B1B7A"/>
    <w:rsid w:val="005C2CDE"/>
    <w:rsid w:val="005C4DF2"/>
    <w:rsid w:val="005C6909"/>
    <w:rsid w:val="005C7085"/>
    <w:rsid w:val="005D083C"/>
    <w:rsid w:val="005D3D36"/>
    <w:rsid w:val="005D4A62"/>
    <w:rsid w:val="005D5B6C"/>
    <w:rsid w:val="005E160B"/>
    <w:rsid w:val="005E4C19"/>
    <w:rsid w:val="005E6CED"/>
    <w:rsid w:val="005F4C6F"/>
    <w:rsid w:val="005F765C"/>
    <w:rsid w:val="005F79AE"/>
    <w:rsid w:val="00601021"/>
    <w:rsid w:val="006035AB"/>
    <w:rsid w:val="00603D6D"/>
    <w:rsid w:val="00604B52"/>
    <w:rsid w:val="00607189"/>
    <w:rsid w:val="006071D5"/>
    <w:rsid w:val="00610586"/>
    <w:rsid w:val="0061244D"/>
    <w:rsid w:val="00617962"/>
    <w:rsid w:val="00620DBB"/>
    <w:rsid w:val="00621139"/>
    <w:rsid w:val="00627447"/>
    <w:rsid w:val="00630BE5"/>
    <w:rsid w:val="00630D84"/>
    <w:rsid w:val="00630DCC"/>
    <w:rsid w:val="006342BD"/>
    <w:rsid w:val="00634329"/>
    <w:rsid w:val="00640203"/>
    <w:rsid w:val="00640508"/>
    <w:rsid w:val="00640764"/>
    <w:rsid w:val="006418BD"/>
    <w:rsid w:val="00644FFB"/>
    <w:rsid w:val="00647316"/>
    <w:rsid w:val="00647669"/>
    <w:rsid w:val="00650DD5"/>
    <w:rsid w:val="00651B86"/>
    <w:rsid w:val="00652E23"/>
    <w:rsid w:val="00656194"/>
    <w:rsid w:val="006562FA"/>
    <w:rsid w:val="00656E6B"/>
    <w:rsid w:val="00662DC9"/>
    <w:rsid w:val="00667242"/>
    <w:rsid w:val="0066772C"/>
    <w:rsid w:val="00670A46"/>
    <w:rsid w:val="006710BE"/>
    <w:rsid w:val="0067361D"/>
    <w:rsid w:val="00674437"/>
    <w:rsid w:val="00676760"/>
    <w:rsid w:val="00677C64"/>
    <w:rsid w:val="0068172B"/>
    <w:rsid w:val="006826E5"/>
    <w:rsid w:val="00684983"/>
    <w:rsid w:val="00684E57"/>
    <w:rsid w:val="00686C29"/>
    <w:rsid w:val="0069097F"/>
    <w:rsid w:val="00690AB3"/>
    <w:rsid w:val="00692AE1"/>
    <w:rsid w:val="0069433F"/>
    <w:rsid w:val="006A13FF"/>
    <w:rsid w:val="006A16B0"/>
    <w:rsid w:val="006A1A20"/>
    <w:rsid w:val="006A391B"/>
    <w:rsid w:val="006A623C"/>
    <w:rsid w:val="006A7D2C"/>
    <w:rsid w:val="006B33BE"/>
    <w:rsid w:val="006B3A51"/>
    <w:rsid w:val="006B54DE"/>
    <w:rsid w:val="006B556B"/>
    <w:rsid w:val="006C06D7"/>
    <w:rsid w:val="006C145B"/>
    <w:rsid w:val="006C4CDE"/>
    <w:rsid w:val="006C6A48"/>
    <w:rsid w:val="006C7829"/>
    <w:rsid w:val="006D6BDF"/>
    <w:rsid w:val="006D7378"/>
    <w:rsid w:val="006D7475"/>
    <w:rsid w:val="006E6EA4"/>
    <w:rsid w:val="006E7176"/>
    <w:rsid w:val="006F3C7E"/>
    <w:rsid w:val="006F6122"/>
    <w:rsid w:val="006F6E9E"/>
    <w:rsid w:val="006F7EE6"/>
    <w:rsid w:val="007009DC"/>
    <w:rsid w:val="0070151F"/>
    <w:rsid w:val="007057BE"/>
    <w:rsid w:val="007065B4"/>
    <w:rsid w:val="007072BC"/>
    <w:rsid w:val="007103D1"/>
    <w:rsid w:val="00711962"/>
    <w:rsid w:val="007145BE"/>
    <w:rsid w:val="00715C24"/>
    <w:rsid w:val="00715D4D"/>
    <w:rsid w:val="00721B0C"/>
    <w:rsid w:val="00723595"/>
    <w:rsid w:val="007300DA"/>
    <w:rsid w:val="00731D50"/>
    <w:rsid w:val="007327DE"/>
    <w:rsid w:val="00732B07"/>
    <w:rsid w:val="0073395D"/>
    <w:rsid w:val="007344E6"/>
    <w:rsid w:val="00735274"/>
    <w:rsid w:val="00735876"/>
    <w:rsid w:val="00735C9F"/>
    <w:rsid w:val="00736271"/>
    <w:rsid w:val="00736A7E"/>
    <w:rsid w:val="0073785B"/>
    <w:rsid w:val="007408FE"/>
    <w:rsid w:val="007444C1"/>
    <w:rsid w:val="007448F4"/>
    <w:rsid w:val="00747176"/>
    <w:rsid w:val="00752648"/>
    <w:rsid w:val="007622BA"/>
    <w:rsid w:val="0076311D"/>
    <w:rsid w:val="0076340D"/>
    <w:rsid w:val="007717BD"/>
    <w:rsid w:val="00772672"/>
    <w:rsid w:val="007739F3"/>
    <w:rsid w:val="00780130"/>
    <w:rsid w:val="007805C2"/>
    <w:rsid w:val="00783688"/>
    <w:rsid w:val="00783B9C"/>
    <w:rsid w:val="0078797C"/>
    <w:rsid w:val="00791142"/>
    <w:rsid w:val="00792523"/>
    <w:rsid w:val="00794726"/>
    <w:rsid w:val="00794FDC"/>
    <w:rsid w:val="007A0768"/>
    <w:rsid w:val="007A1031"/>
    <w:rsid w:val="007A10AA"/>
    <w:rsid w:val="007A1D60"/>
    <w:rsid w:val="007A1DE9"/>
    <w:rsid w:val="007A2797"/>
    <w:rsid w:val="007A2B19"/>
    <w:rsid w:val="007A2B6B"/>
    <w:rsid w:val="007A356C"/>
    <w:rsid w:val="007B04A8"/>
    <w:rsid w:val="007B103C"/>
    <w:rsid w:val="007B50D2"/>
    <w:rsid w:val="007B55FB"/>
    <w:rsid w:val="007C2C19"/>
    <w:rsid w:val="007C6A47"/>
    <w:rsid w:val="007C6AF9"/>
    <w:rsid w:val="007C7942"/>
    <w:rsid w:val="007D1C2E"/>
    <w:rsid w:val="007D48E9"/>
    <w:rsid w:val="007E110C"/>
    <w:rsid w:val="007E2ADD"/>
    <w:rsid w:val="007F061A"/>
    <w:rsid w:val="007F0CE5"/>
    <w:rsid w:val="007F1153"/>
    <w:rsid w:val="007F3A21"/>
    <w:rsid w:val="007F5EDD"/>
    <w:rsid w:val="007F6361"/>
    <w:rsid w:val="008014FA"/>
    <w:rsid w:val="008015BB"/>
    <w:rsid w:val="00804885"/>
    <w:rsid w:val="00805C4A"/>
    <w:rsid w:val="0080654E"/>
    <w:rsid w:val="008114CC"/>
    <w:rsid w:val="00813AE6"/>
    <w:rsid w:val="008150E1"/>
    <w:rsid w:val="00817609"/>
    <w:rsid w:val="00821ABE"/>
    <w:rsid w:val="00823887"/>
    <w:rsid w:val="00827A65"/>
    <w:rsid w:val="008333C4"/>
    <w:rsid w:val="008364B0"/>
    <w:rsid w:val="00842BEA"/>
    <w:rsid w:val="0084577F"/>
    <w:rsid w:val="00851B89"/>
    <w:rsid w:val="00851E44"/>
    <w:rsid w:val="00852268"/>
    <w:rsid w:val="00856BC7"/>
    <w:rsid w:val="00862E26"/>
    <w:rsid w:val="0086357A"/>
    <w:rsid w:val="008648C4"/>
    <w:rsid w:val="00865FC9"/>
    <w:rsid w:val="008670DD"/>
    <w:rsid w:val="00872153"/>
    <w:rsid w:val="00874B6B"/>
    <w:rsid w:val="0088149C"/>
    <w:rsid w:val="00881652"/>
    <w:rsid w:val="00884942"/>
    <w:rsid w:val="00886683"/>
    <w:rsid w:val="00890704"/>
    <w:rsid w:val="00892E29"/>
    <w:rsid w:val="00894248"/>
    <w:rsid w:val="0089427A"/>
    <w:rsid w:val="00896C7F"/>
    <w:rsid w:val="008A03CC"/>
    <w:rsid w:val="008A246F"/>
    <w:rsid w:val="008A4EC4"/>
    <w:rsid w:val="008B1CA2"/>
    <w:rsid w:val="008C151A"/>
    <w:rsid w:val="008C3E65"/>
    <w:rsid w:val="008C53E4"/>
    <w:rsid w:val="008C5F43"/>
    <w:rsid w:val="008C7216"/>
    <w:rsid w:val="008D010E"/>
    <w:rsid w:val="008D5DCC"/>
    <w:rsid w:val="008D6E8D"/>
    <w:rsid w:val="008D7A04"/>
    <w:rsid w:val="008D7D5F"/>
    <w:rsid w:val="008E17B8"/>
    <w:rsid w:val="008E1F8B"/>
    <w:rsid w:val="008E3C46"/>
    <w:rsid w:val="008E56A0"/>
    <w:rsid w:val="008F0BF6"/>
    <w:rsid w:val="008F0E26"/>
    <w:rsid w:val="008F4DE7"/>
    <w:rsid w:val="008F75BB"/>
    <w:rsid w:val="008F7805"/>
    <w:rsid w:val="00907846"/>
    <w:rsid w:val="00911591"/>
    <w:rsid w:val="00914E9C"/>
    <w:rsid w:val="00915E22"/>
    <w:rsid w:val="009214E7"/>
    <w:rsid w:val="00921961"/>
    <w:rsid w:val="0092271A"/>
    <w:rsid w:val="00923E49"/>
    <w:rsid w:val="00925F4F"/>
    <w:rsid w:val="00931661"/>
    <w:rsid w:val="00931C0B"/>
    <w:rsid w:val="00936759"/>
    <w:rsid w:val="00937054"/>
    <w:rsid w:val="00940BE5"/>
    <w:rsid w:val="009524FE"/>
    <w:rsid w:val="00953357"/>
    <w:rsid w:val="009539D4"/>
    <w:rsid w:val="00955B5B"/>
    <w:rsid w:val="009561B3"/>
    <w:rsid w:val="0095622F"/>
    <w:rsid w:val="00956CB7"/>
    <w:rsid w:val="009574EF"/>
    <w:rsid w:val="0095756F"/>
    <w:rsid w:val="00960E12"/>
    <w:rsid w:val="00962587"/>
    <w:rsid w:val="009650E5"/>
    <w:rsid w:val="00977742"/>
    <w:rsid w:val="00977AE0"/>
    <w:rsid w:val="00981C09"/>
    <w:rsid w:val="00985AE8"/>
    <w:rsid w:val="009915AA"/>
    <w:rsid w:val="00992342"/>
    <w:rsid w:val="00992B5B"/>
    <w:rsid w:val="009930A8"/>
    <w:rsid w:val="0099344B"/>
    <w:rsid w:val="009935FA"/>
    <w:rsid w:val="00994794"/>
    <w:rsid w:val="00994ECF"/>
    <w:rsid w:val="00996800"/>
    <w:rsid w:val="00996C40"/>
    <w:rsid w:val="009A0F7A"/>
    <w:rsid w:val="009A13DB"/>
    <w:rsid w:val="009A21B6"/>
    <w:rsid w:val="009A2C69"/>
    <w:rsid w:val="009A545C"/>
    <w:rsid w:val="009A6EAD"/>
    <w:rsid w:val="009B313B"/>
    <w:rsid w:val="009B403B"/>
    <w:rsid w:val="009B4CCB"/>
    <w:rsid w:val="009B519E"/>
    <w:rsid w:val="009B6F55"/>
    <w:rsid w:val="009B706A"/>
    <w:rsid w:val="009B7ED1"/>
    <w:rsid w:val="009C044F"/>
    <w:rsid w:val="009C0944"/>
    <w:rsid w:val="009C2E03"/>
    <w:rsid w:val="009C2FBF"/>
    <w:rsid w:val="009C438F"/>
    <w:rsid w:val="009C6995"/>
    <w:rsid w:val="009D28A5"/>
    <w:rsid w:val="009D422E"/>
    <w:rsid w:val="009D5A2C"/>
    <w:rsid w:val="009D759F"/>
    <w:rsid w:val="009E5800"/>
    <w:rsid w:val="009F0F00"/>
    <w:rsid w:val="009F0FDA"/>
    <w:rsid w:val="009F143A"/>
    <w:rsid w:val="009F3285"/>
    <w:rsid w:val="009F3B4C"/>
    <w:rsid w:val="009F426E"/>
    <w:rsid w:val="00A0281A"/>
    <w:rsid w:val="00A03784"/>
    <w:rsid w:val="00A051DF"/>
    <w:rsid w:val="00A0553D"/>
    <w:rsid w:val="00A11D90"/>
    <w:rsid w:val="00A12D0B"/>
    <w:rsid w:val="00A13238"/>
    <w:rsid w:val="00A20F4D"/>
    <w:rsid w:val="00A233B6"/>
    <w:rsid w:val="00A239D6"/>
    <w:rsid w:val="00A264BB"/>
    <w:rsid w:val="00A30852"/>
    <w:rsid w:val="00A31105"/>
    <w:rsid w:val="00A314C5"/>
    <w:rsid w:val="00A31A40"/>
    <w:rsid w:val="00A31C6A"/>
    <w:rsid w:val="00A34C84"/>
    <w:rsid w:val="00A35C89"/>
    <w:rsid w:val="00A436BC"/>
    <w:rsid w:val="00A4502C"/>
    <w:rsid w:val="00A4581D"/>
    <w:rsid w:val="00A6252B"/>
    <w:rsid w:val="00A65B21"/>
    <w:rsid w:val="00A67256"/>
    <w:rsid w:val="00A678F3"/>
    <w:rsid w:val="00A72D4B"/>
    <w:rsid w:val="00A736A2"/>
    <w:rsid w:val="00A76219"/>
    <w:rsid w:val="00A807D2"/>
    <w:rsid w:val="00A807EA"/>
    <w:rsid w:val="00A81023"/>
    <w:rsid w:val="00A83D94"/>
    <w:rsid w:val="00A90717"/>
    <w:rsid w:val="00A9603D"/>
    <w:rsid w:val="00AA2C2C"/>
    <w:rsid w:val="00AA2CE8"/>
    <w:rsid w:val="00AA3215"/>
    <w:rsid w:val="00AA3373"/>
    <w:rsid w:val="00AA47E4"/>
    <w:rsid w:val="00AA565A"/>
    <w:rsid w:val="00AB015A"/>
    <w:rsid w:val="00AB128C"/>
    <w:rsid w:val="00AB3EC0"/>
    <w:rsid w:val="00AB58FE"/>
    <w:rsid w:val="00AB5F60"/>
    <w:rsid w:val="00AC3BDB"/>
    <w:rsid w:val="00AC5ECE"/>
    <w:rsid w:val="00AC6244"/>
    <w:rsid w:val="00AD123E"/>
    <w:rsid w:val="00AD55C4"/>
    <w:rsid w:val="00AD5681"/>
    <w:rsid w:val="00AD6689"/>
    <w:rsid w:val="00AD742F"/>
    <w:rsid w:val="00AD7B07"/>
    <w:rsid w:val="00AE01C0"/>
    <w:rsid w:val="00AE3856"/>
    <w:rsid w:val="00AE4CD6"/>
    <w:rsid w:val="00AE7FC3"/>
    <w:rsid w:val="00AF1364"/>
    <w:rsid w:val="00AF4636"/>
    <w:rsid w:val="00AF6E01"/>
    <w:rsid w:val="00AF74FF"/>
    <w:rsid w:val="00AF7631"/>
    <w:rsid w:val="00B01AA4"/>
    <w:rsid w:val="00B04672"/>
    <w:rsid w:val="00B04CBB"/>
    <w:rsid w:val="00B05175"/>
    <w:rsid w:val="00B06664"/>
    <w:rsid w:val="00B0682A"/>
    <w:rsid w:val="00B10B2B"/>
    <w:rsid w:val="00B11113"/>
    <w:rsid w:val="00B11AFB"/>
    <w:rsid w:val="00B1324D"/>
    <w:rsid w:val="00B132BC"/>
    <w:rsid w:val="00B13570"/>
    <w:rsid w:val="00B16427"/>
    <w:rsid w:val="00B1766B"/>
    <w:rsid w:val="00B2050F"/>
    <w:rsid w:val="00B216DB"/>
    <w:rsid w:val="00B221BD"/>
    <w:rsid w:val="00B23452"/>
    <w:rsid w:val="00B24C59"/>
    <w:rsid w:val="00B24C92"/>
    <w:rsid w:val="00B24D3D"/>
    <w:rsid w:val="00B260D4"/>
    <w:rsid w:val="00B2777F"/>
    <w:rsid w:val="00B421FA"/>
    <w:rsid w:val="00B4342D"/>
    <w:rsid w:val="00B43996"/>
    <w:rsid w:val="00B46A65"/>
    <w:rsid w:val="00B477C9"/>
    <w:rsid w:val="00B51911"/>
    <w:rsid w:val="00B55502"/>
    <w:rsid w:val="00B55702"/>
    <w:rsid w:val="00B60B00"/>
    <w:rsid w:val="00B64211"/>
    <w:rsid w:val="00B6424F"/>
    <w:rsid w:val="00B67230"/>
    <w:rsid w:val="00B77CB8"/>
    <w:rsid w:val="00B839E7"/>
    <w:rsid w:val="00B84A91"/>
    <w:rsid w:val="00B86EB3"/>
    <w:rsid w:val="00B904E4"/>
    <w:rsid w:val="00B92CCD"/>
    <w:rsid w:val="00B95FE9"/>
    <w:rsid w:val="00BA38A9"/>
    <w:rsid w:val="00BA49B7"/>
    <w:rsid w:val="00BB00E1"/>
    <w:rsid w:val="00BB2B53"/>
    <w:rsid w:val="00BB3287"/>
    <w:rsid w:val="00BC0754"/>
    <w:rsid w:val="00BC1502"/>
    <w:rsid w:val="00BC1BC2"/>
    <w:rsid w:val="00BC5CBC"/>
    <w:rsid w:val="00BC5D26"/>
    <w:rsid w:val="00BC6438"/>
    <w:rsid w:val="00BC67E8"/>
    <w:rsid w:val="00BD06C7"/>
    <w:rsid w:val="00BD0B5F"/>
    <w:rsid w:val="00BD147B"/>
    <w:rsid w:val="00BD39F9"/>
    <w:rsid w:val="00BD667F"/>
    <w:rsid w:val="00BD7A7E"/>
    <w:rsid w:val="00BD7B8E"/>
    <w:rsid w:val="00BE21F8"/>
    <w:rsid w:val="00BE2EA2"/>
    <w:rsid w:val="00BE3FDD"/>
    <w:rsid w:val="00BE41B3"/>
    <w:rsid w:val="00BF078B"/>
    <w:rsid w:val="00BF0ECA"/>
    <w:rsid w:val="00BF641D"/>
    <w:rsid w:val="00C000B0"/>
    <w:rsid w:val="00C06AA1"/>
    <w:rsid w:val="00C06BAF"/>
    <w:rsid w:val="00C151F9"/>
    <w:rsid w:val="00C159A6"/>
    <w:rsid w:val="00C16DE9"/>
    <w:rsid w:val="00C20446"/>
    <w:rsid w:val="00C221DF"/>
    <w:rsid w:val="00C22648"/>
    <w:rsid w:val="00C302E9"/>
    <w:rsid w:val="00C305B1"/>
    <w:rsid w:val="00C31C33"/>
    <w:rsid w:val="00C32A57"/>
    <w:rsid w:val="00C34547"/>
    <w:rsid w:val="00C41A08"/>
    <w:rsid w:val="00C43DCC"/>
    <w:rsid w:val="00C47D94"/>
    <w:rsid w:val="00C53635"/>
    <w:rsid w:val="00C560D7"/>
    <w:rsid w:val="00C57112"/>
    <w:rsid w:val="00C572DE"/>
    <w:rsid w:val="00C61B49"/>
    <w:rsid w:val="00C65754"/>
    <w:rsid w:val="00C660D3"/>
    <w:rsid w:val="00C665F9"/>
    <w:rsid w:val="00C72A08"/>
    <w:rsid w:val="00C73C2B"/>
    <w:rsid w:val="00C752F0"/>
    <w:rsid w:val="00C762D6"/>
    <w:rsid w:val="00C805A3"/>
    <w:rsid w:val="00C80BB1"/>
    <w:rsid w:val="00C80E64"/>
    <w:rsid w:val="00C8161F"/>
    <w:rsid w:val="00C81D2D"/>
    <w:rsid w:val="00C8269D"/>
    <w:rsid w:val="00C844E2"/>
    <w:rsid w:val="00C92EE1"/>
    <w:rsid w:val="00CA032C"/>
    <w:rsid w:val="00CA124C"/>
    <w:rsid w:val="00CA1E4B"/>
    <w:rsid w:val="00CA22D2"/>
    <w:rsid w:val="00CA3EAC"/>
    <w:rsid w:val="00CA4839"/>
    <w:rsid w:val="00CA4F15"/>
    <w:rsid w:val="00CA7FE3"/>
    <w:rsid w:val="00CB3578"/>
    <w:rsid w:val="00CB5414"/>
    <w:rsid w:val="00CB6C4C"/>
    <w:rsid w:val="00CC0D87"/>
    <w:rsid w:val="00CC1A63"/>
    <w:rsid w:val="00CC3D86"/>
    <w:rsid w:val="00CC517C"/>
    <w:rsid w:val="00CD0752"/>
    <w:rsid w:val="00CD16CE"/>
    <w:rsid w:val="00CD1B4E"/>
    <w:rsid w:val="00CD209A"/>
    <w:rsid w:val="00CD4C48"/>
    <w:rsid w:val="00CD5AA8"/>
    <w:rsid w:val="00CD5C83"/>
    <w:rsid w:val="00CE02FE"/>
    <w:rsid w:val="00CE3404"/>
    <w:rsid w:val="00CE4B08"/>
    <w:rsid w:val="00CE5A7E"/>
    <w:rsid w:val="00CE643D"/>
    <w:rsid w:val="00CF08C5"/>
    <w:rsid w:val="00CF090C"/>
    <w:rsid w:val="00CF216A"/>
    <w:rsid w:val="00CF2571"/>
    <w:rsid w:val="00CF588A"/>
    <w:rsid w:val="00CF5ED7"/>
    <w:rsid w:val="00D00DFE"/>
    <w:rsid w:val="00D03982"/>
    <w:rsid w:val="00D068A5"/>
    <w:rsid w:val="00D10F53"/>
    <w:rsid w:val="00D11F24"/>
    <w:rsid w:val="00D12948"/>
    <w:rsid w:val="00D13CF5"/>
    <w:rsid w:val="00D151D6"/>
    <w:rsid w:val="00D15E1F"/>
    <w:rsid w:val="00D15E70"/>
    <w:rsid w:val="00D16FA8"/>
    <w:rsid w:val="00D2014C"/>
    <w:rsid w:val="00D2071E"/>
    <w:rsid w:val="00D21452"/>
    <w:rsid w:val="00D219A4"/>
    <w:rsid w:val="00D226CF"/>
    <w:rsid w:val="00D2291A"/>
    <w:rsid w:val="00D2454B"/>
    <w:rsid w:val="00D24949"/>
    <w:rsid w:val="00D27689"/>
    <w:rsid w:val="00D278A2"/>
    <w:rsid w:val="00D321D9"/>
    <w:rsid w:val="00D32429"/>
    <w:rsid w:val="00D34404"/>
    <w:rsid w:val="00D3626F"/>
    <w:rsid w:val="00D407BC"/>
    <w:rsid w:val="00D40EE7"/>
    <w:rsid w:val="00D4141B"/>
    <w:rsid w:val="00D4302D"/>
    <w:rsid w:val="00D43DE7"/>
    <w:rsid w:val="00D441AD"/>
    <w:rsid w:val="00D45F25"/>
    <w:rsid w:val="00D46569"/>
    <w:rsid w:val="00D47BAE"/>
    <w:rsid w:val="00D525B8"/>
    <w:rsid w:val="00D542D4"/>
    <w:rsid w:val="00D5502A"/>
    <w:rsid w:val="00D56514"/>
    <w:rsid w:val="00D56E5D"/>
    <w:rsid w:val="00D57A57"/>
    <w:rsid w:val="00D57E19"/>
    <w:rsid w:val="00D60254"/>
    <w:rsid w:val="00D617B6"/>
    <w:rsid w:val="00D61857"/>
    <w:rsid w:val="00D63025"/>
    <w:rsid w:val="00D63141"/>
    <w:rsid w:val="00D639C5"/>
    <w:rsid w:val="00D64B72"/>
    <w:rsid w:val="00D650E8"/>
    <w:rsid w:val="00D75DBE"/>
    <w:rsid w:val="00D7649A"/>
    <w:rsid w:val="00D7725F"/>
    <w:rsid w:val="00D818A4"/>
    <w:rsid w:val="00D81DD9"/>
    <w:rsid w:val="00D826B4"/>
    <w:rsid w:val="00D83F4E"/>
    <w:rsid w:val="00D840EE"/>
    <w:rsid w:val="00D85E74"/>
    <w:rsid w:val="00D87B51"/>
    <w:rsid w:val="00D91CBE"/>
    <w:rsid w:val="00D92A93"/>
    <w:rsid w:val="00D931E1"/>
    <w:rsid w:val="00DA00DB"/>
    <w:rsid w:val="00DA3820"/>
    <w:rsid w:val="00DA7DBA"/>
    <w:rsid w:val="00DB2CBD"/>
    <w:rsid w:val="00DB33FB"/>
    <w:rsid w:val="00DB6D5D"/>
    <w:rsid w:val="00DB7199"/>
    <w:rsid w:val="00DC64BE"/>
    <w:rsid w:val="00DD10B9"/>
    <w:rsid w:val="00DD57ED"/>
    <w:rsid w:val="00DD738E"/>
    <w:rsid w:val="00DE0BAE"/>
    <w:rsid w:val="00DE15A6"/>
    <w:rsid w:val="00DE2039"/>
    <w:rsid w:val="00DE3F13"/>
    <w:rsid w:val="00DE54D9"/>
    <w:rsid w:val="00DF33AD"/>
    <w:rsid w:val="00DF5A52"/>
    <w:rsid w:val="00DF5AE2"/>
    <w:rsid w:val="00DF69BE"/>
    <w:rsid w:val="00DF7359"/>
    <w:rsid w:val="00DF74E9"/>
    <w:rsid w:val="00E01018"/>
    <w:rsid w:val="00E01935"/>
    <w:rsid w:val="00E02C06"/>
    <w:rsid w:val="00E05509"/>
    <w:rsid w:val="00E057D9"/>
    <w:rsid w:val="00E07C1A"/>
    <w:rsid w:val="00E1433D"/>
    <w:rsid w:val="00E15544"/>
    <w:rsid w:val="00E1703E"/>
    <w:rsid w:val="00E205D1"/>
    <w:rsid w:val="00E21CB3"/>
    <w:rsid w:val="00E23A92"/>
    <w:rsid w:val="00E23C1A"/>
    <w:rsid w:val="00E266C3"/>
    <w:rsid w:val="00E3048A"/>
    <w:rsid w:val="00E31F93"/>
    <w:rsid w:val="00E35D7B"/>
    <w:rsid w:val="00E40513"/>
    <w:rsid w:val="00E4317A"/>
    <w:rsid w:val="00E51831"/>
    <w:rsid w:val="00E531DC"/>
    <w:rsid w:val="00E55F56"/>
    <w:rsid w:val="00E56244"/>
    <w:rsid w:val="00E571CC"/>
    <w:rsid w:val="00E57B97"/>
    <w:rsid w:val="00E631B3"/>
    <w:rsid w:val="00E64F3D"/>
    <w:rsid w:val="00E70345"/>
    <w:rsid w:val="00E730BC"/>
    <w:rsid w:val="00E7588C"/>
    <w:rsid w:val="00E771C3"/>
    <w:rsid w:val="00E7759C"/>
    <w:rsid w:val="00E82640"/>
    <w:rsid w:val="00E874A7"/>
    <w:rsid w:val="00E87F35"/>
    <w:rsid w:val="00E87F67"/>
    <w:rsid w:val="00E953D0"/>
    <w:rsid w:val="00E97DF3"/>
    <w:rsid w:val="00EA30D3"/>
    <w:rsid w:val="00EA3708"/>
    <w:rsid w:val="00EA624F"/>
    <w:rsid w:val="00EB646B"/>
    <w:rsid w:val="00EC0F52"/>
    <w:rsid w:val="00EC44B3"/>
    <w:rsid w:val="00EC4736"/>
    <w:rsid w:val="00EC5D98"/>
    <w:rsid w:val="00EC6B37"/>
    <w:rsid w:val="00ED1239"/>
    <w:rsid w:val="00ED2D93"/>
    <w:rsid w:val="00ED2E60"/>
    <w:rsid w:val="00ED3F25"/>
    <w:rsid w:val="00ED6ACB"/>
    <w:rsid w:val="00ED6AEB"/>
    <w:rsid w:val="00ED6C4A"/>
    <w:rsid w:val="00ED6E04"/>
    <w:rsid w:val="00ED7668"/>
    <w:rsid w:val="00EE43FE"/>
    <w:rsid w:val="00EE491D"/>
    <w:rsid w:val="00EE6452"/>
    <w:rsid w:val="00EF1DBD"/>
    <w:rsid w:val="00EF21C9"/>
    <w:rsid w:val="00EF2493"/>
    <w:rsid w:val="00EF53C7"/>
    <w:rsid w:val="00F01ED4"/>
    <w:rsid w:val="00F03812"/>
    <w:rsid w:val="00F03A47"/>
    <w:rsid w:val="00F0479B"/>
    <w:rsid w:val="00F07ADA"/>
    <w:rsid w:val="00F104F1"/>
    <w:rsid w:val="00F13618"/>
    <w:rsid w:val="00F13A6C"/>
    <w:rsid w:val="00F13FCC"/>
    <w:rsid w:val="00F179D2"/>
    <w:rsid w:val="00F201D3"/>
    <w:rsid w:val="00F21FCB"/>
    <w:rsid w:val="00F22AEA"/>
    <w:rsid w:val="00F27403"/>
    <w:rsid w:val="00F27BE4"/>
    <w:rsid w:val="00F31466"/>
    <w:rsid w:val="00F33108"/>
    <w:rsid w:val="00F334C2"/>
    <w:rsid w:val="00F33A20"/>
    <w:rsid w:val="00F33DD7"/>
    <w:rsid w:val="00F34263"/>
    <w:rsid w:val="00F35B7F"/>
    <w:rsid w:val="00F37E08"/>
    <w:rsid w:val="00F43821"/>
    <w:rsid w:val="00F474F5"/>
    <w:rsid w:val="00F53272"/>
    <w:rsid w:val="00F564B2"/>
    <w:rsid w:val="00F63F83"/>
    <w:rsid w:val="00F65E89"/>
    <w:rsid w:val="00F6633C"/>
    <w:rsid w:val="00F721A3"/>
    <w:rsid w:val="00F74F0B"/>
    <w:rsid w:val="00F77284"/>
    <w:rsid w:val="00F82711"/>
    <w:rsid w:val="00F84EEA"/>
    <w:rsid w:val="00F85581"/>
    <w:rsid w:val="00F8599D"/>
    <w:rsid w:val="00F859CE"/>
    <w:rsid w:val="00F85B36"/>
    <w:rsid w:val="00F90C75"/>
    <w:rsid w:val="00F91648"/>
    <w:rsid w:val="00F965D1"/>
    <w:rsid w:val="00FA0E28"/>
    <w:rsid w:val="00FA3DDE"/>
    <w:rsid w:val="00FA45F9"/>
    <w:rsid w:val="00FA6FA1"/>
    <w:rsid w:val="00FA76C8"/>
    <w:rsid w:val="00FC6088"/>
    <w:rsid w:val="00FC6526"/>
    <w:rsid w:val="00FC70EB"/>
    <w:rsid w:val="00FC785E"/>
    <w:rsid w:val="00FD4846"/>
    <w:rsid w:val="00FE01D9"/>
    <w:rsid w:val="00FE1CA2"/>
    <w:rsid w:val="00FE21CC"/>
    <w:rsid w:val="00FE30BC"/>
    <w:rsid w:val="00FE3B4D"/>
    <w:rsid w:val="00FE3BCE"/>
    <w:rsid w:val="00FE5D3B"/>
    <w:rsid w:val="00FE76E2"/>
    <w:rsid w:val="00FF0F56"/>
    <w:rsid w:val="00FF1FB0"/>
    <w:rsid w:val="00FF68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8D7773"/>
  <w15:docId w15:val="{DB9164B9-3A20-4358-9960-8F7BA366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11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9C438F"/>
    <w:pPr>
      <w:spacing w:before="100" w:beforeAutospacing="1" w:after="100" w:afterAutospacing="1"/>
      <w:outlineLvl w:val="2"/>
    </w:pPr>
    <w:rPr>
      <w:rFonts w:eastAsia="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E01"/>
    <w:rPr>
      <w:color w:val="0563C1" w:themeColor="hyperlink"/>
      <w:u w:val="single"/>
    </w:rPr>
  </w:style>
  <w:style w:type="paragraph" w:styleId="ListParagraph">
    <w:name w:val="List Paragraph"/>
    <w:basedOn w:val="Normal"/>
    <w:uiPriority w:val="34"/>
    <w:qFormat/>
    <w:rsid w:val="00102197"/>
    <w:pPr>
      <w:ind w:left="720"/>
      <w:contextualSpacing/>
    </w:pPr>
  </w:style>
  <w:style w:type="character" w:customStyle="1" w:styleId="hps">
    <w:name w:val="hps"/>
    <w:basedOn w:val="DefaultParagraphFont"/>
    <w:rsid w:val="00D40EE7"/>
  </w:style>
  <w:style w:type="character" w:customStyle="1" w:styleId="atn">
    <w:name w:val="atn"/>
    <w:basedOn w:val="DefaultParagraphFont"/>
    <w:rsid w:val="00D40EE7"/>
  </w:style>
  <w:style w:type="paragraph" w:styleId="Header">
    <w:name w:val="header"/>
    <w:basedOn w:val="Normal"/>
    <w:link w:val="HeaderChar"/>
    <w:uiPriority w:val="99"/>
    <w:unhideWhenUsed/>
    <w:rsid w:val="001907A7"/>
    <w:pPr>
      <w:tabs>
        <w:tab w:val="center" w:pos="4153"/>
        <w:tab w:val="right" w:pos="8306"/>
      </w:tabs>
    </w:pPr>
  </w:style>
  <w:style w:type="character" w:customStyle="1" w:styleId="HeaderChar">
    <w:name w:val="Header Char"/>
    <w:basedOn w:val="DefaultParagraphFont"/>
    <w:link w:val="Header"/>
    <w:uiPriority w:val="99"/>
    <w:rsid w:val="001907A7"/>
  </w:style>
  <w:style w:type="paragraph" w:styleId="Footer">
    <w:name w:val="footer"/>
    <w:basedOn w:val="Normal"/>
    <w:link w:val="FooterChar"/>
    <w:uiPriority w:val="99"/>
    <w:unhideWhenUsed/>
    <w:rsid w:val="001907A7"/>
    <w:pPr>
      <w:tabs>
        <w:tab w:val="center" w:pos="4153"/>
        <w:tab w:val="right" w:pos="8306"/>
      </w:tabs>
    </w:pPr>
  </w:style>
  <w:style w:type="character" w:customStyle="1" w:styleId="FooterChar">
    <w:name w:val="Footer Char"/>
    <w:basedOn w:val="DefaultParagraphFont"/>
    <w:link w:val="Footer"/>
    <w:uiPriority w:val="99"/>
    <w:rsid w:val="001907A7"/>
  </w:style>
  <w:style w:type="table" w:styleId="TableGrid">
    <w:name w:val="Table Grid"/>
    <w:basedOn w:val="TableNormal"/>
    <w:uiPriority w:val="39"/>
    <w:rsid w:val="001C4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2 Char,Footnote Text Char1 Char Char,Footnote Text Char2 Char Char Char,Footnote Text Char1 Char Char Char Char,Footnote Text Char2 Char Char Char Char Char,Footnote Text Char1 Char,Footnote,Fußnote,ft,Footnote Text Char1"/>
    <w:basedOn w:val="Normal"/>
    <w:link w:val="FootnoteTextChar"/>
    <w:uiPriority w:val="99"/>
    <w:unhideWhenUsed/>
    <w:qFormat/>
    <w:rsid w:val="00B77CB8"/>
    <w:rPr>
      <w:sz w:val="20"/>
      <w:szCs w:val="20"/>
    </w:rPr>
  </w:style>
  <w:style w:type="character" w:customStyle="1" w:styleId="FootnoteTextChar">
    <w:name w:val="Footnote Text Char"/>
    <w:aliases w:val="Footnote Text Char2 Char Char,Footnote Text Char1 Char Char Char,Footnote Text Char2 Char Char Char Char,Footnote Text Char1 Char Char Char Char Char,Footnote Text Char2 Char Char Char Char Char Char,Footnote Text Char1 Char Char1"/>
    <w:basedOn w:val="DefaultParagraphFont"/>
    <w:link w:val="FootnoteText"/>
    <w:uiPriority w:val="99"/>
    <w:rsid w:val="00B77CB8"/>
    <w:rPr>
      <w:sz w:val="20"/>
      <w:szCs w:val="20"/>
    </w:rPr>
  </w:style>
  <w:style w:type="character" w:styleId="FootnoteReference">
    <w:name w:val="footnote reference"/>
    <w:aliases w:val="stylish,number,SUPERS,Footnote Reference Number,Footnote symbol,Footnotes refss,Footnote Reference Superscript,BVI fnr,Footnote symboFußnotenzeichen,Footnote sign,E FNZ,-E Fußnotenzeichen,Footnote#,Times 10 Point,Exposant 3 Point,Ref"/>
    <w:basedOn w:val="DefaultParagraphFont"/>
    <w:uiPriority w:val="99"/>
    <w:unhideWhenUsed/>
    <w:qFormat/>
    <w:rsid w:val="00B77CB8"/>
    <w:rPr>
      <w:vertAlign w:val="superscript"/>
    </w:rPr>
  </w:style>
  <w:style w:type="character" w:customStyle="1" w:styleId="Heading3Char">
    <w:name w:val="Heading 3 Char"/>
    <w:basedOn w:val="DefaultParagraphFont"/>
    <w:link w:val="Heading3"/>
    <w:uiPriority w:val="9"/>
    <w:rsid w:val="009C438F"/>
    <w:rPr>
      <w:rFonts w:eastAsia="Times New Roman" w:cs="Times New Roman"/>
      <w:b/>
      <w:bCs/>
      <w:sz w:val="27"/>
      <w:szCs w:val="27"/>
      <w:lang w:val="en-US"/>
    </w:rPr>
  </w:style>
  <w:style w:type="paragraph" w:styleId="BalloonText">
    <w:name w:val="Balloon Text"/>
    <w:basedOn w:val="Normal"/>
    <w:link w:val="BalloonTextChar"/>
    <w:uiPriority w:val="99"/>
    <w:semiHidden/>
    <w:unhideWhenUsed/>
    <w:rsid w:val="006A1A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A20"/>
    <w:rPr>
      <w:rFonts w:ascii="Segoe UI" w:hAnsi="Segoe UI" w:cs="Segoe UI"/>
      <w:sz w:val="18"/>
      <w:szCs w:val="18"/>
    </w:rPr>
  </w:style>
  <w:style w:type="character" w:customStyle="1" w:styleId="xdtextbox1">
    <w:name w:val="xdtextbox1"/>
    <w:basedOn w:val="DefaultParagraphFont"/>
    <w:rsid w:val="00FA0E28"/>
    <w:rPr>
      <w:color w:val="auto"/>
      <w:bdr w:val="single" w:sz="8" w:space="1" w:color="DCDCDC" w:frame="1"/>
      <w:shd w:val="clear" w:color="auto" w:fill="FFFFFF"/>
    </w:rPr>
  </w:style>
  <w:style w:type="character" w:customStyle="1" w:styleId="Heading1Char">
    <w:name w:val="Heading 1 Char"/>
    <w:basedOn w:val="DefaultParagraphFont"/>
    <w:link w:val="Heading1"/>
    <w:uiPriority w:val="9"/>
    <w:rsid w:val="00B11113"/>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D57A57"/>
    <w:rPr>
      <w:b/>
      <w:bCs/>
    </w:rPr>
  </w:style>
  <w:style w:type="paragraph" w:styleId="NormalWeb">
    <w:name w:val="Normal (Web)"/>
    <w:basedOn w:val="Normal"/>
    <w:uiPriority w:val="99"/>
    <w:semiHidden/>
    <w:unhideWhenUsed/>
    <w:rsid w:val="00D57A57"/>
    <w:pPr>
      <w:spacing w:after="135" w:line="270" w:lineRule="atLeast"/>
    </w:pPr>
    <w:rPr>
      <w:rFonts w:ascii="Helvetica" w:eastAsia="Times New Roman" w:hAnsi="Helvetica" w:cs="Helvetica"/>
      <w:sz w:val="20"/>
      <w:szCs w:val="20"/>
      <w:lang w:eastAsia="lv-LV"/>
    </w:rPr>
  </w:style>
  <w:style w:type="table" w:styleId="ListTable1Light-Accent1">
    <w:name w:val="List Table 1 Light Accent 1"/>
    <w:basedOn w:val="TableNormal"/>
    <w:uiPriority w:val="46"/>
    <w:rsid w:val="00D57A5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D57A57"/>
    <w:rPr>
      <w:color w:val="954F72" w:themeColor="followedHyperlink"/>
      <w:u w:val="single"/>
    </w:rPr>
  </w:style>
  <w:style w:type="character" w:styleId="Emphasis">
    <w:name w:val="Emphasis"/>
    <w:basedOn w:val="DefaultParagraphFont"/>
    <w:uiPriority w:val="20"/>
    <w:qFormat/>
    <w:rsid w:val="00FA45F9"/>
    <w:rPr>
      <w:i/>
      <w:iCs/>
    </w:rPr>
  </w:style>
  <w:style w:type="paragraph" w:customStyle="1" w:styleId="teksts">
    <w:name w:val="teksts"/>
    <w:rsid w:val="002239E0"/>
    <w:pPr>
      <w:spacing w:after="40"/>
      <w:jc w:val="both"/>
    </w:pPr>
    <w:rPr>
      <w:rFonts w:ascii="Garamond" w:eastAsia="Times New Roman" w:hAnsi="Garamond" w:cs="Times New Roman"/>
      <w:kern w:val="24"/>
      <w:szCs w:val="20"/>
    </w:rPr>
  </w:style>
  <w:style w:type="character" w:customStyle="1" w:styleId="longtext">
    <w:name w:val="long_text"/>
    <w:basedOn w:val="DefaultParagraphFont"/>
    <w:rsid w:val="002239E0"/>
  </w:style>
  <w:style w:type="table" w:styleId="GridTable3-Accent1">
    <w:name w:val="Grid Table 3 Accent 1"/>
    <w:basedOn w:val="TableNormal"/>
    <w:uiPriority w:val="48"/>
    <w:rsid w:val="00210F5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styleId="CommentReference">
    <w:name w:val="annotation reference"/>
    <w:basedOn w:val="DefaultParagraphFont"/>
    <w:uiPriority w:val="99"/>
    <w:semiHidden/>
    <w:unhideWhenUsed/>
    <w:rsid w:val="00101D4E"/>
    <w:rPr>
      <w:sz w:val="16"/>
      <w:szCs w:val="16"/>
    </w:rPr>
  </w:style>
  <w:style w:type="paragraph" w:styleId="CommentText">
    <w:name w:val="annotation text"/>
    <w:basedOn w:val="Normal"/>
    <w:link w:val="CommentTextChar"/>
    <w:uiPriority w:val="99"/>
    <w:semiHidden/>
    <w:unhideWhenUsed/>
    <w:rsid w:val="00101D4E"/>
    <w:rPr>
      <w:sz w:val="20"/>
      <w:szCs w:val="20"/>
    </w:rPr>
  </w:style>
  <w:style w:type="character" w:customStyle="1" w:styleId="CommentTextChar">
    <w:name w:val="Comment Text Char"/>
    <w:basedOn w:val="DefaultParagraphFont"/>
    <w:link w:val="CommentText"/>
    <w:uiPriority w:val="99"/>
    <w:semiHidden/>
    <w:rsid w:val="00101D4E"/>
    <w:rPr>
      <w:sz w:val="20"/>
      <w:szCs w:val="20"/>
    </w:rPr>
  </w:style>
  <w:style w:type="paragraph" w:styleId="CommentSubject">
    <w:name w:val="annotation subject"/>
    <w:basedOn w:val="CommentText"/>
    <w:next w:val="CommentText"/>
    <w:link w:val="CommentSubjectChar"/>
    <w:uiPriority w:val="99"/>
    <w:semiHidden/>
    <w:unhideWhenUsed/>
    <w:rsid w:val="00101D4E"/>
    <w:rPr>
      <w:b/>
      <w:bCs/>
    </w:rPr>
  </w:style>
  <w:style w:type="character" w:customStyle="1" w:styleId="CommentSubjectChar">
    <w:name w:val="Comment Subject Char"/>
    <w:basedOn w:val="CommentTextChar"/>
    <w:link w:val="CommentSubject"/>
    <w:uiPriority w:val="99"/>
    <w:semiHidden/>
    <w:rsid w:val="00101D4E"/>
    <w:rPr>
      <w:b/>
      <w:bCs/>
      <w:sz w:val="20"/>
      <w:szCs w:val="20"/>
    </w:rPr>
  </w:style>
  <w:style w:type="table" w:styleId="GridTable7Colorful-Accent5">
    <w:name w:val="Grid Table 7 Colorful Accent 5"/>
    <w:basedOn w:val="TableNormal"/>
    <w:uiPriority w:val="52"/>
    <w:rsid w:val="00931C0B"/>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2-Accent1">
    <w:name w:val="List Table 2 Accent 1"/>
    <w:basedOn w:val="TableNormal"/>
    <w:uiPriority w:val="47"/>
    <w:rsid w:val="00931C0B"/>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7Colorful-Accent51">
    <w:name w:val="List Table 7 Colorful - Accent 51"/>
    <w:basedOn w:val="TableNormal"/>
    <w:uiPriority w:val="52"/>
    <w:rsid w:val="00DC64BE"/>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64BE"/>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rsid w:val="00B234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7Colorful-Accent1">
    <w:name w:val="List Table 7 Colorful Accent 1"/>
    <w:basedOn w:val="TableNormal"/>
    <w:uiPriority w:val="52"/>
    <w:rsid w:val="00630DCC"/>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692AE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5737">
      <w:bodyDiv w:val="1"/>
      <w:marLeft w:val="0"/>
      <w:marRight w:val="0"/>
      <w:marTop w:val="0"/>
      <w:marBottom w:val="0"/>
      <w:divBdr>
        <w:top w:val="none" w:sz="0" w:space="0" w:color="auto"/>
        <w:left w:val="none" w:sz="0" w:space="0" w:color="auto"/>
        <w:bottom w:val="none" w:sz="0" w:space="0" w:color="auto"/>
        <w:right w:val="none" w:sz="0" w:space="0" w:color="auto"/>
      </w:divBdr>
      <w:divsChild>
        <w:div w:id="1500734471">
          <w:marLeft w:val="0"/>
          <w:marRight w:val="0"/>
          <w:marTop w:val="0"/>
          <w:marBottom w:val="0"/>
          <w:divBdr>
            <w:top w:val="none" w:sz="0" w:space="0" w:color="auto"/>
            <w:left w:val="none" w:sz="0" w:space="0" w:color="auto"/>
            <w:bottom w:val="none" w:sz="0" w:space="0" w:color="auto"/>
            <w:right w:val="none" w:sz="0" w:space="0" w:color="auto"/>
          </w:divBdr>
          <w:divsChild>
            <w:div w:id="9591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07049">
      <w:bodyDiv w:val="1"/>
      <w:marLeft w:val="0"/>
      <w:marRight w:val="0"/>
      <w:marTop w:val="0"/>
      <w:marBottom w:val="0"/>
      <w:divBdr>
        <w:top w:val="none" w:sz="0" w:space="0" w:color="auto"/>
        <w:left w:val="none" w:sz="0" w:space="0" w:color="auto"/>
        <w:bottom w:val="none" w:sz="0" w:space="0" w:color="auto"/>
        <w:right w:val="none" w:sz="0" w:space="0" w:color="auto"/>
      </w:divBdr>
    </w:div>
    <w:div w:id="776487224">
      <w:bodyDiv w:val="1"/>
      <w:marLeft w:val="0"/>
      <w:marRight w:val="0"/>
      <w:marTop w:val="0"/>
      <w:marBottom w:val="0"/>
      <w:divBdr>
        <w:top w:val="none" w:sz="0" w:space="0" w:color="auto"/>
        <w:left w:val="none" w:sz="0" w:space="0" w:color="auto"/>
        <w:bottom w:val="none" w:sz="0" w:space="0" w:color="auto"/>
        <w:right w:val="none" w:sz="0" w:space="0" w:color="auto"/>
      </w:divBdr>
    </w:div>
    <w:div w:id="798718363">
      <w:bodyDiv w:val="1"/>
      <w:marLeft w:val="0"/>
      <w:marRight w:val="0"/>
      <w:marTop w:val="0"/>
      <w:marBottom w:val="0"/>
      <w:divBdr>
        <w:top w:val="none" w:sz="0" w:space="0" w:color="auto"/>
        <w:left w:val="none" w:sz="0" w:space="0" w:color="auto"/>
        <w:bottom w:val="none" w:sz="0" w:space="0" w:color="auto"/>
        <w:right w:val="none" w:sz="0" w:space="0" w:color="auto"/>
      </w:divBdr>
      <w:divsChild>
        <w:div w:id="752897254">
          <w:marLeft w:val="0"/>
          <w:marRight w:val="0"/>
          <w:marTop w:val="0"/>
          <w:marBottom w:val="0"/>
          <w:divBdr>
            <w:top w:val="none" w:sz="0" w:space="0" w:color="auto"/>
            <w:left w:val="none" w:sz="0" w:space="0" w:color="auto"/>
            <w:bottom w:val="none" w:sz="0" w:space="0" w:color="auto"/>
            <w:right w:val="none" w:sz="0" w:space="0" w:color="auto"/>
          </w:divBdr>
          <w:divsChild>
            <w:div w:id="1214388654">
              <w:marLeft w:val="-300"/>
              <w:marRight w:val="0"/>
              <w:marTop w:val="0"/>
              <w:marBottom w:val="270"/>
              <w:divBdr>
                <w:top w:val="none" w:sz="0" w:space="0" w:color="auto"/>
                <w:left w:val="none" w:sz="0" w:space="0" w:color="auto"/>
                <w:bottom w:val="none" w:sz="0" w:space="0" w:color="auto"/>
                <w:right w:val="none" w:sz="0" w:space="0" w:color="auto"/>
              </w:divBdr>
              <w:divsChild>
                <w:div w:id="1214197949">
                  <w:marLeft w:val="0"/>
                  <w:marRight w:val="0"/>
                  <w:marTop w:val="0"/>
                  <w:marBottom w:val="0"/>
                  <w:divBdr>
                    <w:top w:val="none" w:sz="0" w:space="0" w:color="auto"/>
                    <w:left w:val="none" w:sz="0" w:space="0" w:color="auto"/>
                    <w:bottom w:val="none" w:sz="0" w:space="0" w:color="auto"/>
                    <w:right w:val="none" w:sz="0" w:space="0" w:color="auto"/>
                  </w:divBdr>
                  <w:divsChild>
                    <w:div w:id="9641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652776">
      <w:bodyDiv w:val="1"/>
      <w:marLeft w:val="0"/>
      <w:marRight w:val="0"/>
      <w:marTop w:val="0"/>
      <w:marBottom w:val="0"/>
      <w:divBdr>
        <w:top w:val="none" w:sz="0" w:space="0" w:color="auto"/>
        <w:left w:val="none" w:sz="0" w:space="0" w:color="auto"/>
        <w:bottom w:val="none" w:sz="0" w:space="0" w:color="auto"/>
        <w:right w:val="none" w:sz="0" w:space="0" w:color="auto"/>
      </w:divBdr>
    </w:div>
    <w:div w:id="932132913">
      <w:bodyDiv w:val="1"/>
      <w:marLeft w:val="0"/>
      <w:marRight w:val="0"/>
      <w:marTop w:val="0"/>
      <w:marBottom w:val="0"/>
      <w:divBdr>
        <w:top w:val="none" w:sz="0" w:space="0" w:color="auto"/>
        <w:left w:val="none" w:sz="0" w:space="0" w:color="auto"/>
        <w:bottom w:val="none" w:sz="0" w:space="0" w:color="auto"/>
        <w:right w:val="none" w:sz="0" w:space="0" w:color="auto"/>
      </w:divBdr>
      <w:divsChild>
        <w:div w:id="2135362622">
          <w:marLeft w:val="0"/>
          <w:marRight w:val="0"/>
          <w:marTop w:val="0"/>
          <w:marBottom w:val="0"/>
          <w:divBdr>
            <w:top w:val="none" w:sz="0" w:space="0" w:color="auto"/>
            <w:left w:val="none" w:sz="0" w:space="0" w:color="auto"/>
            <w:bottom w:val="none" w:sz="0" w:space="0" w:color="auto"/>
            <w:right w:val="none" w:sz="0" w:space="0" w:color="auto"/>
          </w:divBdr>
          <w:divsChild>
            <w:div w:id="435293218">
              <w:marLeft w:val="-300"/>
              <w:marRight w:val="0"/>
              <w:marTop w:val="0"/>
              <w:marBottom w:val="270"/>
              <w:divBdr>
                <w:top w:val="none" w:sz="0" w:space="0" w:color="auto"/>
                <w:left w:val="none" w:sz="0" w:space="0" w:color="auto"/>
                <w:bottom w:val="none" w:sz="0" w:space="0" w:color="auto"/>
                <w:right w:val="none" w:sz="0" w:space="0" w:color="auto"/>
              </w:divBdr>
              <w:divsChild>
                <w:div w:id="1649673704">
                  <w:marLeft w:val="0"/>
                  <w:marRight w:val="0"/>
                  <w:marTop w:val="0"/>
                  <w:marBottom w:val="0"/>
                  <w:divBdr>
                    <w:top w:val="none" w:sz="0" w:space="0" w:color="auto"/>
                    <w:left w:val="none" w:sz="0" w:space="0" w:color="auto"/>
                    <w:bottom w:val="none" w:sz="0" w:space="0" w:color="auto"/>
                    <w:right w:val="none" w:sz="0" w:space="0" w:color="auto"/>
                  </w:divBdr>
                  <w:divsChild>
                    <w:div w:id="9283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2123">
      <w:bodyDiv w:val="1"/>
      <w:marLeft w:val="0"/>
      <w:marRight w:val="0"/>
      <w:marTop w:val="0"/>
      <w:marBottom w:val="0"/>
      <w:divBdr>
        <w:top w:val="none" w:sz="0" w:space="0" w:color="auto"/>
        <w:left w:val="none" w:sz="0" w:space="0" w:color="auto"/>
        <w:bottom w:val="none" w:sz="0" w:space="0" w:color="auto"/>
        <w:right w:val="none" w:sz="0" w:space="0" w:color="auto"/>
      </w:divBdr>
    </w:div>
    <w:div w:id="1191607450">
      <w:bodyDiv w:val="1"/>
      <w:marLeft w:val="0"/>
      <w:marRight w:val="0"/>
      <w:marTop w:val="0"/>
      <w:marBottom w:val="0"/>
      <w:divBdr>
        <w:top w:val="none" w:sz="0" w:space="0" w:color="auto"/>
        <w:left w:val="none" w:sz="0" w:space="0" w:color="auto"/>
        <w:bottom w:val="none" w:sz="0" w:space="0" w:color="auto"/>
        <w:right w:val="none" w:sz="0" w:space="0" w:color="auto"/>
      </w:divBdr>
      <w:divsChild>
        <w:div w:id="1128160481">
          <w:marLeft w:val="0"/>
          <w:marRight w:val="0"/>
          <w:marTop w:val="0"/>
          <w:marBottom w:val="0"/>
          <w:divBdr>
            <w:top w:val="none" w:sz="0" w:space="0" w:color="auto"/>
            <w:left w:val="none" w:sz="0" w:space="0" w:color="auto"/>
            <w:bottom w:val="none" w:sz="0" w:space="0" w:color="auto"/>
            <w:right w:val="none" w:sz="0" w:space="0" w:color="auto"/>
          </w:divBdr>
          <w:divsChild>
            <w:div w:id="866679064">
              <w:marLeft w:val="-300"/>
              <w:marRight w:val="0"/>
              <w:marTop w:val="0"/>
              <w:marBottom w:val="270"/>
              <w:divBdr>
                <w:top w:val="none" w:sz="0" w:space="0" w:color="auto"/>
                <w:left w:val="none" w:sz="0" w:space="0" w:color="auto"/>
                <w:bottom w:val="none" w:sz="0" w:space="0" w:color="auto"/>
                <w:right w:val="none" w:sz="0" w:space="0" w:color="auto"/>
              </w:divBdr>
              <w:divsChild>
                <w:div w:id="943460615">
                  <w:marLeft w:val="0"/>
                  <w:marRight w:val="0"/>
                  <w:marTop w:val="0"/>
                  <w:marBottom w:val="0"/>
                  <w:divBdr>
                    <w:top w:val="none" w:sz="0" w:space="0" w:color="auto"/>
                    <w:left w:val="none" w:sz="0" w:space="0" w:color="auto"/>
                    <w:bottom w:val="none" w:sz="0" w:space="0" w:color="auto"/>
                    <w:right w:val="none" w:sz="0" w:space="0" w:color="auto"/>
                  </w:divBdr>
                  <w:divsChild>
                    <w:div w:id="5726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920132">
      <w:bodyDiv w:val="1"/>
      <w:marLeft w:val="0"/>
      <w:marRight w:val="0"/>
      <w:marTop w:val="0"/>
      <w:marBottom w:val="0"/>
      <w:divBdr>
        <w:top w:val="none" w:sz="0" w:space="0" w:color="auto"/>
        <w:left w:val="none" w:sz="0" w:space="0" w:color="auto"/>
        <w:bottom w:val="none" w:sz="0" w:space="0" w:color="auto"/>
        <w:right w:val="none" w:sz="0" w:space="0" w:color="auto"/>
      </w:divBdr>
    </w:div>
    <w:div w:id="1281255928">
      <w:bodyDiv w:val="1"/>
      <w:marLeft w:val="0"/>
      <w:marRight w:val="0"/>
      <w:marTop w:val="0"/>
      <w:marBottom w:val="0"/>
      <w:divBdr>
        <w:top w:val="none" w:sz="0" w:space="0" w:color="auto"/>
        <w:left w:val="none" w:sz="0" w:space="0" w:color="auto"/>
        <w:bottom w:val="none" w:sz="0" w:space="0" w:color="auto"/>
        <w:right w:val="none" w:sz="0" w:space="0" w:color="auto"/>
      </w:divBdr>
      <w:divsChild>
        <w:div w:id="85422333">
          <w:marLeft w:val="0"/>
          <w:marRight w:val="0"/>
          <w:marTop w:val="0"/>
          <w:marBottom w:val="0"/>
          <w:divBdr>
            <w:top w:val="none" w:sz="0" w:space="0" w:color="auto"/>
            <w:left w:val="none" w:sz="0" w:space="0" w:color="auto"/>
            <w:bottom w:val="none" w:sz="0" w:space="0" w:color="auto"/>
            <w:right w:val="none" w:sz="0" w:space="0" w:color="auto"/>
          </w:divBdr>
          <w:divsChild>
            <w:div w:id="1528907988">
              <w:marLeft w:val="-300"/>
              <w:marRight w:val="0"/>
              <w:marTop w:val="0"/>
              <w:marBottom w:val="270"/>
              <w:divBdr>
                <w:top w:val="none" w:sz="0" w:space="0" w:color="auto"/>
                <w:left w:val="none" w:sz="0" w:space="0" w:color="auto"/>
                <w:bottom w:val="none" w:sz="0" w:space="0" w:color="auto"/>
                <w:right w:val="none" w:sz="0" w:space="0" w:color="auto"/>
              </w:divBdr>
              <w:divsChild>
                <w:div w:id="897479530">
                  <w:marLeft w:val="0"/>
                  <w:marRight w:val="0"/>
                  <w:marTop w:val="0"/>
                  <w:marBottom w:val="0"/>
                  <w:divBdr>
                    <w:top w:val="none" w:sz="0" w:space="0" w:color="auto"/>
                    <w:left w:val="none" w:sz="0" w:space="0" w:color="auto"/>
                    <w:bottom w:val="none" w:sz="0" w:space="0" w:color="auto"/>
                    <w:right w:val="none" w:sz="0" w:space="0" w:color="auto"/>
                  </w:divBdr>
                  <w:divsChild>
                    <w:div w:id="9918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00663">
      <w:bodyDiv w:val="1"/>
      <w:marLeft w:val="0"/>
      <w:marRight w:val="0"/>
      <w:marTop w:val="0"/>
      <w:marBottom w:val="0"/>
      <w:divBdr>
        <w:top w:val="none" w:sz="0" w:space="0" w:color="auto"/>
        <w:left w:val="none" w:sz="0" w:space="0" w:color="auto"/>
        <w:bottom w:val="none" w:sz="0" w:space="0" w:color="auto"/>
        <w:right w:val="none" w:sz="0" w:space="0" w:color="auto"/>
      </w:divBdr>
    </w:div>
    <w:div w:id="1579942346">
      <w:bodyDiv w:val="1"/>
      <w:marLeft w:val="0"/>
      <w:marRight w:val="0"/>
      <w:marTop w:val="0"/>
      <w:marBottom w:val="0"/>
      <w:divBdr>
        <w:top w:val="none" w:sz="0" w:space="0" w:color="auto"/>
        <w:left w:val="none" w:sz="0" w:space="0" w:color="auto"/>
        <w:bottom w:val="none" w:sz="0" w:space="0" w:color="auto"/>
        <w:right w:val="none" w:sz="0" w:space="0" w:color="auto"/>
      </w:divBdr>
      <w:divsChild>
        <w:div w:id="621616219">
          <w:marLeft w:val="0"/>
          <w:marRight w:val="0"/>
          <w:marTop w:val="0"/>
          <w:marBottom w:val="0"/>
          <w:divBdr>
            <w:top w:val="none" w:sz="0" w:space="0" w:color="auto"/>
            <w:left w:val="none" w:sz="0" w:space="0" w:color="auto"/>
            <w:bottom w:val="none" w:sz="0" w:space="0" w:color="auto"/>
            <w:right w:val="none" w:sz="0" w:space="0" w:color="auto"/>
          </w:divBdr>
          <w:divsChild>
            <w:div w:id="1673676819">
              <w:marLeft w:val="-300"/>
              <w:marRight w:val="0"/>
              <w:marTop w:val="0"/>
              <w:marBottom w:val="270"/>
              <w:divBdr>
                <w:top w:val="none" w:sz="0" w:space="0" w:color="auto"/>
                <w:left w:val="none" w:sz="0" w:space="0" w:color="auto"/>
                <w:bottom w:val="none" w:sz="0" w:space="0" w:color="auto"/>
                <w:right w:val="none" w:sz="0" w:space="0" w:color="auto"/>
              </w:divBdr>
              <w:divsChild>
                <w:div w:id="711736387">
                  <w:marLeft w:val="0"/>
                  <w:marRight w:val="0"/>
                  <w:marTop w:val="0"/>
                  <w:marBottom w:val="0"/>
                  <w:divBdr>
                    <w:top w:val="none" w:sz="0" w:space="0" w:color="auto"/>
                    <w:left w:val="none" w:sz="0" w:space="0" w:color="auto"/>
                    <w:bottom w:val="none" w:sz="0" w:space="0" w:color="auto"/>
                    <w:right w:val="none" w:sz="0" w:space="0" w:color="auto"/>
                  </w:divBdr>
                  <w:divsChild>
                    <w:div w:id="3448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305969">
      <w:bodyDiv w:val="1"/>
      <w:marLeft w:val="0"/>
      <w:marRight w:val="0"/>
      <w:marTop w:val="0"/>
      <w:marBottom w:val="0"/>
      <w:divBdr>
        <w:top w:val="none" w:sz="0" w:space="0" w:color="auto"/>
        <w:left w:val="none" w:sz="0" w:space="0" w:color="auto"/>
        <w:bottom w:val="none" w:sz="0" w:space="0" w:color="auto"/>
        <w:right w:val="none" w:sz="0" w:space="0" w:color="auto"/>
      </w:divBdr>
    </w:div>
    <w:div w:id="1743524777">
      <w:bodyDiv w:val="1"/>
      <w:marLeft w:val="0"/>
      <w:marRight w:val="0"/>
      <w:marTop w:val="0"/>
      <w:marBottom w:val="0"/>
      <w:divBdr>
        <w:top w:val="none" w:sz="0" w:space="0" w:color="auto"/>
        <w:left w:val="none" w:sz="0" w:space="0" w:color="auto"/>
        <w:bottom w:val="none" w:sz="0" w:space="0" w:color="auto"/>
        <w:right w:val="none" w:sz="0" w:space="0" w:color="auto"/>
      </w:divBdr>
    </w:div>
    <w:div w:id="1983853061">
      <w:bodyDiv w:val="1"/>
      <w:marLeft w:val="0"/>
      <w:marRight w:val="0"/>
      <w:marTop w:val="0"/>
      <w:marBottom w:val="0"/>
      <w:divBdr>
        <w:top w:val="none" w:sz="0" w:space="0" w:color="auto"/>
        <w:left w:val="none" w:sz="0" w:space="0" w:color="auto"/>
        <w:bottom w:val="none" w:sz="0" w:space="0" w:color="auto"/>
        <w:right w:val="none" w:sz="0" w:space="0" w:color="auto"/>
      </w:divBdr>
    </w:div>
    <w:div w:id="206001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122AC944-B1C9-498F-8774-FA689F96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4</Pages>
  <Words>7281</Words>
  <Characters>4151</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Informatīvais ziņojums „Par Eiropas Stabilitātes mehānisma darbību 2017.gadā”</vt:lpstr>
    </vt:vector>
  </TitlesOfParts>
  <Company>Finanšu ministrija</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Stabilitātes mehānisma darbību 2017.gadā”</dc:title>
  <dc:subject>Informatīvais ziņojums</dc:subject>
  <dc:creator/>
  <cp:keywords/>
  <dc:description>Gusāre, 67083911
Elina.Gusare@fm.gov.lv</dc:description>
  <cp:lastModifiedBy>Alīna Gromova</cp:lastModifiedBy>
  <cp:revision>42</cp:revision>
  <cp:lastPrinted>2019-08-08T07:49:00Z</cp:lastPrinted>
  <dcterms:created xsi:type="dcterms:W3CDTF">2019-08-19T12:12:00Z</dcterms:created>
  <dcterms:modified xsi:type="dcterms:W3CDTF">2019-08-20T11:15:00Z</dcterms:modified>
</cp:coreProperties>
</file>