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5B5" w:rsidRPr="005D10D8" w:rsidRDefault="00C555B5" w:rsidP="00C555B5">
      <w:pPr>
        <w:pStyle w:val="naisnod"/>
        <w:spacing w:before="0" w:after="0"/>
      </w:pPr>
      <w:r w:rsidRPr="005D10D8">
        <w:t>Izziņa par atzinumos sniegtajiem iebildumiem</w:t>
      </w:r>
    </w:p>
    <w:tbl>
      <w:tblPr>
        <w:tblW w:w="0" w:type="auto"/>
        <w:jc w:val="center"/>
        <w:tblLook w:val="00A0" w:firstRow="1" w:lastRow="0" w:firstColumn="1" w:lastColumn="0" w:noHBand="0" w:noVBand="0"/>
      </w:tblPr>
      <w:tblGrid>
        <w:gridCol w:w="10188"/>
      </w:tblGrid>
      <w:tr w:rsidR="00C555B5" w:rsidRPr="005D10D8" w:rsidTr="00EA2B49">
        <w:trPr>
          <w:jc w:val="center"/>
        </w:trPr>
        <w:tc>
          <w:tcPr>
            <w:tcW w:w="10188" w:type="dxa"/>
          </w:tcPr>
          <w:p w:rsidR="00C555B5" w:rsidRPr="005D10D8" w:rsidRDefault="00C555B5" w:rsidP="00EA2B49">
            <w:pPr>
              <w:jc w:val="center"/>
              <w:rPr>
                <w:b/>
              </w:rPr>
            </w:pPr>
            <w:r w:rsidRPr="005D10D8">
              <w:rPr>
                <w:b/>
              </w:rPr>
              <w:t xml:space="preserve">par </w:t>
            </w:r>
            <w:r w:rsidR="00034648" w:rsidRPr="007967FC">
              <w:rPr>
                <w:b/>
                <w:bCs/>
              </w:rPr>
              <w:t>Ministru kabineta noteikumu projekta “Grozījumi Ministru kabineta 2012.gada 21.februāra noteikumos Nr.133 "</w:t>
            </w:r>
            <w:hyperlink r:id="rId7" w:tgtFrame="_blank" w:history="1">
              <w:r w:rsidR="00034648" w:rsidRPr="007967FC">
                <w:rPr>
                  <w:b/>
                  <w:bCs/>
                </w:rPr>
                <w:t>Noteikumi par valsts nodevu par personu apliecinošu dokumentu izsniegšanu</w:t>
              </w:r>
            </w:hyperlink>
            <w:r w:rsidR="00034648" w:rsidRPr="007967FC">
              <w:rPr>
                <w:b/>
                <w:bCs/>
              </w:rPr>
              <w:t>”</w:t>
            </w:r>
            <w:r w:rsidRPr="005D10D8">
              <w:rPr>
                <w:b/>
                <w:bCs/>
              </w:rPr>
              <w:t>” (VSS</w:t>
            </w:r>
            <w:r w:rsidRPr="005D10D8">
              <w:rPr>
                <w:b/>
              </w:rPr>
              <w:t>-</w:t>
            </w:r>
            <w:r w:rsidR="00034648">
              <w:rPr>
                <w:b/>
              </w:rPr>
              <w:t>634</w:t>
            </w:r>
            <w:r w:rsidRPr="005D10D8">
              <w:rPr>
                <w:b/>
              </w:rPr>
              <w:t>)</w:t>
            </w:r>
          </w:p>
          <w:p w:rsidR="00C555B5" w:rsidRPr="005D10D8" w:rsidRDefault="00C555B5" w:rsidP="00EA2B49">
            <w:pPr>
              <w:jc w:val="center"/>
              <w:rPr>
                <w:b/>
              </w:rPr>
            </w:pPr>
          </w:p>
        </w:tc>
      </w:tr>
    </w:tbl>
    <w:p w:rsidR="00C555B5" w:rsidRPr="005D10D8" w:rsidRDefault="00C555B5" w:rsidP="00C555B5">
      <w:pPr>
        <w:pStyle w:val="naisf"/>
        <w:spacing w:before="0" w:after="0"/>
        <w:ind w:firstLine="0"/>
        <w:jc w:val="center"/>
        <w:rPr>
          <w:b/>
        </w:rPr>
      </w:pPr>
      <w:r w:rsidRPr="005D10D8">
        <w:rPr>
          <w:b/>
        </w:rPr>
        <w:t>I. Jautājumi, par kuriem saskaņošanā vienošanās nav panākta</w:t>
      </w:r>
    </w:p>
    <w:p w:rsidR="00C555B5" w:rsidRPr="005D10D8" w:rsidRDefault="00C555B5" w:rsidP="00C555B5">
      <w:pPr>
        <w:pStyle w:val="naisf"/>
        <w:spacing w:before="0" w:after="0"/>
        <w:ind w:firstLine="0"/>
        <w:jc w:val="center"/>
        <w:rPr>
          <w:b/>
        </w:rPr>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35"/>
        <w:gridCol w:w="2951"/>
        <w:gridCol w:w="3118"/>
        <w:gridCol w:w="2977"/>
        <w:gridCol w:w="2459"/>
        <w:gridCol w:w="1920"/>
      </w:tblGrid>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2951"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C555B5" w:rsidRPr="005D10D8" w:rsidRDefault="00C555B5" w:rsidP="00EA2B49">
            <w:pPr>
              <w:jc w:val="center"/>
            </w:pPr>
            <w:r w:rsidRPr="005D10D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EA2B49">
        <w:tc>
          <w:tcPr>
            <w:tcW w:w="735"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2951"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311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2459" w:type="dxa"/>
            <w:tcBorders>
              <w:top w:val="single" w:sz="4" w:space="0" w:color="auto"/>
              <w:left w:val="single" w:sz="4" w:space="0" w:color="auto"/>
              <w:bottom w:val="single" w:sz="4" w:space="0" w:color="auto"/>
              <w:right w:val="single" w:sz="4" w:space="0" w:color="auto"/>
            </w:tcBorders>
          </w:tcPr>
          <w:p w:rsidR="00C555B5" w:rsidRPr="005D10D8" w:rsidRDefault="00C555B5" w:rsidP="00EA2B49">
            <w:pPr>
              <w:jc w:val="center"/>
            </w:pPr>
            <w:r w:rsidRPr="005D10D8">
              <w:t>5</w:t>
            </w:r>
          </w:p>
        </w:tc>
        <w:tc>
          <w:tcPr>
            <w:tcW w:w="1920"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6</w:t>
            </w:r>
          </w:p>
        </w:tc>
      </w:tr>
      <w:tr w:rsidR="00C555B5" w:rsidRPr="005D10D8" w:rsidTr="00C555B5">
        <w:tc>
          <w:tcPr>
            <w:tcW w:w="735" w:type="dxa"/>
            <w:tcBorders>
              <w:left w:val="single" w:sz="6" w:space="0" w:color="000000"/>
              <w:bottom w:val="single" w:sz="4" w:space="0" w:color="auto"/>
              <w:right w:val="single" w:sz="6" w:space="0" w:color="000000"/>
            </w:tcBorders>
          </w:tcPr>
          <w:p w:rsidR="00C555B5" w:rsidRPr="005D10D8" w:rsidRDefault="00C555B5" w:rsidP="00EA2B49">
            <w:pPr>
              <w:jc w:val="center"/>
            </w:pPr>
            <w:r w:rsidRPr="005D10D8">
              <w:t>1.</w:t>
            </w:r>
          </w:p>
        </w:tc>
        <w:tc>
          <w:tcPr>
            <w:tcW w:w="2951" w:type="dxa"/>
            <w:tcBorders>
              <w:left w:val="single" w:sz="6" w:space="0" w:color="000000"/>
              <w:bottom w:val="single" w:sz="4" w:space="0" w:color="auto"/>
              <w:right w:val="single" w:sz="6" w:space="0" w:color="000000"/>
            </w:tcBorders>
          </w:tcPr>
          <w:p w:rsidR="00C555B5" w:rsidRPr="005D10D8" w:rsidRDefault="00C555B5" w:rsidP="00240CB3">
            <w:pPr>
              <w:pStyle w:val="ListParagraph"/>
              <w:ind w:left="0"/>
              <w:jc w:val="both"/>
              <w:rPr>
                <w:lang w:val="lv-LV"/>
              </w:rPr>
            </w:pPr>
          </w:p>
        </w:tc>
        <w:tc>
          <w:tcPr>
            <w:tcW w:w="3118" w:type="dxa"/>
            <w:tcBorders>
              <w:left w:val="single" w:sz="6" w:space="0" w:color="000000"/>
              <w:bottom w:val="single" w:sz="4" w:space="0" w:color="auto"/>
              <w:right w:val="single" w:sz="6" w:space="0" w:color="000000"/>
            </w:tcBorders>
          </w:tcPr>
          <w:p w:rsidR="00C555B5" w:rsidRPr="005D10D8" w:rsidRDefault="00C555B5" w:rsidP="005D10D8">
            <w:pPr>
              <w:jc w:val="both"/>
            </w:pPr>
          </w:p>
        </w:tc>
        <w:tc>
          <w:tcPr>
            <w:tcW w:w="2977" w:type="dxa"/>
            <w:tcBorders>
              <w:left w:val="single" w:sz="6" w:space="0" w:color="000000"/>
              <w:bottom w:val="single" w:sz="4" w:space="0" w:color="auto"/>
              <w:right w:val="single" w:sz="6" w:space="0" w:color="000000"/>
            </w:tcBorders>
          </w:tcPr>
          <w:p w:rsidR="00256207" w:rsidRPr="005D10D8" w:rsidRDefault="00256207" w:rsidP="00256207">
            <w:pPr>
              <w:jc w:val="both"/>
            </w:pPr>
          </w:p>
        </w:tc>
        <w:tc>
          <w:tcPr>
            <w:tcW w:w="2459" w:type="dxa"/>
            <w:tcBorders>
              <w:top w:val="single" w:sz="4" w:space="0" w:color="auto"/>
              <w:left w:val="single" w:sz="4" w:space="0" w:color="auto"/>
              <w:bottom w:val="single" w:sz="4" w:space="0" w:color="auto"/>
              <w:right w:val="single" w:sz="4" w:space="0" w:color="auto"/>
            </w:tcBorders>
          </w:tcPr>
          <w:p w:rsidR="001B4E7E" w:rsidRPr="005D10D8" w:rsidRDefault="001B4E7E" w:rsidP="001B4E7E">
            <w:pPr>
              <w:jc w:val="both"/>
              <w:rPr>
                <w:b/>
              </w:rPr>
            </w:pPr>
          </w:p>
        </w:tc>
        <w:tc>
          <w:tcPr>
            <w:tcW w:w="1920" w:type="dxa"/>
            <w:tcBorders>
              <w:top w:val="single" w:sz="4" w:space="0" w:color="auto"/>
              <w:left w:val="single" w:sz="4" w:space="0" w:color="auto"/>
              <w:bottom w:val="single" w:sz="4" w:space="0" w:color="auto"/>
            </w:tcBorders>
          </w:tcPr>
          <w:p w:rsidR="00C555B5" w:rsidRPr="005D10D8" w:rsidRDefault="00C555B5" w:rsidP="001B4E7E">
            <w:pPr>
              <w:jc w:val="both"/>
            </w:pPr>
          </w:p>
        </w:tc>
      </w:tr>
    </w:tbl>
    <w:p w:rsidR="00C555B5" w:rsidRPr="005D10D8" w:rsidRDefault="00C555B5" w:rsidP="00C555B5">
      <w:pPr>
        <w:pStyle w:val="naisf"/>
        <w:spacing w:before="0" w:after="0"/>
        <w:ind w:firstLine="0"/>
      </w:pPr>
    </w:p>
    <w:p w:rsidR="00C555B5" w:rsidRPr="005D10D8" w:rsidRDefault="00C555B5" w:rsidP="00C555B5">
      <w:pPr>
        <w:pStyle w:val="naisf"/>
        <w:spacing w:before="0" w:after="0"/>
        <w:ind w:firstLine="0"/>
        <w:rPr>
          <w:b/>
        </w:rPr>
      </w:pPr>
      <w:r w:rsidRPr="005D10D8">
        <w:rPr>
          <w:b/>
        </w:rPr>
        <w:t>Informācija par starpministriju (starpinstitūciju) sanāksmi vai elektronisko saskaņošanu</w:t>
      </w:r>
    </w:p>
    <w:p w:rsidR="00C555B5" w:rsidRPr="005D10D8" w:rsidRDefault="00C555B5" w:rsidP="00C555B5">
      <w:pPr>
        <w:pStyle w:val="naisf"/>
        <w:spacing w:before="0" w:after="0"/>
        <w:ind w:firstLine="0"/>
        <w:rPr>
          <w:b/>
        </w:rPr>
      </w:pPr>
    </w:p>
    <w:tbl>
      <w:tblPr>
        <w:tblW w:w="12582" w:type="dxa"/>
        <w:tblLook w:val="00A0" w:firstRow="1" w:lastRow="0" w:firstColumn="1" w:lastColumn="0" w:noHBand="0" w:noVBand="0"/>
      </w:tblPr>
      <w:tblGrid>
        <w:gridCol w:w="6157"/>
        <w:gridCol w:w="349"/>
        <w:gridCol w:w="1230"/>
        <w:gridCol w:w="4846"/>
      </w:tblGrid>
      <w:tr w:rsidR="00C555B5" w:rsidRPr="005D10D8" w:rsidTr="00EA2B49">
        <w:tc>
          <w:tcPr>
            <w:tcW w:w="6157" w:type="dxa"/>
          </w:tcPr>
          <w:p w:rsidR="00C555B5" w:rsidRPr="005D10D8" w:rsidRDefault="00C555B5" w:rsidP="00EA2B49">
            <w:pPr>
              <w:pStyle w:val="naisf"/>
              <w:spacing w:before="0" w:after="0"/>
              <w:ind w:firstLine="0"/>
            </w:pPr>
            <w:r w:rsidRPr="005D10D8">
              <w:t>Datums</w:t>
            </w:r>
          </w:p>
        </w:tc>
        <w:tc>
          <w:tcPr>
            <w:tcW w:w="6425" w:type="dxa"/>
            <w:gridSpan w:val="3"/>
          </w:tcPr>
          <w:p w:rsidR="00C555B5" w:rsidRPr="003D4DD3" w:rsidRDefault="00375264" w:rsidP="00375264">
            <w:pPr>
              <w:pStyle w:val="NormalWeb"/>
              <w:spacing w:before="0" w:beforeAutospacing="0" w:after="0" w:afterAutospacing="0"/>
              <w:ind w:left="114"/>
              <w:rPr>
                <w:highlight w:val="yellow"/>
              </w:rPr>
            </w:pPr>
            <w:r w:rsidRPr="00375264">
              <w:t>No 31.07.2019 līdz 07.08.2019</w:t>
            </w:r>
          </w:p>
        </w:tc>
      </w:tr>
      <w:tr w:rsidR="00C555B5" w:rsidRPr="005D10D8" w:rsidTr="00EA2B49">
        <w:tc>
          <w:tcPr>
            <w:tcW w:w="6157" w:type="dxa"/>
          </w:tcPr>
          <w:p w:rsidR="00C555B5" w:rsidRPr="005D10D8" w:rsidRDefault="00C555B5" w:rsidP="00EA2B49">
            <w:pPr>
              <w:pStyle w:val="naisf"/>
              <w:spacing w:before="0" w:after="0"/>
              <w:ind w:firstLine="0"/>
            </w:pPr>
          </w:p>
        </w:tc>
        <w:tc>
          <w:tcPr>
            <w:tcW w:w="6425" w:type="dxa"/>
            <w:gridSpan w:val="3"/>
          </w:tcPr>
          <w:p w:rsidR="00C555B5" w:rsidRPr="005D10D8" w:rsidRDefault="00C555B5" w:rsidP="00EA2B49">
            <w:pPr>
              <w:pStyle w:val="NormalWeb"/>
              <w:spacing w:before="0" w:beforeAutospacing="0" w:after="0" w:afterAutospacing="0"/>
            </w:pPr>
          </w:p>
        </w:tc>
      </w:tr>
      <w:tr w:rsidR="00C555B5" w:rsidRPr="005D10D8" w:rsidTr="00EA2B49">
        <w:tc>
          <w:tcPr>
            <w:tcW w:w="6157" w:type="dxa"/>
          </w:tcPr>
          <w:p w:rsidR="00C555B5" w:rsidRPr="005D10D8" w:rsidRDefault="00C555B5" w:rsidP="00EA2B49">
            <w:pPr>
              <w:pStyle w:val="naiskr"/>
              <w:spacing w:before="0" w:after="0"/>
            </w:pPr>
            <w:r w:rsidRPr="005D10D8">
              <w:t>Saskaņošanas dalībnieki</w:t>
            </w:r>
          </w:p>
        </w:tc>
        <w:tc>
          <w:tcPr>
            <w:tcW w:w="6425" w:type="dxa"/>
            <w:gridSpan w:val="3"/>
          </w:tcPr>
          <w:p w:rsidR="00C555B5" w:rsidRPr="005D10D8" w:rsidRDefault="00C01230" w:rsidP="00EA2B49">
            <w:pPr>
              <w:pStyle w:val="naisf"/>
              <w:spacing w:before="0" w:after="0"/>
              <w:ind w:left="364" w:firstLine="0"/>
            </w:pPr>
            <w:r>
              <w:t>Tieslietu ministrija, Finanšu ministrija, Ārlietu ministrija, Labklājības ministrija un Vides un reģionālās attīstības ministrija</w:t>
            </w:r>
          </w:p>
        </w:tc>
      </w:tr>
      <w:tr w:rsidR="00C555B5" w:rsidRPr="005D10D8" w:rsidTr="00EA2B49">
        <w:trPr>
          <w:trHeight w:val="285"/>
        </w:trPr>
        <w:tc>
          <w:tcPr>
            <w:tcW w:w="6157" w:type="dxa"/>
          </w:tcPr>
          <w:p w:rsidR="00C555B5" w:rsidRPr="005D10D8" w:rsidRDefault="00C555B5" w:rsidP="00EA2B49">
            <w:pPr>
              <w:pStyle w:val="naiskr"/>
              <w:spacing w:before="0" w:after="0"/>
            </w:pPr>
          </w:p>
        </w:tc>
        <w:tc>
          <w:tcPr>
            <w:tcW w:w="1579" w:type="dxa"/>
            <w:gridSpan w:val="2"/>
          </w:tcPr>
          <w:p w:rsidR="00C555B5" w:rsidRPr="005D10D8" w:rsidRDefault="00C555B5" w:rsidP="00EA2B49">
            <w:pPr>
              <w:pStyle w:val="naiskr"/>
              <w:spacing w:before="0" w:after="0"/>
              <w:ind w:firstLine="720"/>
            </w:pPr>
          </w:p>
        </w:tc>
        <w:tc>
          <w:tcPr>
            <w:tcW w:w="4846" w:type="dxa"/>
          </w:tcPr>
          <w:p w:rsidR="00C555B5" w:rsidRPr="005D10D8" w:rsidRDefault="00C555B5" w:rsidP="00EA2B49">
            <w:pPr>
              <w:pStyle w:val="naiskr"/>
              <w:spacing w:before="0" w:after="0"/>
              <w:ind w:firstLine="12"/>
            </w:pPr>
          </w:p>
        </w:tc>
      </w:tr>
      <w:tr w:rsidR="00C555B5" w:rsidRPr="005D10D8" w:rsidTr="00EA2B49">
        <w:trPr>
          <w:trHeight w:val="383"/>
        </w:trPr>
        <w:tc>
          <w:tcPr>
            <w:tcW w:w="6506" w:type="dxa"/>
            <w:gridSpan w:val="2"/>
          </w:tcPr>
          <w:p w:rsidR="00C555B5" w:rsidRPr="005D10D8" w:rsidRDefault="00C555B5" w:rsidP="00EA2B49">
            <w:pPr>
              <w:pStyle w:val="naiskr"/>
              <w:spacing w:before="0" w:after="0"/>
            </w:pPr>
            <w:r w:rsidRPr="005D10D8">
              <w:t>Saskaņošanas dalībnieki izskatīja šādu ministriju (citu institūciju) iebildumus</w:t>
            </w:r>
          </w:p>
        </w:tc>
        <w:tc>
          <w:tcPr>
            <w:tcW w:w="6076" w:type="dxa"/>
            <w:gridSpan w:val="2"/>
          </w:tcPr>
          <w:p w:rsidR="00C555B5" w:rsidRPr="005D10D8" w:rsidRDefault="00C01230" w:rsidP="00EA2B49">
            <w:pPr>
              <w:pStyle w:val="naiskr"/>
              <w:spacing w:before="0" w:after="0"/>
              <w:ind w:left="15" w:firstLine="12"/>
            </w:pPr>
            <w:r>
              <w:t>Ārlietu ministrija</w:t>
            </w:r>
            <w:r w:rsidR="00375264">
              <w:t>s</w:t>
            </w:r>
            <w:r>
              <w:t xml:space="preserve"> un Labklājības ministrija</w:t>
            </w:r>
            <w:r w:rsidR="00375264">
              <w:t>s</w:t>
            </w:r>
          </w:p>
        </w:tc>
      </w:tr>
      <w:tr w:rsidR="00C555B5" w:rsidRPr="005D10D8" w:rsidTr="00EA2B49">
        <w:tc>
          <w:tcPr>
            <w:tcW w:w="6506" w:type="dxa"/>
            <w:gridSpan w:val="2"/>
          </w:tcPr>
          <w:p w:rsidR="00C555B5" w:rsidRPr="005D10D8" w:rsidRDefault="00C555B5" w:rsidP="00EA2B49">
            <w:pPr>
              <w:pStyle w:val="naiskr"/>
              <w:spacing w:before="0" w:after="0"/>
            </w:pPr>
          </w:p>
          <w:p w:rsidR="00C555B5" w:rsidRPr="005D10D8" w:rsidRDefault="00C555B5" w:rsidP="00EA2B49">
            <w:pPr>
              <w:pStyle w:val="naiskr"/>
              <w:spacing w:before="0" w:after="0"/>
            </w:pPr>
            <w:r w:rsidRPr="005D10D8">
              <w:t>Ministrijas (citas institūcijas), kuras nav ieradušās uz sanāksmi vai kuras nav atbildējušas uz uzaicinājumu piedalīties elektroniskajā saskaņošanā</w:t>
            </w:r>
          </w:p>
        </w:tc>
        <w:tc>
          <w:tcPr>
            <w:tcW w:w="6076" w:type="dxa"/>
            <w:gridSpan w:val="2"/>
          </w:tcPr>
          <w:p w:rsidR="00C555B5" w:rsidRPr="005D10D8" w:rsidRDefault="00C555B5" w:rsidP="00EA2B49">
            <w:pPr>
              <w:pStyle w:val="naiskr"/>
              <w:spacing w:before="0" w:after="0"/>
              <w:ind w:firstLine="720"/>
            </w:pPr>
          </w:p>
          <w:p w:rsidR="00C555B5" w:rsidRPr="005D10D8" w:rsidRDefault="00C555B5" w:rsidP="00EA2B49"/>
          <w:p w:rsidR="00C555B5" w:rsidRPr="005D10D8" w:rsidRDefault="00C555B5" w:rsidP="00EA2B49"/>
        </w:tc>
      </w:tr>
    </w:tbl>
    <w:p w:rsidR="00643E1C" w:rsidRDefault="00643E1C"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Default="00034648" w:rsidP="00C555B5">
      <w:pPr>
        <w:pStyle w:val="naisf"/>
        <w:spacing w:before="0" w:after="0"/>
        <w:ind w:firstLine="0"/>
        <w:jc w:val="center"/>
        <w:rPr>
          <w:b/>
        </w:rPr>
      </w:pPr>
    </w:p>
    <w:p w:rsidR="00034648" w:rsidRPr="005D10D8" w:rsidRDefault="00034648" w:rsidP="00C555B5">
      <w:pPr>
        <w:pStyle w:val="naisf"/>
        <w:spacing w:before="0" w:after="0"/>
        <w:ind w:firstLine="0"/>
        <w:jc w:val="center"/>
        <w:rPr>
          <w:b/>
        </w:rPr>
      </w:pPr>
    </w:p>
    <w:p w:rsidR="00C555B5" w:rsidRPr="005D10D8" w:rsidRDefault="00C555B5" w:rsidP="00C555B5">
      <w:pPr>
        <w:pStyle w:val="naisf"/>
        <w:spacing w:before="0" w:after="0"/>
        <w:ind w:firstLine="0"/>
        <w:jc w:val="center"/>
        <w:rPr>
          <w:b/>
        </w:rPr>
      </w:pPr>
      <w:r w:rsidRPr="005D10D8">
        <w:rPr>
          <w:b/>
        </w:rPr>
        <w:t>II. Jautājumi, par kuriem saskaņošanā vienošanās ir panākta</w:t>
      </w:r>
    </w:p>
    <w:p w:rsidR="00C555B5" w:rsidRPr="005D10D8" w:rsidRDefault="00C555B5" w:rsidP="00C555B5">
      <w:pPr>
        <w:pStyle w:val="naisf"/>
        <w:spacing w:before="0" w:after="0"/>
        <w:ind w:firstLine="0"/>
        <w:jc w:val="center"/>
        <w:rPr>
          <w:b/>
        </w:rPr>
      </w:pPr>
    </w:p>
    <w:tbl>
      <w:tblPr>
        <w:tblW w:w="1428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4394"/>
        <w:gridCol w:w="2977"/>
        <w:gridCol w:w="3118"/>
      </w:tblGrid>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pPr>
            <w:r w:rsidRPr="005D10D8">
              <w:t>Nr. p.k.</w:t>
            </w:r>
          </w:p>
        </w:tc>
        <w:tc>
          <w:tcPr>
            <w:tcW w:w="3086"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12"/>
            </w:pPr>
            <w:r w:rsidRPr="005D10D8">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right="3"/>
            </w:pPr>
            <w:r w:rsidRPr="005D10D8">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C555B5" w:rsidRPr="005D10D8" w:rsidRDefault="00C555B5" w:rsidP="00EA2B49">
            <w:pPr>
              <w:pStyle w:val="naisc"/>
              <w:spacing w:before="0" w:after="0"/>
              <w:ind w:firstLine="21"/>
            </w:pPr>
            <w:r w:rsidRPr="005D10D8">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rsidR="00C555B5" w:rsidRPr="005D10D8" w:rsidRDefault="00C555B5" w:rsidP="00EA2B49">
            <w:pPr>
              <w:jc w:val="center"/>
            </w:pPr>
            <w:r w:rsidRPr="005D10D8">
              <w:t>Projekta attiecīgā punkta (panta) galīgā redakcija</w:t>
            </w:r>
          </w:p>
        </w:tc>
      </w:tr>
      <w:tr w:rsidR="00C555B5" w:rsidRPr="005D10D8" w:rsidTr="00EA2B49">
        <w:tc>
          <w:tcPr>
            <w:tcW w:w="708"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1</w:t>
            </w:r>
          </w:p>
        </w:tc>
        <w:tc>
          <w:tcPr>
            <w:tcW w:w="3086"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2</w:t>
            </w:r>
          </w:p>
        </w:tc>
        <w:tc>
          <w:tcPr>
            <w:tcW w:w="4394"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3</w:t>
            </w:r>
          </w:p>
        </w:tc>
        <w:tc>
          <w:tcPr>
            <w:tcW w:w="2977" w:type="dxa"/>
            <w:tcBorders>
              <w:top w:val="single" w:sz="6" w:space="0" w:color="000000"/>
              <w:left w:val="single" w:sz="6" w:space="0" w:color="000000"/>
              <w:bottom w:val="single" w:sz="6" w:space="0" w:color="000000"/>
              <w:right w:val="single" w:sz="6" w:space="0" w:color="000000"/>
            </w:tcBorders>
          </w:tcPr>
          <w:p w:rsidR="00C555B5" w:rsidRPr="005D10D8" w:rsidRDefault="00C555B5" w:rsidP="00EA2B49">
            <w:pPr>
              <w:pStyle w:val="naisc"/>
              <w:spacing w:before="0" w:after="0"/>
            </w:pPr>
            <w:r w:rsidRPr="005D10D8">
              <w:t>4</w:t>
            </w:r>
          </w:p>
        </w:tc>
        <w:tc>
          <w:tcPr>
            <w:tcW w:w="3118" w:type="dxa"/>
            <w:tcBorders>
              <w:top w:val="single" w:sz="4" w:space="0" w:color="auto"/>
              <w:left w:val="single" w:sz="4" w:space="0" w:color="auto"/>
              <w:bottom w:val="single" w:sz="4" w:space="0" w:color="auto"/>
            </w:tcBorders>
          </w:tcPr>
          <w:p w:rsidR="00C555B5" w:rsidRPr="005D10D8" w:rsidRDefault="00C555B5" w:rsidP="00EA2B49">
            <w:pPr>
              <w:jc w:val="center"/>
            </w:pPr>
            <w:r w:rsidRPr="005D10D8">
              <w:t>5</w:t>
            </w:r>
          </w:p>
        </w:tc>
      </w:tr>
      <w:tr w:rsidR="003D4DD3" w:rsidRPr="005D10D8" w:rsidTr="00EA2B49">
        <w:tc>
          <w:tcPr>
            <w:tcW w:w="708" w:type="dxa"/>
            <w:tcBorders>
              <w:top w:val="single" w:sz="6" w:space="0" w:color="000000"/>
              <w:left w:val="single" w:sz="6" w:space="0" w:color="000000"/>
              <w:bottom w:val="single" w:sz="6" w:space="0" w:color="000000"/>
              <w:right w:val="single" w:sz="6" w:space="0" w:color="000000"/>
            </w:tcBorders>
          </w:tcPr>
          <w:p w:rsidR="003D4DD3" w:rsidRPr="005D10D8" w:rsidRDefault="003D4DD3" w:rsidP="00EA2B49">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tcPr>
          <w:p w:rsidR="003D4DD3" w:rsidRPr="005D10D8" w:rsidRDefault="00034648" w:rsidP="003D4DD3">
            <w:pPr>
              <w:pStyle w:val="naisc"/>
              <w:spacing w:before="0" w:after="0"/>
              <w:jc w:val="both"/>
            </w:pPr>
            <w:r>
              <w:t>Anotācijā lietota jēdziens “invalīds’</w:t>
            </w:r>
          </w:p>
        </w:tc>
        <w:tc>
          <w:tcPr>
            <w:tcW w:w="4394" w:type="dxa"/>
            <w:tcBorders>
              <w:top w:val="single" w:sz="6" w:space="0" w:color="000000"/>
              <w:left w:val="single" w:sz="6" w:space="0" w:color="000000"/>
              <w:bottom w:val="single" w:sz="6" w:space="0" w:color="000000"/>
              <w:right w:val="single" w:sz="6" w:space="0" w:color="000000"/>
            </w:tcBorders>
          </w:tcPr>
          <w:p w:rsidR="003D4DD3" w:rsidRPr="003D4DD3" w:rsidRDefault="003D4DD3" w:rsidP="00EA2B49">
            <w:pPr>
              <w:pStyle w:val="naisc"/>
              <w:spacing w:before="0" w:after="0"/>
              <w:rPr>
                <w:b/>
              </w:rPr>
            </w:pPr>
            <w:r w:rsidRPr="003D4DD3">
              <w:rPr>
                <w:b/>
              </w:rPr>
              <w:t>Labklājības ministrija</w:t>
            </w:r>
          </w:p>
          <w:p w:rsidR="003D4DD3" w:rsidRPr="003D4DD3" w:rsidRDefault="003D4DD3" w:rsidP="003D4DD3">
            <w:pPr>
              <w:pStyle w:val="naisc"/>
              <w:spacing w:before="0" w:after="0"/>
              <w:jc w:val="both"/>
            </w:pPr>
            <w:r w:rsidRPr="003D4DD3">
              <w:t>Pamatojoties uz Apvienoto Nāciju Organizācijas Konvencijas par personu ar invaliditāti tiesībām un Invaliditātes likumu, attiecībā uz personu, kurai ir noteikta invaliditāte, lietojams jēdziens “persona ar invaliditāti”, aizstājot jēdzienu “invalīds”. Jēdzienam “invalīds” ir negatīva pieskaņa, jo tas liek pašu personu uzskatīt par nederīgu, un tādējādi tas uzskatāms par aizskarošu. Turpretī jēdziens “persona ar invaliditāti” norāda uz personai piemītošiem funkcionāliem ierobežojumiem un neapzīmē pašu personu kā nespējīgu, vienlaicīgi nenoniecinot personas spējas līdzdarboties sabiedriskajos proces</w:t>
            </w:r>
            <w:bookmarkStart w:id="0" w:name="_GoBack"/>
            <w:bookmarkEnd w:id="0"/>
            <w:r w:rsidRPr="003D4DD3">
              <w:t>os. Tāpēc lūdzam anotācijā vārdu “invalīdiem” aizstāt ar vārdiem „personām ar invaliditāti”.</w:t>
            </w:r>
          </w:p>
        </w:tc>
        <w:tc>
          <w:tcPr>
            <w:tcW w:w="2977" w:type="dxa"/>
            <w:tcBorders>
              <w:top w:val="single" w:sz="6" w:space="0" w:color="000000"/>
              <w:left w:val="single" w:sz="6" w:space="0" w:color="000000"/>
              <w:bottom w:val="single" w:sz="6" w:space="0" w:color="000000"/>
              <w:right w:val="single" w:sz="6" w:space="0" w:color="000000"/>
            </w:tcBorders>
          </w:tcPr>
          <w:p w:rsidR="003D4DD3" w:rsidRPr="003D4DD3" w:rsidRDefault="007F40D3" w:rsidP="007F40D3">
            <w:pPr>
              <w:pStyle w:val="naisc"/>
              <w:spacing w:before="0" w:after="0"/>
              <w:rPr>
                <w:b/>
              </w:rPr>
            </w:pPr>
            <w:r>
              <w:rPr>
                <w:b/>
              </w:rPr>
              <w:t>Iebildums ņ</w:t>
            </w:r>
            <w:r w:rsidR="003D4DD3" w:rsidRPr="003D4DD3">
              <w:rPr>
                <w:b/>
              </w:rPr>
              <w:t>emts vērā</w:t>
            </w:r>
          </w:p>
        </w:tc>
        <w:tc>
          <w:tcPr>
            <w:tcW w:w="3118" w:type="dxa"/>
            <w:tcBorders>
              <w:top w:val="single" w:sz="4" w:space="0" w:color="auto"/>
              <w:left w:val="single" w:sz="4" w:space="0" w:color="auto"/>
              <w:bottom w:val="single" w:sz="4" w:space="0" w:color="auto"/>
            </w:tcBorders>
          </w:tcPr>
          <w:p w:rsidR="003D4DD3" w:rsidRPr="005D10D8" w:rsidRDefault="00034648" w:rsidP="003D4DD3">
            <w:pPr>
              <w:jc w:val="both"/>
            </w:pPr>
            <w:r>
              <w:t>Anotācijā jēdziens “invalīds” aizstāts ar jēdzienu “persona ar invaliditāti”</w:t>
            </w:r>
          </w:p>
        </w:tc>
      </w:tr>
      <w:tr w:rsidR="007F40D3" w:rsidRPr="005D10D8" w:rsidTr="00EA2B49">
        <w:tc>
          <w:tcPr>
            <w:tcW w:w="708" w:type="dxa"/>
            <w:tcBorders>
              <w:top w:val="single" w:sz="6" w:space="0" w:color="000000"/>
              <w:left w:val="single" w:sz="6" w:space="0" w:color="000000"/>
              <w:bottom w:val="single" w:sz="6" w:space="0" w:color="000000"/>
              <w:right w:val="single" w:sz="6" w:space="0" w:color="000000"/>
            </w:tcBorders>
          </w:tcPr>
          <w:p w:rsidR="007F40D3" w:rsidRPr="005D10D8" w:rsidRDefault="007F40D3" w:rsidP="007F40D3">
            <w:pPr>
              <w:pStyle w:val="naisc"/>
              <w:spacing w:before="0" w:after="0"/>
            </w:pPr>
            <w:r>
              <w:t>1.</w:t>
            </w:r>
          </w:p>
        </w:tc>
        <w:tc>
          <w:tcPr>
            <w:tcW w:w="3086" w:type="dxa"/>
            <w:tcBorders>
              <w:top w:val="single" w:sz="6" w:space="0" w:color="000000"/>
              <w:left w:val="single" w:sz="6" w:space="0" w:color="000000"/>
              <w:bottom w:val="single" w:sz="6" w:space="0" w:color="000000"/>
              <w:right w:val="single" w:sz="6" w:space="0" w:color="000000"/>
            </w:tcBorders>
          </w:tcPr>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3. Valsts nodevas apmērs par pases izsniegšanu:</w:t>
            </w: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3.1. ir 29 </w:t>
            </w:r>
            <w:proofErr w:type="spellStart"/>
            <w:r w:rsidRPr="007F40D3">
              <w:rPr>
                <w:rFonts w:ascii="Times New Roman" w:hAnsi="Times New Roman" w:cs="Times New Roman"/>
                <w:i/>
                <w:sz w:val="24"/>
                <w:szCs w:val="24"/>
              </w:rPr>
              <w:t>euro</w:t>
            </w:r>
            <w:proofErr w:type="spellEnd"/>
            <w:r w:rsidRPr="007F40D3">
              <w:rPr>
                <w:rFonts w:ascii="Times New Roman" w:hAnsi="Times New Roman" w:cs="Times New Roman"/>
                <w:i/>
                <w:sz w:val="24"/>
                <w:szCs w:val="24"/>
              </w:rPr>
              <w:t>,</w:t>
            </w:r>
            <w:r w:rsidRPr="007F40D3">
              <w:rPr>
                <w:rFonts w:ascii="Times New Roman" w:hAnsi="Times New Roman" w:cs="Times New Roman"/>
                <w:sz w:val="24"/>
                <w:szCs w:val="24"/>
              </w:rPr>
              <w:t xml:space="preserve"> ja pasi izsniedz 10 darbdienu laikā;</w:t>
            </w: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lastRenderedPageBreak/>
              <w:t>3.2. ir 57 </w:t>
            </w:r>
            <w:proofErr w:type="spellStart"/>
            <w:r w:rsidRPr="007F40D3">
              <w:rPr>
                <w:rFonts w:ascii="Times New Roman" w:hAnsi="Times New Roman" w:cs="Times New Roman"/>
                <w:i/>
                <w:sz w:val="24"/>
                <w:szCs w:val="24"/>
              </w:rPr>
              <w:t>euro</w:t>
            </w:r>
            <w:proofErr w:type="spellEnd"/>
            <w:r w:rsidRPr="007F40D3">
              <w:rPr>
                <w:rFonts w:ascii="Times New Roman" w:hAnsi="Times New Roman" w:cs="Times New Roman"/>
                <w:sz w:val="24"/>
                <w:szCs w:val="24"/>
              </w:rPr>
              <w:t>, ja pasi izsniedz divu darbdienu laikā.</w:t>
            </w: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4. Valsts nodevas apmērs par personas apliecības izsniegšanu:</w:t>
            </w: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4.1. ir 15 </w:t>
            </w:r>
            <w:proofErr w:type="spellStart"/>
            <w:r w:rsidRPr="007F40D3">
              <w:rPr>
                <w:rFonts w:ascii="Times New Roman" w:hAnsi="Times New Roman" w:cs="Times New Roman"/>
                <w:i/>
                <w:sz w:val="24"/>
                <w:szCs w:val="24"/>
              </w:rPr>
              <w:t>euro</w:t>
            </w:r>
            <w:proofErr w:type="spellEnd"/>
            <w:r w:rsidRPr="007F40D3">
              <w:rPr>
                <w:rFonts w:ascii="Times New Roman" w:hAnsi="Times New Roman" w:cs="Times New Roman"/>
                <w:sz w:val="24"/>
                <w:szCs w:val="24"/>
              </w:rPr>
              <w:t>, ja personas apliecību izsniedz 10 darbdienu laikā;</w:t>
            </w:r>
          </w:p>
          <w:p w:rsidR="007F40D3" w:rsidRDefault="007F40D3" w:rsidP="007F40D3">
            <w:pPr>
              <w:pStyle w:val="naisc"/>
              <w:spacing w:before="0" w:after="0"/>
              <w:jc w:val="both"/>
            </w:pPr>
            <w:r w:rsidRPr="007F40D3">
              <w:t>4.2. ir 29 </w:t>
            </w:r>
            <w:proofErr w:type="spellStart"/>
            <w:r w:rsidRPr="007F40D3">
              <w:rPr>
                <w:i/>
              </w:rPr>
              <w:t>euro</w:t>
            </w:r>
            <w:proofErr w:type="spellEnd"/>
            <w:r w:rsidRPr="007F40D3">
              <w:t>, ja personas apliecību izsniedz divu darbdienu laikā</w:t>
            </w:r>
            <w:r>
              <w:t>.</w:t>
            </w:r>
          </w:p>
          <w:p w:rsidR="007F40D3" w:rsidRDefault="007F40D3" w:rsidP="007F40D3">
            <w:pPr>
              <w:pStyle w:val="naisc"/>
              <w:spacing w:before="0" w:after="0"/>
              <w:jc w:val="both"/>
            </w:pPr>
          </w:p>
          <w:p w:rsidR="007F40D3" w:rsidRPr="007D5182" w:rsidRDefault="007F40D3" w:rsidP="007F40D3">
            <w:pPr>
              <w:pStyle w:val="NoSpacing"/>
              <w:rPr>
                <w:rFonts w:ascii="Times New Roman" w:hAnsi="Times New Roman" w:cs="Times New Roman"/>
                <w:sz w:val="24"/>
                <w:szCs w:val="24"/>
              </w:rPr>
            </w:pPr>
            <w:r w:rsidRPr="007D5182">
              <w:rPr>
                <w:rFonts w:ascii="Times New Roman" w:hAnsi="Times New Roman" w:cs="Times New Roman"/>
                <w:sz w:val="24"/>
                <w:szCs w:val="24"/>
              </w:rPr>
              <w:t>7. Valsts nodevas apmērs par pases izsniegšanu šo noteikumu 6.punktā minētajai personai:</w:t>
            </w:r>
          </w:p>
          <w:p w:rsidR="007F40D3" w:rsidRPr="007D5182" w:rsidRDefault="007F40D3" w:rsidP="007F40D3">
            <w:pPr>
              <w:pStyle w:val="NoSpacing"/>
              <w:rPr>
                <w:rFonts w:ascii="Times New Roman" w:hAnsi="Times New Roman" w:cs="Times New Roman"/>
                <w:sz w:val="24"/>
                <w:szCs w:val="24"/>
              </w:rPr>
            </w:pPr>
            <w:r w:rsidRPr="007D5182">
              <w:rPr>
                <w:rFonts w:ascii="Times New Roman" w:hAnsi="Times New Roman" w:cs="Times New Roman"/>
                <w:sz w:val="24"/>
                <w:szCs w:val="24"/>
              </w:rPr>
              <w:t>7.1. ir 15 </w:t>
            </w:r>
            <w:proofErr w:type="spellStart"/>
            <w:r w:rsidRPr="007D5182">
              <w:rPr>
                <w:rFonts w:ascii="Times New Roman" w:hAnsi="Times New Roman" w:cs="Times New Roman"/>
                <w:i/>
                <w:sz w:val="24"/>
                <w:szCs w:val="24"/>
              </w:rPr>
              <w:t>euro</w:t>
            </w:r>
            <w:proofErr w:type="spellEnd"/>
            <w:r w:rsidRPr="007D5182">
              <w:rPr>
                <w:rFonts w:ascii="Times New Roman" w:hAnsi="Times New Roman" w:cs="Times New Roman"/>
                <w:sz w:val="24"/>
                <w:szCs w:val="24"/>
              </w:rPr>
              <w:t>, ja pasi izsniedz 10 darbdienu laikā;</w:t>
            </w:r>
          </w:p>
          <w:p w:rsidR="007F40D3" w:rsidRPr="005D10D8" w:rsidRDefault="007F40D3" w:rsidP="007F40D3">
            <w:pPr>
              <w:pStyle w:val="naisc"/>
              <w:spacing w:before="0" w:after="0"/>
              <w:jc w:val="both"/>
            </w:pPr>
            <w:r w:rsidRPr="007D5182">
              <w:t>7.2. ir 29 </w:t>
            </w:r>
            <w:proofErr w:type="spellStart"/>
            <w:r w:rsidRPr="007D5182">
              <w:rPr>
                <w:i/>
              </w:rPr>
              <w:t>euro</w:t>
            </w:r>
            <w:proofErr w:type="spellEnd"/>
            <w:r w:rsidRPr="007D5182">
              <w:t>, ja pasi izsniedz divu darbdienu laikā.</w:t>
            </w:r>
          </w:p>
        </w:tc>
        <w:tc>
          <w:tcPr>
            <w:tcW w:w="4394" w:type="dxa"/>
            <w:tcBorders>
              <w:top w:val="single" w:sz="6" w:space="0" w:color="000000"/>
              <w:left w:val="single" w:sz="6" w:space="0" w:color="000000"/>
              <w:bottom w:val="single" w:sz="6" w:space="0" w:color="000000"/>
              <w:right w:val="single" w:sz="6" w:space="0" w:color="000000"/>
            </w:tcBorders>
          </w:tcPr>
          <w:p w:rsidR="007F40D3" w:rsidRPr="007F40D3" w:rsidRDefault="007F40D3" w:rsidP="007F40D3">
            <w:pPr>
              <w:pStyle w:val="naisc"/>
              <w:spacing w:before="0" w:after="0"/>
              <w:rPr>
                <w:b/>
              </w:rPr>
            </w:pPr>
            <w:r w:rsidRPr="007F40D3">
              <w:rPr>
                <w:b/>
              </w:rPr>
              <w:lastRenderedPageBreak/>
              <w:t>Ārlietu ministrija</w:t>
            </w:r>
          </w:p>
          <w:p w:rsidR="007F40D3" w:rsidRDefault="007F40D3" w:rsidP="007F40D3">
            <w:pPr>
              <w:tabs>
                <w:tab w:val="left" w:pos="567"/>
              </w:tabs>
              <w:jc w:val="both"/>
            </w:pPr>
            <w:r>
              <w:t xml:space="preserve">Ārlietu ministrija atbalsta un pozitīvi vērtē </w:t>
            </w:r>
            <w:proofErr w:type="spellStart"/>
            <w:r>
              <w:t>Iekšlietu</w:t>
            </w:r>
            <w:proofErr w:type="spellEnd"/>
            <w:r>
              <w:t xml:space="preserve"> ministrijas iniciatīvu samazināt valsts nodevas apmēru par personu apliecinošu dokumentu izsniegšanu </w:t>
            </w:r>
            <w:r>
              <w:lastRenderedPageBreak/>
              <w:t xml:space="preserve">atsevišķām </w:t>
            </w:r>
            <w:proofErr w:type="spellStart"/>
            <w:r>
              <w:t>valstspiederīgo</w:t>
            </w:r>
            <w:proofErr w:type="spellEnd"/>
            <w:r>
              <w:t xml:space="preserve"> kategorijām. Vienlaikus Ārlietu ministrija rosina pārskatīt Noteikumu projekta 3.1., 3.2., 4.2. un 7.2. punktos uzskaitītos valsts nodevu apmērus. </w:t>
            </w:r>
          </w:p>
          <w:p w:rsidR="007F40D3" w:rsidRDefault="007F40D3" w:rsidP="007F40D3">
            <w:pPr>
              <w:tabs>
                <w:tab w:val="left" w:pos="567"/>
              </w:tabs>
              <w:jc w:val="both"/>
            </w:pPr>
            <w:r>
              <w:tab/>
              <w:t xml:space="preserve">Atbilstoši Noteikumu projekta anotācijai, šobrīd Latvijas Republikas diplomātiskajās un konsulārajās pārstāvniecībās ārvalstīs (turpmāk – pārstāvniecība) iekasētās valsts nodevas tiek ieskaitītas attiecīgajā valsts pamatbudžeta ieņēmumu kontā Valsts kasē, kā arī pārstāvniecību atvērtajos norēķinu kontos ārvalstīs. </w:t>
            </w:r>
          </w:p>
          <w:p w:rsidR="007F40D3" w:rsidRDefault="007F40D3" w:rsidP="007F40D3">
            <w:pPr>
              <w:tabs>
                <w:tab w:val="left" w:pos="567"/>
              </w:tabs>
              <w:jc w:val="both"/>
            </w:pPr>
            <w:r>
              <w:tab/>
              <w:t xml:space="preserve">Pārstāvniecību pieredze ar valsts nodevu administrēšanu liecina par </w:t>
            </w:r>
            <w:proofErr w:type="spellStart"/>
            <w:r>
              <w:t>valstspiederīgo</w:t>
            </w:r>
            <w:proofErr w:type="spellEnd"/>
            <w:r>
              <w:t xml:space="preserve"> tendenci veikt neprecīzus maksājumus, noapaļojot summu līdz veselam skaitlim uz augšu, piemēram, </w:t>
            </w:r>
            <w:proofErr w:type="spellStart"/>
            <w:r>
              <w:t>valstspiederīgie</w:t>
            </w:r>
            <w:proofErr w:type="spellEnd"/>
            <w:r>
              <w:t xml:space="preserve"> valsts nodevas 7,11 </w:t>
            </w:r>
            <w:proofErr w:type="spellStart"/>
            <w:r w:rsidRPr="000061BF">
              <w:rPr>
                <w:i/>
              </w:rPr>
              <w:t>euro</w:t>
            </w:r>
            <w:proofErr w:type="spellEnd"/>
            <w:r>
              <w:t xml:space="preserve"> vietā pārskaita 8 </w:t>
            </w:r>
            <w:proofErr w:type="spellStart"/>
            <w:r w:rsidRPr="000061BF">
              <w:rPr>
                <w:i/>
              </w:rPr>
              <w:t>euro</w:t>
            </w:r>
            <w:proofErr w:type="spellEnd"/>
            <w:r>
              <w:t xml:space="preserve">. </w:t>
            </w:r>
            <w:r w:rsidRPr="00405245">
              <w:t>Minētais ir raksturīgs tikai gadījumos, kad pārskaitījumu persona veic patstāvīgi ar internetbankas starpniecību, nevis apmaksā valsts nodevu klātienē pārstāvniecībā.</w:t>
            </w:r>
            <w:r>
              <w:t xml:space="preserve"> Tāpat neprecizitātes mēdz rasties valūtas kursa konvertācijas rezultātā.</w:t>
            </w:r>
          </w:p>
          <w:p w:rsidR="007F40D3" w:rsidRDefault="007F40D3" w:rsidP="007F40D3">
            <w:pPr>
              <w:tabs>
                <w:tab w:val="left" w:pos="567"/>
              </w:tabs>
              <w:jc w:val="both"/>
            </w:pPr>
            <w:r>
              <w:tab/>
              <w:t>Ņemot vērā minēto, neprecīzi veiktu maksājumu administrēšana Ārlietu ministrijas un pārstāvniecību amatpersonām ir apgrūtinoša šādu iemeslu dēļ:</w:t>
            </w:r>
          </w:p>
          <w:p w:rsidR="007F40D3" w:rsidRPr="00011737" w:rsidRDefault="007F40D3" w:rsidP="007F40D3">
            <w:pPr>
              <w:widowControl w:val="0"/>
              <w:numPr>
                <w:ilvl w:val="0"/>
                <w:numId w:val="2"/>
              </w:numPr>
              <w:tabs>
                <w:tab w:val="left" w:pos="567"/>
              </w:tabs>
              <w:ind w:left="567"/>
              <w:jc w:val="both"/>
            </w:pPr>
            <w:r w:rsidRPr="0043540A">
              <w:t>nav iespējams sagatavot ceturkšņa atskaites ar precīzu informāciju par valsts nodevu ieņēmumiem</w:t>
            </w:r>
            <w:r w:rsidRPr="00011737">
              <w:t xml:space="preserve"> atbilstoši </w:t>
            </w:r>
            <w:r w:rsidRPr="00011737">
              <w:lastRenderedPageBreak/>
              <w:t>saistošajiem normatīvajiem aktiem – Valsts kasē veidosies pārmaksa līdz brīdim, kamēr pārmaksātie naudas līdzekļi netiks atmaksāti personai;</w:t>
            </w:r>
          </w:p>
          <w:p w:rsidR="007F40D3" w:rsidRPr="0043540A" w:rsidRDefault="007F40D3" w:rsidP="007F40D3">
            <w:pPr>
              <w:widowControl w:val="0"/>
              <w:numPr>
                <w:ilvl w:val="0"/>
                <w:numId w:val="2"/>
              </w:numPr>
              <w:tabs>
                <w:tab w:val="left" w:pos="567"/>
              </w:tabs>
              <w:ind w:left="567"/>
              <w:jc w:val="both"/>
            </w:pPr>
            <w:r w:rsidRPr="00011737">
              <w:t xml:space="preserve">pārmaksāto naudas līdzekļu atmaksa personām, kurām ir atvērti bankas norēķinu konti ārvalstīs, ir saistāma ar </w:t>
            </w:r>
            <w:r w:rsidRPr="0043540A">
              <w:t>papildu valsts budžeta izdevumiem</w:t>
            </w:r>
            <w:r w:rsidRPr="00011737">
              <w:t xml:space="preserve">, Ārlietu ministrijai apmaksājot ar bankas pārskaitījumu saistīto </w:t>
            </w:r>
            <w:r w:rsidRPr="0043540A">
              <w:t>komisijas maksu, kas nereti pārsniedz atmaksājamās summas apmēru;</w:t>
            </w:r>
          </w:p>
          <w:p w:rsidR="007F40D3" w:rsidRPr="00011737" w:rsidRDefault="007F40D3" w:rsidP="007F40D3">
            <w:pPr>
              <w:widowControl w:val="0"/>
              <w:numPr>
                <w:ilvl w:val="0"/>
                <w:numId w:val="2"/>
              </w:numPr>
              <w:tabs>
                <w:tab w:val="left" w:pos="567"/>
              </w:tabs>
              <w:ind w:left="567"/>
              <w:jc w:val="both"/>
            </w:pPr>
            <w:r w:rsidRPr="00011737">
              <w:t xml:space="preserve">nereti ne Ārlietu ministrijas, ne pārstāvniecības rīcībā nav </w:t>
            </w:r>
            <w:proofErr w:type="spellStart"/>
            <w:r w:rsidRPr="00011737">
              <w:t>valstspiederīgā</w:t>
            </w:r>
            <w:proofErr w:type="spellEnd"/>
            <w:r w:rsidRPr="00011737">
              <w:t>, kas veicis valsts nodevas apmaksu, kontaktinformācijas, lai informētu personu par nepieciešamību aizpildīt iesnieguma veidlapu par pārmaksātās valsts nodevas atmaksu. Tāpat pārstāvniecību amatpersonu praksē ir gadījumi, kad personas atsakās šādu iesniegumu aizpildīt, to pamatojot kā apgrūtinājumu.</w:t>
            </w:r>
          </w:p>
          <w:p w:rsidR="007F40D3" w:rsidRDefault="007F40D3" w:rsidP="007F40D3">
            <w:pPr>
              <w:tabs>
                <w:tab w:val="left" w:pos="567"/>
              </w:tabs>
              <w:jc w:val="both"/>
            </w:pPr>
            <w:r>
              <w:tab/>
            </w:r>
          </w:p>
          <w:p w:rsidR="007F40D3" w:rsidRDefault="007F40D3" w:rsidP="007F40D3">
            <w:pPr>
              <w:tabs>
                <w:tab w:val="left" w:pos="567"/>
              </w:tabs>
              <w:jc w:val="both"/>
            </w:pPr>
            <w:r>
              <w:tab/>
              <w:t xml:space="preserve">Ņemot vērā minēto, Ārlietu ministrija neatbalsta Noteikumu projekta 3.1., 3.2., 4.2. un 7.2. punktos noteikto valsts nodevu apmēru, jo šādu valsts nodevu administrēšana iepriekš minēto iemeslu dēļ rada papildu slogu Ārlietu ministrijas un pārstāvniecību amatpersonām, mazinot pakalpojumu sniegšanas ātrumu un kvalitāti, kas ir pretrunā Valsts pārvaldes iekārtas likuma 10. panta sestajā daļā </w:t>
            </w:r>
            <w:r>
              <w:lastRenderedPageBreak/>
              <w:t>noteiktajam, ka valsts pārvaldes pienākums ir ne tikai uzlabot</w:t>
            </w:r>
            <w:r w:rsidRPr="006D2472">
              <w:t xml:space="preserve"> </w:t>
            </w:r>
            <w:r>
              <w:t>personai sniegto pakalpojumu kvalitāti, bet arī to vienkāršot. Tādējādi Ārlietu ministrija rosina pārskatīt valsts nodevu apmērus, tos vai nu samazinot vai palielinot līdz veselam skaitlim, kas beidzas ar 0 vai 5, proti:</w:t>
            </w:r>
          </w:p>
          <w:p w:rsidR="007F40D3" w:rsidRDefault="007F40D3" w:rsidP="007F40D3">
            <w:pPr>
              <w:widowControl w:val="0"/>
              <w:numPr>
                <w:ilvl w:val="0"/>
                <w:numId w:val="1"/>
              </w:numPr>
              <w:tabs>
                <w:tab w:val="left" w:pos="567"/>
              </w:tabs>
              <w:jc w:val="both"/>
            </w:pPr>
            <w:r>
              <w:t xml:space="preserve"> Noteikumu projekta 3.1., 4.2. un 7.2. punktā skaitli 29 aizvietot ar skaitli 30;</w:t>
            </w:r>
          </w:p>
          <w:p w:rsidR="007F40D3" w:rsidRPr="00637BCB" w:rsidRDefault="007F40D3" w:rsidP="007F40D3">
            <w:pPr>
              <w:widowControl w:val="0"/>
              <w:numPr>
                <w:ilvl w:val="0"/>
                <w:numId w:val="1"/>
              </w:numPr>
              <w:tabs>
                <w:tab w:val="left" w:pos="567"/>
              </w:tabs>
              <w:jc w:val="both"/>
            </w:pPr>
            <w:r>
              <w:t xml:space="preserve"> Noteikumu projekta 3.2. punktā skaitli 57 aizvietot ar skaitli 55 vai 60.</w:t>
            </w:r>
          </w:p>
          <w:p w:rsidR="007F40D3" w:rsidRDefault="007F40D3" w:rsidP="007F40D3">
            <w:pPr>
              <w:jc w:val="both"/>
            </w:pPr>
          </w:p>
          <w:p w:rsidR="007F40D3" w:rsidRPr="003D4DD3" w:rsidRDefault="007F40D3" w:rsidP="007F40D3">
            <w:pPr>
              <w:pStyle w:val="naisc"/>
              <w:spacing w:before="0" w:after="0"/>
              <w:jc w:val="both"/>
            </w:pPr>
          </w:p>
        </w:tc>
        <w:tc>
          <w:tcPr>
            <w:tcW w:w="2977" w:type="dxa"/>
            <w:tcBorders>
              <w:top w:val="single" w:sz="6" w:space="0" w:color="000000"/>
              <w:left w:val="single" w:sz="6" w:space="0" w:color="000000"/>
              <w:bottom w:val="single" w:sz="6" w:space="0" w:color="000000"/>
              <w:right w:val="single" w:sz="6" w:space="0" w:color="000000"/>
            </w:tcBorders>
          </w:tcPr>
          <w:p w:rsidR="007F40D3" w:rsidRPr="007F40D3" w:rsidRDefault="007F40D3" w:rsidP="007F40D3">
            <w:pPr>
              <w:pStyle w:val="naisc"/>
              <w:spacing w:before="0" w:after="0"/>
              <w:rPr>
                <w:b/>
              </w:rPr>
            </w:pPr>
            <w:r w:rsidRPr="007F40D3">
              <w:rPr>
                <w:b/>
              </w:rPr>
              <w:lastRenderedPageBreak/>
              <w:t>Iebildums ņemts vērā</w:t>
            </w:r>
          </w:p>
        </w:tc>
        <w:tc>
          <w:tcPr>
            <w:tcW w:w="3118" w:type="dxa"/>
            <w:tcBorders>
              <w:top w:val="single" w:sz="4" w:space="0" w:color="auto"/>
              <w:left w:val="single" w:sz="4" w:space="0" w:color="auto"/>
              <w:bottom w:val="single" w:sz="4" w:space="0" w:color="auto"/>
            </w:tcBorders>
          </w:tcPr>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3. Valsts nodevas apmērs par pases izsniegšanu:</w:t>
            </w: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 xml:space="preserve">3.1. ir </w:t>
            </w:r>
            <w:r>
              <w:rPr>
                <w:rFonts w:ascii="Times New Roman" w:hAnsi="Times New Roman" w:cs="Times New Roman"/>
                <w:sz w:val="24"/>
                <w:szCs w:val="24"/>
              </w:rPr>
              <w:t>30</w:t>
            </w:r>
            <w:r w:rsidRPr="007F40D3">
              <w:rPr>
                <w:rFonts w:ascii="Times New Roman" w:hAnsi="Times New Roman" w:cs="Times New Roman"/>
                <w:sz w:val="24"/>
                <w:szCs w:val="24"/>
              </w:rPr>
              <w:t> </w:t>
            </w:r>
            <w:proofErr w:type="spellStart"/>
            <w:r w:rsidRPr="007F40D3">
              <w:rPr>
                <w:rFonts w:ascii="Times New Roman" w:hAnsi="Times New Roman" w:cs="Times New Roman"/>
                <w:i/>
                <w:sz w:val="24"/>
                <w:szCs w:val="24"/>
              </w:rPr>
              <w:t>euro</w:t>
            </w:r>
            <w:proofErr w:type="spellEnd"/>
            <w:r w:rsidRPr="007F40D3">
              <w:rPr>
                <w:rFonts w:ascii="Times New Roman" w:hAnsi="Times New Roman" w:cs="Times New Roman"/>
                <w:i/>
                <w:sz w:val="24"/>
                <w:szCs w:val="24"/>
              </w:rPr>
              <w:t>,</w:t>
            </w:r>
            <w:r w:rsidRPr="007F40D3">
              <w:rPr>
                <w:rFonts w:ascii="Times New Roman" w:hAnsi="Times New Roman" w:cs="Times New Roman"/>
                <w:sz w:val="24"/>
                <w:szCs w:val="24"/>
              </w:rPr>
              <w:t xml:space="preserve"> ja pasi izsniedz 10 darbdienu laikā;</w:t>
            </w: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lastRenderedPageBreak/>
              <w:t>3.2. ir 5</w:t>
            </w:r>
            <w:r>
              <w:rPr>
                <w:rFonts w:ascii="Times New Roman" w:hAnsi="Times New Roman" w:cs="Times New Roman"/>
                <w:sz w:val="24"/>
                <w:szCs w:val="24"/>
              </w:rPr>
              <w:t>5</w:t>
            </w:r>
            <w:r w:rsidRPr="007F40D3">
              <w:rPr>
                <w:rFonts w:ascii="Times New Roman" w:hAnsi="Times New Roman" w:cs="Times New Roman"/>
                <w:sz w:val="24"/>
                <w:szCs w:val="24"/>
              </w:rPr>
              <w:t> </w:t>
            </w:r>
            <w:proofErr w:type="spellStart"/>
            <w:r w:rsidRPr="007F40D3">
              <w:rPr>
                <w:rFonts w:ascii="Times New Roman" w:hAnsi="Times New Roman" w:cs="Times New Roman"/>
                <w:i/>
                <w:sz w:val="24"/>
                <w:szCs w:val="24"/>
              </w:rPr>
              <w:t>euro</w:t>
            </w:r>
            <w:proofErr w:type="spellEnd"/>
            <w:r w:rsidRPr="007F40D3">
              <w:rPr>
                <w:rFonts w:ascii="Times New Roman" w:hAnsi="Times New Roman" w:cs="Times New Roman"/>
                <w:sz w:val="24"/>
                <w:szCs w:val="24"/>
              </w:rPr>
              <w:t>, ja pasi izsniedz divu darbdienu laikā.</w:t>
            </w:r>
          </w:p>
          <w:p w:rsidR="007F40D3" w:rsidRPr="007F40D3" w:rsidRDefault="007F40D3" w:rsidP="007F40D3">
            <w:pPr>
              <w:pStyle w:val="NoSpacing"/>
              <w:rPr>
                <w:rFonts w:ascii="Times New Roman" w:hAnsi="Times New Roman" w:cs="Times New Roman"/>
                <w:sz w:val="24"/>
                <w:szCs w:val="24"/>
              </w:rPr>
            </w:pP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4. Valsts nodevas apmērs par personas apliecības izsniegšanu:</w:t>
            </w:r>
          </w:p>
          <w:p w:rsidR="007F40D3" w:rsidRPr="007F40D3" w:rsidRDefault="007F40D3" w:rsidP="007F40D3">
            <w:pPr>
              <w:pStyle w:val="NoSpacing"/>
              <w:rPr>
                <w:rFonts w:ascii="Times New Roman" w:hAnsi="Times New Roman" w:cs="Times New Roman"/>
                <w:sz w:val="24"/>
                <w:szCs w:val="24"/>
              </w:rPr>
            </w:pPr>
            <w:r w:rsidRPr="007F40D3">
              <w:rPr>
                <w:rFonts w:ascii="Times New Roman" w:hAnsi="Times New Roman" w:cs="Times New Roman"/>
                <w:sz w:val="24"/>
                <w:szCs w:val="24"/>
              </w:rPr>
              <w:t>4.1. ir 15 </w:t>
            </w:r>
            <w:proofErr w:type="spellStart"/>
            <w:r w:rsidRPr="007F40D3">
              <w:rPr>
                <w:rFonts w:ascii="Times New Roman" w:hAnsi="Times New Roman" w:cs="Times New Roman"/>
                <w:i/>
                <w:sz w:val="24"/>
                <w:szCs w:val="24"/>
              </w:rPr>
              <w:t>euro</w:t>
            </w:r>
            <w:proofErr w:type="spellEnd"/>
            <w:r w:rsidRPr="007F40D3">
              <w:rPr>
                <w:rFonts w:ascii="Times New Roman" w:hAnsi="Times New Roman" w:cs="Times New Roman"/>
                <w:sz w:val="24"/>
                <w:szCs w:val="24"/>
              </w:rPr>
              <w:t>, ja personas apliecību izsniedz 10 darbdienu laikā;</w:t>
            </w:r>
          </w:p>
          <w:p w:rsidR="007F40D3" w:rsidRDefault="007F40D3" w:rsidP="007F40D3">
            <w:pPr>
              <w:pStyle w:val="naisc"/>
              <w:spacing w:before="0" w:after="0"/>
              <w:jc w:val="both"/>
            </w:pPr>
            <w:r w:rsidRPr="007F40D3">
              <w:t xml:space="preserve">4.2. ir </w:t>
            </w:r>
            <w:r>
              <w:t>30</w:t>
            </w:r>
            <w:r w:rsidRPr="007F40D3">
              <w:t> </w:t>
            </w:r>
            <w:proofErr w:type="spellStart"/>
            <w:r w:rsidRPr="007F40D3">
              <w:rPr>
                <w:i/>
              </w:rPr>
              <w:t>euro</w:t>
            </w:r>
            <w:proofErr w:type="spellEnd"/>
            <w:r w:rsidRPr="007F40D3">
              <w:t>, ja personas apliecību izsniedz divu darbdienu laikā</w:t>
            </w:r>
            <w:r>
              <w:t>.</w:t>
            </w:r>
          </w:p>
          <w:p w:rsidR="007F40D3" w:rsidRDefault="007F40D3" w:rsidP="007F40D3">
            <w:pPr>
              <w:pStyle w:val="naisc"/>
              <w:spacing w:before="0" w:after="0"/>
              <w:jc w:val="both"/>
            </w:pPr>
          </w:p>
          <w:p w:rsidR="007F40D3" w:rsidRPr="007D5182" w:rsidRDefault="007F40D3" w:rsidP="007F40D3">
            <w:pPr>
              <w:pStyle w:val="NoSpacing"/>
              <w:rPr>
                <w:rFonts w:ascii="Times New Roman" w:hAnsi="Times New Roman" w:cs="Times New Roman"/>
                <w:sz w:val="24"/>
                <w:szCs w:val="24"/>
              </w:rPr>
            </w:pPr>
            <w:r w:rsidRPr="007D5182">
              <w:rPr>
                <w:rFonts w:ascii="Times New Roman" w:hAnsi="Times New Roman" w:cs="Times New Roman"/>
                <w:sz w:val="24"/>
                <w:szCs w:val="24"/>
              </w:rPr>
              <w:t>7. Valsts nodevas apmērs par pases izsniegšanu šo noteikumu 6.punktā minētajai personai:</w:t>
            </w:r>
          </w:p>
          <w:p w:rsidR="007F40D3" w:rsidRPr="007D5182" w:rsidRDefault="007F40D3" w:rsidP="007F40D3">
            <w:pPr>
              <w:pStyle w:val="NoSpacing"/>
              <w:rPr>
                <w:rFonts w:ascii="Times New Roman" w:hAnsi="Times New Roman" w:cs="Times New Roman"/>
                <w:sz w:val="24"/>
                <w:szCs w:val="24"/>
              </w:rPr>
            </w:pPr>
            <w:r w:rsidRPr="007D5182">
              <w:rPr>
                <w:rFonts w:ascii="Times New Roman" w:hAnsi="Times New Roman" w:cs="Times New Roman"/>
                <w:sz w:val="24"/>
                <w:szCs w:val="24"/>
              </w:rPr>
              <w:t>7.1. ir 15 </w:t>
            </w:r>
            <w:proofErr w:type="spellStart"/>
            <w:r w:rsidRPr="007D5182">
              <w:rPr>
                <w:rFonts w:ascii="Times New Roman" w:hAnsi="Times New Roman" w:cs="Times New Roman"/>
                <w:i/>
                <w:sz w:val="24"/>
                <w:szCs w:val="24"/>
              </w:rPr>
              <w:t>euro</w:t>
            </w:r>
            <w:proofErr w:type="spellEnd"/>
            <w:r w:rsidRPr="007D5182">
              <w:rPr>
                <w:rFonts w:ascii="Times New Roman" w:hAnsi="Times New Roman" w:cs="Times New Roman"/>
                <w:sz w:val="24"/>
                <w:szCs w:val="24"/>
              </w:rPr>
              <w:t>, ja pasi izsniedz 10 darbdienu laikā;</w:t>
            </w:r>
          </w:p>
          <w:p w:rsidR="007F40D3" w:rsidRPr="005D10D8" w:rsidRDefault="007F40D3" w:rsidP="007F40D3">
            <w:pPr>
              <w:pStyle w:val="naisc"/>
              <w:spacing w:before="0" w:after="0"/>
              <w:jc w:val="both"/>
            </w:pPr>
            <w:r w:rsidRPr="007D5182">
              <w:t xml:space="preserve">7.2. ir </w:t>
            </w:r>
            <w:r>
              <w:t>30</w:t>
            </w:r>
            <w:r w:rsidRPr="007D5182">
              <w:t> </w:t>
            </w:r>
            <w:proofErr w:type="spellStart"/>
            <w:r w:rsidRPr="007D5182">
              <w:rPr>
                <w:i/>
              </w:rPr>
              <w:t>euro</w:t>
            </w:r>
            <w:proofErr w:type="spellEnd"/>
            <w:r w:rsidRPr="007D5182">
              <w:t>, ja pasi izsniedz divu darbdienu laikā.</w:t>
            </w:r>
          </w:p>
        </w:tc>
      </w:tr>
    </w:tbl>
    <w:p w:rsidR="00C555B5" w:rsidRPr="005D10D8" w:rsidRDefault="00C555B5" w:rsidP="00C555B5">
      <w:pPr>
        <w:pStyle w:val="naisf"/>
        <w:spacing w:before="0" w:after="0"/>
        <w:ind w:firstLine="0"/>
        <w:jc w:val="left"/>
      </w:pPr>
    </w:p>
    <w:p w:rsidR="00256207" w:rsidRPr="005D10D8" w:rsidRDefault="00256207" w:rsidP="00C555B5">
      <w:pPr>
        <w:pStyle w:val="naisf"/>
        <w:spacing w:before="0" w:after="0"/>
        <w:ind w:firstLine="0"/>
        <w:jc w:val="left"/>
      </w:pPr>
    </w:p>
    <w:p w:rsidR="00C555B5" w:rsidRPr="005D10D8" w:rsidRDefault="00C555B5" w:rsidP="00C555B5">
      <w:pPr>
        <w:pStyle w:val="naisf"/>
        <w:spacing w:before="0" w:after="0"/>
        <w:ind w:firstLine="0"/>
        <w:jc w:val="left"/>
      </w:pPr>
      <w:r w:rsidRPr="005D10D8">
        <w:t>Atbildīgā amatpersona</w:t>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r w:rsidRPr="005D10D8">
        <w:tab/>
      </w:r>
      <w:proofErr w:type="spellStart"/>
      <w:r w:rsidR="00690308">
        <w:t>Dz.Peneze</w:t>
      </w:r>
      <w:proofErr w:type="spellEnd"/>
    </w:p>
    <w:p w:rsidR="00C555B5" w:rsidRPr="005D10D8" w:rsidRDefault="00C555B5" w:rsidP="00C555B5">
      <w:pPr>
        <w:pStyle w:val="naisf"/>
        <w:spacing w:before="0" w:after="0"/>
        <w:ind w:firstLine="0"/>
        <w:jc w:val="left"/>
      </w:pP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555B5" w:rsidRPr="005D10D8"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Dzintra Peneze</w:t>
      </w:r>
    </w:p>
    <w:p w:rsidR="00C555B5" w:rsidRPr="005D10D8" w:rsidRDefault="00C555B5"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5D10D8">
        <w:rPr>
          <w:sz w:val="20"/>
          <w:szCs w:val="20"/>
        </w:rPr>
        <w:t>Pilsonības un migrācijas lietu pārvaldes</w:t>
      </w:r>
    </w:p>
    <w:p w:rsidR="00C555B5"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Personu apliecinošu dokumentu departamenta </w:t>
      </w:r>
    </w:p>
    <w:p w:rsidR="00690308" w:rsidRPr="005D10D8" w:rsidRDefault="00690308" w:rsidP="00C5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Metodiskās vadības nodaļas vadītāja</w:t>
      </w:r>
    </w:p>
    <w:p w:rsidR="00E811C9" w:rsidRPr="005D10D8" w:rsidRDefault="00C555B5">
      <w:r w:rsidRPr="005D10D8">
        <w:rPr>
          <w:sz w:val="20"/>
          <w:szCs w:val="20"/>
        </w:rPr>
        <w:t>tālr. 6721</w:t>
      </w:r>
      <w:r w:rsidR="008F2449" w:rsidRPr="005D10D8">
        <w:rPr>
          <w:sz w:val="20"/>
          <w:szCs w:val="20"/>
        </w:rPr>
        <w:t>9</w:t>
      </w:r>
      <w:r w:rsidR="00690308">
        <w:rPr>
          <w:sz w:val="20"/>
          <w:szCs w:val="20"/>
        </w:rPr>
        <w:t>521</w:t>
      </w:r>
      <w:r w:rsidR="008F2449" w:rsidRPr="005D10D8">
        <w:rPr>
          <w:sz w:val="20"/>
          <w:szCs w:val="20"/>
        </w:rPr>
        <w:t xml:space="preserve">, </w:t>
      </w:r>
      <w:r w:rsidR="00690308">
        <w:rPr>
          <w:sz w:val="20"/>
          <w:szCs w:val="20"/>
        </w:rPr>
        <w:t>Dzintra.Peneze</w:t>
      </w:r>
      <w:r w:rsidR="008F2449" w:rsidRPr="005D10D8">
        <w:rPr>
          <w:sz w:val="20"/>
          <w:szCs w:val="20"/>
        </w:rPr>
        <w:t>@pmlp.gov.lv</w:t>
      </w:r>
    </w:p>
    <w:sectPr w:rsidR="00E811C9" w:rsidRPr="005D10D8" w:rsidSect="00A84F6D">
      <w:headerReference w:type="even" r:id="rId8"/>
      <w:headerReference w:type="default" r:id="rId9"/>
      <w:footerReference w:type="default" r:id="rId10"/>
      <w:footerReference w:type="first" r:id="rId11"/>
      <w:pgSz w:w="16838" w:h="11906" w:orient="landscape" w:code="9"/>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085" w:rsidRDefault="00D6564D">
      <w:r>
        <w:separator/>
      </w:r>
    </w:p>
  </w:endnote>
  <w:endnote w:type="continuationSeparator" w:id="0">
    <w:p w:rsidR="00824085" w:rsidRDefault="00D6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Pr="002C48E9" w:rsidRDefault="001B4E7E" w:rsidP="004D141E">
    <w:pPr>
      <w:pStyle w:val="Footer"/>
      <w:jc w:val="both"/>
      <w:rPr>
        <w:noProof/>
        <w:color w:val="000000"/>
        <w:sz w:val="20"/>
        <w:szCs w:val="20"/>
      </w:rPr>
    </w:pPr>
    <w:r>
      <w:rPr>
        <w:color w:val="000000"/>
        <w:sz w:val="20"/>
        <w:szCs w:val="20"/>
      </w:rPr>
      <w:t>IEMIzz_</w:t>
    </w:r>
    <w:r w:rsidR="00375264">
      <w:rPr>
        <w:color w:val="000000"/>
        <w:sz w:val="20"/>
        <w:szCs w:val="20"/>
      </w:rPr>
      <w:t>0708</w:t>
    </w:r>
    <w:r w:rsidR="00690308">
      <w:rPr>
        <w:color w:val="000000"/>
        <w:sz w:val="20"/>
        <w:szCs w:val="20"/>
      </w:rPr>
      <w:t>19_PAD_nodevas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308" w:rsidRPr="002C48E9" w:rsidRDefault="00375264" w:rsidP="00690308">
    <w:pPr>
      <w:pStyle w:val="Footer"/>
      <w:jc w:val="both"/>
      <w:rPr>
        <w:noProof/>
        <w:color w:val="000000"/>
        <w:sz w:val="20"/>
        <w:szCs w:val="20"/>
      </w:rPr>
    </w:pPr>
    <w:r>
      <w:rPr>
        <w:color w:val="000000"/>
        <w:sz w:val="20"/>
        <w:szCs w:val="20"/>
      </w:rPr>
      <w:t>IEMIzz_0708</w:t>
    </w:r>
    <w:r w:rsidR="00690308">
      <w:rPr>
        <w:color w:val="000000"/>
        <w:sz w:val="20"/>
        <w:szCs w:val="20"/>
      </w:rPr>
      <w:t>19_PAD_nodevas</w:t>
    </w:r>
  </w:p>
  <w:p w:rsidR="004A0829" w:rsidRPr="00690308" w:rsidRDefault="00375264" w:rsidP="00690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085" w:rsidRDefault="00D6564D">
      <w:r>
        <w:separator/>
      </w:r>
    </w:p>
  </w:footnote>
  <w:footnote w:type="continuationSeparator" w:id="0">
    <w:p w:rsidR="00824085" w:rsidRDefault="00D65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A0829" w:rsidRDefault="00375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829" w:rsidRDefault="0074555C" w:rsidP="004D1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5264">
      <w:rPr>
        <w:rStyle w:val="PageNumber"/>
        <w:noProof/>
      </w:rPr>
      <w:t>5</w:t>
    </w:r>
    <w:r>
      <w:rPr>
        <w:rStyle w:val="PageNumber"/>
      </w:rPr>
      <w:fldChar w:fldCharType="end"/>
    </w:r>
  </w:p>
  <w:p w:rsidR="004A0829" w:rsidRDefault="0037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91E78"/>
    <w:multiLevelType w:val="hybridMultilevel"/>
    <w:tmpl w:val="3558C93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A175424"/>
    <w:multiLevelType w:val="hybridMultilevel"/>
    <w:tmpl w:val="3EB62E6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B5"/>
    <w:rsid w:val="00034648"/>
    <w:rsid w:val="00184E82"/>
    <w:rsid w:val="001B4E7E"/>
    <w:rsid w:val="00240CB3"/>
    <w:rsid w:val="00256207"/>
    <w:rsid w:val="003602C8"/>
    <w:rsid w:val="00375264"/>
    <w:rsid w:val="003A4D75"/>
    <w:rsid w:val="003C32A7"/>
    <w:rsid w:val="003D4DD3"/>
    <w:rsid w:val="003F5D8A"/>
    <w:rsid w:val="005D10D8"/>
    <w:rsid w:val="00643E1C"/>
    <w:rsid w:val="00690308"/>
    <w:rsid w:val="0074555C"/>
    <w:rsid w:val="007D2A77"/>
    <w:rsid w:val="007F40D3"/>
    <w:rsid w:val="00824085"/>
    <w:rsid w:val="008E1505"/>
    <w:rsid w:val="008E608E"/>
    <w:rsid w:val="008E7F6C"/>
    <w:rsid w:val="008F2449"/>
    <w:rsid w:val="00C01230"/>
    <w:rsid w:val="00C26EAD"/>
    <w:rsid w:val="00C555B5"/>
    <w:rsid w:val="00D6564D"/>
    <w:rsid w:val="00D77A8D"/>
    <w:rsid w:val="00E811C9"/>
    <w:rsid w:val="00EE6909"/>
    <w:rsid w:val="00F61D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5E268-C2E1-4688-BBA7-B2DCD5565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B5"/>
    <w:pPr>
      <w:spacing w:after="0" w:line="240" w:lineRule="auto"/>
    </w:pPr>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555B5"/>
    <w:pPr>
      <w:spacing w:before="100" w:beforeAutospacing="1" w:after="100" w:afterAutospacing="1"/>
    </w:pPr>
  </w:style>
  <w:style w:type="paragraph" w:customStyle="1" w:styleId="naisf">
    <w:name w:val="naisf"/>
    <w:basedOn w:val="Normal"/>
    <w:rsid w:val="00C555B5"/>
    <w:pPr>
      <w:spacing w:before="75" w:after="75"/>
      <w:ind w:firstLine="375"/>
      <w:jc w:val="both"/>
    </w:pPr>
  </w:style>
  <w:style w:type="paragraph" w:customStyle="1" w:styleId="naisnod">
    <w:name w:val="naisnod"/>
    <w:basedOn w:val="Normal"/>
    <w:uiPriority w:val="99"/>
    <w:rsid w:val="00C555B5"/>
    <w:pPr>
      <w:spacing w:before="150" w:after="150"/>
      <w:jc w:val="center"/>
    </w:pPr>
    <w:rPr>
      <w:b/>
      <w:bCs/>
    </w:rPr>
  </w:style>
  <w:style w:type="paragraph" w:customStyle="1" w:styleId="naiskr">
    <w:name w:val="naiskr"/>
    <w:basedOn w:val="Normal"/>
    <w:uiPriority w:val="99"/>
    <w:rsid w:val="00C555B5"/>
    <w:pPr>
      <w:spacing w:before="75" w:after="75"/>
    </w:pPr>
  </w:style>
  <w:style w:type="paragraph" w:customStyle="1" w:styleId="naisc">
    <w:name w:val="naisc"/>
    <w:basedOn w:val="Normal"/>
    <w:rsid w:val="00C555B5"/>
    <w:pPr>
      <w:spacing w:before="75" w:after="75"/>
      <w:jc w:val="center"/>
    </w:pPr>
  </w:style>
  <w:style w:type="paragraph" w:styleId="Header">
    <w:name w:val="header"/>
    <w:basedOn w:val="Normal"/>
    <w:link w:val="HeaderChar"/>
    <w:rsid w:val="00C555B5"/>
    <w:pPr>
      <w:tabs>
        <w:tab w:val="center" w:pos="4153"/>
        <w:tab w:val="right" w:pos="8306"/>
      </w:tabs>
    </w:pPr>
  </w:style>
  <w:style w:type="character" w:customStyle="1" w:styleId="HeaderChar">
    <w:name w:val="Header Char"/>
    <w:basedOn w:val="DefaultParagraphFont"/>
    <w:link w:val="Header"/>
    <w:uiPriority w:val="99"/>
    <w:rsid w:val="00C555B5"/>
    <w:rPr>
      <w:rFonts w:eastAsia="Times New Roman"/>
      <w:sz w:val="24"/>
      <w:szCs w:val="24"/>
      <w:lang w:eastAsia="lv-LV"/>
    </w:rPr>
  </w:style>
  <w:style w:type="character" w:styleId="PageNumber">
    <w:name w:val="page number"/>
    <w:uiPriority w:val="99"/>
    <w:rsid w:val="00C555B5"/>
    <w:rPr>
      <w:rFonts w:cs="Times New Roman"/>
    </w:rPr>
  </w:style>
  <w:style w:type="paragraph" w:styleId="Footer">
    <w:name w:val="footer"/>
    <w:basedOn w:val="Normal"/>
    <w:link w:val="FooterChar"/>
    <w:uiPriority w:val="99"/>
    <w:rsid w:val="00C555B5"/>
    <w:pPr>
      <w:tabs>
        <w:tab w:val="center" w:pos="4153"/>
        <w:tab w:val="right" w:pos="8306"/>
      </w:tabs>
    </w:pPr>
  </w:style>
  <w:style w:type="character" w:customStyle="1" w:styleId="FooterChar">
    <w:name w:val="Footer Char"/>
    <w:basedOn w:val="DefaultParagraphFont"/>
    <w:link w:val="Footer"/>
    <w:uiPriority w:val="99"/>
    <w:rsid w:val="00C555B5"/>
    <w:rPr>
      <w:rFonts w:eastAsia="Times New Roman"/>
      <w:sz w:val="24"/>
      <w:szCs w:val="24"/>
      <w:lang w:eastAsia="lv-LV"/>
    </w:rPr>
  </w:style>
  <w:style w:type="paragraph" w:styleId="ListParagraph">
    <w:name w:val="List Paragraph"/>
    <w:basedOn w:val="Normal"/>
    <w:uiPriority w:val="34"/>
    <w:qFormat/>
    <w:rsid w:val="00C555B5"/>
    <w:pPr>
      <w:ind w:left="720"/>
      <w:contextualSpacing/>
    </w:pPr>
    <w:rPr>
      <w:lang w:val="en-US" w:eastAsia="en-US"/>
    </w:rPr>
  </w:style>
  <w:style w:type="paragraph" w:styleId="BalloonText">
    <w:name w:val="Balloon Text"/>
    <w:basedOn w:val="Normal"/>
    <w:link w:val="BalloonTextChar"/>
    <w:uiPriority w:val="99"/>
    <w:semiHidden/>
    <w:unhideWhenUsed/>
    <w:rsid w:val="00643E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E1C"/>
    <w:rPr>
      <w:rFonts w:ascii="Segoe UI" w:eastAsia="Times New Roman" w:hAnsi="Segoe UI" w:cs="Segoe UI"/>
      <w:sz w:val="18"/>
      <w:szCs w:val="18"/>
      <w:lang w:eastAsia="lv-LV"/>
    </w:rPr>
  </w:style>
  <w:style w:type="character" w:customStyle="1" w:styleId="tvhtmlmktable">
    <w:name w:val="tv_html mk_table"/>
    <w:basedOn w:val="DefaultParagraphFont"/>
    <w:rsid w:val="007F40D3"/>
  </w:style>
  <w:style w:type="paragraph" w:styleId="NoSpacing">
    <w:name w:val="No Spacing"/>
    <w:uiPriority w:val="1"/>
    <w:qFormat/>
    <w:rsid w:val="007F40D3"/>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44579-noteikumi-par-valsts-nodevu-par-personu-apliecinosu-dokumentu-izsniegsa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4611</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Dzintra Peneze</cp:lastModifiedBy>
  <cp:revision>3</cp:revision>
  <cp:lastPrinted>2019-05-27T11:02:00Z</cp:lastPrinted>
  <dcterms:created xsi:type="dcterms:W3CDTF">2019-08-07T11:17:00Z</dcterms:created>
  <dcterms:modified xsi:type="dcterms:W3CDTF">2019-08-07T11:19:00Z</dcterms:modified>
</cp:coreProperties>
</file>