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81" w:rsidRPr="0022157E" w:rsidRDefault="00196E26" w:rsidP="005E686C">
      <w:pPr>
        <w:pStyle w:val="naisnod"/>
        <w:spacing w:before="0" w:after="0"/>
        <w:ind w:firstLine="720"/>
        <w:rPr>
          <w:b w:val="0"/>
        </w:rPr>
      </w:pPr>
      <w:r w:rsidRPr="0022157E">
        <w:t>I</w:t>
      </w:r>
      <w:r w:rsidR="005E4A81" w:rsidRPr="0022157E">
        <w:t>zziņa par atzinumos sniegtajiem iebildumiem</w:t>
      </w:r>
      <w:r w:rsidR="005E686C" w:rsidRPr="0022157E">
        <w:t xml:space="preserve"> par</w:t>
      </w:r>
    </w:p>
    <w:tbl>
      <w:tblPr>
        <w:tblW w:w="0" w:type="auto"/>
        <w:jc w:val="center"/>
        <w:tblLook w:val="00A0" w:firstRow="1" w:lastRow="0" w:firstColumn="1" w:lastColumn="0" w:noHBand="0" w:noVBand="0"/>
      </w:tblPr>
      <w:tblGrid>
        <w:gridCol w:w="10188"/>
      </w:tblGrid>
      <w:tr w:rsidR="005E4A81" w:rsidRPr="0022157E" w:rsidTr="009D1BB5">
        <w:trPr>
          <w:jc w:val="center"/>
        </w:trPr>
        <w:tc>
          <w:tcPr>
            <w:tcW w:w="10188" w:type="dxa"/>
            <w:tcBorders>
              <w:bottom w:val="single" w:sz="6" w:space="0" w:color="000000"/>
            </w:tcBorders>
          </w:tcPr>
          <w:p w:rsidR="005E4A81" w:rsidRPr="0022157E" w:rsidRDefault="005E4A81" w:rsidP="006F1121">
            <w:pPr>
              <w:ind w:firstLine="720"/>
              <w:jc w:val="center"/>
              <w:rPr>
                <w:b/>
              </w:rPr>
            </w:pPr>
            <w:r w:rsidRPr="0022157E">
              <w:rPr>
                <w:b/>
              </w:rPr>
              <w:t>Minis</w:t>
            </w:r>
            <w:r w:rsidR="005E686C" w:rsidRPr="0022157E">
              <w:rPr>
                <w:b/>
              </w:rPr>
              <w:t xml:space="preserve">tru kabineta noteikumu projektu </w:t>
            </w:r>
            <w:r w:rsidRPr="0022157E">
              <w:rPr>
                <w:b/>
              </w:rPr>
              <w:t>„</w:t>
            </w:r>
            <w:r w:rsidR="006F1121">
              <w:rPr>
                <w:b/>
              </w:rPr>
              <w:t>Grozījumi Ministru kabineta 2017.gada 25</w:t>
            </w:r>
            <w:r w:rsidR="00896292" w:rsidRPr="0022157E">
              <w:rPr>
                <w:b/>
              </w:rPr>
              <w:t>.</w:t>
            </w:r>
            <w:r w:rsidR="006F1121">
              <w:rPr>
                <w:b/>
              </w:rPr>
              <w:t>aprīļa</w:t>
            </w:r>
            <w:r w:rsidR="00896292" w:rsidRPr="0022157E">
              <w:rPr>
                <w:b/>
              </w:rPr>
              <w:t xml:space="preserve"> noteikumos Nr.</w:t>
            </w:r>
            <w:r w:rsidR="006F1121">
              <w:rPr>
                <w:b/>
              </w:rPr>
              <w:t>225 „Noteikumi par ārzemniekam nepieciešamo finanšu līdzekļu apmēru un finanšu līdzekļu esības konstatēšanu</w:t>
            </w:r>
            <w:r w:rsidR="00896292" w:rsidRPr="0022157E">
              <w:rPr>
                <w:b/>
              </w:rPr>
              <w:t>”</w:t>
            </w:r>
            <w:r w:rsidRPr="0022157E">
              <w:rPr>
                <w:b/>
              </w:rPr>
              <w:t>”</w:t>
            </w:r>
          </w:p>
        </w:tc>
      </w:tr>
    </w:tbl>
    <w:p w:rsidR="005E4A81" w:rsidRPr="0022157E" w:rsidRDefault="005E4A81" w:rsidP="005E4A81">
      <w:pPr>
        <w:pStyle w:val="naisf"/>
        <w:spacing w:before="0" w:after="0"/>
        <w:ind w:firstLine="0"/>
        <w:jc w:val="center"/>
        <w:rPr>
          <w:b/>
        </w:rPr>
      </w:pPr>
    </w:p>
    <w:p w:rsidR="00063F6C" w:rsidRPr="00233E7D" w:rsidRDefault="00063F6C" w:rsidP="00063F6C">
      <w:pPr>
        <w:shd w:val="clear" w:color="auto" w:fill="FFFFFF"/>
        <w:spacing w:before="100" w:beforeAutospacing="1" w:after="100" w:afterAutospacing="1" w:line="293" w:lineRule="atLeast"/>
        <w:ind w:firstLine="300"/>
        <w:jc w:val="center"/>
        <w:rPr>
          <w:b/>
        </w:rPr>
      </w:pPr>
      <w:r w:rsidRPr="00233E7D">
        <w:rPr>
          <w:b/>
        </w:rPr>
        <w:t>I. Jautājumi, par kuriem saskaņošanā vienošanās nav panākta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34"/>
        <w:gridCol w:w="2794"/>
        <w:gridCol w:w="2925"/>
        <w:gridCol w:w="2788"/>
        <w:gridCol w:w="2228"/>
        <w:gridCol w:w="2473"/>
      </w:tblGrid>
      <w:tr w:rsidR="00063F6C" w:rsidRPr="00233E7D" w:rsidTr="00063F6C">
        <w:tc>
          <w:tcPr>
            <w:tcW w:w="263" w:type="pct"/>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rsidR="00063F6C" w:rsidRPr="00233E7D" w:rsidRDefault="00063F6C" w:rsidP="00590868">
            <w:pPr>
              <w:jc w:val="center"/>
              <w:rPr>
                <w:color w:val="414142"/>
              </w:rPr>
            </w:pPr>
            <w:proofErr w:type="spellStart"/>
            <w:r w:rsidRPr="00233E7D">
              <w:rPr>
                <w:color w:val="414142"/>
              </w:rPr>
              <w:t>Nr.p.k</w:t>
            </w:r>
            <w:proofErr w:type="spellEnd"/>
            <w:r w:rsidRPr="00233E7D">
              <w:rPr>
                <w:color w:val="414142"/>
              </w:rPr>
              <w:t>.</w:t>
            </w:r>
          </w:p>
        </w:tc>
        <w:tc>
          <w:tcPr>
            <w:tcW w:w="100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63F6C" w:rsidRPr="00233E7D" w:rsidRDefault="00063F6C" w:rsidP="00590868">
            <w:pPr>
              <w:jc w:val="center"/>
              <w:rPr>
                <w:color w:val="414142"/>
              </w:rPr>
            </w:pPr>
            <w:r w:rsidRPr="00233E7D">
              <w:rPr>
                <w:color w:val="414142"/>
              </w:rPr>
              <w:t>Saskaņošanai nosūtītā projekta redakcija (konkrēta punkta (panta) redakcija)</w:t>
            </w:r>
          </w:p>
        </w:tc>
        <w:tc>
          <w:tcPr>
            <w:tcW w:w="10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63F6C" w:rsidRPr="00233E7D" w:rsidRDefault="00063F6C" w:rsidP="00590868">
            <w:pPr>
              <w:jc w:val="center"/>
              <w:rPr>
                <w:color w:val="414142"/>
              </w:rPr>
            </w:pPr>
            <w:r w:rsidRPr="00233E7D">
              <w:rPr>
                <w:color w:val="414142"/>
              </w:rPr>
              <w:t>Atzinumā norādītais ministrijas (citas institūcijas) iebildums, kā arī saskaņošanā papildus izteiktais iebildums par projekta konkrēto punktu (pantu)</w:t>
            </w:r>
          </w:p>
        </w:tc>
        <w:tc>
          <w:tcPr>
            <w:tcW w:w="1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63F6C" w:rsidRPr="00233E7D" w:rsidRDefault="00063F6C" w:rsidP="00590868">
            <w:pPr>
              <w:jc w:val="center"/>
              <w:rPr>
                <w:color w:val="414142"/>
              </w:rPr>
            </w:pPr>
            <w:r w:rsidRPr="00233E7D">
              <w:rPr>
                <w:color w:val="414142"/>
              </w:rPr>
              <w:t>Atbildīgās ministrijas pamatojums iebilduma noraidījumam</w:t>
            </w:r>
          </w:p>
        </w:tc>
        <w:tc>
          <w:tcPr>
            <w:tcW w:w="7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63F6C" w:rsidRPr="00233E7D" w:rsidRDefault="00063F6C" w:rsidP="00590868">
            <w:pPr>
              <w:jc w:val="center"/>
              <w:rPr>
                <w:color w:val="414142"/>
              </w:rPr>
            </w:pPr>
            <w:r w:rsidRPr="00233E7D">
              <w:rPr>
                <w:color w:val="414142"/>
              </w:rPr>
              <w:t>Atzinuma sniedzēja uzturētais iebildums, ja tas atšķiras no atzinumā norādītā iebilduma pamatojuma</w:t>
            </w:r>
          </w:p>
        </w:tc>
        <w:tc>
          <w:tcPr>
            <w:tcW w:w="8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63F6C" w:rsidRPr="00233E7D" w:rsidRDefault="00063F6C" w:rsidP="00590868">
            <w:pPr>
              <w:jc w:val="center"/>
              <w:rPr>
                <w:color w:val="414142"/>
              </w:rPr>
            </w:pPr>
            <w:r w:rsidRPr="00233E7D">
              <w:rPr>
                <w:color w:val="414142"/>
              </w:rPr>
              <w:t>Projekta attiecīgā punkta (panta) galīgā redakcija</w:t>
            </w:r>
          </w:p>
        </w:tc>
      </w:tr>
      <w:tr w:rsidR="00063F6C" w:rsidRPr="00233E7D" w:rsidTr="00063F6C">
        <w:tc>
          <w:tcPr>
            <w:tcW w:w="263" w:type="pct"/>
            <w:tcBorders>
              <w:top w:val="outset" w:sz="6" w:space="0" w:color="414142"/>
              <w:left w:val="outset" w:sz="6" w:space="0" w:color="414142"/>
              <w:bottom w:val="outset" w:sz="6" w:space="0" w:color="414142"/>
              <w:right w:val="outset" w:sz="6" w:space="0" w:color="414142"/>
            </w:tcBorders>
            <w:shd w:val="clear" w:color="auto" w:fill="FFFFFF"/>
            <w:hideMark/>
          </w:tcPr>
          <w:p w:rsidR="00063F6C" w:rsidRPr="00233E7D" w:rsidRDefault="00063F6C" w:rsidP="00590868">
            <w:pPr>
              <w:jc w:val="center"/>
              <w:rPr>
                <w:color w:val="414142"/>
              </w:rPr>
            </w:pPr>
            <w:r w:rsidRPr="00233E7D">
              <w:rPr>
                <w:color w:val="414142"/>
              </w:rPr>
              <w:t>1</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rsidR="00063F6C" w:rsidRPr="00233E7D" w:rsidRDefault="00063F6C" w:rsidP="00590868">
            <w:pPr>
              <w:jc w:val="center"/>
              <w:rPr>
                <w:color w:val="414142"/>
              </w:rPr>
            </w:pPr>
            <w:r w:rsidRPr="00233E7D">
              <w:rPr>
                <w:color w:val="414142"/>
              </w:rPr>
              <w:t>2</w:t>
            </w:r>
          </w:p>
        </w:tc>
        <w:tc>
          <w:tcPr>
            <w:tcW w:w="1049" w:type="pct"/>
            <w:tcBorders>
              <w:top w:val="outset" w:sz="6" w:space="0" w:color="414142"/>
              <w:left w:val="outset" w:sz="6" w:space="0" w:color="414142"/>
              <w:bottom w:val="outset" w:sz="6" w:space="0" w:color="414142"/>
              <w:right w:val="outset" w:sz="6" w:space="0" w:color="414142"/>
            </w:tcBorders>
            <w:shd w:val="clear" w:color="auto" w:fill="FFFFFF"/>
            <w:hideMark/>
          </w:tcPr>
          <w:p w:rsidR="00063F6C" w:rsidRPr="00233E7D" w:rsidRDefault="00063F6C" w:rsidP="00590868">
            <w:pPr>
              <w:jc w:val="center"/>
              <w:rPr>
                <w:color w:val="414142"/>
              </w:rPr>
            </w:pPr>
            <w:r w:rsidRPr="00233E7D">
              <w:rPr>
                <w:color w:val="414142"/>
              </w:rPr>
              <w:t>3</w:t>
            </w: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rsidR="00063F6C" w:rsidRPr="00233E7D" w:rsidRDefault="00063F6C" w:rsidP="00590868">
            <w:pPr>
              <w:jc w:val="center"/>
              <w:rPr>
                <w:color w:val="414142"/>
              </w:rPr>
            </w:pPr>
            <w:r w:rsidRPr="00233E7D">
              <w:rPr>
                <w:color w:val="414142"/>
              </w:rPr>
              <w:t>4</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rsidR="00063F6C" w:rsidRPr="00233E7D" w:rsidRDefault="00063F6C" w:rsidP="00590868">
            <w:pPr>
              <w:jc w:val="center"/>
              <w:rPr>
                <w:color w:val="414142"/>
              </w:rPr>
            </w:pPr>
            <w:r w:rsidRPr="00233E7D">
              <w:rPr>
                <w:color w:val="414142"/>
              </w:rPr>
              <w:t>5</w:t>
            </w:r>
          </w:p>
        </w:tc>
        <w:tc>
          <w:tcPr>
            <w:tcW w:w="887" w:type="pct"/>
            <w:tcBorders>
              <w:top w:val="outset" w:sz="6" w:space="0" w:color="414142"/>
              <w:left w:val="outset" w:sz="6" w:space="0" w:color="414142"/>
              <w:bottom w:val="outset" w:sz="6" w:space="0" w:color="414142"/>
              <w:right w:val="outset" w:sz="6" w:space="0" w:color="414142"/>
            </w:tcBorders>
            <w:shd w:val="clear" w:color="auto" w:fill="FFFFFF"/>
            <w:hideMark/>
          </w:tcPr>
          <w:p w:rsidR="00063F6C" w:rsidRPr="00233E7D" w:rsidRDefault="00063F6C" w:rsidP="00590868">
            <w:pPr>
              <w:jc w:val="center"/>
              <w:rPr>
                <w:color w:val="414142"/>
              </w:rPr>
            </w:pPr>
            <w:r w:rsidRPr="00233E7D">
              <w:rPr>
                <w:color w:val="414142"/>
              </w:rPr>
              <w:t>6</w:t>
            </w:r>
          </w:p>
        </w:tc>
      </w:tr>
      <w:tr w:rsidR="00063F6C" w:rsidRPr="00233E7D" w:rsidTr="00063F6C">
        <w:trPr>
          <w:trHeight w:val="300"/>
        </w:trPr>
        <w:tc>
          <w:tcPr>
            <w:tcW w:w="263" w:type="pct"/>
            <w:tcBorders>
              <w:top w:val="outset" w:sz="6" w:space="0" w:color="414142"/>
              <w:left w:val="outset" w:sz="6" w:space="0" w:color="414142"/>
              <w:bottom w:val="outset" w:sz="6" w:space="0" w:color="414142"/>
              <w:right w:val="outset" w:sz="6" w:space="0" w:color="414142"/>
            </w:tcBorders>
            <w:shd w:val="clear" w:color="auto" w:fill="FFFFFF"/>
            <w:hideMark/>
          </w:tcPr>
          <w:p w:rsidR="00063F6C" w:rsidRPr="0022157E" w:rsidRDefault="00063F6C" w:rsidP="00063F6C">
            <w:pPr>
              <w:pStyle w:val="naisc"/>
              <w:spacing w:before="0" w:after="0"/>
              <w:jc w:val="left"/>
            </w:pPr>
            <w:r>
              <w:t>1.</w:t>
            </w:r>
          </w:p>
        </w:tc>
        <w:tc>
          <w:tcPr>
            <w:tcW w:w="1002" w:type="pct"/>
            <w:tcBorders>
              <w:top w:val="outset" w:sz="6" w:space="0" w:color="414142"/>
              <w:left w:val="outset" w:sz="6" w:space="0" w:color="414142"/>
              <w:bottom w:val="outset" w:sz="6" w:space="0" w:color="414142"/>
              <w:right w:val="outset" w:sz="6" w:space="0" w:color="414142"/>
            </w:tcBorders>
            <w:shd w:val="clear" w:color="auto" w:fill="FFFFFF"/>
            <w:hideMark/>
          </w:tcPr>
          <w:p w:rsidR="00063F6C" w:rsidRPr="00666A5A" w:rsidRDefault="00063F6C" w:rsidP="00063F6C">
            <w:pPr>
              <w:pStyle w:val="tv213"/>
              <w:numPr>
                <w:ilvl w:val="0"/>
                <w:numId w:val="33"/>
              </w:numPr>
              <w:spacing w:before="0" w:beforeAutospacing="0" w:after="120" w:afterAutospacing="0"/>
              <w:ind w:left="0" w:firstLine="490"/>
              <w:jc w:val="both"/>
              <w:rPr>
                <w:lang w:eastAsia="en-US"/>
              </w:rPr>
            </w:pPr>
            <w:r w:rsidRPr="00666A5A">
              <w:rPr>
                <w:lang w:eastAsia="en-US"/>
              </w:rPr>
              <w:t>Izteikt 5.3.un 5.4.apakšpunktu šādā redakcijā:</w:t>
            </w:r>
          </w:p>
          <w:p w:rsidR="00063F6C" w:rsidRPr="00666A5A" w:rsidRDefault="00063F6C" w:rsidP="00063F6C">
            <w:pPr>
              <w:shd w:val="clear" w:color="auto" w:fill="FFFFFF"/>
              <w:spacing w:after="120"/>
              <w:ind w:firstLine="490"/>
              <w:jc w:val="both"/>
            </w:pPr>
            <w:r w:rsidRPr="00666A5A">
              <w:t xml:space="preserve">“5.3. darba samaksa ne mazāk par strādājošiem noteikto mēneša vidējo bruto darba samaksu ārzemnieka paredzamajā nodarbinātības nozarē (otrajā līmenī) atbilstoši Eiropas Parlamenta un Padomes 2006. gada 20. decembra Regulai </w:t>
            </w:r>
            <w:r w:rsidRPr="00666A5A">
              <w:lastRenderedPageBreak/>
              <w:t>Nr. 1893/2006, ar ko izveido NACE 2. </w:t>
            </w:r>
            <w:proofErr w:type="spellStart"/>
            <w:r w:rsidRPr="00666A5A">
              <w:t>red</w:t>
            </w:r>
            <w:proofErr w:type="spellEnd"/>
            <w:r w:rsidRPr="00666A5A">
              <w:t xml:space="preserve">. saimniecisko darbību statistisko klasifikāciju, kā arī groza Padomes regulu (EEK) Nr. 3037/90 un dažas EK regulas par īpašām statistikas jomām, iepriekšējā gadā (saskaņā ar Centrālās statistikas pārvaldes pēdējo publicēto informāciju), ja ārzemnieks saņem vīzu un tiesības uz nodarbinātību. Ja ārzemnieks tiks nodarbināts nozarē, kurā ir noslēgta </w:t>
            </w:r>
            <w:proofErr w:type="spellStart"/>
            <w:r w:rsidRPr="00666A5A">
              <w:t>ģenerālvienošanās</w:t>
            </w:r>
            <w:proofErr w:type="spellEnd"/>
            <w:r w:rsidRPr="00666A5A">
              <w:t xml:space="preserve"> atbilstoši Darba likuma 18.panta ceturtajā daļā noteiktajam, nepieciešamais finanšu līdzekļu apmērs ir darba samaksa ne mazāk par </w:t>
            </w:r>
            <w:proofErr w:type="spellStart"/>
            <w:r w:rsidRPr="00666A5A">
              <w:t>ģenerālvienošanās</w:t>
            </w:r>
            <w:proofErr w:type="spellEnd"/>
            <w:r w:rsidRPr="00666A5A">
              <w:t xml:space="preserve"> paredzēto minimālo darba samaksu.”;</w:t>
            </w:r>
          </w:p>
          <w:p w:rsidR="00063F6C" w:rsidRPr="00666A5A" w:rsidRDefault="00063F6C" w:rsidP="00063F6C">
            <w:pPr>
              <w:pStyle w:val="ListParagraph"/>
              <w:shd w:val="clear" w:color="auto" w:fill="FFFFFF"/>
              <w:spacing w:after="120"/>
              <w:ind w:left="0" w:firstLine="426"/>
              <w:contextualSpacing w:val="0"/>
              <w:jc w:val="both"/>
            </w:pPr>
            <w:r w:rsidRPr="00666A5A">
              <w:t xml:space="preserve">5.4. darba samaksa un kompensācija par darba braucienu izdevumiem, kas darba specifikas dēļ rodas </w:t>
            </w:r>
            <w:r w:rsidRPr="00666A5A">
              <w:lastRenderedPageBreak/>
              <w:t>darba braucienu laikā, atbilstoši strādājošiem noteiktajai mēneša vidējai bruto darba samaksai ārzemnieka paredzamajā nodarbinātības nozarē (otrajā līmenī) atbilstoši Eiropas Parlamenta un Padomes 2006. gada 20. decembra Regulai Nr. 1893/2006, ar ko izveido NACE 2. </w:t>
            </w:r>
            <w:proofErr w:type="spellStart"/>
            <w:r w:rsidRPr="00666A5A">
              <w:t>red</w:t>
            </w:r>
            <w:proofErr w:type="spellEnd"/>
            <w:r w:rsidRPr="00666A5A">
              <w:t>. saimniecisko darbību statistisko klasifikāciju, kā arī groza Padomes regulu (EEK) Nr. 3037/90 un dažas EK regulas par īpašām statistikas jomām, iepriekšējā gadā (saskaņā ar Centrālās statistikas pārvaldes pēdējo publicēto informāciju), ja ārzemnieks saņem vīzu un tiesības uz nodarbinātību kā starptautiskos pārvadājumus veicoša transportlīdzekļa apkalpes loceklis.”.</w:t>
            </w:r>
          </w:p>
          <w:p w:rsidR="00063F6C" w:rsidRPr="00666A5A" w:rsidRDefault="00063F6C" w:rsidP="00063F6C">
            <w:pPr>
              <w:spacing w:after="120"/>
              <w:jc w:val="both"/>
              <w:rPr>
                <w:lang w:eastAsia="en-US"/>
              </w:rPr>
            </w:pPr>
          </w:p>
        </w:tc>
        <w:tc>
          <w:tcPr>
            <w:tcW w:w="1049" w:type="pct"/>
            <w:tcBorders>
              <w:top w:val="outset" w:sz="6" w:space="0" w:color="414142"/>
              <w:left w:val="outset" w:sz="6" w:space="0" w:color="414142"/>
              <w:bottom w:val="outset" w:sz="6" w:space="0" w:color="414142"/>
              <w:right w:val="outset" w:sz="6" w:space="0" w:color="414142"/>
            </w:tcBorders>
            <w:shd w:val="clear" w:color="auto" w:fill="FFFFFF"/>
            <w:hideMark/>
          </w:tcPr>
          <w:p w:rsidR="00063F6C" w:rsidRPr="00537AD0" w:rsidRDefault="00063F6C" w:rsidP="00063F6C">
            <w:pPr>
              <w:spacing w:after="120"/>
              <w:ind w:firstLine="686"/>
              <w:jc w:val="both"/>
              <w:rPr>
                <w:u w:val="single"/>
              </w:rPr>
            </w:pPr>
            <w:r w:rsidRPr="00537AD0">
              <w:rPr>
                <w:u w:val="single"/>
              </w:rPr>
              <w:lastRenderedPageBreak/>
              <w:t>Zemkopības ministrija</w:t>
            </w:r>
          </w:p>
          <w:p w:rsidR="00063F6C" w:rsidRDefault="00063F6C" w:rsidP="00063F6C">
            <w:pPr>
              <w:spacing w:after="120"/>
              <w:jc w:val="both"/>
            </w:pPr>
            <w:r w:rsidRPr="00537AD0">
              <w:t xml:space="preserve">Lūdzam svītrot noteikumu projekta 1.punktu. Uzskatām, ka nav pieļaujams visās nozarēs noteikt atvieglotākas prasības attiecībā par ārzemniekam nepieciešamo finanšu līdzekļu apmēru, nosakot, ka darba samaksa ārzemniekam ir ne mazāka par strādājošiem noteikto mēneša vidējo bruto darba samaksu ārzemnieka </w:t>
            </w:r>
            <w:r w:rsidRPr="00537AD0">
              <w:lastRenderedPageBreak/>
              <w:t>paredzamajā nodarbinātības nozarē (otrajā līmenī). Izņēmuma gadījumus varētu paredzēt uzņēmumiem, kas ir stratēģiski nozīmīgi un kas ražo preces ar augstu pievienoto vērtību eksporta tirgiem.</w:t>
            </w:r>
          </w:p>
          <w:p w:rsidR="00063F6C" w:rsidRDefault="00063F6C" w:rsidP="00063F6C">
            <w:pPr>
              <w:ind w:firstLine="686"/>
              <w:jc w:val="both"/>
              <w:rPr>
                <w:u w:val="single"/>
              </w:rPr>
            </w:pPr>
            <w:r>
              <w:rPr>
                <w:u w:val="single"/>
              </w:rPr>
              <w:t>Ekonomikas ministrija</w:t>
            </w:r>
          </w:p>
          <w:p w:rsidR="00063F6C" w:rsidRDefault="00063F6C" w:rsidP="00590318">
            <w:pPr>
              <w:pStyle w:val="ListParagraph"/>
              <w:tabs>
                <w:tab w:val="left" w:pos="851"/>
              </w:tabs>
              <w:spacing w:before="60" w:after="60"/>
              <w:ind w:left="0"/>
              <w:jc w:val="both"/>
            </w:pPr>
            <w:r w:rsidRPr="00601F0A">
              <w:t xml:space="preserve">MK noteikumu projekts paredz trešo valstu pilsoņiem noteikt nepieciešamo minimālo līdzekļu apmēru mēnesī (darba samaksu) ne mazāku par strādājošiem noteikto mēneša vidējo bruto darba samaksu ārzemnieka paredzamajā nodarbinātības nozarē. Nosakot trešo valstu pilsoņiem darba samaksu atbilstoši vidējai darba algai nozarē tiek atviegloti mazkvalificētā darbaspēka no trešajām valstīm piesaistes nosacījumi, proti, tiek radīti labvēlīgāki apstākļi un salīdzinoša priekšrocība ievest darbaspēku nozarēs ar zemāku vidējo algu (un </w:t>
            </w:r>
            <w:r w:rsidRPr="00601F0A">
              <w:lastRenderedPageBreak/>
              <w:t>produktivitātes līmeni), kas ir pretrunā ar produktivitātes pieaugumā un zināšanās balstītu ilgtspējīgu ekonomikas izaugsmi, kas kā mērķis ir noteikts Latvijas attīstības plānošanas dokumentos. Līdz ar to Ekonomikas ministrijas ieskatā arī turpmāk jāsaglabā pašlaik Ministru kabineta 2017.gada 25.aprīļa noteikumos Nr.225 noteiktais ārzemniekam nepieciešamais finanšu līdzekļu apmērs - darba samaksas kritērijs trešo valstu pilsoņu piesaistei - vidējā bruto alga tautsaimniecībā (nevis nozarē), tādējādi samērīgi veicinot tautsaimniecības transformāciju uz augstākas pievienotās vērtības radīšanu, radot labvēlīgākus apstākļus darbaspēka ievešanai nozarēs ar vidējo algu virs tautsaimniecības vidējās.</w:t>
            </w:r>
          </w:p>
          <w:p w:rsidR="00063F6C" w:rsidRPr="0014382C" w:rsidRDefault="00063F6C" w:rsidP="00063F6C">
            <w:pPr>
              <w:spacing w:after="120"/>
              <w:jc w:val="both"/>
              <w:rPr>
                <w:u w:val="single"/>
              </w:rPr>
            </w:pPr>
          </w:p>
        </w:tc>
        <w:tc>
          <w:tcPr>
            <w:tcW w:w="1000" w:type="pct"/>
            <w:tcBorders>
              <w:top w:val="outset" w:sz="6" w:space="0" w:color="414142"/>
              <w:left w:val="outset" w:sz="6" w:space="0" w:color="414142"/>
              <w:bottom w:val="outset" w:sz="6" w:space="0" w:color="414142"/>
              <w:right w:val="outset" w:sz="6" w:space="0" w:color="414142"/>
            </w:tcBorders>
            <w:shd w:val="clear" w:color="auto" w:fill="FFFFFF"/>
            <w:hideMark/>
          </w:tcPr>
          <w:p w:rsidR="00063F6C" w:rsidRPr="002D46DF" w:rsidRDefault="00063F6C" w:rsidP="00063F6C">
            <w:pPr>
              <w:pStyle w:val="naisc"/>
              <w:spacing w:before="0" w:after="0"/>
              <w:jc w:val="both"/>
            </w:pPr>
            <w:r w:rsidRPr="002D46DF">
              <w:lastRenderedPageBreak/>
              <w:t>Iebildums nav ņemts vērā.</w:t>
            </w:r>
          </w:p>
          <w:p w:rsidR="00063F6C" w:rsidRDefault="00063F6C" w:rsidP="00063F6C">
            <w:pPr>
              <w:pStyle w:val="naisc"/>
              <w:spacing w:before="0" w:after="0"/>
              <w:jc w:val="both"/>
            </w:pP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rsidR="00590318" w:rsidRDefault="00063F6C" w:rsidP="00590318">
            <w:r w:rsidRPr="00590318">
              <w:t> </w:t>
            </w:r>
          </w:p>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590318" w:rsidRDefault="00590318" w:rsidP="00590318"/>
          <w:p w:rsidR="00063F6C" w:rsidRPr="00590318" w:rsidRDefault="00590318" w:rsidP="00590318">
            <w:r w:rsidRPr="00590318">
              <w:t xml:space="preserve">Ekonomikas ministrija uztur iebildumu attiecībā uz grozījumiem, kas paredz noteikt trešo valstu pilsoņiem nepieciešamo minimālo līdzekļu apmēru mēnesī (darba samaksas kritēriju) ne mazāku par strādājošiem noteikto mēneša vidējo bruto darba samaksu ārzemnieka paredzamajā nodarbinātības nozarē. Aicinām saglabāt pašlaik spēkā esošo kritēriju- vidējā </w:t>
            </w:r>
            <w:r w:rsidRPr="00590318">
              <w:lastRenderedPageBreak/>
              <w:t xml:space="preserve">bruto alga tautsaimniecībā, jo tas samērīgi veicina tautsaimniecības transformāciju uz augstākas pievienotās vērtības radīšanu un rada labvēlīgākus apstākļus darbaspēka ievešanai nozarēs ar vidējo algu virs tautsaimniecības vidējās. Latvijas ekonomikas izaugsmei būtiska ir tautsaimniecības transformācija, kas vērsta uz produktivitātes līmeņa paaugstināšanu. Bez šādas tautsaimniecības pārstrukturizācijas Latvija paliks vidēja ienākuma valsts, kurā dzīves līmenis atpaliek no ES vidējiem rādītājiem. </w:t>
            </w:r>
          </w:p>
        </w:tc>
        <w:tc>
          <w:tcPr>
            <w:tcW w:w="887" w:type="pct"/>
            <w:tcBorders>
              <w:top w:val="outset" w:sz="6" w:space="0" w:color="414142"/>
              <w:left w:val="outset" w:sz="6" w:space="0" w:color="414142"/>
              <w:bottom w:val="outset" w:sz="6" w:space="0" w:color="414142"/>
              <w:right w:val="outset" w:sz="6" w:space="0" w:color="414142"/>
            </w:tcBorders>
            <w:shd w:val="clear" w:color="auto" w:fill="FFFFFF"/>
            <w:hideMark/>
          </w:tcPr>
          <w:p w:rsidR="00CC392E" w:rsidRPr="00CC392E" w:rsidRDefault="00CC392E" w:rsidP="00CC392E">
            <w:pPr>
              <w:pStyle w:val="tv213"/>
              <w:numPr>
                <w:ilvl w:val="0"/>
                <w:numId w:val="36"/>
              </w:numPr>
              <w:spacing w:before="0" w:beforeAutospacing="0" w:after="120" w:afterAutospacing="0"/>
              <w:ind w:left="347" w:firstLine="646"/>
              <w:jc w:val="both"/>
              <w:rPr>
                <w:lang w:eastAsia="en-US"/>
              </w:rPr>
            </w:pPr>
            <w:r w:rsidRPr="00CC392E">
              <w:rPr>
                <w:lang w:eastAsia="en-US"/>
              </w:rPr>
              <w:lastRenderedPageBreak/>
              <w:t>Izteikt 5.3.apakšpunktu šādā redakcijā:</w:t>
            </w:r>
          </w:p>
          <w:p w:rsidR="00CC392E" w:rsidRPr="00CC392E" w:rsidRDefault="00CC392E" w:rsidP="00CC392E">
            <w:pPr>
              <w:shd w:val="clear" w:color="auto" w:fill="FFFFFF"/>
              <w:spacing w:after="120"/>
              <w:ind w:firstLine="490"/>
              <w:jc w:val="both"/>
            </w:pPr>
            <w:r w:rsidRPr="00CC392E">
              <w:t xml:space="preserve">“5.3. darba samaksa ne mazāk par strādājošiem noteikto mēneša vidējo bruto darba samaksu ārzemnieka paredzamajā nodarbinātības nozarē (otrajā līmenī) atbilstoši Eiropas Parlamenta un Padomes 2006. gada </w:t>
            </w:r>
            <w:r w:rsidRPr="00CC392E">
              <w:lastRenderedPageBreak/>
              <w:t>20. decembra Regulai Nr. 1893/2006, ar ko izveido NACE 2. </w:t>
            </w:r>
            <w:proofErr w:type="spellStart"/>
            <w:r w:rsidRPr="00CC392E">
              <w:t>red</w:t>
            </w:r>
            <w:proofErr w:type="spellEnd"/>
            <w:r w:rsidRPr="00CC392E">
              <w:t xml:space="preserve">. saimniecisko darbību statistisko klasifikāciju, kā arī groza Padomes regulu (EEK) Nr. 3037/90 un dažas EK regulas par īpašām statistikas jomām, iepriekšējā gadā (saskaņā ar Centrālās statistikas pārvaldes pēdējo publicēto informāciju), ja ārzemnieks saņem vīzu un tiesības uz nodarbinātību. Ja ārzemnieks tiks nodarbināts nozarē, kurā ir noslēgta </w:t>
            </w:r>
            <w:proofErr w:type="spellStart"/>
            <w:r w:rsidRPr="00CC392E">
              <w:t>ģenerālvienošanās</w:t>
            </w:r>
            <w:proofErr w:type="spellEnd"/>
            <w:r w:rsidRPr="00CC392E">
              <w:t xml:space="preserve"> atbilstoši Darba likuma 18.panta ceturtajā daļā noteiktajam, nepieciešamais finanšu līdzekļu apmērs ir darba samaksa ne mazāk par </w:t>
            </w:r>
            <w:proofErr w:type="spellStart"/>
            <w:r w:rsidRPr="00CC392E">
              <w:t>ģenerālvienošanās</w:t>
            </w:r>
            <w:proofErr w:type="spellEnd"/>
            <w:r w:rsidRPr="00CC392E">
              <w:t xml:space="preserve"> </w:t>
            </w:r>
            <w:r w:rsidRPr="00CC392E">
              <w:lastRenderedPageBreak/>
              <w:t>paredzēto minimālo darba samaksu.”;</w:t>
            </w:r>
          </w:p>
          <w:p w:rsidR="00063F6C" w:rsidRPr="00CC392E" w:rsidRDefault="00063F6C" w:rsidP="00063F6C">
            <w:pPr>
              <w:pStyle w:val="ListParagraph"/>
              <w:spacing w:after="120"/>
              <w:ind w:left="0" w:firstLine="567"/>
              <w:contextualSpacing w:val="0"/>
              <w:jc w:val="both"/>
              <w:rPr>
                <w:lang w:eastAsia="en-US"/>
              </w:rPr>
            </w:pPr>
          </w:p>
        </w:tc>
      </w:tr>
    </w:tbl>
    <w:p w:rsidR="00063F6C" w:rsidRDefault="00063F6C" w:rsidP="00063F6C">
      <w:pPr>
        <w:pStyle w:val="naisf"/>
        <w:spacing w:before="0" w:after="0"/>
        <w:ind w:firstLine="0"/>
        <w:rPr>
          <w:b/>
        </w:rPr>
      </w:pPr>
    </w:p>
    <w:p w:rsidR="00063F6C" w:rsidRDefault="00063F6C" w:rsidP="00063F6C">
      <w:pPr>
        <w:pStyle w:val="naisf"/>
        <w:spacing w:before="0" w:after="0"/>
        <w:ind w:firstLine="0"/>
        <w:rPr>
          <w:b/>
        </w:rPr>
      </w:pPr>
    </w:p>
    <w:p w:rsidR="00063F6C" w:rsidRPr="0022157E" w:rsidRDefault="00063F6C" w:rsidP="00063F6C">
      <w:pPr>
        <w:pStyle w:val="naisf"/>
        <w:spacing w:before="0" w:after="0"/>
        <w:ind w:firstLine="0"/>
        <w:jc w:val="center"/>
        <w:rPr>
          <w:b/>
        </w:rPr>
      </w:pPr>
      <w:r w:rsidRPr="0022157E">
        <w:rPr>
          <w:b/>
        </w:rPr>
        <w:t xml:space="preserve">Informācija par </w:t>
      </w:r>
      <w:proofErr w:type="spellStart"/>
      <w:r w:rsidRPr="0022157E">
        <w:rPr>
          <w:b/>
        </w:rPr>
        <w:t>starpministriju</w:t>
      </w:r>
      <w:proofErr w:type="spellEnd"/>
      <w:r w:rsidRPr="0022157E">
        <w:rPr>
          <w:b/>
        </w:rPr>
        <w:t xml:space="preserve"> (starpinstitūciju) sanāksmi vai elektronisko saskaņošanu</w:t>
      </w:r>
    </w:p>
    <w:p w:rsidR="00063F6C" w:rsidRPr="0022157E" w:rsidRDefault="00063F6C" w:rsidP="00063F6C">
      <w:pPr>
        <w:pStyle w:val="naisf"/>
        <w:spacing w:before="0" w:after="0"/>
        <w:ind w:firstLine="0"/>
        <w:rPr>
          <w:b/>
        </w:rPr>
      </w:pPr>
    </w:p>
    <w:tbl>
      <w:tblPr>
        <w:tblW w:w="12582" w:type="dxa"/>
        <w:tblLook w:val="00A0" w:firstRow="1" w:lastRow="0" w:firstColumn="1" w:lastColumn="0" w:noHBand="0" w:noVBand="0"/>
      </w:tblPr>
      <w:tblGrid>
        <w:gridCol w:w="6345"/>
        <w:gridCol w:w="6237"/>
      </w:tblGrid>
      <w:tr w:rsidR="00063F6C" w:rsidRPr="0022157E" w:rsidTr="00590868">
        <w:tc>
          <w:tcPr>
            <w:tcW w:w="6345" w:type="dxa"/>
          </w:tcPr>
          <w:p w:rsidR="00063F6C" w:rsidRPr="0022157E" w:rsidRDefault="00063F6C" w:rsidP="00590868">
            <w:pPr>
              <w:pStyle w:val="naisf"/>
              <w:spacing w:before="0" w:after="0"/>
              <w:ind w:firstLine="0"/>
            </w:pPr>
            <w:r w:rsidRPr="0022157E">
              <w:t>Datums</w:t>
            </w:r>
          </w:p>
        </w:tc>
        <w:tc>
          <w:tcPr>
            <w:tcW w:w="6237" w:type="dxa"/>
            <w:tcBorders>
              <w:bottom w:val="single" w:sz="4" w:space="0" w:color="auto"/>
            </w:tcBorders>
          </w:tcPr>
          <w:p w:rsidR="00063F6C" w:rsidRPr="0022157E" w:rsidRDefault="00063F6C" w:rsidP="00590868">
            <w:pPr>
              <w:pStyle w:val="NormalWeb"/>
              <w:spacing w:before="0" w:beforeAutospacing="0" w:after="0" w:afterAutospacing="0"/>
              <w:jc w:val="both"/>
            </w:pPr>
            <w:r>
              <w:t>03.07.2019.</w:t>
            </w:r>
          </w:p>
        </w:tc>
      </w:tr>
      <w:tr w:rsidR="00063F6C" w:rsidRPr="0022157E" w:rsidTr="00590868">
        <w:tc>
          <w:tcPr>
            <w:tcW w:w="6345" w:type="dxa"/>
          </w:tcPr>
          <w:p w:rsidR="00063F6C" w:rsidRPr="0022157E" w:rsidRDefault="00063F6C" w:rsidP="00590868">
            <w:pPr>
              <w:pStyle w:val="naisf"/>
              <w:spacing w:before="0" w:after="0"/>
              <w:ind w:firstLine="0"/>
            </w:pPr>
          </w:p>
        </w:tc>
        <w:tc>
          <w:tcPr>
            <w:tcW w:w="6237" w:type="dxa"/>
            <w:tcBorders>
              <w:top w:val="single" w:sz="4" w:space="0" w:color="auto"/>
            </w:tcBorders>
          </w:tcPr>
          <w:p w:rsidR="00063F6C" w:rsidRPr="0022157E" w:rsidRDefault="00063F6C" w:rsidP="00590868">
            <w:pPr>
              <w:pStyle w:val="NormalWeb"/>
              <w:spacing w:before="0" w:beforeAutospacing="0" w:after="0" w:afterAutospacing="0"/>
              <w:ind w:firstLine="720"/>
              <w:rPr>
                <w:highlight w:val="yellow"/>
              </w:rPr>
            </w:pPr>
          </w:p>
        </w:tc>
      </w:tr>
      <w:tr w:rsidR="00063F6C" w:rsidRPr="0022157E" w:rsidTr="00590868">
        <w:tc>
          <w:tcPr>
            <w:tcW w:w="6345" w:type="dxa"/>
          </w:tcPr>
          <w:p w:rsidR="00063F6C" w:rsidRPr="0022157E" w:rsidRDefault="00063F6C" w:rsidP="00590868">
            <w:pPr>
              <w:pStyle w:val="naiskr"/>
              <w:spacing w:before="0" w:after="0"/>
            </w:pPr>
            <w:r w:rsidRPr="0022157E">
              <w:t>Saskaņošanas dalībnieki</w:t>
            </w:r>
          </w:p>
        </w:tc>
        <w:tc>
          <w:tcPr>
            <w:tcW w:w="6237" w:type="dxa"/>
            <w:tcBorders>
              <w:bottom w:val="outset" w:sz="8" w:space="0" w:color="auto"/>
            </w:tcBorders>
          </w:tcPr>
          <w:p w:rsidR="00063F6C" w:rsidRPr="0022157E" w:rsidRDefault="00063F6C" w:rsidP="00590868">
            <w:pPr>
              <w:pStyle w:val="NormalWeb"/>
              <w:spacing w:before="0" w:beforeAutospacing="0" w:after="0" w:afterAutospacing="0"/>
              <w:jc w:val="both"/>
              <w:rPr>
                <w:highlight w:val="yellow"/>
              </w:rPr>
            </w:pPr>
            <w:r w:rsidRPr="001D3DD0">
              <w:t>Ekonomikas ministrija, Iekšlietu ministrija, Labklājības ministrija, Satiksmes ministrija, Tieslietu ministrija, Zemkopības ministrija, Vides aizsardzības un reģionālās attīstības ministrija, Latvijas Darba devēju konfederācija, Ārvalstu investoru padome, Amerikas Tirdzniecības padome, Latvijas Tirdzniecības un rūpniecības padome, Latvijas Būvuzņēmēju partnerība, Asociācija “Latvijas Auto”</w:t>
            </w:r>
          </w:p>
        </w:tc>
      </w:tr>
    </w:tbl>
    <w:p w:rsidR="00063F6C" w:rsidRPr="0022157E" w:rsidRDefault="00063F6C" w:rsidP="00063F6C"/>
    <w:tbl>
      <w:tblPr>
        <w:tblW w:w="12582" w:type="dxa"/>
        <w:tblLook w:val="00A0" w:firstRow="1" w:lastRow="0" w:firstColumn="1" w:lastColumn="0" w:noHBand="0" w:noVBand="0"/>
      </w:tblPr>
      <w:tblGrid>
        <w:gridCol w:w="6708"/>
        <w:gridCol w:w="5874"/>
      </w:tblGrid>
      <w:tr w:rsidR="00063F6C" w:rsidRPr="0022157E" w:rsidTr="00590868">
        <w:trPr>
          <w:trHeight w:val="285"/>
        </w:trPr>
        <w:tc>
          <w:tcPr>
            <w:tcW w:w="6708" w:type="dxa"/>
          </w:tcPr>
          <w:p w:rsidR="00063F6C" w:rsidRPr="0022157E" w:rsidRDefault="00063F6C" w:rsidP="00590868">
            <w:pPr>
              <w:pStyle w:val="naiskr"/>
              <w:spacing w:before="0" w:after="0"/>
            </w:pPr>
            <w:r w:rsidRPr="0022157E">
              <w:t>Saskaņošanas dalībnieki izskatīja šādu ministriju (citu institūciju) iebildumus</w:t>
            </w:r>
          </w:p>
        </w:tc>
        <w:tc>
          <w:tcPr>
            <w:tcW w:w="5874" w:type="dxa"/>
            <w:tcBorders>
              <w:bottom w:val="outset" w:sz="8" w:space="0" w:color="auto"/>
            </w:tcBorders>
          </w:tcPr>
          <w:p w:rsidR="00063F6C" w:rsidRPr="0022157E" w:rsidRDefault="00063F6C" w:rsidP="00063F6C">
            <w:pPr>
              <w:pStyle w:val="naiskr"/>
              <w:spacing w:before="0" w:after="0"/>
              <w:ind w:firstLine="12"/>
              <w:jc w:val="both"/>
            </w:pPr>
            <w:r>
              <w:t>Ekonomikas ministrijas, Finanšu ministrijas, Tieslietu ministrijas, Zemkopības ministrijas, Latvijas Darba devēju konfederācijas un Latvijas Pārtikas uzņēmumu federācijas</w:t>
            </w:r>
          </w:p>
        </w:tc>
      </w:tr>
      <w:tr w:rsidR="00063F6C" w:rsidRPr="0022157E" w:rsidTr="00590868">
        <w:tc>
          <w:tcPr>
            <w:tcW w:w="6708" w:type="dxa"/>
          </w:tcPr>
          <w:p w:rsidR="00063F6C" w:rsidRPr="0022157E" w:rsidRDefault="00063F6C" w:rsidP="00590868">
            <w:pPr>
              <w:pStyle w:val="naiskr"/>
              <w:spacing w:before="0" w:after="0"/>
            </w:pPr>
            <w:r w:rsidRPr="0022157E">
              <w:t>Ministrijas (citas institūcijas), kuras nav ieradušās uz sanāksmi vai kuras nav atbildējušas uz uzaicinājumu piedalīties elektroniskajā saskaņošanā</w:t>
            </w:r>
          </w:p>
        </w:tc>
        <w:tc>
          <w:tcPr>
            <w:tcW w:w="5874" w:type="dxa"/>
            <w:tcBorders>
              <w:top w:val="outset" w:sz="8" w:space="0" w:color="auto"/>
              <w:bottom w:val="outset" w:sz="8" w:space="0" w:color="auto"/>
            </w:tcBorders>
          </w:tcPr>
          <w:p w:rsidR="00063F6C" w:rsidRPr="0022157E" w:rsidRDefault="00063F6C" w:rsidP="00590868">
            <w:pPr>
              <w:pStyle w:val="naiskr"/>
              <w:spacing w:before="0" w:after="0"/>
              <w:ind w:firstLine="12"/>
              <w:jc w:val="both"/>
            </w:pPr>
            <w:r>
              <w:t>Ārlietu ministrija, Finanšu ministrija</w:t>
            </w:r>
          </w:p>
        </w:tc>
      </w:tr>
    </w:tbl>
    <w:p w:rsidR="005E4A81" w:rsidRPr="0022157E" w:rsidRDefault="005E4A81" w:rsidP="005E4A81">
      <w:pPr>
        <w:pStyle w:val="naisf"/>
        <w:spacing w:before="0" w:after="0"/>
        <w:ind w:firstLine="0"/>
        <w:jc w:val="center"/>
        <w:rPr>
          <w:b/>
        </w:rPr>
      </w:pPr>
      <w:r w:rsidRPr="0022157E">
        <w:rPr>
          <w:b/>
        </w:rPr>
        <w:t>II. Jautājumi, par kuriem saskaņošanā vienošanās ir panākta</w:t>
      </w:r>
    </w:p>
    <w:p w:rsidR="00355B27" w:rsidRPr="0022157E" w:rsidRDefault="00355B27"/>
    <w:tbl>
      <w:tblPr>
        <w:tblW w:w="523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72"/>
        <w:gridCol w:w="2069"/>
        <w:gridCol w:w="634"/>
        <w:gridCol w:w="5557"/>
        <w:gridCol w:w="152"/>
        <w:gridCol w:w="2992"/>
        <w:gridCol w:w="2633"/>
      </w:tblGrid>
      <w:tr w:rsidR="005E4A81" w:rsidRPr="0022157E" w:rsidTr="00657A93">
        <w:tc>
          <w:tcPr>
            <w:tcW w:w="196" w:type="pct"/>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jc w:val="left"/>
            </w:pPr>
            <w:r w:rsidRPr="0022157E">
              <w:t>Nr. p.k.</w:t>
            </w:r>
          </w:p>
        </w:tc>
        <w:tc>
          <w:tcPr>
            <w:tcW w:w="925" w:type="pct"/>
            <w:gridSpan w:val="2"/>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ind w:firstLine="12"/>
            </w:pPr>
            <w:r w:rsidRPr="0022157E">
              <w:t>Saskaņošanai nosūtītā projekta redakcija (konkrēta punkta (panta) redakcija)</w:t>
            </w:r>
          </w:p>
        </w:tc>
        <w:tc>
          <w:tcPr>
            <w:tcW w:w="1902" w:type="pct"/>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ind w:right="3"/>
            </w:pPr>
            <w:r w:rsidRPr="0022157E">
              <w:t>Atzinumā norādītais ministrijas (citas institūcijas) iebildums, kā arī saskaņošanā papildus izteiktais iebildums par projekta konkrēto punktu (pantu)</w:t>
            </w:r>
          </w:p>
        </w:tc>
        <w:tc>
          <w:tcPr>
            <w:tcW w:w="1076" w:type="pct"/>
            <w:gridSpan w:val="2"/>
            <w:tcBorders>
              <w:top w:val="single" w:sz="6" w:space="0" w:color="000000"/>
              <w:left w:val="single" w:sz="6" w:space="0" w:color="000000"/>
              <w:bottom w:val="single" w:sz="6" w:space="0" w:color="000000"/>
              <w:right w:val="single" w:sz="6" w:space="0" w:color="000000"/>
            </w:tcBorders>
            <w:vAlign w:val="center"/>
          </w:tcPr>
          <w:p w:rsidR="005E4A81" w:rsidRPr="0022157E" w:rsidRDefault="005E4A81" w:rsidP="009D1BB5">
            <w:pPr>
              <w:pStyle w:val="naisc"/>
              <w:spacing w:before="0" w:after="0"/>
              <w:ind w:firstLine="21"/>
            </w:pPr>
            <w:r w:rsidRPr="0022157E">
              <w:t>Atbildīgās ministrijas norāde par to, ka iebildums ir ņemts vērā, vai informācija par saskaņošanā panākto alternatīvo risinājumu</w:t>
            </w:r>
          </w:p>
        </w:tc>
        <w:tc>
          <w:tcPr>
            <w:tcW w:w="901" w:type="pct"/>
            <w:tcBorders>
              <w:top w:val="single" w:sz="4" w:space="0" w:color="auto"/>
              <w:left w:val="single" w:sz="4" w:space="0" w:color="auto"/>
              <w:bottom w:val="single" w:sz="4" w:space="0" w:color="auto"/>
            </w:tcBorders>
            <w:vAlign w:val="center"/>
          </w:tcPr>
          <w:p w:rsidR="005E4A81" w:rsidRPr="0022157E" w:rsidRDefault="005E4A81" w:rsidP="009D1BB5">
            <w:pPr>
              <w:jc w:val="center"/>
            </w:pPr>
            <w:r w:rsidRPr="0022157E">
              <w:t>Projekta attiecīgā punkta (panta) galīgā redakcija</w:t>
            </w:r>
          </w:p>
        </w:tc>
      </w:tr>
      <w:tr w:rsidR="00E97685" w:rsidRPr="0022157E" w:rsidTr="00657A93">
        <w:tc>
          <w:tcPr>
            <w:tcW w:w="196" w:type="pct"/>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jc w:val="left"/>
            </w:pPr>
            <w:r w:rsidRPr="0022157E">
              <w:t>1</w:t>
            </w:r>
          </w:p>
        </w:tc>
        <w:tc>
          <w:tcPr>
            <w:tcW w:w="925" w:type="pct"/>
            <w:gridSpan w:val="2"/>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ind w:firstLine="720"/>
            </w:pPr>
            <w:r w:rsidRPr="0022157E">
              <w:t>2</w:t>
            </w:r>
          </w:p>
        </w:tc>
        <w:tc>
          <w:tcPr>
            <w:tcW w:w="1902" w:type="pct"/>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ind w:firstLine="720"/>
            </w:pPr>
            <w:r w:rsidRPr="0022157E">
              <w:t>3</w:t>
            </w:r>
          </w:p>
        </w:tc>
        <w:tc>
          <w:tcPr>
            <w:tcW w:w="1076" w:type="pct"/>
            <w:gridSpan w:val="2"/>
            <w:tcBorders>
              <w:top w:val="single" w:sz="6" w:space="0" w:color="000000"/>
              <w:left w:val="single" w:sz="6" w:space="0" w:color="000000"/>
              <w:bottom w:val="single" w:sz="6" w:space="0" w:color="000000"/>
              <w:right w:val="single" w:sz="6" w:space="0" w:color="000000"/>
            </w:tcBorders>
          </w:tcPr>
          <w:p w:rsidR="00E97685" w:rsidRPr="0022157E" w:rsidRDefault="00E97685" w:rsidP="009D1BB5">
            <w:pPr>
              <w:pStyle w:val="naisc"/>
              <w:spacing w:before="0" w:after="0"/>
              <w:ind w:firstLine="720"/>
            </w:pPr>
            <w:r w:rsidRPr="0022157E">
              <w:t>4</w:t>
            </w:r>
          </w:p>
        </w:tc>
        <w:tc>
          <w:tcPr>
            <w:tcW w:w="901" w:type="pct"/>
            <w:tcBorders>
              <w:top w:val="single" w:sz="4" w:space="0" w:color="auto"/>
              <w:left w:val="single" w:sz="4" w:space="0" w:color="auto"/>
              <w:bottom w:val="single" w:sz="4" w:space="0" w:color="auto"/>
            </w:tcBorders>
          </w:tcPr>
          <w:p w:rsidR="00E97685" w:rsidRPr="0022157E" w:rsidRDefault="00E97685" w:rsidP="009D1BB5">
            <w:pPr>
              <w:jc w:val="center"/>
            </w:pPr>
            <w:r w:rsidRPr="0022157E">
              <w:t>5</w:t>
            </w:r>
          </w:p>
        </w:tc>
      </w:tr>
      <w:tr w:rsidR="00537AD0" w:rsidRPr="0022157E" w:rsidTr="00657A93">
        <w:tc>
          <w:tcPr>
            <w:tcW w:w="196" w:type="pct"/>
            <w:tcBorders>
              <w:top w:val="single" w:sz="6" w:space="0" w:color="000000"/>
              <w:left w:val="single" w:sz="6" w:space="0" w:color="000000"/>
              <w:bottom w:val="single" w:sz="6" w:space="0" w:color="000000"/>
              <w:right w:val="single" w:sz="6" w:space="0" w:color="000000"/>
            </w:tcBorders>
          </w:tcPr>
          <w:p w:rsidR="00537AD0" w:rsidRPr="0022157E" w:rsidRDefault="00666A5A" w:rsidP="009D1BB5">
            <w:pPr>
              <w:pStyle w:val="naisc"/>
              <w:spacing w:before="0" w:after="0"/>
              <w:jc w:val="left"/>
            </w:pPr>
            <w:r>
              <w:lastRenderedPageBreak/>
              <w:t>1.</w:t>
            </w:r>
          </w:p>
        </w:tc>
        <w:tc>
          <w:tcPr>
            <w:tcW w:w="925" w:type="pct"/>
            <w:gridSpan w:val="2"/>
            <w:tcBorders>
              <w:top w:val="single" w:sz="6" w:space="0" w:color="000000"/>
              <w:left w:val="single" w:sz="6" w:space="0" w:color="000000"/>
              <w:bottom w:val="single" w:sz="6" w:space="0" w:color="000000"/>
              <w:right w:val="single" w:sz="6" w:space="0" w:color="000000"/>
            </w:tcBorders>
          </w:tcPr>
          <w:p w:rsidR="00666A5A" w:rsidRPr="00666A5A" w:rsidRDefault="00666A5A" w:rsidP="00CC392E">
            <w:pPr>
              <w:pStyle w:val="tv213"/>
              <w:numPr>
                <w:ilvl w:val="0"/>
                <w:numId w:val="36"/>
              </w:numPr>
              <w:spacing w:before="0" w:beforeAutospacing="0" w:after="120" w:afterAutospacing="0"/>
              <w:ind w:left="0" w:firstLine="490"/>
              <w:jc w:val="both"/>
              <w:rPr>
                <w:lang w:eastAsia="en-US"/>
              </w:rPr>
            </w:pPr>
            <w:r w:rsidRPr="00666A5A">
              <w:rPr>
                <w:lang w:eastAsia="en-US"/>
              </w:rPr>
              <w:t>Izteikt 5.3.un 5.4.apakšpunktu šādā redakcijā:</w:t>
            </w:r>
          </w:p>
          <w:p w:rsidR="00666A5A" w:rsidRPr="00666A5A" w:rsidRDefault="00666A5A" w:rsidP="00666A5A">
            <w:pPr>
              <w:shd w:val="clear" w:color="auto" w:fill="FFFFFF"/>
              <w:spacing w:after="120"/>
              <w:ind w:firstLine="490"/>
              <w:jc w:val="both"/>
            </w:pPr>
            <w:bookmarkStart w:id="0" w:name="n2"/>
            <w:bookmarkEnd w:id="0"/>
            <w:r w:rsidRPr="00666A5A">
              <w:t>“5.3. darba samaksa ne mazāk par strādājošiem noteikto mēneša vidējo bruto darba samaksu ārzemnieka paredzamajā nodarbinātības nozarē (otrajā līmenī) atbilstoši Eiropas Parlamenta un Padomes 2006. gada 20. decembra Regulai Nr. 1893/2006, ar ko izveido NACE 2. </w:t>
            </w:r>
            <w:proofErr w:type="spellStart"/>
            <w:r w:rsidRPr="00666A5A">
              <w:t>red</w:t>
            </w:r>
            <w:proofErr w:type="spellEnd"/>
            <w:r w:rsidRPr="00666A5A">
              <w:t xml:space="preserve">. saimniecisko darbību statistisko klasifikāciju, kā arī groza Padomes regulu (EEK) Nr. 3037/90 un dažas EK regulas par īpašām statistikas jomām, iepriekšējā gadā (saskaņā ar Centrālās statistikas pārvaldes pēdējo publicēto informāciju), ja ārzemnieks saņem vīzu un tiesības uz </w:t>
            </w:r>
            <w:r w:rsidRPr="00666A5A">
              <w:lastRenderedPageBreak/>
              <w:t xml:space="preserve">nodarbinātību. Ja ārzemnieks tiks nodarbināts nozarē, kurā ir noslēgta </w:t>
            </w:r>
            <w:proofErr w:type="spellStart"/>
            <w:r w:rsidRPr="00666A5A">
              <w:t>ģenerālvienošanās</w:t>
            </w:r>
            <w:proofErr w:type="spellEnd"/>
            <w:r w:rsidRPr="00666A5A">
              <w:t xml:space="preserve"> atbilstoši Darba likuma 18.panta ceturtajā daļā noteiktajam, nepieciešamais finanšu līdzekļu apmērs ir darba samaksa ne mazāk par </w:t>
            </w:r>
            <w:proofErr w:type="spellStart"/>
            <w:r w:rsidRPr="00666A5A">
              <w:t>ģenerālvienošanās</w:t>
            </w:r>
            <w:proofErr w:type="spellEnd"/>
            <w:r w:rsidRPr="00666A5A">
              <w:t xml:space="preserve"> paredzēto minimālo darba samaksu.”;</w:t>
            </w:r>
          </w:p>
          <w:p w:rsidR="00666A5A" w:rsidRPr="00666A5A" w:rsidRDefault="00666A5A" w:rsidP="00666A5A">
            <w:pPr>
              <w:pStyle w:val="ListParagraph"/>
              <w:shd w:val="clear" w:color="auto" w:fill="FFFFFF"/>
              <w:spacing w:after="120"/>
              <w:ind w:left="0" w:firstLine="426"/>
              <w:contextualSpacing w:val="0"/>
              <w:jc w:val="both"/>
            </w:pPr>
            <w:r w:rsidRPr="00666A5A">
              <w:t xml:space="preserve">5.4. darba samaksa un kompensācija par darba braucienu izdevumiem, kas darba specifikas dēļ rodas darba braucienu laikā, atbilstoši strādājošiem noteiktajai mēneša vidējai bruto darba samaksai ārzemnieka paredzamajā nodarbinātības nozarē (otrajā līmenī) atbilstoši Eiropas Parlamenta un Padomes 2006. gada 20. decembra Regulai </w:t>
            </w:r>
            <w:r w:rsidRPr="00666A5A">
              <w:lastRenderedPageBreak/>
              <w:t>Nr. 1893/2006, ar ko izveido NACE 2. </w:t>
            </w:r>
            <w:proofErr w:type="spellStart"/>
            <w:r w:rsidRPr="00666A5A">
              <w:t>red</w:t>
            </w:r>
            <w:proofErr w:type="spellEnd"/>
            <w:r w:rsidRPr="00666A5A">
              <w:t>. saimniecisko darbību statistisko klasifikāciju, kā arī groza Padomes regulu (EEK) Nr. 3037/90 un dažas EK regulas par īpašām statistikas jomām, iepriekšējā gadā (saskaņā ar Centrālās statistikas pārvaldes pēdējo publicēto informāciju), ja ārzemnieks saņem vīzu un tiesības uz nodarbinātību kā starptautiskos pārvadājumus veicoša transportlīdzekļa apkalpes loceklis.”.</w:t>
            </w:r>
          </w:p>
          <w:p w:rsidR="00537AD0" w:rsidRPr="00666A5A" w:rsidRDefault="00537AD0" w:rsidP="00081D15">
            <w:pPr>
              <w:spacing w:after="12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666A5A" w:rsidRDefault="00666A5A" w:rsidP="00666A5A">
            <w:pPr>
              <w:ind w:firstLine="686"/>
              <w:jc w:val="both"/>
              <w:rPr>
                <w:u w:val="single"/>
              </w:rPr>
            </w:pPr>
            <w:r>
              <w:rPr>
                <w:u w:val="single"/>
              </w:rPr>
              <w:lastRenderedPageBreak/>
              <w:t>Finanšu  ministrija</w:t>
            </w:r>
          </w:p>
          <w:p w:rsidR="00666A5A" w:rsidRPr="00030B2A" w:rsidRDefault="00666A5A" w:rsidP="00666A5A">
            <w:pPr>
              <w:jc w:val="both"/>
            </w:pPr>
            <w:r w:rsidRPr="00030B2A">
              <w:t xml:space="preserve">Eiropas Parlamenta un Padomes Direktīva (ES) 2018/957 (2018. gada 28. jūnijs), ar ko groza Direktīvu 96/71/EK par darba ņēmēju norīkošanu darbā pakalpojumu sniegšanas jomā 19.apsvērums nosaka, ka komandējuma nauda, kas saistīta ar attiecīgo norīkojumu darbā, bieži kalpo vairākiem mērķiem. Ciktāl tās mērķis ir atlīdzināt izdevumus, kas radušies saistībā ar norīkojumu darbā, piemēram, izdevumus par ceļu, ēdināšanu un naktsmītni, </w:t>
            </w:r>
            <w:r w:rsidRPr="00030B2A">
              <w:rPr>
                <w:u w:val="single"/>
              </w:rPr>
              <w:t>tā nebūtu jāuzskata par atalgojuma daļu</w:t>
            </w:r>
            <w:r w:rsidRPr="00030B2A">
              <w:t xml:space="preserve">. </w:t>
            </w:r>
            <w:r w:rsidRPr="00030B2A">
              <w:rPr>
                <w:u w:val="single"/>
              </w:rPr>
              <w:t>Dalībvalstu ziņā</w:t>
            </w:r>
            <w:r w:rsidRPr="00030B2A">
              <w:t xml:space="preserve"> ir – atbilstīgi saviem valsts tiesību aktiem un/vai praksei </w:t>
            </w:r>
            <w:r w:rsidRPr="00030B2A">
              <w:rPr>
                <w:u w:val="single"/>
              </w:rPr>
              <w:t>– paredzēt noteikumus par šādu izdevumu atlīdzināšanu</w:t>
            </w:r>
            <w:r w:rsidRPr="00030B2A">
              <w:t>. Darba devējam būtu darbā norīkotajiem darba ņēmējiem šādi izdevumi jāatlīdzina saskaņā ar valsts tiesību aktiem un/vai praksi, ko piemēro darba attiecībām.</w:t>
            </w:r>
          </w:p>
          <w:p w:rsidR="00666A5A" w:rsidRPr="00030B2A" w:rsidRDefault="00666A5A" w:rsidP="00666A5A">
            <w:pPr>
              <w:ind w:firstLine="720"/>
              <w:jc w:val="both"/>
            </w:pPr>
            <w:r w:rsidRPr="00030B2A">
              <w:t>Informējam, ka Ministru kabineta 2010.gada 12.oktobra noteikumi Nr.969 "Kārtība, kādā atlīdzināmi ar komandējumiem saistītie izdevumi" atlīdzina dažāda veida izdevumus, kas darbiniekam (citai personai) radušas komandējuma vai darba brauciena laikā. Komandējuma nauda ir vajadzīga, lai kompensētu personai izdevumus, kas tai rodas atrodoties komandējumā vai darba braucienā, un tie nav finanšu līdzekli, kas nepieciešami, lai uzturētos Latvijā. Komandējuma nauda ir saistīta ar darba pienākumu veikšanu komandējuma (darba brauciena) laikā, un tai ir tikai kompensācijas raksturs.</w:t>
            </w:r>
          </w:p>
          <w:p w:rsidR="00666A5A" w:rsidRPr="00030B2A" w:rsidRDefault="00666A5A" w:rsidP="00666A5A">
            <w:pPr>
              <w:ind w:firstLine="720"/>
              <w:jc w:val="both"/>
            </w:pPr>
            <w:r>
              <w:lastRenderedPageBreak/>
              <w:t>Ņemot vērā minēto</w:t>
            </w:r>
            <w:r w:rsidRPr="00030B2A">
              <w:t xml:space="preserve"> un to, ka</w:t>
            </w:r>
            <w:r>
              <w:t>,</w:t>
            </w:r>
            <w:r w:rsidRPr="00030B2A">
              <w:t xml:space="preserve"> paredzot starptautiskos pārvadājumus nodrošinošajiem trešo valstu pilsoņiem kompensāciju par darba braucienu uzskatīt par atalgojuma daļu, mūsuprāt, </w:t>
            </w:r>
            <w:r>
              <w:t xml:space="preserve">tiks </w:t>
            </w:r>
            <w:r w:rsidRPr="00030B2A">
              <w:t>radī</w:t>
            </w:r>
            <w:r>
              <w:t>ti</w:t>
            </w:r>
            <w:r w:rsidRPr="00030B2A">
              <w:t xml:space="preserve"> arī nevienlīdzīg</w:t>
            </w:r>
            <w:r>
              <w:t>i</w:t>
            </w:r>
            <w:r w:rsidRPr="00030B2A">
              <w:t xml:space="preserve"> darba apstākļ</w:t>
            </w:r>
            <w:r>
              <w:t>i</w:t>
            </w:r>
            <w:r w:rsidRPr="00030B2A">
              <w:t xml:space="preserve"> Latvijas darba ņēmējiem. </w:t>
            </w:r>
          </w:p>
          <w:p w:rsidR="00666A5A" w:rsidRDefault="00666A5A" w:rsidP="00063F6C">
            <w:pPr>
              <w:ind w:firstLine="720"/>
              <w:jc w:val="both"/>
            </w:pPr>
            <w:r>
              <w:t>Līdz ar to</w:t>
            </w:r>
            <w:r w:rsidRPr="00030B2A">
              <w:t xml:space="preserve"> noteikumu grozījumos 5.4. un 11.4.</w:t>
            </w:r>
            <w:r w:rsidRPr="00030B2A">
              <w:rPr>
                <w:vertAlign w:val="superscript"/>
              </w:rPr>
              <w:t>1</w:t>
            </w:r>
            <w:r w:rsidRPr="00030B2A">
              <w:t xml:space="preserve"> apakšpunktā lūdzam svītrot vārdus “un kompensācija par darba braucienu izdevumiem, kas darba specifikas dēļ rodas darba braucienu laikā”, attiecīgi precizējot arī anotāciju. </w:t>
            </w:r>
          </w:p>
          <w:p w:rsidR="00AC1F9E" w:rsidRDefault="00AC1F9E" w:rsidP="00AC1F9E">
            <w:pPr>
              <w:pStyle w:val="ListParagraph"/>
              <w:tabs>
                <w:tab w:val="left" w:pos="851"/>
              </w:tabs>
              <w:spacing w:before="60" w:after="60"/>
              <w:ind w:left="0"/>
              <w:jc w:val="center"/>
              <w:rPr>
                <w:u w:val="single"/>
              </w:rPr>
            </w:pPr>
            <w:r>
              <w:rPr>
                <w:u w:val="single"/>
              </w:rPr>
              <w:t>Latvijas Pārtikas uzņēmumu federācija</w:t>
            </w:r>
          </w:p>
          <w:p w:rsidR="00AC1F9E" w:rsidRPr="00AC1F9E" w:rsidRDefault="00AC1F9E" w:rsidP="00666A5A">
            <w:pPr>
              <w:pStyle w:val="ListParagraph"/>
              <w:tabs>
                <w:tab w:val="left" w:pos="851"/>
              </w:tabs>
              <w:spacing w:before="60" w:after="60"/>
              <w:ind w:left="0"/>
              <w:jc w:val="both"/>
            </w:pPr>
            <w:r>
              <w:t xml:space="preserve">Ņemot vērā, ka pārtikas nozarē nodarbināto vidējais atlīdzības apmērs atšķiras no citās nozarēs nodarbināto atlīdzības apmēra, kā arī to, ka pārtikas nozares </w:t>
            </w:r>
            <w:proofErr w:type="spellStart"/>
            <w:r>
              <w:t>apakšnozarēs</w:t>
            </w:r>
            <w:proofErr w:type="spellEnd"/>
            <w:r>
              <w:t xml:space="preserve"> nodarbināto atlīdzības apmērs arī ir atšķirīgs, ir lietderīgi MK noteikumu projektā iestrādāt pārtikas nozares kopējo vidējo atlīdzības apmēru.</w:t>
            </w:r>
          </w:p>
          <w:p w:rsidR="00666A5A" w:rsidRPr="00537AD0" w:rsidRDefault="00666A5A" w:rsidP="00537AD0">
            <w:pPr>
              <w:spacing w:after="120"/>
              <w:jc w:val="both"/>
              <w:rPr>
                <w:u w:val="single"/>
              </w:rPr>
            </w:pPr>
          </w:p>
        </w:tc>
        <w:tc>
          <w:tcPr>
            <w:tcW w:w="1076" w:type="pct"/>
            <w:gridSpan w:val="2"/>
            <w:tcBorders>
              <w:top w:val="single" w:sz="6" w:space="0" w:color="000000"/>
              <w:left w:val="single" w:sz="6" w:space="0" w:color="000000"/>
              <w:bottom w:val="single" w:sz="6" w:space="0" w:color="000000"/>
              <w:right w:val="single" w:sz="6" w:space="0" w:color="000000"/>
            </w:tcBorders>
          </w:tcPr>
          <w:p w:rsidR="00BF5BD3" w:rsidRDefault="000B7EDD" w:rsidP="00BF5BD3">
            <w:pPr>
              <w:pStyle w:val="naisc"/>
              <w:spacing w:before="0" w:after="0"/>
              <w:jc w:val="both"/>
            </w:pPr>
            <w:r>
              <w:lastRenderedPageBreak/>
              <w:t xml:space="preserve">Iebildums nav ņemts vērā, jo normatīvā akta projektā nav paredzēts izdevumus par dienesta braucieniem uzskatīt par atalgojuma daļu, bet gan par finanšu līdzekļiem, kuri papildina ārzemniekam izmaksāto darba samaksu. Ievērojot to, ka starptautiskos pārvadājumus nodrošinošie ārzemnieki Latvijas teritorijā uzturas ļoti neilgu laiku, ir nesamērīgi viņiem noteikt tādu pašu nepieciešamo finanšu līdzekļu apmēru kā tiem trešo valstu pilsoņiem, kuri savus amata pienākumus veic Latvijas Republikā, proti, normatīvā akta projekts paredz to, ka uzturēšanās ārpus Latvijas tiek finansēta no komandējuma naudas. Šāds regulējums rada vienlīdzīgus apstākļus gan starptautiskos pārvadājumus nodrošinošajiem Latvijas pilsoņiem, gan ārzemniekiem, jo viņi par savu amata pienākumu veikšanu saņems </w:t>
            </w:r>
            <w:r>
              <w:lastRenderedPageBreak/>
              <w:t>līdzvērtīgu atalgojumu. Šobrīd trešo valstu pilsoņi saņem lielāku atalgojumu nekā Latvijas pilsoņi, jo spēkā esošais regulējums neparedz iespēju komandējuma naudu uzskatīt par daļu no nepieciešamajiem finanšu līdzekļiem.</w:t>
            </w:r>
            <w:r w:rsidR="00063F6C">
              <w:t xml:space="preserve"> </w:t>
            </w:r>
            <w:r w:rsidR="00590318">
              <w:t xml:space="preserve">Iebildums saskaņots pēc </w:t>
            </w:r>
            <w:r w:rsidR="00BF5BD3">
              <w:t>saskaņošanas sanāksm</w:t>
            </w:r>
            <w:r w:rsidR="00590318">
              <w:t>es</w:t>
            </w:r>
            <w:r w:rsidR="00BF5BD3">
              <w:t>.</w:t>
            </w:r>
          </w:p>
          <w:p w:rsidR="00BF5BD3" w:rsidRDefault="00BF5BD3"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AC1F9E" w:rsidRDefault="00AC1F9E" w:rsidP="00FD2065">
            <w:pPr>
              <w:pStyle w:val="naisc"/>
              <w:spacing w:before="0" w:after="0"/>
              <w:jc w:val="both"/>
            </w:pPr>
          </w:p>
          <w:p w:rsidR="000B7EDD" w:rsidRDefault="000B7EDD" w:rsidP="00FD2065">
            <w:pPr>
              <w:pStyle w:val="naisc"/>
              <w:spacing w:before="0" w:after="0"/>
              <w:jc w:val="both"/>
            </w:pPr>
          </w:p>
          <w:p w:rsidR="000B7EDD" w:rsidRDefault="000B7EDD" w:rsidP="00FD2065">
            <w:pPr>
              <w:pStyle w:val="naisc"/>
              <w:spacing w:before="0" w:after="0"/>
              <w:jc w:val="both"/>
            </w:pPr>
          </w:p>
        </w:tc>
        <w:tc>
          <w:tcPr>
            <w:tcW w:w="901" w:type="pct"/>
            <w:tcBorders>
              <w:top w:val="single" w:sz="4" w:space="0" w:color="auto"/>
              <w:left w:val="single" w:sz="4" w:space="0" w:color="auto"/>
              <w:bottom w:val="single" w:sz="4" w:space="0" w:color="auto"/>
            </w:tcBorders>
          </w:tcPr>
          <w:p w:rsidR="009641A4" w:rsidRPr="009641A4" w:rsidRDefault="009641A4" w:rsidP="009641A4">
            <w:pPr>
              <w:pStyle w:val="ListParagraph"/>
              <w:shd w:val="clear" w:color="auto" w:fill="FFFFFF"/>
              <w:spacing w:after="120"/>
              <w:ind w:left="0" w:firstLine="426"/>
              <w:contextualSpacing w:val="0"/>
              <w:jc w:val="both"/>
            </w:pPr>
            <w:r w:rsidRPr="009641A4">
              <w:lastRenderedPageBreak/>
              <w:t>2. Papildināt noteikumus ar 5.5.apakšpunktu šādā redakcijā:</w:t>
            </w:r>
          </w:p>
          <w:p w:rsidR="009641A4" w:rsidRPr="009641A4" w:rsidRDefault="009641A4" w:rsidP="009641A4">
            <w:pPr>
              <w:pStyle w:val="ListParagraph"/>
              <w:shd w:val="clear" w:color="auto" w:fill="FFFFFF"/>
              <w:spacing w:after="120"/>
              <w:ind w:left="0" w:firstLine="426"/>
              <w:contextualSpacing w:val="0"/>
              <w:jc w:val="both"/>
            </w:pPr>
            <w:r w:rsidRPr="009641A4">
              <w:t>“5.5. darba samaksa un kompensācija par darba braucienu izdevumiem, kas darba specifikas dēļ rodas darba braucienu laikā, atbilstoši strādājošiem noteiktajai mēneša vidējai bruto darba samaksai ārzemnieka paredzamajā nodarbinātības nozarē (otrajā līmenī) atbilstoši Eiropas Parlamenta un Padomes 2006. gada 20. decembra Regulai Nr. 1893/2006, ar ko izveido NACE 2. </w:t>
            </w:r>
            <w:proofErr w:type="spellStart"/>
            <w:r w:rsidRPr="009641A4">
              <w:t>red</w:t>
            </w:r>
            <w:proofErr w:type="spellEnd"/>
            <w:r w:rsidRPr="009641A4">
              <w:t xml:space="preserve">. saimniecisko darbību statistisko klasifikāciju, kā arī groza Padomes regulu (EEK) Nr. 3037/90 un dažas EK regulas par īpašām statistikas jomām, </w:t>
            </w:r>
            <w:r w:rsidRPr="009641A4">
              <w:lastRenderedPageBreak/>
              <w:t>iepriekšējā gadā (saskaņā ar Centrālās statistikas pārvaldes pēdējo publicēto informāciju), ja ārzemnieks saņem vīzu un tiesības uz nodarbinātību kā starptautiskos pārvadājumus veicoša transportlīdzekļa apkalpes loceklis.”.</w:t>
            </w:r>
          </w:p>
          <w:p w:rsidR="00537AD0" w:rsidRPr="009641A4" w:rsidRDefault="00537AD0" w:rsidP="009641A4">
            <w:pPr>
              <w:pStyle w:val="naisc"/>
              <w:spacing w:before="0" w:after="0"/>
              <w:jc w:val="both"/>
              <w:rPr>
                <w:lang w:eastAsia="en-US"/>
              </w:rPr>
            </w:pPr>
          </w:p>
        </w:tc>
      </w:tr>
      <w:tr w:rsidR="004D5E58" w:rsidRPr="0022157E" w:rsidTr="00657A93">
        <w:tc>
          <w:tcPr>
            <w:tcW w:w="196" w:type="pct"/>
            <w:tcBorders>
              <w:top w:val="single" w:sz="6" w:space="0" w:color="000000"/>
              <w:left w:val="single" w:sz="6" w:space="0" w:color="000000"/>
              <w:bottom w:val="single" w:sz="6" w:space="0" w:color="000000"/>
              <w:right w:val="single" w:sz="6" w:space="0" w:color="000000"/>
            </w:tcBorders>
          </w:tcPr>
          <w:p w:rsidR="004D5E58" w:rsidRPr="0022157E" w:rsidRDefault="00B20AC7" w:rsidP="009D1BB5">
            <w:pPr>
              <w:pStyle w:val="naisc"/>
              <w:spacing w:before="0" w:after="0"/>
              <w:jc w:val="left"/>
            </w:pPr>
            <w:r>
              <w:lastRenderedPageBreak/>
              <w:t>2.</w:t>
            </w:r>
          </w:p>
        </w:tc>
        <w:tc>
          <w:tcPr>
            <w:tcW w:w="925" w:type="pct"/>
            <w:gridSpan w:val="2"/>
            <w:tcBorders>
              <w:top w:val="single" w:sz="6" w:space="0" w:color="000000"/>
              <w:left w:val="single" w:sz="6" w:space="0" w:color="000000"/>
              <w:bottom w:val="single" w:sz="6" w:space="0" w:color="000000"/>
              <w:right w:val="single" w:sz="6" w:space="0" w:color="000000"/>
            </w:tcBorders>
          </w:tcPr>
          <w:p w:rsidR="004D5E58" w:rsidRPr="0022157E" w:rsidRDefault="004D5E58" w:rsidP="00081D15">
            <w:pPr>
              <w:spacing w:after="12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4D5E58" w:rsidRDefault="004D5E58" w:rsidP="007D2D46">
            <w:pPr>
              <w:ind w:firstLine="720"/>
              <w:jc w:val="both"/>
              <w:rPr>
                <w:u w:val="single"/>
              </w:rPr>
            </w:pPr>
            <w:r>
              <w:rPr>
                <w:u w:val="single"/>
              </w:rPr>
              <w:t>Latvijas Darba devēju konfederācija</w:t>
            </w:r>
          </w:p>
          <w:p w:rsidR="004D5E58" w:rsidRPr="004D5E58" w:rsidRDefault="004D5E58" w:rsidP="00537AD0">
            <w:pPr>
              <w:jc w:val="both"/>
            </w:pPr>
            <w:r>
              <w:t xml:space="preserve">Iebildums pret 5.4.apakšpunkta esošās redakcijas izslēgšanu, jo minētais apakšpunkts attiecas uz ārzemniekiem, kas saņem vīzu un tiesības uz nodarbinātību kā sezonas darbinieki. LDDK uzskata, ka lauksaimniecības, mežsaimniecības un zivkopības nozarē sezonas, īpaši ražas novākšanas periodā, ir ļoti būtisks darbaspēka trūkums. Turklāt regulējums, kas </w:t>
            </w:r>
            <w:r>
              <w:lastRenderedPageBreak/>
              <w:t xml:space="preserve">nosaka, ka ārzemniekam jānodrošina ne mazāk par strādājošo mēneša vidējo bruto darba samaksu paredzamajā nodarbinātības nozarē, ir diskriminējošs pret Latvijas iedzīvotājiem. </w:t>
            </w:r>
          </w:p>
        </w:tc>
        <w:tc>
          <w:tcPr>
            <w:tcW w:w="1076" w:type="pct"/>
            <w:gridSpan w:val="2"/>
            <w:tcBorders>
              <w:top w:val="single" w:sz="6" w:space="0" w:color="000000"/>
              <w:left w:val="single" w:sz="6" w:space="0" w:color="000000"/>
              <w:bottom w:val="single" w:sz="6" w:space="0" w:color="000000"/>
              <w:right w:val="single" w:sz="6" w:space="0" w:color="000000"/>
            </w:tcBorders>
          </w:tcPr>
          <w:p w:rsidR="004D5E58" w:rsidRDefault="00666A5A" w:rsidP="00063F6C">
            <w:pPr>
              <w:pStyle w:val="naisc"/>
              <w:spacing w:before="0" w:after="0"/>
              <w:jc w:val="both"/>
            </w:pPr>
            <w:r>
              <w:lastRenderedPageBreak/>
              <w:t>Iebildums ņemts vērā</w:t>
            </w:r>
            <w:r w:rsidR="00CC392E">
              <w:t>, noteikumu 5.4.apakšpunkts netiek izteikts citā redakcijā.</w:t>
            </w:r>
            <w:r w:rsidR="00B20AC7">
              <w:t xml:space="preserve"> </w:t>
            </w:r>
          </w:p>
        </w:tc>
        <w:tc>
          <w:tcPr>
            <w:tcW w:w="901" w:type="pct"/>
            <w:tcBorders>
              <w:top w:val="single" w:sz="4" w:space="0" w:color="auto"/>
              <w:left w:val="single" w:sz="4" w:space="0" w:color="auto"/>
              <w:bottom w:val="single" w:sz="4" w:space="0" w:color="auto"/>
            </w:tcBorders>
          </w:tcPr>
          <w:p w:rsidR="004D5E58" w:rsidRPr="000A25A2" w:rsidRDefault="004D5E58" w:rsidP="000A25A2">
            <w:pPr>
              <w:pStyle w:val="ListParagraph"/>
              <w:spacing w:after="120"/>
              <w:ind w:left="0" w:firstLine="567"/>
              <w:contextualSpacing w:val="0"/>
              <w:jc w:val="both"/>
            </w:pPr>
          </w:p>
        </w:tc>
      </w:tr>
      <w:tr w:rsidR="007D2D46" w:rsidRPr="0022157E" w:rsidTr="00657A93">
        <w:tc>
          <w:tcPr>
            <w:tcW w:w="196" w:type="pct"/>
            <w:tcBorders>
              <w:top w:val="single" w:sz="6" w:space="0" w:color="000000"/>
              <w:left w:val="single" w:sz="6" w:space="0" w:color="000000"/>
              <w:bottom w:val="single" w:sz="6" w:space="0" w:color="000000"/>
              <w:right w:val="single" w:sz="6" w:space="0" w:color="000000"/>
            </w:tcBorders>
          </w:tcPr>
          <w:p w:rsidR="007D2D46" w:rsidRPr="0022157E" w:rsidRDefault="00B20AC7" w:rsidP="009D1BB5">
            <w:pPr>
              <w:pStyle w:val="naisc"/>
              <w:spacing w:before="0" w:after="0"/>
              <w:jc w:val="left"/>
            </w:pPr>
            <w:r>
              <w:t>3.</w:t>
            </w:r>
          </w:p>
        </w:tc>
        <w:tc>
          <w:tcPr>
            <w:tcW w:w="925" w:type="pct"/>
            <w:gridSpan w:val="2"/>
            <w:tcBorders>
              <w:top w:val="single" w:sz="6" w:space="0" w:color="000000"/>
              <w:left w:val="single" w:sz="6" w:space="0" w:color="000000"/>
              <w:bottom w:val="single" w:sz="6" w:space="0" w:color="000000"/>
              <w:right w:val="single" w:sz="6" w:space="0" w:color="000000"/>
            </w:tcBorders>
          </w:tcPr>
          <w:p w:rsidR="007D2D46" w:rsidRPr="0022157E" w:rsidRDefault="007D2D46" w:rsidP="00081D15">
            <w:pPr>
              <w:spacing w:after="12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7D2D46" w:rsidRPr="007D2D46" w:rsidRDefault="007D2D46" w:rsidP="007D2D46">
            <w:pPr>
              <w:ind w:firstLine="720"/>
              <w:jc w:val="both"/>
              <w:rPr>
                <w:u w:val="single"/>
              </w:rPr>
            </w:pPr>
            <w:r>
              <w:rPr>
                <w:u w:val="single"/>
              </w:rPr>
              <w:t>Ekonomikas ministrija</w:t>
            </w:r>
          </w:p>
          <w:p w:rsidR="006F1121" w:rsidRPr="00601F0A" w:rsidRDefault="006F1121" w:rsidP="006F1121">
            <w:pPr>
              <w:pStyle w:val="ListParagraph"/>
              <w:tabs>
                <w:tab w:val="left" w:pos="851"/>
              </w:tabs>
              <w:spacing w:before="60" w:after="60"/>
              <w:ind w:left="0"/>
              <w:jc w:val="both"/>
            </w:pPr>
            <w:r w:rsidRPr="00601F0A">
              <w:t>Anotācijā kā pamatojums MK noteikumu projekta izstrādei (anotācijas sadaļas “I. Tiesību akta projekta izstrādes nepieciešamība” 1.punkts), ir norādīts Uzņēmējdarbības vides pilnveidošanas pasākumu plāna 2019.-2022.gadam (turpmāk – UVUPP) 4.10.3.punkts. Vēršam uzmanību, ka minētais UVUPP punkts neparedz ārzemniekam noteikto nepieciešamo finanšu līdzekļu apmēru - darba samaksu trešo valstu pilsoņu piesaistei - ne mazāku par strādājošiem noteikto mēneša vidējo bruto darba samaksu ārzemnieka paredzamajā nodarbinātības nozarē. Vēl vairāk, UVUPP  nav punktu, kas paredzētu atvieglot mazkvalificētā darbaspēka piesaistes nosacījumus, kā kritēriju nosakot vidējo algu ārzemnieka paredzamajā nodarbinātības nozarē (nevis tautsaimniecībā). Ņemot to vērā, lūdzam precizēt anotāciju, svītrojot UVUPP kā pamatojumu MK noteikumu projekta izstrādei.</w:t>
            </w:r>
          </w:p>
          <w:p w:rsidR="007D2D46" w:rsidRDefault="007D2D46" w:rsidP="00E334B2">
            <w:pPr>
              <w:ind w:firstLine="686"/>
              <w:jc w:val="both"/>
              <w:rPr>
                <w:u w:val="single"/>
              </w:rPr>
            </w:pPr>
          </w:p>
        </w:tc>
        <w:tc>
          <w:tcPr>
            <w:tcW w:w="1076" w:type="pct"/>
            <w:gridSpan w:val="2"/>
            <w:tcBorders>
              <w:top w:val="single" w:sz="6" w:space="0" w:color="000000"/>
              <w:left w:val="single" w:sz="6" w:space="0" w:color="000000"/>
              <w:bottom w:val="single" w:sz="6" w:space="0" w:color="000000"/>
              <w:right w:val="single" w:sz="6" w:space="0" w:color="000000"/>
            </w:tcBorders>
          </w:tcPr>
          <w:p w:rsidR="00666A5A" w:rsidRPr="00666A5A" w:rsidRDefault="00666A5A" w:rsidP="00666A5A">
            <w:pPr>
              <w:spacing w:before="120"/>
              <w:jc w:val="both"/>
              <w:rPr>
                <w:bCs/>
              </w:rPr>
            </w:pPr>
            <w:r>
              <w:t xml:space="preserve">Iebildums ņemts vērā, </w:t>
            </w:r>
            <w:r w:rsidR="00F7733A">
              <w:t xml:space="preserve">precizējot anotāciju un norādot, ka </w:t>
            </w:r>
            <w:r>
              <w:t>atsauce uz Uzņēmējdarbības vides pilnveidošanas pasākumu plānu 2019.-2022.gadam attiecas uz plānā paredzēto pasākumu – “i</w:t>
            </w:r>
            <w:r w:rsidRPr="00666A5A">
              <w:t xml:space="preserve">zvērtēt </w:t>
            </w:r>
            <w:r w:rsidRPr="00666A5A">
              <w:rPr>
                <w:bCs/>
              </w:rPr>
              <w:t>finanšu līdzekļu apmēru attiecībā uz kompensācijām ārvalstniekiem – starptautisko pārvadājumu automobiļu vadītājiem</w:t>
            </w:r>
            <w:r>
              <w:rPr>
                <w:bCs/>
              </w:rPr>
              <w:t>”, nevis uz vidējās algas nozarē noteikšanu kā nepieciešamo finanšu līdzekļu apmēru ārzemniekiem. Ievērojot iepriekš minēto, atsauc</w:t>
            </w:r>
            <w:r w:rsidR="00063F6C">
              <w:rPr>
                <w:bCs/>
              </w:rPr>
              <w:t>e no anotācijas nav svītrojama.</w:t>
            </w:r>
          </w:p>
          <w:p w:rsidR="007D2D46" w:rsidRPr="0022157E" w:rsidRDefault="007D2D46" w:rsidP="00FD2065">
            <w:pPr>
              <w:pStyle w:val="naisc"/>
              <w:spacing w:before="0" w:after="0"/>
              <w:jc w:val="both"/>
            </w:pPr>
          </w:p>
        </w:tc>
        <w:tc>
          <w:tcPr>
            <w:tcW w:w="901" w:type="pct"/>
            <w:tcBorders>
              <w:top w:val="single" w:sz="4" w:space="0" w:color="auto"/>
              <w:left w:val="single" w:sz="4" w:space="0" w:color="auto"/>
              <w:bottom w:val="single" w:sz="4" w:space="0" w:color="auto"/>
            </w:tcBorders>
          </w:tcPr>
          <w:p w:rsidR="007D2D46" w:rsidRPr="000A25A2" w:rsidRDefault="007D2D46" w:rsidP="000A25A2">
            <w:pPr>
              <w:pStyle w:val="ListParagraph"/>
              <w:spacing w:after="120"/>
              <w:ind w:left="0" w:firstLine="567"/>
              <w:contextualSpacing w:val="0"/>
              <w:jc w:val="both"/>
              <w:rPr>
                <w:lang w:eastAsia="en-US"/>
              </w:rPr>
            </w:pPr>
          </w:p>
        </w:tc>
      </w:tr>
      <w:tr w:rsidR="00896292" w:rsidRPr="0022157E" w:rsidTr="00657A93">
        <w:tc>
          <w:tcPr>
            <w:tcW w:w="196" w:type="pct"/>
            <w:tcBorders>
              <w:top w:val="single" w:sz="6" w:space="0" w:color="000000"/>
              <w:left w:val="single" w:sz="6" w:space="0" w:color="000000"/>
              <w:bottom w:val="single" w:sz="6" w:space="0" w:color="000000"/>
              <w:right w:val="single" w:sz="6" w:space="0" w:color="000000"/>
            </w:tcBorders>
          </w:tcPr>
          <w:p w:rsidR="00896292" w:rsidRPr="0022157E" w:rsidRDefault="00B20AC7" w:rsidP="009D1BB5">
            <w:pPr>
              <w:pStyle w:val="naisc"/>
              <w:spacing w:before="0" w:after="0"/>
              <w:jc w:val="left"/>
            </w:pPr>
            <w:r>
              <w:t>4</w:t>
            </w:r>
            <w:r w:rsidR="00896292" w:rsidRPr="0022157E">
              <w:t>.</w:t>
            </w:r>
          </w:p>
        </w:tc>
        <w:tc>
          <w:tcPr>
            <w:tcW w:w="925" w:type="pct"/>
            <w:gridSpan w:val="2"/>
            <w:tcBorders>
              <w:top w:val="single" w:sz="6" w:space="0" w:color="000000"/>
              <w:left w:val="single" w:sz="6" w:space="0" w:color="000000"/>
              <w:bottom w:val="single" w:sz="6" w:space="0" w:color="000000"/>
              <w:right w:val="single" w:sz="6" w:space="0" w:color="000000"/>
            </w:tcBorders>
          </w:tcPr>
          <w:p w:rsidR="00896292" w:rsidRPr="0022157E" w:rsidRDefault="00896292" w:rsidP="00081D15">
            <w:pPr>
              <w:spacing w:after="12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896292" w:rsidRPr="001577D7" w:rsidRDefault="001577D7" w:rsidP="001577D7">
            <w:pPr>
              <w:ind w:firstLine="686"/>
              <w:jc w:val="both"/>
              <w:rPr>
                <w:u w:val="single"/>
              </w:rPr>
            </w:pPr>
            <w:r>
              <w:rPr>
                <w:u w:val="single"/>
              </w:rPr>
              <w:t>Tieslietu</w:t>
            </w:r>
            <w:r w:rsidR="00896292" w:rsidRPr="001577D7">
              <w:rPr>
                <w:u w:val="single"/>
              </w:rPr>
              <w:t xml:space="preserve"> ministrija</w:t>
            </w:r>
          </w:p>
          <w:p w:rsidR="001577D7" w:rsidRPr="001577D7" w:rsidRDefault="001577D7" w:rsidP="001577D7">
            <w:pPr>
              <w:jc w:val="both"/>
            </w:pPr>
            <w:r w:rsidRPr="001577D7">
              <w:t xml:space="preserve">Projekta 1. punktā ietvertais Ministru kabineta 2017. gada 25. aprīļa noteikumu Nr. 225 "Noteikumi par ārzemniekiem nepieciešamo finanšu līdzekļu apmēru un finanšu līdzekļu esības konstatēšanu" </w:t>
            </w:r>
            <w:r w:rsidRPr="001577D7">
              <w:lastRenderedPageBreak/>
              <w:t>(turpmāk – finanšu līdzekļu noteikumi) 5.3. apakšpunkts paredz apvienot finanšu līdzekļu noteikumu 5.3. un 5.4. apakšpunktus un projekta 2. punkts paredz izteikt jaunā redakcijā finanšu līdzekļu noteikumu 11.4. apakšpunktu. Projekta sākotnējās ietekmes novērtējuma ziņojuma (turpmāk – anotācija) I sadaļas 2. punktā ietverta informācija, ka darba devēji uzskata, ka, nosakot par pienākumu jebkuram nodarbinātajam darba samaksu nodrošināt atbilstoši vidējai darba algai valstī, tiek radīta nevienlīdzīga situācija attiecībā uz dažādām tautsaimniecības nozarēm, jo atsevišķās tautsaimniecības nozarēs vidējā darba samaksa nesasniedz vidējās darba samaksas valstī līmeni. Vienlaikus anotācijas I sadaļas 2. punktā nav izvērtēts, kāds ir bijis iemesls noteikt nepieciešamo finanšu līdzekļu apmēru ne mazāku par Latvijā strādājošo mēneša vidējo bruto darba samaksu iepriekšējā gadā un kāpēc ir lietderīgi to mainīt atbilstoši tam, kā to vēlas darba devēji. Proti, būtiski ņemt vērā trešo valstu pilsoņu imigrācijas risku, līdz ar to prasības nodarbinātībai būtu nosakāmas pietiekami augstas, lai tādējādi pārliecinātos par to, ka trešās valsts pilsonis būs spējīgs sevi uzturēt atrodoties Latvijas teritorijā. Jebkurš privātpersonas ierosinājums ir jāizvērtē, šādu izvērtējumu norādot anotācijā. Ņemot vērā minēto, lūdzam papildināt anotāciju ar pamatojumu projekta 1. un 2. punktā ietvertajam finanšu līdzekļu noteikumu 5.3. un 11.4. apakšpunktam.</w:t>
            </w:r>
          </w:p>
          <w:p w:rsidR="00896292" w:rsidRPr="001577D7" w:rsidRDefault="00896292" w:rsidP="001577D7">
            <w:pPr>
              <w:widowControl w:val="0"/>
              <w:tabs>
                <w:tab w:val="left" w:pos="709"/>
                <w:tab w:val="left" w:pos="1134"/>
              </w:tabs>
              <w:autoSpaceDE w:val="0"/>
              <w:autoSpaceDN w:val="0"/>
              <w:adjustRightInd w:val="0"/>
              <w:jc w:val="both"/>
              <w:rPr>
                <w:u w:val="single"/>
              </w:rPr>
            </w:pPr>
          </w:p>
        </w:tc>
        <w:tc>
          <w:tcPr>
            <w:tcW w:w="1076" w:type="pct"/>
            <w:gridSpan w:val="2"/>
            <w:tcBorders>
              <w:top w:val="single" w:sz="6" w:space="0" w:color="000000"/>
              <w:left w:val="single" w:sz="6" w:space="0" w:color="000000"/>
              <w:bottom w:val="single" w:sz="6" w:space="0" w:color="000000"/>
              <w:right w:val="single" w:sz="6" w:space="0" w:color="000000"/>
            </w:tcBorders>
          </w:tcPr>
          <w:p w:rsidR="00BF5BD3" w:rsidRDefault="00063F6C" w:rsidP="00BF5BD3">
            <w:pPr>
              <w:pStyle w:val="naisc"/>
              <w:spacing w:before="0" w:after="0"/>
              <w:jc w:val="both"/>
            </w:pPr>
            <w:r>
              <w:lastRenderedPageBreak/>
              <w:t>Iebildums ņemts vērā</w:t>
            </w:r>
            <w:r w:rsidR="009641A4">
              <w:t>, precizēta anotācija</w:t>
            </w:r>
          </w:p>
          <w:p w:rsidR="00896292" w:rsidRPr="0022157E" w:rsidRDefault="00896292" w:rsidP="00FD2065">
            <w:pPr>
              <w:pStyle w:val="naisc"/>
              <w:spacing w:before="0" w:after="0"/>
              <w:jc w:val="both"/>
            </w:pPr>
            <w:r w:rsidRPr="0022157E">
              <w:t xml:space="preserve"> </w:t>
            </w:r>
          </w:p>
        </w:tc>
        <w:tc>
          <w:tcPr>
            <w:tcW w:w="901" w:type="pct"/>
            <w:tcBorders>
              <w:top w:val="single" w:sz="4" w:space="0" w:color="auto"/>
              <w:left w:val="single" w:sz="4" w:space="0" w:color="auto"/>
              <w:bottom w:val="single" w:sz="4" w:space="0" w:color="auto"/>
            </w:tcBorders>
          </w:tcPr>
          <w:p w:rsidR="00896292" w:rsidRPr="0022157E" w:rsidRDefault="00896292" w:rsidP="007A7DF4">
            <w:pPr>
              <w:pStyle w:val="tv213"/>
              <w:spacing w:before="0" w:beforeAutospacing="0" w:after="120" w:afterAutospacing="0"/>
              <w:ind w:firstLine="443"/>
              <w:jc w:val="both"/>
              <w:rPr>
                <w:lang w:eastAsia="en-US"/>
              </w:rPr>
            </w:pPr>
          </w:p>
        </w:tc>
      </w:tr>
      <w:tr w:rsidR="00896292" w:rsidRPr="0022157E" w:rsidTr="00657A93">
        <w:tc>
          <w:tcPr>
            <w:tcW w:w="196" w:type="pct"/>
            <w:tcBorders>
              <w:top w:val="single" w:sz="6" w:space="0" w:color="000000"/>
              <w:left w:val="single" w:sz="6" w:space="0" w:color="000000"/>
              <w:bottom w:val="single" w:sz="6" w:space="0" w:color="000000"/>
              <w:right w:val="single" w:sz="6" w:space="0" w:color="000000"/>
            </w:tcBorders>
          </w:tcPr>
          <w:p w:rsidR="00896292" w:rsidRPr="0022157E" w:rsidRDefault="00B20AC7" w:rsidP="009D1BB5">
            <w:pPr>
              <w:pStyle w:val="naisc"/>
              <w:spacing w:before="0" w:after="0"/>
              <w:jc w:val="left"/>
            </w:pPr>
            <w:r>
              <w:lastRenderedPageBreak/>
              <w:t>5.</w:t>
            </w:r>
          </w:p>
        </w:tc>
        <w:tc>
          <w:tcPr>
            <w:tcW w:w="925" w:type="pct"/>
            <w:gridSpan w:val="2"/>
            <w:tcBorders>
              <w:top w:val="single" w:sz="6" w:space="0" w:color="000000"/>
              <w:left w:val="single" w:sz="6" w:space="0" w:color="000000"/>
              <w:bottom w:val="single" w:sz="6" w:space="0" w:color="000000"/>
              <w:right w:val="single" w:sz="6" w:space="0" w:color="000000"/>
            </w:tcBorders>
          </w:tcPr>
          <w:p w:rsidR="00896292" w:rsidRPr="0022157E" w:rsidRDefault="00896292" w:rsidP="00E44CC8">
            <w:pPr>
              <w:spacing w:after="120"/>
              <w:jc w:val="both"/>
              <w:rPr>
                <w:lang w:eastAsia="en-US"/>
              </w:rPr>
            </w:pPr>
          </w:p>
        </w:tc>
        <w:tc>
          <w:tcPr>
            <w:tcW w:w="1902" w:type="pct"/>
            <w:tcBorders>
              <w:top w:val="single" w:sz="6" w:space="0" w:color="000000"/>
              <w:left w:val="single" w:sz="6" w:space="0" w:color="000000"/>
              <w:bottom w:val="single" w:sz="6" w:space="0" w:color="000000"/>
              <w:right w:val="single" w:sz="6" w:space="0" w:color="000000"/>
            </w:tcBorders>
          </w:tcPr>
          <w:p w:rsidR="00896292" w:rsidRPr="001577D7" w:rsidRDefault="001577D7" w:rsidP="00E334B2">
            <w:pPr>
              <w:ind w:firstLine="686"/>
              <w:jc w:val="both"/>
              <w:rPr>
                <w:u w:val="single"/>
              </w:rPr>
            </w:pPr>
            <w:r w:rsidRPr="001577D7">
              <w:rPr>
                <w:u w:val="single"/>
              </w:rPr>
              <w:t>Tieslietu ministrija</w:t>
            </w:r>
          </w:p>
          <w:p w:rsidR="001577D7" w:rsidRPr="001577D7" w:rsidRDefault="001577D7" w:rsidP="001577D7">
            <w:pPr>
              <w:jc w:val="both"/>
              <w:rPr>
                <w:u w:val="single"/>
              </w:rPr>
            </w:pPr>
            <w:r w:rsidRPr="001577D7">
              <w:t>Anotācijas I sadaļas 1. punktā ir norādīts, ka projekta izstrādes pamatojums ir Ministru kabinetā iesniegtā "Uzņēmējdarbības vides pilnveidošanas pasākumu plāna 2019.-2022. gadam" projekta 4.10.3. punkts. Vēršam uzmanību, ka minētais plāns ir izskatīts Ministru kabineta 2019. gada 21.maija sēdē (prot. Nr. 25 33. §) un apstiprināts ar Ministru kabineta 2019. gada 22. maija rīkojumu Nr. 247 "Par Uzņēmējdarbības vides pilnveidošanas pasākumu plānu 2019.-2022. gadam". Līdz ar to lūdzam precizēt projekta izstrādes pamatojumu.</w:t>
            </w:r>
          </w:p>
        </w:tc>
        <w:tc>
          <w:tcPr>
            <w:tcW w:w="1076" w:type="pct"/>
            <w:gridSpan w:val="2"/>
            <w:tcBorders>
              <w:top w:val="single" w:sz="6" w:space="0" w:color="000000"/>
              <w:left w:val="single" w:sz="6" w:space="0" w:color="000000"/>
              <w:bottom w:val="single" w:sz="6" w:space="0" w:color="000000"/>
              <w:right w:val="single" w:sz="6" w:space="0" w:color="000000"/>
            </w:tcBorders>
          </w:tcPr>
          <w:p w:rsidR="009641A4" w:rsidRDefault="009641A4" w:rsidP="009641A4">
            <w:pPr>
              <w:pStyle w:val="naisc"/>
              <w:spacing w:before="0" w:after="0"/>
              <w:jc w:val="both"/>
            </w:pPr>
            <w:r>
              <w:t>Iebildums ņemts vērā, precizēta anotācija</w:t>
            </w:r>
          </w:p>
          <w:p w:rsidR="00896292" w:rsidRPr="0022157E" w:rsidRDefault="00896292" w:rsidP="005F2107">
            <w:pPr>
              <w:pStyle w:val="naisc"/>
              <w:spacing w:before="0" w:after="0"/>
              <w:ind w:firstLine="720"/>
              <w:jc w:val="both"/>
            </w:pPr>
          </w:p>
        </w:tc>
        <w:tc>
          <w:tcPr>
            <w:tcW w:w="901" w:type="pct"/>
            <w:tcBorders>
              <w:top w:val="single" w:sz="4" w:space="0" w:color="auto"/>
              <w:left w:val="single" w:sz="4" w:space="0" w:color="auto"/>
              <w:bottom w:val="single" w:sz="4" w:space="0" w:color="auto"/>
            </w:tcBorders>
          </w:tcPr>
          <w:p w:rsidR="00896292" w:rsidRPr="00F0740F" w:rsidRDefault="00896292" w:rsidP="00F0740F">
            <w:pPr>
              <w:pStyle w:val="ListParagraph"/>
              <w:spacing w:after="120"/>
              <w:ind w:left="0" w:firstLine="993"/>
              <w:contextualSpacing w:val="0"/>
              <w:jc w:val="both"/>
              <w:rPr>
                <w:lang w:eastAsia="en-US"/>
              </w:rPr>
            </w:pPr>
          </w:p>
        </w:tc>
      </w:tr>
      <w:tr w:rsidR="00896292" w:rsidRPr="0022157E" w:rsidTr="00657A93">
        <w:tc>
          <w:tcPr>
            <w:tcW w:w="196" w:type="pct"/>
            <w:tcBorders>
              <w:top w:val="single" w:sz="6" w:space="0" w:color="000000"/>
              <w:left w:val="single" w:sz="6" w:space="0" w:color="000000"/>
              <w:bottom w:val="single" w:sz="6" w:space="0" w:color="000000"/>
              <w:right w:val="single" w:sz="6" w:space="0" w:color="000000"/>
            </w:tcBorders>
          </w:tcPr>
          <w:p w:rsidR="00896292" w:rsidRPr="0022157E" w:rsidRDefault="00B20AC7" w:rsidP="009D1BB5">
            <w:pPr>
              <w:pStyle w:val="naisc"/>
              <w:spacing w:before="0" w:after="0"/>
              <w:jc w:val="left"/>
            </w:pPr>
            <w:r>
              <w:t>6.</w:t>
            </w:r>
          </w:p>
        </w:tc>
        <w:tc>
          <w:tcPr>
            <w:tcW w:w="925" w:type="pct"/>
            <w:gridSpan w:val="2"/>
            <w:tcBorders>
              <w:top w:val="single" w:sz="6" w:space="0" w:color="000000"/>
              <w:left w:val="single" w:sz="6" w:space="0" w:color="000000"/>
              <w:bottom w:val="single" w:sz="6" w:space="0" w:color="000000"/>
              <w:right w:val="single" w:sz="6" w:space="0" w:color="000000"/>
            </w:tcBorders>
          </w:tcPr>
          <w:p w:rsidR="00896292" w:rsidRPr="0022157E" w:rsidRDefault="00896292" w:rsidP="009D1BB5">
            <w:pPr>
              <w:pStyle w:val="naisc"/>
              <w:spacing w:before="0" w:after="0"/>
              <w:ind w:firstLine="720"/>
            </w:pPr>
          </w:p>
        </w:tc>
        <w:tc>
          <w:tcPr>
            <w:tcW w:w="1902" w:type="pct"/>
            <w:tcBorders>
              <w:top w:val="single" w:sz="6" w:space="0" w:color="000000"/>
              <w:left w:val="single" w:sz="6" w:space="0" w:color="000000"/>
              <w:bottom w:val="single" w:sz="6" w:space="0" w:color="000000"/>
              <w:right w:val="single" w:sz="6" w:space="0" w:color="000000"/>
            </w:tcBorders>
          </w:tcPr>
          <w:p w:rsidR="00896292" w:rsidRPr="001577D7" w:rsidRDefault="001577D7" w:rsidP="001577D7">
            <w:pPr>
              <w:pStyle w:val="ListParagraph"/>
              <w:ind w:left="0" w:firstLine="720"/>
              <w:jc w:val="both"/>
              <w:rPr>
                <w:u w:val="single"/>
              </w:rPr>
            </w:pPr>
            <w:r w:rsidRPr="001577D7">
              <w:rPr>
                <w:u w:val="single"/>
              </w:rPr>
              <w:t>Tieslietu ministrija</w:t>
            </w:r>
          </w:p>
          <w:p w:rsidR="001577D7" w:rsidRPr="001577D7" w:rsidRDefault="001577D7" w:rsidP="001577D7">
            <w:pPr>
              <w:jc w:val="both"/>
              <w:rPr>
                <w:u w:val="single"/>
              </w:rPr>
            </w:pPr>
            <w:r w:rsidRPr="001577D7">
              <w:t xml:space="preserve">Ar Ministru kabineta 2019. gada 22. maija rīkojumu Nr. 247 "Par Uzņēmējdarbības vides pilnveidošanas pasākumu plānu 2019.-2022. gadam" apstiprinātā Uzņēmējdarbības vides pilnveidošanas pasākumu plāna 2019.-2022. gadam 4.10.3. punkts paredz, ka, izstrādājot grozījumus finanšu līdzekļu noteikumos, nepieciešams izvērtēt, vai netiek pārkāptas Eiropas Parlamenta un Padomes 1996. gada 16. decembra direktīvas 96/71/EK par darba ņēmēju norīkošanu darbā pakalpojumu sniegšanas jomā Eiropas Parlamenta un Padomes 2018. gada 28. jūnija direktīvas (ES) 2018/957, ar ko groza Direktīvu 96/71 par darba ņēmēju norīkošanu darbā pakalpojumu sniegšanas jomā, prasības, kā arī netiek samazināta darbinieku aizsardzība un sociālās garantijas. Ņemot vērā minēto, uzskatām, ka minētajam izvērtējumam jābūt iekļautam </w:t>
            </w:r>
            <w:r w:rsidRPr="001577D7">
              <w:lastRenderedPageBreak/>
              <w:t>anotācijā, līdz ar to lūdzam papildināt anotāciju ar nepieciešamo izvērtējumu.</w:t>
            </w:r>
          </w:p>
        </w:tc>
        <w:tc>
          <w:tcPr>
            <w:tcW w:w="1076" w:type="pct"/>
            <w:gridSpan w:val="2"/>
            <w:tcBorders>
              <w:top w:val="single" w:sz="6" w:space="0" w:color="000000"/>
              <w:left w:val="single" w:sz="6" w:space="0" w:color="000000"/>
              <w:bottom w:val="single" w:sz="6" w:space="0" w:color="000000"/>
              <w:right w:val="single" w:sz="6" w:space="0" w:color="000000"/>
            </w:tcBorders>
          </w:tcPr>
          <w:p w:rsidR="009641A4" w:rsidRDefault="009641A4" w:rsidP="009641A4">
            <w:pPr>
              <w:pStyle w:val="naisc"/>
              <w:spacing w:before="0" w:after="0"/>
              <w:jc w:val="both"/>
            </w:pPr>
            <w:r>
              <w:lastRenderedPageBreak/>
              <w:t>Iebildums ņemts vērā, precizēta anotācija</w:t>
            </w:r>
          </w:p>
          <w:p w:rsidR="00896292" w:rsidRPr="0022157E" w:rsidRDefault="00896292" w:rsidP="005F2107">
            <w:pPr>
              <w:pStyle w:val="naisc"/>
              <w:spacing w:before="0" w:after="0"/>
              <w:ind w:firstLine="720"/>
              <w:jc w:val="both"/>
            </w:pPr>
          </w:p>
        </w:tc>
        <w:tc>
          <w:tcPr>
            <w:tcW w:w="901" w:type="pct"/>
            <w:tcBorders>
              <w:top w:val="single" w:sz="4" w:space="0" w:color="auto"/>
              <w:left w:val="single" w:sz="4" w:space="0" w:color="auto"/>
              <w:bottom w:val="single" w:sz="4" w:space="0" w:color="auto"/>
            </w:tcBorders>
          </w:tcPr>
          <w:p w:rsidR="00896292" w:rsidRPr="00F0740F" w:rsidRDefault="00896292" w:rsidP="009D1BB5">
            <w:pPr>
              <w:jc w:val="center"/>
            </w:pPr>
          </w:p>
        </w:tc>
      </w:tr>
      <w:tr w:rsidR="00896292" w:rsidRPr="0022157E" w:rsidTr="00657A93">
        <w:tc>
          <w:tcPr>
            <w:tcW w:w="196" w:type="pct"/>
            <w:tcBorders>
              <w:top w:val="single" w:sz="6" w:space="0" w:color="000000"/>
              <w:left w:val="single" w:sz="6" w:space="0" w:color="000000"/>
              <w:bottom w:val="single" w:sz="6" w:space="0" w:color="000000"/>
              <w:right w:val="single" w:sz="6" w:space="0" w:color="000000"/>
            </w:tcBorders>
          </w:tcPr>
          <w:p w:rsidR="00896292" w:rsidRPr="0022157E" w:rsidRDefault="00B20AC7" w:rsidP="009D1BB5">
            <w:pPr>
              <w:pStyle w:val="naisc"/>
              <w:spacing w:before="0" w:after="0"/>
              <w:jc w:val="left"/>
            </w:pPr>
            <w:r>
              <w:t>7.</w:t>
            </w:r>
          </w:p>
        </w:tc>
        <w:tc>
          <w:tcPr>
            <w:tcW w:w="925" w:type="pct"/>
            <w:gridSpan w:val="2"/>
            <w:tcBorders>
              <w:top w:val="single" w:sz="6" w:space="0" w:color="000000"/>
              <w:left w:val="single" w:sz="6" w:space="0" w:color="000000"/>
              <w:bottom w:val="single" w:sz="6" w:space="0" w:color="000000"/>
              <w:right w:val="single" w:sz="6" w:space="0" w:color="000000"/>
            </w:tcBorders>
          </w:tcPr>
          <w:p w:rsidR="00896292" w:rsidRPr="0022157E" w:rsidRDefault="00896292" w:rsidP="00200649">
            <w:pPr>
              <w:spacing w:after="120"/>
              <w:ind w:firstLine="993"/>
              <w:jc w:val="both"/>
            </w:pPr>
          </w:p>
        </w:tc>
        <w:tc>
          <w:tcPr>
            <w:tcW w:w="1902" w:type="pct"/>
            <w:tcBorders>
              <w:top w:val="single" w:sz="6" w:space="0" w:color="000000"/>
              <w:left w:val="single" w:sz="6" w:space="0" w:color="000000"/>
              <w:bottom w:val="single" w:sz="6" w:space="0" w:color="000000"/>
              <w:right w:val="single" w:sz="6" w:space="0" w:color="000000"/>
            </w:tcBorders>
          </w:tcPr>
          <w:p w:rsidR="00896292" w:rsidRPr="001577D7" w:rsidRDefault="001577D7" w:rsidP="001577D7">
            <w:pPr>
              <w:ind w:firstLine="720"/>
              <w:jc w:val="both"/>
              <w:rPr>
                <w:u w:val="single"/>
              </w:rPr>
            </w:pPr>
            <w:r w:rsidRPr="001577D7">
              <w:rPr>
                <w:u w:val="single"/>
              </w:rPr>
              <w:t>Tieslietu ministrija</w:t>
            </w:r>
          </w:p>
          <w:p w:rsidR="001577D7" w:rsidRPr="001577D7" w:rsidRDefault="001577D7" w:rsidP="001577D7">
            <w:pPr>
              <w:jc w:val="both"/>
              <w:rPr>
                <w:u w:val="single"/>
              </w:rPr>
            </w:pPr>
            <w:r w:rsidRPr="001577D7">
              <w:t>Lūdzam papildināt anotācijas V sadaļas 1. tabulu saistībā ar projekta 3. punktā ietverto atsauci uz  Eiropas Parlamenta un Padomes 2006. gada 20. decembra Regulu (EK) Nr. 1893/2006, ar ko izveido NACE 2. </w:t>
            </w:r>
            <w:proofErr w:type="spellStart"/>
            <w:r w:rsidRPr="001577D7">
              <w:t>red</w:t>
            </w:r>
            <w:proofErr w:type="spellEnd"/>
            <w:r w:rsidRPr="001577D7">
              <w:t>. saimniecisko darbību statistisko klasifikāciju, kā arī groza Padomes Regulu (EEK) Nr. 3037/90 un dažas EK regulas par īpašām statistikas jomām, atbilstoši Ministru kabineta 2009. gada 15. decembra instrukcijas Nr. 19 "Tiesību akta projekta sākotnējās ietekmes izvērtēšanas kārtība" 55. un 56. punktam.</w:t>
            </w:r>
          </w:p>
        </w:tc>
        <w:tc>
          <w:tcPr>
            <w:tcW w:w="1076" w:type="pct"/>
            <w:gridSpan w:val="2"/>
            <w:tcBorders>
              <w:top w:val="single" w:sz="6" w:space="0" w:color="000000"/>
              <w:left w:val="single" w:sz="6" w:space="0" w:color="000000"/>
              <w:bottom w:val="single" w:sz="6" w:space="0" w:color="000000"/>
              <w:right w:val="single" w:sz="6" w:space="0" w:color="000000"/>
            </w:tcBorders>
          </w:tcPr>
          <w:p w:rsidR="009641A4" w:rsidRDefault="009641A4" w:rsidP="009641A4">
            <w:pPr>
              <w:pStyle w:val="naisc"/>
              <w:spacing w:before="0" w:after="0"/>
              <w:jc w:val="both"/>
            </w:pPr>
            <w:r>
              <w:t>Iebildums ņemts vērā, precizēta anotācija</w:t>
            </w:r>
          </w:p>
          <w:p w:rsidR="00896292" w:rsidRPr="0022157E" w:rsidRDefault="00896292" w:rsidP="00477340">
            <w:pPr>
              <w:pStyle w:val="naisc"/>
              <w:spacing w:before="0" w:after="0"/>
              <w:ind w:firstLine="720"/>
              <w:jc w:val="left"/>
            </w:pPr>
          </w:p>
        </w:tc>
        <w:tc>
          <w:tcPr>
            <w:tcW w:w="901" w:type="pct"/>
            <w:tcBorders>
              <w:top w:val="single" w:sz="4" w:space="0" w:color="auto"/>
              <w:left w:val="single" w:sz="4" w:space="0" w:color="auto"/>
              <w:bottom w:val="single" w:sz="4" w:space="0" w:color="auto"/>
            </w:tcBorders>
          </w:tcPr>
          <w:p w:rsidR="00896292" w:rsidRPr="0022157E" w:rsidRDefault="00896292" w:rsidP="00F82D79">
            <w:pPr>
              <w:pStyle w:val="ListParagraph"/>
              <w:ind w:left="0" w:firstLine="720"/>
              <w:jc w:val="both"/>
            </w:pPr>
          </w:p>
        </w:tc>
      </w:tr>
      <w:tr w:rsidR="00896292" w:rsidRPr="0022157E" w:rsidTr="001666B2">
        <w:tblPrEx>
          <w:tblBorders>
            <w:top w:val="none" w:sz="0" w:space="0" w:color="auto"/>
            <w:left w:val="none" w:sz="0" w:space="0" w:color="auto"/>
            <w:bottom w:val="none" w:sz="0" w:space="0" w:color="auto"/>
            <w:right w:val="none" w:sz="0" w:space="0" w:color="auto"/>
          </w:tblBorders>
        </w:tblPrEx>
        <w:trPr>
          <w:gridAfter w:val="2"/>
          <w:wAfter w:w="1925" w:type="pct"/>
        </w:trPr>
        <w:tc>
          <w:tcPr>
            <w:tcW w:w="904" w:type="pct"/>
            <w:gridSpan w:val="2"/>
          </w:tcPr>
          <w:p w:rsidR="00896292" w:rsidRPr="0022157E" w:rsidRDefault="00896292" w:rsidP="009D1BB5">
            <w:pPr>
              <w:pStyle w:val="naiskr"/>
              <w:spacing w:before="0" w:after="0"/>
            </w:pPr>
          </w:p>
          <w:p w:rsidR="00896292" w:rsidRPr="0022157E" w:rsidRDefault="00896292" w:rsidP="005E686C">
            <w:pPr>
              <w:pStyle w:val="naiskr"/>
              <w:spacing w:before="0" w:after="0"/>
              <w:ind w:hanging="116"/>
            </w:pPr>
            <w:r w:rsidRPr="0022157E">
              <w:t>Atbildīgā amatpersona</w:t>
            </w:r>
          </w:p>
        </w:tc>
        <w:tc>
          <w:tcPr>
            <w:tcW w:w="2171" w:type="pct"/>
            <w:gridSpan w:val="3"/>
          </w:tcPr>
          <w:p w:rsidR="00896292" w:rsidRPr="0022157E" w:rsidRDefault="00896292" w:rsidP="009D1BB5">
            <w:pPr>
              <w:pStyle w:val="naiskr"/>
              <w:spacing w:before="0" w:after="0"/>
              <w:ind w:firstLine="720"/>
            </w:pPr>
          </w:p>
          <w:p w:rsidR="00896292" w:rsidRPr="0022157E" w:rsidRDefault="00896292" w:rsidP="005E686C">
            <w:pPr>
              <w:pStyle w:val="naiskr"/>
              <w:tabs>
                <w:tab w:val="left" w:pos="2250"/>
              </w:tabs>
              <w:spacing w:before="0" w:after="0"/>
            </w:pPr>
            <w:r w:rsidRPr="0022157E">
              <w:t xml:space="preserve">                                                                          </w:t>
            </w:r>
            <w:r w:rsidR="00FD2065">
              <w:t>I</w:t>
            </w:r>
            <w:r w:rsidR="00347BDB">
              <w:t xml:space="preserve">. </w:t>
            </w:r>
            <w:r w:rsidR="00FD2065">
              <w:t>Briede</w:t>
            </w:r>
          </w:p>
          <w:p w:rsidR="00896292" w:rsidRPr="0022157E" w:rsidRDefault="00896292" w:rsidP="005E686C">
            <w:pPr>
              <w:pStyle w:val="naiskr"/>
              <w:tabs>
                <w:tab w:val="left" w:pos="2250"/>
              </w:tabs>
              <w:spacing w:before="0" w:after="0"/>
              <w:ind w:left="2970"/>
            </w:pPr>
          </w:p>
        </w:tc>
      </w:tr>
      <w:tr w:rsidR="00896292" w:rsidRPr="0022157E" w:rsidTr="001666B2">
        <w:tblPrEx>
          <w:tblBorders>
            <w:top w:val="none" w:sz="0" w:space="0" w:color="auto"/>
            <w:left w:val="none" w:sz="0" w:space="0" w:color="auto"/>
            <w:bottom w:val="none" w:sz="0" w:space="0" w:color="auto"/>
            <w:right w:val="none" w:sz="0" w:space="0" w:color="auto"/>
          </w:tblBorders>
        </w:tblPrEx>
        <w:trPr>
          <w:gridAfter w:val="2"/>
          <w:wAfter w:w="1925" w:type="pct"/>
        </w:trPr>
        <w:tc>
          <w:tcPr>
            <w:tcW w:w="904" w:type="pct"/>
            <w:gridSpan w:val="2"/>
          </w:tcPr>
          <w:p w:rsidR="00896292" w:rsidRPr="0022157E" w:rsidRDefault="00896292" w:rsidP="009D1BB5">
            <w:pPr>
              <w:pStyle w:val="naiskr"/>
              <w:spacing w:before="0" w:after="0"/>
            </w:pPr>
          </w:p>
        </w:tc>
        <w:tc>
          <w:tcPr>
            <w:tcW w:w="2171" w:type="pct"/>
            <w:gridSpan w:val="3"/>
          </w:tcPr>
          <w:p w:rsidR="00896292" w:rsidRPr="0022157E" w:rsidRDefault="00896292" w:rsidP="009D1BB5">
            <w:pPr>
              <w:pStyle w:val="naiskr"/>
              <w:spacing w:before="0" w:after="0"/>
              <w:ind w:firstLine="720"/>
            </w:pPr>
          </w:p>
        </w:tc>
      </w:tr>
    </w:tbl>
    <w:p w:rsidR="005E686C" w:rsidRPr="0022157E" w:rsidRDefault="005E686C" w:rsidP="008804B0">
      <w:pPr>
        <w:pStyle w:val="naisf"/>
        <w:spacing w:before="0" w:after="0"/>
        <w:ind w:firstLine="0"/>
      </w:pPr>
    </w:p>
    <w:p w:rsidR="005E686C" w:rsidRPr="0022157E" w:rsidRDefault="00EE699B" w:rsidP="005E686C">
      <w:pPr>
        <w:ind w:right="-328"/>
        <w:jc w:val="both"/>
      </w:pPr>
      <w:r>
        <w:t>1</w:t>
      </w:r>
      <w:r w:rsidR="00EB48B7">
        <w:t>7</w:t>
      </w:r>
      <w:bookmarkStart w:id="1" w:name="_GoBack"/>
      <w:bookmarkEnd w:id="1"/>
      <w:r w:rsidR="00CC392E">
        <w:t>.07.</w:t>
      </w:r>
      <w:r w:rsidR="00FD2065">
        <w:t>2019.</w:t>
      </w:r>
    </w:p>
    <w:p w:rsidR="005E686C" w:rsidRPr="0022157E" w:rsidRDefault="008804B0" w:rsidP="008804B0">
      <w:pPr>
        <w:pStyle w:val="naisf"/>
        <w:spacing w:before="0" w:after="0"/>
        <w:ind w:firstLine="0"/>
      </w:pPr>
      <w:r w:rsidRPr="0022157E">
        <w:t xml:space="preserve">Pilsonības un migrācijas lietu pārvaldes </w:t>
      </w:r>
    </w:p>
    <w:p w:rsidR="008804B0" w:rsidRPr="0022157E" w:rsidRDefault="001C5DD2" w:rsidP="008804B0">
      <w:pPr>
        <w:pStyle w:val="naisf"/>
        <w:spacing w:before="0" w:after="0"/>
        <w:ind w:firstLine="0"/>
      </w:pPr>
      <w:r w:rsidRPr="0022157E">
        <w:t>Migrācijas nodaļas vadītāja</w:t>
      </w:r>
      <w:r w:rsidR="00347BDB">
        <w:t xml:space="preserve"> </w:t>
      </w:r>
      <w:r w:rsidR="00FD2065">
        <w:t>Ilze Briede</w:t>
      </w:r>
    </w:p>
    <w:p w:rsidR="001E246D" w:rsidRPr="0022157E" w:rsidRDefault="008804B0" w:rsidP="008804B0">
      <w:pPr>
        <w:pStyle w:val="naisf"/>
        <w:spacing w:before="0" w:after="0"/>
        <w:ind w:firstLine="0"/>
      </w:pPr>
      <w:r w:rsidRPr="0022157E">
        <w:t>tālruņa nr. 67219</w:t>
      </w:r>
      <w:r w:rsidR="00FD2065">
        <w:t>546</w:t>
      </w:r>
      <w:r w:rsidRPr="0022157E">
        <w:t xml:space="preserve">, </w:t>
      </w:r>
      <w:smartTag w:uri="schemas-tilde-lv/tildestengine" w:element="veidnes">
        <w:smartTagPr>
          <w:attr w:name="text" w:val="faksa"/>
          <w:attr w:name="id" w:val="-1"/>
          <w:attr w:name="baseform" w:val="faks|s"/>
        </w:smartTagPr>
        <w:r w:rsidRPr="0022157E">
          <w:t>faksa</w:t>
        </w:r>
      </w:smartTag>
      <w:r w:rsidRPr="0022157E">
        <w:t xml:space="preserve"> nr. </w:t>
      </w:r>
      <w:smartTag w:uri="schemas-tilde-lv/tildestengine" w:element="phone">
        <w:smartTagPr>
          <w:attr w:name="phone_number" w:val="7829825"/>
          <w:attr w:name="phone_prefix" w:val="6"/>
        </w:smartTagPr>
        <w:r w:rsidRPr="0022157E">
          <w:t>67829825</w:t>
        </w:r>
      </w:smartTag>
    </w:p>
    <w:p w:rsidR="005E4A81" w:rsidRPr="0022157E" w:rsidRDefault="00EB48B7" w:rsidP="001E246D">
      <w:pPr>
        <w:pStyle w:val="naisf"/>
        <w:spacing w:before="0" w:after="0"/>
        <w:ind w:firstLine="0"/>
      </w:pPr>
      <w:hyperlink r:id="rId8" w:history="1">
        <w:r w:rsidR="00FD2065" w:rsidRPr="00753482">
          <w:rPr>
            <w:rStyle w:val="Hyperlink"/>
          </w:rPr>
          <w:t>ilze.briede@pmlp.gov.lv</w:t>
        </w:r>
      </w:hyperlink>
      <w:r w:rsidR="008804B0" w:rsidRPr="0022157E">
        <w:t xml:space="preserve">  </w:t>
      </w:r>
    </w:p>
    <w:sectPr w:rsidR="005E4A81" w:rsidRPr="0022157E" w:rsidSect="00196E26">
      <w:headerReference w:type="default" r:id="rId9"/>
      <w:footerReference w:type="defaul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10" w:rsidRDefault="00127310" w:rsidP="008804B0">
      <w:r>
        <w:separator/>
      </w:r>
    </w:p>
  </w:endnote>
  <w:endnote w:type="continuationSeparator" w:id="0">
    <w:p w:rsidR="00127310" w:rsidRDefault="00127310" w:rsidP="0088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121" w:rsidRPr="00FE0176" w:rsidRDefault="006F1121" w:rsidP="006F1121">
    <w:pPr>
      <w:pStyle w:val="Footer"/>
      <w:jc w:val="both"/>
      <w:rPr>
        <w:sz w:val="20"/>
        <w:szCs w:val="20"/>
      </w:rPr>
    </w:pPr>
    <w:r w:rsidRPr="00FE0176">
      <w:rPr>
        <w:sz w:val="20"/>
        <w:szCs w:val="20"/>
      </w:rPr>
      <w:t>IEMIzz_</w:t>
    </w:r>
    <w:r w:rsidR="00590318">
      <w:rPr>
        <w:sz w:val="20"/>
        <w:szCs w:val="20"/>
      </w:rPr>
      <w:t>1</w:t>
    </w:r>
    <w:r w:rsidR="00EB48B7">
      <w:rPr>
        <w:sz w:val="20"/>
        <w:szCs w:val="20"/>
      </w:rPr>
      <w:t>7</w:t>
    </w:r>
    <w:r w:rsidR="00063F6C">
      <w:rPr>
        <w:sz w:val="20"/>
        <w:szCs w:val="20"/>
      </w:rPr>
      <w:t>07</w:t>
    </w:r>
    <w:r>
      <w:rPr>
        <w:sz w:val="20"/>
        <w:szCs w:val="20"/>
      </w:rPr>
      <w:t>19</w:t>
    </w:r>
    <w:r w:rsidRPr="00FE0176">
      <w:rPr>
        <w:sz w:val="20"/>
        <w:szCs w:val="20"/>
      </w:rPr>
      <w:t>; Izziņa par izteiktajiem iebildumiem par Ministru kabineta noteikumu projektu „</w:t>
    </w:r>
    <w:r>
      <w:rPr>
        <w:sz w:val="20"/>
        <w:szCs w:val="20"/>
      </w:rPr>
      <w:t>Grozījumi Ministru kabineta 2017.gada 25.aprīļa noteikumos Nr.225 “Noteikumi par ārzemniekam nepieciešamo finanšu līdzekļu apmēru un finanšu līdzekļu esības konstatēšanu””</w:t>
    </w:r>
  </w:p>
  <w:p w:rsidR="00196E26" w:rsidRDefault="00196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F7" w:rsidRPr="00FE0176" w:rsidRDefault="00056BF7" w:rsidP="006F1121">
    <w:pPr>
      <w:pStyle w:val="Footer"/>
      <w:jc w:val="both"/>
      <w:rPr>
        <w:sz w:val="20"/>
        <w:szCs w:val="20"/>
      </w:rPr>
    </w:pPr>
    <w:r w:rsidRPr="00FE0176">
      <w:rPr>
        <w:sz w:val="20"/>
        <w:szCs w:val="20"/>
      </w:rPr>
      <w:t>IEMIzz_</w:t>
    </w:r>
    <w:r w:rsidR="00590318">
      <w:rPr>
        <w:sz w:val="20"/>
        <w:szCs w:val="20"/>
      </w:rPr>
      <w:t>1</w:t>
    </w:r>
    <w:r w:rsidR="00EB48B7">
      <w:rPr>
        <w:sz w:val="20"/>
        <w:szCs w:val="20"/>
      </w:rPr>
      <w:t>7</w:t>
    </w:r>
    <w:r w:rsidR="00063F6C">
      <w:rPr>
        <w:sz w:val="20"/>
        <w:szCs w:val="20"/>
      </w:rPr>
      <w:t>07</w:t>
    </w:r>
    <w:r w:rsidR="00B145D3">
      <w:rPr>
        <w:sz w:val="20"/>
        <w:szCs w:val="20"/>
      </w:rPr>
      <w:t>19</w:t>
    </w:r>
    <w:r w:rsidRPr="00FE0176">
      <w:rPr>
        <w:sz w:val="20"/>
        <w:szCs w:val="20"/>
      </w:rPr>
      <w:t>; Izziņa par izteiktajiem iebildumiem par Ministru kabineta noteikumu projektu „</w:t>
    </w:r>
    <w:r>
      <w:rPr>
        <w:sz w:val="20"/>
        <w:szCs w:val="20"/>
      </w:rPr>
      <w:t>Grozījumi Ministru kabineta 201</w:t>
    </w:r>
    <w:r w:rsidR="006F1121">
      <w:rPr>
        <w:sz w:val="20"/>
        <w:szCs w:val="20"/>
      </w:rPr>
      <w:t>7</w:t>
    </w:r>
    <w:r>
      <w:rPr>
        <w:sz w:val="20"/>
        <w:szCs w:val="20"/>
      </w:rPr>
      <w:t>.gada 2</w:t>
    </w:r>
    <w:r w:rsidR="006F1121">
      <w:rPr>
        <w:sz w:val="20"/>
        <w:szCs w:val="20"/>
      </w:rPr>
      <w:t>5</w:t>
    </w:r>
    <w:r>
      <w:rPr>
        <w:sz w:val="20"/>
        <w:szCs w:val="20"/>
      </w:rPr>
      <w:t>.</w:t>
    </w:r>
    <w:r w:rsidR="006F1121">
      <w:rPr>
        <w:sz w:val="20"/>
        <w:szCs w:val="20"/>
      </w:rPr>
      <w:t>aprīļa</w:t>
    </w:r>
    <w:r>
      <w:rPr>
        <w:sz w:val="20"/>
        <w:szCs w:val="20"/>
      </w:rPr>
      <w:t xml:space="preserve"> noteikumos Nr.</w:t>
    </w:r>
    <w:r w:rsidR="006F1121">
      <w:rPr>
        <w:sz w:val="20"/>
        <w:szCs w:val="20"/>
      </w:rPr>
      <w:t>225</w:t>
    </w:r>
    <w:r>
      <w:rPr>
        <w:sz w:val="20"/>
        <w:szCs w:val="20"/>
      </w:rPr>
      <w:t xml:space="preserve"> </w:t>
    </w:r>
    <w:r w:rsidR="006F1121">
      <w:rPr>
        <w:sz w:val="20"/>
        <w:szCs w:val="20"/>
      </w:rPr>
      <w:t>“Noteikumi par ārzemniekam nepieciešamo finanšu līdzekļu apmēru un finanšu līdzekļu esības konstatēšanu</w:t>
    </w:r>
    <w:r>
      <w:rPr>
        <w:sz w:val="20"/>
        <w:szCs w:val="20"/>
      </w:rPr>
      <w:t>””</w:t>
    </w:r>
  </w:p>
  <w:p w:rsidR="00056BF7" w:rsidRDefault="00056BF7" w:rsidP="00056BF7">
    <w:pPr>
      <w:pStyle w:val="Footer"/>
    </w:pPr>
  </w:p>
  <w:p w:rsidR="00196E26" w:rsidRDefault="00196E26" w:rsidP="00056BF7">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10" w:rsidRDefault="00127310" w:rsidP="008804B0">
      <w:r>
        <w:separator/>
      </w:r>
    </w:p>
  </w:footnote>
  <w:footnote w:type="continuationSeparator" w:id="0">
    <w:p w:rsidR="00127310" w:rsidRDefault="00127310" w:rsidP="00880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0206"/>
      <w:docPartObj>
        <w:docPartGallery w:val="Page Numbers (Top of Page)"/>
        <w:docPartUnique/>
      </w:docPartObj>
    </w:sdtPr>
    <w:sdtEndPr/>
    <w:sdtContent>
      <w:p w:rsidR="00196E26" w:rsidRDefault="00226326">
        <w:pPr>
          <w:pStyle w:val="Header"/>
          <w:jc w:val="center"/>
        </w:pPr>
        <w:r>
          <w:rPr>
            <w:noProof/>
          </w:rPr>
          <w:fldChar w:fldCharType="begin"/>
        </w:r>
        <w:r>
          <w:rPr>
            <w:noProof/>
          </w:rPr>
          <w:instrText xml:space="preserve"> PAGE   \* MERGEFORMAT </w:instrText>
        </w:r>
        <w:r>
          <w:rPr>
            <w:noProof/>
          </w:rPr>
          <w:fldChar w:fldCharType="separate"/>
        </w:r>
        <w:r w:rsidR="00EB48B7">
          <w:rPr>
            <w:noProof/>
          </w:rPr>
          <w:t>10</w:t>
        </w:r>
        <w:r>
          <w:rPr>
            <w:noProof/>
          </w:rPr>
          <w:fldChar w:fldCharType="end"/>
        </w:r>
      </w:p>
    </w:sdtContent>
  </w:sdt>
  <w:p w:rsidR="00196E26" w:rsidRDefault="00196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0F2"/>
    <w:multiLevelType w:val="hybridMultilevel"/>
    <w:tmpl w:val="15722DE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C166A"/>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969D6"/>
    <w:multiLevelType w:val="hybridMultilevel"/>
    <w:tmpl w:val="F81AA9F6"/>
    <w:lvl w:ilvl="0" w:tplc="EC24C0A4">
      <w:start w:val="1"/>
      <w:numFmt w:val="decimal"/>
      <w:lvlText w:val="%1."/>
      <w:lvlJc w:val="left"/>
      <w:pPr>
        <w:ind w:left="1065" w:hanging="360"/>
      </w:pPr>
      <w:rPr>
        <w:rFonts w:eastAsia="Calibri"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 w15:restartNumberingAfterBreak="0">
    <w:nsid w:val="0BD35BBD"/>
    <w:multiLevelType w:val="hybridMultilevel"/>
    <w:tmpl w:val="69869F4A"/>
    <w:lvl w:ilvl="0" w:tplc="74AA0044">
      <w:start w:val="6"/>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C403221"/>
    <w:multiLevelType w:val="hybridMultilevel"/>
    <w:tmpl w:val="B7FCEB8A"/>
    <w:lvl w:ilvl="0" w:tplc="2B5CE638">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5" w15:restartNumberingAfterBreak="0">
    <w:nsid w:val="148F6541"/>
    <w:multiLevelType w:val="multilevel"/>
    <w:tmpl w:val="7DE89420"/>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9C71B09"/>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825B0"/>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05D3E9B"/>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E079CC"/>
    <w:multiLevelType w:val="hybridMultilevel"/>
    <w:tmpl w:val="45B22AF8"/>
    <w:lvl w:ilvl="0" w:tplc="26F6271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25FF6153"/>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03DA5"/>
    <w:multiLevelType w:val="hybridMultilevel"/>
    <w:tmpl w:val="A9CC916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0F4193"/>
    <w:multiLevelType w:val="multilevel"/>
    <w:tmpl w:val="D7A449F4"/>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7A642C"/>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F1B6583"/>
    <w:multiLevelType w:val="multilevel"/>
    <w:tmpl w:val="203262D6"/>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1C627A4"/>
    <w:multiLevelType w:val="hybridMultilevel"/>
    <w:tmpl w:val="45B22AF8"/>
    <w:lvl w:ilvl="0" w:tplc="26F62712">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36E77416"/>
    <w:multiLevelType w:val="multilevel"/>
    <w:tmpl w:val="A4501B1C"/>
    <w:lvl w:ilvl="0">
      <w:start w:val="1"/>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82D6285"/>
    <w:multiLevelType w:val="hybridMultilevel"/>
    <w:tmpl w:val="BB18298E"/>
    <w:lvl w:ilvl="0" w:tplc="93CA3B4E">
      <w:start w:val="1"/>
      <w:numFmt w:val="decimal"/>
      <w:lvlText w:val="%1."/>
      <w:lvlJc w:val="left"/>
      <w:pPr>
        <w:ind w:left="1695" w:hanging="975"/>
      </w:pPr>
      <w:rPr>
        <w:rFonts w:hint="default"/>
        <w:b w:val="0"/>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AC96646"/>
    <w:multiLevelType w:val="hybridMultilevel"/>
    <w:tmpl w:val="90C0BE48"/>
    <w:lvl w:ilvl="0" w:tplc="B9C8D7D4">
      <w:start w:val="29"/>
      <w:numFmt w:val="decimal"/>
      <w:lvlText w:val="%1."/>
      <w:lvlJc w:val="left"/>
      <w:pPr>
        <w:ind w:left="900" w:hanging="375"/>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19" w15:restartNumberingAfterBreak="0">
    <w:nsid w:val="3B1D07B6"/>
    <w:multiLevelType w:val="hybridMultilevel"/>
    <w:tmpl w:val="94AE7448"/>
    <w:lvl w:ilvl="0" w:tplc="ABF427DC">
      <w:start w:val="13"/>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3DF76632"/>
    <w:multiLevelType w:val="multilevel"/>
    <w:tmpl w:val="CD3E5C3E"/>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516693"/>
    <w:multiLevelType w:val="multilevel"/>
    <w:tmpl w:val="DA081B80"/>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A14EF4"/>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2AA4600"/>
    <w:multiLevelType w:val="multilevel"/>
    <w:tmpl w:val="3F32E4C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70E21E6"/>
    <w:multiLevelType w:val="hybridMultilevel"/>
    <w:tmpl w:val="6D5A822E"/>
    <w:lvl w:ilvl="0" w:tplc="04988CBC">
      <w:start w:val="29"/>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25" w15:restartNumberingAfterBreak="0">
    <w:nsid w:val="48A7758A"/>
    <w:multiLevelType w:val="hybridMultilevel"/>
    <w:tmpl w:val="576EA81A"/>
    <w:lvl w:ilvl="0" w:tplc="F35A53C6">
      <w:start w:val="1"/>
      <w:numFmt w:val="upperRoman"/>
      <w:lvlText w:val="%1."/>
      <w:lvlJc w:val="left"/>
      <w:pPr>
        <w:ind w:left="2970" w:hanging="720"/>
      </w:pPr>
      <w:rPr>
        <w:rFonts w:hint="default"/>
      </w:rPr>
    </w:lvl>
    <w:lvl w:ilvl="1" w:tplc="04260019" w:tentative="1">
      <w:start w:val="1"/>
      <w:numFmt w:val="lowerLetter"/>
      <w:lvlText w:val="%2."/>
      <w:lvlJc w:val="left"/>
      <w:pPr>
        <w:ind w:left="3330" w:hanging="360"/>
      </w:pPr>
    </w:lvl>
    <w:lvl w:ilvl="2" w:tplc="0426001B" w:tentative="1">
      <w:start w:val="1"/>
      <w:numFmt w:val="lowerRoman"/>
      <w:lvlText w:val="%3."/>
      <w:lvlJc w:val="right"/>
      <w:pPr>
        <w:ind w:left="4050" w:hanging="180"/>
      </w:pPr>
    </w:lvl>
    <w:lvl w:ilvl="3" w:tplc="0426000F" w:tentative="1">
      <w:start w:val="1"/>
      <w:numFmt w:val="decimal"/>
      <w:lvlText w:val="%4."/>
      <w:lvlJc w:val="left"/>
      <w:pPr>
        <w:ind w:left="4770" w:hanging="360"/>
      </w:pPr>
    </w:lvl>
    <w:lvl w:ilvl="4" w:tplc="04260019" w:tentative="1">
      <w:start w:val="1"/>
      <w:numFmt w:val="lowerLetter"/>
      <w:lvlText w:val="%5."/>
      <w:lvlJc w:val="left"/>
      <w:pPr>
        <w:ind w:left="5490" w:hanging="360"/>
      </w:pPr>
    </w:lvl>
    <w:lvl w:ilvl="5" w:tplc="0426001B" w:tentative="1">
      <w:start w:val="1"/>
      <w:numFmt w:val="lowerRoman"/>
      <w:lvlText w:val="%6."/>
      <w:lvlJc w:val="right"/>
      <w:pPr>
        <w:ind w:left="6210" w:hanging="180"/>
      </w:pPr>
    </w:lvl>
    <w:lvl w:ilvl="6" w:tplc="0426000F" w:tentative="1">
      <w:start w:val="1"/>
      <w:numFmt w:val="decimal"/>
      <w:lvlText w:val="%7."/>
      <w:lvlJc w:val="left"/>
      <w:pPr>
        <w:ind w:left="6930" w:hanging="360"/>
      </w:pPr>
    </w:lvl>
    <w:lvl w:ilvl="7" w:tplc="04260019" w:tentative="1">
      <w:start w:val="1"/>
      <w:numFmt w:val="lowerLetter"/>
      <w:lvlText w:val="%8."/>
      <w:lvlJc w:val="left"/>
      <w:pPr>
        <w:ind w:left="7650" w:hanging="360"/>
      </w:pPr>
    </w:lvl>
    <w:lvl w:ilvl="8" w:tplc="0426001B" w:tentative="1">
      <w:start w:val="1"/>
      <w:numFmt w:val="lowerRoman"/>
      <w:lvlText w:val="%9."/>
      <w:lvlJc w:val="right"/>
      <w:pPr>
        <w:ind w:left="8370" w:hanging="180"/>
      </w:pPr>
    </w:lvl>
  </w:abstractNum>
  <w:abstractNum w:abstractNumId="26" w15:restartNumberingAfterBreak="0">
    <w:nsid w:val="4A125C35"/>
    <w:multiLevelType w:val="multilevel"/>
    <w:tmpl w:val="71BEF6C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B2E7554"/>
    <w:multiLevelType w:val="hybridMultilevel"/>
    <w:tmpl w:val="9C481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896E0D"/>
    <w:multiLevelType w:val="hybridMultilevel"/>
    <w:tmpl w:val="79CE6184"/>
    <w:lvl w:ilvl="0" w:tplc="03C028B2">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C61632"/>
    <w:multiLevelType w:val="hybridMultilevel"/>
    <w:tmpl w:val="FD681A3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12093E"/>
    <w:multiLevelType w:val="multilevel"/>
    <w:tmpl w:val="73BA290A"/>
    <w:lvl w:ilvl="0">
      <w:start w:val="1"/>
      <w:numFmt w:val="decimal"/>
      <w:lvlText w:val="%1."/>
      <w:lvlJc w:val="left"/>
      <w:pPr>
        <w:ind w:left="450" w:hanging="450"/>
      </w:pPr>
      <w:rPr>
        <w:rFonts w:hint="default"/>
      </w:rPr>
    </w:lvl>
    <w:lvl w:ilvl="1">
      <w:start w:val="3"/>
      <w:numFmt w:val="decimal"/>
      <w:lvlText w:val="%1.%2."/>
      <w:lvlJc w:val="left"/>
      <w:pPr>
        <w:ind w:left="739" w:hanging="72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914" w:hanging="180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2312" w:hanging="2160"/>
      </w:pPr>
      <w:rPr>
        <w:rFonts w:hint="default"/>
      </w:rPr>
    </w:lvl>
  </w:abstractNum>
  <w:abstractNum w:abstractNumId="31" w15:restartNumberingAfterBreak="0">
    <w:nsid w:val="6F961C78"/>
    <w:multiLevelType w:val="hybridMultilevel"/>
    <w:tmpl w:val="0C906CC0"/>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1C2963"/>
    <w:multiLevelType w:val="hybridMultilevel"/>
    <w:tmpl w:val="04848754"/>
    <w:lvl w:ilvl="0" w:tplc="CFD0FB30">
      <w:start w:val="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8D65C2"/>
    <w:multiLevelType w:val="hybridMultilevel"/>
    <w:tmpl w:val="EFB6D634"/>
    <w:lvl w:ilvl="0" w:tplc="4A609EFE">
      <w:start w:val="6"/>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4" w15:restartNumberingAfterBreak="0">
    <w:nsid w:val="77136349"/>
    <w:multiLevelType w:val="multilevel"/>
    <w:tmpl w:val="F2345A4C"/>
    <w:lvl w:ilvl="0">
      <w:start w:val="1"/>
      <w:numFmt w:val="decimal"/>
      <w:lvlText w:val="%1."/>
      <w:lvlJc w:val="left"/>
      <w:pPr>
        <w:ind w:left="810" w:hanging="45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9586C4C"/>
    <w:multiLevelType w:val="hybridMultilevel"/>
    <w:tmpl w:val="ED72B124"/>
    <w:lvl w:ilvl="0" w:tplc="648015C8">
      <w:start w:val="6"/>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4"/>
  </w:num>
  <w:num w:numId="2">
    <w:abstractNumId w:val="23"/>
  </w:num>
  <w:num w:numId="3">
    <w:abstractNumId w:val="20"/>
  </w:num>
  <w:num w:numId="4">
    <w:abstractNumId w:val="34"/>
  </w:num>
  <w:num w:numId="5">
    <w:abstractNumId w:val="29"/>
  </w:num>
  <w:num w:numId="6">
    <w:abstractNumId w:val="0"/>
  </w:num>
  <w:num w:numId="7">
    <w:abstractNumId w:val="5"/>
  </w:num>
  <w:num w:numId="8">
    <w:abstractNumId w:val="16"/>
  </w:num>
  <w:num w:numId="9">
    <w:abstractNumId w:val="19"/>
  </w:num>
  <w:num w:numId="10">
    <w:abstractNumId w:val="4"/>
  </w:num>
  <w:num w:numId="11">
    <w:abstractNumId w:val="25"/>
  </w:num>
  <w:num w:numId="12">
    <w:abstractNumId w:val="27"/>
  </w:num>
  <w:num w:numId="13">
    <w:abstractNumId w:val="10"/>
  </w:num>
  <w:num w:numId="14">
    <w:abstractNumId w:val="1"/>
  </w:num>
  <w:num w:numId="15">
    <w:abstractNumId w:val="6"/>
  </w:num>
  <w:num w:numId="16">
    <w:abstractNumId w:val="7"/>
  </w:num>
  <w:num w:numId="17">
    <w:abstractNumId w:val="21"/>
  </w:num>
  <w:num w:numId="18">
    <w:abstractNumId w:val="12"/>
  </w:num>
  <w:num w:numId="19">
    <w:abstractNumId w:val="17"/>
  </w:num>
  <w:num w:numId="20">
    <w:abstractNumId w:val="30"/>
  </w:num>
  <w:num w:numId="21">
    <w:abstractNumId w:val="26"/>
  </w:num>
  <w:num w:numId="22">
    <w:abstractNumId w:val="8"/>
  </w:num>
  <w:num w:numId="23">
    <w:abstractNumId w:val="13"/>
  </w:num>
  <w:num w:numId="24">
    <w:abstractNumId w:val="22"/>
  </w:num>
  <w:num w:numId="25">
    <w:abstractNumId w:val="18"/>
  </w:num>
  <w:num w:numId="26">
    <w:abstractNumId w:val="24"/>
  </w:num>
  <w:num w:numId="27">
    <w:abstractNumId w:val="2"/>
  </w:num>
  <w:num w:numId="28">
    <w:abstractNumId w:val="33"/>
  </w:num>
  <w:num w:numId="29">
    <w:abstractNumId w:val="28"/>
  </w:num>
  <w:num w:numId="30">
    <w:abstractNumId w:val="32"/>
  </w:num>
  <w:num w:numId="31">
    <w:abstractNumId w:val="11"/>
  </w:num>
  <w:num w:numId="32">
    <w:abstractNumId w:val="31"/>
  </w:num>
  <w:num w:numId="33">
    <w:abstractNumId w:val="15"/>
  </w:num>
  <w:num w:numId="34">
    <w:abstractNumId w:val="3"/>
  </w:num>
  <w:num w:numId="35">
    <w:abstractNumId w:val="3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81"/>
    <w:rsid w:val="0000498B"/>
    <w:rsid w:val="000230F2"/>
    <w:rsid w:val="00056BF7"/>
    <w:rsid w:val="00063F6C"/>
    <w:rsid w:val="0006484C"/>
    <w:rsid w:val="00075401"/>
    <w:rsid w:val="00081D15"/>
    <w:rsid w:val="000824BA"/>
    <w:rsid w:val="000864CD"/>
    <w:rsid w:val="0009073C"/>
    <w:rsid w:val="00090D32"/>
    <w:rsid w:val="000A25A2"/>
    <w:rsid w:val="000A7D3F"/>
    <w:rsid w:val="000B7EDD"/>
    <w:rsid w:val="000F31B1"/>
    <w:rsid w:val="00127310"/>
    <w:rsid w:val="001577D7"/>
    <w:rsid w:val="001666B2"/>
    <w:rsid w:val="00176596"/>
    <w:rsid w:val="001852B5"/>
    <w:rsid w:val="00196E26"/>
    <w:rsid w:val="001A3032"/>
    <w:rsid w:val="001A4A43"/>
    <w:rsid w:val="001C5DD2"/>
    <w:rsid w:val="001E246D"/>
    <w:rsid w:val="00200649"/>
    <w:rsid w:val="0022157E"/>
    <w:rsid w:val="00225F24"/>
    <w:rsid w:val="00226326"/>
    <w:rsid w:val="00261207"/>
    <w:rsid w:val="00263658"/>
    <w:rsid w:val="0026582B"/>
    <w:rsid w:val="00280A22"/>
    <w:rsid w:val="0029098F"/>
    <w:rsid w:val="002B71F3"/>
    <w:rsid w:val="002C0ECF"/>
    <w:rsid w:val="002C3327"/>
    <w:rsid w:val="00347BDB"/>
    <w:rsid w:val="00355B27"/>
    <w:rsid w:val="00377D34"/>
    <w:rsid w:val="003B32AB"/>
    <w:rsid w:val="003E0E0E"/>
    <w:rsid w:val="003F6A41"/>
    <w:rsid w:val="00405A91"/>
    <w:rsid w:val="004459EC"/>
    <w:rsid w:val="0045643B"/>
    <w:rsid w:val="00477340"/>
    <w:rsid w:val="004C027C"/>
    <w:rsid w:val="004C6C3A"/>
    <w:rsid w:val="004D0703"/>
    <w:rsid w:val="004D5E58"/>
    <w:rsid w:val="004F4F39"/>
    <w:rsid w:val="005162AD"/>
    <w:rsid w:val="00524411"/>
    <w:rsid w:val="00533054"/>
    <w:rsid w:val="00534530"/>
    <w:rsid w:val="00535F21"/>
    <w:rsid w:val="00537AD0"/>
    <w:rsid w:val="0057119B"/>
    <w:rsid w:val="00583CE2"/>
    <w:rsid w:val="00590318"/>
    <w:rsid w:val="005C1981"/>
    <w:rsid w:val="005E3FBD"/>
    <w:rsid w:val="005E4A81"/>
    <w:rsid w:val="005E686C"/>
    <w:rsid w:val="005F2107"/>
    <w:rsid w:val="0063766B"/>
    <w:rsid w:val="00657A93"/>
    <w:rsid w:val="00666A5A"/>
    <w:rsid w:val="00683A82"/>
    <w:rsid w:val="00684FD7"/>
    <w:rsid w:val="006B6A94"/>
    <w:rsid w:val="006C3F70"/>
    <w:rsid w:val="006C510E"/>
    <w:rsid w:val="006F1121"/>
    <w:rsid w:val="00705386"/>
    <w:rsid w:val="0072434E"/>
    <w:rsid w:val="00724E3E"/>
    <w:rsid w:val="00735713"/>
    <w:rsid w:val="0074372D"/>
    <w:rsid w:val="007539E9"/>
    <w:rsid w:val="0076428F"/>
    <w:rsid w:val="007871F5"/>
    <w:rsid w:val="007A27E5"/>
    <w:rsid w:val="007A7DF4"/>
    <w:rsid w:val="007B11BC"/>
    <w:rsid w:val="007C7253"/>
    <w:rsid w:val="007D2D46"/>
    <w:rsid w:val="007D3D39"/>
    <w:rsid w:val="007E5901"/>
    <w:rsid w:val="007F6DA4"/>
    <w:rsid w:val="008056FA"/>
    <w:rsid w:val="00805E40"/>
    <w:rsid w:val="00814573"/>
    <w:rsid w:val="00841AB9"/>
    <w:rsid w:val="00855D06"/>
    <w:rsid w:val="008804B0"/>
    <w:rsid w:val="0088452D"/>
    <w:rsid w:val="00896292"/>
    <w:rsid w:val="008C75A0"/>
    <w:rsid w:val="008F53BA"/>
    <w:rsid w:val="00915B01"/>
    <w:rsid w:val="00916440"/>
    <w:rsid w:val="00927081"/>
    <w:rsid w:val="00947DB0"/>
    <w:rsid w:val="0095790B"/>
    <w:rsid w:val="00962EEE"/>
    <w:rsid w:val="0096398E"/>
    <w:rsid w:val="009641A4"/>
    <w:rsid w:val="009D1BB5"/>
    <w:rsid w:val="009D4209"/>
    <w:rsid w:val="00A063AD"/>
    <w:rsid w:val="00A119BA"/>
    <w:rsid w:val="00A17229"/>
    <w:rsid w:val="00A278E3"/>
    <w:rsid w:val="00A35286"/>
    <w:rsid w:val="00A81CE9"/>
    <w:rsid w:val="00AA101C"/>
    <w:rsid w:val="00AA38E9"/>
    <w:rsid w:val="00AC1F9E"/>
    <w:rsid w:val="00AC4242"/>
    <w:rsid w:val="00B145D3"/>
    <w:rsid w:val="00B152B4"/>
    <w:rsid w:val="00B20AC7"/>
    <w:rsid w:val="00B5023E"/>
    <w:rsid w:val="00B52D4D"/>
    <w:rsid w:val="00B6262C"/>
    <w:rsid w:val="00B62CD4"/>
    <w:rsid w:val="00BE2313"/>
    <w:rsid w:val="00BF4551"/>
    <w:rsid w:val="00BF5BD3"/>
    <w:rsid w:val="00C03E5B"/>
    <w:rsid w:val="00C12135"/>
    <w:rsid w:val="00C52CEC"/>
    <w:rsid w:val="00C81B51"/>
    <w:rsid w:val="00CA11F6"/>
    <w:rsid w:val="00CA5797"/>
    <w:rsid w:val="00CC392E"/>
    <w:rsid w:val="00CD0318"/>
    <w:rsid w:val="00CE0D7D"/>
    <w:rsid w:val="00CE5853"/>
    <w:rsid w:val="00D42A3D"/>
    <w:rsid w:val="00D64D9F"/>
    <w:rsid w:val="00D65D66"/>
    <w:rsid w:val="00D84848"/>
    <w:rsid w:val="00DB5EDE"/>
    <w:rsid w:val="00DD3D54"/>
    <w:rsid w:val="00E334B2"/>
    <w:rsid w:val="00E44CC8"/>
    <w:rsid w:val="00E52565"/>
    <w:rsid w:val="00E713B3"/>
    <w:rsid w:val="00E775DE"/>
    <w:rsid w:val="00E97685"/>
    <w:rsid w:val="00EB3A33"/>
    <w:rsid w:val="00EB48B7"/>
    <w:rsid w:val="00EC3652"/>
    <w:rsid w:val="00EE2038"/>
    <w:rsid w:val="00EE699B"/>
    <w:rsid w:val="00F0740F"/>
    <w:rsid w:val="00F12D33"/>
    <w:rsid w:val="00F14954"/>
    <w:rsid w:val="00F7733A"/>
    <w:rsid w:val="00F82D79"/>
    <w:rsid w:val="00FB31BB"/>
    <w:rsid w:val="00FB464F"/>
    <w:rsid w:val="00FD2065"/>
    <w:rsid w:val="00FD3E9D"/>
    <w:rsid w:val="00FE0176"/>
    <w:rsid w:val="00FF54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63489"/>
    <o:shapelayout v:ext="edit">
      <o:idmap v:ext="edit" data="1"/>
    </o:shapelayout>
  </w:shapeDefaults>
  <w:decimalSymbol w:val=","/>
  <w:listSeparator w:val=";"/>
  <w15:docId w15:val="{46156837-B67B-4254-BCCD-3FD27CB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8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4A81"/>
    <w:pPr>
      <w:spacing w:before="100" w:beforeAutospacing="1" w:after="100" w:afterAutospacing="1"/>
    </w:pPr>
  </w:style>
  <w:style w:type="paragraph" w:customStyle="1" w:styleId="naisf">
    <w:name w:val="naisf"/>
    <w:basedOn w:val="Normal"/>
    <w:rsid w:val="005E4A81"/>
    <w:pPr>
      <w:spacing w:before="75" w:after="75"/>
      <w:ind w:firstLine="375"/>
      <w:jc w:val="both"/>
    </w:pPr>
  </w:style>
  <w:style w:type="paragraph" w:customStyle="1" w:styleId="naisnod">
    <w:name w:val="naisnod"/>
    <w:basedOn w:val="Normal"/>
    <w:uiPriority w:val="99"/>
    <w:rsid w:val="005E4A81"/>
    <w:pPr>
      <w:spacing w:before="150" w:after="150"/>
      <w:jc w:val="center"/>
    </w:pPr>
    <w:rPr>
      <w:b/>
      <w:bCs/>
    </w:rPr>
  </w:style>
  <w:style w:type="paragraph" w:customStyle="1" w:styleId="naiskr">
    <w:name w:val="naiskr"/>
    <w:basedOn w:val="Normal"/>
    <w:rsid w:val="005E4A81"/>
    <w:pPr>
      <w:spacing w:before="75" w:after="75"/>
    </w:pPr>
  </w:style>
  <w:style w:type="paragraph" w:customStyle="1" w:styleId="naisc">
    <w:name w:val="naisc"/>
    <w:basedOn w:val="Normal"/>
    <w:rsid w:val="005E4A81"/>
    <w:pPr>
      <w:spacing w:before="75" w:after="75"/>
      <w:jc w:val="center"/>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C52CEC"/>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05A91"/>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rsid w:val="008804B0"/>
    <w:rPr>
      <w:rFonts w:cs="Times New Roman"/>
      <w:color w:val="0000FF"/>
      <w:u w:val="single"/>
    </w:rPr>
  </w:style>
  <w:style w:type="paragraph" w:styleId="Header">
    <w:name w:val="header"/>
    <w:basedOn w:val="Normal"/>
    <w:link w:val="HeaderChar"/>
    <w:uiPriority w:val="99"/>
    <w:unhideWhenUsed/>
    <w:rsid w:val="008804B0"/>
    <w:pPr>
      <w:tabs>
        <w:tab w:val="center" w:pos="4153"/>
        <w:tab w:val="right" w:pos="8306"/>
      </w:tabs>
    </w:pPr>
  </w:style>
  <w:style w:type="character" w:customStyle="1" w:styleId="HeaderChar">
    <w:name w:val="Header Char"/>
    <w:basedOn w:val="DefaultParagraphFont"/>
    <w:link w:val="Header"/>
    <w:uiPriority w:val="99"/>
    <w:rsid w:val="008804B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804B0"/>
    <w:pPr>
      <w:tabs>
        <w:tab w:val="center" w:pos="4153"/>
        <w:tab w:val="right" w:pos="8306"/>
      </w:tabs>
    </w:pPr>
  </w:style>
  <w:style w:type="character" w:customStyle="1" w:styleId="FooterChar">
    <w:name w:val="Footer Char"/>
    <w:basedOn w:val="DefaultParagraphFont"/>
    <w:link w:val="Footer"/>
    <w:uiPriority w:val="99"/>
    <w:rsid w:val="008804B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04B0"/>
    <w:rPr>
      <w:rFonts w:ascii="Tahoma" w:hAnsi="Tahoma" w:cs="Tahoma"/>
      <w:sz w:val="16"/>
      <w:szCs w:val="16"/>
    </w:rPr>
  </w:style>
  <w:style w:type="character" w:customStyle="1" w:styleId="BalloonTextChar">
    <w:name w:val="Balloon Text Char"/>
    <w:basedOn w:val="DefaultParagraphFont"/>
    <w:link w:val="BalloonText"/>
    <w:uiPriority w:val="99"/>
    <w:semiHidden/>
    <w:rsid w:val="008804B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E9768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E9768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97685"/>
    <w:rPr>
      <w:vertAlign w:val="superscript"/>
    </w:rPr>
  </w:style>
  <w:style w:type="paragraph" w:styleId="HTMLPreformatted">
    <w:name w:val="HTML Preformatted"/>
    <w:basedOn w:val="Normal"/>
    <w:link w:val="HTMLPreformattedChar"/>
    <w:uiPriority w:val="99"/>
    <w:semiHidden/>
    <w:unhideWhenUsed/>
    <w:rsid w:val="00705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05386"/>
    <w:rPr>
      <w:rFonts w:ascii="Courier New" w:eastAsia="Times New Roman" w:hAnsi="Courier New" w:cs="Courier New"/>
      <w:sz w:val="20"/>
      <w:szCs w:val="20"/>
      <w:lang w:eastAsia="lv-LV"/>
    </w:rPr>
  </w:style>
  <w:style w:type="paragraph" w:customStyle="1" w:styleId="tv213">
    <w:name w:val="tv213"/>
    <w:basedOn w:val="Normal"/>
    <w:rsid w:val="008962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5013">
      <w:bodyDiv w:val="1"/>
      <w:marLeft w:val="0"/>
      <w:marRight w:val="0"/>
      <w:marTop w:val="0"/>
      <w:marBottom w:val="0"/>
      <w:divBdr>
        <w:top w:val="none" w:sz="0" w:space="0" w:color="auto"/>
        <w:left w:val="none" w:sz="0" w:space="0" w:color="auto"/>
        <w:bottom w:val="none" w:sz="0" w:space="0" w:color="auto"/>
        <w:right w:val="none" w:sz="0" w:space="0" w:color="auto"/>
      </w:divBdr>
    </w:div>
    <w:div w:id="86508743">
      <w:bodyDiv w:val="1"/>
      <w:marLeft w:val="0"/>
      <w:marRight w:val="0"/>
      <w:marTop w:val="0"/>
      <w:marBottom w:val="0"/>
      <w:divBdr>
        <w:top w:val="none" w:sz="0" w:space="0" w:color="auto"/>
        <w:left w:val="none" w:sz="0" w:space="0" w:color="auto"/>
        <w:bottom w:val="none" w:sz="0" w:space="0" w:color="auto"/>
        <w:right w:val="none" w:sz="0" w:space="0" w:color="auto"/>
      </w:divBdr>
    </w:div>
    <w:div w:id="334189101">
      <w:bodyDiv w:val="1"/>
      <w:marLeft w:val="0"/>
      <w:marRight w:val="0"/>
      <w:marTop w:val="0"/>
      <w:marBottom w:val="0"/>
      <w:divBdr>
        <w:top w:val="none" w:sz="0" w:space="0" w:color="auto"/>
        <w:left w:val="none" w:sz="0" w:space="0" w:color="auto"/>
        <w:bottom w:val="none" w:sz="0" w:space="0" w:color="auto"/>
        <w:right w:val="none" w:sz="0" w:space="0" w:color="auto"/>
      </w:divBdr>
    </w:div>
    <w:div w:id="352607657">
      <w:bodyDiv w:val="1"/>
      <w:marLeft w:val="0"/>
      <w:marRight w:val="0"/>
      <w:marTop w:val="0"/>
      <w:marBottom w:val="0"/>
      <w:divBdr>
        <w:top w:val="none" w:sz="0" w:space="0" w:color="auto"/>
        <w:left w:val="none" w:sz="0" w:space="0" w:color="auto"/>
        <w:bottom w:val="none" w:sz="0" w:space="0" w:color="auto"/>
        <w:right w:val="none" w:sz="0" w:space="0" w:color="auto"/>
      </w:divBdr>
    </w:div>
    <w:div w:id="418601605">
      <w:bodyDiv w:val="1"/>
      <w:marLeft w:val="0"/>
      <w:marRight w:val="0"/>
      <w:marTop w:val="0"/>
      <w:marBottom w:val="0"/>
      <w:divBdr>
        <w:top w:val="none" w:sz="0" w:space="0" w:color="auto"/>
        <w:left w:val="none" w:sz="0" w:space="0" w:color="auto"/>
        <w:bottom w:val="none" w:sz="0" w:space="0" w:color="auto"/>
        <w:right w:val="none" w:sz="0" w:space="0" w:color="auto"/>
      </w:divBdr>
    </w:div>
    <w:div w:id="1678118075">
      <w:bodyDiv w:val="1"/>
      <w:marLeft w:val="0"/>
      <w:marRight w:val="0"/>
      <w:marTop w:val="0"/>
      <w:marBottom w:val="0"/>
      <w:divBdr>
        <w:top w:val="none" w:sz="0" w:space="0" w:color="auto"/>
        <w:left w:val="none" w:sz="0" w:space="0" w:color="auto"/>
        <w:bottom w:val="none" w:sz="0" w:space="0" w:color="auto"/>
        <w:right w:val="none" w:sz="0" w:space="0" w:color="auto"/>
      </w:divBdr>
    </w:div>
    <w:div w:id="17705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ried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69BB1-E18E-4377-968C-0EDF6EA8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11</Pages>
  <Words>12212</Words>
  <Characters>6962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ilzebr</dc:creator>
  <cp:lastModifiedBy>Ilze Briede</cp:lastModifiedBy>
  <cp:revision>7</cp:revision>
  <cp:lastPrinted>2015-06-03T07:38:00Z</cp:lastPrinted>
  <dcterms:created xsi:type="dcterms:W3CDTF">2019-06-18T04:42:00Z</dcterms:created>
  <dcterms:modified xsi:type="dcterms:W3CDTF">2019-07-17T05:09:00Z</dcterms:modified>
</cp:coreProperties>
</file>