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6E9FE" w14:textId="77777777" w:rsidR="00854611" w:rsidRDefault="00557504" w:rsidP="00A9597A">
      <w:pPr>
        <w:spacing w:after="0" w:line="240" w:lineRule="auto"/>
        <w:jc w:val="center"/>
        <w:rPr>
          <w:rFonts w:ascii="Times New Roman" w:hAnsi="Times New Roman" w:cs="Times New Roman"/>
          <w:b/>
          <w:sz w:val="24"/>
          <w:szCs w:val="24"/>
        </w:rPr>
      </w:pPr>
      <w:bookmarkStart w:id="0" w:name="_Hlk12539145"/>
      <w:r w:rsidRPr="00843E32">
        <w:rPr>
          <w:rFonts w:ascii="Times New Roman" w:hAnsi="Times New Roman" w:cs="Times New Roman"/>
          <w:b/>
          <w:sz w:val="24"/>
          <w:szCs w:val="24"/>
        </w:rPr>
        <w:t>Informatīvais ziņojums</w:t>
      </w:r>
    </w:p>
    <w:p w14:paraId="64C81467" w14:textId="060C6BAE" w:rsidR="00557504" w:rsidRDefault="004703D4" w:rsidP="00A959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3B5400" w:rsidRPr="00843E32">
        <w:rPr>
          <w:rFonts w:ascii="Times New Roman" w:hAnsi="Times New Roman" w:cs="Times New Roman"/>
          <w:b/>
          <w:sz w:val="24"/>
          <w:szCs w:val="24"/>
        </w:rPr>
        <w:t xml:space="preserve">Pārskats par ziņojumu </w:t>
      </w:r>
      <w:proofErr w:type="gramStart"/>
      <w:r w:rsidR="003B5400" w:rsidRPr="00843E32">
        <w:rPr>
          <w:rFonts w:ascii="Times New Roman" w:hAnsi="Times New Roman" w:cs="Times New Roman"/>
          <w:b/>
          <w:sz w:val="24"/>
          <w:szCs w:val="24"/>
        </w:rPr>
        <w:t>par</w:t>
      </w:r>
      <w:r w:rsidR="00557504" w:rsidRPr="00843E32">
        <w:rPr>
          <w:rFonts w:ascii="Times New Roman" w:hAnsi="Times New Roman" w:cs="Times New Roman"/>
          <w:b/>
          <w:sz w:val="24"/>
          <w:szCs w:val="24"/>
        </w:rPr>
        <w:t xml:space="preserve"> </w:t>
      </w:r>
      <w:r w:rsidR="00843E32" w:rsidRPr="00843E32">
        <w:rPr>
          <w:rFonts w:ascii="Times New Roman" w:hAnsi="Times New Roman" w:cs="Times New Roman"/>
          <w:b/>
          <w:sz w:val="24"/>
          <w:szCs w:val="24"/>
        </w:rPr>
        <w:t>Eiropas Parlamenta un Padomes</w:t>
      </w:r>
      <w:proofErr w:type="gramEnd"/>
      <w:r w:rsidR="00843E32" w:rsidRPr="00843E32">
        <w:rPr>
          <w:rFonts w:ascii="Times New Roman" w:hAnsi="Times New Roman" w:cs="Times New Roman"/>
          <w:b/>
          <w:sz w:val="24"/>
          <w:szCs w:val="24"/>
        </w:rPr>
        <w:t xml:space="preserve"> 2009. gada 30. novembra direktīvas 2009/147/EK par savvaļas putnu aizsardzību </w:t>
      </w:r>
      <w:r w:rsidR="00557504" w:rsidRPr="00843E32">
        <w:rPr>
          <w:rFonts w:ascii="Times New Roman" w:hAnsi="Times New Roman" w:cs="Times New Roman"/>
          <w:b/>
          <w:sz w:val="24"/>
          <w:szCs w:val="24"/>
        </w:rPr>
        <w:t>ieviešanu 20</w:t>
      </w:r>
      <w:r w:rsidR="006A5CA8" w:rsidRPr="00843E32">
        <w:rPr>
          <w:rFonts w:ascii="Times New Roman" w:hAnsi="Times New Roman" w:cs="Times New Roman"/>
          <w:b/>
          <w:sz w:val="24"/>
          <w:szCs w:val="24"/>
        </w:rPr>
        <w:t>13.-2018</w:t>
      </w:r>
      <w:r w:rsidR="00557504" w:rsidRPr="00843E32">
        <w:rPr>
          <w:rFonts w:ascii="Times New Roman" w:hAnsi="Times New Roman" w:cs="Times New Roman"/>
          <w:b/>
          <w:sz w:val="24"/>
          <w:szCs w:val="24"/>
        </w:rPr>
        <w:t>. gadā”</w:t>
      </w:r>
    </w:p>
    <w:p w14:paraId="095FC176" w14:textId="77777777" w:rsidR="00C947AC" w:rsidRPr="00843E32" w:rsidRDefault="00C947AC" w:rsidP="00A9597A">
      <w:pPr>
        <w:spacing w:after="0" w:line="240" w:lineRule="auto"/>
        <w:jc w:val="both"/>
        <w:rPr>
          <w:rFonts w:ascii="Times New Roman" w:hAnsi="Times New Roman" w:cs="Times New Roman"/>
          <w:b/>
          <w:sz w:val="24"/>
          <w:szCs w:val="24"/>
        </w:rPr>
      </w:pPr>
    </w:p>
    <w:bookmarkEnd w:id="0"/>
    <w:p w14:paraId="75090F5D" w14:textId="73840D44" w:rsidR="00B51DC0" w:rsidRDefault="006A5CA8" w:rsidP="00626A3E">
      <w:pPr>
        <w:ind w:firstLine="709"/>
        <w:jc w:val="both"/>
        <w:rPr>
          <w:rFonts w:ascii="Times New Roman" w:hAnsi="Times New Roman" w:cs="Times New Roman"/>
          <w:sz w:val="24"/>
          <w:szCs w:val="24"/>
        </w:rPr>
      </w:pPr>
      <w:r>
        <w:rPr>
          <w:rFonts w:ascii="Times New Roman" w:hAnsi="Times New Roman" w:cs="Times New Roman"/>
          <w:sz w:val="24"/>
          <w:szCs w:val="24"/>
        </w:rPr>
        <w:t>Saskaņā ar Sugu un biotopu aizsardzības likuma 5. panta 10.</w:t>
      </w:r>
      <w:r w:rsidRPr="006A5CA8">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6F60AE">
        <w:rPr>
          <w:rFonts w:ascii="Times New Roman" w:hAnsi="Times New Roman" w:cs="Times New Roman"/>
          <w:sz w:val="24"/>
          <w:szCs w:val="24"/>
        </w:rPr>
        <w:t xml:space="preserve">punktu </w:t>
      </w:r>
      <w:r w:rsidR="00557504" w:rsidRPr="009E3439">
        <w:rPr>
          <w:rFonts w:ascii="Times New Roman" w:hAnsi="Times New Roman" w:cs="Times New Roman"/>
          <w:sz w:val="24"/>
          <w:szCs w:val="24"/>
        </w:rPr>
        <w:t xml:space="preserve">Vides aizsardzības un reģionālās attīstības ministrija sniedz </w:t>
      </w:r>
      <w:r w:rsidR="0005034B">
        <w:rPr>
          <w:rFonts w:ascii="Times New Roman" w:hAnsi="Times New Roman" w:cs="Times New Roman"/>
          <w:sz w:val="24"/>
          <w:szCs w:val="24"/>
        </w:rPr>
        <w:t xml:space="preserve">pārskatu </w:t>
      </w:r>
      <w:proofErr w:type="gramStart"/>
      <w:r w:rsidR="0005034B">
        <w:rPr>
          <w:rFonts w:ascii="Times New Roman" w:hAnsi="Times New Roman" w:cs="Times New Roman"/>
          <w:sz w:val="24"/>
          <w:szCs w:val="24"/>
        </w:rPr>
        <w:t xml:space="preserve">par </w:t>
      </w:r>
      <w:r w:rsidR="00843E32" w:rsidRPr="00082687">
        <w:rPr>
          <w:rFonts w:ascii="Times New Roman" w:hAnsi="Times New Roman" w:cs="Times New Roman"/>
          <w:sz w:val="24"/>
          <w:szCs w:val="24"/>
        </w:rPr>
        <w:t>Eiropas Parlamenta un Padomes</w:t>
      </w:r>
      <w:proofErr w:type="gramEnd"/>
      <w:r w:rsidR="00843E32" w:rsidRPr="00082687">
        <w:rPr>
          <w:rFonts w:ascii="Times New Roman" w:hAnsi="Times New Roman" w:cs="Times New Roman"/>
          <w:sz w:val="24"/>
          <w:szCs w:val="24"/>
        </w:rPr>
        <w:t xml:space="preserve"> 2009.</w:t>
      </w:r>
      <w:r w:rsidR="00843E32">
        <w:rPr>
          <w:rFonts w:ascii="Times New Roman" w:hAnsi="Times New Roman" w:cs="Times New Roman"/>
          <w:sz w:val="24"/>
          <w:szCs w:val="24"/>
        </w:rPr>
        <w:t> </w:t>
      </w:r>
      <w:r w:rsidR="00843E32" w:rsidRPr="00082687">
        <w:rPr>
          <w:rFonts w:ascii="Times New Roman" w:hAnsi="Times New Roman" w:cs="Times New Roman"/>
          <w:sz w:val="24"/>
          <w:szCs w:val="24"/>
        </w:rPr>
        <w:t>gada 30.</w:t>
      </w:r>
      <w:r w:rsidR="00843E32">
        <w:rPr>
          <w:rFonts w:ascii="Times New Roman" w:hAnsi="Times New Roman" w:cs="Times New Roman"/>
          <w:sz w:val="24"/>
          <w:szCs w:val="24"/>
        </w:rPr>
        <w:t> </w:t>
      </w:r>
      <w:r w:rsidR="00843E32" w:rsidRPr="00082687">
        <w:rPr>
          <w:rFonts w:ascii="Times New Roman" w:hAnsi="Times New Roman" w:cs="Times New Roman"/>
          <w:sz w:val="24"/>
          <w:szCs w:val="24"/>
        </w:rPr>
        <w:t>novembr</w:t>
      </w:r>
      <w:r w:rsidR="00843E32">
        <w:rPr>
          <w:rFonts w:ascii="Times New Roman" w:hAnsi="Times New Roman" w:cs="Times New Roman"/>
          <w:sz w:val="24"/>
          <w:szCs w:val="24"/>
        </w:rPr>
        <w:t>a</w:t>
      </w:r>
      <w:r w:rsidR="00843E32" w:rsidRPr="00082687">
        <w:rPr>
          <w:rFonts w:ascii="Times New Roman" w:hAnsi="Times New Roman" w:cs="Times New Roman"/>
          <w:sz w:val="24"/>
          <w:szCs w:val="24"/>
        </w:rPr>
        <w:t xml:space="preserve"> direktīva</w:t>
      </w:r>
      <w:r w:rsidR="00843E32">
        <w:rPr>
          <w:rFonts w:ascii="Times New Roman" w:hAnsi="Times New Roman" w:cs="Times New Roman"/>
          <w:sz w:val="24"/>
          <w:szCs w:val="24"/>
        </w:rPr>
        <w:t>s</w:t>
      </w:r>
      <w:r w:rsidR="00843E32" w:rsidRPr="00082687">
        <w:rPr>
          <w:rFonts w:ascii="Times New Roman" w:hAnsi="Times New Roman" w:cs="Times New Roman"/>
          <w:sz w:val="24"/>
          <w:szCs w:val="24"/>
        </w:rPr>
        <w:t xml:space="preserve"> 2009/14</w:t>
      </w:r>
      <w:r w:rsidR="00843E32">
        <w:rPr>
          <w:rFonts w:ascii="Times New Roman" w:hAnsi="Times New Roman" w:cs="Times New Roman"/>
          <w:sz w:val="24"/>
          <w:szCs w:val="24"/>
        </w:rPr>
        <w:t>7</w:t>
      </w:r>
      <w:r w:rsidR="00843E32" w:rsidRPr="00082687">
        <w:rPr>
          <w:rFonts w:ascii="Times New Roman" w:hAnsi="Times New Roman" w:cs="Times New Roman"/>
          <w:sz w:val="24"/>
          <w:szCs w:val="24"/>
        </w:rPr>
        <w:t>/EK par savvaļas putnu aizsardzību</w:t>
      </w:r>
      <w:r w:rsidR="00843E32">
        <w:rPr>
          <w:rFonts w:ascii="Times New Roman" w:hAnsi="Times New Roman" w:cs="Times New Roman"/>
          <w:sz w:val="24"/>
          <w:szCs w:val="24"/>
        </w:rPr>
        <w:t xml:space="preserve"> </w:t>
      </w:r>
      <w:r w:rsidR="00874736">
        <w:rPr>
          <w:rFonts w:ascii="Times New Roman" w:hAnsi="Times New Roman" w:cs="Times New Roman"/>
          <w:sz w:val="24"/>
          <w:szCs w:val="24"/>
        </w:rPr>
        <w:t xml:space="preserve">(turpmāk </w:t>
      </w:r>
      <w:r w:rsidR="00154045">
        <w:rPr>
          <w:rFonts w:ascii="Times New Roman" w:hAnsi="Times New Roman" w:cs="Times New Roman"/>
          <w:sz w:val="24"/>
          <w:szCs w:val="24"/>
        </w:rPr>
        <w:t xml:space="preserve">– </w:t>
      </w:r>
      <w:r w:rsidR="00843E32">
        <w:rPr>
          <w:rFonts w:ascii="Times New Roman" w:hAnsi="Times New Roman" w:cs="Times New Roman"/>
          <w:sz w:val="24"/>
          <w:szCs w:val="24"/>
        </w:rPr>
        <w:t>Putnu</w:t>
      </w:r>
      <w:r w:rsidR="00874736">
        <w:rPr>
          <w:rFonts w:ascii="Times New Roman" w:hAnsi="Times New Roman" w:cs="Times New Roman"/>
          <w:sz w:val="24"/>
          <w:szCs w:val="24"/>
        </w:rPr>
        <w:t xml:space="preserve"> direktīva)</w:t>
      </w:r>
      <w:r w:rsidR="00557504" w:rsidRPr="009E3439">
        <w:rPr>
          <w:rFonts w:ascii="Times New Roman" w:hAnsi="Times New Roman" w:cs="Times New Roman"/>
          <w:sz w:val="24"/>
          <w:szCs w:val="24"/>
        </w:rPr>
        <w:t xml:space="preserve"> ieviešanu </w:t>
      </w:r>
      <w:r>
        <w:rPr>
          <w:rFonts w:ascii="Times New Roman" w:hAnsi="Times New Roman" w:cs="Times New Roman"/>
          <w:sz w:val="24"/>
          <w:szCs w:val="24"/>
        </w:rPr>
        <w:t>2013</w:t>
      </w:r>
      <w:r w:rsidR="00154045">
        <w:rPr>
          <w:rFonts w:ascii="Times New Roman" w:hAnsi="Times New Roman" w:cs="Times New Roman"/>
          <w:sz w:val="24"/>
          <w:szCs w:val="24"/>
        </w:rPr>
        <w:t>.–</w:t>
      </w:r>
      <w:r>
        <w:rPr>
          <w:rFonts w:ascii="Times New Roman" w:hAnsi="Times New Roman" w:cs="Times New Roman"/>
          <w:sz w:val="24"/>
          <w:szCs w:val="24"/>
        </w:rPr>
        <w:t>2018.</w:t>
      </w:r>
      <w:r w:rsidR="00557504" w:rsidRPr="009E3439">
        <w:rPr>
          <w:rFonts w:ascii="Times New Roman" w:hAnsi="Times New Roman" w:cs="Times New Roman"/>
          <w:sz w:val="24"/>
          <w:szCs w:val="24"/>
        </w:rPr>
        <w:t xml:space="preserve"> gadā. </w:t>
      </w:r>
      <w:r w:rsidR="00B51DC0">
        <w:rPr>
          <w:rFonts w:ascii="Times New Roman" w:hAnsi="Times New Roman" w:cs="Times New Roman"/>
          <w:sz w:val="24"/>
          <w:szCs w:val="24"/>
        </w:rPr>
        <w:t>Līdz ar to minētais informatīvais ziņojums ir uzskatāms par pārskatu Sugu un biotopu aizsardzības likuma 5. panta 10.</w:t>
      </w:r>
      <w:r w:rsidR="00B51DC0" w:rsidRPr="006A5CA8">
        <w:rPr>
          <w:rFonts w:ascii="Times New Roman" w:hAnsi="Times New Roman" w:cs="Times New Roman"/>
          <w:sz w:val="24"/>
          <w:szCs w:val="24"/>
          <w:vertAlign w:val="superscript"/>
        </w:rPr>
        <w:t>1</w:t>
      </w:r>
      <w:r w:rsidR="00B51DC0">
        <w:rPr>
          <w:rFonts w:ascii="Times New Roman" w:hAnsi="Times New Roman" w:cs="Times New Roman"/>
          <w:sz w:val="24"/>
          <w:szCs w:val="24"/>
        </w:rPr>
        <w:t xml:space="preserve"> punkta izpratnē. </w:t>
      </w:r>
    </w:p>
    <w:p w14:paraId="6EDD62CE" w14:textId="4396FBFA" w:rsidR="000039AE" w:rsidRDefault="00EE7F27" w:rsidP="00626A3E">
      <w:pPr>
        <w:ind w:firstLine="709"/>
        <w:jc w:val="both"/>
        <w:rPr>
          <w:rFonts w:ascii="Times New Roman" w:hAnsi="Times New Roman" w:cs="Times New Roman"/>
          <w:sz w:val="24"/>
          <w:szCs w:val="24"/>
        </w:rPr>
      </w:pPr>
      <w:r>
        <w:rPr>
          <w:rFonts w:ascii="Times New Roman" w:hAnsi="Times New Roman" w:cs="Times New Roman"/>
          <w:sz w:val="24"/>
          <w:szCs w:val="24"/>
        </w:rPr>
        <w:t xml:space="preserve">Iepriekšējais ziņojums sagatavots 2013. gadā par Putnu direktīvas ieviešanu 2008.-2012. gadā. </w:t>
      </w:r>
      <w:r w:rsidR="00B647A3">
        <w:rPr>
          <w:rFonts w:ascii="Times New Roman" w:hAnsi="Times New Roman" w:cs="Times New Roman"/>
          <w:sz w:val="24"/>
          <w:szCs w:val="24"/>
        </w:rPr>
        <w:t>Kopš 2013. gada z</w:t>
      </w:r>
      <w:r w:rsidR="00557504" w:rsidRPr="009E3439">
        <w:rPr>
          <w:rFonts w:ascii="Times New Roman" w:hAnsi="Times New Roman" w:cs="Times New Roman"/>
          <w:sz w:val="24"/>
          <w:szCs w:val="24"/>
        </w:rPr>
        <w:t xml:space="preserve">iņojums par </w:t>
      </w:r>
      <w:r w:rsidR="00843E32">
        <w:rPr>
          <w:rFonts w:ascii="Times New Roman" w:hAnsi="Times New Roman" w:cs="Times New Roman"/>
          <w:sz w:val="24"/>
          <w:szCs w:val="24"/>
        </w:rPr>
        <w:t>Putnu</w:t>
      </w:r>
      <w:r w:rsidR="00557504" w:rsidRPr="009E3439">
        <w:rPr>
          <w:rFonts w:ascii="Times New Roman" w:hAnsi="Times New Roman" w:cs="Times New Roman"/>
          <w:sz w:val="24"/>
          <w:szCs w:val="24"/>
        </w:rPr>
        <w:t xml:space="preserve"> direktīvas ieviešanu </w:t>
      </w:r>
      <w:r w:rsidR="002862F5">
        <w:rPr>
          <w:rFonts w:ascii="Times New Roman" w:hAnsi="Times New Roman" w:cs="Times New Roman"/>
          <w:sz w:val="24"/>
          <w:szCs w:val="24"/>
        </w:rPr>
        <w:t xml:space="preserve">(turpmāk – ziņojums) </w:t>
      </w:r>
      <w:r w:rsidR="00557504" w:rsidRPr="009E3439">
        <w:rPr>
          <w:rFonts w:ascii="Times New Roman" w:hAnsi="Times New Roman" w:cs="Times New Roman"/>
          <w:sz w:val="24"/>
          <w:szCs w:val="24"/>
        </w:rPr>
        <w:t xml:space="preserve">tiek </w:t>
      </w:r>
      <w:proofErr w:type="gramStart"/>
      <w:r w:rsidR="00557504" w:rsidRPr="009E3439">
        <w:rPr>
          <w:rFonts w:ascii="Times New Roman" w:hAnsi="Times New Roman" w:cs="Times New Roman"/>
          <w:sz w:val="24"/>
          <w:szCs w:val="24"/>
        </w:rPr>
        <w:t xml:space="preserve">sagatavots </w:t>
      </w:r>
      <w:r w:rsidR="00557504" w:rsidRPr="003D1A09">
        <w:rPr>
          <w:rFonts w:ascii="Times New Roman" w:hAnsi="Times New Roman" w:cs="Times New Roman"/>
          <w:sz w:val="24"/>
          <w:szCs w:val="24"/>
        </w:rPr>
        <w:t>reizi sešos gados</w:t>
      </w:r>
      <w:r w:rsidR="00557504" w:rsidRPr="009E3439">
        <w:rPr>
          <w:rFonts w:ascii="Times New Roman" w:hAnsi="Times New Roman" w:cs="Times New Roman"/>
          <w:sz w:val="24"/>
          <w:szCs w:val="24"/>
        </w:rPr>
        <w:t xml:space="preserve"> saskaņā ar </w:t>
      </w:r>
      <w:r>
        <w:rPr>
          <w:rFonts w:ascii="Times New Roman" w:hAnsi="Times New Roman" w:cs="Times New Roman"/>
          <w:sz w:val="24"/>
          <w:szCs w:val="24"/>
        </w:rPr>
        <w:t>Putnu</w:t>
      </w:r>
      <w:r w:rsidR="00557504" w:rsidRPr="009E3439">
        <w:rPr>
          <w:rFonts w:ascii="Times New Roman" w:hAnsi="Times New Roman" w:cs="Times New Roman"/>
          <w:sz w:val="24"/>
          <w:szCs w:val="24"/>
        </w:rPr>
        <w:t xml:space="preserve"> direktīvas 1</w:t>
      </w:r>
      <w:r w:rsidR="00843E32">
        <w:rPr>
          <w:rFonts w:ascii="Times New Roman" w:hAnsi="Times New Roman" w:cs="Times New Roman"/>
          <w:sz w:val="24"/>
          <w:szCs w:val="24"/>
        </w:rPr>
        <w:t>2</w:t>
      </w:r>
      <w:proofErr w:type="gramEnd"/>
      <w:r w:rsidR="00557504" w:rsidRPr="009E3439">
        <w:rPr>
          <w:rFonts w:ascii="Times New Roman" w:hAnsi="Times New Roman" w:cs="Times New Roman"/>
          <w:sz w:val="24"/>
          <w:szCs w:val="24"/>
        </w:rPr>
        <w:t xml:space="preserve">. </w:t>
      </w:r>
      <w:r w:rsidR="00BB7881" w:rsidRPr="009E3439">
        <w:rPr>
          <w:rFonts w:ascii="Times New Roman" w:hAnsi="Times New Roman" w:cs="Times New Roman"/>
          <w:sz w:val="24"/>
          <w:szCs w:val="24"/>
        </w:rPr>
        <w:t>pant</w:t>
      </w:r>
      <w:r w:rsidR="00BB7881">
        <w:rPr>
          <w:rFonts w:ascii="Times New Roman" w:hAnsi="Times New Roman" w:cs="Times New Roman"/>
          <w:sz w:val="24"/>
          <w:szCs w:val="24"/>
        </w:rPr>
        <w:t>a 1. punktu</w:t>
      </w:r>
      <w:r w:rsidR="00C10669">
        <w:rPr>
          <w:rStyle w:val="FootnoteReference"/>
          <w:rFonts w:ascii="Times New Roman" w:hAnsi="Times New Roman" w:cs="Times New Roman"/>
          <w:sz w:val="24"/>
          <w:szCs w:val="24"/>
        </w:rPr>
        <w:footnoteReference w:id="2"/>
      </w:r>
      <w:r w:rsidR="00557504" w:rsidRPr="009E3439">
        <w:rPr>
          <w:rFonts w:ascii="Times New Roman" w:hAnsi="Times New Roman" w:cs="Times New Roman"/>
          <w:sz w:val="24"/>
          <w:szCs w:val="24"/>
        </w:rPr>
        <w:t xml:space="preserve">. </w:t>
      </w:r>
    </w:p>
    <w:p w14:paraId="3E2468A1" w14:textId="6CDA3597" w:rsidR="009E3439" w:rsidRDefault="009E3439" w:rsidP="00626A3E">
      <w:pPr>
        <w:ind w:firstLine="709"/>
        <w:jc w:val="both"/>
        <w:rPr>
          <w:rFonts w:ascii="Times New Roman" w:hAnsi="Times New Roman" w:cs="Times New Roman"/>
          <w:sz w:val="24"/>
          <w:szCs w:val="24"/>
        </w:rPr>
      </w:pPr>
      <w:r>
        <w:rPr>
          <w:rFonts w:ascii="Times New Roman" w:hAnsi="Times New Roman" w:cs="Times New Roman"/>
          <w:sz w:val="24"/>
          <w:szCs w:val="24"/>
        </w:rPr>
        <w:t xml:space="preserve">Lai palīdzētu </w:t>
      </w:r>
      <w:r w:rsidR="009C78ED">
        <w:rPr>
          <w:rFonts w:ascii="Times New Roman" w:hAnsi="Times New Roman" w:cs="Times New Roman"/>
          <w:sz w:val="24"/>
          <w:szCs w:val="24"/>
        </w:rPr>
        <w:t xml:space="preserve">valstīm </w:t>
      </w:r>
      <w:r>
        <w:rPr>
          <w:rFonts w:ascii="Times New Roman" w:hAnsi="Times New Roman" w:cs="Times New Roman"/>
          <w:sz w:val="24"/>
          <w:szCs w:val="24"/>
        </w:rPr>
        <w:t xml:space="preserve">ziņojuma sagatavošanā un atvieglotu dažādu </w:t>
      </w:r>
      <w:r w:rsidR="005110F3">
        <w:rPr>
          <w:rFonts w:ascii="Times New Roman" w:hAnsi="Times New Roman" w:cs="Times New Roman"/>
          <w:sz w:val="24"/>
          <w:szCs w:val="24"/>
        </w:rPr>
        <w:t xml:space="preserve">Eiropas Savienības (turpmāk – ES) </w:t>
      </w:r>
      <w:r>
        <w:rPr>
          <w:rFonts w:ascii="Times New Roman" w:hAnsi="Times New Roman" w:cs="Times New Roman"/>
          <w:sz w:val="24"/>
          <w:szCs w:val="24"/>
        </w:rPr>
        <w:t xml:space="preserve">dalībvalstu ziņojumu salīdzināšanu savā starpā, kā arī palīdzētu izstrādāt kopējo ES ziņojumu par </w:t>
      </w:r>
      <w:r w:rsidR="00F1406E">
        <w:rPr>
          <w:rFonts w:ascii="Times New Roman" w:hAnsi="Times New Roman" w:cs="Times New Roman"/>
          <w:sz w:val="24"/>
          <w:szCs w:val="24"/>
        </w:rPr>
        <w:t>Putnu</w:t>
      </w:r>
      <w:r>
        <w:rPr>
          <w:rFonts w:ascii="Times New Roman" w:hAnsi="Times New Roman" w:cs="Times New Roman"/>
          <w:sz w:val="24"/>
          <w:szCs w:val="24"/>
        </w:rPr>
        <w:t xml:space="preserve"> direktīvas</w:t>
      </w:r>
      <w:r w:rsidR="00CA1001">
        <w:rPr>
          <w:rFonts w:ascii="Times New Roman" w:hAnsi="Times New Roman" w:cs="Times New Roman"/>
          <w:sz w:val="24"/>
          <w:szCs w:val="24"/>
        </w:rPr>
        <w:t xml:space="preserve"> </w:t>
      </w:r>
      <w:r>
        <w:rPr>
          <w:rFonts w:ascii="Times New Roman" w:hAnsi="Times New Roman" w:cs="Times New Roman"/>
          <w:sz w:val="24"/>
          <w:szCs w:val="24"/>
        </w:rPr>
        <w:t xml:space="preserve">ieviešanu, ziņojums tiek gatavots pēc </w:t>
      </w:r>
      <w:r w:rsidR="00874736">
        <w:rPr>
          <w:rFonts w:ascii="Times New Roman" w:hAnsi="Times New Roman" w:cs="Times New Roman"/>
          <w:sz w:val="24"/>
          <w:szCs w:val="24"/>
        </w:rPr>
        <w:t>Eiropas Komisijas (turpmāk –</w:t>
      </w:r>
      <w:r w:rsidR="006C0CF4">
        <w:rPr>
          <w:rFonts w:ascii="Times New Roman" w:hAnsi="Times New Roman" w:cs="Times New Roman"/>
          <w:sz w:val="24"/>
          <w:szCs w:val="24"/>
        </w:rPr>
        <w:t xml:space="preserve"> </w:t>
      </w:r>
      <w:r>
        <w:rPr>
          <w:rFonts w:ascii="Times New Roman" w:hAnsi="Times New Roman" w:cs="Times New Roman"/>
          <w:sz w:val="24"/>
          <w:szCs w:val="24"/>
        </w:rPr>
        <w:t>EK</w:t>
      </w:r>
      <w:r w:rsidR="00874736">
        <w:rPr>
          <w:rFonts w:ascii="Times New Roman" w:hAnsi="Times New Roman" w:cs="Times New Roman"/>
          <w:sz w:val="24"/>
          <w:szCs w:val="24"/>
        </w:rPr>
        <w:t>)</w:t>
      </w:r>
      <w:r w:rsidR="00CA1001">
        <w:rPr>
          <w:rFonts w:ascii="Times New Roman" w:hAnsi="Times New Roman" w:cs="Times New Roman"/>
          <w:sz w:val="24"/>
          <w:szCs w:val="24"/>
        </w:rPr>
        <w:t xml:space="preserve"> </w:t>
      </w:r>
      <w:r>
        <w:rPr>
          <w:rFonts w:ascii="Times New Roman" w:hAnsi="Times New Roman" w:cs="Times New Roman"/>
          <w:sz w:val="24"/>
          <w:szCs w:val="24"/>
        </w:rPr>
        <w:t>izstrādātas</w:t>
      </w:r>
      <w:r w:rsidR="00CA1001">
        <w:rPr>
          <w:rFonts w:ascii="Times New Roman" w:hAnsi="Times New Roman" w:cs="Times New Roman"/>
          <w:sz w:val="24"/>
          <w:szCs w:val="24"/>
        </w:rPr>
        <w:t xml:space="preserve"> </w:t>
      </w:r>
      <w:r>
        <w:rPr>
          <w:rFonts w:ascii="Times New Roman" w:hAnsi="Times New Roman" w:cs="Times New Roman"/>
          <w:sz w:val="24"/>
          <w:szCs w:val="24"/>
        </w:rPr>
        <w:t>un apstiprinātas metodikas un</w:t>
      </w:r>
      <w:proofErr w:type="gramStart"/>
      <w:r>
        <w:rPr>
          <w:rFonts w:ascii="Times New Roman" w:hAnsi="Times New Roman" w:cs="Times New Roman"/>
          <w:sz w:val="24"/>
          <w:szCs w:val="24"/>
        </w:rPr>
        <w:t xml:space="preserve"> iesniegts elektroniski</w:t>
      </w:r>
      <w:proofErr w:type="gramEnd"/>
      <w:r>
        <w:rPr>
          <w:rFonts w:ascii="Times New Roman" w:hAnsi="Times New Roman" w:cs="Times New Roman"/>
          <w:sz w:val="24"/>
          <w:szCs w:val="24"/>
        </w:rPr>
        <w:t xml:space="preserve">, izmantojot Eiropas Vides aģentūras uzturēto </w:t>
      </w:r>
      <w:proofErr w:type="spellStart"/>
      <w:r>
        <w:rPr>
          <w:rFonts w:ascii="Times New Roman" w:hAnsi="Times New Roman" w:cs="Times New Roman"/>
          <w:sz w:val="24"/>
          <w:szCs w:val="24"/>
        </w:rPr>
        <w:t>ReportNet</w:t>
      </w:r>
      <w:proofErr w:type="spellEnd"/>
      <w:r>
        <w:rPr>
          <w:rFonts w:ascii="Times New Roman" w:hAnsi="Times New Roman" w:cs="Times New Roman"/>
          <w:sz w:val="24"/>
          <w:szCs w:val="24"/>
        </w:rPr>
        <w:t xml:space="preserve"> vietni. </w:t>
      </w:r>
      <w:r w:rsidR="003536EA">
        <w:rPr>
          <w:rFonts w:ascii="Times New Roman" w:hAnsi="Times New Roman" w:cs="Times New Roman"/>
          <w:sz w:val="24"/>
          <w:szCs w:val="24"/>
        </w:rPr>
        <w:t xml:space="preserve">Ziņojumu sagatavošanas formāts, ziņojuma aizpildīšanas vadlīnijas, kā arī cita noderīga informācija ziņojuma sagatavošanai ir pieejama Eiropas Vides aģentūras atsauču portālā: </w:t>
      </w:r>
      <w:hyperlink r:id="rId8" w:history="1">
        <w:r w:rsidR="00843E32" w:rsidRPr="00843E32">
          <w:rPr>
            <w:rStyle w:val="Hyperlink"/>
            <w:rFonts w:ascii="Times New Roman" w:hAnsi="Times New Roman" w:cs="Times New Roman"/>
            <w:sz w:val="24"/>
          </w:rPr>
          <w:t>http://cdr.eionet.europa.eu/help/birds_art12</w:t>
        </w:r>
      </w:hyperlink>
      <w:proofErr w:type="gramStart"/>
      <w:r w:rsidR="00843E32" w:rsidRPr="00843E32">
        <w:rPr>
          <w:sz w:val="24"/>
        </w:rPr>
        <w:t xml:space="preserve">  </w:t>
      </w:r>
      <w:proofErr w:type="gramEnd"/>
    </w:p>
    <w:p w14:paraId="15CEC2A1" w14:textId="17FA0665" w:rsidR="0034788F" w:rsidRPr="00082687" w:rsidRDefault="0034788F" w:rsidP="00626A3E">
      <w:pPr>
        <w:ind w:firstLine="709"/>
        <w:jc w:val="both"/>
        <w:rPr>
          <w:rFonts w:ascii="Times New Roman" w:hAnsi="Times New Roman" w:cs="Times New Roman"/>
          <w:sz w:val="24"/>
          <w:szCs w:val="24"/>
        </w:rPr>
      </w:pPr>
      <w:r w:rsidRPr="009E3439">
        <w:rPr>
          <w:rFonts w:ascii="Times New Roman" w:hAnsi="Times New Roman" w:cs="Times New Roman"/>
          <w:sz w:val="24"/>
          <w:szCs w:val="24"/>
        </w:rPr>
        <w:t xml:space="preserve">Ziņojums par </w:t>
      </w:r>
      <w:r w:rsidR="00B647A3">
        <w:rPr>
          <w:rFonts w:ascii="Times New Roman" w:hAnsi="Times New Roman" w:cs="Times New Roman"/>
          <w:sz w:val="24"/>
          <w:szCs w:val="24"/>
        </w:rPr>
        <w:t>Putnu</w:t>
      </w:r>
      <w:r w:rsidRPr="009E3439">
        <w:rPr>
          <w:rFonts w:ascii="Times New Roman" w:hAnsi="Times New Roman" w:cs="Times New Roman"/>
          <w:sz w:val="24"/>
          <w:szCs w:val="24"/>
        </w:rPr>
        <w:t xml:space="preserve"> </w:t>
      </w:r>
      <w:r w:rsidRPr="00082687">
        <w:rPr>
          <w:rFonts w:ascii="Times New Roman" w:hAnsi="Times New Roman" w:cs="Times New Roman"/>
          <w:sz w:val="24"/>
          <w:szCs w:val="24"/>
        </w:rPr>
        <w:t>direktīvas ieviešanu sastāv no sekojošām daļām:</w:t>
      </w:r>
    </w:p>
    <w:p w14:paraId="380D61AC" w14:textId="29743828" w:rsidR="00155E65" w:rsidRPr="009E3439" w:rsidRDefault="00EE3BA8" w:rsidP="00626A3E">
      <w:pPr>
        <w:numPr>
          <w:ilvl w:val="0"/>
          <w:numId w:val="6"/>
        </w:numPr>
        <w:jc w:val="both"/>
        <w:rPr>
          <w:rFonts w:ascii="Times New Roman" w:hAnsi="Times New Roman" w:cs="Times New Roman"/>
          <w:sz w:val="24"/>
          <w:szCs w:val="24"/>
        </w:rPr>
      </w:pPr>
      <w:r w:rsidRPr="00082687">
        <w:rPr>
          <w:rFonts w:ascii="Times New Roman" w:hAnsi="Times New Roman" w:cs="Times New Roman"/>
          <w:sz w:val="24"/>
          <w:szCs w:val="24"/>
        </w:rPr>
        <w:t>Vispārējais ziņojums</w:t>
      </w:r>
      <w:r w:rsidR="009C78ED" w:rsidRPr="00082687">
        <w:rPr>
          <w:rFonts w:ascii="Times New Roman" w:hAnsi="Times New Roman" w:cs="Times New Roman"/>
          <w:sz w:val="24"/>
          <w:szCs w:val="24"/>
        </w:rPr>
        <w:t xml:space="preserve"> par </w:t>
      </w:r>
      <w:r w:rsidR="00843E32">
        <w:rPr>
          <w:rFonts w:ascii="Times New Roman" w:hAnsi="Times New Roman" w:cs="Times New Roman"/>
          <w:sz w:val="24"/>
          <w:szCs w:val="24"/>
        </w:rPr>
        <w:t>Putnu</w:t>
      </w:r>
      <w:r w:rsidR="009C78ED" w:rsidRPr="00082687">
        <w:rPr>
          <w:rFonts w:ascii="Times New Roman" w:hAnsi="Times New Roman" w:cs="Times New Roman"/>
          <w:sz w:val="24"/>
          <w:szCs w:val="24"/>
        </w:rPr>
        <w:t xml:space="preserve"> direktīvā minēto valstu pienākumu ieviešanu pārskata periodā </w:t>
      </w:r>
      <w:r w:rsidR="000E4F36">
        <w:rPr>
          <w:rFonts w:ascii="Times New Roman" w:hAnsi="Times New Roman" w:cs="Times New Roman"/>
          <w:sz w:val="24"/>
          <w:szCs w:val="24"/>
        </w:rPr>
        <w:t>–</w:t>
      </w:r>
      <w:r w:rsidR="00843E32">
        <w:rPr>
          <w:rFonts w:ascii="Times New Roman" w:hAnsi="Times New Roman" w:cs="Times New Roman"/>
          <w:sz w:val="24"/>
          <w:szCs w:val="24"/>
        </w:rPr>
        <w:t xml:space="preserve"> likumdošanas izmaiņas, pārskats par putnu sugu pētījumiem, monitoringu, kā arī cita būtiska informācija, lai izvērtētu Putnu direktīvā noteikto pienākumu ieviešanu. </w:t>
      </w:r>
    </w:p>
    <w:p w14:paraId="7468CC63" w14:textId="6DD40690" w:rsidR="00155E65" w:rsidRPr="009E3439" w:rsidRDefault="00A40998" w:rsidP="00626A3E">
      <w:pPr>
        <w:numPr>
          <w:ilvl w:val="0"/>
          <w:numId w:val="6"/>
        </w:numPr>
        <w:jc w:val="both"/>
        <w:rPr>
          <w:rFonts w:ascii="Times New Roman" w:hAnsi="Times New Roman" w:cs="Times New Roman"/>
          <w:sz w:val="24"/>
          <w:szCs w:val="24"/>
        </w:rPr>
      </w:pPr>
      <w:r>
        <w:rPr>
          <w:rFonts w:ascii="Times New Roman" w:hAnsi="Times New Roman" w:cs="Times New Roman"/>
          <w:sz w:val="24"/>
          <w:szCs w:val="24"/>
        </w:rPr>
        <w:t>I</w:t>
      </w:r>
      <w:r w:rsidR="006415E1">
        <w:rPr>
          <w:rFonts w:ascii="Times New Roman" w:hAnsi="Times New Roman" w:cs="Times New Roman"/>
          <w:sz w:val="24"/>
          <w:szCs w:val="24"/>
        </w:rPr>
        <w:t>zvērtējuma a</w:t>
      </w:r>
      <w:r w:rsidR="00EE3BA8" w:rsidRPr="009E3439">
        <w:rPr>
          <w:rFonts w:ascii="Times New Roman" w:hAnsi="Times New Roman" w:cs="Times New Roman"/>
          <w:sz w:val="24"/>
          <w:szCs w:val="24"/>
        </w:rPr>
        <w:t xml:space="preserve">nketa par katru </w:t>
      </w:r>
      <w:r w:rsidR="00874736">
        <w:rPr>
          <w:rFonts w:ascii="Times New Roman" w:hAnsi="Times New Roman" w:cs="Times New Roman"/>
          <w:sz w:val="24"/>
          <w:szCs w:val="24"/>
        </w:rPr>
        <w:t xml:space="preserve">Latvijā sastopamo </w:t>
      </w:r>
      <w:r w:rsidR="00843E32">
        <w:rPr>
          <w:rFonts w:ascii="Times New Roman" w:hAnsi="Times New Roman" w:cs="Times New Roman"/>
          <w:sz w:val="24"/>
          <w:szCs w:val="24"/>
        </w:rPr>
        <w:t>putnu sugu, novērtējot sugas populācijas lielumu, īste</w:t>
      </w:r>
      <w:r w:rsidR="00B647A3">
        <w:rPr>
          <w:rFonts w:ascii="Times New Roman" w:hAnsi="Times New Roman" w:cs="Times New Roman"/>
          <w:sz w:val="24"/>
          <w:szCs w:val="24"/>
        </w:rPr>
        <w:t>r</w:t>
      </w:r>
      <w:r w:rsidR="00843E32">
        <w:rPr>
          <w:rFonts w:ascii="Times New Roman" w:hAnsi="Times New Roman" w:cs="Times New Roman"/>
          <w:sz w:val="24"/>
          <w:szCs w:val="24"/>
        </w:rPr>
        <w:t xml:space="preserve">miņa un ilgtermiņa izmaiņu tendences, kā arī izvērtējumu par putnu sugu aizsardzībai izveidoto </w:t>
      </w:r>
      <w:proofErr w:type="spellStart"/>
      <w:r w:rsidR="00843E32">
        <w:rPr>
          <w:rFonts w:ascii="Times New Roman" w:hAnsi="Times New Roman" w:cs="Times New Roman"/>
          <w:sz w:val="24"/>
          <w:szCs w:val="24"/>
        </w:rPr>
        <w:t>Natura</w:t>
      </w:r>
      <w:proofErr w:type="spellEnd"/>
      <w:r w:rsidR="00843E32">
        <w:rPr>
          <w:rFonts w:ascii="Times New Roman" w:hAnsi="Times New Roman" w:cs="Times New Roman"/>
          <w:sz w:val="24"/>
          <w:szCs w:val="24"/>
        </w:rPr>
        <w:t xml:space="preserve"> 2000 teritoriju stāvokli un veiktajiem aizsardzības pasākumiem. </w:t>
      </w:r>
    </w:p>
    <w:p w14:paraId="0D541EC1" w14:textId="42BEEC2C" w:rsidR="0034788F" w:rsidRPr="00A40998" w:rsidRDefault="00F008A0" w:rsidP="00626A3E">
      <w:pPr>
        <w:ind w:firstLine="709"/>
        <w:jc w:val="both"/>
        <w:rPr>
          <w:rFonts w:ascii="Times New Roman" w:hAnsi="Times New Roman" w:cs="Times New Roman"/>
          <w:sz w:val="24"/>
          <w:szCs w:val="24"/>
        </w:rPr>
      </w:pPr>
      <w:r w:rsidRPr="00A40998">
        <w:rPr>
          <w:rFonts w:ascii="Times New Roman" w:hAnsi="Times New Roman" w:cs="Times New Roman"/>
          <w:sz w:val="24"/>
          <w:szCs w:val="24"/>
        </w:rPr>
        <w:t>Ziņojum</w:t>
      </w:r>
      <w:r w:rsidR="00082687" w:rsidRPr="00A40998">
        <w:rPr>
          <w:rFonts w:ascii="Times New Roman" w:hAnsi="Times New Roman" w:cs="Times New Roman"/>
          <w:sz w:val="24"/>
          <w:szCs w:val="24"/>
        </w:rPr>
        <w:t>u sagatavoja</w:t>
      </w:r>
      <w:r w:rsidRPr="00A40998">
        <w:rPr>
          <w:rFonts w:ascii="Times New Roman" w:hAnsi="Times New Roman" w:cs="Times New Roman"/>
          <w:sz w:val="24"/>
          <w:szCs w:val="24"/>
        </w:rPr>
        <w:t xml:space="preserve"> Dabas aizsardzības pārvalde (</w:t>
      </w:r>
      <w:r w:rsidR="008E4979" w:rsidRPr="00A40998">
        <w:rPr>
          <w:rFonts w:ascii="Times New Roman" w:hAnsi="Times New Roman" w:cs="Times New Roman"/>
          <w:sz w:val="24"/>
          <w:szCs w:val="24"/>
        </w:rPr>
        <w:t xml:space="preserve">turpmāk </w:t>
      </w:r>
      <w:r w:rsidR="003214AB">
        <w:rPr>
          <w:rFonts w:ascii="Times New Roman" w:hAnsi="Times New Roman" w:cs="Times New Roman"/>
          <w:sz w:val="24"/>
          <w:szCs w:val="24"/>
        </w:rPr>
        <w:t>–</w:t>
      </w:r>
      <w:r w:rsidR="003214AB" w:rsidRPr="00A40998">
        <w:rPr>
          <w:rFonts w:ascii="Times New Roman" w:hAnsi="Times New Roman" w:cs="Times New Roman"/>
          <w:sz w:val="24"/>
          <w:szCs w:val="24"/>
        </w:rPr>
        <w:t xml:space="preserve"> </w:t>
      </w:r>
      <w:r w:rsidRPr="00A40998">
        <w:rPr>
          <w:rFonts w:ascii="Times New Roman" w:hAnsi="Times New Roman" w:cs="Times New Roman"/>
          <w:sz w:val="24"/>
          <w:szCs w:val="24"/>
        </w:rPr>
        <w:t xml:space="preserve">DAP).  </w:t>
      </w:r>
    </w:p>
    <w:p w14:paraId="1CE222F1" w14:textId="31772D73" w:rsidR="00391888" w:rsidRDefault="00391888" w:rsidP="00626A3E">
      <w:pPr>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Atbilstoši </w:t>
      </w:r>
      <w:r w:rsidR="00FB13F6">
        <w:rPr>
          <w:rFonts w:ascii="Times New Roman" w:eastAsiaTheme="minorEastAsia" w:hAnsi="Times New Roman" w:cs="Times New Roman"/>
          <w:sz w:val="24"/>
          <w:szCs w:val="24"/>
        </w:rPr>
        <w:t>Putnu</w:t>
      </w:r>
      <w:r>
        <w:rPr>
          <w:rFonts w:ascii="Times New Roman" w:eastAsiaTheme="minorEastAsia" w:hAnsi="Times New Roman" w:cs="Times New Roman"/>
          <w:sz w:val="24"/>
          <w:szCs w:val="24"/>
        </w:rPr>
        <w:t xml:space="preserve"> direktīvas 1</w:t>
      </w:r>
      <w:r w:rsidR="00FB13F6">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w:t>
      </w:r>
      <w:r w:rsidR="00154045">
        <w:rPr>
          <w:rFonts w:ascii="Times New Roman" w:eastAsiaTheme="minorEastAsia" w:hAnsi="Times New Roman" w:cs="Times New Roman"/>
          <w:sz w:val="24"/>
          <w:szCs w:val="24"/>
        </w:rPr>
        <w:t>panta 2. punktam</w:t>
      </w:r>
      <w:r>
        <w:rPr>
          <w:rFonts w:ascii="Times New Roman" w:eastAsiaTheme="minorEastAsia" w:hAnsi="Times New Roman" w:cs="Times New Roman"/>
          <w:sz w:val="24"/>
          <w:szCs w:val="24"/>
        </w:rPr>
        <w:t>, pamatojoties uz visu ES dalībvalstu iesniegtaj</w:t>
      </w:r>
      <w:r w:rsidR="006914B0">
        <w:rPr>
          <w:rFonts w:ascii="Times New Roman" w:eastAsiaTheme="minorEastAsia" w:hAnsi="Times New Roman" w:cs="Times New Roman"/>
          <w:sz w:val="24"/>
          <w:szCs w:val="24"/>
        </w:rPr>
        <w:t>iem</w:t>
      </w:r>
      <w:r>
        <w:rPr>
          <w:rFonts w:ascii="Times New Roman" w:eastAsiaTheme="minorEastAsia" w:hAnsi="Times New Roman" w:cs="Times New Roman"/>
          <w:sz w:val="24"/>
          <w:szCs w:val="24"/>
        </w:rPr>
        <w:t xml:space="preserve"> </w:t>
      </w:r>
      <w:r w:rsidR="006914B0">
        <w:rPr>
          <w:rFonts w:ascii="Times New Roman" w:eastAsiaTheme="minorEastAsia" w:hAnsi="Times New Roman" w:cs="Times New Roman"/>
          <w:sz w:val="24"/>
          <w:szCs w:val="24"/>
        </w:rPr>
        <w:t>ziņojumiem</w:t>
      </w:r>
      <w:r>
        <w:rPr>
          <w:rFonts w:ascii="Times New Roman" w:eastAsiaTheme="minorEastAsia" w:hAnsi="Times New Roman" w:cs="Times New Roman"/>
          <w:sz w:val="24"/>
          <w:szCs w:val="24"/>
        </w:rPr>
        <w:t>, līdz 20</w:t>
      </w:r>
      <w:r w:rsidR="0066699F">
        <w:rPr>
          <w:rFonts w:ascii="Times New Roman" w:eastAsiaTheme="minorEastAsia" w:hAnsi="Times New Roman" w:cs="Times New Roman"/>
          <w:sz w:val="24"/>
          <w:szCs w:val="24"/>
        </w:rPr>
        <w:t>19</w:t>
      </w:r>
      <w:r>
        <w:rPr>
          <w:rFonts w:ascii="Times New Roman" w:eastAsiaTheme="minorEastAsia" w:hAnsi="Times New Roman" w:cs="Times New Roman"/>
          <w:sz w:val="24"/>
          <w:szCs w:val="24"/>
        </w:rPr>
        <w:t xml:space="preserve">. gada beigām EK izstrādās konsolidēto ES </w:t>
      </w:r>
      <w:r w:rsidR="006914B0">
        <w:rPr>
          <w:rFonts w:ascii="Times New Roman" w:eastAsiaTheme="minorEastAsia" w:hAnsi="Times New Roman" w:cs="Times New Roman"/>
          <w:sz w:val="24"/>
          <w:szCs w:val="24"/>
        </w:rPr>
        <w:t>ziņojumu</w:t>
      </w:r>
      <w:r>
        <w:rPr>
          <w:rFonts w:ascii="Times New Roman" w:eastAsiaTheme="minorEastAsia" w:hAnsi="Times New Roman" w:cs="Times New Roman"/>
          <w:sz w:val="24"/>
          <w:szCs w:val="24"/>
        </w:rPr>
        <w:t xml:space="preserve"> par </w:t>
      </w:r>
      <w:r w:rsidR="00FB13F6">
        <w:rPr>
          <w:rFonts w:ascii="Times New Roman" w:eastAsiaTheme="minorEastAsia" w:hAnsi="Times New Roman" w:cs="Times New Roman"/>
          <w:sz w:val="24"/>
          <w:szCs w:val="24"/>
        </w:rPr>
        <w:t>Putnu</w:t>
      </w:r>
      <w:r>
        <w:rPr>
          <w:rFonts w:ascii="Times New Roman" w:eastAsiaTheme="minorEastAsia" w:hAnsi="Times New Roman" w:cs="Times New Roman"/>
          <w:sz w:val="24"/>
          <w:szCs w:val="24"/>
        </w:rPr>
        <w:t xml:space="preserve"> direktīvas ieviešanu visās ES dalībvalstīs. </w:t>
      </w:r>
    </w:p>
    <w:p w14:paraId="2A632808" w14:textId="77777777" w:rsidR="00514D19" w:rsidRDefault="00514D19" w:rsidP="00626A3E">
      <w:pPr>
        <w:ind w:left="360"/>
        <w:jc w:val="both"/>
        <w:rPr>
          <w:rFonts w:ascii="Times New Roman" w:hAnsi="Times New Roman" w:cs="Times New Roman"/>
          <w:b/>
          <w:sz w:val="24"/>
          <w:szCs w:val="24"/>
        </w:rPr>
      </w:pPr>
    </w:p>
    <w:p w14:paraId="101B8D26" w14:textId="77777777" w:rsidR="003214AB" w:rsidRDefault="003214AB" w:rsidP="00626A3E">
      <w:pPr>
        <w:ind w:left="360"/>
        <w:jc w:val="both"/>
        <w:rPr>
          <w:rFonts w:ascii="Times New Roman" w:hAnsi="Times New Roman" w:cs="Times New Roman"/>
          <w:b/>
          <w:sz w:val="24"/>
          <w:szCs w:val="24"/>
        </w:rPr>
      </w:pPr>
    </w:p>
    <w:p w14:paraId="450E328E" w14:textId="4CB643EF" w:rsidR="00EE7F27" w:rsidRDefault="00EE7F27" w:rsidP="00626A3E">
      <w:pPr>
        <w:ind w:left="360"/>
        <w:jc w:val="both"/>
        <w:rPr>
          <w:rFonts w:ascii="Times New Roman" w:hAnsi="Times New Roman" w:cs="Times New Roman"/>
          <w:sz w:val="24"/>
          <w:szCs w:val="24"/>
        </w:rPr>
      </w:pPr>
      <w:r>
        <w:rPr>
          <w:rFonts w:ascii="Times New Roman" w:hAnsi="Times New Roman" w:cs="Times New Roman"/>
          <w:b/>
          <w:sz w:val="24"/>
          <w:szCs w:val="24"/>
        </w:rPr>
        <w:t>Ziņojuma tvērums</w:t>
      </w:r>
    </w:p>
    <w:p w14:paraId="0758F335" w14:textId="10B88A6D" w:rsidR="00EE7F27" w:rsidRDefault="00EE7F27" w:rsidP="00BA2503">
      <w:pPr>
        <w:ind w:left="360" w:firstLine="633"/>
        <w:jc w:val="both"/>
        <w:rPr>
          <w:rFonts w:ascii="Times New Roman" w:hAnsi="Times New Roman" w:cs="Times New Roman"/>
          <w:sz w:val="24"/>
          <w:szCs w:val="24"/>
        </w:rPr>
      </w:pPr>
      <w:r>
        <w:rPr>
          <w:rFonts w:ascii="Times New Roman" w:hAnsi="Times New Roman" w:cs="Times New Roman"/>
          <w:sz w:val="24"/>
          <w:szCs w:val="24"/>
        </w:rPr>
        <w:t xml:space="preserve">Tā kā Putnu direktīva attiecas uz visām ES dalībvalstīs sastopamām savvaļas putnu sugām, ne tikai īpaši aizsargājām sugām, tad </w:t>
      </w:r>
      <w:r w:rsidR="00AE76E9">
        <w:rPr>
          <w:rFonts w:ascii="Times New Roman" w:hAnsi="Times New Roman" w:cs="Times New Roman"/>
          <w:sz w:val="24"/>
          <w:szCs w:val="24"/>
        </w:rPr>
        <w:t xml:space="preserve">arī </w:t>
      </w:r>
      <w:r>
        <w:rPr>
          <w:rFonts w:ascii="Times New Roman" w:hAnsi="Times New Roman" w:cs="Times New Roman"/>
          <w:sz w:val="24"/>
          <w:szCs w:val="24"/>
        </w:rPr>
        <w:t xml:space="preserve">ziņojums tiek gatavots par visām dalībvalsts teritorijā regulāri sastopamām savvaļas putnu sugām. </w:t>
      </w:r>
      <w:r w:rsidR="009144D2">
        <w:rPr>
          <w:rFonts w:ascii="Times New Roman" w:hAnsi="Times New Roman" w:cs="Times New Roman"/>
          <w:sz w:val="24"/>
          <w:szCs w:val="24"/>
        </w:rPr>
        <w:t xml:space="preserve">Ņemot vērā putnu sugu sastopamību, ziņojumā tiek atsevišķi vērtētas Latvijas teritorijā ligzdojošās, migrējošās (caurceļojošās) un ziemojošās putnu sugas. Kopumā vērtējums ir sagatavots par 218 putnu sugām, ņemot vērā, ka viena suga var atbilst vairākām kategorijām. </w:t>
      </w:r>
    </w:p>
    <w:p w14:paraId="538B69AE" w14:textId="175ED233" w:rsidR="009144D2" w:rsidRDefault="009144D2" w:rsidP="00626A3E">
      <w:pPr>
        <w:ind w:left="360"/>
        <w:jc w:val="both"/>
        <w:rPr>
          <w:rFonts w:ascii="Times New Roman" w:hAnsi="Times New Roman" w:cs="Times New Roman"/>
          <w:sz w:val="24"/>
          <w:szCs w:val="24"/>
        </w:rPr>
      </w:pPr>
      <w:r>
        <w:rPr>
          <w:noProof/>
          <w:lang w:eastAsia="lv-LV"/>
        </w:rPr>
        <w:drawing>
          <wp:inline distT="0" distB="0" distL="0" distR="0" wp14:anchorId="2BB2B0EA" wp14:editId="0139D84E">
            <wp:extent cx="4572000" cy="2743200"/>
            <wp:effectExtent l="0" t="0" r="0" b="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453EEA0-5232-4741-B3A4-0C8D8C1A99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27BC3C" w14:textId="75B61AEE" w:rsidR="009144D2" w:rsidRPr="009144D2" w:rsidRDefault="009144D2" w:rsidP="00626A3E">
      <w:pPr>
        <w:ind w:left="360"/>
        <w:jc w:val="both"/>
        <w:rPr>
          <w:rFonts w:ascii="Times New Roman" w:hAnsi="Times New Roman" w:cs="Times New Roman"/>
          <w:i/>
          <w:sz w:val="20"/>
          <w:szCs w:val="24"/>
        </w:rPr>
      </w:pPr>
      <w:r w:rsidRPr="009144D2">
        <w:rPr>
          <w:rFonts w:ascii="Times New Roman" w:hAnsi="Times New Roman" w:cs="Times New Roman"/>
          <w:i/>
          <w:sz w:val="20"/>
          <w:szCs w:val="24"/>
        </w:rPr>
        <w:t xml:space="preserve">1.attēls. Ziņojumā iekļauto putnu sugu iedalījums. </w:t>
      </w:r>
    </w:p>
    <w:p w14:paraId="78FA2EF7" w14:textId="5BE26B1C" w:rsidR="009144D2" w:rsidRPr="009144D2" w:rsidRDefault="009144D2" w:rsidP="00BA2503">
      <w:pPr>
        <w:ind w:left="360" w:firstLine="633"/>
        <w:jc w:val="both"/>
        <w:rPr>
          <w:rFonts w:ascii="Times New Roman" w:hAnsi="Times New Roman" w:cs="Times New Roman"/>
          <w:sz w:val="24"/>
          <w:szCs w:val="24"/>
        </w:rPr>
      </w:pPr>
      <w:r>
        <w:rPr>
          <w:rFonts w:ascii="Times New Roman" w:hAnsi="Times New Roman" w:cs="Times New Roman"/>
          <w:sz w:val="24"/>
          <w:szCs w:val="24"/>
        </w:rPr>
        <w:t xml:space="preserve">Ziņojumā atsevišķi tiek nodalītas tās putnu sugas, kuru aizsardzībai jāveido ES nozīmes aizsargājamās teritorijas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Tās ir īpaši aizsargājamās putnu sugas, kas iekļautas Putnu direktīvas I pielikumā.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teritorijas veidojamas arī nozīmīgās migrējošo putnu pulcēšanās vietās, arī tad, ja putnu suga nav iekļauta Putnu direktīvas I pielikumā. </w:t>
      </w:r>
    </w:p>
    <w:p w14:paraId="6BA7B231" w14:textId="44535055" w:rsidR="009144D2" w:rsidRPr="009144D2" w:rsidRDefault="004C6D79" w:rsidP="00626A3E">
      <w:pPr>
        <w:ind w:left="360"/>
        <w:jc w:val="both"/>
        <w:rPr>
          <w:rFonts w:ascii="Times New Roman" w:hAnsi="Times New Roman" w:cs="Times New Roman"/>
          <w:sz w:val="24"/>
          <w:szCs w:val="24"/>
        </w:rPr>
      </w:pPr>
      <w:r>
        <w:rPr>
          <w:noProof/>
          <w:lang w:eastAsia="lv-LV"/>
        </w:rPr>
        <w:lastRenderedPageBreak/>
        <w:drawing>
          <wp:inline distT="0" distB="0" distL="0" distR="0" wp14:anchorId="4B3DA8D1" wp14:editId="17822EE6">
            <wp:extent cx="4572000" cy="2743200"/>
            <wp:effectExtent l="0" t="0" r="0" b="0"/>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EFEDE4E-3656-4692-8261-3C75F1F642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316DBC" w14:textId="336274BB" w:rsidR="009144D2" w:rsidRPr="00E758E9" w:rsidRDefault="00E758E9" w:rsidP="00626A3E">
      <w:pPr>
        <w:ind w:left="360"/>
        <w:jc w:val="both"/>
        <w:rPr>
          <w:rFonts w:ascii="Times New Roman" w:hAnsi="Times New Roman" w:cs="Times New Roman"/>
          <w:i/>
          <w:sz w:val="20"/>
          <w:szCs w:val="24"/>
        </w:rPr>
      </w:pPr>
      <w:r w:rsidRPr="00E758E9">
        <w:rPr>
          <w:rFonts w:ascii="Times New Roman" w:hAnsi="Times New Roman" w:cs="Times New Roman"/>
          <w:i/>
          <w:sz w:val="20"/>
          <w:szCs w:val="24"/>
        </w:rPr>
        <w:t xml:space="preserve">2. attēls. Putnu sugu, kuru aizsardzībai jāveido </w:t>
      </w:r>
      <w:proofErr w:type="spellStart"/>
      <w:r w:rsidRPr="00E758E9">
        <w:rPr>
          <w:rFonts w:ascii="Times New Roman" w:hAnsi="Times New Roman" w:cs="Times New Roman"/>
          <w:i/>
          <w:sz w:val="20"/>
          <w:szCs w:val="24"/>
        </w:rPr>
        <w:t>Natura</w:t>
      </w:r>
      <w:proofErr w:type="spellEnd"/>
      <w:r w:rsidRPr="00E758E9">
        <w:rPr>
          <w:rFonts w:ascii="Times New Roman" w:hAnsi="Times New Roman" w:cs="Times New Roman"/>
          <w:i/>
          <w:sz w:val="20"/>
          <w:szCs w:val="24"/>
        </w:rPr>
        <w:t xml:space="preserve"> 2000 teritorijas, skaits.</w:t>
      </w:r>
    </w:p>
    <w:p w14:paraId="11BB2637" w14:textId="21590DBD" w:rsidR="009144D2" w:rsidRDefault="00E758E9" w:rsidP="00626A3E">
      <w:pPr>
        <w:ind w:left="360"/>
        <w:jc w:val="both"/>
        <w:rPr>
          <w:rFonts w:ascii="Times New Roman" w:hAnsi="Times New Roman" w:cs="Times New Roman"/>
          <w:sz w:val="24"/>
          <w:szCs w:val="24"/>
        </w:rPr>
      </w:pPr>
      <w:r>
        <w:rPr>
          <w:rFonts w:ascii="Times New Roman" w:hAnsi="Times New Roman" w:cs="Times New Roman"/>
          <w:sz w:val="24"/>
          <w:szCs w:val="24"/>
        </w:rPr>
        <w:t>Par katru sugu tiek ziņoti šādi parametri, ciktāl attiecināms uz konkrēto sugu:</w:t>
      </w:r>
    </w:p>
    <w:p w14:paraId="56636B33" w14:textId="139EEB18" w:rsidR="00E758E9" w:rsidRDefault="00E758E9" w:rsidP="00626A3E">
      <w:pPr>
        <w:pStyle w:val="ListParagraph"/>
        <w:numPr>
          <w:ilvl w:val="0"/>
          <w:numId w:val="14"/>
        </w:numPr>
        <w:jc w:val="both"/>
      </w:pPr>
      <w:r>
        <w:t>Sugas nosaukums;</w:t>
      </w:r>
    </w:p>
    <w:p w14:paraId="52ADAE91" w14:textId="456B262A" w:rsidR="00E758E9" w:rsidRDefault="00E758E9" w:rsidP="00626A3E">
      <w:pPr>
        <w:pStyle w:val="ListParagraph"/>
        <w:numPr>
          <w:ilvl w:val="0"/>
          <w:numId w:val="14"/>
        </w:numPr>
        <w:jc w:val="both"/>
      </w:pPr>
      <w:r>
        <w:t>Populācijas lielums;</w:t>
      </w:r>
    </w:p>
    <w:p w14:paraId="3AA3E9BB" w14:textId="18324A6F" w:rsidR="00E758E9" w:rsidRDefault="00E758E9" w:rsidP="00626A3E">
      <w:pPr>
        <w:pStyle w:val="ListParagraph"/>
        <w:numPr>
          <w:ilvl w:val="0"/>
          <w:numId w:val="14"/>
        </w:numPr>
        <w:jc w:val="both"/>
      </w:pPr>
      <w:r>
        <w:t>Populācijas lieluma īstermiņa un ilgtermiņa tendences;</w:t>
      </w:r>
    </w:p>
    <w:p w14:paraId="5C5E5372" w14:textId="5851FDEF" w:rsidR="00E758E9" w:rsidRDefault="00E758E9" w:rsidP="00626A3E">
      <w:pPr>
        <w:pStyle w:val="ListParagraph"/>
        <w:numPr>
          <w:ilvl w:val="0"/>
          <w:numId w:val="14"/>
        </w:numPr>
        <w:jc w:val="both"/>
      </w:pPr>
      <w:r>
        <w:t>Ligzdošanas (izplatības lielums, karte);</w:t>
      </w:r>
    </w:p>
    <w:p w14:paraId="5C87A259" w14:textId="3F908FEC" w:rsidR="00E758E9" w:rsidRDefault="00E758E9" w:rsidP="00626A3E">
      <w:pPr>
        <w:pStyle w:val="ListParagraph"/>
        <w:numPr>
          <w:ilvl w:val="0"/>
          <w:numId w:val="14"/>
        </w:numPr>
        <w:jc w:val="both"/>
      </w:pPr>
      <w:r>
        <w:t>Ligzdošanas izplatības tendences;</w:t>
      </w:r>
    </w:p>
    <w:p w14:paraId="27EE361D" w14:textId="6E88F1A9" w:rsidR="00E758E9" w:rsidRDefault="00E758E9" w:rsidP="00626A3E">
      <w:pPr>
        <w:pStyle w:val="ListParagraph"/>
        <w:numPr>
          <w:ilvl w:val="0"/>
          <w:numId w:val="14"/>
        </w:numPr>
        <w:jc w:val="both"/>
      </w:pPr>
      <w:r>
        <w:t xml:space="preserve">Progress aizsargājamo teritoriju veidošanā un apsaimniekošanā putnu sugu aizsardzībai, aizsargājamo teritoriju </w:t>
      </w:r>
      <w:r w:rsidR="008231B2">
        <w:t>dabas aizsardzības</w:t>
      </w:r>
      <w:r>
        <w:t xml:space="preserve"> plānu izstrāde;</w:t>
      </w:r>
    </w:p>
    <w:p w14:paraId="366EFC0D" w14:textId="3A0764F8" w:rsidR="00E758E9" w:rsidRDefault="00E758E9" w:rsidP="00626A3E">
      <w:pPr>
        <w:pStyle w:val="ListParagraph"/>
        <w:numPr>
          <w:ilvl w:val="0"/>
          <w:numId w:val="14"/>
        </w:numPr>
        <w:jc w:val="both"/>
      </w:pPr>
      <w:r>
        <w:t>Galvenie apdraudošie faktori;</w:t>
      </w:r>
    </w:p>
    <w:p w14:paraId="48B94AF8" w14:textId="632D867A" w:rsidR="00E758E9" w:rsidRDefault="00E758E9" w:rsidP="00626A3E">
      <w:pPr>
        <w:pStyle w:val="ListParagraph"/>
        <w:numPr>
          <w:ilvl w:val="0"/>
          <w:numId w:val="14"/>
        </w:numPr>
        <w:jc w:val="both"/>
      </w:pPr>
      <w:r>
        <w:t>Veiktie aizsardzības pasākumi;</w:t>
      </w:r>
    </w:p>
    <w:p w14:paraId="648CDCBF" w14:textId="16B6D8C6" w:rsidR="00E758E9" w:rsidRDefault="00E758E9" w:rsidP="00626A3E">
      <w:pPr>
        <w:pStyle w:val="ListParagraph"/>
        <w:numPr>
          <w:ilvl w:val="0"/>
          <w:numId w:val="14"/>
        </w:numPr>
        <w:jc w:val="both"/>
      </w:pPr>
      <w:proofErr w:type="spellStart"/>
      <w:r>
        <w:t>Natura</w:t>
      </w:r>
      <w:proofErr w:type="spellEnd"/>
      <w:r>
        <w:t xml:space="preserve"> 2000 pārklājums;</w:t>
      </w:r>
    </w:p>
    <w:p w14:paraId="7FA6D29C" w14:textId="576CA3EE" w:rsidR="00E758E9" w:rsidRPr="00E758E9" w:rsidRDefault="00E758E9" w:rsidP="00626A3E">
      <w:pPr>
        <w:pStyle w:val="ListParagraph"/>
        <w:numPr>
          <w:ilvl w:val="0"/>
          <w:numId w:val="14"/>
        </w:numPr>
        <w:jc w:val="both"/>
      </w:pPr>
      <w:r>
        <w:t xml:space="preserve">Informācija par sugas izmantošanu. </w:t>
      </w:r>
    </w:p>
    <w:p w14:paraId="1B3FF4F0" w14:textId="77777777" w:rsidR="00E758E9" w:rsidRPr="009144D2" w:rsidRDefault="00E758E9" w:rsidP="00626A3E">
      <w:pPr>
        <w:ind w:left="360"/>
        <w:jc w:val="both"/>
        <w:rPr>
          <w:rFonts w:ascii="Times New Roman" w:hAnsi="Times New Roman" w:cs="Times New Roman"/>
          <w:sz w:val="24"/>
          <w:szCs w:val="24"/>
        </w:rPr>
      </w:pPr>
    </w:p>
    <w:p w14:paraId="682F6A29" w14:textId="31DC5138" w:rsidR="00EE7F27" w:rsidRDefault="00E139B9" w:rsidP="00BA2503">
      <w:pPr>
        <w:ind w:left="360" w:firstLine="633"/>
        <w:jc w:val="both"/>
        <w:rPr>
          <w:rFonts w:ascii="Times New Roman" w:hAnsi="Times New Roman" w:cs="Times New Roman"/>
          <w:sz w:val="24"/>
          <w:szCs w:val="24"/>
        </w:rPr>
      </w:pPr>
      <w:r>
        <w:rPr>
          <w:rFonts w:ascii="Times New Roman" w:hAnsi="Times New Roman" w:cs="Times New Roman"/>
          <w:sz w:val="24"/>
          <w:szCs w:val="24"/>
        </w:rPr>
        <w:t>Populācijas lieluma aplēses jābalsta uz iespējami precīzākām uzskaitēm vai monitoringa datiem. Tā kā uzskaites periods valstī var atšķirties no ziņojuma pārskata perioda, tad uzskaitēs un monitoringā iegūtiem dati ir jāpārrēķina uz atbilstošo pārskata periodu (</w:t>
      </w:r>
      <w:proofErr w:type="gramStart"/>
      <w:r>
        <w:rPr>
          <w:rFonts w:ascii="Times New Roman" w:hAnsi="Times New Roman" w:cs="Times New Roman"/>
          <w:sz w:val="24"/>
          <w:szCs w:val="24"/>
        </w:rPr>
        <w:t>2013.</w:t>
      </w:r>
      <w:r w:rsidR="00EF34A6">
        <w:rPr>
          <w:rFonts w:ascii="Times New Roman" w:hAnsi="Times New Roman" w:cs="Times New Roman"/>
          <w:sz w:val="24"/>
          <w:szCs w:val="24"/>
        </w:rPr>
        <w:t xml:space="preserve"> – </w:t>
      </w:r>
      <w:r>
        <w:rPr>
          <w:rFonts w:ascii="Times New Roman" w:hAnsi="Times New Roman" w:cs="Times New Roman"/>
          <w:sz w:val="24"/>
          <w:szCs w:val="24"/>
        </w:rPr>
        <w:t>2018.</w:t>
      </w:r>
      <w:proofErr w:type="gramEnd"/>
      <w:r>
        <w:rPr>
          <w:rFonts w:ascii="Times New Roman" w:hAnsi="Times New Roman" w:cs="Times New Roman"/>
          <w:sz w:val="24"/>
          <w:szCs w:val="24"/>
        </w:rPr>
        <w:t xml:space="preserve"> gads). </w:t>
      </w:r>
      <w:r w:rsidR="003D4532">
        <w:rPr>
          <w:rFonts w:ascii="Times New Roman" w:hAnsi="Times New Roman" w:cs="Times New Roman"/>
          <w:sz w:val="24"/>
          <w:szCs w:val="24"/>
        </w:rPr>
        <w:t>Ziņojumā l</w:t>
      </w:r>
      <w:r>
        <w:rPr>
          <w:rFonts w:ascii="Times New Roman" w:hAnsi="Times New Roman" w:cs="Times New Roman"/>
          <w:sz w:val="24"/>
          <w:szCs w:val="24"/>
        </w:rPr>
        <w:t>igzdojošo putnu populācijas lieluma mērvienība ir pāris, migrējošo putnu populācijas uzskaites mērvienība ir īpatņi. Izņēmums ir tās putnu sugas, kur uzskaites precīzāk var veikt, balstoties uz putnu sugas ekoloģiskajām īpatnībām (piem</w:t>
      </w:r>
      <w:r w:rsidR="00F655B6">
        <w:rPr>
          <w:rFonts w:ascii="Times New Roman" w:hAnsi="Times New Roman" w:cs="Times New Roman"/>
          <w:sz w:val="24"/>
          <w:szCs w:val="24"/>
        </w:rPr>
        <w:t>.,</w:t>
      </w:r>
      <w:proofErr w:type="gramStart"/>
      <w:r w:rsidR="00F655B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dziedošo tēviņu skaits, u.tml.). </w:t>
      </w:r>
      <w:r w:rsidR="00874986">
        <w:rPr>
          <w:rFonts w:ascii="Times New Roman" w:hAnsi="Times New Roman" w:cs="Times New Roman"/>
          <w:sz w:val="24"/>
          <w:szCs w:val="24"/>
        </w:rPr>
        <w:t xml:space="preserve">Populācijas lielums ziņojumā tiek norādīts vai nu kā aplēses par iespējamo minimālo un maksimālo lielumu, vai kā precīzs skaits, ja tas ir iespējams. </w:t>
      </w:r>
    </w:p>
    <w:p w14:paraId="17A9C6AD" w14:textId="4B96CAF8" w:rsidR="008440A7" w:rsidRDefault="005E06D9" w:rsidP="00BA2503">
      <w:pPr>
        <w:ind w:left="360" w:firstLine="633"/>
        <w:jc w:val="both"/>
        <w:rPr>
          <w:rFonts w:ascii="Times New Roman" w:hAnsi="Times New Roman" w:cs="Times New Roman"/>
          <w:sz w:val="24"/>
          <w:szCs w:val="24"/>
        </w:rPr>
      </w:pPr>
      <w:r>
        <w:rPr>
          <w:rFonts w:ascii="Times New Roman" w:hAnsi="Times New Roman" w:cs="Times New Roman"/>
          <w:sz w:val="24"/>
          <w:szCs w:val="24"/>
        </w:rPr>
        <w:t xml:space="preserve">Populācijas lielumam tiek vērtētas īstermiņa un ilgtermiņa tendences. </w:t>
      </w:r>
      <w:r w:rsidR="008440A7">
        <w:rPr>
          <w:rFonts w:ascii="Times New Roman" w:hAnsi="Times New Roman" w:cs="Times New Roman"/>
          <w:sz w:val="24"/>
          <w:szCs w:val="24"/>
        </w:rPr>
        <w:t>Populācijas lieluma ī</w:t>
      </w:r>
      <w:r w:rsidR="009078DE">
        <w:rPr>
          <w:rFonts w:ascii="Times New Roman" w:hAnsi="Times New Roman" w:cs="Times New Roman"/>
          <w:sz w:val="24"/>
          <w:szCs w:val="24"/>
        </w:rPr>
        <w:t>stermiņa tendences tiek noteiktas 12 gadu periodam, kas atbilst diviem ziņošanas pārskata periodiem. Tas nozīmē, ka šī ziņojumā iekļautās īstermiņa tendences attiecas uz</w:t>
      </w:r>
      <w:proofErr w:type="gramStart"/>
      <w:r w:rsidR="009078DE">
        <w:rPr>
          <w:rFonts w:ascii="Times New Roman" w:hAnsi="Times New Roman" w:cs="Times New Roman"/>
          <w:sz w:val="24"/>
          <w:szCs w:val="24"/>
        </w:rPr>
        <w:t xml:space="preserve">  </w:t>
      </w:r>
      <w:proofErr w:type="gramEnd"/>
      <w:r w:rsidR="009078DE">
        <w:rPr>
          <w:rFonts w:ascii="Times New Roman" w:hAnsi="Times New Roman" w:cs="Times New Roman"/>
          <w:sz w:val="24"/>
          <w:szCs w:val="24"/>
        </w:rPr>
        <w:t>200</w:t>
      </w:r>
      <w:r w:rsidR="00AE76E9">
        <w:rPr>
          <w:rFonts w:ascii="Times New Roman" w:hAnsi="Times New Roman" w:cs="Times New Roman"/>
          <w:sz w:val="24"/>
          <w:szCs w:val="24"/>
        </w:rPr>
        <w:t>5</w:t>
      </w:r>
      <w:r w:rsidR="009078DE">
        <w:rPr>
          <w:rFonts w:ascii="Times New Roman" w:hAnsi="Times New Roman" w:cs="Times New Roman"/>
          <w:sz w:val="24"/>
          <w:szCs w:val="24"/>
        </w:rPr>
        <w:t>.</w:t>
      </w:r>
      <w:r w:rsidR="00EF34A6">
        <w:rPr>
          <w:rFonts w:ascii="Times New Roman" w:hAnsi="Times New Roman" w:cs="Times New Roman"/>
          <w:sz w:val="24"/>
          <w:szCs w:val="24"/>
        </w:rPr>
        <w:t xml:space="preserve"> – </w:t>
      </w:r>
      <w:r w:rsidR="009078DE">
        <w:rPr>
          <w:rFonts w:ascii="Times New Roman" w:hAnsi="Times New Roman" w:cs="Times New Roman"/>
          <w:sz w:val="24"/>
          <w:szCs w:val="24"/>
        </w:rPr>
        <w:t>201</w:t>
      </w:r>
      <w:r w:rsidR="009B4809">
        <w:rPr>
          <w:rFonts w:ascii="Times New Roman" w:hAnsi="Times New Roman" w:cs="Times New Roman"/>
          <w:sz w:val="24"/>
          <w:szCs w:val="24"/>
        </w:rPr>
        <w:t>7</w:t>
      </w:r>
      <w:r w:rsidR="009078DE">
        <w:rPr>
          <w:rFonts w:ascii="Times New Roman" w:hAnsi="Times New Roman" w:cs="Times New Roman"/>
          <w:sz w:val="24"/>
          <w:szCs w:val="24"/>
        </w:rPr>
        <w:t xml:space="preserve">. gadu. </w:t>
      </w:r>
      <w:r>
        <w:rPr>
          <w:rFonts w:ascii="Times New Roman" w:hAnsi="Times New Roman" w:cs="Times New Roman"/>
          <w:sz w:val="24"/>
          <w:szCs w:val="24"/>
        </w:rPr>
        <w:t xml:space="preserve">Savukārt populācijas ilgtermiņa tendences jāvērtē, par sākuma gadu izvēloties gadu, kad veiktas agrākās putnu </w:t>
      </w:r>
      <w:r>
        <w:rPr>
          <w:rFonts w:ascii="Times New Roman" w:hAnsi="Times New Roman" w:cs="Times New Roman"/>
          <w:sz w:val="24"/>
          <w:szCs w:val="24"/>
        </w:rPr>
        <w:lastRenderedPageBreak/>
        <w:t xml:space="preserve">uzskaites. </w:t>
      </w:r>
      <w:r w:rsidR="009B4809">
        <w:rPr>
          <w:rFonts w:ascii="Times New Roman" w:hAnsi="Times New Roman" w:cs="Times New Roman"/>
          <w:sz w:val="24"/>
          <w:szCs w:val="24"/>
        </w:rPr>
        <w:t xml:space="preserve">Ziņojumā, atkarībā no sugas izpētes sākuma, ilgtermiņa tendences sākuma gads atšķirīgām sugām ir atšķirīgs (1980., 1991., 2000. vai vēlāki gadi). </w:t>
      </w:r>
    </w:p>
    <w:p w14:paraId="0C85BB3E" w14:textId="6737A9D2" w:rsidR="009078DE" w:rsidRDefault="008440A7" w:rsidP="00BA2503">
      <w:pPr>
        <w:ind w:left="360" w:firstLine="633"/>
        <w:jc w:val="both"/>
        <w:rPr>
          <w:rFonts w:ascii="Times New Roman" w:hAnsi="Times New Roman" w:cs="Times New Roman"/>
          <w:sz w:val="24"/>
          <w:szCs w:val="24"/>
        </w:rPr>
      </w:pPr>
      <w:r>
        <w:rPr>
          <w:rFonts w:ascii="Times New Roman" w:hAnsi="Times New Roman" w:cs="Times New Roman"/>
          <w:sz w:val="24"/>
          <w:szCs w:val="24"/>
        </w:rPr>
        <w:t>Populācijas</w:t>
      </w:r>
      <w:r w:rsidR="00124A96">
        <w:rPr>
          <w:rFonts w:ascii="Times New Roman" w:hAnsi="Times New Roman" w:cs="Times New Roman"/>
          <w:sz w:val="24"/>
          <w:szCs w:val="24"/>
        </w:rPr>
        <w:t xml:space="preserve"> </w:t>
      </w:r>
      <w:r>
        <w:rPr>
          <w:rFonts w:ascii="Times New Roman" w:hAnsi="Times New Roman" w:cs="Times New Roman"/>
          <w:sz w:val="24"/>
          <w:szCs w:val="24"/>
        </w:rPr>
        <w:t>lielumam</w:t>
      </w:r>
      <w:r w:rsidR="00124A96">
        <w:rPr>
          <w:rFonts w:ascii="Times New Roman" w:hAnsi="Times New Roman" w:cs="Times New Roman"/>
          <w:sz w:val="24"/>
          <w:szCs w:val="24"/>
        </w:rPr>
        <w:t xml:space="preserve"> iespējami šādi </w:t>
      </w:r>
      <w:r>
        <w:rPr>
          <w:rFonts w:ascii="Times New Roman" w:hAnsi="Times New Roman" w:cs="Times New Roman"/>
          <w:sz w:val="24"/>
          <w:szCs w:val="24"/>
        </w:rPr>
        <w:t>tendences vērtējumi</w:t>
      </w:r>
      <w:r w:rsidR="00124A96">
        <w:rPr>
          <w:rFonts w:ascii="Times New Roman" w:hAnsi="Times New Roman" w:cs="Times New Roman"/>
          <w:sz w:val="24"/>
          <w:szCs w:val="24"/>
        </w:rPr>
        <w:t>:</w:t>
      </w:r>
    </w:p>
    <w:p w14:paraId="2B66B299" w14:textId="06825D69" w:rsidR="00124A96" w:rsidRDefault="00124A96" w:rsidP="00626A3E">
      <w:pPr>
        <w:pStyle w:val="ListParagraph"/>
        <w:numPr>
          <w:ilvl w:val="0"/>
          <w:numId w:val="15"/>
        </w:numPr>
        <w:jc w:val="both"/>
      </w:pPr>
      <w:r>
        <w:t>Stabil</w:t>
      </w:r>
      <w:r w:rsidR="008440A7">
        <w:t>s</w:t>
      </w:r>
      <w:r>
        <w:t xml:space="preserve"> – populācijas lieluma svārstības pārskata periodā ir</w:t>
      </w:r>
      <w:bookmarkStart w:id="1" w:name="_GoBack"/>
      <w:bookmarkEnd w:id="1"/>
      <w:r w:rsidR="00CA1001">
        <w:t xml:space="preserve"> </w:t>
      </w:r>
      <w:r>
        <w:t>statistiski nebūtiskas</w:t>
      </w:r>
      <w:r w:rsidR="008440A7">
        <w:t>;</w:t>
      </w:r>
      <w:r>
        <w:t xml:space="preserve"> </w:t>
      </w:r>
    </w:p>
    <w:p w14:paraId="53D9490E" w14:textId="0717FBB9" w:rsidR="00124A96" w:rsidRDefault="00124A96" w:rsidP="00626A3E">
      <w:pPr>
        <w:pStyle w:val="ListParagraph"/>
        <w:numPr>
          <w:ilvl w:val="0"/>
          <w:numId w:val="15"/>
        </w:numPr>
        <w:jc w:val="both"/>
      </w:pPr>
      <w:r>
        <w:t>Pieaugoš</w:t>
      </w:r>
      <w:r w:rsidR="008440A7">
        <w:t>s</w:t>
      </w:r>
      <w:r>
        <w:t xml:space="preserve"> </w:t>
      </w:r>
      <w:r w:rsidR="00EF34A6">
        <w:t>–</w:t>
      </w:r>
      <w:r w:rsidR="00CA1001">
        <w:t xml:space="preserve"> </w:t>
      </w:r>
      <w:r>
        <w:t>populācijas lielums pārskata periodā ir pieaudzis p</w:t>
      </w:r>
      <w:r w:rsidR="008440A7">
        <w:t>ar vismaz 10%</w:t>
      </w:r>
      <w:r w:rsidR="00F655B6">
        <w:t xml:space="preserve"> </w:t>
      </w:r>
      <w:r w:rsidR="009B4809">
        <w:t>(īstermiņa tendences vērtējumam) vai 20% (ilgtermiņa tendences vērtējumam);</w:t>
      </w:r>
    </w:p>
    <w:p w14:paraId="339F557B" w14:textId="03FA993C" w:rsidR="008440A7" w:rsidRDefault="008440A7" w:rsidP="00626A3E">
      <w:pPr>
        <w:pStyle w:val="ListParagraph"/>
        <w:numPr>
          <w:ilvl w:val="0"/>
          <w:numId w:val="15"/>
        </w:numPr>
        <w:jc w:val="both"/>
      </w:pPr>
      <w:r>
        <w:t xml:space="preserve">Samazinās </w:t>
      </w:r>
      <w:r w:rsidR="00EF34A6">
        <w:t>–</w:t>
      </w:r>
      <w:r>
        <w:t xml:space="preserve"> populācijas lielums pārskata periodā ir samazinājies par vismaz 10%</w:t>
      </w:r>
      <w:r w:rsidR="005E06D9">
        <w:t xml:space="preserve"> (īstermiņa tendences vērtējumam) vai 20% (ilgtermiņa tendences vērtējumam)</w:t>
      </w:r>
      <w:r>
        <w:t>;</w:t>
      </w:r>
    </w:p>
    <w:p w14:paraId="7CFFD80E" w14:textId="1DA9B018" w:rsidR="008440A7" w:rsidRDefault="008440A7" w:rsidP="00626A3E">
      <w:pPr>
        <w:pStyle w:val="ListParagraph"/>
        <w:numPr>
          <w:ilvl w:val="0"/>
          <w:numId w:val="15"/>
        </w:numPr>
        <w:jc w:val="both"/>
      </w:pPr>
      <w:r>
        <w:t>Svārstīgs – sugām, kurām ekoloģiski ir raksturīgas lielas populāciju svārstības pa gadiem, kas var būt saistītas ar pārtikas pieejamību, ziemošanas apstākļiem, u.tml. Šāds tendences vērtējums attiecas uz sugām, kur populācijas lielums pa gadiem var svārstīties par 50%;</w:t>
      </w:r>
    </w:p>
    <w:p w14:paraId="66F5972C" w14:textId="7CFE15F8" w:rsidR="008440A7" w:rsidRDefault="008440A7" w:rsidP="00626A3E">
      <w:pPr>
        <w:pStyle w:val="ListParagraph"/>
        <w:numPr>
          <w:ilvl w:val="0"/>
          <w:numId w:val="15"/>
        </w:numPr>
        <w:jc w:val="both"/>
      </w:pPr>
      <w:r>
        <w:t>Neskaidrs – monitoringa un uzskaites dati nav pietiekami, lai novērtētu tendenci;</w:t>
      </w:r>
    </w:p>
    <w:p w14:paraId="5CC8E9FB" w14:textId="5CC6D483" w:rsidR="008440A7" w:rsidRDefault="008440A7" w:rsidP="00626A3E">
      <w:pPr>
        <w:pStyle w:val="ListParagraph"/>
        <w:numPr>
          <w:ilvl w:val="0"/>
          <w:numId w:val="15"/>
        </w:numPr>
        <w:jc w:val="both"/>
      </w:pPr>
      <w:r>
        <w:t xml:space="preserve">Nav datu – monitoringa vai uzskaites datu nav. </w:t>
      </w:r>
    </w:p>
    <w:p w14:paraId="163DF60C" w14:textId="56BFAC2E" w:rsidR="008440A7" w:rsidRDefault="008440A7" w:rsidP="00626A3E">
      <w:pPr>
        <w:jc w:val="both"/>
      </w:pPr>
    </w:p>
    <w:p w14:paraId="123D4F02" w14:textId="702560EC" w:rsidR="00590DC4" w:rsidRPr="00590DC4" w:rsidRDefault="00F655B6" w:rsidP="00BA2503">
      <w:pPr>
        <w:ind w:firstLine="709"/>
        <w:jc w:val="both"/>
      </w:pPr>
      <w:r>
        <w:rPr>
          <w:rFonts w:ascii="Times New Roman" w:hAnsi="Times New Roman" w:cs="Times New Roman"/>
          <w:sz w:val="24"/>
        </w:rPr>
        <w:t xml:space="preserve">Katrai ligzdojošai sugai tiek novērtēts arī ligzdošanas areāls valstī, tai skaitā tā stabilitāte, pēc tādiem pašiem parametriem kā populācijas tendences (skat. augstāk). </w:t>
      </w:r>
    </w:p>
    <w:p w14:paraId="35276C11" w14:textId="77777777" w:rsidR="008231B2" w:rsidRDefault="008231B2" w:rsidP="00626A3E">
      <w:pPr>
        <w:jc w:val="both"/>
        <w:rPr>
          <w:rFonts w:ascii="Times New Roman" w:eastAsiaTheme="minorEastAsia" w:hAnsi="Times New Roman" w:cs="Times New Roman"/>
          <w:sz w:val="24"/>
          <w:szCs w:val="24"/>
        </w:rPr>
      </w:pPr>
    </w:p>
    <w:p w14:paraId="5AC00028" w14:textId="0AC15004" w:rsidR="008231B2" w:rsidRPr="008231B2" w:rsidRDefault="008231B2" w:rsidP="00626A3E">
      <w:pPr>
        <w:jc w:val="both"/>
        <w:rPr>
          <w:rFonts w:ascii="Times New Roman" w:eastAsiaTheme="minorEastAsia" w:hAnsi="Times New Roman" w:cs="Times New Roman"/>
          <w:b/>
          <w:sz w:val="24"/>
          <w:szCs w:val="24"/>
        </w:rPr>
      </w:pPr>
      <w:r w:rsidRPr="008231B2">
        <w:rPr>
          <w:rFonts w:ascii="Times New Roman" w:eastAsiaTheme="minorEastAsia" w:hAnsi="Times New Roman" w:cs="Times New Roman"/>
          <w:b/>
          <w:sz w:val="24"/>
          <w:szCs w:val="24"/>
        </w:rPr>
        <w:t>Kopsavilkums par sugu populāciju tendencēm</w:t>
      </w:r>
    </w:p>
    <w:p w14:paraId="0A58C66F" w14:textId="77777777" w:rsidR="008231B2" w:rsidRDefault="008231B2" w:rsidP="00626A3E">
      <w:pPr>
        <w:jc w:val="both"/>
        <w:rPr>
          <w:rFonts w:ascii="Times New Roman" w:eastAsiaTheme="minorEastAsia" w:hAnsi="Times New Roman" w:cs="Times New Roman"/>
          <w:sz w:val="24"/>
          <w:szCs w:val="24"/>
        </w:rPr>
      </w:pPr>
    </w:p>
    <w:p w14:paraId="269252EF" w14:textId="0702E1EB" w:rsidR="005628B9" w:rsidRDefault="005628B9" w:rsidP="00BA2503">
      <w:pPr>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Izvērsts vērtējums par katru </w:t>
      </w:r>
      <w:r w:rsidR="00AE76E9">
        <w:rPr>
          <w:rFonts w:ascii="Times New Roman" w:eastAsiaTheme="minorEastAsia" w:hAnsi="Times New Roman" w:cs="Times New Roman"/>
          <w:sz w:val="24"/>
          <w:szCs w:val="24"/>
        </w:rPr>
        <w:t xml:space="preserve">ziņojumā iekļauto </w:t>
      </w:r>
      <w:r w:rsidR="00B647A3">
        <w:rPr>
          <w:rFonts w:ascii="Times New Roman" w:eastAsiaTheme="minorEastAsia" w:hAnsi="Times New Roman" w:cs="Times New Roman"/>
          <w:sz w:val="24"/>
          <w:szCs w:val="24"/>
        </w:rPr>
        <w:t xml:space="preserve">putnu sugu iekļauts šī pārskata 1. pielikumā. </w:t>
      </w:r>
    </w:p>
    <w:p w14:paraId="6C9D13B1" w14:textId="58A6FD70" w:rsidR="00A9022E" w:rsidRDefault="00A9022E" w:rsidP="00BA2503">
      <w:pPr>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Ziņojumā iekļauts vērtējums par 218 putnu sugām. Populācijas tendenču vērtējums par visām ziņojumā iekļautajām sugām attēlots </w:t>
      </w:r>
      <w:r w:rsidR="00E51CD1">
        <w:rPr>
          <w:rFonts w:ascii="Times New Roman" w:eastAsiaTheme="minorEastAsia" w:hAnsi="Times New Roman" w:cs="Times New Roman"/>
          <w:sz w:val="24"/>
          <w:szCs w:val="24"/>
        </w:rPr>
        <w:t xml:space="preserve">no </w:t>
      </w:r>
      <w:r>
        <w:rPr>
          <w:rFonts w:ascii="Times New Roman" w:eastAsiaTheme="minorEastAsia" w:hAnsi="Times New Roman" w:cs="Times New Roman"/>
          <w:sz w:val="24"/>
          <w:szCs w:val="24"/>
        </w:rPr>
        <w:t>1.</w:t>
      </w:r>
      <w:r w:rsidR="00E51CD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līdz 3. </w:t>
      </w:r>
      <w:r w:rsidR="00E51CD1">
        <w:rPr>
          <w:rFonts w:ascii="Times New Roman" w:eastAsiaTheme="minorEastAsia" w:hAnsi="Times New Roman" w:cs="Times New Roman"/>
          <w:sz w:val="24"/>
          <w:szCs w:val="24"/>
        </w:rPr>
        <w:t>attēlam</w:t>
      </w:r>
      <w:r>
        <w:rPr>
          <w:rFonts w:ascii="Times New Roman" w:eastAsiaTheme="minorEastAsia" w:hAnsi="Times New Roman" w:cs="Times New Roman"/>
          <w:sz w:val="24"/>
          <w:szCs w:val="24"/>
        </w:rPr>
        <w:t xml:space="preserve">. </w:t>
      </w:r>
    </w:p>
    <w:p w14:paraId="774FF31E" w14:textId="77777777" w:rsidR="008231B2" w:rsidRDefault="008231B2" w:rsidP="00626A3E">
      <w:pPr>
        <w:jc w:val="both"/>
        <w:rPr>
          <w:rFonts w:ascii="Times New Roman" w:eastAsiaTheme="minorEastAsia" w:hAnsi="Times New Roman" w:cs="Times New Roman"/>
          <w:sz w:val="24"/>
          <w:szCs w:val="24"/>
        </w:rPr>
      </w:pPr>
    </w:p>
    <w:p w14:paraId="5C46A67E" w14:textId="1F453FED" w:rsidR="008231B2" w:rsidRDefault="008231B2" w:rsidP="00626A3E">
      <w:pPr>
        <w:jc w:val="both"/>
        <w:rPr>
          <w:rFonts w:ascii="Times New Roman" w:eastAsiaTheme="minorEastAsia" w:hAnsi="Times New Roman" w:cs="Times New Roman"/>
          <w:sz w:val="24"/>
          <w:szCs w:val="24"/>
        </w:rPr>
      </w:pPr>
      <w:r>
        <w:rPr>
          <w:noProof/>
          <w:lang w:eastAsia="lv-LV"/>
        </w:rPr>
        <w:lastRenderedPageBreak/>
        <w:drawing>
          <wp:inline distT="0" distB="0" distL="0" distR="0" wp14:anchorId="541AECBF" wp14:editId="1DDCA2A4">
            <wp:extent cx="3521798" cy="2168305"/>
            <wp:effectExtent l="0" t="0" r="2540" b="381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9851BB5-7EC0-42C7-91F5-A79B8A2C1A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8C764F" w14:textId="77777777" w:rsidR="00A9022E" w:rsidRPr="00A9022E" w:rsidRDefault="008231B2" w:rsidP="00626A3E">
      <w:pPr>
        <w:jc w:val="both"/>
        <w:rPr>
          <w:rFonts w:ascii="Times New Roman" w:eastAsiaTheme="minorEastAsia" w:hAnsi="Times New Roman" w:cs="Times New Roman"/>
          <w:i/>
          <w:sz w:val="24"/>
          <w:szCs w:val="24"/>
        </w:rPr>
      </w:pPr>
      <w:r w:rsidRPr="00A9022E">
        <w:rPr>
          <w:rFonts w:ascii="Times New Roman" w:eastAsiaTheme="minorEastAsia" w:hAnsi="Times New Roman" w:cs="Times New Roman"/>
          <w:i/>
          <w:sz w:val="24"/>
          <w:szCs w:val="24"/>
        </w:rPr>
        <w:t>1.attēls. Tendences kopumā par visām ziņojumā iekļautajām putnu sugām, sugu skaits.</w:t>
      </w:r>
    </w:p>
    <w:p w14:paraId="3EB23519" w14:textId="5FC34720" w:rsidR="008231B2" w:rsidRPr="008231B2" w:rsidRDefault="008231B2" w:rsidP="00626A3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14:paraId="23E64184" w14:textId="4D5C8929" w:rsidR="008231B2" w:rsidRDefault="002E1045" w:rsidP="00626A3E">
      <w:pPr>
        <w:jc w:val="both"/>
        <w:rPr>
          <w:rFonts w:ascii="Times New Roman" w:eastAsiaTheme="minorEastAsia" w:hAnsi="Times New Roman" w:cs="Times New Roman"/>
          <w:sz w:val="24"/>
          <w:szCs w:val="24"/>
        </w:rPr>
      </w:pPr>
      <w:r>
        <w:rPr>
          <w:noProof/>
          <w:lang w:eastAsia="lv-LV"/>
        </w:rPr>
        <w:drawing>
          <wp:inline distT="0" distB="0" distL="0" distR="0" wp14:anchorId="7206B92A" wp14:editId="34582EEB">
            <wp:extent cx="3543935" cy="2725093"/>
            <wp:effectExtent l="0" t="0" r="18415" b="18415"/>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A66F5D5-4069-4A37-84D8-32F452EA58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0EE17A" w14:textId="48D4E50B" w:rsidR="00AE475E" w:rsidRPr="00A9022E" w:rsidRDefault="002E1045" w:rsidP="00626A3E">
      <w:pPr>
        <w:jc w:val="both"/>
        <w:rPr>
          <w:rFonts w:ascii="Times New Roman" w:eastAsiaTheme="minorEastAsia" w:hAnsi="Times New Roman" w:cs="Times New Roman"/>
          <w:i/>
          <w:sz w:val="24"/>
          <w:szCs w:val="24"/>
        </w:rPr>
      </w:pPr>
      <w:r w:rsidRPr="00A9022E">
        <w:rPr>
          <w:rFonts w:ascii="Times New Roman" w:eastAsiaTheme="minorEastAsia" w:hAnsi="Times New Roman" w:cs="Times New Roman"/>
          <w:i/>
          <w:sz w:val="24"/>
          <w:szCs w:val="24"/>
        </w:rPr>
        <w:t>2.attēls. Īstermiņa tendenču procentuālais sadalījums</w:t>
      </w:r>
      <w:r w:rsidR="00A9022E">
        <w:rPr>
          <w:rFonts w:ascii="Times New Roman" w:eastAsiaTheme="minorEastAsia" w:hAnsi="Times New Roman" w:cs="Times New Roman"/>
          <w:i/>
          <w:sz w:val="24"/>
          <w:szCs w:val="24"/>
        </w:rPr>
        <w:t xml:space="preserve"> visām putnu sugām</w:t>
      </w:r>
      <w:r w:rsidRPr="00A9022E">
        <w:rPr>
          <w:rFonts w:ascii="Times New Roman" w:eastAsiaTheme="minorEastAsia" w:hAnsi="Times New Roman" w:cs="Times New Roman"/>
          <w:i/>
          <w:sz w:val="24"/>
          <w:szCs w:val="24"/>
        </w:rPr>
        <w:t xml:space="preserve">. </w:t>
      </w:r>
    </w:p>
    <w:p w14:paraId="26BA9A6E" w14:textId="77777777" w:rsidR="00A9022E" w:rsidRDefault="00A9022E" w:rsidP="00626A3E">
      <w:pPr>
        <w:jc w:val="both"/>
        <w:rPr>
          <w:rFonts w:ascii="Times New Roman" w:eastAsiaTheme="minorEastAsia" w:hAnsi="Times New Roman" w:cs="Times New Roman"/>
          <w:sz w:val="24"/>
          <w:szCs w:val="24"/>
        </w:rPr>
      </w:pPr>
    </w:p>
    <w:p w14:paraId="4E1ADD85" w14:textId="44305DBE" w:rsidR="00AE475E" w:rsidRDefault="00A9022E" w:rsidP="00626A3E">
      <w:pPr>
        <w:jc w:val="both"/>
        <w:rPr>
          <w:rFonts w:ascii="Times New Roman" w:eastAsiaTheme="minorEastAsia" w:hAnsi="Times New Roman" w:cs="Times New Roman"/>
          <w:sz w:val="24"/>
          <w:szCs w:val="24"/>
        </w:rPr>
      </w:pPr>
      <w:r>
        <w:rPr>
          <w:noProof/>
          <w:lang w:eastAsia="lv-LV"/>
        </w:rPr>
        <w:drawing>
          <wp:inline distT="0" distB="0" distL="0" distR="0" wp14:anchorId="0E8916FF" wp14:editId="360CAFD5">
            <wp:extent cx="3575685" cy="2299580"/>
            <wp:effectExtent l="0" t="0" r="5715" b="5715"/>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2FC69BF-0177-4B66-B49C-9EA9483F0B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118708" w14:textId="770DB903" w:rsidR="00AE475E" w:rsidRPr="00A9022E" w:rsidRDefault="00A9022E" w:rsidP="00626A3E">
      <w:pPr>
        <w:jc w:val="both"/>
        <w:rPr>
          <w:rFonts w:ascii="Times New Roman" w:eastAsiaTheme="minorEastAsia" w:hAnsi="Times New Roman" w:cs="Times New Roman"/>
          <w:i/>
          <w:sz w:val="24"/>
          <w:szCs w:val="24"/>
        </w:rPr>
      </w:pPr>
      <w:r w:rsidRPr="00A9022E">
        <w:rPr>
          <w:rFonts w:ascii="Times New Roman" w:eastAsiaTheme="minorEastAsia" w:hAnsi="Times New Roman" w:cs="Times New Roman"/>
          <w:i/>
          <w:sz w:val="24"/>
          <w:szCs w:val="24"/>
        </w:rPr>
        <w:lastRenderedPageBreak/>
        <w:t>3.attēls. Ilgtermiņa tendenču procentuālais sadalījums</w:t>
      </w:r>
      <w:r>
        <w:rPr>
          <w:rFonts w:ascii="Times New Roman" w:eastAsiaTheme="minorEastAsia" w:hAnsi="Times New Roman" w:cs="Times New Roman"/>
          <w:i/>
          <w:sz w:val="24"/>
          <w:szCs w:val="24"/>
        </w:rPr>
        <w:t xml:space="preserve"> visām putnu sugām</w:t>
      </w:r>
      <w:r w:rsidRPr="00A9022E">
        <w:rPr>
          <w:rFonts w:ascii="Times New Roman" w:eastAsiaTheme="minorEastAsia" w:hAnsi="Times New Roman" w:cs="Times New Roman"/>
          <w:i/>
          <w:sz w:val="24"/>
          <w:szCs w:val="24"/>
        </w:rPr>
        <w:t xml:space="preserve">. </w:t>
      </w:r>
    </w:p>
    <w:p w14:paraId="715DF8C7" w14:textId="53D1AC2D" w:rsidR="00A9022E" w:rsidRDefault="00A9022E" w:rsidP="00BA2503">
      <w:pPr>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Atsevišķi novērtētas populācijas un to īstermiņa un ilgtermiņa tendences </w:t>
      </w:r>
      <w:r w:rsidR="00774927">
        <w:rPr>
          <w:rFonts w:ascii="Times New Roman" w:eastAsiaTheme="minorEastAsia" w:hAnsi="Times New Roman" w:cs="Times New Roman"/>
          <w:sz w:val="24"/>
          <w:szCs w:val="24"/>
        </w:rPr>
        <w:t>īpaši aizsargājamām</w:t>
      </w:r>
      <w:r>
        <w:rPr>
          <w:rFonts w:ascii="Times New Roman" w:eastAsiaTheme="minorEastAsia" w:hAnsi="Times New Roman" w:cs="Times New Roman"/>
          <w:sz w:val="24"/>
          <w:szCs w:val="24"/>
        </w:rPr>
        <w:t xml:space="preserve"> putnu sugām, kuru aizsardzībai jāveido </w:t>
      </w:r>
      <w:proofErr w:type="spellStart"/>
      <w:r>
        <w:rPr>
          <w:rFonts w:ascii="Times New Roman" w:eastAsiaTheme="minorEastAsia" w:hAnsi="Times New Roman" w:cs="Times New Roman"/>
          <w:sz w:val="24"/>
          <w:szCs w:val="24"/>
        </w:rPr>
        <w:t>Natura</w:t>
      </w:r>
      <w:proofErr w:type="spellEnd"/>
      <w:r>
        <w:rPr>
          <w:rFonts w:ascii="Times New Roman" w:eastAsiaTheme="minorEastAsia" w:hAnsi="Times New Roman" w:cs="Times New Roman"/>
          <w:sz w:val="24"/>
          <w:szCs w:val="24"/>
        </w:rPr>
        <w:t xml:space="preserve"> 2000 teritorijas. Šo putnu sugu izvērtējums iekļauts </w:t>
      </w:r>
      <w:r w:rsidR="00DB0B31">
        <w:rPr>
          <w:rFonts w:ascii="Times New Roman" w:eastAsiaTheme="minorEastAsia" w:hAnsi="Times New Roman" w:cs="Times New Roman"/>
          <w:sz w:val="24"/>
          <w:szCs w:val="24"/>
        </w:rPr>
        <w:t xml:space="preserve">4.-6. </w:t>
      </w:r>
      <w:r>
        <w:rPr>
          <w:rFonts w:ascii="Times New Roman" w:eastAsiaTheme="minorEastAsia" w:hAnsi="Times New Roman" w:cs="Times New Roman"/>
          <w:sz w:val="24"/>
          <w:szCs w:val="24"/>
        </w:rPr>
        <w:t xml:space="preserve">attēlā. </w:t>
      </w:r>
    </w:p>
    <w:p w14:paraId="3C9D9FC8" w14:textId="2FEBB147" w:rsidR="00A9022E" w:rsidRDefault="005C3D5A" w:rsidP="00626A3E">
      <w:pPr>
        <w:jc w:val="both"/>
        <w:rPr>
          <w:rFonts w:ascii="Times New Roman" w:eastAsiaTheme="minorEastAsia" w:hAnsi="Times New Roman" w:cs="Times New Roman"/>
          <w:sz w:val="24"/>
          <w:szCs w:val="24"/>
        </w:rPr>
      </w:pPr>
      <w:r>
        <w:rPr>
          <w:noProof/>
          <w:lang w:eastAsia="lv-LV"/>
        </w:rPr>
        <w:drawing>
          <wp:inline distT="0" distB="0" distL="0" distR="0" wp14:anchorId="5D3F369C" wp14:editId="5D1EDEE1">
            <wp:extent cx="4559300" cy="3053443"/>
            <wp:effectExtent l="0" t="0" r="12700" b="13970"/>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B082C8-F6E5-4A68-B352-879078B039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AA48B5" w14:textId="7B2E0794" w:rsidR="00C27E67" w:rsidRPr="00403D28" w:rsidRDefault="00C27E67" w:rsidP="00626A3E">
      <w:pPr>
        <w:jc w:val="both"/>
        <w:rPr>
          <w:rFonts w:ascii="Times New Roman" w:eastAsiaTheme="minorEastAsia" w:hAnsi="Times New Roman" w:cs="Times New Roman"/>
          <w:i/>
          <w:sz w:val="24"/>
          <w:szCs w:val="24"/>
        </w:rPr>
      </w:pPr>
      <w:r w:rsidRPr="00403D28">
        <w:rPr>
          <w:rFonts w:ascii="Times New Roman" w:eastAsiaTheme="minorEastAsia" w:hAnsi="Times New Roman" w:cs="Times New Roman"/>
          <w:i/>
          <w:sz w:val="24"/>
          <w:szCs w:val="24"/>
        </w:rPr>
        <w:t>4.attēls. Tendences īpaši aizsargājamām sugām, sugu skaits.</w:t>
      </w:r>
    </w:p>
    <w:p w14:paraId="2FE5BF7D" w14:textId="45DA690A" w:rsidR="00C27E67" w:rsidRDefault="00C27E67" w:rsidP="00626A3E">
      <w:pPr>
        <w:jc w:val="both"/>
        <w:rPr>
          <w:rFonts w:ascii="Times New Roman" w:eastAsiaTheme="minorEastAsia" w:hAnsi="Times New Roman" w:cs="Times New Roman"/>
          <w:sz w:val="24"/>
          <w:szCs w:val="24"/>
        </w:rPr>
      </w:pPr>
      <w:r>
        <w:rPr>
          <w:noProof/>
          <w:lang w:eastAsia="lv-LV"/>
        </w:rPr>
        <w:drawing>
          <wp:inline distT="0" distB="0" distL="0" distR="0" wp14:anchorId="66FC8BCF" wp14:editId="59532CE7">
            <wp:extent cx="3646968" cy="2478419"/>
            <wp:effectExtent l="0" t="0" r="10795" b="17145"/>
            <wp:docPr id="8" name="Chart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E952511-B01F-4ED6-88D9-6F587662C7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BD9BD2" w14:textId="79AE35DB" w:rsidR="00C27E67" w:rsidRPr="00403D28" w:rsidRDefault="00C27E67" w:rsidP="00626A3E">
      <w:pPr>
        <w:jc w:val="both"/>
        <w:rPr>
          <w:rFonts w:ascii="Times New Roman" w:eastAsiaTheme="minorEastAsia" w:hAnsi="Times New Roman" w:cs="Times New Roman"/>
          <w:i/>
          <w:sz w:val="24"/>
          <w:szCs w:val="24"/>
        </w:rPr>
      </w:pPr>
      <w:r w:rsidRPr="00403D28">
        <w:rPr>
          <w:rFonts w:ascii="Times New Roman" w:eastAsiaTheme="minorEastAsia" w:hAnsi="Times New Roman" w:cs="Times New Roman"/>
          <w:i/>
          <w:sz w:val="24"/>
          <w:szCs w:val="24"/>
        </w:rPr>
        <w:t xml:space="preserve">5.attēls. Īpaši aizsargājamo sugu īstermiņa tendenču procentuālais sadalījums. </w:t>
      </w:r>
    </w:p>
    <w:p w14:paraId="2B5515FC" w14:textId="5AAABC08" w:rsidR="00403D28" w:rsidRDefault="00403D28" w:rsidP="00626A3E">
      <w:pPr>
        <w:jc w:val="both"/>
        <w:rPr>
          <w:rFonts w:ascii="Times New Roman" w:eastAsiaTheme="minorEastAsia" w:hAnsi="Times New Roman" w:cs="Times New Roman"/>
          <w:sz w:val="24"/>
          <w:szCs w:val="24"/>
        </w:rPr>
      </w:pPr>
      <w:r>
        <w:rPr>
          <w:noProof/>
          <w:lang w:eastAsia="lv-LV"/>
        </w:rPr>
        <w:drawing>
          <wp:inline distT="0" distB="0" distL="0" distR="0" wp14:anchorId="62FC65B5" wp14:editId="0B3FAA61">
            <wp:extent cx="3721100" cy="2272786"/>
            <wp:effectExtent l="0" t="0" r="12700" b="13335"/>
            <wp:docPr id="9" name="Chart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17850B4-A6B1-401B-9C8C-88D8EBD0B8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D0C804" w14:textId="4C61D464" w:rsidR="00403D28" w:rsidRDefault="00403D28" w:rsidP="00626A3E">
      <w:pPr>
        <w:jc w:val="both"/>
        <w:rPr>
          <w:rFonts w:ascii="Times New Roman" w:eastAsiaTheme="minorEastAsia" w:hAnsi="Times New Roman" w:cs="Times New Roman"/>
          <w:sz w:val="24"/>
          <w:szCs w:val="24"/>
        </w:rPr>
      </w:pPr>
      <w:r w:rsidRPr="00403D28">
        <w:rPr>
          <w:rFonts w:ascii="Times New Roman" w:eastAsiaTheme="minorEastAsia" w:hAnsi="Times New Roman" w:cs="Times New Roman"/>
          <w:i/>
          <w:sz w:val="24"/>
          <w:szCs w:val="24"/>
        </w:rPr>
        <w:t xml:space="preserve">6.attēls. Īpaši aizsargājamo sugu ilgtermiņa tendenču procentuālais sadalījums. </w:t>
      </w:r>
    </w:p>
    <w:p w14:paraId="601DDEF6" w14:textId="74FF6D03" w:rsidR="0067063F" w:rsidRDefault="0067063F" w:rsidP="00626A3E">
      <w:pPr>
        <w:jc w:val="both"/>
        <w:rPr>
          <w:rFonts w:ascii="Times New Roman" w:eastAsiaTheme="minorEastAsia" w:hAnsi="Times New Roman" w:cs="Times New Roman"/>
          <w:sz w:val="24"/>
          <w:szCs w:val="24"/>
        </w:rPr>
      </w:pPr>
    </w:p>
    <w:p w14:paraId="060610A4" w14:textId="67295193" w:rsidR="0067063F" w:rsidRPr="00A9597A" w:rsidRDefault="00A7780A" w:rsidP="00BA2503">
      <w:pPr>
        <w:ind w:firstLine="709"/>
        <w:jc w:val="both"/>
        <w:rPr>
          <w:rFonts w:ascii="Times New Roman" w:eastAsiaTheme="minorEastAsia" w:hAnsi="Times New Roman" w:cs="Times New Roman"/>
          <w:b/>
          <w:sz w:val="24"/>
          <w:szCs w:val="24"/>
        </w:rPr>
      </w:pPr>
      <w:r w:rsidRPr="00A9597A">
        <w:rPr>
          <w:rFonts w:ascii="Times New Roman" w:eastAsiaTheme="minorEastAsia" w:hAnsi="Times New Roman" w:cs="Times New Roman"/>
          <w:b/>
          <w:sz w:val="24"/>
          <w:szCs w:val="24"/>
        </w:rPr>
        <w:t>Ziņojuma gatavošanā izmantotie dati</w:t>
      </w:r>
    </w:p>
    <w:p w14:paraId="372B4F5E" w14:textId="3C2E255B" w:rsidR="00A7780A" w:rsidRDefault="00A7780A" w:rsidP="00BA2503">
      <w:pPr>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Pilns izmantoto datu un atsauču saraksts pieejams šī pārskata 2. pielikumā. </w:t>
      </w:r>
    </w:p>
    <w:p w14:paraId="515BE1AF" w14:textId="15697AE0" w:rsidR="00A7780A" w:rsidRDefault="00A7780A" w:rsidP="00BA2503">
      <w:pPr>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Kopš 2013. gada DAP ir nodrošinājis ligzdojošo putnu datu ievākšanu, kā arī dažādu putnu sugu monitoringu. Tas attēlots 7. attēlā, kur redzams, ka vairāk nekā 80% putnu sugu ziņojums ir balstīts uz pilnīgiem datiem vai datu ekstrapolāciju pēc noteikta algoritma no nepiln</w:t>
      </w:r>
      <w:r w:rsidR="0014474F">
        <w:rPr>
          <w:rFonts w:ascii="Times New Roman" w:eastAsiaTheme="minorEastAsia" w:hAnsi="Times New Roman" w:cs="Times New Roman"/>
          <w:sz w:val="24"/>
          <w:szCs w:val="24"/>
        </w:rPr>
        <w:t>īgām uzskaitēm</w:t>
      </w:r>
      <w:r>
        <w:rPr>
          <w:rFonts w:ascii="Times New Roman" w:eastAsiaTheme="minorEastAsia" w:hAnsi="Times New Roman" w:cs="Times New Roman"/>
          <w:sz w:val="24"/>
          <w:szCs w:val="24"/>
        </w:rPr>
        <w:t xml:space="preserve">. Tikai 17% no visiem vērtējumiem ir balstīti uz ekspertu aplēsēm pēc ierobežotiem datiem. </w:t>
      </w:r>
    </w:p>
    <w:p w14:paraId="2BFAF5EA" w14:textId="6562F8AF" w:rsidR="00A7780A" w:rsidRDefault="00A7780A" w:rsidP="00626A3E">
      <w:pPr>
        <w:jc w:val="both"/>
        <w:rPr>
          <w:rFonts w:ascii="Times New Roman" w:eastAsiaTheme="minorEastAsia" w:hAnsi="Times New Roman" w:cs="Times New Roman"/>
          <w:sz w:val="24"/>
          <w:szCs w:val="24"/>
        </w:rPr>
      </w:pPr>
    </w:p>
    <w:p w14:paraId="20EB4364" w14:textId="3AE81FEC" w:rsidR="00A7780A" w:rsidRDefault="00A7780A" w:rsidP="00626A3E">
      <w:pPr>
        <w:jc w:val="both"/>
        <w:rPr>
          <w:rFonts w:ascii="Times New Roman" w:eastAsiaTheme="minorEastAsia" w:hAnsi="Times New Roman" w:cs="Times New Roman"/>
          <w:sz w:val="24"/>
          <w:szCs w:val="24"/>
        </w:rPr>
      </w:pPr>
      <w:r>
        <w:rPr>
          <w:noProof/>
          <w:lang w:eastAsia="lv-LV"/>
        </w:rPr>
        <w:drawing>
          <wp:inline distT="0" distB="0" distL="0" distR="0" wp14:anchorId="761D7D91" wp14:editId="2B415C98">
            <wp:extent cx="4257675" cy="3258027"/>
            <wp:effectExtent l="0" t="0" r="9525" b="0"/>
            <wp:docPr id="10" name="Chart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1CCF8B6-892F-4429-A6AE-3E504439D1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E0CE9B" w14:textId="42AD5275" w:rsidR="00A7780A" w:rsidRPr="00A7780A" w:rsidRDefault="00A7780A" w:rsidP="00626A3E">
      <w:pPr>
        <w:jc w:val="both"/>
        <w:rPr>
          <w:rFonts w:ascii="Times New Roman" w:eastAsiaTheme="minorEastAsia" w:hAnsi="Times New Roman" w:cs="Times New Roman"/>
          <w:i/>
          <w:sz w:val="24"/>
          <w:szCs w:val="24"/>
        </w:rPr>
      </w:pPr>
      <w:r w:rsidRPr="00A7780A">
        <w:rPr>
          <w:rFonts w:ascii="Times New Roman" w:eastAsiaTheme="minorEastAsia" w:hAnsi="Times New Roman" w:cs="Times New Roman"/>
          <w:i/>
          <w:sz w:val="24"/>
          <w:szCs w:val="24"/>
        </w:rPr>
        <w:t xml:space="preserve">7.attēls. Ziņojuma sagatavošanā izmantotie dati. </w:t>
      </w:r>
    </w:p>
    <w:p w14:paraId="180A9954" w14:textId="69A8E68F" w:rsidR="00A7780A" w:rsidRDefault="00A7780A" w:rsidP="00626A3E">
      <w:pPr>
        <w:jc w:val="both"/>
        <w:rPr>
          <w:rFonts w:ascii="Times New Roman" w:eastAsiaTheme="minorEastAsia" w:hAnsi="Times New Roman" w:cs="Times New Roman"/>
          <w:sz w:val="24"/>
          <w:szCs w:val="24"/>
        </w:rPr>
      </w:pPr>
    </w:p>
    <w:p w14:paraId="0FA1DAE3" w14:textId="77777777" w:rsidR="00A7780A" w:rsidRPr="0067063F" w:rsidRDefault="00A7780A" w:rsidP="00626A3E">
      <w:pPr>
        <w:jc w:val="both"/>
        <w:rPr>
          <w:rFonts w:ascii="Times New Roman" w:eastAsiaTheme="minorEastAsia" w:hAnsi="Times New Roman" w:cs="Times New Roman"/>
          <w:sz w:val="24"/>
          <w:szCs w:val="24"/>
        </w:rPr>
      </w:pPr>
    </w:p>
    <w:p w14:paraId="3F997CB7" w14:textId="143341BE" w:rsidR="00A81D27" w:rsidRPr="000C4D4D" w:rsidRDefault="00923E6A" w:rsidP="00626A3E">
      <w:pPr>
        <w:ind w:left="360"/>
        <w:jc w:val="both"/>
        <w:rPr>
          <w:rFonts w:ascii="Times New Roman" w:eastAsiaTheme="minorEastAsia" w:hAnsi="Times New Roman" w:cs="Times New Roman"/>
          <w:b/>
          <w:sz w:val="24"/>
          <w:szCs w:val="24"/>
        </w:rPr>
      </w:pPr>
      <w:r w:rsidRPr="000C4D4D">
        <w:rPr>
          <w:rFonts w:ascii="Times New Roman" w:eastAsiaTheme="minorEastAsia" w:hAnsi="Times New Roman" w:cs="Times New Roman"/>
          <w:b/>
          <w:sz w:val="24"/>
          <w:szCs w:val="24"/>
        </w:rPr>
        <w:t>Turpmākā rīcība</w:t>
      </w:r>
    </w:p>
    <w:p w14:paraId="2E27BD75" w14:textId="71814671" w:rsidR="00B77BE6" w:rsidRDefault="000C4D4D" w:rsidP="00626A3E">
      <w:pPr>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Ziņojums par </w:t>
      </w:r>
      <w:r w:rsidR="00B647A3">
        <w:rPr>
          <w:rFonts w:ascii="Times New Roman" w:hAnsi="Times New Roman" w:cs="Times New Roman"/>
          <w:sz w:val="24"/>
          <w:szCs w:val="24"/>
        </w:rPr>
        <w:t>Putnu</w:t>
      </w:r>
      <w:r>
        <w:rPr>
          <w:rFonts w:ascii="Times New Roman" w:hAnsi="Times New Roman" w:cs="Times New Roman"/>
          <w:sz w:val="24"/>
          <w:szCs w:val="24"/>
        </w:rPr>
        <w:t xml:space="preserve"> direktīvas</w:t>
      </w:r>
      <w:r w:rsidRPr="009E3439">
        <w:rPr>
          <w:rFonts w:ascii="Times New Roman" w:hAnsi="Times New Roman" w:cs="Times New Roman"/>
          <w:sz w:val="24"/>
          <w:szCs w:val="24"/>
        </w:rPr>
        <w:t xml:space="preserve"> ieviešanu </w:t>
      </w:r>
      <w:r>
        <w:rPr>
          <w:rFonts w:ascii="Times New Roman" w:hAnsi="Times New Roman" w:cs="Times New Roman"/>
          <w:sz w:val="24"/>
          <w:szCs w:val="24"/>
        </w:rPr>
        <w:t>2013.-2018.</w:t>
      </w:r>
      <w:r w:rsidR="00CA1001">
        <w:rPr>
          <w:rFonts w:ascii="Times New Roman" w:hAnsi="Times New Roman" w:cs="Times New Roman"/>
          <w:sz w:val="24"/>
          <w:szCs w:val="24"/>
        </w:rPr>
        <w:t> </w:t>
      </w:r>
      <w:r w:rsidRPr="009E3439">
        <w:rPr>
          <w:rFonts w:ascii="Times New Roman" w:hAnsi="Times New Roman" w:cs="Times New Roman"/>
          <w:sz w:val="24"/>
          <w:szCs w:val="24"/>
        </w:rPr>
        <w:t>gadā</w:t>
      </w:r>
      <w:r>
        <w:rPr>
          <w:rFonts w:ascii="Times New Roman" w:hAnsi="Times New Roman" w:cs="Times New Roman"/>
          <w:sz w:val="24"/>
          <w:szCs w:val="24"/>
        </w:rPr>
        <w:t xml:space="preserve"> ir</w:t>
      </w:r>
      <w:r w:rsidRPr="000C4D4D">
        <w:t xml:space="preserve"> </w:t>
      </w:r>
      <w:r>
        <w:rPr>
          <w:rFonts w:ascii="Times New Roman" w:hAnsi="Times New Roman" w:cs="Times New Roman"/>
          <w:sz w:val="24"/>
          <w:szCs w:val="24"/>
        </w:rPr>
        <w:t>sagatavots iesniegšanai</w:t>
      </w:r>
      <w:r w:rsidRPr="000C4D4D">
        <w:rPr>
          <w:rFonts w:ascii="Times New Roman" w:hAnsi="Times New Roman" w:cs="Times New Roman"/>
          <w:sz w:val="24"/>
          <w:szCs w:val="24"/>
        </w:rPr>
        <w:t xml:space="preserve"> elektroniski, izmantojot Eiropas Vides aģentūras uzturēto </w:t>
      </w:r>
      <w:proofErr w:type="spellStart"/>
      <w:r w:rsidRPr="000C4D4D">
        <w:rPr>
          <w:rFonts w:ascii="Times New Roman" w:hAnsi="Times New Roman" w:cs="Times New Roman"/>
          <w:sz w:val="24"/>
          <w:szCs w:val="24"/>
        </w:rPr>
        <w:t>ReportNet</w:t>
      </w:r>
      <w:proofErr w:type="spellEnd"/>
      <w:r w:rsidRPr="000C4D4D">
        <w:rPr>
          <w:rFonts w:ascii="Times New Roman" w:hAnsi="Times New Roman" w:cs="Times New Roman"/>
          <w:sz w:val="24"/>
          <w:szCs w:val="24"/>
        </w:rPr>
        <w:t xml:space="preserve"> vietni. </w:t>
      </w:r>
    </w:p>
    <w:p w14:paraId="57D03FF7" w14:textId="2EFEABA1" w:rsidR="000C4D4D" w:rsidRPr="0066699F" w:rsidRDefault="000C4D4D" w:rsidP="00626A3E">
      <w:pPr>
        <w:ind w:firstLine="709"/>
        <w:jc w:val="both"/>
        <w:rPr>
          <w:rFonts w:ascii="Times New Roman" w:eastAsiaTheme="minorEastAsia" w:hAnsi="Times New Roman" w:cs="Times New Roman"/>
          <w:sz w:val="24"/>
          <w:szCs w:val="24"/>
        </w:rPr>
      </w:pPr>
      <w:r w:rsidRPr="000C4D4D">
        <w:rPr>
          <w:rFonts w:ascii="Times New Roman" w:eastAsiaTheme="minorEastAsia" w:hAnsi="Times New Roman" w:cs="Times New Roman"/>
          <w:sz w:val="24"/>
          <w:szCs w:val="24"/>
        </w:rPr>
        <w:t xml:space="preserve">Informācija par </w:t>
      </w:r>
      <w:r w:rsidR="00B647A3">
        <w:rPr>
          <w:rFonts w:ascii="Times New Roman" w:eastAsiaTheme="minorEastAsia" w:hAnsi="Times New Roman" w:cs="Times New Roman"/>
          <w:sz w:val="24"/>
          <w:szCs w:val="24"/>
        </w:rPr>
        <w:t>putnu sugu populācijas lielumu, kā arī īstermiņa un ilgtermiņa tendencēm</w:t>
      </w:r>
      <w:r w:rsidRPr="000C4D4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tiks </w:t>
      </w:r>
      <w:r w:rsidRPr="000C4D4D">
        <w:rPr>
          <w:rFonts w:ascii="Times New Roman" w:eastAsiaTheme="minorEastAsia" w:hAnsi="Times New Roman" w:cs="Times New Roman"/>
          <w:sz w:val="24"/>
          <w:szCs w:val="24"/>
        </w:rPr>
        <w:t xml:space="preserve">ņemta vērā, izstrādājot gan Vides politikas pamatnostādnes </w:t>
      </w:r>
      <w:r>
        <w:rPr>
          <w:rFonts w:ascii="Times New Roman" w:eastAsiaTheme="minorEastAsia" w:hAnsi="Times New Roman" w:cs="Times New Roman"/>
          <w:sz w:val="24"/>
          <w:szCs w:val="24"/>
        </w:rPr>
        <w:t>periodam pēc 2020.</w:t>
      </w:r>
      <w:r w:rsidR="006C0CF4">
        <w:rPr>
          <w:rFonts w:ascii="Times New Roman" w:eastAsiaTheme="minorEastAsia" w:hAnsi="Times New Roman" w:cs="Times New Roman"/>
          <w:sz w:val="24"/>
          <w:szCs w:val="24"/>
        </w:rPr>
        <w:t> </w:t>
      </w:r>
      <w:r w:rsidRPr="000C4D4D">
        <w:rPr>
          <w:rFonts w:ascii="Times New Roman" w:eastAsiaTheme="minorEastAsia" w:hAnsi="Times New Roman" w:cs="Times New Roman"/>
          <w:sz w:val="24"/>
          <w:szCs w:val="24"/>
        </w:rPr>
        <w:t xml:space="preserve">gada, gan arī izstrādājot aktivitāšu pamatojumus ES struktūrfondu un Kohēzijas fonda darbības programmas un Lauku attīstības programmas </w:t>
      </w:r>
      <w:r>
        <w:rPr>
          <w:rFonts w:ascii="Times New Roman" w:eastAsiaTheme="minorEastAsia" w:hAnsi="Times New Roman" w:cs="Times New Roman"/>
          <w:sz w:val="24"/>
          <w:szCs w:val="24"/>
        </w:rPr>
        <w:t>2021.-2027</w:t>
      </w:r>
      <w:r w:rsidRPr="000C4D4D">
        <w:rPr>
          <w:rFonts w:ascii="Times New Roman" w:eastAsiaTheme="minorEastAsia" w:hAnsi="Times New Roman" w:cs="Times New Roman"/>
          <w:sz w:val="24"/>
          <w:szCs w:val="24"/>
        </w:rPr>
        <w:t>.</w:t>
      </w:r>
      <w:r w:rsidR="006C0CF4">
        <w:rPr>
          <w:rFonts w:ascii="Times New Roman" w:eastAsiaTheme="minorEastAsia" w:hAnsi="Times New Roman" w:cs="Times New Roman"/>
          <w:sz w:val="24"/>
          <w:szCs w:val="24"/>
        </w:rPr>
        <w:t> </w:t>
      </w:r>
      <w:r w:rsidR="001863DB">
        <w:rPr>
          <w:rFonts w:ascii="Times New Roman" w:eastAsiaTheme="minorEastAsia" w:hAnsi="Times New Roman" w:cs="Times New Roman"/>
          <w:sz w:val="24"/>
          <w:szCs w:val="24"/>
        </w:rPr>
        <w:t>gada</w:t>
      </w:r>
      <w:r w:rsidRPr="000C4D4D">
        <w:rPr>
          <w:rFonts w:ascii="Times New Roman" w:eastAsiaTheme="minorEastAsia" w:hAnsi="Times New Roman" w:cs="Times New Roman"/>
          <w:sz w:val="24"/>
          <w:szCs w:val="24"/>
        </w:rPr>
        <w:t>m</w:t>
      </w:r>
      <w:r w:rsidR="001863DB" w:rsidRPr="000C4D4D">
        <w:rPr>
          <w:rFonts w:ascii="Times New Roman" w:eastAsiaTheme="minorEastAsia" w:hAnsi="Times New Roman" w:cs="Times New Roman"/>
          <w:sz w:val="24"/>
          <w:szCs w:val="24"/>
        </w:rPr>
        <w:t xml:space="preserve"> </w:t>
      </w:r>
      <w:r w:rsidRPr="000C4D4D">
        <w:rPr>
          <w:rFonts w:ascii="Times New Roman" w:eastAsiaTheme="minorEastAsia" w:hAnsi="Times New Roman" w:cs="Times New Roman"/>
          <w:sz w:val="24"/>
          <w:szCs w:val="24"/>
        </w:rPr>
        <w:t>projektiem</w:t>
      </w:r>
      <w:r>
        <w:rPr>
          <w:rFonts w:ascii="Times New Roman" w:eastAsiaTheme="minorEastAsia" w:hAnsi="Times New Roman" w:cs="Times New Roman"/>
          <w:sz w:val="24"/>
          <w:szCs w:val="24"/>
        </w:rPr>
        <w:t>.</w:t>
      </w:r>
    </w:p>
    <w:p w14:paraId="5AFB7366" w14:textId="77777777" w:rsidR="000C4D4D" w:rsidRPr="009E3439" w:rsidRDefault="000C4D4D" w:rsidP="00626A3E">
      <w:pPr>
        <w:ind w:left="360"/>
        <w:jc w:val="both"/>
        <w:rPr>
          <w:rFonts w:ascii="Times New Roman" w:eastAsiaTheme="minorEastAsia" w:hAnsi="Times New Roman" w:cs="Times New Roman"/>
          <w:sz w:val="24"/>
          <w:szCs w:val="24"/>
        </w:rPr>
      </w:pPr>
    </w:p>
    <w:p w14:paraId="3954E3A2" w14:textId="7402C95C" w:rsidR="001F5307" w:rsidRDefault="001F5307" w:rsidP="00626A3E">
      <w:pPr>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Vides aizsardzības un reģionālās attīstības </w:t>
      </w:r>
      <w:r w:rsidR="005E23D2">
        <w:rPr>
          <w:rFonts w:ascii="Times New Roman" w:eastAsiaTheme="minorEastAsia" w:hAnsi="Times New Roman" w:cs="Times New Roman"/>
          <w:sz w:val="24"/>
          <w:szCs w:val="24"/>
        </w:rPr>
        <w:t>ministrs</w:t>
      </w:r>
      <w:r w:rsidR="005E23D2">
        <w:rPr>
          <w:rFonts w:ascii="Times New Roman" w:eastAsiaTheme="minorEastAsia" w:hAnsi="Times New Roman" w:cs="Times New Roman"/>
          <w:sz w:val="24"/>
          <w:szCs w:val="24"/>
        </w:rPr>
        <w:tab/>
      </w:r>
      <w:r w:rsidR="005E23D2">
        <w:rPr>
          <w:rFonts w:ascii="Times New Roman" w:eastAsiaTheme="minorEastAsia" w:hAnsi="Times New Roman" w:cs="Times New Roman"/>
          <w:sz w:val="24"/>
          <w:szCs w:val="24"/>
        </w:rPr>
        <w:tab/>
      </w:r>
      <w:r w:rsidR="006556F4">
        <w:rPr>
          <w:rFonts w:ascii="Times New Roman" w:eastAsiaTheme="minorEastAsia" w:hAnsi="Times New Roman" w:cs="Times New Roman"/>
          <w:sz w:val="24"/>
          <w:szCs w:val="24"/>
        </w:rPr>
        <w:t>J. Pūce</w:t>
      </w:r>
    </w:p>
    <w:p w14:paraId="5498ACC7" w14:textId="77777777" w:rsidR="006C0CF4" w:rsidRDefault="006C0CF4" w:rsidP="00626A3E">
      <w:pPr>
        <w:ind w:left="360"/>
        <w:jc w:val="both"/>
        <w:rPr>
          <w:rFonts w:ascii="Times New Roman" w:eastAsiaTheme="minorEastAsia" w:hAnsi="Times New Roman" w:cs="Times New Roman"/>
          <w:sz w:val="24"/>
          <w:szCs w:val="24"/>
        </w:rPr>
      </w:pPr>
    </w:p>
    <w:p w14:paraId="6BAB0B86" w14:textId="77777777" w:rsidR="00A9597A" w:rsidRDefault="00A9597A" w:rsidP="00626A3E">
      <w:pPr>
        <w:spacing w:after="0" w:line="240" w:lineRule="auto"/>
        <w:ind w:firstLine="360"/>
        <w:jc w:val="both"/>
        <w:rPr>
          <w:rFonts w:ascii="Times New Roman" w:eastAsiaTheme="minorEastAsia" w:hAnsi="Times New Roman" w:cs="Times New Roman"/>
          <w:sz w:val="20"/>
          <w:szCs w:val="20"/>
        </w:rPr>
      </w:pPr>
    </w:p>
    <w:p w14:paraId="5FAD6F70" w14:textId="77777777" w:rsidR="00A9597A" w:rsidRDefault="00A9597A" w:rsidP="00626A3E">
      <w:pPr>
        <w:spacing w:after="0" w:line="240" w:lineRule="auto"/>
        <w:ind w:firstLine="360"/>
        <w:jc w:val="both"/>
        <w:rPr>
          <w:rFonts w:ascii="Times New Roman" w:eastAsiaTheme="minorEastAsia" w:hAnsi="Times New Roman" w:cs="Times New Roman"/>
          <w:sz w:val="20"/>
          <w:szCs w:val="20"/>
        </w:rPr>
      </w:pPr>
    </w:p>
    <w:p w14:paraId="57C21A2F" w14:textId="77777777" w:rsidR="00A9597A" w:rsidRDefault="00A9597A" w:rsidP="00626A3E">
      <w:pPr>
        <w:spacing w:after="0" w:line="240" w:lineRule="auto"/>
        <w:ind w:firstLine="360"/>
        <w:jc w:val="both"/>
        <w:rPr>
          <w:rFonts w:ascii="Times New Roman" w:eastAsiaTheme="minorEastAsia" w:hAnsi="Times New Roman" w:cs="Times New Roman"/>
          <w:sz w:val="20"/>
          <w:szCs w:val="20"/>
        </w:rPr>
      </w:pPr>
    </w:p>
    <w:p w14:paraId="2D87D2DA" w14:textId="1B9900D8" w:rsidR="001F5307" w:rsidRPr="00C24E47" w:rsidRDefault="001F5307" w:rsidP="00626A3E">
      <w:pPr>
        <w:spacing w:after="0" w:line="240" w:lineRule="auto"/>
        <w:ind w:firstLine="360"/>
        <w:jc w:val="both"/>
        <w:rPr>
          <w:rFonts w:ascii="Times New Roman" w:eastAsiaTheme="minorEastAsia" w:hAnsi="Times New Roman" w:cs="Times New Roman"/>
          <w:sz w:val="20"/>
          <w:szCs w:val="20"/>
        </w:rPr>
      </w:pPr>
      <w:r w:rsidRPr="00C24E47">
        <w:rPr>
          <w:rFonts w:ascii="Times New Roman" w:eastAsiaTheme="minorEastAsia" w:hAnsi="Times New Roman" w:cs="Times New Roman"/>
          <w:sz w:val="20"/>
          <w:szCs w:val="20"/>
        </w:rPr>
        <w:t>Mendziņa</w:t>
      </w:r>
      <w:r w:rsidR="006F60AE">
        <w:rPr>
          <w:rFonts w:ascii="Times New Roman" w:eastAsiaTheme="minorEastAsia" w:hAnsi="Times New Roman" w:cs="Times New Roman"/>
          <w:sz w:val="20"/>
          <w:szCs w:val="20"/>
        </w:rPr>
        <w:t xml:space="preserve">, </w:t>
      </w:r>
      <w:r w:rsidRPr="00C24E47">
        <w:rPr>
          <w:rFonts w:ascii="Times New Roman" w:eastAsiaTheme="minorEastAsia" w:hAnsi="Times New Roman" w:cs="Times New Roman"/>
          <w:sz w:val="20"/>
          <w:szCs w:val="20"/>
        </w:rPr>
        <w:t>67026432</w:t>
      </w:r>
    </w:p>
    <w:p w14:paraId="662877D6" w14:textId="12D26C4F" w:rsidR="00371EB9" w:rsidRPr="009E3439" w:rsidRDefault="001863DB" w:rsidP="00626A3E">
      <w:pPr>
        <w:spacing w:after="0" w:line="240" w:lineRule="auto"/>
        <w:ind w:firstLine="360"/>
        <w:jc w:val="both"/>
        <w:rPr>
          <w:rFonts w:ascii="Times New Roman" w:eastAsiaTheme="minorEastAsia" w:hAnsi="Times New Roman" w:cs="Times New Roman"/>
          <w:sz w:val="24"/>
          <w:szCs w:val="24"/>
        </w:rPr>
      </w:pPr>
      <w:hyperlink r:id="rId18" w:history="1">
        <w:r w:rsidR="005110F3" w:rsidRPr="002764E5">
          <w:rPr>
            <w:rStyle w:val="Hyperlink"/>
            <w:rFonts w:ascii="Times New Roman" w:eastAsiaTheme="minorEastAsia" w:hAnsi="Times New Roman" w:cs="Times New Roman"/>
            <w:sz w:val="20"/>
            <w:szCs w:val="20"/>
          </w:rPr>
          <w:t>ilona.mendzina@varam.gov.lv</w:t>
        </w:r>
      </w:hyperlink>
      <w:r w:rsidR="005110F3">
        <w:rPr>
          <w:rFonts w:ascii="Times New Roman" w:eastAsiaTheme="minorEastAsia" w:hAnsi="Times New Roman" w:cs="Times New Roman"/>
          <w:sz w:val="20"/>
          <w:szCs w:val="20"/>
        </w:rPr>
        <w:t xml:space="preserve"> </w:t>
      </w:r>
      <w:r w:rsidR="00C16F6F" w:rsidRPr="009E3439">
        <w:rPr>
          <w:rFonts w:ascii="Times New Roman" w:eastAsiaTheme="minorEastAsia" w:hAnsi="Times New Roman" w:cs="Times New Roman"/>
          <w:vanish/>
          <w:sz w:val="24"/>
          <w:szCs w:val="24"/>
        </w:rPr>
        <w:t>4 4</w:t>
      </w:r>
    </w:p>
    <w:sectPr w:rsidR="00371EB9" w:rsidRPr="009E3439" w:rsidSect="004703D4">
      <w:headerReference w:type="default" r:id="rId19"/>
      <w:footerReference w:type="default" r:id="rId20"/>
      <w:footerReference w:type="first" r:id="rId2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B5FA0" w14:textId="77777777" w:rsidR="001863DB" w:rsidRDefault="001863DB" w:rsidP="00F3310B">
      <w:pPr>
        <w:spacing w:after="0" w:line="240" w:lineRule="auto"/>
      </w:pPr>
      <w:r>
        <w:separator/>
      </w:r>
    </w:p>
  </w:endnote>
  <w:endnote w:type="continuationSeparator" w:id="0">
    <w:p w14:paraId="314DA276" w14:textId="77777777" w:rsidR="001863DB" w:rsidRDefault="001863DB" w:rsidP="00F3310B">
      <w:pPr>
        <w:spacing w:after="0" w:line="240" w:lineRule="auto"/>
      </w:pPr>
      <w:r>
        <w:continuationSeparator/>
      </w:r>
    </w:p>
  </w:endnote>
  <w:endnote w:type="continuationNotice" w:id="1">
    <w:p w14:paraId="6181F0FC" w14:textId="77777777" w:rsidR="001863DB" w:rsidRDefault="001863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73A1" w14:textId="70A12205" w:rsidR="001863DB" w:rsidRPr="004703D4" w:rsidRDefault="001863DB">
    <w:pPr>
      <w:pStyle w:val="Footer"/>
      <w:rPr>
        <w:rFonts w:ascii="Times New Roman" w:hAnsi="Times New Roman"/>
        <w:sz w:val="20"/>
      </w:rPr>
    </w:pPr>
    <w:proofErr w:type="spellStart"/>
    <w:r w:rsidRPr="004703D4">
      <w:rPr>
        <w:rFonts w:ascii="Times New Roman" w:hAnsi="Times New Roman"/>
        <w:sz w:val="20"/>
      </w:rPr>
      <w:t>VARAMInf_art</w:t>
    </w:r>
    <w:proofErr w:type="spellEnd"/>
    <w:r w:rsidRPr="004703D4">
      <w:rPr>
        <w:rFonts w:ascii="Times New Roman" w:hAnsi="Times New Roman"/>
        <w:sz w:val="20"/>
      </w:rPr>
      <w:t xml:space="preserve"> 12_14082019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857F" w14:textId="2BC9742E" w:rsidR="001863DB" w:rsidRPr="004703D4" w:rsidRDefault="001863DB">
    <w:pPr>
      <w:pStyle w:val="Footer"/>
      <w:rPr>
        <w:rFonts w:ascii="Times New Roman" w:hAnsi="Times New Roman"/>
        <w:sz w:val="20"/>
      </w:rPr>
    </w:pPr>
    <w:proofErr w:type="spellStart"/>
    <w:r w:rsidRPr="004703D4">
      <w:rPr>
        <w:rFonts w:ascii="Times New Roman" w:hAnsi="Times New Roman"/>
        <w:sz w:val="20"/>
      </w:rPr>
      <w:t>VARAMInf_art</w:t>
    </w:r>
    <w:proofErr w:type="spellEnd"/>
    <w:r w:rsidRPr="004703D4">
      <w:rPr>
        <w:rFonts w:ascii="Times New Roman" w:hAnsi="Times New Roman"/>
        <w:sz w:val="20"/>
      </w:rPr>
      <w:t xml:space="preserve"> 12_14082019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7FDDF" w14:textId="77777777" w:rsidR="001863DB" w:rsidRDefault="001863DB" w:rsidP="00F3310B">
      <w:pPr>
        <w:spacing w:after="0" w:line="240" w:lineRule="auto"/>
      </w:pPr>
      <w:r>
        <w:separator/>
      </w:r>
    </w:p>
  </w:footnote>
  <w:footnote w:type="continuationSeparator" w:id="0">
    <w:p w14:paraId="0BBE2598" w14:textId="77777777" w:rsidR="001863DB" w:rsidRDefault="001863DB" w:rsidP="00F3310B">
      <w:pPr>
        <w:spacing w:after="0" w:line="240" w:lineRule="auto"/>
      </w:pPr>
      <w:r>
        <w:continuationSeparator/>
      </w:r>
    </w:p>
  </w:footnote>
  <w:footnote w:type="continuationNotice" w:id="1">
    <w:p w14:paraId="6DA0B5E8" w14:textId="77777777" w:rsidR="001863DB" w:rsidRDefault="001863DB">
      <w:pPr>
        <w:spacing w:after="0" w:line="240" w:lineRule="auto"/>
      </w:pPr>
    </w:p>
  </w:footnote>
  <w:footnote w:id="2">
    <w:p w14:paraId="124D79BE" w14:textId="197F4631" w:rsidR="001863DB" w:rsidRDefault="001863DB" w:rsidP="00CA1001">
      <w:pPr>
        <w:pStyle w:val="FootnoteText"/>
        <w:jc w:val="both"/>
      </w:pPr>
      <w:r>
        <w:rPr>
          <w:rStyle w:val="FootnoteReference"/>
        </w:rPr>
        <w:footnoteRef/>
      </w:r>
      <w:r>
        <w:t xml:space="preserve"> </w:t>
      </w:r>
      <w:r w:rsidRPr="00CA1001">
        <w:rPr>
          <w:rFonts w:ascii="Times New Roman" w:hAnsi="Times New Roman" w:cs="Times New Roman"/>
        </w:rPr>
        <w:t xml:space="preserve">Atbilstoši Eiropas Parlamenta un Padomes 2019. gada 5. jūnija regulas (ES) 2019/1010 par ziņošanas pienākumu pielāgošanu ar vidi saistītu tiesību aktu jomā un ar ko groza Eiropas Parlamenta un Padomes Regulas (EK) Nr. 166/2006 un (ES) Nr. 995/2010, Eiropas Parlamenta un Padomes Direktīvas 2002/49/EK, 2004/35/EK, 2007/2/EK, </w:t>
      </w:r>
      <w:r w:rsidRPr="00CA1001">
        <w:rPr>
          <w:rStyle w:val="highlight"/>
          <w:rFonts w:ascii="Times New Roman" w:hAnsi="Times New Roman" w:cs="Times New Roman"/>
        </w:rPr>
        <w:t>2009/147/EK</w:t>
      </w:r>
      <w:r w:rsidRPr="00CA1001">
        <w:rPr>
          <w:rFonts w:ascii="Times New Roman" w:hAnsi="Times New Roman" w:cs="Times New Roman"/>
        </w:rPr>
        <w:t xml:space="preserve"> un 2010/63/ES, Padomes Regulas (EK) Nr. 338/97 un (EK) Nr. 2173/2005 un Padomes Direktīvu 86/278/EEK 5. panta 1. punkta a) apakšpunktam termiņš ziņojuma iesniegšanai ir noteikts seši gadi.</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422438"/>
      <w:docPartObj>
        <w:docPartGallery w:val="Page Numbers (Top of Page)"/>
        <w:docPartUnique/>
      </w:docPartObj>
    </w:sdtPr>
    <w:sdtEndPr>
      <w:rPr>
        <w:rFonts w:ascii="Times" w:hAnsi="Times"/>
        <w:noProof/>
        <w:sz w:val="24"/>
      </w:rPr>
    </w:sdtEndPr>
    <w:sdtContent>
      <w:p w14:paraId="6956630A" w14:textId="6CC31D9B" w:rsidR="001863DB" w:rsidRPr="004703D4" w:rsidRDefault="001863DB">
        <w:pPr>
          <w:pStyle w:val="Header"/>
          <w:jc w:val="center"/>
          <w:rPr>
            <w:rFonts w:ascii="Times" w:hAnsi="Times"/>
            <w:sz w:val="24"/>
          </w:rPr>
        </w:pPr>
        <w:r w:rsidRPr="004703D4">
          <w:rPr>
            <w:rFonts w:ascii="Times" w:hAnsi="Times"/>
            <w:sz w:val="24"/>
          </w:rPr>
          <w:fldChar w:fldCharType="begin"/>
        </w:r>
        <w:r w:rsidRPr="004703D4">
          <w:rPr>
            <w:rFonts w:ascii="Times" w:hAnsi="Times"/>
            <w:sz w:val="24"/>
          </w:rPr>
          <w:instrText xml:space="preserve"> PAGE   \* MERGEFORMAT </w:instrText>
        </w:r>
        <w:r w:rsidRPr="004703D4">
          <w:rPr>
            <w:rFonts w:ascii="Times" w:hAnsi="Times"/>
            <w:sz w:val="24"/>
          </w:rPr>
          <w:fldChar w:fldCharType="separate"/>
        </w:r>
        <w:r w:rsidR="00CA1001">
          <w:rPr>
            <w:rFonts w:ascii="Times" w:hAnsi="Times"/>
            <w:noProof/>
            <w:sz w:val="24"/>
          </w:rPr>
          <w:t>6</w:t>
        </w:r>
        <w:r w:rsidRPr="004703D4">
          <w:rPr>
            <w:rFonts w:ascii="Times" w:hAnsi="Times"/>
            <w:noProof/>
            <w:sz w:val="24"/>
          </w:rPr>
          <w:fldChar w:fldCharType="end"/>
        </w:r>
      </w:p>
    </w:sdtContent>
  </w:sdt>
  <w:p w14:paraId="30E99FE6" w14:textId="77777777" w:rsidR="001863DB" w:rsidRDefault="00186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81A"/>
    <w:multiLevelType w:val="hybridMultilevel"/>
    <w:tmpl w:val="874A92D4"/>
    <w:lvl w:ilvl="0" w:tplc="45C298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B31999"/>
    <w:multiLevelType w:val="hybridMultilevel"/>
    <w:tmpl w:val="1FC89948"/>
    <w:lvl w:ilvl="0" w:tplc="92A2B63E">
      <w:start w:val="1"/>
      <w:numFmt w:val="bullet"/>
      <w:lvlText w:val="•"/>
      <w:lvlJc w:val="left"/>
      <w:pPr>
        <w:tabs>
          <w:tab w:val="num" w:pos="720"/>
        </w:tabs>
        <w:ind w:left="720" w:hanging="360"/>
      </w:pPr>
      <w:rPr>
        <w:rFonts w:ascii="Times New Roman" w:hAnsi="Times New Roman" w:hint="default"/>
      </w:rPr>
    </w:lvl>
    <w:lvl w:ilvl="1" w:tplc="DE68F678" w:tentative="1">
      <w:start w:val="1"/>
      <w:numFmt w:val="bullet"/>
      <w:lvlText w:val="•"/>
      <w:lvlJc w:val="left"/>
      <w:pPr>
        <w:tabs>
          <w:tab w:val="num" w:pos="1440"/>
        </w:tabs>
        <w:ind w:left="1440" w:hanging="360"/>
      </w:pPr>
      <w:rPr>
        <w:rFonts w:ascii="Times New Roman" w:hAnsi="Times New Roman" w:hint="default"/>
      </w:rPr>
    </w:lvl>
    <w:lvl w:ilvl="2" w:tplc="EE02624E" w:tentative="1">
      <w:start w:val="1"/>
      <w:numFmt w:val="bullet"/>
      <w:lvlText w:val="•"/>
      <w:lvlJc w:val="left"/>
      <w:pPr>
        <w:tabs>
          <w:tab w:val="num" w:pos="2160"/>
        </w:tabs>
        <w:ind w:left="2160" w:hanging="360"/>
      </w:pPr>
      <w:rPr>
        <w:rFonts w:ascii="Times New Roman" w:hAnsi="Times New Roman" w:hint="default"/>
      </w:rPr>
    </w:lvl>
    <w:lvl w:ilvl="3" w:tplc="E23CC0FE" w:tentative="1">
      <w:start w:val="1"/>
      <w:numFmt w:val="bullet"/>
      <w:lvlText w:val="•"/>
      <w:lvlJc w:val="left"/>
      <w:pPr>
        <w:tabs>
          <w:tab w:val="num" w:pos="2880"/>
        </w:tabs>
        <w:ind w:left="2880" w:hanging="360"/>
      </w:pPr>
      <w:rPr>
        <w:rFonts w:ascii="Times New Roman" w:hAnsi="Times New Roman" w:hint="default"/>
      </w:rPr>
    </w:lvl>
    <w:lvl w:ilvl="4" w:tplc="675EFF94" w:tentative="1">
      <w:start w:val="1"/>
      <w:numFmt w:val="bullet"/>
      <w:lvlText w:val="•"/>
      <w:lvlJc w:val="left"/>
      <w:pPr>
        <w:tabs>
          <w:tab w:val="num" w:pos="3600"/>
        </w:tabs>
        <w:ind w:left="3600" w:hanging="360"/>
      </w:pPr>
      <w:rPr>
        <w:rFonts w:ascii="Times New Roman" w:hAnsi="Times New Roman" w:hint="default"/>
      </w:rPr>
    </w:lvl>
    <w:lvl w:ilvl="5" w:tplc="8D6A9A38" w:tentative="1">
      <w:start w:val="1"/>
      <w:numFmt w:val="bullet"/>
      <w:lvlText w:val="•"/>
      <w:lvlJc w:val="left"/>
      <w:pPr>
        <w:tabs>
          <w:tab w:val="num" w:pos="4320"/>
        </w:tabs>
        <w:ind w:left="4320" w:hanging="360"/>
      </w:pPr>
      <w:rPr>
        <w:rFonts w:ascii="Times New Roman" w:hAnsi="Times New Roman" w:hint="default"/>
      </w:rPr>
    </w:lvl>
    <w:lvl w:ilvl="6" w:tplc="BD6A2A00" w:tentative="1">
      <w:start w:val="1"/>
      <w:numFmt w:val="bullet"/>
      <w:lvlText w:val="•"/>
      <w:lvlJc w:val="left"/>
      <w:pPr>
        <w:tabs>
          <w:tab w:val="num" w:pos="5040"/>
        </w:tabs>
        <w:ind w:left="5040" w:hanging="360"/>
      </w:pPr>
      <w:rPr>
        <w:rFonts w:ascii="Times New Roman" w:hAnsi="Times New Roman" w:hint="default"/>
      </w:rPr>
    </w:lvl>
    <w:lvl w:ilvl="7" w:tplc="A63241AC" w:tentative="1">
      <w:start w:val="1"/>
      <w:numFmt w:val="bullet"/>
      <w:lvlText w:val="•"/>
      <w:lvlJc w:val="left"/>
      <w:pPr>
        <w:tabs>
          <w:tab w:val="num" w:pos="5760"/>
        </w:tabs>
        <w:ind w:left="5760" w:hanging="360"/>
      </w:pPr>
      <w:rPr>
        <w:rFonts w:ascii="Times New Roman" w:hAnsi="Times New Roman" w:hint="default"/>
      </w:rPr>
    </w:lvl>
    <w:lvl w:ilvl="8" w:tplc="BB44C3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1B4C7D"/>
    <w:multiLevelType w:val="hybridMultilevel"/>
    <w:tmpl w:val="5E90421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9A74634"/>
    <w:multiLevelType w:val="hybridMultilevel"/>
    <w:tmpl w:val="CF50A8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DE784C"/>
    <w:multiLevelType w:val="hybridMultilevel"/>
    <w:tmpl w:val="A9604E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EC51471"/>
    <w:multiLevelType w:val="hybridMultilevel"/>
    <w:tmpl w:val="C7328376"/>
    <w:lvl w:ilvl="0" w:tplc="C7AA6B7E">
      <w:start w:val="1"/>
      <w:numFmt w:val="bullet"/>
      <w:lvlText w:val="•"/>
      <w:lvlJc w:val="left"/>
      <w:pPr>
        <w:tabs>
          <w:tab w:val="num" w:pos="720"/>
        </w:tabs>
        <w:ind w:left="720" w:hanging="360"/>
      </w:pPr>
      <w:rPr>
        <w:rFonts w:ascii="Times New Roman" w:hAnsi="Times New Roman" w:hint="default"/>
      </w:rPr>
    </w:lvl>
    <w:lvl w:ilvl="1" w:tplc="4FE69ED8" w:tentative="1">
      <w:start w:val="1"/>
      <w:numFmt w:val="bullet"/>
      <w:lvlText w:val="•"/>
      <w:lvlJc w:val="left"/>
      <w:pPr>
        <w:tabs>
          <w:tab w:val="num" w:pos="1440"/>
        </w:tabs>
        <w:ind w:left="1440" w:hanging="360"/>
      </w:pPr>
      <w:rPr>
        <w:rFonts w:ascii="Times New Roman" w:hAnsi="Times New Roman" w:hint="default"/>
      </w:rPr>
    </w:lvl>
    <w:lvl w:ilvl="2" w:tplc="6D6E832A" w:tentative="1">
      <w:start w:val="1"/>
      <w:numFmt w:val="bullet"/>
      <w:lvlText w:val="•"/>
      <w:lvlJc w:val="left"/>
      <w:pPr>
        <w:tabs>
          <w:tab w:val="num" w:pos="2160"/>
        </w:tabs>
        <w:ind w:left="2160" w:hanging="360"/>
      </w:pPr>
      <w:rPr>
        <w:rFonts w:ascii="Times New Roman" w:hAnsi="Times New Roman" w:hint="default"/>
      </w:rPr>
    </w:lvl>
    <w:lvl w:ilvl="3" w:tplc="4012600A" w:tentative="1">
      <w:start w:val="1"/>
      <w:numFmt w:val="bullet"/>
      <w:lvlText w:val="•"/>
      <w:lvlJc w:val="left"/>
      <w:pPr>
        <w:tabs>
          <w:tab w:val="num" w:pos="2880"/>
        </w:tabs>
        <w:ind w:left="2880" w:hanging="360"/>
      </w:pPr>
      <w:rPr>
        <w:rFonts w:ascii="Times New Roman" w:hAnsi="Times New Roman" w:hint="default"/>
      </w:rPr>
    </w:lvl>
    <w:lvl w:ilvl="4" w:tplc="C63EEA6C" w:tentative="1">
      <w:start w:val="1"/>
      <w:numFmt w:val="bullet"/>
      <w:lvlText w:val="•"/>
      <w:lvlJc w:val="left"/>
      <w:pPr>
        <w:tabs>
          <w:tab w:val="num" w:pos="3600"/>
        </w:tabs>
        <w:ind w:left="3600" w:hanging="360"/>
      </w:pPr>
      <w:rPr>
        <w:rFonts w:ascii="Times New Roman" w:hAnsi="Times New Roman" w:hint="default"/>
      </w:rPr>
    </w:lvl>
    <w:lvl w:ilvl="5" w:tplc="D0AA8C50" w:tentative="1">
      <w:start w:val="1"/>
      <w:numFmt w:val="bullet"/>
      <w:lvlText w:val="•"/>
      <w:lvlJc w:val="left"/>
      <w:pPr>
        <w:tabs>
          <w:tab w:val="num" w:pos="4320"/>
        </w:tabs>
        <w:ind w:left="4320" w:hanging="360"/>
      </w:pPr>
      <w:rPr>
        <w:rFonts w:ascii="Times New Roman" w:hAnsi="Times New Roman" w:hint="default"/>
      </w:rPr>
    </w:lvl>
    <w:lvl w:ilvl="6" w:tplc="5DC0FEC0" w:tentative="1">
      <w:start w:val="1"/>
      <w:numFmt w:val="bullet"/>
      <w:lvlText w:val="•"/>
      <w:lvlJc w:val="left"/>
      <w:pPr>
        <w:tabs>
          <w:tab w:val="num" w:pos="5040"/>
        </w:tabs>
        <w:ind w:left="5040" w:hanging="360"/>
      </w:pPr>
      <w:rPr>
        <w:rFonts w:ascii="Times New Roman" w:hAnsi="Times New Roman" w:hint="default"/>
      </w:rPr>
    </w:lvl>
    <w:lvl w:ilvl="7" w:tplc="C04E2650" w:tentative="1">
      <w:start w:val="1"/>
      <w:numFmt w:val="bullet"/>
      <w:lvlText w:val="•"/>
      <w:lvlJc w:val="left"/>
      <w:pPr>
        <w:tabs>
          <w:tab w:val="num" w:pos="5760"/>
        </w:tabs>
        <w:ind w:left="5760" w:hanging="360"/>
      </w:pPr>
      <w:rPr>
        <w:rFonts w:ascii="Times New Roman" w:hAnsi="Times New Roman" w:hint="default"/>
      </w:rPr>
    </w:lvl>
    <w:lvl w:ilvl="8" w:tplc="331C0DC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D921CE"/>
    <w:multiLevelType w:val="hybridMultilevel"/>
    <w:tmpl w:val="07B85CBE"/>
    <w:lvl w:ilvl="0" w:tplc="42366F10">
      <w:start w:val="1"/>
      <w:numFmt w:val="bullet"/>
      <w:lvlText w:val="•"/>
      <w:lvlJc w:val="left"/>
      <w:pPr>
        <w:tabs>
          <w:tab w:val="num" w:pos="720"/>
        </w:tabs>
        <w:ind w:left="720" w:hanging="360"/>
      </w:pPr>
      <w:rPr>
        <w:rFonts w:ascii="Times New Roman" w:hAnsi="Times New Roman" w:hint="default"/>
      </w:rPr>
    </w:lvl>
    <w:lvl w:ilvl="1" w:tplc="114CFE78" w:tentative="1">
      <w:start w:val="1"/>
      <w:numFmt w:val="bullet"/>
      <w:lvlText w:val="•"/>
      <w:lvlJc w:val="left"/>
      <w:pPr>
        <w:tabs>
          <w:tab w:val="num" w:pos="1440"/>
        </w:tabs>
        <w:ind w:left="1440" w:hanging="360"/>
      </w:pPr>
      <w:rPr>
        <w:rFonts w:ascii="Times New Roman" w:hAnsi="Times New Roman" w:hint="default"/>
      </w:rPr>
    </w:lvl>
    <w:lvl w:ilvl="2" w:tplc="07C6A234" w:tentative="1">
      <w:start w:val="1"/>
      <w:numFmt w:val="bullet"/>
      <w:lvlText w:val="•"/>
      <w:lvlJc w:val="left"/>
      <w:pPr>
        <w:tabs>
          <w:tab w:val="num" w:pos="2160"/>
        </w:tabs>
        <w:ind w:left="2160" w:hanging="360"/>
      </w:pPr>
      <w:rPr>
        <w:rFonts w:ascii="Times New Roman" w:hAnsi="Times New Roman" w:hint="default"/>
      </w:rPr>
    </w:lvl>
    <w:lvl w:ilvl="3" w:tplc="26A4ADB0" w:tentative="1">
      <w:start w:val="1"/>
      <w:numFmt w:val="bullet"/>
      <w:lvlText w:val="•"/>
      <w:lvlJc w:val="left"/>
      <w:pPr>
        <w:tabs>
          <w:tab w:val="num" w:pos="2880"/>
        </w:tabs>
        <w:ind w:left="2880" w:hanging="360"/>
      </w:pPr>
      <w:rPr>
        <w:rFonts w:ascii="Times New Roman" w:hAnsi="Times New Roman" w:hint="default"/>
      </w:rPr>
    </w:lvl>
    <w:lvl w:ilvl="4" w:tplc="DCBEFC40" w:tentative="1">
      <w:start w:val="1"/>
      <w:numFmt w:val="bullet"/>
      <w:lvlText w:val="•"/>
      <w:lvlJc w:val="left"/>
      <w:pPr>
        <w:tabs>
          <w:tab w:val="num" w:pos="3600"/>
        </w:tabs>
        <w:ind w:left="3600" w:hanging="360"/>
      </w:pPr>
      <w:rPr>
        <w:rFonts w:ascii="Times New Roman" w:hAnsi="Times New Roman" w:hint="default"/>
      </w:rPr>
    </w:lvl>
    <w:lvl w:ilvl="5" w:tplc="E9506250" w:tentative="1">
      <w:start w:val="1"/>
      <w:numFmt w:val="bullet"/>
      <w:lvlText w:val="•"/>
      <w:lvlJc w:val="left"/>
      <w:pPr>
        <w:tabs>
          <w:tab w:val="num" w:pos="4320"/>
        </w:tabs>
        <w:ind w:left="4320" w:hanging="360"/>
      </w:pPr>
      <w:rPr>
        <w:rFonts w:ascii="Times New Roman" w:hAnsi="Times New Roman" w:hint="default"/>
      </w:rPr>
    </w:lvl>
    <w:lvl w:ilvl="6" w:tplc="20C23208" w:tentative="1">
      <w:start w:val="1"/>
      <w:numFmt w:val="bullet"/>
      <w:lvlText w:val="•"/>
      <w:lvlJc w:val="left"/>
      <w:pPr>
        <w:tabs>
          <w:tab w:val="num" w:pos="5040"/>
        </w:tabs>
        <w:ind w:left="5040" w:hanging="360"/>
      </w:pPr>
      <w:rPr>
        <w:rFonts w:ascii="Times New Roman" w:hAnsi="Times New Roman" w:hint="default"/>
      </w:rPr>
    </w:lvl>
    <w:lvl w:ilvl="7" w:tplc="AAD4280E" w:tentative="1">
      <w:start w:val="1"/>
      <w:numFmt w:val="bullet"/>
      <w:lvlText w:val="•"/>
      <w:lvlJc w:val="left"/>
      <w:pPr>
        <w:tabs>
          <w:tab w:val="num" w:pos="5760"/>
        </w:tabs>
        <w:ind w:left="5760" w:hanging="360"/>
      </w:pPr>
      <w:rPr>
        <w:rFonts w:ascii="Times New Roman" w:hAnsi="Times New Roman" w:hint="default"/>
      </w:rPr>
    </w:lvl>
    <w:lvl w:ilvl="8" w:tplc="1C0A094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632B40"/>
    <w:multiLevelType w:val="hybridMultilevel"/>
    <w:tmpl w:val="003C3AC0"/>
    <w:lvl w:ilvl="0" w:tplc="6670704C">
      <w:start w:val="1"/>
      <w:numFmt w:val="bullet"/>
      <w:lvlText w:val="•"/>
      <w:lvlJc w:val="left"/>
      <w:pPr>
        <w:tabs>
          <w:tab w:val="num" w:pos="720"/>
        </w:tabs>
        <w:ind w:left="720" w:hanging="360"/>
      </w:pPr>
      <w:rPr>
        <w:rFonts w:ascii="Times New Roman" w:hAnsi="Times New Roman" w:hint="default"/>
      </w:rPr>
    </w:lvl>
    <w:lvl w:ilvl="1" w:tplc="8C6CA00E" w:tentative="1">
      <w:start w:val="1"/>
      <w:numFmt w:val="bullet"/>
      <w:lvlText w:val="•"/>
      <w:lvlJc w:val="left"/>
      <w:pPr>
        <w:tabs>
          <w:tab w:val="num" w:pos="1440"/>
        </w:tabs>
        <w:ind w:left="1440" w:hanging="360"/>
      </w:pPr>
      <w:rPr>
        <w:rFonts w:ascii="Times New Roman" w:hAnsi="Times New Roman" w:hint="default"/>
      </w:rPr>
    </w:lvl>
    <w:lvl w:ilvl="2" w:tplc="DF0A05CA" w:tentative="1">
      <w:start w:val="1"/>
      <w:numFmt w:val="bullet"/>
      <w:lvlText w:val="•"/>
      <w:lvlJc w:val="left"/>
      <w:pPr>
        <w:tabs>
          <w:tab w:val="num" w:pos="2160"/>
        </w:tabs>
        <w:ind w:left="2160" w:hanging="360"/>
      </w:pPr>
      <w:rPr>
        <w:rFonts w:ascii="Times New Roman" w:hAnsi="Times New Roman" w:hint="default"/>
      </w:rPr>
    </w:lvl>
    <w:lvl w:ilvl="3" w:tplc="8A323E78" w:tentative="1">
      <w:start w:val="1"/>
      <w:numFmt w:val="bullet"/>
      <w:lvlText w:val="•"/>
      <w:lvlJc w:val="left"/>
      <w:pPr>
        <w:tabs>
          <w:tab w:val="num" w:pos="2880"/>
        </w:tabs>
        <w:ind w:left="2880" w:hanging="360"/>
      </w:pPr>
      <w:rPr>
        <w:rFonts w:ascii="Times New Roman" w:hAnsi="Times New Roman" w:hint="default"/>
      </w:rPr>
    </w:lvl>
    <w:lvl w:ilvl="4" w:tplc="0E843E2E" w:tentative="1">
      <w:start w:val="1"/>
      <w:numFmt w:val="bullet"/>
      <w:lvlText w:val="•"/>
      <w:lvlJc w:val="left"/>
      <w:pPr>
        <w:tabs>
          <w:tab w:val="num" w:pos="3600"/>
        </w:tabs>
        <w:ind w:left="3600" w:hanging="360"/>
      </w:pPr>
      <w:rPr>
        <w:rFonts w:ascii="Times New Roman" w:hAnsi="Times New Roman" w:hint="default"/>
      </w:rPr>
    </w:lvl>
    <w:lvl w:ilvl="5" w:tplc="CB54DF34" w:tentative="1">
      <w:start w:val="1"/>
      <w:numFmt w:val="bullet"/>
      <w:lvlText w:val="•"/>
      <w:lvlJc w:val="left"/>
      <w:pPr>
        <w:tabs>
          <w:tab w:val="num" w:pos="4320"/>
        </w:tabs>
        <w:ind w:left="4320" w:hanging="360"/>
      </w:pPr>
      <w:rPr>
        <w:rFonts w:ascii="Times New Roman" w:hAnsi="Times New Roman" w:hint="default"/>
      </w:rPr>
    </w:lvl>
    <w:lvl w:ilvl="6" w:tplc="765E930A" w:tentative="1">
      <w:start w:val="1"/>
      <w:numFmt w:val="bullet"/>
      <w:lvlText w:val="•"/>
      <w:lvlJc w:val="left"/>
      <w:pPr>
        <w:tabs>
          <w:tab w:val="num" w:pos="5040"/>
        </w:tabs>
        <w:ind w:left="5040" w:hanging="360"/>
      </w:pPr>
      <w:rPr>
        <w:rFonts w:ascii="Times New Roman" w:hAnsi="Times New Roman" w:hint="default"/>
      </w:rPr>
    </w:lvl>
    <w:lvl w:ilvl="7" w:tplc="6DFCB9C2" w:tentative="1">
      <w:start w:val="1"/>
      <w:numFmt w:val="bullet"/>
      <w:lvlText w:val="•"/>
      <w:lvlJc w:val="left"/>
      <w:pPr>
        <w:tabs>
          <w:tab w:val="num" w:pos="5760"/>
        </w:tabs>
        <w:ind w:left="5760" w:hanging="360"/>
      </w:pPr>
      <w:rPr>
        <w:rFonts w:ascii="Times New Roman" w:hAnsi="Times New Roman" w:hint="default"/>
      </w:rPr>
    </w:lvl>
    <w:lvl w:ilvl="8" w:tplc="F12855B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E052DA"/>
    <w:multiLevelType w:val="hybridMultilevel"/>
    <w:tmpl w:val="98BCF2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B87019"/>
    <w:multiLevelType w:val="hybridMultilevel"/>
    <w:tmpl w:val="D3D07E56"/>
    <w:lvl w:ilvl="0" w:tplc="C1EE567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806634"/>
    <w:multiLevelType w:val="hybridMultilevel"/>
    <w:tmpl w:val="0B3427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EB746A"/>
    <w:multiLevelType w:val="hybridMultilevel"/>
    <w:tmpl w:val="99389E2E"/>
    <w:lvl w:ilvl="0" w:tplc="BE5E9CB2">
      <w:start w:val="1"/>
      <w:numFmt w:val="bullet"/>
      <w:lvlText w:val="•"/>
      <w:lvlJc w:val="left"/>
      <w:pPr>
        <w:tabs>
          <w:tab w:val="num" w:pos="720"/>
        </w:tabs>
        <w:ind w:left="720" w:hanging="360"/>
      </w:pPr>
      <w:rPr>
        <w:rFonts w:ascii="Times New Roman" w:hAnsi="Times New Roman" w:hint="default"/>
      </w:rPr>
    </w:lvl>
    <w:lvl w:ilvl="1" w:tplc="FDB00D98" w:tentative="1">
      <w:start w:val="1"/>
      <w:numFmt w:val="bullet"/>
      <w:lvlText w:val="•"/>
      <w:lvlJc w:val="left"/>
      <w:pPr>
        <w:tabs>
          <w:tab w:val="num" w:pos="1440"/>
        </w:tabs>
        <w:ind w:left="1440" w:hanging="360"/>
      </w:pPr>
      <w:rPr>
        <w:rFonts w:ascii="Times New Roman" w:hAnsi="Times New Roman" w:hint="default"/>
      </w:rPr>
    </w:lvl>
    <w:lvl w:ilvl="2" w:tplc="BDF2A5D0" w:tentative="1">
      <w:start w:val="1"/>
      <w:numFmt w:val="bullet"/>
      <w:lvlText w:val="•"/>
      <w:lvlJc w:val="left"/>
      <w:pPr>
        <w:tabs>
          <w:tab w:val="num" w:pos="2160"/>
        </w:tabs>
        <w:ind w:left="2160" w:hanging="360"/>
      </w:pPr>
      <w:rPr>
        <w:rFonts w:ascii="Times New Roman" w:hAnsi="Times New Roman" w:hint="default"/>
      </w:rPr>
    </w:lvl>
    <w:lvl w:ilvl="3" w:tplc="A6FA32BC" w:tentative="1">
      <w:start w:val="1"/>
      <w:numFmt w:val="bullet"/>
      <w:lvlText w:val="•"/>
      <w:lvlJc w:val="left"/>
      <w:pPr>
        <w:tabs>
          <w:tab w:val="num" w:pos="2880"/>
        </w:tabs>
        <w:ind w:left="2880" w:hanging="360"/>
      </w:pPr>
      <w:rPr>
        <w:rFonts w:ascii="Times New Roman" w:hAnsi="Times New Roman" w:hint="default"/>
      </w:rPr>
    </w:lvl>
    <w:lvl w:ilvl="4" w:tplc="E5D49C8A" w:tentative="1">
      <w:start w:val="1"/>
      <w:numFmt w:val="bullet"/>
      <w:lvlText w:val="•"/>
      <w:lvlJc w:val="left"/>
      <w:pPr>
        <w:tabs>
          <w:tab w:val="num" w:pos="3600"/>
        </w:tabs>
        <w:ind w:left="3600" w:hanging="360"/>
      </w:pPr>
      <w:rPr>
        <w:rFonts w:ascii="Times New Roman" w:hAnsi="Times New Roman" w:hint="default"/>
      </w:rPr>
    </w:lvl>
    <w:lvl w:ilvl="5" w:tplc="E5CC7EC6" w:tentative="1">
      <w:start w:val="1"/>
      <w:numFmt w:val="bullet"/>
      <w:lvlText w:val="•"/>
      <w:lvlJc w:val="left"/>
      <w:pPr>
        <w:tabs>
          <w:tab w:val="num" w:pos="4320"/>
        </w:tabs>
        <w:ind w:left="4320" w:hanging="360"/>
      </w:pPr>
      <w:rPr>
        <w:rFonts w:ascii="Times New Roman" w:hAnsi="Times New Roman" w:hint="default"/>
      </w:rPr>
    </w:lvl>
    <w:lvl w:ilvl="6" w:tplc="CEF66F78" w:tentative="1">
      <w:start w:val="1"/>
      <w:numFmt w:val="bullet"/>
      <w:lvlText w:val="•"/>
      <w:lvlJc w:val="left"/>
      <w:pPr>
        <w:tabs>
          <w:tab w:val="num" w:pos="5040"/>
        </w:tabs>
        <w:ind w:left="5040" w:hanging="360"/>
      </w:pPr>
      <w:rPr>
        <w:rFonts w:ascii="Times New Roman" w:hAnsi="Times New Roman" w:hint="default"/>
      </w:rPr>
    </w:lvl>
    <w:lvl w:ilvl="7" w:tplc="A846EE9A" w:tentative="1">
      <w:start w:val="1"/>
      <w:numFmt w:val="bullet"/>
      <w:lvlText w:val="•"/>
      <w:lvlJc w:val="left"/>
      <w:pPr>
        <w:tabs>
          <w:tab w:val="num" w:pos="5760"/>
        </w:tabs>
        <w:ind w:left="5760" w:hanging="360"/>
      </w:pPr>
      <w:rPr>
        <w:rFonts w:ascii="Times New Roman" w:hAnsi="Times New Roman" w:hint="default"/>
      </w:rPr>
    </w:lvl>
    <w:lvl w:ilvl="8" w:tplc="35848CD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5C94A0C"/>
    <w:multiLevelType w:val="hybridMultilevel"/>
    <w:tmpl w:val="02E67C84"/>
    <w:lvl w:ilvl="0" w:tplc="3B22FEC0">
      <w:start w:val="1"/>
      <w:numFmt w:val="bullet"/>
      <w:lvlText w:val="•"/>
      <w:lvlJc w:val="left"/>
      <w:pPr>
        <w:tabs>
          <w:tab w:val="num" w:pos="720"/>
        </w:tabs>
        <w:ind w:left="720" w:hanging="360"/>
      </w:pPr>
      <w:rPr>
        <w:rFonts w:ascii="Times New Roman" w:hAnsi="Times New Roman" w:hint="default"/>
      </w:rPr>
    </w:lvl>
    <w:lvl w:ilvl="1" w:tplc="D0A005D2" w:tentative="1">
      <w:start w:val="1"/>
      <w:numFmt w:val="bullet"/>
      <w:lvlText w:val="•"/>
      <w:lvlJc w:val="left"/>
      <w:pPr>
        <w:tabs>
          <w:tab w:val="num" w:pos="1440"/>
        </w:tabs>
        <w:ind w:left="1440" w:hanging="360"/>
      </w:pPr>
      <w:rPr>
        <w:rFonts w:ascii="Times New Roman" w:hAnsi="Times New Roman" w:hint="default"/>
      </w:rPr>
    </w:lvl>
    <w:lvl w:ilvl="2" w:tplc="CACEFD30" w:tentative="1">
      <w:start w:val="1"/>
      <w:numFmt w:val="bullet"/>
      <w:lvlText w:val="•"/>
      <w:lvlJc w:val="left"/>
      <w:pPr>
        <w:tabs>
          <w:tab w:val="num" w:pos="2160"/>
        </w:tabs>
        <w:ind w:left="2160" w:hanging="360"/>
      </w:pPr>
      <w:rPr>
        <w:rFonts w:ascii="Times New Roman" w:hAnsi="Times New Roman" w:hint="default"/>
      </w:rPr>
    </w:lvl>
    <w:lvl w:ilvl="3" w:tplc="AB72AFE0" w:tentative="1">
      <w:start w:val="1"/>
      <w:numFmt w:val="bullet"/>
      <w:lvlText w:val="•"/>
      <w:lvlJc w:val="left"/>
      <w:pPr>
        <w:tabs>
          <w:tab w:val="num" w:pos="2880"/>
        </w:tabs>
        <w:ind w:left="2880" w:hanging="360"/>
      </w:pPr>
      <w:rPr>
        <w:rFonts w:ascii="Times New Roman" w:hAnsi="Times New Roman" w:hint="default"/>
      </w:rPr>
    </w:lvl>
    <w:lvl w:ilvl="4" w:tplc="C3AC3BEA" w:tentative="1">
      <w:start w:val="1"/>
      <w:numFmt w:val="bullet"/>
      <w:lvlText w:val="•"/>
      <w:lvlJc w:val="left"/>
      <w:pPr>
        <w:tabs>
          <w:tab w:val="num" w:pos="3600"/>
        </w:tabs>
        <w:ind w:left="3600" w:hanging="360"/>
      </w:pPr>
      <w:rPr>
        <w:rFonts w:ascii="Times New Roman" w:hAnsi="Times New Roman" w:hint="default"/>
      </w:rPr>
    </w:lvl>
    <w:lvl w:ilvl="5" w:tplc="F8626B70" w:tentative="1">
      <w:start w:val="1"/>
      <w:numFmt w:val="bullet"/>
      <w:lvlText w:val="•"/>
      <w:lvlJc w:val="left"/>
      <w:pPr>
        <w:tabs>
          <w:tab w:val="num" w:pos="4320"/>
        </w:tabs>
        <w:ind w:left="4320" w:hanging="360"/>
      </w:pPr>
      <w:rPr>
        <w:rFonts w:ascii="Times New Roman" w:hAnsi="Times New Roman" w:hint="default"/>
      </w:rPr>
    </w:lvl>
    <w:lvl w:ilvl="6" w:tplc="49442E2C" w:tentative="1">
      <w:start w:val="1"/>
      <w:numFmt w:val="bullet"/>
      <w:lvlText w:val="•"/>
      <w:lvlJc w:val="left"/>
      <w:pPr>
        <w:tabs>
          <w:tab w:val="num" w:pos="5040"/>
        </w:tabs>
        <w:ind w:left="5040" w:hanging="360"/>
      </w:pPr>
      <w:rPr>
        <w:rFonts w:ascii="Times New Roman" w:hAnsi="Times New Roman" w:hint="default"/>
      </w:rPr>
    </w:lvl>
    <w:lvl w:ilvl="7" w:tplc="D8A4B52C" w:tentative="1">
      <w:start w:val="1"/>
      <w:numFmt w:val="bullet"/>
      <w:lvlText w:val="•"/>
      <w:lvlJc w:val="left"/>
      <w:pPr>
        <w:tabs>
          <w:tab w:val="num" w:pos="5760"/>
        </w:tabs>
        <w:ind w:left="5760" w:hanging="360"/>
      </w:pPr>
      <w:rPr>
        <w:rFonts w:ascii="Times New Roman" w:hAnsi="Times New Roman" w:hint="default"/>
      </w:rPr>
    </w:lvl>
    <w:lvl w:ilvl="8" w:tplc="CDCA760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7E25149"/>
    <w:multiLevelType w:val="hybridMultilevel"/>
    <w:tmpl w:val="326CCE0E"/>
    <w:lvl w:ilvl="0" w:tplc="F154ADC0">
      <w:start w:val="1"/>
      <w:numFmt w:val="bullet"/>
      <w:lvlText w:val="-"/>
      <w:lvlJc w:val="left"/>
      <w:pPr>
        <w:ind w:left="1080" w:hanging="360"/>
      </w:pPr>
      <w:rPr>
        <w:rFonts w:ascii="Times New Roman" w:eastAsia="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8532A33"/>
    <w:multiLevelType w:val="hybridMultilevel"/>
    <w:tmpl w:val="07386E6C"/>
    <w:lvl w:ilvl="0" w:tplc="8E48DFD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DDD0DB2"/>
    <w:multiLevelType w:val="hybridMultilevel"/>
    <w:tmpl w:val="8C7E4C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12"/>
  </w:num>
  <w:num w:numId="5">
    <w:abstractNumId w:val="7"/>
  </w:num>
  <w:num w:numId="6">
    <w:abstractNumId w:val="11"/>
  </w:num>
  <w:num w:numId="7">
    <w:abstractNumId w:val="14"/>
  </w:num>
  <w:num w:numId="8">
    <w:abstractNumId w:val="9"/>
  </w:num>
  <w:num w:numId="9">
    <w:abstractNumId w:val="13"/>
  </w:num>
  <w:num w:numId="10">
    <w:abstractNumId w:val="8"/>
  </w:num>
  <w:num w:numId="11">
    <w:abstractNumId w:val="0"/>
  </w:num>
  <w:num w:numId="12">
    <w:abstractNumId w:val="15"/>
  </w:num>
  <w:num w:numId="13">
    <w:abstractNumId w:val="3"/>
  </w:num>
  <w:num w:numId="14">
    <w:abstractNumId w:val="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39"/>
    <w:rsid w:val="00002DCF"/>
    <w:rsid w:val="000039AE"/>
    <w:rsid w:val="00013B49"/>
    <w:rsid w:val="0001634E"/>
    <w:rsid w:val="00020DF2"/>
    <w:rsid w:val="00045C7A"/>
    <w:rsid w:val="0005034B"/>
    <w:rsid w:val="00057746"/>
    <w:rsid w:val="0006794F"/>
    <w:rsid w:val="00070447"/>
    <w:rsid w:val="00080268"/>
    <w:rsid w:val="00082687"/>
    <w:rsid w:val="00084853"/>
    <w:rsid w:val="00086EFC"/>
    <w:rsid w:val="00087004"/>
    <w:rsid w:val="00097457"/>
    <w:rsid w:val="000A4B63"/>
    <w:rsid w:val="000A6544"/>
    <w:rsid w:val="000B5A5A"/>
    <w:rsid w:val="000C4D4D"/>
    <w:rsid w:val="000C6AE0"/>
    <w:rsid w:val="000E4F36"/>
    <w:rsid w:val="000F557C"/>
    <w:rsid w:val="00124A96"/>
    <w:rsid w:val="00143C32"/>
    <w:rsid w:val="001443F1"/>
    <w:rsid w:val="0014474F"/>
    <w:rsid w:val="00146966"/>
    <w:rsid w:val="00154045"/>
    <w:rsid w:val="00155E65"/>
    <w:rsid w:val="00157DE8"/>
    <w:rsid w:val="00172F5A"/>
    <w:rsid w:val="0017454A"/>
    <w:rsid w:val="00186066"/>
    <w:rsid w:val="001863DB"/>
    <w:rsid w:val="001A705C"/>
    <w:rsid w:val="001A7479"/>
    <w:rsid w:val="001D1548"/>
    <w:rsid w:val="001D5EEA"/>
    <w:rsid w:val="001D7836"/>
    <w:rsid w:val="001E710A"/>
    <w:rsid w:val="001F3D88"/>
    <w:rsid w:val="001F5307"/>
    <w:rsid w:val="00215ADA"/>
    <w:rsid w:val="00221453"/>
    <w:rsid w:val="00226CFE"/>
    <w:rsid w:val="00241551"/>
    <w:rsid w:val="00252187"/>
    <w:rsid w:val="0026075E"/>
    <w:rsid w:val="00270ADB"/>
    <w:rsid w:val="00270C80"/>
    <w:rsid w:val="002862F5"/>
    <w:rsid w:val="002876EF"/>
    <w:rsid w:val="00293F4B"/>
    <w:rsid w:val="00294FE1"/>
    <w:rsid w:val="00296B91"/>
    <w:rsid w:val="00297428"/>
    <w:rsid w:val="002A68E2"/>
    <w:rsid w:val="002C1476"/>
    <w:rsid w:val="002C2ECE"/>
    <w:rsid w:val="002C4714"/>
    <w:rsid w:val="002D1803"/>
    <w:rsid w:val="002E1045"/>
    <w:rsid w:val="002F6E7A"/>
    <w:rsid w:val="00303179"/>
    <w:rsid w:val="003214AB"/>
    <w:rsid w:val="00321DCB"/>
    <w:rsid w:val="00344E9A"/>
    <w:rsid w:val="003467F7"/>
    <w:rsid w:val="0034788F"/>
    <w:rsid w:val="003536EA"/>
    <w:rsid w:val="00371EB9"/>
    <w:rsid w:val="003720E1"/>
    <w:rsid w:val="00391888"/>
    <w:rsid w:val="00396CEA"/>
    <w:rsid w:val="003A7AA9"/>
    <w:rsid w:val="003B5400"/>
    <w:rsid w:val="003D0EB2"/>
    <w:rsid w:val="003D1A09"/>
    <w:rsid w:val="003D4532"/>
    <w:rsid w:val="003E0B1B"/>
    <w:rsid w:val="00403D28"/>
    <w:rsid w:val="0040751B"/>
    <w:rsid w:val="004077D7"/>
    <w:rsid w:val="00431C2E"/>
    <w:rsid w:val="00440840"/>
    <w:rsid w:val="00445894"/>
    <w:rsid w:val="00452237"/>
    <w:rsid w:val="004536B1"/>
    <w:rsid w:val="004703D4"/>
    <w:rsid w:val="0047468C"/>
    <w:rsid w:val="004C6D79"/>
    <w:rsid w:val="004D2CCD"/>
    <w:rsid w:val="004D5622"/>
    <w:rsid w:val="005110F3"/>
    <w:rsid w:val="00511B41"/>
    <w:rsid w:val="005146B3"/>
    <w:rsid w:val="00514D19"/>
    <w:rsid w:val="00523E62"/>
    <w:rsid w:val="00530F39"/>
    <w:rsid w:val="00532AB0"/>
    <w:rsid w:val="00534D5F"/>
    <w:rsid w:val="00534DE7"/>
    <w:rsid w:val="00557504"/>
    <w:rsid w:val="005628B9"/>
    <w:rsid w:val="005728B8"/>
    <w:rsid w:val="0058227E"/>
    <w:rsid w:val="005902E4"/>
    <w:rsid w:val="00590DC4"/>
    <w:rsid w:val="005A353D"/>
    <w:rsid w:val="005B15B2"/>
    <w:rsid w:val="005C1775"/>
    <w:rsid w:val="005C3D5A"/>
    <w:rsid w:val="005C4C87"/>
    <w:rsid w:val="005D5376"/>
    <w:rsid w:val="005E06D9"/>
    <w:rsid w:val="005E23D2"/>
    <w:rsid w:val="006010C7"/>
    <w:rsid w:val="00601122"/>
    <w:rsid w:val="00607483"/>
    <w:rsid w:val="006208EF"/>
    <w:rsid w:val="00626A3E"/>
    <w:rsid w:val="006415E1"/>
    <w:rsid w:val="00653DA3"/>
    <w:rsid w:val="006556F4"/>
    <w:rsid w:val="00661641"/>
    <w:rsid w:val="0066699F"/>
    <w:rsid w:val="0067063F"/>
    <w:rsid w:val="006914B0"/>
    <w:rsid w:val="00693835"/>
    <w:rsid w:val="006A5CA8"/>
    <w:rsid w:val="006C0CF4"/>
    <w:rsid w:val="006C511F"/>
    <w:rsid w:val="006C670E"/>
    <w:rsid w:val="006D4835"/>
    <w:rsid w:val="006D5CCC"/>
    <w:rsid w:val="006E0D37"/>
    <w:rsid w:val="006F60AE"/>
    <w:rsid w:val="0071134B"/>
    <w:rsid w:val="0071641F"/>
    <w:rsid w:val="00727DD3"/>
    <w:rsid w:val="00730862"/>
    <w:rsid w:val="00732B45"/>
    <w:rsid w:val="007432E5"/>
    <w:rsid w:val="0074735B"/>
    <w:rsid w:val="007518F3"/>
    <w:rsid w:val="00774927"/>
    <w:rsid w:val="00780F88"/>
    <w:rsid w:val="007A0CEF"/>
    <w:rsid w:val="007B1ADD"/>
    <w:rsid w:val="007C3C08"/>
    <w:rsid w:val="007C4307"/>
    <w:rsid w:val="007F3D61"/>
    <w:rsid w:val="007F5093"/>
    <w:rsid w:val="00807F4E"/>
    <w:rsid w:val="00814A39"/>
    <w:rsid w:val="008231B2"/>
    <w:rsid w:val="008275BE"/>
    <w:rsid w:val="00843E32"/>
    <w:rsid w:val="008440A7"/>
    <w:rsid w:val="00851FD2"/>
    <w:rsid w:val="00854611"/>
    <w:rsid w:val="0086294E"/>
    <w:rsid w:val="00874736"/>
    <w:rsid w:val="00874986"/>
    <w:rsid w:val="008914FB"/>
    <w:rsid w:val="00895460"/>
    <w:rsid w:val="008D6BB0"/>
    <w:rsid w:val="008E4979"/>
    <w:rsid w:val="008F23B2"/>
    <w:rsid w:val="008F2E88"/>
    <w:rsid w:val="008F5A68"/>
    <w:rsid w:val="009078DE"/>
    <w:rsid w:val="00913C60"/>
    <w:rsid w:val="009144D2"/>
    <w:rsid w:val="00923DAB"/>
    <w:rsid w:val="00923E6A"/>
    <w:rsid w:val="00930A95"/>
    <w:rsid w:val="00931776"/>
    <w:rsid w:val="00932F91"/>
    <w:rsid w:val="00935C91"/>
    <w:rsid w:val="00944890"/>
    <w:rsid w:val="00957948"/>
    <w:rsid w:val="009623E6"/>
    <w:rsid w:val="009642AE"/>
    <w:rsid w:val="00980A2E"/>
    <w:rsid w:val="00983114"/>
    <w:rsid w:val="009849A9"/>
    <w:rsid w:val="00986F77"/>
    <w:rsid w:val="00996BD0"/>
    <w:rsid w:val="009B025E"/>
    <w:rsid w:val="009B4809"/>
    <w:rsid w:val="009B566B"/>
    <w:rsid w:val="009C07AB"/>
    <w:rsid w:val="009C78ED"/>
    <w:rsid w:val="009D1E81"/>
    <w:rsid w:val="009D1E83"/>
    <w:rsid w:val="009E3439"/>
    <w:rsid w:val="00A00C58"/>
    <w:rsid w:val="00A03DE5"/>
    <w:rsid w:val="00A079FF"/>
    <w:rsid w:val="00A27C28"/>
    <w:rsid w:val="00A31DCC"/>
    <w:rsid w:val="00A40998"/>
    <w:rsid w:val="00A448D8"/>
    <w:rsid w:val="00A474A5"/>
    <w:rsid w:val="00A47AAA"/>
    <w:rsid w:val="00A53C28"/>
    <w:rsid w:val="00A553B5"/>
    <w:rsid w:val="00A7780A"/>
    <w:rsid w:val="00A81D27"/>
    <w:rsid w:val="00A8355C"/>
    <w:rsid w:val="00A9022E"/>
    <w:rsid w:val="00A9597A"/>
    <w:rsid w:val="00AC46FD"/>
    <w:rsid w:val="00AD4963"/>
    <w:rsid w:val="00AE475E"/>
    <w:rsid w:val="00AE5FED"/>
    <w:rsid w:val="00AE76E9"/>
    <w:rsid w:val="00B04EA0"/>
    <w:rsid w:val="00B15F50"/>
    <w:rsid w:val="00B167B9"/>
    <w:rsid w:val="00B44917"/>
    <w:rsid w:val="00B51DC0"/>
    <w:rsid w:val="00B52B87"/>
    <w:rsid w:val="00B53D36"/>
    <w:rsid w:val="00B53DEA"/>
    <w:rsid w:val="00B647A3"/>
    <w:rsid w:val="00B71B49"/>
    <w:rsid w:val="00B77BE6"/>
    <w:rsid w:val="00B80092"/>
    <w:rsid w:val="00B87E79"/>
    <w:rsid w:val="00B94986"/>
    <w:rsid w:val="00BA2503"/>
    <w:rsid w:val="00BA6509"/>
    <w:rsid w:val="00BB0D06"/>
    <w:rsid w:val="00BB57F1"/>
    <w:rsid w:val="00BB6CA6"/>
    <w:rsid w:val="00BB7881"/>
    <w:rsid w:val="00BC07CC"/>
    <w:rsid w:val="00BC16A0"/>
    <w:rsid w:val="00BE52AA"/>
    <w:rsid w:val="00C00A71"/>
    <w:rsid w:val="00C00E6A"/>
    <w:rsid w:val="00C0182E"/>
    <w:rsid w:val="00C05738"/>
    <w:rsid w:val="00C10669"/>
    <w:rsid w:val="00C126F4"/>
    <w:rsid w:val="00C16F6F"/>
    <w:rsid w:val="00C20F17"/>
    <w:rsid w:val="00C24E47"/>
    <w:rsid w:val="00C25DCD"/>
    <w:rsid w:val="00C27E67"/>
    <w:rsid w:val="00C47F64"/>
    <w:rsid w:val="00C749D1"/>
    <w:rsid w:val="00C827E6"/>
    <w:rsid w:val="00C947AC"/>
    <w:rsid w:val="00CA1001"/>
    <w:rsid w:val="00CA7B41"/>
    <w:rsid w:val="00CC020E"/>
    <w:rsid w:val="00CD738E"/>
    <w:rsid w:val="00CE6858"/>
    <w:rsid w:val="00CF6909"/>
    <w:rsid w:val="00D02D59"/>
    <w:rsid w:val="00D0353C"/>
    <w:rsid w:val="00D077BA"/>
    <w:rsid w:val="00D1098D"/>
    <w:rsid w:val="00D12FA8"/>
    <w:rsid w:val="00D46C20"/>
    <w:rsid w:val="00D70027"/>
    <w:rsid w:val="00D74DCB"/>
    <w:rsid w:val="00D764F9"/>
    <w:rsid w:val="00D83B6F"/>
    <w:rsid w:val="00D976DF"/>
    <w:rsid w:val="00DA6018"/>
    <w:rsid w:val="00DA7555"/>
    <w:rsid w:val="00DB0B31"/>
    <w:rsid w:val="00DB337D"/>
    <w:rsid w:val="00DB3969"/>
    <w:rsid w:val="00DB5A4E"/>
    <w:rsid w:val="00DC5429"/>
    <w:rsid w:val="00DE0667"/>
    <w:rsid w:val="00DE5890"/>
    <w:rsid w:val="00DF3474"/>
    <w:rsid w:val="00E139B9"/>
    <w:rsid w:val="00E2171A"/>
    <w:rsid w:val="00E241D6"/>
    <w:rsid w:val="00E3096A"/>
    <w:rsid w:val="00E32741"/>
    <w:rsid w:val="00E43045"/>
    <w:rsid w:val="00E51CD1"/>
    <w:rsid w:val="00E62E91"/>
    <w:rsid w:val="00E6519A"/>
    <w:rsid w:val="00E71CC2"/>
    <w:rsid w:val="00E758E9"/>
    <w:rsid w:val="00E833A3"/>
    <w:rsid w:val="00E8485F"/>
    <w:rsid w:val="00EA7084"/>
    <w:rsid w:val="00ED7E07"/>
    <w:rsid w:val="00EE00D0"/>
    <w:rsid w:val="00EE3BA8"/>
    <w:rsid w:val="00EE7F27"/>
    <w:rsid w:val="00EF34A6"/>
    <w:rsid w:val="00EF4996"/>
    <w:rsid w:val="00F008A0"/>
    <w:rsid w:val="00F04D79"/>
    <w:rsid w:val="00F0784D"/>
    <w:rsid w:val="00F12676"/>
    <w:rsid w:val="00F1406E"/>
    <w:rsid w:val="00F15A0E"/>
    <w:rsid w:val="00F27295"/>
    <w:rsid w:val="00F3310B"/>
    <w:rsid w:val="00F351D6"/>
    <w:rsid w:val="00F413E7"/>
    <w:rsid w:val="00F550BB"/>
    <w:rsid w:val="00F57FB7"/>
    <w:rsid w:val="00F61B97"/>
    <w:rsid w:val="00F62DF2"/>
    <w:rsid w:val="00F655B6"/>
    <w:rsid w:val="00F675F6"/>
    <w:rsid w:val="00F8420D"/>
    <w:rsid w:val="00F84619"/>
    <w:rsid w:val="00FB13F6"/>
    <w:rsid w:val="00FB29E0"/>
    <w:rsid w:val="00FB3030"/>
    <w:rsid w:val="00FF46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B9033A"/>
  <w15:docId w15:val="{94B53B08-89A2-455F-9022-962A0C22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0F39"/>
    <w:pPr>
      <w:spacing w:after="0" w:line="240" w:lineRule="auto"/>
      <w:ind w:left="720"/>
      <w:contextualSpacing/>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371EB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1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1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DCB"/>
    <w:rPr>
      <w:rFonts w:ascii="Tahoma" w:hAnsi="Tahoma" w:cs="Tahoma"/>
      <w:sz w:val="16"/>
      <w:szCs w:val="16"/>
    </w:rPr>
  </w:style>
  <w:style w:type="character" w:styleId="Hyperlink">
    <w:name w:val="Hyperlink"/>
    <w:basedOn w:val="DefaultParagraphFont"/>
    <w:uiPriority w:val="99"/>
    <w:unhideWhenUsed/>
    <w:rsid w:val="0034788F"/>
    <w:rPr>
      <w:color w:val="0000FF" w:themeColor="hyperlink"/>
      <w:u w:val="single"/>
    </w:rPr>
  </w:style>
  <w:style w:type="paragraph" w:styleId="Header">
    <w:name w:val="header"/>
    <w:basedOn w:val="Normal"/>
    <w:link w:val="HeaderChar"/>
    <w:uiPriority w:val="99"/>
    <w:unhideWhenUsed/>
    <w:rsid w:val="00F331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310B"/>
  </w:style>
  <w:style w:type="paragraph" w:styleId="Footer">
    <w:name w:val="footer"/>
    <w:basedOn w:val="Normal"/>
    <w:link w:val="FooterChar"/>
    <w:uiPriority w:val="99"/>
    <w:unhideWhenUsed/>
    <w:rsid w:val="00F331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10B"/>
  </w:style>
  <w:style w:type="paragraph" w:styleId="FootnoteText">
    <w:name w:val="footnote text"/>
    <w:basedOn w:val="Normal"/>
    <w:link w:val="FootnoteTextChar"/>
    <w:uiPriority w:val="99"/>
    <w:semiHidden/>
    <w:unhideWhenUsed/>
    <w:rsid w:val="00172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F5A"/>
    <w:rPr>
      <w:sz w:val="20"/>
      <w:szCs w:val="20"/>
    </w:rPr>
  </w:style>
  <w:style w:type="character" w:styleId="FootnoteReference">
    <w:name w:val="footnote reference"/>
    <w:basedOn w:val="DefaultParagraphFont"/>
    <w:uiPriority w:val="99"/>
    <w:semiHidden/>
    <w:unhideWhenUsed/>
    <w:rsid w:val="00172F5A"/>
    <w:rPr>
      <w:vertAlign w:val="superscript"/>
    </w:rPr>
  </w:style>
  <w:style w:type="character" w:customStyle="1" w:styleId="ListParagraphChar">
    <w:name w:val="List Paragraph Char"/>
    <w:link w:val="ListParagraph"/>
    <w:uiPriority w:val="34"/>
    <w:locked/>
    <w:rsid w:val="00B15F5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628B9"/>
    <w:rPr>
      <w:sz w:val="16"/>
      <w:szCs w:val="16"/>
    </w:rPr>
  </w:style>
  <w:style w:type="paragraph" w:styleId="CommentText">
    <w:name w:val="annotation text"/>
    <w:basedOn w:val="Normal"/>
    <w:link w:val="CommentTextChar"/>
    <w:uiPriority w:val="99"/>
    <w:unhideWhenUsed/>
    <w:rsid w:val="005628B9"/>
    <w:pPr>
      <w:spacing w:line="240" w:lineRule="auto"/>
    </w:pPr>
    <w:rPr>
      <w:sz w:val="20"/>
      <w:szCs w:val="20"/>
    </w:rPr>
  </w:style>
  <w:style w:type="character" w:customStyle="1" w:styleId="CommentTextChar">
    <w:name w:val="Comment Text Char"/>
    <w:basedOn w:val="DefaultParagraphFont"/>
    <w:link w:val="CommentText"/>
    <w:uiPriority w:val="99"/>
    <w:rsid w:val="005628B9"/>
    <w:rPr>
      <w:sz w:val="20"/>
      <w:szCs w:val="20"/>
    </w:rPr>
  </w:style>
  <w:style w:type="paragraph" w:styleId="CommentSubject">
    <w:name w:val="annotation subject"/>
    <w:basedOn w:val="CommentText"/>
    <w:next w:val="CommentText"/>
    <w:link w:val="CommentSubjectChar"/>
    <w:uiPriority w:val="99"/>
    <w:semiHidden/>
    <w:unhideWhenUsed/>
    <w:rsid w:val="005628B9"/>
    <w:rPr>
      <w:b/>
      <w:bCs/>
    </w:rPr>
  </w:style>
  <w:style w:type="character" w:customStyle="1" w:styleId="CommentSubjectChar">
    <w:name w:val="Comment Subject Char"/>
    <w:basedOn w:val="CommentTextChar"/>
    <w:link w:val="CommentSubject"/>
    <w:uiPriority w:val="99"/>
    <w:semiHidden/>
    <w:rsid w:val="005628B9"/>
    <w:rPr>
      <w:b/>
      <w:bCs/>
      <w:sz w:val="20"/>
      <w:szCs w:val="20"/>
    </w:rPr>
  </w:style>
  <w:style w:type="character" w:customStyle="1" w:styleId="UnresolvedMention1">
    <w:name w:val="Unresolved Mention1"/>
    <w:basedOn w:val="DefaultParagraphFont"/>
    <w:uiPriority w:val="99"/>
    <w:semiHidden/>
    <w:unhideWhenUsed/>
    <w:rsid w:val="00944890"/>
    <w:rPr>
      <w:color w:val="605E5C"/>
      <w:shd w:val="clear" w:color="auto" w:fill="E1DFDD"/>
    </w:rPr>
  </w:style>
  <w:style w:type="paragraph" w:customStyle="1" w:styleId="Normal1">
    <w:name w:val="Normal1"/>
    <w:basedOn w:val="Normal"/>
    <w:rsid w:val="00930A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3536EA"/>
    <w:rPr>
      <w:color w:val="800080" w:themeColor="followedHyperlink"/>
      <w:u w:val="single"/>
    </w:rPr>
  </w:style>
  <w:style w:type="character" w:customStyle="1" w:styleId="highlight">
    <w:name w:val="highlight"/>
    <w:basedOn w:val="DefaultParagraphFont"/>
    <w:rsid w:val="00C10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09771">
      <w:bodyDiv w:val="1"/>
      <w:marLeft w:val="0"/>
      <w:marRight w:val="0"/>
      <w:marTop w:val="0"/>
      <w:marBottom w:val="0"/>
      <w:divBdr>
        <w:top w:val="none" w:sz="0" w:space="0" w:color="auto"/>
        <w:left w:val="none" w:sz="0" w:space="0" w:color="auto"/>
        <w:bottom w:val="none" w:sz="0" w:space="0" w:color="auto"/>
        <w:right w:val="none" w:sz="0" w:space="0" w:color="auto"/>
      </w:divBdr>
      <w:divsChild>
        <w:div w:id="579019605">
          <w:marLeft w:val="547"/>
          <w:marRight w:val="0"/>
          <w:marTop w:val="120"/>
          <w:marBottom w:val="0"/>
          <w:divBdr>
            <w:top w:val="none" w:sz="0" w:space="0" w:color="auto"/>
            <w:left w:val="none" w:sz="0" w:space="0" w:color="auto"/>
            <w:bottom w:val="none" w:sz="0" w:space="0" w:color="auto"/>
            <w:right w:val="none" w:sz="0" w:space="0" w:color="auto"/>
          </w:divBdr>
        </w:div>
        <w:div w:id="1135949975">
          <w:marLeft w:val="547"/>
          <w:marRight w:val="0"/>
          <w:marTop w:val="120"/>
          <w:marBottom w:val="0"/>
          <w:divBdr>
            <w:top w:val="none" w:sz="0" w:space="0" w:color="auto"/>
            <w:left w:val="none" w:sz="0" w:space="0" w:color="auto"/>
            <w:bottom w:val="none" w:sz="0" w:space="0" w:color="auto"/>
            <w:right w:val="none" w:sz="0" w:space="0" w:color="auto"/>
          </w:divBdr>
        </w:div>
        <w:div w:id="1850869313">
          <w:marLeft w:val="547"/>
          <w:marRight w:val="0"/>
          <w:marTop w:val="120"/>
          <w:marBottom w:val="0"/>
          <w:divBdr>
            <w:top w:val="none" w:sz="0" w:space="0" w:color="auto"/>
            <w:left w:val="none" w:sz="0" w:space="0" w:color="auto"/>
            <w:bottom w:val="none" w:sz="0" w:space="0" w:color="auto"/>
            <w:right w:val="none" w:sz="0" w:space="0" w:color="auto"/>
          </w:divBdr>
        </w:div>
        <w:div w:id="2098819588">
          <w:marLeft w:val="547"/>
          <w:marRight w:val="0"/>
          <w:marTop w:val="120"/>
          <w:marBottom w:val="0"/>
          <w:divBdr>
            <w:top w:val="none" w:sz="0" w:space="0" w:color="auto"/>
            <w:left w:val="none" w:sz="0" w:space="0" w:color="auto"/>
            <w:bottom w:val="none" w:sz="0" w:space="0" w:color="auto"/>
            <w:right w:val="none" w:sz="0" w:space="0" w:color="auto"/>
          </w:divBdr>
        </w:div>
      </w:divsChild>
    </w:div>
    <w:div w:id="526721731">
      <w:bodyDiv w:val="1"/>
      <w:marLeft w:val="0"/>
      <w:marRight w:val="0"/>
      <w:marTop w:val="0"/>
      <w:marBottom w:val="0"/>
      <w:divBdr>
        <w:top w:val="none" w:sz="0" w:space="0" w:color="auto"/>
        <w:left w:val="none" w:sz="0" w:space="0" w:color="auto"/>
        <w:bottom w:val="none" w:sz="0" w:space="0" w:color="auto"/>
        <w:right w:val="none" w:sz="0" w:space="0" w:color="auto"/>
      </w:divBdr>
    </w:div>
    <w:div w:id="610206278">
      <w:bodyDiv w:val="1"/>
      <w:marLeft w:val="0"/>
      <w:marRight w:val="0"/>
      <w:marTop w:val="0"/>
      <w:marBottom w:val="0"/>
      <w:divBdr>
        <w:top w:val="none" w:sz="0" w:space="0" w:color="auto"/>
        <w:left w:val="none" w:sz="0" w:space="0" w:color="auto"/>
        <w:bottom w:val="none" w:sz="0" w:space="0" w:color="auto"/>
        <w:right w:val="none" w:sz="0" w:space="0" w:color="auto"/>
      </w:divBdr>
    </w:div>
    <w:div w:id="620264717">
      <w:bodyDiv w:val="1"/>
      <w:marLeft w:val="0"/>
      <w:marRight w:val="0"/>
      <w:marTop w:val="0"/>
      <w:marBottom w:val="0"/>
      <w:divBdr>
        <w:top w:val="none" w:sz="0" w:space="0" w:color="auto"/>
        <w:left w:val="none" w:sz="0" w:space="0" w:color="auto"/>
        <w:bottom w:val="none" w:sz="0" w:space="0" w:color="auto"/>
        <w:right w:val="none" w:sz="0" w:space="0" w:color="auto"/>
      </w:divBdr>
    </w:div>
    <w:div w:id="706024461">
      <w:bodyDiv w:val="1"/>
      <w:marLeft w:val="0"/>
      <w:marRight w:val="0"/>
      <w:marTop w:val="0"/>
      <w:marBottom w:val="0"/>
      <w:divBdr>
        <w:top w:val="none" w:sz="0" w:space="0" w:color="auto"/>
        <w:left w:val="none" w:sz="0" w:space="0" w:color="auto"/>
        <w:bottom w:val="none" w:sz="0" w:space="0" w:color="auto"/>
        <w:right w:val="none" w:sz="0" w:space="0" w:color="auto"/>
      </w:divBdr>
    </w:div>
    <w:div w:id="761799077">
      <w:bodyDiv w:val="1"/>
      <w:marLeft w:val="0"/>
      <w:marRight w:val="0"/>
      <w:marTop w:val="0"/>
      <w:marBottom w:val="0"/>
      <w:divBdr>
        <w:top w:val="none" w:sz="0" w:space="0" w:color="auto"/>
        <w:left w:val="none" w:sz="0" w:space="0" w:color="auto"/>
        <w:bottom w:val="none" w:sz="0" w:space="0" w:color="auto"/>
        <w:right w:val="none" w:sz="0" w:space="0" w:color="auto"/>
      </w:divBdr>
    </w:div>
    <w:div w:id="873620459">
      <w:bodyDiv w:val="1"/>
      <w:marLeft w:val="0"/>
      <w:marRight w:val="0"/>
      <w:marTop w:val="0"/>
      <w:marBottom w:val="0"/>
      <w:divBdr>
        <w:top w:val="none" w:sz="0" w:space="0" w:color="auto"/>
        <w:left w:val="none" w:sz="0" w:space="0" w:color="auto"/>
        <w:bottom w:val="none" w:sz="0" w:space="0" w:color="auto"/>
        <w:right w:val="none" w:sz="0" w:space="0" w:color="auto"/>
      </w:divBdr>
      <w:divsChild>
        <w:div w:id="2078740252">
          <w:marLeft w:val="547"/>
          <w:marRight w:val="0"/>
          <w:marTop w:val="154"/>
          <w:marBottom w:val="0"/>
          <w:divBdr>
            <w:top w:val="none" w:sz="0" w:space="0" w:color="auto"/>
            <w:left w:val="none" w:sz="0" w:space="0" w:color="auto"/>
            <w:bottom w:val="none" w:sz="0" w:space="0" w:color="auto"/>
            <w:right w:val="none" w:sz="0" w:space="0" w:color="auto"/>
          </w:divBdr>
        </w:div>
      </w:divsChild>
    </w:div>
    <w:div w:id="1027412468">
      <w:bodyDiv w:val="1"/>
      <w:marLeft w:val="0"/>
      <w:marRight w:val="0"/>
      <w:marTop w:val="0"/>
      <w:marBottom w:val="0"/>
      <w:divBdr>
        <w:top w:val="none" w:sz="0" w:space="0" w:color="auto"/>
        <w:left w:val="none" w:sz="0" w:space="0" w:color="auto"/>
        <w:bottom w:val="none" w:sz="0" w:space="0" w:color="auto"/>
        <w:right w:val="none" w:sz="0" w:space="0" w:color="auto"/>
      </w:divBdr>
    </w:div>
    <w:div w:id="1032222589">
      <w:bodyDiv w:val="1"/>
      <w:marLeft w:val="0"/>
      <w:marRight w:val="0"/>
      <w:marTop w:val="0"/>
      <w:marBottom w:val="0"/>
      <w:divBdr>
        <w:top w:val="none" w:sz="0" w:space="0" w:color="auto"/>
        <w:left w:val="none" w:sz="0" w:space="0" w:color="auto"/>
        <w:bottom w:val="none" w:sz="0" w:space="0" w:color="auto"/>
        <w:right w:val="none" w:sz="0" w:space="0" w:color="auto"/>
      </w:divBdr>
    </w:div>
    <w:div w:id="1076173899">
      <w:bodyDiv w:val="1"/>
      <w:marLeft w:val="0"/>
      <w:marRight w:val="0"/>
      <w:marTop w:val="0"/>
      <w:marBottom w:val="0"/>
      <w:divBdr>
        <w:top w:val="none" w:sz="0" w:space="0" w:color="auto"/>
        <w:left w:val="none" w:sz="0" w:space="0" w:color="auto"/>
        <w:bottom w:val="none" w:sz="0" w:space="0" w:color="auto"/>
        <w:right w:val="none" w:sz="0" w:space="0" w:color="auto"/>
      </w:divBdr>
      <w:divsChild>
        <w:div w:id="237636495">
          <w:marLeft w:val="547"/>
          <w:marRight w:val="0"/>
          <w:marTop w:val="120"/>
          <w:marBottom w:val="0"/>
          <w:divBdr>
            <w:top w:val="none" w:sz="0" w:space="0" w:color="auto"/>
            <w:left w:val="none" w:sz="0" w:space="0" w:color="auto"/>
            <w:bottom w:val="none" w:sz="0" w:space="0" w:color="auto"/>
            <w:right w:val="none" w:sz="0" w:space="0" w:color="auto"/>
          </w:divBdr>
        </w:div>
        <w:div w:id="921064015">
          <w:marLeft w:val="547"/>
          <w:marRight w:val="0"/>
          <w:marTop w:val="120"/>
          <w:marBottom w:val="0"/>
          <w:divBdr>
            <w:top w:val="none" w:sz="0" w:space="0" w:color="auto"/>
            <w:left w:val="none" w:sz="0" w:space="0" w:color="auto"/>
            <w:bottom w:val="none" w:sz="0" w:space="0" w:color="auto"/>
            <w:right w:val="none" w:sz="0" w:space="0" w:color="auto"/>
          </w:divBdr>
        </w:div>
        <w:div w:id="1048870348">
          <w:marLeft w:val="547"/>
          <w:marRight w:val="0"/>
          <w:marTop w:val="120"/>
          <w:marBottom w:val="0"/>
          <w:divBdr>
            <w:top w:val="none" w:sz="0" w:space="0" w:color="auto"/>
            <w:left w:val="none" w:sz="0" w:space="0" w:color="auto"/>
            <w:bottom w:val="none" w:sz="0" w:space="0" w:color="auto"/>
            <w:right w:val="none" w:sz="0" w:space="0" w:color="auto"/>
          </w:divBdr>
        </w:div>
        <w:div w:id="1592666811">
          <w:marLeft w:val="547"/>
          <w:marRight w:val="0"/>
          <w:marTop w:val="120"/>
          <w:marBottom w:val="0"/>
          <w:divBdr>
            <w:top w:val="none" w:sz="0" w:space="0" w:color="auto"/>
            <w:left w:val="none" w:sz="0" w:space="0" w:color="auto"/>
            <w:bottom w:val="none" w:sz="0" w:space="0" w:color="auto"/>
            <w:right w:val="none" w:sz="0" w:space="0" w:color="auto"/>
          </w:divBdr>
        </w:div>
      </w:divsChild>
    </w:div>
    <w:div w:id="1118451135">
      <w:bodyDiv w:val="1"/>
      <w:marLeft w:val="0"/>
      <w:marRight w:val="0"/>
      <w:marTop w:val="0"/>
      <w:marBottom w:val="0"/>
      <w:divBdr>
        <w:top w:val="none" w:sz="0" w:space="0" w:color="auto"/>
        <w:left w:val="none" w:sz="0" w:space="0" w:color="auto"/>
        <w:bottom w:val="none" w:sz="0" w:space="0" w:color="auto"/>
        <w:right w:val="none" w:sz="0" w:space="0" w:color="auto"/>
      </w:divBdr>
    </w:div>
    <w:div w:id="1200245664">
      <w:bodyDiv w:val="1"/>
      <w:marLeft w:val="0"/>
      <w:marRight w:val="0"/>
      <w:marTop w:val="0"/>
      <w:marBottom w:val="0"/>
      <w:divBdr>
        <w:top w:val="none" w:sz="0" w:space="0" w:color="auto"/>
        <w:left w:val="none" w:sz="0" w:space="0" w:color="auto"/>
        <w:bottom w:val="none" w:sz="0" w:space="0" w:color="auto"/>
        <w:right w:val="none" w:sz="0" w:space="0" w:color="auto"/>
      </w:divBdr>
    </w:div>
    <w:div w:id="1217357403">
      <w:bodyDiv w:val="1"/>
      <w:marLeft w:val="0"/>
      <w:marRight w:val="0"/>
      <w:marTop w:val="0"/>
      <w:marBottom w:val="0"/>
      <w:divBdr>
        <w:top w:val="none" w:sz="0" w:space="0" w:color="auto"/>
        <w:left w:val="none" w:sz="0" w:space="0" w:color="auto"/>
        <w:bottom w:val="none" w:sz="0" w:space="0" w:color="auto"/>
        <w:right w:val="none" w:sz="0" w:space="0" w:color="auto"/>
      </w:divBdr>
    </w:div>
    <w:div w:id="1293096401">
      <w:bodyDiv w:val="1"/>
      <w:marLeft w:val="0"/>
      <w:marRight w:val="0"/>
      <w:marTop w:val="0"/>
      <w:marBottom w:val="0"/>
      <w:divBdr>
        <w:top w:val="none" w:sz="0" w:space="0" w:color="auto"/>
        <w:left w:val="none" w:sz="0" w:space="0" w:color="auto"/>
        <w:bottom w:val="none" w:sz="0" w:space="0" w:color="auto"/>
        <w:right w:val="none" w:sz="0" w:space="0" w:color="auto"/>
      </w:divBdr>
    </w:div>
    <w:div w:id="1323774545">
      <w:bodyDiv w:val="1"/>
      <w:marLeft w:val="0"/>
      <w:marRight w:val="0"/>
      <w:marTop w:val="0"/>
      <w:marBottom w:val="0"/>
      <w:divBdr>
        <w:top w:val="none" w:sz="0" w:space="0" w:color="auto"/>
        <w:left w:val="none" w:sz="0" w:space="0" w:color="auto"/>
        <w:bottom w:val="none" w:sz="0" w:space="0" w:color="auto"/>
        <w:right w:val="none" w:sz="0" w:space="0" w:color="auto"/>
      </w:divBdr>
      <w:divsChild>
        <w:div w:id="1111633729">
          <w:marLeft w:val="547"/>
          <w:marRight w:val="0"/>
          <w:marTop w:val="154"/>
          <w:marBottom w:val="0"/>
          <w:divBdr>
            <w:top w:val="none" w:sz="0" w:space="0" w:color="auto"/>
            <w:left w:val="none" w:sz="0" w:space="0" w:color="auto"/>
            <w:bottom w:val="none" w:sz="0" w:space="0" w:color="auto"/>
            <w:right w:val="none" w:sz="0" w:space="0" w:color="auto"/>
          </w:divBdr>
        </w:div>
        <w:div w:id="303580844">
          <w:marLeft w:val="547"/>
          <w:marRight w:val="0"/>
          <w:marTop w:val="154"/>
          <w:marBottom w:val="0"/>
          <w:divBdr>
            <w:top w:val="none" w:sz="0" w:space="0" w:color="auto"/>
            <w:left w:val="none" w:sz="0" w:space="0" w:color="auto"/>
            <w:bottom w:val="none" w:sz="0" w:space="0" w:color="auto"/>
            <w:right w:val="none" w:sz="0" w:space="0" w:color="auto"/>
          </w:divBdr>
        </w:div>
        <w:div w:id="1549801335">
          <w:marLeft w:val="547"/>
          <w:marRight w:val="0"/>
          <w:marTop w:val="154"/>
          <w:marBottom w:val="0"/>
          <w:divBdr>
            <w:top w:val="none" w:sz="0" w:space="0" w:color="auto"/>
            <w:left w:val="none" w:sz="0" w:space="0" w:color="auto"/>
            <w:bottom w:val="none" w:sz="0" w:space="0" w:color="auto"/>
            <w:right w:val="none" w:sz="0" w:space="0" w:color="auto"/>
          </w:divBdr>
        </w:div>
      </w:divsChild>
    </w:div>
    <w:div w:id="1325934279">
      <w:bodyDiv w:val="1"/>
      <w:marLeft w:val="0"/>
      <w:marRight w:val="0"/>
      <w:marTop w:val="0"/>
      <w:marBottom w:val="0"/>
      <w:divBdr>
        <w:top w:val="none" w:sz="0" w:space="0" w:color="auto"/>
        <w:left w:val="none" w:sz="0" w:space="0" w:color="auto"/>
        <w:bottom w:val="none" w:sz="0" w:space="0" w:color="auto"/>
        <w:right w:val="none" w:sz="0" w:space="0" w:color="auto"/>
      </w:divBdr>
    </w:div>
    <w:div w:id="1458716873">
      <w:bodyDiv w:val="1"/>
      <w:marLeft w:val="0"/>
      <w:marRight w:val="0"/>
      <w:marTop w:val="0"/>
      <w:marBottom w:val="0"/>
      <w:divBdr>
        <w:top w:val="none" w:sz="0" w:space="0" w:color="auto"/>
        <w:left w:val="none" w:sz="0" w:space="0" w:color="auto"/>
        <w:bottom w:val="none" w:sz="0" w:space="0" w:color="auto"/>
        <w:right w:val="none" w:sz="0" w:space="0" w:color="auto"/>
      </w:divBdr>
    </w:div>
    <w:div w:id="1594244082">
      <w:bodyDiv w:val="1"/>
      <w:marLeft w:val="0"/>
      <w:marRight w:val="0"/>
      <w:marTop w:val="0"/>
      <w:marBottom w:val="0"/>
      <w:divBdr>
        <w:top w:val="none" w:sz="0" w:space="0" w:color="auto"/>
        <w:left w:val="none" w:sz="0" w:space="0" w:color="auto"/>
        <w:bottom w:val="none" w:sz="0" w:space="0" w:color="auto"/>
        <w:right w:val="none" w:sz="0" w:space="0" w:color="auto"/>
      </w:divBdr>
    </w:div>
    <w:div w:id="1752195577">
      <w:bodyDiv w:val="1"/>
      <w:marLeft w:val="0"/>
      <w:marRight w:val="0"/>
      <w:marTop w:val="0"/>
      <w:marBottom w:val="0"/>
      <w:divBdr>
        <w:top w:val="none" w:sz="0" w:space="0" w:color="auto"/>
        <w:left w:val="none" w:sz="0" w:space="0" w:color="auto"/>
        <w:bottom w:val="none" w:sz="0" w:space="0" w:color="auto"/>
        <w:right w:val="none" w:sz="0" w:space="0" w:color="auto"/>
      </w:divBdr>
      <w:divsChild>
        <w:div w:id="57440691">
          <w:marLeft w:val="547"/>
          <w:marRight w:val="0"/>
          <w:marTop w:val="154"/>
          <w:marBottom w:val="0"/>
          <w:divBdr>
            <w:top w:val="none" w:sz="0" w:space="0" w:color="auto"/>
            <w:left w:val="none" w:sz="0" w:space="0" w:color="auto"/>
            <w:bottom w:val="none" w:sz="0" w:space="0" w:color="auto"/>
            <w:right w:val="none" w:sz="0" w:space="0" w:color="auto"/>
          </w:divBdr>
        </w:div>
        <w:div w:id="396706536">
          <w:marLeft w:val="547"/>
          <w:marRight w:val="0"/>
          <w:marTop w:val="154"/>
          <w:marBottom w:val="0"/>
          <w:divBdr>
            <w:top w:val="none" w:sz="0" w:space="0" w:color="auto"/>
            <w:left w:val="none" w:sz="0" w:space="0" w:color="auto"/>
            <w:bottom w:val="none" w:sz="0" w:space="0" w:color="auto"/>
            <w:right w:val="none" w:sz="0" w:space="0" w:color="auto"/>
          </w:divBdr>
        </w:div>
        <w:div w:id="612975245">
          <w:marLeft w:val="547"/>
          <w:marRight w:val="0"/>
          <w:marTop w:val="154"/>
          <w:marBottom w:val="0"/>
          <w:divBdr>
            <w:top w:val="none" w:sz="0" w:space="0" w:color="auto"/>
            <w:left w:val="none" w:sz="0" w:space="0" w:color="auto"/>
            <w:bottom w:val="none" w:sz="0" w:space="0" w:color="auto"/>
            <w:right w:val="none" w:sz="0" w:space="0" w:color="auto"/>
          </w:divBdr>
        </w:div>
        <w:div w:id="766460925">
          <w:marLeft w:val="547"/>
          <w:marRight w:val="0"/>
          <w:marTop w:val="154"/>
          <w:marBottom w:val="0"/>
          <w:divBdr>
            <w:top w:val="none" w:sz="0" w:space="0" w:color="auto"/>
            <w:left w:val="none" w:sz="0" w:space="0" w:color="auto"/>
            <w:bottom w:val="none" w:sz="0" w:space="0" w:color="auto"/>
            <w:right w:val="none" w:sz="0" w:space="0" w:color="auto"/>
          </w:divBdr>
        </w:div>
      </w:divsChild>
    </w:div>
    <w:div w:id="1816100213">
      <w:bodyDiv w:val="1"/>
      <w:marLeft w:val="0"/>
      <w:marRight w:val="0"/>
      <w:marTop w:val="0"/>
      <w:marBottom w:val="0"/>
      <w:divBdr>
        <w:top w:val="none" w:sz="0" w:space="0" w:color="auto"/>
        <w:left w:val="none" w:sz="0" w:space="0" w:color="auto"/>
        <w:bottom w:val="none" w:sz="0" w:space="0" w:color="auto"/>
        <w:right w:val="none" w:sz="0" w:space="0" w:color="auto"/>
      </w:divBdr>
      <w:divsChild>
        <w:div w:id="230042934">
          <w:marLeft w:val="547"/>
          <w:marRight w:val="0"/>
          <w:marTop w:val="154"/>
          <w:marBottom w:val="0"/>
          <w:divBdr>
            <w:top w:val="none" w:sz="0" w:space="0" w:color="auto"/>
            <w:left w:val="none" w:sz="0" w:space="0" w:color="auto"/>
            <w:bottom w:val="none" w:sz="0" w:space="0" w:color="auto"/>
            <w:right w:val="none" w:sz="0" w:space="0" w:color="auto"/>
          </w:divBdr>
        </w:div>
        <w:div w:id="657227507">
          <w:marLeft w:val="547"/>
          <w:marRight w:val="0"/>
          <w:marTop w:val="154"/>
          <w:marBottom w:val="0"/>
          <w:divBdr>
            <w:top w:val="none" w:sz="0" w:space="0" w:color="auto"/>
            <w:left w:val="none" w:sz="0" w:space="0" w:color="auto"/>
            <w:bottom w:val="none" w:sz="0" w:space="0" w:color="auto"/>
            <w:right w:val="none" w:sz="0" w:space="0" w:color="auto"/>
          </w:divBdr>
        </w:div>
        <w:div w:id="2107071649">
          <w:marLeft w:val="547"/>
          <w:marRight w:val="0"/>
          <w:marTop w:val="154"/>
          <w:marBottom w:val="0"/>
          <w:divBdr>
            <w:top w:val="none" w:sz="0" w:space="0" w:color="auto"/>
            <w:left w:val="none" w:sz="0" w:space="0" w:color="auto"/>
            <w:bottom w:val="none" w:sz="0" w:space="0" w:color="auto"/>
            <w:right w:val="none" w:sz="0" w:space="0" w:color="auto"/>
          </w:divBdr>
        </w:div>
      </w:divsChild>
    </w:div>
    <w:div w:id="2082865550">
      <w:bodyDiv w:val="1"/>
      <w:marLeft w:val="0"/>
      <w:marRight w:val="0"/>
      <w:marTop w:val="0"/>
      <w:marBottom w:val="0"/>
      <w:divBdr>
        <w:top w:val="none" w:sz="0" w:space="0" w:color="auto"/>
        <w:left w:val="none" w:sz="0" w:space="0" w:color="auto"/>
        <w:bottom w:val="none" w:sz="0" w:space="0" w:color="auto"/>
        <w:right w:val="none" w:sz="0" w:space="0" w:color="auto"/>
      </w:divBdr>
    </w:div>
    <w:div w:id="2090350814">
      <w:bodyDiv w:val="1"/>
      <w:marLeft w:val="0"/>
      <w:marRight w:val="0"/>
      <w:marTop w:val="0"/>
      <w:marBottom w:val="0"/>
      <w:divBdr>
        <w:top w:val="none" w:sz="0" w:space="0" w:color="auto"/>
        <w:left w:val="none" w:sz="0" w:space="0" w:color="auto"/>
        <w:bottom w:val="none" w:sz="0" w:space="0" w:color="auto"/>
        <w:right w:val="none" w:sz="0" w:space="0" w:color="auto"/>
      </w:divBdr>
    </w:div>
    <w:div w:id="2103378628">
      <w:bodyDiv w:val="1"/>
      <w:marLeft w:val="0"/>
      <w:marRight w:val="0"/>
      <w:marTop w:val="0"/>
      <w:marBottom w:val="0"/>
      <w:divBdr>
        <w:top w:val="none" w:sz="0" w:space="0" w:color="auto"/>
        <w:left w:val="none" w:sz="0" w:space="0" w:color="auto"/>
        <w:bottom w:val="none" w:sz="0" w:space="0" w:color="auto"/>
        <w:right w:val="none" w:sz="0" w:space="0" w:color="auto"/>
      </w:divBdr>
    </w:div>
    <w:div w:id="210753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r.eionet.europa.eu/help/birds_art12" TargetMode="External"/><Relationship Id="rId13" Type="http://schemas.openxmlformats.org/officeDocument/2006/relationships/chart" Target="charts/chart5.xml"/><Relationship Id="rId18" Type="http://schemas.openxmlformats.org/officeDocument/2006/relationships/hyperlink" Target="mailto:ilona.mendzina@vara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ilonam\Documents\N2000\putni\Art%2012%20zi&#326;ojums\zi&#326;ojums_2019\kopsavilkums%20sugu%20griezum&#257;_DAP_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lonam\Documents\N2000\putni\Art%2012%20zi&#326;ojums\zi&#326;ojums_2019\kopsavilkums%20sugu%20griezum&#257;_DAP_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lonam\Documents\N2000\putni\Art%2012%20zi&#326;ojums\zi&#326;ojums_2019\kopsavilkums%20sugu%20griezum&#257;_DAP_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ilonam\Documents\N2000\putni\Art%2012%20zi&#326;ojums\zi&#326;ojums_2019\kopsavilkums%20sugu%20griezum&#257;_DAP_2019.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ilonam\Documents\N2000\putni\Art%2012%20zi&#326;ojums\zi&#326;ojums_2019\kopsavilkums%20sugu%20griezum&#257;_DAP_2019.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ilonam\Documents\N2000\putni\Art%2012%20zi&#326;ojums\zi&#326;ojums_2019\kopsavilkums%20sugu%20griezum&#257;_DAP_2019.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ilonam\Documents\N2000\putni\Art%2012%20zi&#326;ojums\zi&#326;ojums_2019\kopsavilkums%20sugu%20griezum&#257;_DAP_2019.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ilonam\Documents\N2000\putni\Art%2012%20zi&#326;ojums\zi&#326;ojums_2019\kopsavilkums%20sugu%20griezum&#257;_DAP_2019.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ilonam\Documents\N2000\putni\Art%2012%20zi&#326;ojums\zi&#326;ojums_2019\Populacijas_trendi_gala_01082019.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Putnu sugu statuss Latvijā</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514-489B-9FFA-FA912E0F5C7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514-489B-9FFA-FA912E0F5C7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514-489B-9FFA-FA912E0F5C7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grafiki!$A$1:$A$3</c:f>
              <c:strCache>
                <c:ptCount val="3"/>
                <c:pt idx="0">
                  <c:v>Ligzdojošie</c:v>
                </c:pt>
                <c:pt idx="1">
                  <c:v>Caurceļotāji</c:v>
                </c:pt>
                <c:pt idx="2">
                  <c:v>Ziemojošie</c:v>
                </c:pt>
              </c:strCache>
            </c:strRef>
          </c:cat>
          <c:val>
            <c:numRef>
              <c:f>grafiki!$B$1:$B$3</c:f>
              <c:numCache>
                <c:formatCode>General</c:formatCode>
                <c:ptCount val="3"/>
                <c:pt idx="0">
                  <c:v>218</c:v>
                </c:pt>
                <c:pt idx="1">
                  <c:v>29</c:v>
                </c:pt>
                <c:pt idx="2">
                  <c:v>24</c:v>
                </c:pt>
              </c:numCache>
            </c:numRef>
          </c:val>
          <c:extLst xmlns:c16r2="http://schemas.microsoft.com/office/drawing/2015/06/chart">
            <c:ext xmlns:c16="http://schemas.microsoft.com/office/drawing/2014/chart" uri="{C3380CC4-5D6E-409C-BE32-E72D297353CC}">
              <c16:uniqueId val="{00000006-0514-489B-9FFA-FA912E0F5C7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89E-4C6E-9A74-1D1A5F0E50D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89E-4C6E-9A74-1D1A5F0E50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grafiki!$A$27:$A$28</c:f>
              <c:strCache>
                <c:ptCount val="2"/>
                <c:pt idx="0">
                  <c:v>Jāveido Natura 2000 teritorijas</c:v>
                </c:pt>
                <c:pt idx="1">
                  <c:v>Nav jāveido Natura 2000 teritorijas</c:v>
                </c:pt>
              </c:strCache>
            </c:strRef>
          </c:cat>
          <c:val>
            <c:numRef>
              <c:f>grafiki!$B$27:$B$28</c:f>
              <c:numCache>
                <c:formatCode>General</c:formatCode>
                <c:ptCount val="2"/>
                <c:pt idx="0">
                  <c:v>75</c:v>
                </c:pt>
                <c:pt idx="1">
                  <c:v>143</c:v>
                </c:pt>
              </c:numCache>
            </c:numRef>
          </c:val>
          <c:extLst xmlns:c16r2="http://schemas.microsoft.com/office/drawing/2015/06/chart">
            <c:ext xmlns:c16="http://schemas.microsoft.com/office/drawing/2014/chart" uri="{C3380CC4-5D6E-409C-BE32-E72D297353CC}">
              <c16:uniqueId val="{00000004-A89E-4C6E-9A74-1D1A5F0E50D6}"/>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grafiki!$B$39</c:f>
              <c:strCache>
                <c:ptCount val="1"/>
                <c:pt idx="0">
                  <c:v>īstermiņa</c:v>
                </c:pt>
              </c:strCache>
            </c:strRef>
          </c:tx>
          <c:spPr>
            <a:solidFill>
              <a:schemeClr val="accent1"/>
            </a:solidFill>
            <a:ln>
              <a:noFill/>
            </a:ln>
            <a:effectLst/>
          </c:spPr>
          <c:invertIfNegative val="0"/>
          <c:cat>
            <c:strRef>
              <c:f>grafiki!$A$40:$A$45</c:f>
              <c:strCache>
                <c:ptCount val="6"/>
                <c:pt idx="0">
                  <c:v>stabila</c:v>
                </c:pt>
                <c:pt idx="1">
                  <c:v>palielinās</c:v>
                </c:pt>
                <c:pt idx="2">
                  <c:v>samazinās</c:v>
                </c:pt>
                <c:pt idx="3">
                  <c:v>neskaidra</c:v>
                </c:pt>
                <c:pt idx="4">
                  <c:v>nav datu</c:v>
                </c:pt>
                <c:pt idx="5">
                  <c:v>svārstās</c:v>
                </c:pt>
              </c:strCache>
            </c:strRef>
          </c:cat>
          <c:val>
            <c:numRef>
              <c:f>grafiki!$B$40:$B$45</c:f>
              <c:numCache>
                <c:formatCode>General</c:formatCode>
                <c:ptCount val="6"/>
                <c:pt idx="0">
                  <c:v>54</c:v>
                </c:pt>
                <c:pt idx="1">
                  <c:v>58</c:v>
                </c:pt>
                <c:pt idx="2">
                  <c:v>51</c:v>
                </c:pt>
                <c:pt idx="3">
                  <c:v>32</c:v>
                </c:pt>
                <c:pt idx="4">
                  <c:v>23</c:v>
                </c:pt>
              </c:numCache>
            </c:numRef>
          </c:val>
          <c:extLst xmlns:c16r2="http://schemas.microsoft.com/office/drawing/2015/06/chart">
            <c:ext xmlns:c16="http://schemas.microsoft.com/office/drawing/2014/chart" uri="{C3380CC4-5D6E-409C-BE32-E72D297353CC}">
              <c16:uniqueId val="{00000000-9D18-4834-B860-903D4D8358D3}"/>
            </c:ext>
          </c:extLst>
        </c:ser>
        <c:ser>
          <c:idx val="1"/>
          <c:order val="1"/>
          <c:tx>
            <c:strRef>
              <c:f>grafiki!$C$39</c:f>
              <c:strCache>
                <c:ptCount val="1"/>
                <c:pt idx="0">
                  <c:v>ilgermiņa</c:v>
                </c:pt>
              </c:strCache>
            </c:strRef>
          </c:tx>
          <c:spPr>
            <a:solidFill>
              <a:schemeClr val="accent2"/>
            </a:solidFill>
            <a:ln>
              <a:noFill/>
            </a:ln>
            <a:effectLst/>
          </c:spPr>
          <c:invertIfNegative val="0"/>
          <c:cat>
            <c:strRef>
              <c:f>grafiki!$A$40:$A$45</c:f>
              <c:strCache>
                <c:ptCount val="6"/>
                <c:pt idx="0">
                  <c:v>stabila</c:v>
                </c:pt>
                <c:pt idx="1">
                  <c:v>palielinās</c:v>
                </c:pt>
                <c:pt idx="2">
                  <c:v>samazinās</c:v>
                </c:pt>
                <c:pt idx="3">
                  <c:v>neskaidra</c:v>
                </c:pt>
                <c:pt idx="4">
                  <c:v>nav datu</c:v>
                </c:pt>
                <c:pt idx="5">
                  <c:v>svārstās</c:v>
                </c:pt>
              </c:strCache>
            </c:strRef>
          </c:cat>
          <c:val>
            <c:numRef>
              <c:f>grafiki!$C$40:$C$45</c:f>
              <c:numCache>
                <c:formatCode>General</c:formatCode>
                <c:ptCount val="6"/>
                <c:pt idx="0">
                  <c:v>20</c:v>
                </c:pt>
                <c:pt idx="1">
                  <c:v>85</c:v>
                </c:pt>
                <c:pt idx="2">
                  <c:v>66</c:v>
                </c:pt>
                <c:pt idx="3">
                  <c:v>15</c:v>
                </c:pt>
                <c:pt idx="4">
                  <c:v>31</c:v>
                </c:pt>
                <c:pt idx="5">
                  <c:v>1</c:v>
                </c:pt>
              </c:numCache>
            </c:numRef>
          </c:val>
          <c:extLst xmlns:c16r2="http://schemas.microsoft.com/office/drawing/2015/06/chart">
            <c:ext xmlns:c16="http://schemas.microsoft.com/office/drawing/2014/chart" uri="{C3380CC4-5D6E-409C-BE32-E72D297353CC}">
              <c16:uniqueId val="{00000001-9D18-4834-B860-903D4D8358D3}"/>
            </c:ext>
          </c:extLst>
        </c:ser>
        <c:dLbls>
          <c:showLegendKey val="0"/>
          <c:showVal val="0"/>
          <c:showCatName val="0"/>
          <c:showSerName val="0"/>
          <c:showPercent val="0"/>
          <c:showBubbleSize val="0"/>
        </c:dLbls>
        <c:gapWidth val="219"/>
        <c:overlap val="-27"/>
        <c:axId val="264176560"/>
        <c:axId val="264176168"/>
      </c:barChart>
      <c:catAx>
        <c:axId val="26417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64176168"/>
        <c:crosses val="autoZero"/>
        <c:auto val="1"/>
        <c:lblAlgn val="ctr"/>
        <c:lblOffset val="100"/>
        <c:noMultiLvlLbl val="0"/>
      </c:catAx>
      <c:valAx>
        <c:axId val="264176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64176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grafiki!$B$61</c:f>
              <c:strCache>
                <c:ptCount val="1"/>
                <c:pt idx="0">
                  <c:v>īstermiņa</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03F-481E-9F2E-187419AEF76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03F-481E-9F2E-187419AEF76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03F-481E-9F2E-187419AEF76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03F-481E-9F2E-187419AEF76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D03F-481E-9F2E-187419AEF76D}"/>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D03F-481E-9F2E-187419AEF76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grafiki!$A$62:$A$67</c:f>
              <c:strCache>
                <c:ptCount val="6"/>
                <c:pt idx="0">
                  <c:v>stabila</c:v>
                </c:pt>
                <c:pt idx="1">
                  <c:v>palielinās</c:v>
                </c:pt>
                <c:pt idx="2">
                  <c:v>samazinās</c:v>
                </c:pt>
                <c:pt idx="3">
                  <c:v>neskaidra</c:v>
                </c:pt>
                <c:pt idx="4">
                  <c:v>nav datu</c:v>
                </c:pt>
                <c:pt idx="5">
                  <c:v>svārstās</c:v>
                </c:pt>
              </c:strCache>
            </c:strRef>
          </c:cat>
          <c:val>
            <c:numRef>
              <c:f>grafiki!$B$62:$B$67</c:f>
              <c:numCache>
                <c:formatCode>0</c:formatCode>
                <c:ptCount val="6"/>
                <c:pt idx="0">
                  <c:v>24.770642201834864</c:v>
                </c:pt>
                <c:pt idx="1">
                  <c:v>26.605504587155966</c:v>
                </c:pt>
                <c:pt idx="2">
                  <c:v>23.394495412844037</c:v>
                </c:pt>
                <c:pt idx="3">
                  <c:v>14.678899082568808</c:v>
                </c:pt>
                <c:pt idx="4">
                  <c:v>10.550458715596331</c:v>
                </c:pt>
              </c:numCache>
            </c:numRef>
          </c:val>
          <c:extLst xmlns:c16r2="http://schemas.microsoft.com/office/drawing/2015/06/chart">
            <c:ext xmlns:c16="http://schemas.microsoft.com/office/drawing/2014/chart" uri="{C3380CC4-5D6E-409C-BE32-E72D297353CC}">
              <c16:uniqueId val="{0000000C-D03F-481E-9F2E-187419AEF76D}"/>
            </c:ext>
          </c:extLst>
        </c:ser>
        <c:ser>
          <c:idx val="1"/>
          <c:order val="1"/>
          <c:tx>
            <c:strRef>
              <c:f>grafiki!$B$76</c:f>
              <c:strCache>
                <c:ptCount val="1"/>
                <c:pt idx="0">
                  <c:v>ilgermiņa</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E-D03F-481E-9F2E-187419AEF76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10-D03F-481E-9F2E-187419AEF76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12-D03F-481E-9F2E-187419AEF76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4-D03F-481E-9F2E-187419AEF76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16-D03F-481E-9F2E-187419AEF76D}"/>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18-D03F-481E-9F2E-187419AEF76D}"/>
              </c:ext>
            </c:extLst>
          </c:dPt>
          <c:cat>
            <c:strRef>
              <c:f>grafiki!$A$62:$A$67</c:f>
              <c:strCache>
                <c:ptCount val="6"/>
                <c:pt idx="0">
                  <c:v>stabila</c:v>
                </c:pt>
                <c:pt idx="1">
                  <c:v>palielinās</c:v>
                </c:pt>
                <c:pt idx="2">
                  <c:v>samazinās</c:v>
                </c:pt>
                <c:pt idx="3">
                  <c:v>neskaidra</c:v>
                </c:pt>
                <c:pt idx="4">
                  <c:v>nav datu</c:v>
                </c:pt>
                <c:pt idx="5">
                  <c:v>svārstās</c:v>
                </c:pt>
              </c:strCache>
            </c:strRef>
          </c:cat>
          <c:val>
            <c:numRef>
              <c:f>grafiki!$B$77:$B$82</c:f>
              <c:numCache>
                <c:formatCode>0</c:formatCode>
                <c:ptCount val="6"/>
                <c:pt idx="0">
                  <c:v>9.1743119266055047</c:v>
                </c:pt>
                <c:pt idx="1">
                  <c:v>38.990825688073393</c:v>
                </c:pt>
                <c:pt idx="2">
                  <c:v>30.275229357798167</c:v>
                </c:pt>
                <c:pt idx="3">
                  <c:v>6.8807339449541285</c:v>
                </c:pt>
                <c:pt idx="4">
                  <c:v>14.220183486238533</c:v>
                </c:pt>
                <c:pt idx="5">
                  <c:v>0.45871559633027525</c:v>
                </c:pt>
              </c:numCache>
            </c:numRef>
          </c:val>
          <c:extLst xmlns:c16r2="http://schemas.microsoft.com/office/drawing/2015/06/chart">
            <c:ext xmlns:c16="http://schemas.microsoft.com/office/drawing/2014/chart" uri="{C3380CC4-5D6E-409C-BE32-E72D297353CC}">
              <c16:uniqueId val="{00000019-D03F-481E-9F2E-187419AEF76D}"/>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grafiki!$B$76</c:f>
              <c:strCache>
                <c:ptCount val="1"/>
                <c:pt idx="0">
                  <c:v>ilgermiņa</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C5C-45C1-ACD9-73A67E2E700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C5C-45C1-ACD9-73A67E2E700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C5C-45C1-ACD9-73A67E2E700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C5C-45C1-ACD9-73A67E2E700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BC5C-45C1-ACD9-73A67E2E700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BC5C-45C1-ACD9-73A67E2E700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grafiki!$A$77:$A$82</c:f>
              <c:strCache>
                <c:ptCount val="6"/>
                <c:pt idx="0">
                  <c:v>stabila</c:v>
                </c:pt>
                <c:pt idx="1">
                  <c:v>palielinās</c:v>
                </c:pt>
                <c:pt idx="2">
                  <c:v>samazinās</c:v>
                </c:pt>
                <c:pt idx="3">
                  <c:v>neskaidra</c:v>
                </c:pt>
                <c:pt idx="4">
                  <c:v>nav datu</c:v>
                </c:pt>
                <c:pt idx="5">
                  <c:v>svārstās</c:v>
                </c:pt>
              </c:strCache>
            </c:strRef>
          </c:cat>
          <c:val>
            <c:numRef>
              <c:f>grafiki!$B$77:$B$82</c:f>
              <c:numCache>
                <c:formatCode>0</c:formatCode>
                <c:ptCount val="6"/>
                <c:pt idx="0">
                  <c:v>9.1743119266055047</c:v>
                </c:pt>
                <c:pt idx="1">
                  <c:v>38.990825688073393</c:v>
                </c:pt>
                <c:pt idx="2">
                  <c:v>30.275229357798167</c:v>
                </c:pt>
                <c:pt idx="3">
                  <c:v>6.8807339449541285</c:v>
                </c:pt>
                <c:pt idx="4">
                  <c:v>14.220183486238533</c:v>
                </c:pt>
                <c:pt idx="5">
                  <c:v>0.45871559633027525</c:v>
                </c:pt>
              </c:numCache>
            </c:numRef>
          </c:val>
          <c:extLst xmlns:c16r2="http://schemas.microsoft.com/office/drawing/2015/06/chart">
            <c:ext xmlns:c16="http://schemas.microsoft.com/office/drawing/2014/chart" uri="{C3380CC4-5D6E-409C-BE32-E72D297353CC}">
              <c16:uniqueId val="{0000000C-BC5C-45C1-ACD9-73A67E2E700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T</a:t>
            </a:r>
            <a:r>
              <a:rPr lang="lv-LV" sz="1400" b="0" i="0" u="none" strike="noStrike" baseline="0">
                <a:effectLst/>
              </a:rPr>
              <a:t>endences īpaši aizsargājāmām sugām, sugu skaits</a:t>
            </a:r>
            <a:r>
              <a:rPr lang="lv-LV" sz="1400" b="0" i="0" u="none" strike="noStrike" baseline="0"/>
              <a:t> </a:t>
            </a:r>
          </a:p>
        </c:rich>
      </c:tx>
      <c:layout>
        <c:manualLayout>
          <c:xMode val="edge"/>
          <c:yMode val="edge"/>
          <c:x val="0.13889566929133859"/>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grafiki!$B$93</c:f>
              <c:strCache>
                <c:ptCount val="1"/>
                <c:pt idx="0">
                  <c:v>īstermiņa</c:v>
                </c:pt>
              </c:strCache>
            </c:strRef>
          </c:tx>
          <c:spPr>
            <a:solidFill>
              <a:schemeClr val="accent1"/>
            </a:solidFill>
            <a:ln>
              <a:noFill/>
            </a:ln>
            <a:effectLst/>
          </c:spPr>
          <c:invertIfNegative val="0"/>
          <c:cat>
            <c:strRef>
              <c:f>grafiki!$A$94:$A$98</c:f>
              <c:strCache>
                <c:ptCount val="5"/>
                <c:pt idx="0">
                  <c:v>stabila</c:v>
                </c:pt>
                <c:pt idx="1">
                  <c:v>palielinās</c:v>
                </c:pt>
                <c:pt idx="2">
                  <c:v>samazinās</c:v>
                </c:pt>
                <c:pt idx="3">
                  <c:v>neskaidra</c:v>
                </c:pt>
                <c:pt idx="4">
                  <c:v>nav datu</c:v>
                </c:pt>
              </c:strCache>
            </c:strRef>
          </c:cat>
          <c:val>
            <c:numRef>
              <c:f>grafiki!$B$94:$B$98</c:f>
              <c:numCache>
                <c:formatCode>General</c:formatCode>
                <c:ptCount val="5"/>
                <c:pt idx="0">
                  <c:v>16</c:v>
                </c:pt>
                <c:pt idx="1">
                  <c:v>17</c:v>
                </c:pt>
                <c:pt idx="2">
                  <c:v>26</c:v>
                </c:pt>
                <c:pt idx="3">
                  <c:v>7</c:v>
                </c:pt>
                <c:pt idx="4">
                  <c:v>9</c:v>
                </c:pt>
              </c:numCache>
            </c:numRef>
          </c:val>
          <c:extLst xmlns:c16r2="http://schemas.microsoft.com/office/drawing/2015/06/chart">
            <c:ext xmlns:c16="http://schemas.microsoft.com/office/drawing/2014/chart" uri="{C3380CC4-5D6E-409C-BE32-E72D297353CC}">
              <c16:uniqueId val="{00000000-1C7E-435A-9F2C-B0BC521046AA}"/>
            </c:ext>
          </c:extLst>
        </c:ser>
        <c:ser>
          <c:idx val="1"/>
          <c:order val="1"/>
          <c:tx>
            <c:strRef>
              <c:f>grafiki!$C$93</c:f>
              <c:strCache>
                <c:ptCount val="1"/>
                <c:pt idx="0">
                  <c:v>ilgermiņa</c:v>
                </c:pt>
              </c:strCache>
            </c:strRef>
          </c:tx>
          <c:spPr>
            <a:solidFill>
              <a:schemeClr val="accent2"/>
            </a:solidFill>
            <a:ln>
              <a:noFill/>
            </a:ln>
            <a:effectLst/>
          </c:spPr>
          <c:invertIfNegative val="0"/>
          <c:cat>
            <c:strRef>
              <c:f>grafiki!$A$94:$A$98</c:f>
              <c:strCache>
                <c:ptCount val="5"/>
                <c:pt idx="0">
                  <c:v>stabila</c:v>
                </c:pt>
                <c:pt idx="1">
                  <c:v>palielinās</c:v>
                </c:pt>
                <c:pt idx="2">
                  <c:v>samazinās</c:v>
                </c:pt>
                <c:pt idx="3">
                  <c:v>neskaidra</c:v>
                </c:pt>
                <c:pt idx="4">
                  <c:v>nav datu</c:v>
                </c:pt>
              </c:strCache>
            </c:strRef>
          </c:cat>
          <c:val>
            <c:numRef>
              <c:f>grafiki!$C$94:$C$98</c:f>
              <c:numCache>
                <c:formatCode>General</c:formatCode>
                <c:ptCount val="5"/>
                <c:pt idx="0">
                  <c:v>8</c:v>
                </c:pt>
                <c:pt idx="1">
                  <c:v>29</c:v>
                </c:pt>
                <c:pt idx="2">
                  <c:v>25</c:v>
                </c:pt>
                <c:pt idx="3">
                  <c:v>2</c:v>
                </c:pt>
                <c:pt idx="4">
                  <c:v>11</c:v>
                </c:pt>
              </c:numCache>
            </c:numRef>
          </c:val>
          <c:extLst xmlns:c16r2="http://schemas.microsoft.com/office/drawing/2015/06/chart">
            <c:ext xmlns:c16="http://schemas.microsoft.com/office/drawing/2014/chart" uri="{C3380CC4-5D6E-409C-BE32-E72D297353CC}">
              <c16:uniqueId val="{00000001-1C7E-435A-9F2C-B0BC521046AA}"/>
            </c:ext>
          </c:extLst>
        </c:ser>
        <c:ser>
          <c:idx val="2"/>
          <c:order val="2"/>
          <c:spPr>
            <a:solidFill>
              <a:schemeClr val="accent3"/>
            </a:solidFill>
            <a:ln>
              <a:noFill/>
            </a:ln>
            <a:effectLst/>
          </c:spPr>
          <c:invertIfNegative val="0"/>
          <c:cat>
            <c:strRef>
              <c:f>grafiki!$A$94:$A$98</c:f>
              <c:strCache>
                <c:ptCount val="5"/>
                <c:pt idx="0">
                  <c:v>stabila</c:v>
                </c:pt>
                <c:pt idx="1">
                  <c:v>palielinās</c:v>
                </c:pt>
                <c:pt idx="2">
                  <c:v>samazinās</c:v>
                </c:pt>
                <c:pt idx="3">
                  <c:v>neskaidra</c:v>
                </c:pt>
                <c:pt idx="4">
                  <c:v>nav datu</c:v>
                </c:pt>
              </c:strCache>
            </c:strRef>
          </c:cat>
          <c:val>
            <c:numRef>
              <c:f>grafiki!$A$91</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2-1C7E-435A-9F2C-B0BC521046AA}"/>
            </c:ext>
          </c:extLst>
        </c:ser>
        <c:dLbls>
          <c:showLegendKey val="0"/>
          <c:showVal val="0"/>
          <c:showCatName val="0"/>
          <c:showSerName val="0"/>
          <c:showPercent val="0"/>
          <c:showBubbleSize val="0"/>
        </c:dLbls>
        <c:gapWidth val="219"/>
        <c:overlap val="-27"/>
        <c:axId val="141075000"/>
        <c:axId val="142942560"/>
      </c:barChart>
      <c:catAx>
        <c:axId val="141075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2942560"/>
        <c:crosses val="autoZero"/>
        <c:auto val="1"/>
        <c:lblAlgn val="ctr"/>
        <c:lblOffset val="100"/>
        <c:noMultiLvlLbl val="0"/>
      </c:catAx>
      <c:valAx>
        <c:axId val="142942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1075000"/>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grafiki!$B$116</c:f>
              <c:strCache>
                <c:ptCount val="1"/>
                <c:pt idx="0">
                  <c:v>īstermiņa</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EA9-47D6-A43B-CB5B911A34B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EA9-47D6-A43B-CB5B911A34B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EA9-47D6-A43B-CB5B911A34B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EA9-47D6-A43B-CB5B911A34B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EA9-47D6-A43B-CB5B911A34B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grafiki!$A$117:$A$121</c:f>
              <c:strCache>
                <c:ptCount val="5"/>
                <c:pt idx="0">
                  <c:v>stabila</c:v>
                </c:pt>
                <c:pt idx="1">
                  <c:v>palielinās</c:v>
                </c:pt>
                <c:pt idx="2">
                  <c:v>samazinās</c:v>
                </c:pt>
                <c:pt idx="3">
                  <c:v>neskaidra</c:v>
                </c:pt>
                <c:pt idx="4">
                  <c:v>nav datu</c:v>
                </c:pt>
              </c:strCache>
            </c:strRef>
          </c:cat>
          <c:val>
            <c:numRef>
              <c:f>grafiki!$B$117:$B$121</c:f>
              <c:numCache>
                <c:formatCode>0</c:formatCode>
                <c:ptCount val="5"/>
                <c:pt idx="0">
                  <c:v>21.333333333333336</c:v>
                </c:pt>
                <c:pt idx="1">
                  <c:v>22.666666666666664</c:v>
                </c:pt>
                <c:pt idx="2">
                  <c:v>34.666666666666671</c:v>
                </c:pt>
                <c:pt idx="3">
                  <c:v>9.3333333333333339</c:v>
                </c:pt>
                <c:pt idx="4">
                  <c:v>16</c:v>
                </c:pt>
              </c:numCache>
            </c:numRef>
          </c:val>
          <c:extLst xmlns:c16r2="http://schemas.microsoft.com/office/drawing/2015/06/chart">
            <c:ext xmlns:c16="http://schemas.microsoft.com/office/drawing/2014/chart" uri="{C3380CC4-5D6E-409C-BE32-E72D297353CC}">
              <c16:uniqueId val="{0000000A-EEA9-47D6-A43B-CB5B911A34B0}"/>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grafiki!$B$128</c:f>
              <c:strCache>
                <c:ptCount val="1"/>
                <c:pt idx="0">
                  <c:v>ilgermiņa</c:v>
                </c:pt>
              </c:strCache>
            </c:strRef>
          </c:tx>
          <c:explosion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81C-4699-8D84-E8A8EB8FE78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81C-4699-8D84-E8A8EB8FE78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81C-4699-8D84-E8A8EB8FE78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81C-4699-8D84-E8A8EB8FE78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81C-4699-8D84-E8A8EB8FE78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grafiki!$A$129:$A$133</c:f>
              <c:strCache>
                <c:ptCount val="5"/>
                <c:pt idx="0">
                  <c:v>stabila</c:v>
                </c:pt>
                <c:pt idx="1">
                  <c:v>palielinās</c:v>
                </c:pt>
                <c:pt idx="2">
                  <c:v>samazinās</c:v>
                </c:pt>
                <c:pt idx="3">
                  <c:v>neskaidra</c:v>
                </c:pt>
                <c:pt idx="4">
                  <c:v>nav datu</c:v>
                </c:pt>
              </c:strCache>
            </c:strRef>
          </c:cat>
          <c:val>
            <c:numRef>
              <c:f>grafiki!$B$129:$B$133</c:f>
              <c:numCache>
                <c:formatCode>0</c:formatCode>
                <c:ptCount val="5"/>
                <c:pt idx="0">
                  <c:v>10.666666666666668</c:v>
                </c:pt>
                <c:pt idx="1">
                  <c:v>38.666666666666664</c:v>
                </c:pt>
                <c:pt idx="2">
                  <c:v>33.333333333333329</c:v>
                </c:pt>
                <c:pt idx="3">
                  <c:v>2.666666666666667</c:v>
                </c:pt>
                <c:pt idx="4">
                  <c:v>14.666666666666666</c:v>
                </c:pt>
              </c:numCache>
            </c:numRef>
          </c:val>
          <c:extLst xmlns:c16r2="http://schemas.microsoft.com/office/drawing/2015/06/chart">
            <c:ext xmlns:c16="http://schemas.microsoft.com/office/drawing/2014/chart" uri="{C3380CC4-5D6E-409C-BE32-E72D297353CC}">
              <c16:uniqueId val="{0000000A-281C-4699-8D84-E8A8EB8FE78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1B5-45FD-8006-4D95D07BF1D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1B5-45FD-8006-4D95D07BF1D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1B5-45FD-8006-4D95D07BF1D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1B5-45FD-8006-4D95D07BF1D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1B5-45FD-8006-4D95D07BF1D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grafiki!$A$3:$A$7</c:f>
              <c:strCache>
                <c:ptCount val="5"/>
                <c:pt idx="0">
                  <c:v>pilnīga inventarizācija vai statistiski ticami dati</c:v>
                </c:pt>
                <c:pt idx="1">
                  <c:v>datu ekstrapolācija no nepilnīgām uzskaitēm</c:v>
                </c:pt>
                <c:pt idx="2">
                  <c:v>ekspertu aplēses pēc ierobežotiem datiem</c:v>
                </c:pt>
                <c:pt idx="3">
                  <c:v>nepietiekami dati</c:v>
                </c:pt>
                <c:pt idx="4">
                  <c:v>jaunas sugas</c:v>
                </c:pt>
              </c:strCache>
            </c:strRef>
          </c:cat>
          <c:val>
            <c:numRef>
              <c:f>grafiki!$B$3:$B$7</c:f>
              <c:numCache>
                <c:formatCode>0</c:formatCode>
                <c:ptCount val="5"/>
                <c:pt idx="0">
                  <c:v>49.019607843137251</c:v>
                </c:pt>
                <c:pt idx="1">
                  <c:v>32.843137254901961</c:v>
                </c:pt>
                <c:pt idx="2">
                  <c:v>16.666666666666664</c:v>
                </c:pt>
                <c:pt idx="3">
                  <c:v>0.49019607843137253</c:v>
                </c:pt>
                <c:pt idx="4">
                  <c:v>0.98039215686274506</c:v>
                </c:pt>
              </c:numCache>
            </c:numRef>
          </c:val>
          <c:extLst xmlns:c16r2="http://schemas.microsoft.com/office/drawing/2015/06/chart">
            <c:ext xmlns:c16="http://schemas.microsoft.com/office/drawing/2014/chart" uri="{C3380CC4-5D6E-409C-BE32-E72D297353CC}">
              <c16:uniqueId val="{0000000A-F1B5-45FD-8006-4D95D07BF1D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5A9F-2941-4705-9422-2800A5E9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5408</Words>
  <Characters>3083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Informatīvais ziņojums "Pārskats par Eiropas Parlamenta un Padomes 2009. gada 30. novembra direktīvas 2009/147/EK par savvaļas putnu aizsardzību ieviešanu 2013.-2018. gadā"</vt:lpstr>
    </vt:vector>
  </TitlesOfParts>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"Pārskats par Eiropas Parlamenta un Padomes 2009. gada 30. novembra direktīvas 2009/147/EK par savvaļas putnu aizsardzību ieviešanu 2013.-2018. gadā"</dc:title>
  <dc:subject>informatīvais ziņojums</dc:subject>
  <dc:creator>I. Mendziņa, 67026432, ilona.mendzina@varam.gov.lv</dc:creator>
  <cp:lastModifiedBy>Madara Gaile</cp:lastModifiedBy>
  <cp:revision>9</cp:revision>
  <dcterms:created xsi:type="dcterms:W3CDTF">2019-08-14T12:33:00Z</dcterms:created>
  <dcterms:modified xsi:type="dcterms:W3CDTF">2019-08-19T05:37:00Z</dcterms:modified>
  <cp:category>informatīvais ziņojums</cp:category>
</cp:coreProperties>
</file>