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7D" w:rsidRPr="00771DAC" w:rsidRDefault="00DE2F03" w:rsidP="000A6A91">
      <w:pPr>
        <w:pStyle w:val="naisnod"/>
        <w:spacing w:before="0" w:beforeAutospacing="0" w:after="0" w:afterAutospacing="0"/>
        <w:jc w:val="center"/>
        <w:rPr>
          <w:b/>
          <w:sz w:val="28"/>
          <w:szCs w:val="28"/>
        </w:rPr>
      </w:pPr>
      <w:r w:rsidRPr="008C586A">
        <w:rPr>
          <w:b/>
        </w:rPr>
        <w:t>Izziņa par atzinumos sniegtajiem iebildumiem</w:t>
      </w:r>
    </w:p>
    <w:tbl>
      <w:tblPr>
        <w:tblW w:w="0" w:type="auto"/>
        <w:jc w:val="center"/>
        <w:tblCellSpacing w:w="0" w:type="dxa"/>
        <w:tblCellMar>
          <w:left w:w="0" w:type="dxa"/>
          <w:right w:w="0" w:type="dxa"/>
        </w:tblCellMar>
        <w:tblLook w:val="0000" w:firstRow="0" w:lastRow="0" w:firstColumn="0" w:lastColumn="0" w:noHBand="0" w:noVBand="0"/>
      </w:tblPr>
      <w:tblGrid>
        <w:gridCol w:w="10855"/>
      </w:tblGrid>
      <w:tr w:rsidR="00DE2F03" w:rsidRPr="00771DAC">
        <w:trPr>
          <w:tblCellSpacing w:w="0" w:type="dxa"/>
          <w:jc w:val="center"/>
        </w:trPr>
        <w:tc>
          <w:tcPr>
            <w:tcW w:w="10855" w:type="dxa"/>
            <w:tcBorders>
              <w:top w:val="nil"/>
              <w:left w:val="nil"/>
              <w:bottom w:val="single" w:sz="8" w:space="0" w:color="000000"/>
              <w:right w:val="nil"/>
            </w:tcBorders>
          </w:tcPr>
          <w:p w:rsidR="00DE2F03" w:rsidRPr="00B40BF1" w:rsidRDefault="004015B8" w:rsidP="005F4EA1">
            <w:pPr>
              <w:jc w:val="center"/>
              <w:rPr>
                <w:b/>
                <w:bCs/>
                <w:iCs/>
              </w:rPr>
            </w:pPr>
            <w:r w:rsidRPr="003B2511">
              <w:rPr>
                <w:b/>
              </w:rPr>
              <w:t xml:space="preserve">Par Ministru kabineta </w:t>
            </w:r>
            <w:r w:rsidR="0001264C" w:rsidRPr="003B2511">
              <w:rPr>
                <w:b/>
              </w:rPr>
              <w:t xml:space="preserve">noteikumu projektu </w:t>
            </w:r>
            <w:r w:rsidR="00035FEC" w:rsidRPr="00035FEC">
              <w:rPr>
                <w:b/>
                <w:bCs/>
                <w:iCs/>
              </w:rPr>
              <w:t xml:space="preserve">“Grozījumi </w:t>
            </w:r>
            <w:bookmarkStart w:id="0" w:name="_Hlk14947333"/>
            <w:r w:rsidR="00035FEC" w:rsidRPr="00035FEC">
              <w:rPr>
                <w:b/>
                <w:bCs/>
                <w:iCs/>
              </w:rPr>
              <w:t>Ministru kabineta 2004. gada 17. februāra noteikumos Nr. 83 “Āfrikas cūku mēra likvidēšanas un draudu novēršanas kārtība”</w:t>
            </w:r>
            <w:bookmarkEnd w:id="0"/>
            <w:r w:rsidR="00035FEC" w:rsidRPr="00035FEC">
              <w:rPr>
                <w:b/>
                <w:bCs/>
                <w:iCs/>
              </w:rPr>
              <w:t xml:space="preserve">” </w:t>
            </w:r>
            <w:r w:rsidR="00AB504C" w:rsidRPr="00AB504C">
              <w:rPr>
                <w:b/>
                <w:iCs/>
              </w:rPr>
              <w:t>un tā anotāciju</w:t>
            </w:r>
          </w:p>
        </w:tc>
      </w:tr>
    </w:tbl>
    <w:p w:rsidR="00E5737D" w:rsidRPr="006D36EA" w:rsidRDefault="00DE2F03" w:rsidP="000A6A91">
      <w:pPr>
        <w:pStyle w:val="naisc"/>
        <w:spacing w:before="0" w:beforeAutospacing="0" w:after="0" w:afterAutospacing="0"/>
        <w:jc w:val="center"/>
      </w:pPr>
      <w:r w:rsidRPr="006D36EA">
        <w:t>(dokumenta veids un nosaukums)</w:t>
      </w:r>
    </w:p>
    <w:p w:rsidR="008123B3" w:rsidRPr="008C586A" w:rsidRDefault="008123B3" w:rsidP="008123B3">
      <w:pPr>
        <w:pStyle w:val="naisf"/>
        <w:spacing w:before="0" w:after="0"/>
        <w:jc w:val="center"/>
        <w:rPr>
          <w:b/>
        </w:rPr>
      </w:pPr>
      <w:r w:rsidRPr="008C586A">
        <w:rPr>
          <w:b/>
        </w:rPr>
        <w:t>I. Jautājumi, par kuriem saskaņošanā vienošanās nav panākti</w:t>
      </w:r>
    </w:p>
    <w:tbl>
      <w:tblPr>
        <w:tblW w:w="14580" w:type="dxa"/>
        <w:tblInd w:w="-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1812"/>
        <w:gridCol w:w="5040"/>
        <w:gridCol w:w="3012"/>
        <w:gridCol w:w="1848"/>
        <w:gridCol w:w="2160"/>
      </w:tblGrid>
      <w:tr w:rsidR="008123B3" w:rsidRPr="008C586A">
        <w:tc>
          <w:tcPr>
            <w:tcW w:w="708"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jc w:val="center"/>
            </w:pPr>
            <w:r w:rsidRPr="008C586A">
              <w:t>Nr. p.k.</w:t>
            </w:r>
          </w:p>
        </w:tc>
        <w:tc>
          <w:tcPr>
            <w:tcW w:w="1812"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ind w:firstLine="12"/>
              <w:jc w:val="center"/>
            </w:pPr>
            <w:r w:rsidRPr="008C586A">
              <w:t>Saskaņošanai nosūtītā projekta redakcija (konkrēta punkta (panta) redakcija)</w:t>
            </w:r>
          </w:p>
        </w:tc>
        <w:tc>
          <w:tcPr>
            <w:tcW w:w="5040"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3012" w:type="dxa"/>
            <w:tcBorders>
              <w:top w:val="single" w:sz="6" w:space="0" w:color="000000"/>
              <w:left w:val="single" w:sz="6" w:space="0" w:color="000000"/>
              <w:bottom w:val="single" w:sz="6" w:space="0" w:color="000000"/>
              <w:right w:val="single" w:sz="6" w:space="0" w:color="000000"/>
            </w:tcBorders>
            <w:vAlign w:val="center"/>
          </w:tcPr>
          <w:p w:rsidR="008123B3" w:rsidRPr="008C586A" w:rsidRDefault="008123B3" w:rsidP="00B00B82">
            <w:pPr>
              <w:pStyle w:val="naisc"/>
              <w:spacing w:before="0" w:after="0"/>
              <w:ind w:firstLine="21"/>
              <w:jc w:val="center"/>
            </w:pPr>
            <w:r w:rsidRPr="008C586A">
              <w:t>Atbildīgās ministrijas pamatojums iebilduma noraidījumam</w:t>
            </w:r>
          </w:p>
        </w:tc>
        <w:tc>
          <w:tcPr>
            <w:tcW w:w="1848" w:type="dxa"/>
            <w:tcBorders>
              <w:top w:val="single" w:sz="4" w:space="0" w:color="auto"/>
              <w:left w:val="single" w:sz="4" w:space="0" w:color="auto"/>
              <w:bottom w:val="single" w:sz="4" w:space="0" w:color="auto"/>
              <w:right w:val="single" w:sz="4" w:space="0" w:color="auto"/>
            </w:tcBorders>
            <w:vAlign w:val="center"/>
          </w:tcPr>
          <w:p w:rsidR="008123B3" w:rsidRPr="008C586A" w:rsidRDefault="008123B3" w:rsidP="00B00B82">
            <w:pPr>
              <w:jc w:val="center"/>
            </w:pPr>
            <w:r w:rsidRPr="008C586A">
              <w:t>Atzinuma sniedzēja uzturētais iebildums, ja tas atšķiras no atzinumā norādītā iebilduma pamatojuma</w:t>
            </w:r>
          </w:p>
        </w:tc>
        <w:tc>
          <w:tcPr>
            <w:tcW w:w="2160" w:type="dxa"/>
            <w:tcBorders>
              <w:top w:val="single" w:sz="4" w:space="0" w:color="auto"/>
              <w:left w:val="single" w:sz="4" w:space="0" w:color="auto"/>
              <w:bottom w:val="single" w:sz="4" w:space="0" w:color="auto"/>
            </w:tcBorders>
            <w:vAlign w:val="center"/>
          </w:tcPr>
          <w:p w:rsidR="008123B3" w:rsidRPr="008C586A" w:rsidRDefault="008123B3" w:rsidP="00B00B82">
            <w:pPr>
              <w:jc w:val="center"/>
            </w:pPr>
            <w:r w:rsidRPr="008C586A">
              <w:t>Projekta attiecīgā punkta (panta) galīgā redakcija</w:t>
            </w:r>
          </w:p>
        </w:tc>
      </w:tr>
      <w:tr w:rsidR="008123B3" w:rsidRPr="008C586A">
        <w:tc>
          <w:tcPr>
            <w:tcW w:w="708"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pPr>
            <w:r w:rsidRPr="008C586A">
              <w:t>1</w:t>
            </w:r>
          </w:p>
        </w:tc>
        <w:tc>
          <w:tcPr>
            <w:tcW w:w="1812"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ind w:firstLine="720"/>
            </w:pPr>
            <w:r w:rsidRPr="008C586A">
              <w:t>2</w:t>
            </w:r>
          </w:p>
        </w:tc>
        <w:tc>
          <w:tcPr>
            <w:tcW w:w="5040"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ind w:firstLine="720"/>
            </w:pPr>
            <w:r w:rsidRPr="008C586A">
              <w:t>3</w:t>
            </w:r>
          </w:p>
        </w:tc>
        <w:tc>
          <w:tcPr>
            <w:tcW w:w="3012" w:type="dxa"/>
            <w:tcBorders>
              <w:top w:val="single" w:sz="6" w:space="0" w:color="000000"/>
              <w:left w:val="single" w:sz="6" w:space="0" w:color="000000"/>
              <w:bottom w:val="single" w:sz="6" w:space="0" w:color="000000"/>
              <w:right w:val="single" w:sz="6" w:space="0" w:color="000000"/>
            </w:tcBorders>
          </w:tcPr>
          <w:p w:rsidR="008123B3" w:rsidRPr="008C586A" w:rsidRDefault="008123B3" w:rsidP="00E776D1">
            <w:pPr>
              <w:pStyle w:val="naisc"/>
              <w:spacing w:before="0" w:after="0"/>
              <w:ind w:firstLine="720"/>
            </w:pPr>
            <w:r w:rsidRPr="008C586A">
              <w:t>4</w:t>
            </w:r>
          </w:p>
        </w:tc>
        <w:tc>
          <w:tcPr>
            <w:tcW w:w="1848" w:type="dxa"/>
            <w:tcBorders>
              <w:top w:val="single" w:sz="4" w:space="0" w:color="auto"/>
              <w:left w:val="single" w:sz="4" w:space="0" w:color="auto"/>
              <w:bottom w:val="single" w:sz="4" w:space="0" w:color="auto"/>
              <w:right w:val="single" w:sz="4" w:space="0" w:color="auto"/>
            </w:tcBorders>
          </w:tcPr>
          <w:p w:rsidR="008123B3" w:rsidRPr="008C586A" w:rsidRDefault="008123B3" w:rsidP="00E776D1">
            <w:pPr>
              <w:jc w:val="center"/>
            </w:pPr>
            <w:r w:rsidRPr="008C586A">
              <w:t>5</w:t>
            </w:r>
          </w:p>
        </w:tc>
        <w:tc>
          <w:tcPr>
            <w:tcW w:w="2160" w:type="dxa"/>
            <w:tcBorders>
              <w:top w:val="single" w:sz="4" w:space="0" w:color="auto"/>
              <w:left w:val="single" w:sz="4" w:space="0" w:color="auto"/>
              <w:bottom w:val="single" w:sz="4" w:space="0" w:color="auto"/>
            </w:tcBorders>
          </w:tcPr>
          <w:p w:rsidR="008123B3" w:rsidRPr="008C586A" w:rsidRDefault="008123B3" w:rsidP="00E776D1">
            <w:pPr>
              <w:jc w:val="center"/>
            </w:pPr>
            <w:r w:rsidRPr="008C586A">
              <w:t>6</w:t>
            </w:r>
          </w:p>
        </w:tc>
      </w:tr>
      <w:tr w:rsidR="00F15720" w:rsidRPr="008C586A">
        <w:tc>
          <w:tcPr>
            <w:tcW w:w="14580" w:type="dxa"/>
            <w:gridSpan w:val="6"/>
            <w:tcBorders>
              <w:left w:val="single" w:sz="6" w:space="0" w:color="000000"/>
              <w:bottom w:val="single" w:sz="4" w:space="0" w:color="auto"/>
              <w:right w:val="single" w:sz="4" w:space="0" w:color="auto"/>
            </w:tcBorders>
          </w:tcPr>
          <w:p w:rsidR="00F15720" w:rsidRPr="008C586A" w:rsidRDefault="00F15720" w:rsidP="00B00B82">
            <w:pPr>
              <w:jc w:val="both"/>
              <w:rPr>
                <w:b/>
              </w:rPr>
            </w:pPr>
          </w:p>
        </w:tc>
      </w:tr>
      <w:tr w:rsidR="00B00B82" w:rsidRPr="008C586A" w:rsidTr="00EF3810">
        <w:trPr>
          <w:trHeight w:val="377"/>
        </w:trPr>
        <w:tc>
          <w:tcPr>
            <w:tcW w:w="708" w:type="dxa"/>
            <w:tcBorders>
              <w:left w:val="single" w:sz="6" w:space="0" w:color="000000"/>
              <w:bottom w:val="single" w:sz="4" w:space="0" w:color="auto"/>
              <w:right w:val="single" w:sz="6" w:space="0" w:color="000000"/>
            </w:tcBorders>
          </w:tcPr>
          <w:p w:rsidR="00B00B82" w:rsidRPr="008C586A" w:rsidRDefault="00B00B82" w:rsidP="00E776D1">
            <w:pPr>
              <w:pStyle w:val="naisc"/>
              <w:spacing w:before="0" w:after="0"/>
              <w:jc w:val="both"/>
            </w:pPr>
            <w:r w:rsidRPr="008C586A">
              <w:t>1.</w:t>
            </w:r>
          </w:p>
        </w:tc>
        <w:tc>
          <w:tcPr>
            <w:tcW w:w="1812" w:type="dxa"/>
            <w:tcBorders>
              <w:left w:val="single" w:sz="6" w:space="0" w:color="000000"/>
              <w:bottom w:val="single" w:sz="4" w:space="0" w:color="auto"/>
              <w:right w:val="single" w:sz="6" w:space="0" w:color="000000"/>
            </w:tcBorders>
          </w:tcPr>
          <w:p w:rsidR="00B00B82" w:rsidRPr="008C586A" w:rsidRDefault="00B00B82" w:rsidP="007C753E">
            <w:pPr>
              <w:pStyle w:val="naisf"/>
              <w:spacing w:before="0" w:beforeAutospacing="0" w:after="0" w:afterAutospacing="0"/>
            </w:pPr>
          </w:p>
          <w:p w:rsidR="00B00B82" w:rsidRPr="008C586A" w:rsidRDefault="00B00B82" w:rsidP="007C753E">
            <w:pPr>
              <w:pStyle w:val="naisf"/>
              <w:spacing w:before="0" w:beforeAutospacing="0" w:after="0" w:afterAutospacing="0"/>
              <w:jc w:val="both"/>
            </w:pPr>
          </w:p>
        </w:tc>
        <w:tc>
          <w:tcPr>
            <w:tcW w:w="5040" w:type="dxa"/>
            <w:tcBorders>
              <w:left w:val="single" w:sz="6" w:space="0" w:color="000000"/>
              <w:bottom w:val="single" w:sz="4" w:space="0" w:color="auto"/>
              <w:right w:val="single" w:sz="6" w:space="0" w:color="000000"/>
            </w:tcBorders>
          </w:tcPr>
          <w:p w:rsidR="00B00B82" w:rsidRPr="008C586A" w:rsidRDefault="00B00B82" w:rsidP="007C753E">
            <w:pPr>
              <w:jc w:val="both"/>
              <w:rPr>
                <w:sz w:val="26"/>
                <w:szCs w:val="26"/>
              </w:rPr>
            </w:pPr>
          </w:p>
        </w:tc>
        <w:tc>
          <w:tcPr>
            <w:tcW w:w="3012" w:type="dxa"/>
            <w:tcBorders>
              <w:left w:val="single" w:sz="6" w:space="0" w:color="000000"/>
              <w:bottom w:val="single" w:sz="4" w:space="0" w:color="auto"/>
              <w:right w:val="single" w:sz="6" w:space="0" w:color="000000"/>
            </w:tcBorders>
          </w:tcPr>
          <w:p w:rsidR="00B00B82" w:rsidRPr="008C586A" w:rsidRDefault="00B00B82" w:rsidP="007C753E">
            <w:pPr>
              <w:pStyle w:val="Pamatteksts"/>
              <w:spacing w:after="0"/>
              <w:jc w:val="both"/>
              <w:rPr>
                <w:lang w:val="lv-LV"/>
              </w:rPr>
            </w:pPr>
          </w:p>
        </w:tc>
        <w:tc>
          <w:tcPr>
            <w:tcW w:w="1848" w:type="dxa"/>
            <w:tcBorders>
              <w:top w:val="single" w:sz="4" w:space="0" w:color="auto"/>
              <w:left w:val="single" w:sz="4" w:space="0" w:color="auto"/>
              <w:bottom w:val="single" w:sz="4" w:space="0" w:color="auto"/>
              <w:right w:val="single" w:sz="4" w:space="0" w:color="auto"/>
            </w:tcBorders>
          </w:tcPr>
          <w:p w:rsidR="00B00B82" w:rsidRPr="008C586A" w:rsidRDefault="00B00B82" w:rsidP="007C753E">
            <w:pPr>
              <w:pStyle w:val="Pamatteksts"/>
              <w:tabs>
                <w:tab w:val="num" w:pos="0"/>
                <w:tab w:val="left" w:pos="286"/>
              </w:tabs>
              <w:spacing w:after="0"/>
              <w:jc w:val="both"/>
              <w:rPr>
                <w:lang w:val="lv-LV"/>
              </w:rPr>
            </w:pPr>
          </w:p>
        </w:tc>
        <w:tc>
          <w:tcPr>
            <w:tcW w:w="2160" w:type="dxa"/>
            <w:tcBorders>
              <w:top w:val="single" w:sz="4" w:space="0" w:color="auto"/>
              <w:left w:val="single" w:sz="4" w:space="0" w:color="auto"/>
              <w:bottom w:val="single" w:sz="4" w:space="0" w:color="auto"/>
              <w:right w:val="single" w:sz="4" w:space="0" w:color="auto"/>
            </w:tcBorders>
          </w:tcPr>
          <w:p w:rsidR="00B00B82" w:rsidRPr="008C586A" w:rsidRDefault="00B00B82" w:rsidP="00680220">
            <w:pPr>
              <w:jc w:val="both"/>
              <w:rPr>
                <w:lang w:eastAsia="en-US"/>
              </w:rPr>
            </w:pPr>
          </w:p>
        </w:tc>
      </w:tr>
    </w:tbl>
    <w:p w:rsidR="008C586A" w:rsidRPr="008C586A" w:rsidRDefault="008C586A" w:rsidP="008123B3">
      <w:pPr>
        <w:pStyle w:val="naisf"/>
        <w:spacing w:before="0" w:beforeAutospacing="0" w:after="0" w:afterAutospacing="0"/>
        <w:rPr>
          <w:b/>
        </w:rPr>
      </w:pPr>
    </w:p>
    <w:p w:rsidR="008123B3" w:rsidRPr="008C586A" w:rsidRDefault="008123B3" w:rsidP="008123B3">
      <w:pPr>
        <w:pStyle w:val="naisf"/>
        <w:spacing w:before="0" w:beforeAutospacing="0" w:after="0" w:afterAutospacing="0"/>
        <w:rPr>
          <w:b/>
        </w:rPr>
      </w:pPr>
      <w:r w:rsidRPr="008C586A">
        <w:rPr>
          <w:b/>
        </w:rPr>
        <w:t>Informācija par starpministriju (starpinstitūciju) sanāksmi vai elektronisko saskaņošanu</w:t>
      </w:r>
    </w:p>
    <w:p w:rsidR="008C586A" w:rsidRPr="008C586A" w:rsidRDefault="008C586A" w:rsidP="008123B3">
      <w:pPr>
        <w:pStyle w:val="naisf"/>
        <w:spacing w:before="0" w:beforeAutospacing="0" w:after="0" w:afterAutospacing="0"/>
        <w:rPr>
          <w:b/>
        </w:rPr>
      </w:pPr>
    </w:p>
    <w:tbl>
      <w:tblPr>
        <w:tblW w:w="14508" w:type="dxa"/>
        <w:tblLook w:val="00A0" w:firstRow="1" w:lastRow="0" w:firstColumn="1" w:lastColumn="0" w:noHBand="0" w:noVBand="0"/>
      </w:tblPr>
      <w:tblGrid>
        <w:gridCol w:w="3888"/>
        <w:gridCol w:w="1800"/>
        <w:gridCol w:w="1260"/>
        <w:gridCol w:w="840"/>
        <w:gridCol w:w="6720"/>
      </w:tblGrid>
      <w:tr w:rsidR="008123B3" w:rsidRPr="008C586A">
        <w:tc>
          <w:tcPr>
            <w:tcW w:w="3888" w:type="dxa"/>
          </w:tcPr>
          <w:p w:rsidR="008123B3" w:rsidRPr="008C586A" w:rsidRDefault="008123B3" w:rsidP="00E776D1">
            <w:pPr>
              <w:pStyle w:val="naisf"/>
              <w:spacing w:before="0" w:after="0"/>
            </w:pPr>
            <w:r w:rsidRPr="008C586A">
              <w:t>Datums</w:t>
            </w:r>
          </w:p>
        </w:tc>
        <w:tc>
          <w:tcPr>
            <w:tcW w:w="10620" w:type="dxa"/>
            <w:gridSpan w:val="4"/>
            <w:tcBorders>
              <w:bottom w:val="single" w:sz="4" w:space="0" w:color="auto"/>
            </w:tcBorders>
          </w:tcPr>
          <w:p w:rsidR="008123B3" w:rsidRPr="008C586A" w:rsidRDefault="00DB3F41" w:rsidP="004B6F0F">
            <w:pPr>
              <w:pStyle w:val="Paraststmeklis"/>
              <w:spacing w:before="0" w:after="0"/>
            </w:pPr>
            <w:r>
              <w:t>30</w:t>
            </w:r>
            <w:r w:rsidR="00035FEC">
              <w:t>.07.2019</w:t>
            </w:r>
            <w:r w:rsidR="00AB504C">
              <w:t xml:space="preserve">. </w:t>
            </w:r>
          </w:p>
        </w:tc>
      </w:tr>
      <w:tr w:rsidR="008123B3" w:rsidRPr="008C586A">
        <w:tc>
          <w:tcPr>
            <w:tcW w:w="3888" w:type="dxa"/>
          </w:tcPr>
          <w:p w:rsidR="008123B3" w:rsidRPr="008C586A" w:rsidRDefault="008123B3" w:rsidP="00E776D1">
            <w:pPr>
              <w:pStyle w:val="naiskr"/>
              <w:spacing w:before="0" w:after="0"/>
            </w:pPr>
            <w:r w:rsidRPr="008C586A">
              <w:t>Saskaņošanas dalībnieki</w:t>
            </w:r>
          </w:p>
        </w:tc>
        <w:tc>
          <w:tcPr>
            <w:tcW w:w="10620" w:type="dxa"/>
            <w:gridSpan w:val="4"/>
          </w:tcPr>
          <w:p w:rsidR="008123B3" w:rsidRDefault="00035FEC" w:rsidP="003B2511">
            <w:pPr>
              <w:pStyle w:val="Paraststmeklis"/>
              <w:jc w:val="both"/>
            </w:pPr>
            <w:r>
              <w:t>E.Gūte</w:t>
            </w:r>
            <w:r w:rsidR="00771DAC">
              <w:t xml:space="preserve"> </w:t>
            </w:r>
            <w:r w:rsidR="004015B8">
              <w:t>(</w:t>
            </w:r>
            <w:r w:rsidR="0001264C">
              <w:t>Tieslietu</w:t>
            </w:r>
            <w:r w:rsidR="004015B8">
              <w:t xml:space="preserve"> ministrija)</w:t>
            </w:r>
          </w:p>
          <w:p w:rsidR="00D35161" w:rsidRPr="008C586A" w:rsidRDefault="00D35161" w:rsidP="003B2511">
            <w:pPr>
              <w:pStyle w:val="Paraststmeklis"/>
              <w:jc w:val="both"/>
            </w:pPr>
          </w:p>
        </w:tc>
      </w:tr>
      <w:tr w:rsidR="008123B3" w:rsidRPr="008C586A">
        <w:trPr>
          <w:trHeight w:val="285"/>
        </w:trPr>
        <w:tc>
          <w:tcPr>
            <w:tcW w:w="6948" w:type="dxa"/>
            <w:gridSpan w:val="3"/>
          </w:tcPr>
          <w:p w:rsidR="008123B3" w:rsidRPr="008C586A" w:rsidRDefault="008123B3" w:rsidP="001D46DF">
            <w:pPr>
              <w:pStyle w:val="naiskr"/>
              <w:spacing w:before="0" w:after="0"/>
              <w:ind w:right="72"/>
            </w:pPr>
            <w:r w:rsidRPr="008C586A">
              <w:t xml:space="preserve">Saskaņošanas dalībnieki izskatīja šādu ministriju (citu institūciju) </w:t>
            </w:r>
          </w:p>
        </w:tc>
        <w:tc>
          <w:tcPr>
            <w:tcW w:w="840" w:type="dxa"/>
          </w:tcPr>
          <w:p w:rsidR="008123B3" w:rsidRPr="008C586A" w:rsidRDefault="008123B3" w:rsidP="00E776D1">
            <w:pPr>
              <w:pStyle w:val="naiskr"/>
              <w:spacing w:before="0" w:after="0"/>
              <w:ind w:firstLine="720"/>
              <w:rPr>
                <w:color w:val="FF0000"/>
              </w:rPr>
            </w:pPr>
          </w:p>
        </w:tc>
        <w:tc>
          <w:tcPr>
            <w:tcW w:w="6720" w:type="dxa"/>
          </w:tcPr>
          <w:p w:rsidR="008123B3" w:rsidRPr="008C586A" w:rsidRDefault="0001264C" w:rsidP="00035FEC">
            <w:pPr>
              <w:pStyle w:val="naiskr"/>
              <w:spacing w:before="0" w:after="0"/>
              <w:ind w:firstLine="12"/>
              <w:rPr>
                <w:b/>
              </w:rPr>
            </w:pPr>
            <w:r>
              <w:rPr>
                <w:b/>
              </w:rPr>
              <w:t>Tieslietu</w:t>
            </w:r>
            <w:r w:rsidR="008A7FEA" w:rsidRPr="008C586A">
              <w:rPr>
                <w:b/>
              </w:rPr>
              <w:t xml:space="preserve"> ministrijas</w:t>
            </w:r>
            <w:r w:rsidR="001F2264" w:rsidRPr="008C586A">
              <w:rPr>
                <w:b/>
              </w:rPr>
              <w:t xml:space="preserve"> </w:t>
            </w:r>
            <w:r w:rsidR="001D46DF" w:rsidRPr="001D46DF">
              <w:rPr>
                <w:b/>
              </w:rPr>
              <w:t>iebildumus</w:t>
            </w:r>
          </w:p>
        </w:tc>
      </w:tr>
      <w:tr w:rsidR="008A7FEA" w:rsidRPr="008C586A">
        <w:tc>
          <w:tcPr>
            <w:tcW w:w="6948" w:type="dxa"/>
            <w:gridSpan w:val="3"/>
          </w:tcPr>
          <w:p w:rsidR="00771DAC" w:rsidRPr="008C586A" w:rsidRDefault="00771DAC" w:rsidP="00DD2B03">
            <w:pPr>
              <w:jc w:val="both"/>
            </w:pPr>
          </w:p>
        </w:tc>
        <w:tc>
          <w:tcPr>
            <w:tcW w:w="7560" w:type="dxa"/>
            <w:gridSpan w:val="2"/>
          </w:tcPr>
          <w:p w:rsidR="008A7FEA" w:rsidRPr="008C586A" w:rsidRDefault="008A7FEA" w:rsidP="008A7FEA">
            <w:pPr>
              <w:pStyle w:val="naiskr"/>
              <w:spacing w:before="0" w:beforeAutospacing="0" w:after="0" w:afterAutospacing="0"/>
            </w:pPr>
          </w:p>
        </w:tc>
      </w:tr>
      <w:tr w:rsidR="008123B3" w:rsidRPr="008C586A">
        <w:tc>
          <w:tcPr>
            <w:tcW w:w="5688" w:type="dxa"/>
            <w:gridSpan w:val="2"/>
          </w:tcPr>
          <w:p w:rsidR="00B6186C" w:rsidRDefault="008123B3" w:rsidP="00E776D1">
            <w:pPr>
              <w:pStyle w:val="naiskr"/>
              <w:spacing w:before="0" w:after="0"/>
            </w:pPr>
            <w:r w:rsidRPr="008C586A">
              <w:lastRenderedPageBreak/>
              <w:t>Ministrijas (citas institūcijas), kuras nav ieradušās uz sanāksmi vai kuras nav atbildējušas uz uzaicinājumu piedalīties elektroniskajā saskaņošanā</w:t>
            </w:r>
          </w:p>
          <w:p w:rsidR="008123B3" w:rsidRPr="00B6186C" w:rsidRDefault="008123B3" w:rsidP="00B6186C"/>
        </w:tc>
        <w:tc>
          <w:tcPr>
            <w:tcW w:w="8820" w:type="dxa"/>
            <w:gridSpan w:val="3"/>
          </w:tcPr>
          <w:p w:rsidR="008123B3" w:rsidRPr="00AB504C" w:rsidRDefault="00E5737D" w:rsidP="00E5737D">
            <w:pPr>
              <w:pStyle w:val="naiskr"/>
              <w:spacing w:before="0" w:after="0"/>
              <w:rPr>
                <w:b/>
              </w:rPr>
            </w:pPr>
            <w:r w:rsidRPr="00AB504C">
              <w:rPr>
                <w:b/>
              </w:rPr>
              <w:t>nav</w:t>
            </w:r>
          </w:p>
        </w:tc>
      </w:tr>
    </w:tbl>
    <w:p w:rsidR="00745729" w:rsidRPr="008C586A" w:rsidRDefault="00745729" w:rsidP="00771DAC">
      <w:pPr>
        <w:pStyle w:val="naisf"/>
        <w:spacing w:before="0" w:after="0"/>
        <w:rPr>
          <w:b/>
        </w:rPr>
      </w:pPr>
    </w:p>
    <w:p w:rsidR="008123B3" w:rsidRPr="008C586A" w:rsidRDefault="008123B3" w:rsidP="00E5737D">
      <w:pPr>
        <w:pStyle w:val="naisf"/>
        <w:spacing w:before="0" w:after="0"/>
        <w:jc w:val="center"/>
        <w:rPr>
          <w:b/>
        </w:rPr>
      </w:pPr>
      <w:r w:rsidRPr="008C586A">
        <w:rPr>
          <w:b/>
        </w:rPr>
        <w:t>II. Jautājumi, par kuriem saskaņošanā vienošanās ir panākta</w:t>
      </w:r>
    </w:p>
    <w:tbl>
      <w:tblPr>
        <w:tblW w:w="14760" w:type="dxa"/>
        <w:tblInd w:w="-26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9"/>
        <w:gridCol w:w="2033"/>
        <w:gridCol w:w="1148"/>
        <w:gridCol w:w="4829"/>
        <w:gridCol w:w="7"/>
        <w:gridCol w:w="2780"/>
        <w:gridCol w:w="3364"/>
      </w:tblGrid>
      <w:tr w:rsidR="00D75D2B" w:rsidRPr="008C586A" w:rsidTr="00991EBD">
        <w:tc>
          <w:tcPr>
            <w:tcW w:w="599" w:type="dxa"/>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jc w:val="center"/>
            </w:pPr>
            <w:r w:rsidRPr="008C586A">
              <w:t>Nr. p.k.</w:t>
            </w:r>
          </w:p>
        </w:tc>
        <w:tc>
          <w:tcPr>
            <w:tcW w:w="3181" w:type="dxa"/>
            <w:gridSpan w:val="2"/>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ind w:firstLine="12"/>
              <w:jc w:val="center"/>
            </w:pPr>
            <w:r w:rsidRPr="008C586A">
              <w:t>Saskaņošanai nosūtītā projekta redakcija (konkrēta punkta (panta) redakcija)</w:t>
            </w:r>
          </w:p>
        </w:tc>
        <w:tc>
          <w:tcPr>
            <w:tcW w:w="4836" w:type="dxa"/>
            <w:gridSpan w:val="2"/>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ind w:right="3"/>
              <w:jc w:val="center"/>
            </w:pPr>
            <w:r w:rsidRPr="008C586A">
              <w:t>Atzinumā norādītais ministrijas (citas institūcijas) iebildums, kā arī saskaņošanā papildus izteiktais iebildums par projekta konkrēto punktu (pantu)</w:t>
            </w:r>
          </w:p>
        </w:tc>
        <w:tc>
          <w:tcPr>
            <w:tcW w:w="2780" w:type="dxa"/>
            <w:tcBorders>
              <w:top w:val="single" w:sz="6" w:space="0" w:color="000000"/>
              <w:left w:val="single" w:sz="6" w:space="0" w:color="000000"/>
              <w:bottom w:val="single" w:sz="6" w:space="0" w:color="000000"/>
              <w:right w:val="single" w:sz="6" w:space="0" w:color="000000"/>
            </w:tcBorders>
            <w:vAlign w:val="center"/>
          </w:tcPr>
          <w:p w:rsidR="00D75D2B" w:rsidRPr="008C586A" w:rsidRDefault="00D75D2B" w:rsidP="00AE206B">
            <w:pPr>
              <w:pStyle w:val="naisc"/>
              <w:spacing w:before="0" w:after="0"/>
              <w:ind w:firstLine="21"/>
              <w:jc w:val="center"/>
            </w:pPr>
            <w:r w:rsidRPr="008C586A">
              <w:t>Atbildīgās ministrijas norāde par to, ka iebildums ir ņemts vērā, vai informācija par saskaņošanā panākto alternatīvo risinājumu</w:t>
            </w:r>
          </w:p>
        </w:tc>
        <w:tc>
          <w:tcPr>
            <w:tcW w:w="3364" w:type="dxa"/>
            <w:tcBorders>
              <w:top w:val="single" w:sz="4" w:space="0" w:color="auto"/>
              <w:left w:val="single" w:sz="4" w:space="0" w:color="auto"/>
              <w:bottom w:val="single" w:sz="4" w:space="0" w:color="auto"/>
            </w:tcBorders>
            <w:vAlign w:val="center"/>
          </w:tcPr>
          <w:p w:rsidR="00D75D2B" w:rsidRPr="008C586A" w:rsidRDefault="00D75D2B" w:rsidP="00AE206B">
            <w:pPr>
              <w:jc w:val="center"/>
            </w:pPr>
            <w:r w:rsidRPr="008C586A">
              <w:t>Projekta attiecīgā punkta (panta) galīgā redakcija</w:t>
            </w:r>
          </w:p>
        </w:tc>
      </w:tr>
      <w:tr w:rsidR="00D75D2B" w:rsidRPr="008C586A" w:rsidTr="00991EBD">
        <w:tc>
          <w:tcPr>
            <w:tcW w:w="599" w:type="dxa"/>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pPr>
            <w:r w:rsidRPr="008C586A">
              <w:t>1</w:t>
            </w:r>
          </w:p>
        </w:tc>
        <w:tc>
          <w:tcPr>
            <w:tcW w:w="3181" w:type="dxa"/>
            <w:gridSpan w:val="2"/>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ind w:firstLine="720"/>
            </w:pPr>
            <w:r w:rsidRPr="008C586A">
              <w:t>2</w:t>
            </w:r>
          </w:p>
        </w:tc>
        <w:tc>
          <w:tcPr>
            <w:tcW w:w="4836" w:type="dxa"/>
            <w:gridSpan w:val="2"/>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ind w:firstLine="720"/>
            </w:pPr>
            <w:r w:rsidRPr="008C586A">
              <w:t>3</w:t>
            </w:r>
          </w:p>
        </w:tc>
        <w:tc>
          <w:tcPr>
            <w:tcW w:w="2780" w:type="dxa"/>
            <w:tcBorders>
              <w:top w:val="single" w:sz="6" w:space="0" w:color="000000"/>
              <w:left w:val="single" w:sz="6" w:space="0" w:color="000000"/>
              <w:bottom w:val="single" w:sz="6" w:space="0" w:color="000000"/>
              <w:right w:val="single" w:sz="6" w:space="0" w:color="000000"/>
            </w:tcBorders>
          </w:tcPr>
          <w:p w:rsidR="00D75D2B" w:rsidRPr="008C586A" w:rsidRDefault="00D75D2B" w:rsidP="00AE206B">
            <w:pPr>
              <w:pStyle w:val="naisc"/>
              <w:spacing w:before="0" w:after="0"/>
              <w:ind w:firstLine="720"/>
            </w:pPr>
            <w:r w:rsidRPr="008C586A">
              <w:t>4</w:t>
            </w:r>
          </w:p>
        </w:tc>
        <w:tc>
          <w:tcPr>
            <w:tcW w:w="3364" w:type="dxa"/>
            <w:tcBorders>
              <w:top w:val="single" w:sz="4" w:space="0" w:color="auto"/>
              <w:left w:val="single" w:sz="4" w:space="0" w:color="auto"/>
              <w:bottom w:val="single" w:sz="4" w:space="0" w:color="auto"/>
            </w:tcBorders>
          </w:tcPr>
          <w:p w:rsidR="00D75D2B" w:rsidRPr="008C586A" w:rsidRDefault="00D75D2B" w:rsidP="00AE206B">
            <w:pPr>
              <w:jc w:val="center"/>
            </w:pPr>
            <w:r w:rsidRPr="008C586A">
              <w:t>5</w:t>
            </w:r>
          </w:p>
        </w:tc>
      </w:tr>
      <w:tr w:rsidR="00D75D2B" w:rsidRPr="008C586A" w:rsidTr="00991EBD">
        <w:tblPrEx>
          <w:tblLook w:val="0000" w:firstRow="0" w:lastRow="0" w:firstColumn="0" w:lastColumn="0" w:noHBand="0" w:noVBand="0"/>
        </w:tblPrEx>
        <w:tc>
          <w:tcPr>
            <w:tcW w:w="14760" w:type="dxa"/>
            <w:gridSpan w:val="7"/>
            <w:tcBorders>
              <w:top w:val="single" w:sz="6" w:space="0" w:color="000000"/>
              <w:left w:val="single" w:sz="6" w:space="0" w:color="000000"/>
              <w:bottom w:val="single" w:sz="6" w:space="0" w:color="000000"/>
              <w:right w:val="single" w:sz="6" w:space="0" w:color="000000"/>
            </w:tcBorders>
          </w:tcPr>
          <w:p w:rsidR="00D75D2B" w:rsidRPr="008C586A" w:rsidRDefault="0001264C" w:rsidP="00AE206B">
            <w:pPr>
              <w:pStyle w:val="Pamatteksts"/>
              <w:spacing w:after="0"/>
              <w:jc w:val="both"/>
              <w:rPr>
                <w:lang w:val="lv-LV"/>
              </w:rPr>
            </w:pPr>
            <w:r>
              <w:rPr>
                <w:b/>
                <w:iCs/>
                <w:lang w:val="lv-LV"/>
              </w:rPr>
              <w:t>Tieslietu</w:t>
            </w:r>
            <w:r w:rsidR="00D75D2B" w:rsidRPr="008C586A">
              <w:rPr>
                <w:b/>
                <w:iCs/>
                <w:lang w:val="lv-LV"/>
              </w:rPr>
              <w:t xml:space="preserve"> ministrijas iebildum</w:t>
            </w:r>
            <w:r w:rsidR="003B2511">
              <w:rPr>
                <w:b/>
                <w:iCs/>
                <w:lang w:val="lv-LV"/>
              </w:rPr>
              <w:t>i</w:t>
            </w:r>
          </w:p>
        </w:tc>
      </w:tr>
      <w:tr w:rsidR="00D75D2B" w:rsidRPr="008C586A" w:rsidTr="00991EBD">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rsidR="00D75D2B" w:rsidRPr="008C586A" w:rsidRDefault="00035FEC" w:rsidP="00AE206B">
            <w:pPr>
              <w:pStyle w:val="naisc"/>
              <w:spacing w:before="0" w:after="0"/>
            </w:pPr>
            <w:r>
              <w:t>1.</w:t>
            </w:r>
          </w:p>
        </w:tc>
        <w:tc>
          <w:tcPr>
            <w:tcW w:w="3181" w:type="dxa"/>
            <w:gridSpan w:val="2"/>
            <w:tcBorders>
              <w:top w:val="single" w:sz="6" w:space="0" w:color="000000"/>
              <w:left w:val="single" w:sz="6" w:space="0" w:color="000000"/>
              <w:bottom w:val="single" w:sz="6" w:space="0" w:color="000000"/>
              <w:right w:val="single" w:sz="6" w:space="0" w:color="000000"/>
            </w:tcBorders>
          </w:tcPr>
          <w:p w:rsidR="00035FEC" w:rsidRPr="00035FEC" w:rsidRDefault="00035FEC" w:rsidP="00035FEC">
            <w:pPr>
              <w:jc w:val="both"/>
              <w:rPr>
                <w:bCs/>
              </w:rPr>
            </w:pPr>
            <w:r w:rsidRPr="00035FEC">
              <w:rPr>
                <w:bCs/>
              </w:rPr>
              <w:t>1. Izteikt 71.</w:t>
            </w:r>
            <w:r w:rsidRPr="00035FEC">
              <w:rPr>
                <w:bCs/>
                <w:vertAlign w:val="superscript"/>
              </w:rPr>
              <w:t xml:space="preserve">14 </w:t>
            </w:r>
            <w:r w:rsidRPr="00035FEC">
              <w:rPr>
                <w:bCs/>
              </w:rPr>
              <w:t>punktu šādā redakcijā:</w:t>
            </w:r>
          </w:p>
          <w:p w:rsidR="00035FEC" w:rsidRPr="00035FEC" w:rsidRDefault="00035FEC" w:rsidP="00035FEC">
            <w:pPr>
              <w:jc w:val="both"/>
              <w:rPr>
                <w:bCs/>
              </w:rPr>
            </w:pPr>
            <w:r w:rsidRPr="00035FEC">
              <w:rPr>
                <w:bCs/>
              </w:rPr>
              <w:t>“71.</w:t>
            </w:r>
            <w:r w:rsidRPr="00035FEC">
              <w:rPr>
                <w:bCs/>
                <w:vertAlign w:val="superscript"/>
              </w:rPr>
              <w:t>14</w:t>
            </w:r>
            <w:r w:rsidRPr="00035FEC">
              <w:rPr>
                <w:bCs/>
              </w:rPr>
              <w:t xml:space="preserve"> Dzīvas cūkas, kuru izcelsmes novietne atrodas III riska zonā (</w:t>
            </w:r>
            <w:hyperlink r:id="rId7" w:anchor="piel3" w:history="1">
              <w:r w:rsidRPr="00035FEC">
                <w:rPr>
                  <w:rStyle w:val="Hipersaite"/>
                  <w:bCs/>
                </w:rPr>
                <w:t>3. pielikums</w:t>
              </w:r>
            </w:hyperlink>
            <w:r w:rsidRPr="00035FEC">
              <w:rPr>
                <w:bCs/>
              </w:rPr>
              <w:t>), atļauts pārvietot uz III riska zonā esošu kautuvi, bet cūkas, kuru izcelsmes novietne atrodas II riska zonā (</w:t>
            </w:r>
            <w:hyperlink r:id="rId8" w:anchor="piel3" w:history="1">
              <w:r w:rsidRPr="00035FEC">
                <w:rPr>
                  <w:rStyle w:val="Hipersaite"/>
                  <w:bCs/>
                </w:rPr>
                <w:t>3. pielikums</w:t>
              </w:r>
            </w:hyperlink>
            <w:r w:rsidRPr="00035FEC">
              <w:rPr>
                <w:bCs/>
              </w:rPr>
              <w:t xml:space="preserve">), atļauts pārvietot uz II riska zonā esošu kautuvi un iegūto cūkgaļu izplatīt ārpus II vai III riska zonas Latvijas teritorijā, ja pārvietojamās </w:t>
            </w:r>
            <w:r w:rsidRPr="00035FEC">
              <w:rPr>
                <w:bCs/>
              </w:rPr>
              <w:lastRenderedPageBreak/>
              <w:t>cūkas atbilst šo noteikumu 71.</w:t>
            </w:r>
            <w:r w:rsidRPr="00035FEC">
              <w:rPr>
                <w:bCs/>
                <w:vertAlign w:val="superscript"/>
              </w:rPr>
              <w:t>14</w:t>
            </w:r>
            <w:r w:rsidRPr="00035FEC">
              <w:rPr>
                <w:bCs/>
              </w:rPr>
              <w:t>1., 71.</w:t>
            </w:r>
            <w:r w:rsidRPr="00035FEC">
              <w:rPr>
                <w:bCs/>
                <w:vertAlign w:val="superscript"/>
              </w:rPr>
              <w:t>14</w:t>
            </w:r>
            <w:r w:rsidRPr="00035FEC">
              <w:rPr>
                <w:bCs/>
              </w:rPr>
              <w:t>2. un 71.</w:t>
            </w:r>
            <w:r w:rsidRPr="00035FEC">
              <w:rPr>
                <w:bCs/>
                <w:vertAlign w:val="superscript"/>
              </w:rPr>
              <w:t>14</w:t>
            </w:r>
            <w:r w:rsidRPr="00035FEC">
              <w:rPr>
                <w:bCs/>
              </w:rPr>
              <w:t>3. apakšpunktā vai 71.</w:t>
            </w:r>
            <w:r w:rsidRPr="00035FEC">
              <w:rPr>
                <w:bCs/>
                <w:vertAlign w:val="superscript"/>
              </w:rPr>
              <w:t>14</w:t>
            </w:r>
            <w:r w:rsidRPr="00035FEC">
              <w:rPr>
                <w:bCs/>
              </w:rPr>
              <w:t>4., 71.</w:t>
            </w:r>
            <w:r w:rsidRPr="00035FEC">
              <w:rPr>
                <w:bCs/>
                <w:vertAlign w:val="superscript"/>
              </w:rPr>
              <w:t>14</w:t>
            </w:r>
            <w:r w:rsidRPr="00035FEC">
              <w:rPr>
                <w:bCs/>
              </w:rPr>
              <w:t>5., 71.</w:t>
            </w:r>
            <w:r w:rsidRPr="00035FEC">
              <w:rPr>
                <w:bCs/>
                <w:vertAlign w:val="superscript"/>
              </w:rPr>
              <w:t>14</w:t>
            </w:r>
            <w:r w:rsidRPr="00035FEC">
              <w:rPr>
                <w:bCs/>
              </w:rPr>
              <w:t>6. un 71.</w:t>
            </w:r>
            <w:r w:rsidRPr="00035FEC">
              <w:rPr>
                <w:bCs/>
                <w:vertAlign w:val="superscript"/>
              </w:rPr>
              <w:t>14</w:t>
            </w:r>
            <w:r w:rsidRPr="00035FEC">
              <w:rPr>
                <w:bCs/>
              </w:rPr>
              <w:t>7. apakšpunktā minētajām prasībām:</w:t>
            </w:r>
          </w:p>
          <w:p w:rsidR="00035FEC" w:rsidRPr="00035FEC" w:rsidRDefault="00035FEC" w:rsidP="00035FEC">
            <w:pPr>
              <w:jc w:val="both"/>
              <w:rPr>
                <w:bCs/>
              </w:rPr>
            </w:pPr>
            <w:r w:rsidRPr="00035FEC">
              <w:rPr>
                <w:bCs/>
              </w:rPr>
              <w:t>71.</w:t>
            </w:r>
            <w:r w:rsidRPr="00035FEC">
              <w:rPr>
                <w:bCs/>
                <w:vertAlign w:val="superscript"/>
              </w:rPr>
              <w:t>14</w:t>
            </w:r>
            <w:r w:rsidRPr="00035FEC">
              <w:rPr>
                <w:bCs/>
              </w:rPr>
              <w:t>1. izcelsmes novietnē tās atrodas kopš dzimšanas vai ne mazāk kā 30 dienas līdz pārvietošanai, un 30 dienu laikā pirms plānotās pārvietošanas novietnē nav ievesta neviena cūka no II, III vai IV riska zonas (</w:t>
            </w:r>
            <w:hyperlink r:id="rId9" w:anchor="piel3" w:history="1">
              <w:r w:rsidRPr="00035FEC">
                <w:rPr>
                  <w:rStyle w:val="Hipersaite"/>
                  <w:bCs/>
                </w:rPr>
                <w:t>3. pielikums</w:t>
              </w:r>
            </w:hyperlink>
            <w:r w:rsidRPr="00035FEC">
              <w:rPr>
                <w:bCs/>
              </w:rPr>
              <w:t>);</w:t>
            </w:r>
          </w:p>
          <w:p w:rsidR="00035FEC" w:rsidRPr="00035FEC" w:rsidRDefault="00035FEC" w:rsidP="00035FEC">
            <w:pPr>
              <w:jc w:val="both"/>
              <w:rPr>
                <w:bCs/>
              </w:rPr>
            </w:pPr>
            <w:r w:rsidRPr="00035FEC">
              <w:rPr>
                <w:bCs/>
              </w:rPr>
              <w:t>71.</w:t>
            </w:r>
            <w:r w:rsidRPr="00035FEC">
              <w:rPr>
                <w:bCs/>
                <w:vertAlign w:val="superscript"/>
              </w:rPr>
              <w:t>14</w:t>
            </w:r>
            <w:r w:rsidRPr="00035FEC">
              <w:rPr>
                <w:bCs/>
              </w:rPr>
              <w:t>2. šo noteikumu 71.</w:t>
            </w:r>
            <w:r w:rsidRPr="00035FEC">
              <w:rPr>
                <w:bCs/>
                <w:vertAlign w:val="superscript"/>
              </w:rPr>
              <w:t>14</w:t>
            </w:r>
            <w:r w:rsidRPr="00035FEC">
              <w:rPr>
                <w:bCs/>
              </w:rPr>
              <w:t xml:space="preserve">1. apakšpunktā noteiktajām prasībām atbilstošās cūkas tiek turētas nodalītā ražošanas vienībā, kuras apkalpošanai tiek izmantots aprīkojums un tehnika, kas cūkas ļauj barot, kopt un turēt nošķirti no pārējās novietnes daļas, un ir saņemts dienesta inspektora apliecinājums par to, ka ražošanas vienības struktūra, izmērs un attālums starp to un pārējo novietnes daļu, kurā tiek turētas cūkas, un darbība visā novietnē ir organizēta tā, lai </w:t>
            </w:r>
            <w:r w:rsidRPr="00035FEC">
              <w:rPr>
                <w:bCs/>
              </w:rPr>
              <w:lastRenderedPageBreak/>
              <w:t>garantētu, ka cūku mēra vīruss nenonāk ražošanas vienībā;</w:t>
            </w:r>
          </w:p>
          <w:p w:rsidR="00035FEC" w:rsidRPr="00035FEC" w:rsidRDefault="00035FEC" w:rsidP="00035FEC">
            <w:pPr>
              <w:jc w:val="both"/>
              <w:rPr>
                <w:bCs/>
              </w:rPr>
            </w:pPr>
            <w:r w:rsidRPr="00035FEC">
              <w:rPr>
                <w:bCs/>
              </w:rPr>
              <w:t>71.</w:t>
            </w:r>
            <w:r w:rsidRPr="00035FEC">
              <w:rPr>
                <w:bCs/>
                <w:vertAlign w:val="superscript"/>
              </w:rPr>
              <w:t>14</w:t>
            </w:r>
            <w:r w:rsidRPr="00035FEC">
              <w:rPr>
                <w:bCs/>
              </w:rPr>
              <w:t>3. septiņu dienu laikā pirms plānotās pārvietošanas inspektors vai praktizējošs veterinārārsts ir paņēmis paraugus laboratoriskiem izmeklējumiem, lai veiktu cūku mēra patogēnu identifikācijas testu, un inspektors 24 stundu laikā pirms plānotās pārvietošanas ir veicis cūku klīnisko izmeklēšanu attiecībā uz cūku mēri cūku mēra diagnostikas rokasgrāmatā noteiktajā kārtībā. Pārvadāšana ir atļauta, ja klīniskajos un laboratoriskajos izmeklējumos nav konstatēta cūku saslimšana vai inficēšanās ar cūku mēra vīrusu;</w:t>
            </w:r>
          </w:p>
          <w:p w:rsidR="00035FEC" w:rsidRPr="00035FEC" w:rsidRDefault="00035FEC" w:rsidP="00035FEC">
            <w:pPr>
              <w:jc w:val="both"/>
              <w:rPr>
                <w:bCs/>
              </w:rPr>
            </w:pPr>
            <w:r w:rsidRPr="00035FEC">
              <w:rPr>
                <w:bCs/>
              </w:rPr>
              <w:t>71.</w:t>
            </w:r>
            <w:r w:rsidRPr="00035FEC">
              <w:rPr>
                <w:bCs/>
                <w:vertAlign w:val="superscript"/>
              </w:rPr>
              <w:t>14</w:t>
            </w:r>
            <w:r w:rsidRPr="00035FEC">
              <w:rPr>
                <w:bCs/>
              </w:rPr>
              <w:t>4. izcelsmes novietnē tās atrodas kopš dzimšanas vai ne mazāk kā 30 dienas līdz pārvietošanai, un 30 dienu laikā pirms plānotās pārvietošanas novietnē nav ievesta neviena cūka no II, III vai IV riska zonas (</w:t>
            </w:r>
            <w:hyperlink r:id="rId10" w:anchor="piel3" w:history="1">
              <w:r w:rsidRPr="00035FEC">
                <w:rPr>
                  <w:rStyle w:val="Hipersaite"/>
                  <w:bCs/>
                </w:rPr>
                <w:t>3. pielikums</w:t>
              </w:r>
            </w:hyperlink>
            <w:r w:rsidRPr="00035FEC">
              <w:rPr>
                <w:bCs/>
              </w:rPr>
              <w:t>);</w:t>
            </w:r>
          </w:p>
          <w:p w:rsidR="00035FEC" w:rsidRPr="00035FEC" w:rsidRDefault="00035FEC" w:rsidP="00035FEC">
            <w:pPr>
              <w:jc w:val="both"/>
              <w:rPr>
                <w:bCs/>
              </w:rPr>
            </w:pPr>
            <w:r w:rsidRPr="00035FEC">
              <w:rPr>
                <w:bCs/>
              </w:rPr>
              <w:lastRenderedPageBreak/>
              <w:t>71.</w:t>
            </w:r>
            <w:r w:rsidRPr="00035FEC">
              <w:rPr>
                <w:bCs/>
                <w:vertAlign w:val="superscript"/>
              </w:rPr>
              <w:t>14</w:t>
            </w:r>
            <w:r w:rsidRPr="00035FEC">
              <w:rPr>
                <w:bCs/>
              </w:rPr>
              <w:t>5. inspektors vismaz divas reizes gadā ar vismaz četru mēnešu intervālu ir pārbaudījis cūkas atbilstoši cūku mēra diagnostikas rokasgrāmatā noteiktajai kārtībai;</w:t>
            </w:r>
          </w:p>
          <w:p w:rsidR="00035FEC" w:rsidRPr="00035FEC" w:rsidRDefault="00035FEC" w:rsidP="00035FEC">
            <w:pPr>
              <w:jc w:val="both"/>
              <w:rPr>
                <w:bCs/>
              </w:rPr>
            </w:pPr>
            <w:r w:rsidRPr="00035FEC">
              <w:rPr>
                <w:bCs/>
              </w:rPr>
              <w:t>71.</w:t>
            </w:r>
            <w:r w:rsidRPr="00035FEC">
              <w:rPr>
                <w:bCs/>
                <w:vertAlign w:val="superscript"/>
              </w:rPr>
              <w:t>14</w:t>
            </w:r>
            <w:r w:rsidRPr="00035FEC">
              <w:rPr>
                <w:bCs/>
              </w:rPr>
              <w:t>6. tās ir turētas apstākļos, kuros dzīvnieku īpašnieks ir ieviesis šo noteikumu 68.2.2., 68.2.4. un 68.2.7. apakšpunktā minētos pasākumus;</w:t>
            </w:r>
          </w:p>
          <w:p w:rsidR="00CE6545" w:rsidRPr="00CE6545" w:rsidRDefault="00035FEC" w:rsidP="00963A60">
            <w:pPr>
              <w:jc w:val="both"/>
              <w:rPr>
                <w:bCs/>
              </w:rPr>
            </w:pPr>
            <w:r w:rsidRPr="00035FEC">
              <w:rPr>
                <w:bCs/>
              </w:rPr>
              <w:t>71.</w:t>
            </w:r>
            <w:r w:rsidRPr="00035FEC">
              <w:rPr>
                <w:bCs/>
                <w:vertAlign w:val="superscript"/>
              </w:rPr>
              <w:t>14</w:t>
            </w:r>
            <w:r w:rsidRPr="00035FEC">
              <w:rPr>
                <w:bCs/>
              </w:rPr>
              <w:t>7. tās ir no novietnes, kurā dzīvnieku īpašnieks ir ieviesis biodrošības pasākumus saskaņā ar normatīvajiem aktiem par biodrošības pasākumu kopumu dzīvnieku turēšanas vietām un nodrošina, ka katrā ražošanas vienībā reizi nedēļā vismaz divām beigtām cūkām, kas vecākas par 60 dienām, ir veikts cūku mēra patogēnu identifikācijas tests, ievērojot vispārējās paraugu ņemšanas un pārvadāšanas procedūras un kritērijus, kas noteikti cūku mēra diagnostikas rokasgrāmatā.”</w:t>
            </w:r>
          </w:p>
        </w:tc>
        <w:tc>
          <w:tcPr>
            <w:tcW w:w="4836" w:type="dxa"/>
            <w:gridSpan w:val="2"/>
            <w:tcBorders>
              <w:top w:val="single" w:sz="6" w:space="0" w:color="000000"/>
              <w:left w:val="single" w:sz="6" w:space="0" w:color="000000"/>
              <w:bottom w:val="single" w:sz="6" w:space="0" w:color="000000"/>
              <w:right w:val="single" w:sz="6" w:space="0" w:color="000000"/>
            </w:tcBorders>
          </w:tcPr>
          <w:p w:rsidR="00D75D2B" w:rsidRPr="00CE6545" w:rsidRDefault="00035FEC" w:rsidP="003B2511">
            <w:pPr>
              <w:jc w:val="both"/>
            </w:pPr>
            <w:r w:rsidRPr="00035FEC">
              <w:lastRenderedPageBreak/>
              <w:t>Norādām, ka projekta 1. punktā izteiktie Ministru kabineta 2004. gada 17. februāra noteikumu Nr. 83 “Āfrikas cūku mēra likvidēšanas un draudu novēršanas kārtība” (turpmāk – noteikumi) 71.</w:t>
            </w:r>
            <w:r w:rsidRPr="00035FEC">
              <w:rPr>
                <w:vertAlign w:val="superscript"/>
              </w:rPr>
              <w:t>14</w:t>
            </w:r>
            <w:r w:rsidRPr="00035FEC">
              <w:t>1. apakšpunkts un 71.</w:t>
            </w:r>
            <w:r w:rsidRPr="00035FEC">
              <w:rPr>
                <w:vertAlign w:val="superscript"/>
              </w:rPr>
              <w:t>14</w:t>
            </w:r>
            <w:r w:rsidRPr="00035FEC">
              <w:t xml:space="preserve">4. apakšpunkts dublē viens otru. Vēršam uzmanību, ka saskaņā ar Ministru kabineta 2009. gada 3. februāra noteikumu Nr. 108 “Normatīvo aktu projektu sagatavošanas noteikumi” 3.2. apakšpunktu “normatīvā akta projektā neietver normas, kas dublē augstāka vai tāda paša spēka normatīvā akta tiesību normās ietverto normatīvo regulējumu”. Attiecīgi lūdzam precizēt minētās normas vai svītrot vienu no </w:t>
            </w:r>
            <w:r w:rsidRPr="00035FEC">
              <w:lastRenderedPageBreak/>
              <w:t>tām. Vienlaikus lūdzam precizēt arī projekta 1. punktā izteikto noteikumu 71.</w:t>
            </w:r>
            <w:r w:rsidRPr="00035FEC">
              <w:rPr>
                <w:vertAlign w:val="superscript"/>
              </w:rPr>
              <w:t xml:space="preserve">14 </w:t>
            </w:r>
            <w:r w:rsidRPr="00035FEC">
              <w:t>punkta ievaddaļu saistībā ar atsauci uz minētajām normām, ja viena no tām tiek svītrota.</w:t>
            </w:r>
          </w:p>
        </w:tc>
        <w:tc>
          <w:tcPr>
            <w:tcW w:w="2780" w:type="dxa"/>
            <w:tcBorders>
              <w:top w:val="single" w:sz="6" w:space="0" w:color="000000"/>
              <w:left w:val="single" w:sz="6" w:space="0" w:color="000000"/>
              <w:bottom w:val="single" w:sz="6" w:space="0" w:color="000000"/>
              <w:right w:val="single" w:sz="6" w:space="0" w:color="000000"/>
            </w:tcBorders>
          </w:tcPr>
          <w:p w:rsidR="0001264C" w:rsidRPr="008C586A" w:rsidRDefault="005A354F" w:rsidP="00AE206B">
            <w:pPr>
              <w:pStyle w:val="Pamatteksts"/>
              <w:spacing w:after="0"/>
              <w:jc w:val="both"/>
              <w:rPr>
                <w:lang w:val="lv-LV"/>
              </w:rPr>
            </w:pPr>
            <w:r>
              <w:rPr>
                <w:lang w:val="lv-LV"/>
              </w:rPr>
              <w:lastRenderedPageBreak/>
              <w:t>Ņemts vērā.</w:t>
            </w:r>
          </w:p>
        </w:tc>
        <w:tc>
          <w:tcPr>
            <w:tcW w:w="3364" w:type="dxa"/>
            <w:tcBorders>
              <w:top w:val="single" w:sz="6" w:space="0" w:color="000000"/>
              <w:left w:val="single" w:sz="6" w:space="0" w:color="000000"/>
              <w:bottom w:val="single" w:sz="6" w:space="0" w:color="000000"/>
              <w:right w:val="single" w:sz="6" w:space="0" w:color="000000"/>
            </w:tcBorders>
          </w:tcPr>
          <w:p w:rsidR="005A354F" w:rsidRPr="005A354F" w:rsidRDefault="005A354F" w:rsidP="005A354F">
            <w:pPr>
              <w:jc w:val="both"/>
            </w:pPr>
            <w:r w:rsidRPr="005A354F">
              <w:t>1. Izteikt 71.</w:t>
            </w:r>
            <w:r w:rsidRPr="005A354F">
              <w:rPr>
                <w:vertAlign w:val="superscript"/>
              </w:rPr>
              <w:t xml:space="preserve">14 </w:t>
            </w:r>
            <w:r w:rsidRPr="005A354F">
              <w:t>punktu šādā redakcijā:</w:t>
            </w:r>
          </w:p>
          <w:p w:rsidR="005A354F" w:rsidRPr="005A354F" w:rsidRDefault="005A354F" w:rsidP="005A354F">
            <w:pPr>
              <w:jc w:val="both"/>
            </w:pPr>
            <w:r w:rsidRPr="005A354F">
              <w:t>“71.</w:t>
            </w:r>
            <w:r w:rsidRPr="005A354F">
              <w:rPr>
                <w:vertAlign w:val="superscript"/>
              </w:rPr>
              <w:t>14</w:t>
            </w:r>
            <w:r w:rsidRPr="005A354F">
              <w:t xml:space="preserve"> Dzīvas cūkas, kuru izcelsmes novietne atrodas III riska zonā (</w:t>
            </w:r>
            <w:hyperlink r:id="rId11" w:anchor="piel3" w:history="1">
              <w:r w:rsidRPr="005A354F">
                <w:rPr>
                  <w:rStyle w:val="Hipersaite"/>
                </w:rPr>
                <w:t>3. pielikums</w:t>
              </w:r>
            </w:hyperlink>
            <w:r w:rsidRPr="005A354F">
              <w:t>), atļauts pārvietot uz III riska zonā esošu kautuvi, bet cūkas, kuru izcelsmes novietne atrodas II riska zonā (</w:t>
            </w:r>
            <w:hyperlink r:id="rId12" w:anchor="piel3" w:history="1">
              <w:r w:rsidRPr="005A354F">
                <w:rPr>
                  <w:rStyle w:val="Hipersaite"/>
                </w:rPr>
                <w:t>3. pielikums</w:t>
              </w:r>
            </w:hyperlink>
            <w:r w:rsidRPr="005A354F">
              <w:t xml:space="preserve">), atļauts pārvietot uz II riska zonā esošu kautuvi un iegūto cūkgaļu izplatīt ārpus II vai III riska zonas Latvijas teritorijā, ja </w:t>
            </w:r>
            <w:r w:rsidRPr="005A354F">
              <w:lastRenderedPageBreak/>
              <w:t xml:space="preserve">pārvietojamās cūkas atbilst vienai no šādām prasībām: </w:t>
            </w:r>
          </w:p>
          <w:p w:rsidR="005A354F" w:rsidRPr="005A354F" w:rsidRDefault="005A354F" w:rsidP="005A354F">
            <w:pPr>
              <w:jc w:val="both"/>
            </w:pPr>
            <w:r w:rsidRPr="005A354F">
              <w:t>71.</w:t>
            </w:r>
            <w:r w:rsidRPr="005A354F">
              <w:rPr>
                <w:vertAlign w:val="superscript"/>
              </w:rPr>
              <w:t>14</w:t>
            </w:r>
            <w:r w:rsidRPr="005A354F">
              <w:t>1. izcelsmes novietnē:</w:t>
            </w:r>
          </w:p>
          <w:p w:rsidR="005A354F" w:rsidRPr="005A354F" w:rsidRDefault="005A354F" w:rsidP="005A354F">
            <w:pPr>
              <w:jc w:val="both"/>
            </w:pPr>
            <w:r w:rsidRPr="005A354F">
              <w:t xml:space="preserve"> 71.</w:t>
            </w:r>
            <w:r w:rsidRPr="005A354F">
              <w:rPr>
                <w:vertAlign w:val="superscript"/>
              </w:rPr>
              <w:t>14</w:t>
            </w:r>
            <w:r w:rsidRPr="005A354F">
              <w:t>1.1. tās atrodas kopš dzimšanas vai ne mazāk kā 30 dienas līdz pārvietošanai, un 30 dienu laikā pirms plānotās pārvietošanas novietnē nav ievesta neviena cūka no II, III vai IV riska zonas;</w:t>
            </w:r>
          </w:p>
          <w:p w:rsidR="005A354F" w:rsidRPr="005A354F" w:rsidRDefault="005A354F" w:rsidP="005A354F">
            <w:pPr>
              <w:jc w:val="both"/>
            </w:pPr>
            <w:r w:rsidRPr="005A354F">
              <w:t>71.</w:t>
            </w:r>
            <w:r w:rsidRPr="005A354F">
              <w:rPr>
                <w:vertAlign w:val="superscript"/>
              </w:rPr>
              <w:t>14</w:t>
            </w:r>
            <w:r w:rsidRPr="005A354F">
              <w:t>1.2. septiņu dienu laikā pirms plānotās pārvietošanas inspektors vai praktizējošs veterinārārsts ir paņēmis paraugus laboratoriskiem izmeklējumiem, lai veiktu cūku mēra patogēnu identifikācijas testu, un inspektors 24 stundu laikā pirms plānotās pārvietošanas ir veicis cūku klīnisko izmeklēšanu attiecībā uz cūku mēri cūku mēra diagnostikas rokasgrāmatā noteiktajā kārtībā. Pārvadāšana ir atļauta, ja klīniskajos un laboratoriskajos izmeklējumos nav konstatēta cūku saslimšana vai inficēšanās ar cūku mēra vīrusu;</w:t>
            </w:r>
          </w:p>
          <w:p w:rsidR="005A354F" w:rsidRPr="005A354F" w:rsidRDefault="005A354F" w:rsidP="005A354F">
            <w:pPr>
              <w:jc w:val="both"/>
            </w:pPr>
            <w:r w:rsidRPr="005A354F">
              <w:t>71.</w:t>
            </w:r>
            <w:r w:rsidRPr="005A354F">
              <w:rPr>
                <w:vertAlign w:val="superscript"/>
              </w:rPr>
              <w:t>14</w:t>
            </w:r>
            <w:r w:rsidRPr="005A354F">
              <w:t xml:space="preserve">1.3. dzīvnieku īpašnieks katru nedēļu vienu reizi katrā ražošanas vienībā nodrošina </w:t>
            </w:r>
            <w:r w:rsidR="00651384">
              <w:t xml:space="preserve">pēc </w:t>
            </w:r>
            <w:r w:rsidR="00651384" w:rsidRPr="005A354F">
              <w:lastRenderedPageBreak/>
              <w:t>60 dien</w:t>
            </w:r>
            <w:r w:rsidR="00651384">
              <w:t>u vecuma</w:t>
            </w:r>
            <w:r w:rsidR="00651384" w:rsidRPr="005A354F">
              <w:t xml:space="preserve"> </w:t>
            </w:r>
            <w:r w:rsidRPr="005A354F">
              <w:t>mirušu cūku izmeklējumus ar cūku mēra patogēnu identifikācijas testu, ievērojot vispārējās paraugu ņemšanas un pārvadāšanas procedūras un kritērijus, kas noteikti cūku mēra diagnostikas rokasgrāmatā;</w:t>
            </w:r>
          </w:p>
          <w:p w:rsidR="005A354F" w:rsidRPr="005A354F" w:rsidRDefault="005A354F" w:rsidP="005A354F">
            <w:pPr>
              <w:jc w:val="both"/>
              <w:rPr>
                <w:vertAlign w:val="superscript"/>
              </w:rPr>
            </w:pPr>
            <w:r w:rsidRPr="005A354F">
              <w:t>71.</w:t>
            </w:r>
            <w:r w:rsidRPr="005A354F">
              <w:rPr>
                <w:vertAlign w:val="superscript"/>
              </w:rPr>
              <w:t>14</w:t>
            </w:r>
            <w:r w:rsidRPr="005A354F">
              <w:t xml:space="preserve">2. izcelsmes novietnē: </w:t>
            </w:r>
          </w:p>
          <w:p w:rsidR="005A354F" w:rsidRPr="005A354F" w:rsidRDefault="005A354F" w:rsidP="005A354F">
            <w:pPr>
              <w:jc w:val="both"/>
            </w:pPr>
            <w:r w:rsidRPr="005A354F">
              <w:t>71.</w:t>
            </w:r>
            <w:r w:rsidRPr="005A354F">
              <w:rPr>
                <w:vertAlign w:val="superscript"/>
              </w:rPr>
              <w:t>14</w:t>
            </w:r>
            <w:r w:rsidRPr="005A354F">
              <w:t xml:space="preserve">2.1. ir izveidota nodalīta ražošanas vienība, kuras apkalpošanai tiek izmantots aprīkojums un tehnika, kas cūkas ļauj barot, kopt un turēt nošķirti no pārējās novietnes daļas, un ir saņemts dienesta inspektora apliecinājums par to, ka ražošanas vienības struktūra, </w:t>
            </w:r>
            <w:r w:rsidR="00651384">
              <w:t>lielums</w:t>
            </w:r>
            <w:r w:rsidRPr="005A354F">
              <w:t xml:space="preserve"> un attālums starp to un pārējo novietnes daļu, kurā tiek turētas cūkas, un darbība visā novietnē ir organizēta tā, lai garantētu, ka cūku mēra vīruss nenonāk ražošanas vienībā;</w:t>
            </w:r>
          </w:p>
          <w:p w:rsidR="005A354F" w:rsidRPr="005A354F" w:rsidRDefault="005A354F" w:rsidP="005A354F">
            <w:pPr>
              <w:jc w:val="both"/>
            </w:pPr>
            <w:r w:rsidRPr="005A354F">
              <w:t>71.</w:t>
            </w:r>
            <w:r w:rsidRPr="005A354F">
              <w:rPr>
                <w:vertAlign w:val="superscript"/>
              </w:rPr>
              <w:t>14</w:t>
            </w:r>
            <w:r w:rsidRPr="005A354F">
              <w:t>2.2. tās atrodas kopš dzimšanas vai ne mazāk kā 30 dienas līdz pārvietošanai, un 30 dienu laikā pirms plānotās pārvietošanas novietnē nav ievesta neviena cūka no II, III vai IV riska zonas;</w:t>
            </w:r>
          </w:p>
          <w:p w:rsidR="005A354F" w:rsidRPr="005A354F" w:rsidRDefault="005A354F" w:rsidP="005A354F">
            <w:pPr>
              <w:jc w:val="both"/>
            </w:pPr>
            <w:r w:rsidRPr="005A354F">
              <w:lastRenderedPageBreak/>
              <w:t>71.</w:t>
            </w:r>
            <w:r w:rsidRPr="005A354F">
              <w:rPr>
                <w:vertAlign w:val="superscript"/>
              </w:rPr>
              <w:t>14</w:t>
            </w:r>
            <w:r w:rsidRPr="005A354F">
              <w:t>2.3. septiņu dienu laikā pirms plānotās pārvietošanas inspektors vai praktizējošs veterinārārsts ir paņēmis paraugus laboratoriskiem izmeklējumiem, lai veiktu cūku mēra patogēnu identifikācijas testu, un inspektors 24 stundu laikā pirms plānotās pārvietošanas ir veicis cūku klīnisko izmeklēšanu attiecībā uz cūku mēri cūku mēra diagnostikas rokasgrāmatā noteiktajā kārtībā. Pārvadāšana ir atļauta, ja klīniskajos un laboratoriskajos izmeklējumos nav konstatēta cūku saslimšana vai inficēšanās ar cūku mēra vīrusu;</w:t>
            </w:r>
          </w:p>
          <w:p w:rsidR="005A354F" w:rsidRPr="005A354F" w:rsidRDefault="005A354F" w:rsidP="005A354F">
            <w:pPr>
              <w:jc w:val="both"/>
            </w:pPr>
            <w:r w:rsidRPr="005A354F">
              <w:t>71.</w:t>
            </w:r>
            <w:r w:rsidRPr="005A354F">
              <w:rPr>
                <w:vertAlign w:val="superscript"/>
              </w:rPr>
              <w:t>14</w:t>
            </w:r>
            <w:r w:rsidRPr="005A354F">
              <w:t xml:space="preserve">2.4. dzīvnieku īpašnieks katru nedēļu vienu reizi katrā ražošanas vienībā nodrošina </w:t>
            </w:r>
            <w:r w:rsidR="00651384">
              <w:t xml:space="preserve">pēc </w:t>
            </w:r>
            <w:r w:rsidR="00651384" w:rsidRPr="005A354F">
              <w:t>60 dien</w:t>
            </w:r>
            <w:r w:rsidR="00651384">
              <w:t>u vecuma</w:t>
            </w:r>
            <w:r w:rsidR="00651384" w:rsidRPr="005A354F">
              <w:t xml:space="preserve"> </w:t>
            </w:r>
            <w:r w:rsidRPr="005A354F">
              <w:t>mirušu cūku izmeklējumus ar cūku mēra patogēnu identifikācijas testu, ievērojot vispārējās paraugu ņemšanas un pārvadāšanas procedūras un kritērijus, kas noteikti cūku mēra diagnostikas rokasgrāmatā</w:t>
            </w:r>
          </w:p>
          <w:p w:rsidR="005A354F" w:rsidRPr="005A354F" w:rsidRDefault="005A354F" w:rsidP="005A354F">
            <w:pPr>
              <w:jc w:val="both"/>
            </w:pPr>
            <w:r w:rsidRPr="005A354F">
              <w:t>71.</w:t>
            </w:r>
            <w:r w:rsidRPr="005A354F">
              <w:rPr>
                <w:vertAlign w:val="superscript"/>
              </w:rPr>
              <w:t>14</w:t>
            </w:r>
            <w:r w:rsidRPr="005A354F">
              <w:t>3. izcelsmes novietnē:</w:t>
            </w:r>
          </w:p>
          <w:p w:rsidR="005A354F" w:rsidRPr="005A354F" w:rsidRDefault="005A354F" w:rsidP="005A354F">
            <w:pPr>
              <w:jc w:val="both"/>
            </w:pPr>
            <w:r w:rsidRPr="005A354F">
              <w:lastRenderedPageBreak/>
              <w:t>71.</w:t>
            </w:r>
            <w:r w:rsidRPr="005A354F">
              <w:rPr>
                <w:vertAlign w:val="superscript"/>
              </w:rPr>
              <w:t>14</w:t>
            </w:r>
            <w:r w:rsidRPr="005A354F">
              <w:t>3.1. tās atrodas kopš dzimšanas vai ne mazāk kā 30 dienas līdz pārvietošanai, un 30 dienu laikā pirms plānotās pārvietošanas novietnē nav ievesta neviena cūka no II, III vai IV riska zonas;</w:t>
            </w:r>
          </w:p>
          <w:p w:rsidR="005A354F" w:rsidRPr="005A354F" w:rsidRDefault="005A354F" w:rsidP="005A354F">
            <w:pPr>
              <w:jc w:val="both"/>
            </w:pPr>
            <w:r w:rsidRPr="005A354F">
              <w:t>71.</w:t>
            </w:r>
            <w:r w:rsidRPr="005A354F">
              <w:rPr>
                <w:vertAlign w:val="superscript"/>
              </w:rPr>
              <w:t>14</w:t>
            </w:r>
            <w:r w:rsidRPr="005A354F">
              <w:t>3.2. inspektors vismaz divas reizes gadā ar vismaz četru mēnešu intervālu ir pārbaudījis cūkas atbilstoši cūku mēra diagnostikas rokasgrāmatā noteiktajai kārtībai;</w:t>
            </w:r>
          </w:p>
          <w:p w:rsidR="005A354F" w:rsidRPr="005A354F" w:rsidRDefault="005A354F" w:rsidP="005A354F">
            <w:pPr>
              <w:jc w:val="both"/>
            </w:pPr>
            <w:r w:rsidRPr="005A354F">
              <w:t>71.</w:t>
            </w:r>
            <w:r w:rsidRPr="005A354F">
              <w:rPr>
                <w:vertAlign w:val="superscript"/>
              </w:rPr>
              <w:t>14</w:t>
            </w:r>
            <w:r w:rsidRPr="005A354F">
              <w:t>3.3. tās ir turētas apstākļos, kuros dzīvnieku īpašnieks ir ieviesis šo noteikumu 68.2.2., 68.2.4. un 68.2.7. apakšpunktā minētos pasākumus;</w:t>
            </w:r>
          </w:p>
          <w:p w:rsidR="005A354F" w:rsidRPr="005A354F" w:rsidRDefault="005A354F" w:rsidP="005A354F">
            <w:pPr>
              <w:jc w:val="both"/>
            </w:pPr>
            <w:r w:rsidRPr="005A354F">
              <w:t>71.</w:t>
            </w:r>
            <w:r w:rsidRPr="005A354F">
              <w:rPr>
                <w:vertAlign w:val="superscript"/>
              </w:rPr>
              <w:t>14</w:t>
            </w:r>
            <w:r w:rsidRPr="005A354F">
              <w:t>3.4. dzīvnieku īpašnieks ir ieviesis biodrošības pasākumus saskaņā ar normatīvajiem aktiem par biodrošības pasākumu kopumu dzīvnieku turēšanas vietām;</w:t>
            </w:r>
          </w:p>
          <w:p w:rsidR="00D13168" w:rsidRPr="004E6C8B" w:rsidRDefault="005A354F" w:rsidP="00476AB3">
            <w:pPr>
              <w:jc w:val="both"/>
            </w:pPr>
            <w:r w:rsidRPr="005A354F">
              <w:t>71.</w:t>
            </w:r>
            <w:r w:rsidRPr="005A354F">
              <w:rPr>
                <w:vertAlign w:val="superscript"/>
              </w:rPr>
              <w:t>14</w:t>
            </w:r>
            <w:r w:rsidRPr="005A354F">
              <w:t xml:space="preserve">3.5. dzīvnieku īpašnieks katru nedēļu vienu reizi katrā ražošanas vienībā nodrošina </w:t>
            </w:r>
            <w:r w:rsidR="00651384">
              <w:t xml:space="preserve">pēc </w:t>
            </w:r>
            <w:r w:rsidR="00651384" w:rsidRPr="005A354F">
              <w:t>60 dien</w:t>
            </w:r>
            <w:r w:rsidR="00651384">
              <w:t>u vecuma</w:t>
            </w:r>
            <w:r w:rsidR="00651384" w:rsidRPr="005A354F">
              <w:t xml:space="preserve"> </w:t>
            </w:r>
            <w:r w:rsidRPr="005A354F">
              <w:t>mirušu cūku</w:t>
            </w:r>
            <w:r w:rsidR="00651384">
              <w:t xml:space="preserve"> </w:t>
            </w:r>
            <w:r w:rsidRPr="005A354F">
              <w:t xml:space="preserve">izmeklējumus ar cūku mēra patogēnu identifikācijas testu, ievērojot vispārējās paraugu ņemšanas un pārvadāšanas </w:t>
            </w:r>
            <w:r w:rsidRPr="005A354F">
              <w:lastRenderedPageBreak/>
              <w:t>procedūras un kritērijus, kas noteikti cūku mēra diagnostikas rokasgrāmatā.”</w:t>
            </w:r>
          </w:p>
        </w:tc>
      </w:tr>
      <w:tr w:rsidR="00705D48" w:rsidRPr="008C586A" w:rsidTr="00991EBD">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rsidR="00705D48" w:rsidRDefault="00035FEC" w:rsidP="00AE206B">
            <w:pPr>
              <w:pStyle w:val="naisc"/>
              <w:spacing w:before="0" w:after="0"/>
            </w:pPr>
            <w:r>
              <w:lastRenderedPageBreak/>
              <w:t>2.</w:t>
            </w:r>
          </w:p>
        </w:tc>
        <w:tc>
          <w:tcPr>
            <w:tcW w:w="3181" w:type="dxa"/>
            <w:gridSpan w:val="2"/>
            <w:tcBorders>
              <w:top w:val="single" w:sz="6" w:space="0" w:color="000000"/>
              <w:left w:val="single" w:sz="6" w:space="0" w:color="000000"/>
              <w:bottom w:val="single" w:sz="6" w:space="0" w:color="000000"/>
              <w:right w:val="single" w:sz="6" w:space="0" w:color="000000"/>
            </w:tcBorders>
          </w:tcPr>
          <w:p w:rsidR="00705D48" w:rsidRPr="00CE6545" w:rsidRDefault="00035FEC" w:rsidP="008414D4">
            <w:pPr>
              <w:jc w:val="both"/>
              <w:rPr>
                <w:bCs/>
              </w:rPr>
            </w:pPr>
            <w:r w:rsidRPr="00035FEC">
              <w:rPr>
                <w:bCs/>
              </w:rPr>
              <w:t>71.</w:t>
            </w:r>
            <w:r w:rsidRPr="00035FEC">
              <w:rPr>
                <w:bCs/>
                <w:vertAlign w:val="superscript"/>
              </w:rPr>
              <w:t>14</w:t>
            </w:r>
            <w:r w:rsidRPr="00035FEC">
              <w:rPr>
                <w:bCs/>
              </w:rPr>
              <w:t>7. tās ir no novietnes, kurā dzīvnieku īpašnieks ir ieviesis biodrošības pasākumus saskaņā ar normatīvajiem aktiem par biodrošības pasākumu kopumu dzīvnieku turēšanas vietām un nodrošina, ka katrā ražošanas vienībā reizi nedēļā vismaz divām beigtām cūkām, kas vecākas par 60 dienām, ir veikts cūku mēra patogēnu identifikācijas tests, ievērojot vispārējās paraugu ņemšanas un pārvadāšanas procedūras un kritērijus, kas noteikti cūku mēra diagnostikas rokasgrāmatā.”</w:t>
            </w:r>
          </w:p>
        </w:tc>
        <w:tc>
          <w:tcPr>
            <w:tcW w:w="4836" w:type="dxa"/>
            <w:gridSpan w:val="2"/>
            <w:tcBorders>
              <w:top w:val="single" w:sz="6" w:space="0" w:color="000000"/>
              <w:left w:val="single" w:sz="6" w:space="0" w:color="000000"/>
              <w:bottom w:val="single" w:sz="6" w:space="0" w:color="000000"/>
              <w:right w:val="single" w:sz="6" w:space="0" w:color="000000"/>
            </w:tcBorders>
          </w:tcPr>
          <w:p w:rsidR="00705D48" w:rsidRPr="00771DAC" w:rsidRDefault="00035FEC" w:rsidP="00AE206B">
            <w:pPr>
              <w:jc w:val="both"/>
              <w:rPr>
                <w:bCs/>
              </w:rPr>
            </w:pPr>
            <w:r w:rsidRPr="00035FEC">
              <w:rPr>
                <w:bCs/>
              </w:rPr>
              <w:t>Projekta 1. punktā izteiktajā noteikumu 71.</w:t>
            </w:r>
            <w:r w:rsidRPr="00035FEC">
              <w:rPr>
                <w:bCs/>
                <w:vertAlign w:val="superscript"/>
              </w:rPr>
              <w:t>14</w:t>
            </w:r>
            <w:r w:rsidRPr="00035FEC">
              <w:rPr>
                <w:bCs/>
              </w:rPr>
              <w:t>7. apakšpunktā norādīts uz “beigtām cūkām, kas vecākas par 60 dienām”. Nav viennozīmīgi skaidrs, vai cūku vecums noteikts, ieskaitot to nāves ilgumu vai nē. Attiecīgi lūdzam precizēt minēto normu, lai projekta piemērotājam būtu skaidrs savu pienākumu un tiesību ietvars.</w:t>
            </w:r>
          </w:p>
        </w:tc>
        <w:tc>
          <w:tcPr>
            <w:tcW w:w="2780" w:type="dxa"/>
            <w:tcBorders>
              <w:top w:val="single" w:sz="6" w:space="0" w:color="000000"/>
              <w:left w:val="single" w:sz="6" w:space="0" w:color="000000"/>
              <w:bottom w:val="single" w:sz="6" w:space="0" w:color="000000"/>
              <w:right w:val="single" w:sz="6" w:space="0" w:color="000000"/>
            </w:tcBorders>
          </w:tcPr>
          <w:p w:rsidR="00705D48" w:rsidRDefault="005A354F" w:rsidP="005F4EA1">
            <w:pPr>
              <w:pStyle w:val="Pamatteksts"/>
              <w:spacing w:after="0"/>
              <w:jc w:val="both"/>
              <w:rPr>
                <w:lang w:val="lv-LV"/>
              </w:rPr>
            </w:pPr>
            <w:r>
              <w:rPr>
                <w:lang w:val="lv-LV"/>
              </w:rPr>
              <w:t>Ņemts vērā.</w:t>
            </w:r>
          </w:p>
        </w:tc>
        <w:tc>
          <w:tcPr>
            <w:tcW w:w="3364" w:type="dxa"/>
            <w:tcBorders>
              <w:top w:val="single" w:sz="6" w:space="0" w:color="000000"/>
              <w:left w:val="single" w:sz="6" w:space="0" w:color="000000"/>
              <w:bottom w:val="single" w:sz="6" w:space="0" w:color="000000"/>
              <w:right w:val="single" w:sz="6" w:space="0" w:color="000000"/>
            </w:tcBorders>
          </w:tcPr>
          <w:p w:rsidR="005A354F" w:rsidRPr="005A354F" w:rsidRDefault="005A354F" w:rsidP="005A354F">
            <w:pPr>
              <w:jc w:val="both"/>
            </w:pPr>
            <w:r w:rsidRPr="005A354F">
              <w:t>71.</w:t>
            </w:r>
            <w:r w:rsidRPr="005A354F">
              <w:rPr>
                <w:vertAlign w:val="superscript"/>
              </w:rPr>
              <w:t>14</w:t>
            </w:r>
            <w:r w:rsidRPr="005A354F">
              <w:t>3.4. dzīvnieku īpašnieks ir ieviesis biodrošības pasākumus saskaņā ar normatīvajiem aktiem par biodrošības pasākumu kopumu dzīvnieku turēšanas vietām;</w:t>
            </w:r>
          </w:p>
          <w:p w:rsidR="005A354F" w:rsidRPr="005A354F" w:rsidRDefault="005A354F" w:rsidP="005A354F">
            <w:pPr>
              <w:jc w:val="both"/>
            </w:pPr>
            <w:r w:rsidRPr="005A354F">
              <w:t>71.</w:t>
            </w:r>
            <w:r w:rsidRPr="005A354F">
              <w:rPr>
                <w:vertAlign w:val="superscript"/>
              </w:rPr>
              <w:t>14</w:t>
            </w:r>
            <w:r w:rsidRPr="005A354F">
              <w:t xml:space="preserve">3.5. dzīvnieku īpašnieks katru nedēļu vienu reizi katrā ražošanas vienībā nodrošina </w:t>
            </w:r>
            <w:r w:rsidR="00651384">
              <w:t xml:space="preserve">pēc </w:t>
            </w:r>
            <w:r w:rsidR="00651384" w:rsidRPr="005A354F">
              <w:t>60 dien</w:t>
            </w:r>
            <w:r w:rsidR="00651384">
              <w:t>u vecuma</w:t>
            </w:r>
            <w:r w:rsidR="00651384" w:rsidRPr="005A354F">
              <w:t xml:space="preserve"> </w:t>
            </w:r>
            <w:r w:rsidRPr="005A354F">
              <w:t>mirušu cūku izmeklējumus ar cūku mēra patogēnu identifikācijas testu, ievērojot vispārējās paraugu ņemšanas un pārvadāšanas procedūras un kritērijus, kas noteikti cūku mēra diagnostikas rokasgrāmatā.”</w:t>
            </w:r>
          </w:p>
          <w:p w:rsidR="00705D48" w:rsidRPr="004E6C8B" w:rsidRDefault="00705D48" w:rsidP="008414D4">
            <w:pPr>
              <w:jc w:val="both"/>
            </w:pPr>
          </w:p>
        </w:tc>
      </w:tr>
      <w:tr w:rsidR="00AC2F19" w:rsidRPr="008C586A" w:rsidTr="00991EBD">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rsidR="00AC2F19" w:rsidRDefault="00035FEC" w:rsidP="00AE206B">
            <w:pPr>
              <w:pStyle w:val="naisc"/>
              <w:spacing w:before="0" w:after="0"/>
            </w:pPr>
            <w:r>
              <w:t>3.</w:t>
            </w:r>
          </w:p>
        </w:tc>
        <w:tc>
          <w:tcPr>
            <w:tcW w:w="3181" w:type="dxa"/>
            <w:gridSpan w:val="2"/>
            <w:tcBorders>
              <w:top w:val="single" w:sz="6" w:space="0" w:color="000000"/>
              <w:left w:val="single" w:sz="6" w:space="0" w:color="000000"/>
              <w:bottom w:val="single" w:sz="6" w:space="0" w:color="000000"/>
              <w:right w:val="single" w:sz="6" w:space="0" w:color="000000"/>
            </w:tcBorders>
          </w:tcPr>
          <w:p w:rsidR="00AC2F19" w:rsidRPr="00CE6545" w:rsidRDefault="00AC2F19" w:rsidP="008414D4">
            <w:pPr>
              <w:jc w:val="both"/>
              <w:rPr>
                <w:bCs/>
              </w:rPr>
            </w:pPr>
          </w:p>
        </w:tc>
        <w:tc>
          <w:tcPr>
            <w:tcW w:w="4836" w:type="dxa"/>
            <w:gridSpan w:val="2"/>
            <w:tcBorders>
              <w:top w:val="single" w:sz="6" w:space="0" w:color="000000"/>
              <w:left w:val="single" w:sz="6" w:space="0" w:color="000000"/>
              <w:bottom w:val="single" w:sz="6" w:space="0" w:color="000000"/>
              <w:right w:val="single" w:sz="6" w:space="0" w:color="000000"/>
            </w:tcBorders>
          </w:tcPr>
          <w:p w:rsidR="00AC2F19" w:rsidRPr="005F4EA1" w:rsidRDefault="00035FEC" w:rsidP="00AE206B">
            <w:pPr>
              <w:jc w:val="both"/>
              <w:rPr>
                <w:bCs/>
              </w:rPr>
            </w:pPr>
            <w:r w:rsidRPr="00035FEC">
              <w:rPr>
                <w:bCs/>
              </w:rPr>
              <w:t>Norādām, ka projekta vienību numerācija ir neloģiska, jo projektā iztrūkst 5. punkta. Attiecīgi lūdzam precizēt projektu.</w:t>
            </w:r>
          </w:p>
        </w:tc>
        <w:tc>
          <w:tcPr>
            <w:tcW w:w="2780" w:type="dxa"/>
            <w:tcBorders>
              <w:top w:val="single" w:sz="6" w:space="0" w:color="000000"/>
              <w:left w:val="single" w:sz="6" w:space="0" w:color="000000"/>
              <w:bottom w:val="single" w:sz="6" w:space="0" w:color="000000"/>
              <w:right w:val="single" w:sz="6" w:space="0" w:color="000000"/>
            </w:tcBorders>
          </w:tcPr>
          <w:p w:rsidR="00AC2F19" w:rsidRDefault="00035FEC" w:rsidP="005F4EA1">
            <w:pPr>
              <w:pStyle w:val="Pamatteksts"/>
              <w:spacing w:after="0"/>
              <w:jc w:val="both"/>
              <w:rPr>
                <w:lang w:val="lv-LV"/>
              </w:rPr>
            </w:pPr>
            <w:r>
              <w:rPr>
                <w:lang w:val="lv-LV"/>
              </w:rPr>
              <w:t>Ņemts vērā.</w:t>
            </w:r>
          </w:p>
        </w:tc>
        <w:tc>
          <w:tcPr>
            <w:tcW w:w="3364" w:type="dxa"/>
            <w:tcBorders>
              <w:top w:val="single" w:sz="6" w:space="0" w:color="000000"/>
              <w:left w:val="single" w:sz="6" w:space="0" w:color="000000"/>
              <w:bottom w:val="single" w:sz="6" w:space="0" w:color="000000"/>
              <w:right w:val="single" w:sz="6" w:space="0" w:color="000000"/>
            </w:tcBorders>
          </w:tcPr>
          <w:p w:rsidR="00AC2F19" w:rsidRPr="004E6C8B" w:rsidRDefault="00AC2F19" w:rsidP="008414D4">
            <w:pPr>
              <w:jc w:val="both"/>
            </w:pPr>
          </w:p>
        </w:tc>
      </w:tr>
      <w:tr w:rsidR="00035FEC" w:rsidRPr="008C586A" w:rsidTr="00991EBD">
        <w:tblPrEx>
          <w:tblLook w:val="0000" w:firstRow="0" w:lastRow="0" w:firstColumn="0" w:lastColumn="0" w:noHBand="0" w:noVBand="0"/>
        </w:tblPrEx>
        <w:tc>
          <w:tcPr>
            <w:tcW w:w="599" w:type="dxa"/>
            <w:tcBorders>
              <w:top w:val="single" w:sz="6" w:space="0" w:color="000000"/>
              <w:left w:val="single" w:sz="6" w:space="0" w:color="000000"/>
              <w:bottom w:val="single" w:sz="6" w:space="0" w:color="000000"/>
              <w:right w:val="single" w:sz="6" w:space="0" w:color="000000"/>
            </w:tcBorders>
          </w:tcPr>
          <w:p w:rsidR="00035FEC" w:rsidRDefault="00035FEC" w:rsidP="00AE206B">
            <w:pPr>
              <w:pStyle w:val="naisc"/>
              <w:spacing w:before="0" w:after="0"/>
            </w:pPr>
            <w:r>
              <w:t>4.</w:t>
            </w:r>
          </w:p>
        </w:tc>
        <w:tc>
          <w:tcPr>
            <w:tcW w:w="3181" w:type="dxa"/>
            <w:gridSpan w:val="2"/>
            <w:tcBorders>
              <w:top w:val="single" w:sz="6" w:space="0" w:color="000000"/>
              <w:left w:val="single" w:sz="6" w:space="0" w:color="000000"/>
              <w:bottom w:val="single" w:sz="6" w:space="0" w:color="000000"/>
              <w:right w:val="single" w:sz="6" w:space="0" w:color="000000"/>
            </w:tcBorders>
          </w:tcPr>
          <w:p w:rsidR="00035FEC" w:rsidRPr="00CE6545" w:rsidRDefault="00035FEC" w:rsidP="008414D4">
            <w:pPr>
              <w:jc w:val="both"/>
              <w:rPr>
                <w:bCs/>
              </w:rPr>
            </w:pPr>
          </w:p>
        </w:tc>
        <w:tc>
          <w:tcPr>
            <w:tcW w:w="4836" w:type="dxa"/>
            <w:gridSpan w:val="2"/>
            <w:tcBorders>
              <w:top w:val="single" w:sz="6" w:space="0" w:color="000000"/>
              <w:left w:val="single" w:sz="6" w:space="0" w:color="000000"/>
              <w:bottom w:val="single" w:sz="6" w:space="0" w:color="000000"/>
              <w:right w:val="single" w:sz="6" w:space="0" w:color="000000"/>
            </w:tcBorders>
          </w:tcPr>
          <w:p w:rsidR="00035FEC" w:rsidRPr="005F4EA1" w:rsidRDefault="00035FEC" w:rsidP="00AE206B">
            <w:pPr>
              <w:jc w:val="both"/>
              <w:rPr>
                <w:bCs/>
              </w:rPr>
            </w:pPr>
            <w:r w:rsidRPr="00035FEC">
              <w:rPr>
                <w:bCs/>
              </w:rPr>
              <w:t xml:space="preserve">Lūdzam papildināt projekta anotācijas V sadaļas 1. punktu ar atsauci uz Komisijas 2019. gada 11. aprīļa Īstenošanas lēmumu (ES) 2019/609, ar ko groza Īstenošanas lēmumu 2014/709/ES attiecībā uz Āfrikas cūku mēra patogēnu identifikācijas testa izmantošanu, cūku nosūtīšanu caur pielikumā norādītajiem apgabaliem un minētā lēmuma piemērojamību, </w:t>
            </w:r>
            <w:r w:rsidRPr="00035FEC">
              <w:rPr>
                <w:bCs/>
              </w:rPr>
              <w:lastRenderedPageBreak/>
              <w:t>jo atbilstoši projekta anotācijas V sadaļas 1. tabulai projektā pārņemtas attiecīgā Eiropas Savienības lēmuma vienības.</w:t>
            </w:r>
          </w:p>
        </w:tc>
        <w:tc>
          <w:tcPr>
            <w:tcW w:w="2780" w:type="dxa"/>
            <w:tcBorders>
              <w:top w:val="single" w:sz="6" w:space="0" w:color="000000"/>
              <w:left w:val="single" w:sz="6" w:space="0" w:color="000000"/>
              <w:bottom w:val="single" w:sz="6" w:space="0" w:color="000000"/>
              <w:right w:val="single" w:sz="6" w:space="0" w:color="000000"/>
            </w:tcBorders>
          </w:tcPr>
          <w:p w:rsidR="00035FEC" w:rsidRDefault="005A354F" w:rsidP="005F4EA1">
            <w:pPr>
              <w:pStyle w:val="Pamatteksts"/>
              <w:spacing w:after="0"/>
              <w:jc w:val="both"/>
              <w:rPr>
                <w:lang w:val="lv-LV"/>
              </w:rPr>
            </w:pPr>
            <w:r>
              <w:rPr>
                <w:lang w:val="lv-LV"/>
              </w:rPr>
              <w:lastRenderedPageBreak/>
              <w:t>Ņemts vērā.</w:t>
            </w:r>
          </w:p>
        </w:tc>
        <w:tc>
          <w:tcPr>
            <w:tcW w:w="3364" w:type="dxa"/>
            <w:tcBorders>
              <w:top w:val="single" w:sz="6" w:space="0" w:color="000000"/>
              <w:left w:val="single" w:sz="6" w:space="0" w:color="000000"/>
              <w:bottom w:val="single" w:sz="6" w:space="0" w:color="000000"/>
              <w:right w:val="single" w:sz="6" w:space="0" w:color="000000"/>
            </w:tcBorders>
          </w:tcPr>
          <w:p w:rsidR="00035FEC" w:rsidRPr="004E6C8B" w:rsidRDefault="00035FEC" w:rsidP="008414D4">
            <w:pPr>
              <w:jc w:val="both"/>
            </w:pPr>
          </w:p>
        </w:tc>
      </w:tr>
      <w:tr w:rsidR="00D75D2B" w:rsidRPr="008C586A" w:rsidTr="00991EBD">
        <w:tblPrEx>
          <w:tblBorders>
            <w:top w:val="none" w:sz="0" w:space="0" w:color="auto"/>
            <w:left w:val="none" w:sz="0" w:space="0" w:color="auto"/>
            <w:bottom w:val="none" w:sz="0" w:space="0" w:color="auto"/>
            <w:right w:val="none" w:sz="0" w:space="0" w:color="auto"/>
          </w:tblBorders>
        </w:tblPrEx>
        <w:trPr>
          <w:gridAfter w:val="3"/>
          <w:wAfter w:w="6151" w:type="dxa"/>
        </w:trPr>
        <w:tc>
          <w:tcPr>
            <w:tcW w:w="2632" w:type="dxa"/>
            <w:gridSpan w:val="2"/>
          </w:tcPr>
          <w:p w:rsidR="00DB3F41" w:rsidRDefault="00DB3F41" w:rsidP="00AE206B">
            <w:pPr>
              <w:pStyle w:val="naiskr"/>
              <w:spacing w:before="0" w:after="0"/>
            </w:pPr>
          </w:p>
          <w:p w:rsidR="00DB3F41" w:rsidRDefault="00DB3F41" w:rsidP="00AE206B">
            <w:pPr>
              <w:pStyle w:val="naiskr"/>
              <w:spacing w:before="0" w:after="0"/>
            </w:pPr>
          </w:p>
          <w:p w:rsidR="00D75D2B" w:rsidRPr="008C586A" w:rsidRDefault="00D75D2B" w:rsidP="00AE206B">
            <w:pPr>
              <w:pStyle w:val="naiskr"/>
              <w:spacing w:before="0" w:after="0"/>
            </w:pPr>
            <w:r w:rsidRPr="008C586A">
              <w:t>Atbildīgā amatpersona</w:t>
            </w:r>
          </w:p>
        </w:tc>
        <w:tc>
          <w:tcPr>
            <w:tcW w:w="5977" w:type="dxa"/>
            <w:gridSpan w:val="2"/>
          </w:tcPr>
          <w:p w:rsidR="00D75D2B" w:rsidRPr="008C586A" w:rsidRDefault="00D75D2B" w:rsidP="00AE206B">
            <w:pPr>
              <w:pStyle w:val="naiskr"/>
              <w:spacing w:before="0" w:after="0"/>
              <w:ind w:firstLine="720"/>
            </w:pPr>
            <w:r w:rsidRPr="008C586A">
              <w:t>  </w:t>
            </w:r>
          </w:p>
        </w:tc>
      </w:tr>
      <w:tr w:rsidR="00D75D2B" w:rsidRPr="008C586A" w:rsidTr="00991EBD">
        <w:tblPrEx>
          <w:tblBorders>
            <w:top w:val="none" w:sz="0" w:space="0" w:color="auto"/>
            <w:left w:val="none" w:sz="0" w:space="0" w:color="auto"/>
            <w:bottom w:val="none" w:sz="0" w:space="0" w:color="auto"/>
            <w:right w:val="none" w:sz="0" w:space="0" w:color="auto"/>
          </w:tblBorders>
        </w:tblPrEx>
        <w:trPr>
          <w:gridAfter w:val="3"/>
          <w:wAfter w:w="6151" w:type="dxa"/>
        </w:trPr>
        <w:tc>
          <w:tcPr>
            <w:tcW w:w="2632" w:type="dxa"/>
            <w:gridSpan w:val="2"/>
          </w:tcPr>
          <w:p w:rsidR="00D75D2B" w:rsidRPr="008C586A" w:rsidRDefault="00D75D2B" w:rsidP="00AE206B">
            <w:pPr>
              <w:pStyle w:val="naiskr"/>
              <w:spacing w:before="0" w:after="0"/>
              <w:ind w:firstLine="720"/>
            </w:pPr>
          </w:p>
        </w:tc>
        <w:tc>
          <w:tcPr>
            <w:tcW w:w="5977" w:type="dxa"/>
            <w:gridSpan w:val="2"/>
            <w:tcBorders>
              <w:top w:val="single" w:sz="6" w:space="0" w:color="000000"/>
            </w:tcBorders>
          </w:tcPr>
          <w:p w:rsidR="00D75D2B" w:rsidRPr="008C586A" w:rsidRDefault="00D75D2B" w:rsidP="00AE206B">
            <w:pPr>
              <w:pStyle w:val="naisc"/>
              <w:spacing w:before="0" w:after="0"/>
              <w:ind w:firstLine="720"/>
            </w:pPr>
            <w:r w:rsidRPr="008C586A">
              <w:t>(paraksts)*</w:t>
            </w:r>
          </w:p>
        </w:tc>
      </w:tr>
    </w:tbl>
    <w:p w:rsidR="00963A60" w:rsidRDefault="00963A60" w:rsidP="00774DF5">
      <w:pPr>
        <w:pStyle w:val="naisf"/>
        <w:spacing w:before="0" w:beforeAutospacing="0" w:after="0" w:afterAutospacing="0"/>
      </w:pPr>
    </w:p>
    <w:p w:rsidR="008F2490" w:rsidRPr="008C586A" w:rsidRDefault="008F2490" w:rsidP="00991EBD">
      <w:pPr>
        <w:pStyle w:val="naisf"/>
        <w:spacing w:before="0" w:beforeAutospacing="0" w:after="0" w:afterAutospacing="0"/>
      </w:pPr>
      <w:r w:rsidRPr="008C586A">
        <w:t xml:space="preserve">Piezīme. * Dokumenta rekvizītu </w:t>
      </w:r>
      <w:r w:rsidR="00EF3810" w:rsidRPr="008C586A">
        <w:t>„paraksts”</w:t>
      </w:r>
      <w:r w:rsidRPr="008C586A">
        <w:t xml:space="preserve"> neaizpilda, ja elektroniskais dokuments ir sagatavots atbilstoši normatīvajiem aktiem par elektronisko dokumentu noformēšanu.</w:t>
      </w:r>
    </w:p>
    <w:p w:rsidR="008F2490" w:rsidRPr="008C586A" w:rsidRDefault="008F2490" w:rsidP="008F2490">
      <w:pPr>
        <w:pStyle w:val="naisf"/>
        <w:spacing w:before="0" w:beforeAutospacing="0" w:after="0" w:afterAutospacing="0"/>
        <w:ind w:left="2880" w:firstLine="720"/>
      </w:pPr>
    </w:p>
    <w:p w:rsidR="008F2490" w:rsidRPr="008C586A" w:rsidRDefault="00EF3810" w:rsidP="008F2490">
      <w:pPr>
        <w:pStyle w:val="naisf"/>
        <w:spacing w:before="0" w:beforeAutospacing="0" w:after="0" w:afterAutospacing="0"/>
        <w:ind w:left="2880" w:firstLine="720"/>
      </w:pPr>
      <w:r w:rsidRPr="008C586A">
        <w:t>Olita Vecuma-Veco</w:t>
      </w:r>
    </w:p>
    <w:tbl>
      <w:tblPr>
        <w:tblW w:w="0" w:type="auto"/>
        <w:tblLook w:val="00A0" w:firstRow="1" w:lastRow="0" w:firstColumn="1" w:lastColumn="0" w:noHBand="0" w:noVBand="0"/>
      </w:tblPr>
      <w:tblGrid>
        <w:gridCol w:w="8268"/>
      </w:tblGrid>
      <w:tr w:rsidR="008F2490" w:rsidRPr="008C586A">
        <w:tc>
          <w:tcPr>
            <w:tcW w:w="8268" w:type="dxa"/>
            <w:tcBorders>
              <w:top w:val="single" w:sz="4" w:space="0" w:color="000000"/>
            </w:tcBorders>
          </w:tcPr>
          <w:p w:rsidR="008F2490" w:rsidRDefault="008F2490" w:rsidP="00E776D1">
            <w:pPr>
              <w:jc w:val="center"/>
            </w:pPr>
            <w:r w:rsidRPr="008C586A">
              <w:t>(par projektu atbildīgās amatpersonas vārds un uzvārds)</w:t>
            </w:r>
          </w:p>
          <w:p w:rsidR="006D36EA" w:rsidRPr="008C586A" w:rsidRDefault="006D36EA" w:rsidP="00E776D1">
            <w:pPr>
              <w:jc w:val="center"/>
            </w:pPr>
          </w:p>
        </w:tc>
      </w:tr>
      <w:tr w:rsidR="008F2490" w:rsidRPr="008C586A">
        <w:tc>
          <w:tcPr>
            <w:tcW w:w="8268" w:type="dxa"/>
            <w:tcBorders>
              <w:bottom w:val="single" w:sz="4" w:space="0" w:color="000000"/>
            </w:tcBorders>
          </w:tcPr>
          <w:p w:rsidR="008F2490" w:rsidRPr="008C586A" w:rsidRDefault="008F2490" w:rsidP="00E776D1">
            <w:pPr>
              <w:jc w:val="center"/>
            </w:pPr>
            <w:r w:rsidRPr="008C586A">
              <w:t>Zemkopības ministrijas Veterinārā un pārtikas departamenta Dzīvnieku veselības un veterināro zāļu nodaļas vecākā referente</w:t>
            </w:r>
          </w:p>
        </w:tc>
      </w:tr>
      <w:tr w:rsidR="008F2490" w:rsidRPr="008C586A">
        <w:tc>
          <w:tcPr>
            <w:tcW w:w="8268" w:type="dxa"/>
            <w:tcBorders>
              <w:top w:val="single" w:sz="4" w:space="0" w:color="000000"/>
            </w:tcBorders>
          </w:tcPr>
          <w:p w:rsidR="008F2490" w:rsidRDefault="008F2490" w:rsidP="00E776D1">
            <w:pPr>
              <w:jc w:val="center"/>
            </w:pPr>
            <w:r w:rsidRPr="008C586A">
              <w:t>(amats)</w:t>
            </w:r>
          </w:p>
          <w:p w:rsidR="006D36EA" w:rsidRPr="008C586A" w:rsidRDefault="006D36EA" w:rsidP="00E776D1">
            <w:pPr>
              <w:jc w:val="center"/>
            </w:pPr>
          </w:p>
        </w:tc>
      </w:tr>
      <w:tr w:rsidR="008F2490" w:rsidRPr="008C586A">
        <w:tc>
          <w:tcPr>
            <w:tcW w:w="8268" w:type="dxa"/>
            <w:tcBorders>
              <w:bottom w:val="single" w:sz="4" w:space="0" w:color="000000"/>
            </w:tcBorders>
          </w:tcPr>
          <w:p w:rsidR="008F2490" w:rsidRPr="008C586A" w:rsidRDefault="008F2490" w:rsidP="00E776D1">
            <w:pPr>
              <w:jc w:val="center"/>
            </w:pPr>
            <w:r w:rsidRPr="008C586A">
              <w:t>67027</w:t>
            </w:r>
            <w:r w:rsidR="00EF3810" w:rsidRPr="008C586A">
              <w:t>551</w:t>
            </w:r>
          </w:p>
        </w:tc>
      </w:tr>
      <w:tr w:rsidR="008F2490" w:rsidRPr="008C586A">
        <w:tc>
          <w:tcPr>
            <w:tcW w:w="8268" w:type="dxa"/>
            <w:tcBorders>
              <w:top w:val="single" w:sz="4" w:space="0" w:color="000000"/>
            </w:tcBorders>
          </w:tcPr>
          <w:p w:rsidR="008F2490" w:rsidRDefault="008F2490" w:rsidP="00E776D1">
            <w:pPr>
              <w:jc w:val="center"/>
            </w:pPr>
            <w:r w:rsidRPr="008C586A">
              <w:t>(tālruņa un faksa numurs)</w:t>
            </w:r>
          </w:p>
          <w:p w:rsidR="006D36EA" w:rsidRPr="008C586A" w:rsidRDefault="006D36EA" w:rsidP="00E776D1">
            <w:pPr>
              <w:jc w:val="center"/>
            </w:pPr>
          </w:p>
        </w:tc>
      </w:tr>
      <w:tr w:rsidR="008F2490" w:rsidRPr="008C586A">
        <w:tc>
          <w:tcPr>
            <w:tcW w:w="8268" w:type="dxa"/>
            <w:tcBorders>
              <w:bottom w:val="single" w:sz="4" w:space="0" w:color="000000"/>
            </w:tcBorders>
          </w:tcPr>
          <w:p w:rsidR="008F2490" w:rsidRPr="008C586A" w:rsidRDefault="00EF3810" w:rsidP="00E776D1">
            <w:pPr>
              <w:jc w:val="center"/>
            </w:pPr>
            <w:r w:rsidRPr="008C586A">
              <w:t>Olita.Vecuma-Veco</w:t>
            </w:r>
            <w:r w:rsidR="008F2490" w:rsidRPr="008C586A">
              <w:t>@</w:t>
            </w:r>
            <w:smartTag w:uri="urn:schemas-microsoft-com:office:smarttags" w:element="PersonName">
              <w:r w:rsidR="008F2490" w:rsidRPr="008C586A">
                <w:t>zm</w:t>
              </w:r>
            </w:smartTag>
            <w:r w:rsidR="008F2490" w:rsidRPr="008C586A">
              <w:t>.gov.lv</w:t>
            </w:r>
          </w:p>
        </w:tc>
      </w:tr>
      <w:tr w:rsidR="008F2490" w:rsidRPr="008C586A">
        <w:tc>
          <w:tcPr>
            <w:tcW w:w="8268" w:type="dxa"/>
            <w:tcBorders>
              <w:top w:val="single" w:sz="4" w:space="0" w:color="000000"/>
            </w:tcBorders>
          </w:tcPr>
          <w:p w:rsidR="008F2490" w:rsidRPr="008C586A" w:rsidRDefault="008F2490" w:rsidP="00E776D1">
            <w:pPr>
              <w:jc w:val="center"/>
            </w:pPr>
            <w:r w:rsidRPr="008C586A">
              <w:t>(e-pasta adrese)</w:t>
            </w:r>
          </w:p>
        </w:tc>
      </w:tr>
    </w:tbl>
    <w:p w:rsidR="008123B3" w:rsidRPr="008C586A" w:rsidRDefault="008123B3" w:rsidP="00991EBD">
      <w:pPr>
        <w:pStyle w:val="naisnod"/>
        <w:spacing w:before="0" w:beforeAutospacing="0" w:after="0" w:afterAutospacing="0"/>
      </w:pPr>
    </w:p>
    <w:sectPr w:rsidR="008123B3" w:rsidRPr="008C586A" w:rsidSect="006D36EA">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DEB" w:rsidRDefault="00CD2DEB">
      <w:r>
        <w:separator/>
      </w:r>
    </w:p>
  </w:endnote>
  <w:endnote w:type="continuationSeparator" w:id="0">
    <w:p w:rsidR="00CD2DEB" w:rsidRDefault="00CD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mic Sans MS">
    <w:panose1 w:val="030F0702030302020204"/>
    <w:charset w:val="BA"/>
    <w:family w:val="script"/>
    <w:pitch w:val="variable"/>
    <w:sig w:usb0="00000287" w:usb1="00000013"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B58" w:rsidRDefault="009E2B5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4FF" w:rsidRPr="00FB64FF" w:rsidRDefault="009E2B58" w:rsidP="00FB64FF">
    <w:pPr>
      <w:pStyle w:val="Kjene"/>
      <w:rPr>
        <w:sz w:val="20"/>
        <w:szCs w:val="20"/>
      </w:rPr>
    </w:pPr>
    <w:bookmarkStart w:id="1" w:name="_GoBack"/>
    <w:r w:rsidRPr="009E2B58">
      <w:rPr>
        <w:sz w:val="20"/>
        <w:szCs w:val="20"/>
      </w:rPr>
      <w:t>ZMizz_130819_afrikmeris</w:t>
    </w:r>
  </w:p>
  <w:bookmarkEnd w:id="1"/>
  <w:p w:rsidR="00702672" w:rsidRPr="00FB64FF" w:rsidRDefault="00702672" w:rsidP="00FB64F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672" w:rsidRPr="009E2B58" w:rsidRDefault="009E2B58" w:rsidP="009E2B58">
    <w:pPr>
      <w:pStyle w:val="Kjene"/>
    </w:pPr>
    <w:r w:rsidRPr="009E2B58">
      <w:rPr>
        <w:sz w:val="20"/>
        <w:szCs w:val="20"/>
      </w:rPr>
      <w:t>ZMizz_130819_afrikmeris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DEB" w:rsidRDefault="00CD2DEB">
      <w:r>
        <w:separator/>
      </w:r>
    </w:p>
  </w:footnote>
  <w:footnote w:type="continuationSeparator" w:id="0">
    <w:p w:rsidR="00CD2DEB" w:rsidRDefault="00CD2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B58" w:rsidRDefault="009E2B5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672" w:rsidRDefault="00702672" w:rsidP="001C0A53">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DB3F41">
      <w:rPr>
        <w:rStyle w:val="Lappusesnumurs"/>
        <w:noProof/>
      </w:rPr>
      <w:t>8</w:t>
    </w:r>
    <w:r>
      <w:rPr>
        <w:rStyle w:val="Lappusesnumur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B58" w:rsidRDefault="009E2B5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6769"/>
    <w:multiLevelType w:val="hybridMultilevel"/>
    <w:tmpl w:val="3E9C4B04"/>
    <w:lvl w:ilvl="0" w:tplc="63B0C8FC">
      <w:start w:val="1"/>
      <w:numFmt w:val="decimal"/>
      <w:lvlText w:val="%1)"/>
      <w:lvlJc w:val="left"/>
      <w:pPr>
        <w:tabs>
          <w:tab w:val="num" w:pos="720"/>
        </w:tabs>
        <w:ind w:left="720" w:hanging="360"/>
      </w:pPr>
      <w:rPr>
        <w:color w:val="auto"/>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3DD42DD3"/>
    <w:multiLevelType w:val="hybridMultilevel"/>
    <w:tmpl w:val="40CEAC6A"/>
    <w:lvl w:ilvl="0" w:tplc="84C271A4">
      <w:start w:val="1"/>
      <w:numFmt w:val="decimal"/>
      <w:lvlText w:val="%1)"/>
      <w:lvlJc w:val="left"/>
      <w:pPr>
        <w:tabs>
          <w:tab w:val="num" w:pos="720"/>
        </w:tabs>
        <w:ind w:left="720" w:hanging="360"/>
      </w:pPr>
      <w:rPr>
        <w:color w:val="auto"/>
      </w:rPr>
    </w:lvl>
    <w:lvl w:ilvl="1" w:tplc="CC321E5A">
      <w:start w:val="1"/>
      <w:numFmt w:val="decimal"/>
      <w:lvlText w:val="%2)"/>
      <w:lvlJc w:val="left"/>
      <w:pPr>
        <w:tabs>
          <w:tab w:val="num" w:pos="1440"/>
        </w:tabs>
        <w:ind w:left="1440" w:hanging="360"/>
      </w:pPr>
      <w:rPr>
        <w:color w:val="auto"/>
      </w:rPr>
    </w:lvl>
    <w:lvl w:ilvl="2" w:tplc="0DCE11FA">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F350ABA"/>
    <w:multiLevelType w:val="hybridMultilevel"/>
    <w:tmpl w:val="36ACCB68"/>
    <w:lvl w:ilvl="0" w:tplc="0426000F">
      <w:start w:val="1"/>
      <w:numFmt w:val="decimal"/>
      <w:lvlText w:val="%1."/>
      <w:lvlJc w:val="left"/>
      <w:pPr>
        <w:tabs>
          <w:tab w:val="num" w:pos="780"/>
        </w:tabs>
        <w:ind w:left="7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44066460"/>
    <w:multiLevelType w:val="hybridMultilevel"/>
    <w:tmpl w:val="7B2E180A"/>
    <w:lvl w:ilvl="0" w:tplc="88525ADC">
      <w:start w:val="1"/>
      <w:numFmt w:val="decimal"/>
      <w:lvlText w:val="%1)"/>
      <w:lvlJc w:val="left"/>
      <w:pPr>
        <w:tabs>
          <w:tab w:val="num" w:pos="960"/>
        </w:tabs>
        <w:ind w:left="960" w:hanging="60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671F63FE"/>
    <w:multiLevelType w:val="hybridMultilevel"/>
    <w:tmpl w:val="C232B2D8"/>
    <w:lvl w:ilvl="0" w:tplc="925E9C6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681123A2"/>
    <w:multiLevelType w:val="hybridMultilevel"/>
    <w:tmpl w:val="FA1EEC2C"/>
    <w:lvl w:ilvl="0" w:tplc="30F8FF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92034C"/>
    <w:multiLevelType w:val="multilevel"/>
    <w:tmpl w:val="0F685D2E"/>
    <w:lvl w:ilvl="0">
      <w:start w:val="1"/>
      <w:numFmt w:val="decimal"/>
      <w:lvlText w:val="%1."/>
      <w:lvlJc w:val="left"/>
      <w:pPr>
        <w:tabs>
          <w:tab w:val="num" w:pos="1080"/>
        </w:tabs>
        <w:ind w:left="108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15:restartNumberingAfterBreak="0">
    <w:nsid w:val="6D2567E4"/>
    <w:multiLevelType w:val="hybridMultilevel"/>
    <w:tmpl w:val="69C41E8A"/>
    <w:lvl w:ilvl="0" w:tplc="E794BF16">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76840635"/>
    <w:multiLevelType w:val="hybridMultilevel"/>
    <w:tmpl w:val="6136E88C"/>
    <w:lvl w:ilvl="0" w:tplc="273220E6">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FF7D5C"/>
    <w:multiLevelType w:val="hybridMultilevel"/>
    <w:tmpl w:val="1E226E6C"/>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9"/>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03"/>
    <w:rsid w:val="00007D65"/>
    <w:rsid w:val="0001264C"/>
    <w:rsid w:val="00014991"/>
    <w:rsid w:val="0003076A"/>
    <w:rsid w:val="00035FEC"/>
    <w:rsid w:val="00047959"/>
    <w:rsid w:val="00064CAF"/>
    <w:rsid w:val="00074682"/>
    <w:rsid w:val="00087865"/>
    <w:rsid w:val="00087FA1"/>
    <w:rsid w:val="00090059"/>
    <w:rsid w:val="00097951"/>
    <w:rsid w:val="000A6082"/>
    <w:rsid w:val="000A6A91"/>
    <w:rsid w:val="000B08E0"/>
    <w:rsid w:val="000C291D"/>
    <w:rsid w:val="000C305D"/>
    <w:rsid w:val="000D1786"/>
    <w:rsid w:val="000F59B0"/>
    <w:rsid w:val="00112D61"/>
    <w:rsid w:val="00123A1A"/>
    <w:rsid w:val="00140016"/>
    <w:rsid w:val="001534C9"/>
    <w:rsid w:val="00154738"/>
    <w:rsid w:val="001615D8"/>
    <w:rsid w:val="00164158"/>
    <w:rsid w:val="00167AD9"/>
    <w:rsid w:val="00173954"/>
    <w:rsid w:val="00176AD9"/>
    <w:rsid w:val="00184B9C"/>
    <w:rsid w:val="00185904"/>
    <w:rsid w:val="00185AEE"/>
    <w:rsid w:val="001913B4"/>
    <w:rsid w:val="001A621B"/>
    <w:rsid w:val="001B3EA1"/>
    <w:rsid w:val="001B4D35"/>
    <w:rsid w:val="001C0A53"/>
    <w:rsid w:val="001D107F"/>
    <w:rsid w:val="001D46DF"/>
    <w:rsid w:val="001E1AF3"/>
    <w:rsid w:val="001E224F"/>
    <w:rsid w:val="001E789F"/>
    <w:rsid w:val="001F1817"/>
    <w:rsid w:val="001F1F15"/>
    <w:rsid w:val="001F2264"/>
    <w:rsid w:val="001F286C"/>
    <w:rsid w:val="00204DAA"/>
    <w:rsid w:val="00210B3F"/>
    <w:rsid w:val="00214556"/>
    <w:rsid w:val="00214D54"/>
    <w:rsid w:val="0024045F"/>
    <w:rsid w:val="0027133F"/>
    <w:rsid w:val="0027302B"/>
    <w:rsid w:val="002765B6"/>
    <w:rsid w:val="00290EA4"/>
    <w:rsid w:val="0029521C"/>
    <w:rsid w:val="002A129F"/>
    <w:rsid w:val="002A622E"/>
    <w:rsid w:val="002D13A8"/>
    <w:rsid w:val="002D1D5F"/>
    <w:rsid w:val="002D3670"/>
    <w:rsid w:val="002E7349"/>
    <w:rsid w:val="002F03A3"/>
    <w:rsid w:val="002F09E1"/>
    <w:rsid w:val="002F1092"/>
    <w:rsid w:val="00300612"/>
    <w:rsid w:val="0030257B"/>
    <w:rsid w:val="0030459B"/>
    <w:rsid w:val="0030599D"/>
    <w:rsid w:val="00317B98"/>
    <w:rsid w:val="0033117C"/>
    <w:rsid w:val="00333EE4"/>
    <w:rsid w:val="0034166B"/>
    <w:rsid w:val="00346FA6"/>
    <w:rsid w:val="00351D9E"/>
    <w:rsid w:val="00362C18"/>
    <w:rsid w:val="00365CD4"/>
    <w:rsid w:val="00371CD5"/>
    <w:rsid w:val="00390737"/>
    <w:rsid w:val="003B0441"/>
    <w:rsid w:val="003B1DF6"/>
    <w:rsid w:val="003B1EAD"/>
    <w:rsid w:val="003B2511"/>
    <w:rsid w:val="003C1202"/>
    <w:rsid w:val="003D07A0"/>
    <w:rsid w:val="003D3598"/>
    <w:rsid w:val="003D5AA7"/>
    <w:rsid w:val="003F1B17"/>
    <w:rsid w:val="004015B8"/>
    <w:rsid w:val="00411254"/>
    <w:rsid w:val="004124A8"/>
    <w:rsid w:val="004146FC"/>
    <w:rsid w:val="004226DD"/>
    <w:rsid w:val="00432B40"/>
    <w:rsid w:val="004413DC"/>
    <w:rsid w:val="004601B3"/>
    <w:rsid w:val="00460651"/>
    <w:rsid w:val="00464118"/>
    <w:rsid w:val="004672CE"/>
    <w:rsid w:val="00467BC7"/>
    <w:rsid w:val="004700B0"/>
    <w:rsid w:val="00476AB3"/>
    <w:rsid w:val="0047780F"/>
    <w:rsid w:val="0049580F"/>
    <w:rsid w:val="004A0D85"/>
    <w:rsid w:val="004A0FB3"/>
    <w:rsid w:val="004B6F0F"/>
    <w:rsid w:val="004D5314"/>
    <w:rsid w:val="004E0E30"/>
    <w:rsid w:val="004E677A"/>
    <w:rsid w:val="004E6C8B"/>
    <w:rsid w:val="0051038F"/>
    <w:rsid w:val="00520D1A"/>
    <w:rsid w:val="005400DB"/>
    <w:rsid w:val="005405E3"/>
    <w:rsid w:val="005425C5"/>
    <w:rsid w:val="00553DDD"/>
    <w:rsid w:val="00565D84"/>
    <w:rsid w:val="005744F7"/>
    <w:rsid w:val="005835F5"/>
    <w:rsid w:val="0059406D"/>
    <w:rsid w:val="005A354F"/>
    <w:rsid w:val="005B0F7A"/>
    <w:rsid w:val="005C1B5A"/>
    <w:rsid w:val="005E33A5"/>
    <w:rsid w:val="005F3A32"/>
    <w:rsid w:val="005F4EA1"/>
    <w:rsid w:val="005F77AB"/>
    <w:rsid w:val="00607BCC"/>
    <w:rsid w:val="00612219"/>
    <w:rsid w:val="00617E32"/>
    <w:rsid w:val="00623C5C"/>
    <w:rsid w:val="006242C8"/>
    <w:rsid w:val="006402E2"/>
    <w:rsid w:val="00644569"/>
    <w:rsid w:val="00647581"/>
    <w:rsid w:val="00647B1C"/>
    <w:rsid w:val="00651384"/>
    <w:rsid w:val="00664B8F"/>
    <w:rsid w:val="00680220"/>
    <w:rsid w:val="00683BA6"/>
    <w:rsid w:val="006B75CB"/>
    <w:rsid w:val="006D36EA"/>
    <w:rsid w:val="006D47C6"/>
    <w:rsid w:val="006D591A"/>
    <w:rsid w:val="006F62DC"/>
    <w:rsid w:val="00702672"/>
    <w:rsid w:val="007045B6"/>
    <w:rsid w:val="00705D48"/>
    <w:rsid w:val="00713509"/>
    <w:rsid w:val="007171E3"/>
    <w:rsid w:val="0074508F"/>
    <w:rsid w:val="00745729"/>
    <w:rsid w:val="00745AD2"/>
    <w:rsid w:val="00747A98"/>
    <w:rsid w:val="0076296D"/>
    <w:rsid w:val="00771DAC"/>
    <w:rsid w:val="0077432C"/>
    <w:rsid w:val="00774DF5"/>
    <w:rsid w:val="007823C3"/>
    <w:rsid w:val="007A522C"/>
    <w:rsid w:val="007C58E7"/>
    <w:rsid w:val="007C753E"/>
    <w:rsid w:val="007D6DEF"/>
    <w:rsid w:val="007D6F0A"/>
    <w:rsid w:val="007E70D3"/>
    <w:rsid w:val="007F144A"/>
    <w:rsid w:val="007F5592"/>
    <w:rsid w:val="00807ADB"/>
    <w:rsid w:val="0081067A"/>
    <w:rsid w:val="008123B3"/>
    <w:rsid w:val="00816B9E"/>
    <w:rsid w:val="0082071C"/>
    <w:rsid w:val="008240B4"/>
    <w:rsid w:val="00826E4E"/>
    <w:rsid w:val="008340F2"/>
    <w:rsid w:val="00837504"/>
    <w:rsid w:val="008414D4"/>
    <w:rsid w:val="008445FC"/>
    <w:rsid w:val="008657DC"/>
    <w:rsid w:val="0086631E"/>
    <w:rsid w:val="00866362"/>
    <w:rsid w:val="008714E7"/>
    <w:rsid w:val="00871C18"/>
    <w:rsid w:val="00871E04"/>
    <w:rsid w:val="0087691B"/>
    <w:rsid w:val="00892F8E"/>
    <w:rsid w:val="008A7DBA"/>
    <w:rsid w:val="008A7FEA"/>
    <w:rsid w:val="008B21B7"/>
    <w:rsid w:val="008B4DC8"/>
    <w:rsid w:val="008B5E89"/>
    <w:rsid w:val="008B7110"/>
    <w:rsid w:val="008C586A"/>
    <w:rsid w:val="008E0045"/>
    <w:rsid w:val="008F2490"/>
    <w:rsid w:val="008F61CA"/>
    <w:rsid w:val="00915D4C"/>
    <w:rsid w:val="00917470"/>
    <w:rsid w:val="0093308D"/>
    <w:rsid w:val="00933476"/>
    <w:rsid w:val="0093523F"/>
    <w:rsid w:val="0094126F"/>
    <w:rsid w:val="00963A60"/>
    <w:rsid w:val="0097029A"/>
    <w:rsid w:val="009736FD"/>
    <w:rsid w:val="00981343"/>
    <w:rsid w:val="00982CE4"/>
    <w:rsid w:val="00987316"/>
    <w:rsid w:val="00991EBD"/>
    <w:rsid w:val="009A3FD0"/>
    <w:rsid w:val="009B703F"/>
    <w:rsid w:val="009C340F"/>
    <w:rsid w:val="009D58DB"/>
    <w:rsid w:val="009E2B58"/>
    <w:rsid w:val="009E4759"/>
    <w:rsid w:val="009F1753"/>
    <w:rsid w:val="009F2868"/>
    <w:rsid w:val="009F462C"/>
    <w:rsid w:val="00A03FCF"/>
    <w:rsid w:val="00A04A03"/>
    <w:rsid w:val="00A05CB5"/>
    <w:rsid w:val="00A14BB2"/>
    <w:rsid w:val="00A158ED"/>
    <w:rsid w:val="00A16986"/>
    <w:rsid w:val="00A1725B"/>
    <w:rsid w:val="00A41164"/>
    <w:rsid w:val="00A45454"/>
    <w:rsid w:val="00A479BC"/>
    <w:rsid w:val="00A5306F"/>
    <w:rsid w:val="00A54434"/>
    <w:rsid w:val="00A6341A"/>
    <w:rsid w:val="00A734F9"/>
    <w:rsid w:val="00A76182"/>
    <w:rsid w:val="00A76AA0"/>
    <w:rsid w:val="00A8088E"/>
    <w:rsid w:val="00A92951"/>
    <w:rsid w:val="00AA5125"/>
    <w:rsid w:val="00AB00CA"/>
    <w:rsid w:val="00AB504C"/>
    <w:rsid w:val="00AC2F19"/>
    <w:rsid w:val="00AC3676"/>
    <w:rsid w:val="00AD4AC4"/>
    <w:rsid w:val="00AE206B"/>
    <w:rsid w:val="00AE43D4"/>
    <w:rsid w:val="00AF3112"/>
    <w:rsid w:val="00B00B82"/>
    <w:rsid w:val="00B110F2"/>
    <w:rsid w:val="00B200A6"/>
    <w:rsid w:val="00B2079D"/>
    <w:rsid w:val="00B375F1"/>
    <w:rsid w:val="00B40BF1"/>
    <w:rsid w:val="00B45F88"/>
    <w:rsid w:val="00B5628E"/>
    <w:rsid w:val="00B60B0E"/>
    <w:rsid w:val="00B6186C"/>
    <w:rsid w:val="00B67018"/>
    <w:rsid w:val="00B72DF1"/>
    <w:rsid w:val="00B7676E"/>
    <w:rsid w:val="00B87152"/>
    <w:rsid w:val="00B9046C"/>
    <w:rsid w:val="00BB6B52"/>
    <w:rsid w:val="00BC42C4"/>
    <w:rsid w:val="00BC719B"/>
    <w:rsid w:val="00BD336F"/>
    <w:rsid w:val="00BD41E2"/>
    <w:rsid w:val="00BD53AD"/>
    <w:rsid w:val="00BD712B"/>
    <w:rsid w:val="00BE7475"/>
    <w:rsid w:val="00C074E7"/>
    <w:rsid w:val="00C16B33"/>
    <w:rsid w:val="00C16D24"/>
    <w:rsid w:val="00C37CD8"/>
    <w:rsid w:val="00C5784C"/>
    <w:rsid w:val="00C81069"/>
    <w:rsid w:val="00C82BC1"/>
    <w:rsid w:val="00C856A3"/>
    <w:rsid w:val="00C87738"/>
    <w:rsid w:val="00CC11C4"/>
    <w:rsid w:val="00CC43AB"/>
    <w:rsid w:val="00CD2DEB"/>
    <w:rsid w:val="00CE06FD"/>
    <w:rsid w:val="00CE6545"/>
    <w:rsid w:val="00D13168"/>
    <w:rsid w:val="00D13B78"/>
    <w:rsid w:val="00D1575C"/>
    <w:rsid w:val="00D26E0C"/>
    <w:rsid w:val="00D279F1"/>
    <w:rsid w:val="00D35161"/>
    <w:rsid w:val="00D45780"/>
    <w:rsid w:val="00D51FA5"/>
    <w:rsid w:val="00D55742"/>
    <w:rsid w:val="00D71A7A"/>
    <w:rsid w:val="00D75D2B"/>
    <w:rsid w:val="00D82310"/>
    <w:rsid w:val="00DA06FA"/>
    <w:rsid w:val="00DA2EAC"/>
    <w:rsid w:val="00DA3F0C"/>
    <w:rsid w:val="00DA3F29"/>
    <w:rsid w:val="00DA4B45"/>
    <w:rsid w:val="00DB3F41"/>
    <w:rsid w:val="00DB7AC3"/>
    <w:rsid w:val="00DC5737"/>
    <w:rsid w:val="00DD1CF6"/>
    <w:rsid w:val="00DD2B03"/>
    <w:rsid w:val="00DD48AB"/>
    <w:rsid w:val="00DD5B55"/>
    <w:rsid w:val="00DE2F03"/>
    <w:rsid w:val="00E01E21"/>
    <w:rsid w:val="00E11D0D"/>
    <w:rsid w:val="00E32319"/>
    <w:rsid w:val="00E338B0"/>
    <w:rsid w:val="00E367D7"/>
    <w:rsid w:val="00E37ED8"/>
    <w:rsid w:val="00E50036"/>
    <w:rsid w:val="00E5737D"/>
    <w:rsid w:val="00E576FA"/>
    <w:rsid w:val="00E60710"/>
    <w:rsid w:val="00E76BE1"/>
    <w:rsid w:val="00E776D1"/>
    <w:rsid w:val="00E9227D"/>
    <w:rsid w:val="00EB6BD4"/>
    <w:rsid w:val="00EC45D6"/>
    <w:rsid w:val="00ED2D0F"/>
    <w:rsid w:val="00EF3810"/>
    <w:rsid w:val="00EF4579"/>
    <w:rsid w:val="00F0599C"/>
    <w:rsid w:val="00F12466"/>
    <w:rsid w:val="00F15720"/>
    <w:rsid w:val="00F4250E"/>
    <w:rsid w:val="00F521E0"/>
    <w:rsid w:val="00F54667"/>
    <w:rsid w:val="00F63C2F"/>
    <w:rsid w:val="00F66E17"/>
    <w:rsid w:val="00F708F5"/>
    <w:rsid w:val="00F76CB1"/>
    <w:rsid w:val="00F91087"/>
    <w:rsid w:val="00FA33F9"/>
    <w:rsid w:val="00FA4339"/>
    <w:rsid w:val="00FB64FF"/>
    <w:rsid w:val="00FC7484"/>
    <w:rsid w:val="00FD35A0"/>
    <w:rsid w:val="00FE2F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6A3BAC5-F0BD-4407-BE44-1F16151C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paragraph" w:styleId="Virsraksts2">
    <w:name w:val="heading 2"/>
    <w:basedOn w:val="Parasts"/>
    <w:next w:val="Parasts"/>
    <w:qFormat/>
    <w:rsid w:val="008123B3"/>
    <w:pPr>
      <w:keepNext/>
      <w:spacing w:before="240" w:after="60"/>
      <w:outlineLvl w:val="1"/>
    </w:pPr>
    <w:rPr>
      <w:rFonts w:ascii="Arial" w:hAnsi="Arial"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character" w:styleId="Hipersaite">
    <w:name w:val="Hyperlink"/>
    <w:basedOn w:val="Noklusjumarindkopasfonts"/>
    <w:rsid w:val="00DE2F03"/>
    <w:rPr>
      <w:color w:val="0000FF"/>
      <w:u w:val="single"/>
    </w:rPr>
  </w:style>
  <w:style w:type="paragraph" w:customStyle="1" w:styleId="naisnod">
    <w:name w:val="naisnod"/>
    <w:basedOn w:val="Parasts"/>
    <w:rsid w:val="00DE2F03"/>
    <w:pPr>
      <w:spacing w:before="100" w:beforeAutospacing="1" w:after="100" w:afterAutospacing="1"/>
    </w:pPr>
  </w:style>
  <w:style w:type="paragraph" w:customStyle="1" w:styleId="naisf">
    <w:name w:val="naisf"/>
    <w:basedOn w:val="Parasts"/>
    <w:rsid w:val="00DE2F03"/>
    <w:pPr>
      <w:spacing w:before="100" w:beforeAutospacing="1" w:after="100" w:afterAutospacing="1"/>
    </w:pPr>
  </w:style>
  <w:style w:type="paragraph" w:customStyle="1" w:styleId="naisc">
    <w:name w:val="naisc"/>
    <w:basedOn w:val="Parasts"/>
    <w:rsid w:val="00DE2F03"/>
    <w:pPr>
      <w:spacing w:before="100" w:beforeAutospacing="1" w:after="100" w:afterAutospacing="1"/>
    </w:pPr>
  </w:style>
  <w:style w:type="paragraph" w:customStyle="1" w:styleId="naiskr">
    <w:name w:val="naiskr"/>
    <w:basedOn w:val="Parasts"/>
    <w:rsid w:val="00DE2F03"/>
    <w:pPr>
      <w:spacing w:before="100" w:beforeAutospacing="1" w:after="100" w:afterAutospacing="1"/>
    </w:pPr>
  </w:style>
  <w:style w:type="paragraph" w:styleId="Galvene">
    <w:name w:val="header"/>
    <w:basedOn w:val="Parasts"/>
    <w:rsid w:val="001C0A53"/>
    <w:pPr>
      <w:tabs>
        <w:tab w:val="center" w:pos="4153"/>
        <w:tab w:val="right" w:pos="8306"/>
      </w:tabs>
    </w:pPr>
  </w:style>
  <w:style w:type="paragraph" w:styleId="Kjene">
    <w:name w:val="footer"/>
    <w:basedOn w:val="Parasts"/>
    <w:link w:val="KjeneRakstz"/>
    <w:rsid w:val="001C0A53"/>
    <w:pPr>
      <w:tabs>
        <w:tab w:val="center" w:pos="4153"/>
        <w:tab w:val="right" w:pos="8306"/>
      </w:tabs>
    </w:pPr>
  </w:style>
  <w:style w:type="character" w:styleId="Lappusesnumurs">
    <w:name w:val="page number"/>
    <w:basedOn w:val="Noklusjumarindkopasfonts"/>
    <w:rsid w:val="001C0A53"/>
  </w:style>
  <w:style w:type="character" w:customStyle="1" w:styleId="KjeneRakstz">
    <w:name w:val="Kājene Rakstz."/>
    <w:basedOn w:val="Noklusjumarindkopasfonts"/>
    <w:link w:val="Kjene"/>
    <w:locked/>
    <w:rsid w:val="00623C5C"/>
    <w:rPr>
      <w:sz w:val="24"/>
      <w:szCs w:val="24"/>
      <w:lang w:val="lv-LV" w:eastAsia="lv-LV" w:bidi="ar-SA"/>
    </w:rPr>
  </w:style>
  <w:style w:type="paragraph" w:styleId="Vresteksts">
    <w:name w:val="footnote text"/>
    <w:basedOn w:val="Parasts"/>
    <w:semiHidden/>
    <w:rsid w:val="00AF3112"/>
    <w:rPr>
      <w:sz w:val="20"/>
      <w:szCs w:val="20"/>
    </w:rPr>
  </w:style>
  <w:style w:type="paragraph" w:styleId="Paraststmeklis">
    <w:name w:val="Normal (Web)"/>
    <w:basedOn w:val="Parasts"/>
    <w:rsid w:val="00F76CB1"/>
    <w:pPr>
      <w:spacing w:before="100" w:after="100"/>
    </w:pPr>
  </w:style>
  <w:style w:type="character" w:styleId="Izteiksmgs">
    <w:name w:val="Strong"/>
    <w:basedOn w:val="Noklusjumarindkopasfonts"/>
    <w:qFormat/>
    <w:rsid w:val="00866362"/>
    <w:rPr>
      <w:b/>
      <w:bCs/>
    </w:rPr>
  </w:style>
  <w:style w:type="paragraph" w:customStyle="1" w:styleId="CharCharRakstzCharCharRakstzCharChar">
    <w:name w:val="Char Char Rakstz. Char Char Rakstz. Char Char"/>
    <w:basedOn w:val="Parasts"/>
    <w:rsid w:val="008123B3"/>
    <w:pPr>
      <w:spacing w:before="40"/>
    </w:pPr>
    <w:rPr>
      <w:lang w:val="pl-PL" w:eastAsia="pl-PL"/>
    </w:rPr>
  </w:style>
  <w:style w:type="paragraph" w:styleId="Pamatteksts">
    <w:name w:val="Body Text"/>
    <w:basedOn w:val="Parasts"/>
    <w:rsid w:val="008123B3"/>
    <w:pPr>
      <w:spacing w:after="120"/>
    </w:pPr>
    <w:rPr>
      <w:lang w:val="en-GB" w:eastAsia="en-US"/>
    </w:rPr>
  </w:style>
  <w:style w:type="character" w:customStyle="1" w:styleId="SigitaRubene">
    <w:name w:val="Sigita.Rubene"/>
    <w:basedOn w:val="Noklusjumarindkopasfonts"/>
    <w:semiHidden/>
    <w:rsid w:val="008123B3"/>
    <w:rPr>
      <w:rFonts w:ascii="Comic Sans MS" w:hAnsi="Comic Sans MS" w:cs="Arial" w:hint="default"/>
      <w:color w:val="auto"/>
      <w:sz w:val="24"/>
      <w:szCs w:val="24"/>
    </w:rPr>
  </w:style>
  <w:style w:type="paragraph" w:styleId="Nosaukums">
    <w:name w:val="Title"/>
    <w:basedOn w:val="Parasts"/>
    <w:qFormat/>
    <w:rsid w:val="00E37ED8"/>
    <w:pPr>
      <w:jc w:val="center"/>
    </w:pPr>
    <w:rPr>
      <w:sz w:val="28"/>
      <w:szCs w:val="20"/>
      <w:lang w:eastAsia="en-US"/>
    </w:rPr>
  </w:style>
  <w:style w:type="paragraph" w:customStyle="1" w:styleId="CharChar1">
    <w:name w:val="Char Char1"/>
    <w:basedOn w:val="Parasts"/>
    <w:next w:val="Parasts"/>
    <w:rsid w:val="001615D8"/>
    <w:pPr>
      <w:spacing w:after="160" w:line="240" w:lineRule="exact"/>
    </w:pPr>
    <w:rPr>
      <w:rFonts w:ascii="Tahoma" w:hAnsi="Tahoma"/>
      <w:szCs w:val="20"/>
      <w:lang w:val="en-US" w:eastAsia="en-US"/>
    </w:rPr>
  </w:style>
  <w:style w:type="paragraph" w:styleId="Balonteksts">
    <w:name w:val="Balloon Text"/>
    <w:basedOn w:val="Parasts"/>
    <w:link w:val="BalontekstsRakstz"/>
    <w:rsid w:val="004A0FB3"/>
    <w:rPr>
      <w:rFonts w:ascii="Tahoma" w:hAnsi="Tahoma" w:cs="Tahoma"/>
      <w:sz w:val="16"/>
      <w:szCs w:val="16"/>
      <w:lang w:val="en-US" w:eastAsia="en-US"/>
    </w:rPr>
  </w:style>
  <w:style w:type="character" w:customStyle="1" w:styleId="BalontekstsRakstz">
    <w:name w:val="Balonteksts Rakstz."/>
    <w:basedOn w:val="Noklusjumarindkopasfonts"/>
    <w:link w:val="Balonteksts"/>
    <w:rsid w:val="004A0FB3"/>
    <w:rPr>
      <w:rFonts w:ascii="Tahoma" w:hAnsi="Tahoma" w:cs="Tahoma"/>
      <w:sz w:val="16"/>
      <w:szCs w:val="16"/>
      <w:lang w:val="en-US" w:eastAsia="en-US" w:bidi="ar-SA"/>
    </w:rPr>
  </w:style>
  <w:style w:type="paragraph" w:styleId="Komentrateksts">
    <w:name w:val="annotation text"/>
    <w:basedOn w:val="Parasts"/>
    <w:link w:val="KomentratekstsRakstz"/>
    <w:semiHidden/>
    <w:rsid w:val="0087691B"/>
    <w:rPr>
      <w:sz w:val="20"/>
      <w:szCs w:val="20"/>
    </w:rPr>
  </w:style>
  <w:style w:type="character" w:customStyle="1" w:styleId="KomentratekstsRakstz">
    <w:name w:val="Komentāra teksts Rakstz."/>
    <w:basedOn w:val="Noklusjumarindkopasfonts"/>
    <w:link w:val="Komentrateksts"/>
    <w:rsid w:val="0087691B"/>
    <w:rPr>
      <w:lang w:val="lv-LV" w:eastAsia="lv-LV" w:bidi="ar-SA"/>
    </w:rPr>
  </w:style>
  <w:style w:type="table" w:styleId="Reatabula">
    <w:name w:val="Table Grid"/>
    <w:basedOn w:val="Parastatabula"/>
    <w:uiPriority w:val="59"/>
    <w:rsid w:val="0047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7741">
      <w:bodyDiv w:val="1"/>
      <w:marLeft w:val="0"/>
      <w:marRight w:val="0"/>
      <w:marTop w:val="0"/>
      <w:marBottom w:val="0"/>
      <w:divBdr>
        <w:top w:val="none" w:sz="0" w:space="0" w:color="auto"/>
        <w:left w:val="none" w:sz="0" w:space="0" w:color="auto"/>
        <w:bottom w:val="none" w:sz="0" w:space="0" w:color="auto"/>
        <w:right w:val="none" w:sz="0" w:space="0" w:color="auto"/>
      </w:divBdr>
    </w:div>
    <w:div w:id="258487572">
      <w:bodyDiv w:val="1"/>
      <w:marLeft w:val="0"/>
      <w:marRight w:val="0"/>
      <w:marTop w:val="0"/>
      <w:marBottom w:val="0"/>
      <w:divBdr>
        <w:top w:val="none" w:sz="0" w:space="0" w:color="auto"/>
        <w:left w:val="none" w:sz="0" w:space="0" w:color="auto"/>
        <w:bottom w:val="none" w:sz="0" w:space="0" w:color="auto"/>
        <w:right w:val="none" w:sz="0" w:space="0" w:color="auto"/>
      </w:divBdr>
    </w:div>
    <w:div w:id="774403678">
      <w:bodyDiv w:val="1"/>
      <w:marLeft w:val="0"/>
      <w:marRight w:val="0"/>
      <w:marTop w:val="0"/>
      <w:marBottom w:val="0"/>
      <w:divBdr>
        <w:top w:val="none" w:sz="0" w:space="0" w:color="auto"/>
        <w:left w:val="none" w:sz="0" w:space="0" w:color="auto"/>
        <w:bottom w:val="none" w:sz="0" w:space="0" w:color="auto"/>
        <w:right w:val="none" w:sz="0" w:space="0" w:color="auto"/>
      </w:divBdr>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280180937">
      <w:bodyDiv w:val="1"/>
      <w:marLeft w:val="0"/>
      <w:marRight w:val="0"/>
      <w:marTop w:val="0"/>
      <w:marBottom w:val="0"/>
      <w:divBdr>
        <w:top w:val="none" w:sz="0" w:space="0" w:color="auto"/>
        <w:left w:val="none" w:sz="0" w:space="0" w:color="auto"/>
        <w:bottom w:val="none" w:sz="0" w:space="0" w:color="auto"/>
        <w:right w:val="none" w:sz="0" w:space="0" w:color="auto"/>
      </w:divBdr>
      <w:divsChild>
        <w:div w:id="200168559">
          <w:marLeft w:val="0"/>
          <w:marRight w:val="0"/>
          <w:marTop w:val="0"/>
          <w:marBottom w:val="0"/>
          <w:divBdr>
            <w:top w:val="none" w:sz="0" w:space="0" w:color="auto"/>
            <w:left w:val="none" w:sz="0" w:space="0" w:color="auto"/>
            <w:bottom w:val="none" w:sz="0" w:space="0" w:color="auto"/>
            <w:right w:val="none" w:sz="0" w:space="0" w:color="auto"/>
          </w:divBdr>
          <w:divsChild>
            <w:div w:id="1603762245">
              <w:marLeft w:val="0"/>
              <w:marRight w:val="0"/>
              <w:marTop w:val="0"/>
              <w:marBottom w:val="0"/>
              <w:divBdr>
                <w:top w:val="none" w:sz="0" w:space="0" w:color="auto"/>
                <w:left w:val="none" w:sz="0" w:space="0" w:color="auto"/>
                <w:bottom w:val="none" w:sz="0" w:space="0" w:color="auto"/>
                <w:right w:val="none" w:sz="0" w:space="0" w:color="auto"/>
              </w:divBdr>
              <w:divsChild>
                <w:div w:id="1127427201">
                  <w:marLeft w:val="0"/>
                  <w:marRight w:val="0"/>
                  <w:marTop w:val="0"/>
                  <w:marBottom w:val="0"/>
                  <w:divBdr>
                    <w:top w:val="none" w:sz="0" w:space="0" w:color="auto"/>
                    <w:left w:val="none" w:sz="0" w:space="0" w:color="auto"/>
                    <w:bottom w:val="none" w:sz="0" w:space="0" w:color="auto"/>
                    <w:right w:val="none" w:sz="0" w:space="0" w:color="auto"/>
                  </w:divBdr>
                  <w:divsChild>
                    <w:div w:id="861668040">
                      <w:marLeft w:val="0"/>
                      <w:marRight w:val="0"/>
                      <w:marTop w:val="0"/>
                      <w:marBottom w:val="0"/>
                      <w:divBdr>
                        <w:top w:val="none" w:sz="0" w:space="0" w:color="auto"/>
                        <w:left w:val="none" w:sz="0" w:space="0" w:color="auto"/>
                        <w:bottom w:val="none" w:sz="0" w:space="0" w:color="auto"/>
                        <w:right w:val="none" w:sz="0" w:space="0" w:color="auto"/>
                      </w:divBdr>
                      <w:divsChild>
                        <w:div w:id="201597020">
                          <w:marLeft w:val="0"/>
                          <w:marRight w:val="0"/>
                          <w:marTop w:val="0"/>
                          <w:marBottom w:val="0"/>
                          <w:divBdr>
                            <w:top w:val="none" w:sz="0" w:space="0" w:color="auto"/>
                            <w:left w:val="none" w:sz="0" w:space="0" w:color="auto"/>
                            <w:bottom w:val="none" w:sz="0" w:space="0" w:color="auto"/>
                            <w:right w:val="none" w:sz="0" w:space="0" w:color="auto"/>
                          </w:divBdr>
                          <w:divsChild>
                            <w:div w:id="136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854465">
      <w:bodyDiv w:val="1"/>
      <w:marLeft w:val="0"/>
      <w:marRight w:val="0"/>
      <w:marTop w:val="0"/>
      <w:marBottom w:val="0"/>
      <w:divBdr>
        <w:top w:val="none" w:sz="0" w:space="0" w:color="auto"/>
        <w:left w:val="none" w:sz="0" w:space="0" w:color="auto"/>
        <w:bottom w:val="none" w:sz="0" w:space="0" w:color="auto"/>
        <w:right w:val="none" w:sz="0" w:space="0" w:color="auto"/>
      </w:divBdr>
    </w:div>
    <w:div w:id="20965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457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ikumi.lv/ta/id/84573" TargetMode="External"/><Relationship Id="rId12" Type="http://schemas.openxmlformats.org/officeDocument/2006/relationships/hyperlink" Target="https://likumi.lv/ta/id/8457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845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845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84573"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5</TotalTime>
  <Pages>8</Pages>
  <Words>1548</Words>
  <Characters>10539</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"Zirgu infekciozās anēmijas uzraudzības, kontroles un apkarošanas kārtība"</vt:lpstr>
      <vt:lpstr>Izziņa par atzinumos sniegtajiem iebildumiem par Ministru kabineta noteikumu projektu "Zirgu infekciozās anēmijas uzraudzības, kontroles un apkarošanas kārtība"</vt:lpstr>
    </vt:vector>
  </TitlesOfParts>
  <Company>Zemkopības ministrija</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"Zirgu infekciozās anēmijas uzraudzības, kontroles un apkarošanas kārtība"</dc:title>
  <dc:subject>Izziņa</dc:subject>
  <dc:creator>Olita Vecuma-Veco</dc:creator>
  <cp:keywords/>
  <dc:description>Olita.Vecuma-Veco@zm.gov.lv, 67027551</dc:description>
  <cp:lastModifiedBy>Kristiāna Sebre</cp:lastModifiedBy>
  <cp:revision>5</cp:revision>
  <dcterms:created xsi:type="dcterms:W3CDTF">2019-08-12T12:27:00Z</dcterms:created>
  <dcterms:modified xsi:type="dcterms:W3CDTF">2019-08-13T06:48:00Z</dcterms:modified>
</cp:coreProperties>
</file>