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8F" w:rsidRPr="002675E3" w:rsidRDefault="00B7288F" w:rsidP="00B7288F">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w:t>
      </w:r>
      <w:r>
        <w:rPr>
          <w:rFonts w:ascii="Times New Roman" w:eastAsia="Times New Roman" w:hAnsi="Times New Roman" w:cs="Times New Roman"/>
          <w:b/>
          <w:bCs/>
          <w:noProof/>
          <w:sz w:val="28"/>
          <w:szCs w:val="28"/>
          <w:lang w:eastAsia="lv-LV"/>
        </w:rPr>
        <w:t xml:space="preserve">Par </w:t>
      </w:r>
      <w:r w:rsidR="00C25296" w:rsidRPr="00C25296">
        <w:rPr>
          <w:rFonts w:ascii="Times New Roman" w:eastAsia="Times New Roman" w:hAnsi="Times New Roman" w:cs="Times New Roman"/>
          <w:b/>
          <w:bCs/>
          <w:noProof/>
          <w:sz w:val="28"/>
          <w:szCs w:val="28"/>
          <w:lang w:eastAsia="lv-LV"/>
        </w:rPr>
        <w:t xml:space="preserve">civilā eksperta </w:t>
      </w:r>
      <w:r w:rsidRPr="00682038">
        <w:rPr>
          <w:rFonts w:ascii="Times New Roman" w:eastAsia="Times New Roman" w:hAnsi="Times New Roman" w:cs="Times New Roman"/>
          <w:b/>
          <w:bCs/>
          <w:noProof/>
          <w:sz w:val="28"/>
          <w:szCs w:val="28"/>
          <w:lang w:eastAsia="lv-LV"/>
        </w:rPr>
        <w:t>dalības laika pagarināšanu Eiropas Drošības un sadarbības organizācijas Speciālajā novērošanas misijā Ukrainā</w:t>
      </w:r>
      <w:r w:rsidRPr="002675E3">
        <w:rPr>
          <w:rFonts w:ascii="Times New Roman" w:eastAsia="Times New Roman" w:hAnsi="Times New Roman" w:cs="Times New Roman"/>
          <w:b/>
          <w:bCs/>
          <w:noProof/>
          <w:sz w:val="28"/>
          <w:szCs w:val="28"/>
          <w:lang w:eastAsia="lv-LV"/>
        </w:rPr>
        <w:t>” sākotnējās ietekmes novērtējuma ziņojums (anotācija)</w:t>
      </w:r>
    </w:p>
    <w:p w:rsidR="00B7288F" w:rsidRPr="002675E3" w:rsidRDefault="00B7288F" w:rsidP="00B7288F">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7288F" w:rsidRPr="002675E3" w:rsidTr="001A07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B7288F" w:rsidRPr="002675E3" w:rsidTr="001A07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7288F" w:rsidRPr="002675E3"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B7288F" w:rsidRPr="002675E3" w:rsidTr="001A077C">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tabs>
                <w:tab w:val="left" w:pos="1305"/>
              </w:tabs>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Pr>
                <w:rFonts w:ascii="Times New Roman" w:eastAsia="Times New Roman" w:hAnsi="Times New Roman" w:cs="Times New Roman"/>
                <w:sz w:val="24"/>
                <w:szCs w:val="24"/>
                <w:lang w:eastAsia="lv-LV"/>
              </w:rPr>
              <w:t>alībvalsts aicinājuma. Savukārt</w:t>
            </w:r>
            <w:r w:rsidRPr="004B299F">
              <w:rPr>
                <w:rFonts w:ascii="Times New Roman" w:eastAsia="Times New Roman" w:hAnsi="Times New Roman" w:cs="Times New Roman"/>
                <w:sz w:val="24"/>
                <w:szCs w:val="24"/>
                <w:lang w:eastAsia="lv-LV"/>
              </w:rPr>
              <w:t xml:space="preserve"> minētā panta </w:t>
            </w:r>
            <w:r>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rsidR="00B7288F" w:rsidRPr="008A2DB3" w:rsidRDefault="00B7288F" w:rsidP="001A077C">
            <w:pPr>
              <w:spacing w:after="120" w:line="240" w:lineRule="auto"/>
              <w:jc w:val="both"/>
              <w:rPr>
                <w:rFonts w:ascii="Times New Roman" w:eastAsia="Calibri" w:hAnsi="Times New Roman" w:cs="Times New Roman"/>
                <w:sz w:val="24"/>
                <w:szCs w:val="24"/>
              </w:rPr>
            </w:pP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noteikumu Nr. 35 „Kārtība, kādā civilo ekspertu nosūta dalībai starptautiskajā misijā, un dalības fina</w:t>
            </w:r>
            <w:r>
              <w:rPr>
                <w:rFonts w:ascii="Times New Roman" w:eastAsia="Calibri" w:hAnsi="Times New Roman" w:cs="Times New Roman"/>
                <w:sz w:val="24"/>
                <w:szCs w:val="24"/>
              </w:rPr>
              <w:t>nsēšanas kārtība” 6. punkts</w:t>
            </w:r>
            <w:r w:rsidRPr="002675E3">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r>
              <w:rPr>
                <w:rFonts w:ascii="Times New Roman" w:eastAsia="Calibri" w:hAnsi="Times New Roman" w:cs="Times New Roman"/>
                <w:sz w:val="24"/>
                <w:szCs w:val="24"/>
              </w:rPr>
              <w:t xml:space="preserve"> </w:t>
            </w:r>
          </w:p>
          <w:p w:rsidR="00C25296" w:rsidRPr="00C25296" w:rsidRDefault="00C25296" w:rsidP="00C25296">
            <w:pPr>
              <w:spacing w:after="120" w:line="240" w:lineRule="auto"/>
              <w:jc w:val="both"/>
              <w:rPr>
                <w:rFonts w:ascii="Times New Roman" w:eastAsia="Arial" w:hAnsi="Times New Roman" w:cs="Times New Roman"/>
                <w:kern w:val="2"/>
                <w:sz w:val="24"/>
                <w:szCs w:val="24"/>
                <w:lang w:eastAsia="lv-LV"/>
              </w:rPr>
            </w:pPr>
            <w:r w:rsidRPr="00C25296">
              <w:rPr>
                <w:rFonts w:ascii="Times New Roman" w:eastAsia="Arial" w:hAnsi="Times New Roman" w:cs="Times New Roman"/>
                <w:kern w:val="2"/>
                <w:sz w:val="24"/>
                <w:szCs w:val="24"/>
                <w:lang w:eastAsia="lv-LV"/>
              </w:rPr>
              <w:t xml:space="preserve">2018. gada 3. oktobra (prot. Nr. 44 1. §) Ministru kabineta rīkojums Nr. 469 </w:t>
            </w:r>
            <w:r w:rsidR="00E23450">
              <w:rPr>
                <w:rFonts w:ascii="Times New Roman" w:eastAsia="Arial" w:hAnsi="Times New Roman" w:cs="Times New Roman"/>
                <w:kern w:val="2"/>
                <w:sz w:val="24"/>
                <w:szCs w:val="24"/>
                <w:lang w:eastAsia="lv-LV"/>
              </w:rPr>
              <w:t xml:space="preserve">“Par civilā eksperta dalību Eiropas Drošības un sadarbības organizācijas speciālajā novērošanas misijā Ukrainā” </w:t>
            </w:r>
            <w:r w:rsidRPr="00C25296">
              <w:rPr>
                <w:rFonts w:ascii="Times New Roman" w:eastAsia="Arial" w:hAnsi="Times New Roman" w:cs="Times New Roman"/>
                <w:kern w:val="2"/>
                <w:sz w:val="24"/>
                <w:szCs w:val="24"/>
                <w:lang w:eastAsia="lv-LV"/>
              </w:rPr>
              <w:t xml:space="preserve">par civilā eksperta Oļega </w:t>
            </w:r>
            <w:proofErr w:type="spellStart"/>
            <w:r w:rsidRPr="00C25296">
              <w:rPr>
                <w:rFonts w:ascii="Times New Roman" w:eastAsia="Arial" w:hAnsi="Times New Roman" w:cs="Times New Roman"/>
                <w:kern w:val="2"/>
                <w:sz w:val="24"/>
                <w:szCs w:val="24"/>
                <w:lang w:eastAsia="lv-LV"/>
              </w:rPr>
              <w:t>Lagutina</w:t>
            </w:r>
            <w:proofErr w:type="spellEnd"/>
            <w:r w:rsidRPr="00C25296">
              <w:rPr>
                <w:rFonts w:ascii="Times New Roman" w:eastAsia="Arial" w:hAnsi="Times New Roman" w:cs="Times New Roman"/>
                <w:kern w:val="2"/>
                <w:sz w:val="24"/>
                <w:szCs w:val="24"/>
                <w:lang w:eastAsia="lv-LV"/>
              </w:rPr>
              <w:t xml:space="preserve"> nosūtīšanu dalībai </w:t>
            </w:r>
            <w:r w:rsidR="00E23450">
              <w:rPr>
                <w:rFonts w:ascii="Times New Roman" w:eastAsia="Arial" w:hAnsi="Times New Roman" w:cs="Times New Roman"/>
                <w:kern w:val="2"/>
                <w:sz w:val="24"/>
                <w:szCs w:val="24"/>
                <w:lang w:eastAsia="lv-LV"/>
              </w:rPr>
              <w:t xml:space="preserve">Eiropas Drošības un sadarbības organizācijas (turpmāk – </w:t>
            </w:r>
            <w:r w:rsidRPr="00C25296">
              <w:rPr>
                <w:rFonts w:ascii="Times New Roman" w:eastAsia="Arial" w:hAnsi="Times New Roman" w:cs="Times New Roman"/>
                <w:kern w:val="2"/>
                <w:sz w:val="24"/>
                <w:szCs w:val="24"/>
                <w:lang w:eastAsia="lv-LV"/>
              </w:rPr>
              <w:t>EDSO</w:t>
            </w:r>
            <w:r w:rsidR="00E23450">
              <w:rPr>
                <w:rFonts w:ascii="Times New Roman" w:eastAsia="Arial" w:hAnsi="Times New Roman" w:cs="Times New Roman"/>
                <w:kern w:val="2"/>
                <w:sz w:val="24"/>
                <w:szCs w:val="24"/>
                <w:lang w:eastAsia="lv-LV"/>
              </w:rPr>
              <w:t>)</w:t>
            </w:r>
            <w:r w:rsidRPr="00C25296">
              <w:rPr>
                <w:rFonts w:ascii="Times New Roman" w:eastAsia="Arial" w:hAnsi="Times New Roman" w:cs="Times New Roman"/>
                <w:kern w:val="2"/>
                <w:sz w:val="24"/>
                <w:szCs w:val="24"/>
                <w:lang w:eastAsia="lv-LV"/>
              </w:rPr>
              <w:t xml:space="preserve"> Speciālajā novērošanas misijā Ukrainā līdz 2019. gada 31. martam. </w:t>
            </w:r>
          </w:p>
          <w:p w:rsidR="00B7288F" w:rsidRDefault="00B7288F" w:rsidP="001A077C">
            <w:pPr>
              <w:spacing w:after="120" w:line="240" w:lineRule="auto"/>
              <w:jc w:val="both"/>
              <w:rPr>
                <w:rFonts w:ascii="Times New Roman" w:eastAsia="Arial" w:hAnsi="Times New Roman" w:cs="Times New Roman"/>
                <w:kern w:val="2"/>
                <w:sz w:val="24"/>
                <w:szCs w:val="24"/>
                <w:lang w:eastAsia="lv-LV"/>
              </w:rPr>
            </w:pPr>
            <w:r>
              <w:rPr>
                <w:rFonts w:ascii="Times New Roman" w:eastAsia="Arial" w:hAnsi="Times New Roman" w:cs="Times New Roman"/>
                <w:kern w:val="2"/>
                <w:sz w:val="24"/>
                <w:szCs w:val="24"/>
                <w:lang w:eastAsia="lv-LV"/>
              </w:rPr>
              <w:t>2019. gada 28. marta (</w:t>
            </w:r>
            <w:r w:rsidRPr="000756D9">
              <w:rPr>
                <w:rFonts w:ascii="Times New Roman" w:eastAsia="Arial" w:hAnsi="Times New Roman" w:cs="Times New Roman"/>
                <w:kern w:val="2"/>
                <w:sz w:val="24"/>
                <w:szCs w:val="24"/>
                <w:lang w:eastAsia="lv-LV"/>
              </w:rPr>
              <w:t>prot. Nr. 16 25. §</w:t>
            </w:r>
            <w:r>
              <w:rPr>
                <w:rFonts w:ascii="Times New Roman" w:eastAsia="Arial" w:hAnsi="Times New Roman" w:cs="Times New Roman"/>
                <w:kern w:val="2"/>
                <w:sz w:val="24"/>
                <w:szCs w:val="24"/>
                <w:lang w:eastAsia="lv-LV"/>
              </w:rPr>
              <w:t xml:space="preserve">) </w:t>
            </w:r>
            <w:r w:rsidRPr="000756D9">
              <w:rPr>
                <w:rFonts w:ascii="Times New Roman" w:eastAsia="Arial" w:hAnsi="Times New Roman" w:cs="Times New Roman"/>
                <w:kern w:val="2"/>
                <w:sz w:val="24"/>
                <w:szCs w:val="24"/>
                <w:lang w:eastAsia="lv-LV"/>
              </w:rPr>
              <w:t xml:space="preserve">Ministru kabineta rīkojums Nr. </w:t>
            </w:r>
            <w:r w:rsidR="00C25296">
              <w:rPr>
                <w:rFonts w:ascii="Times New Roman" w:eastAsia="Arial" w:hAnsi="Times New Roman" w:cs="Times New Roman"/>
                <w:kern w:val="2"/>
                <w:sz w:val="24"/>
                <w:szCs w:val="24"/>
                <w:lang w:eastAsia="lv-LV"/>
              </w:rPr>
              <w:t xml:space="preserve">140 </w:t>
            </w:r>
            <w:r w:rsidR="00E23450">
              <w:rPr>
                <w:rFonts w:ascii="Times New Roman" w:eastAsia="Arial" w:hAnsi="Times New Roman" w:cs="Times New Roman"/>
                <w:kern w:val="2"/>
                <w:sz w:val="24"/>
                <w:szCs w:val="24"/>
                <w:lang w:eastAsia="lv-LV"/>
              </w:rPr>
              <w:t xml:space="preserve">“Par civilo ekspertu dalības laika pagarināšanu Eiropas Drošības un sadarbības organizācijas Speciālajā novērošanas misijā Ukrainā” </w:t>
            </w:r>
            <w:r w:rsidR="00C25296">
              <w:rPr>
                <w:rFonts w:ascii="Times New Roman" w:eastAsia="Arial" w:hAnsi="Times New Roman" w:cs="Times New Roman"/>
                <w:kern w:val="2"/>
                <w:sz w:val="24"/>
                <w:szCs w:val="24"/>
                <w:lang w:eastAsia="lv-LV"/>
              </w:rPr>
              <w:t>par civilā eksperta O</w:t>
            </w:r>
            <w:r>
              <w:rPr>
                <w:rFonts w:ascii="Times New Roman" w:eastAsia="Arial" w:hAnsi="Times New Roman" w:cs="Times New Roman"/>
                <w:kern w:val="2"/>
                <w:sz w:val="24"/>
                <w:szCs w:val="24"/>
                <w:lang w:eastAsia="lv-LV"/>
              </w:rPr>
              <w:t xml:space="preserve">. </w:t>
            </w:r>
            <w:proofErr w:type="spellStart"/>
            <w:r w:rsidR="00C25296">
              <w:rPr>
                <w:rFonts w:ascii="Times New Roman" w:eastAsia="Arial" w:hAnsi="Times New Roman" w:cs="Times New Roman"/>
                <w:kern w:val="2"/>
                <w:sz w:val="24"/>
                <w:szCs w:val="24"/>
                <w:lang w:eastAsia="lv-LV"/>
              </w:rPr>
              <w:t>Lagutina</w:t>
            </w:r>
            <w:proofErr w:type="spellEnd"/>
            <w:r>
              <w:rPr>
                <w:rFonts w:ascii="Times New Roman" w:eastAsia="Arial" w:hAnsi="Times New Roman" w:cs="Times New Roman"/>
                <w:kern w:val="2"/>
                <w:sz w:val="24"/>
                <w:szCs w:val="24"/>
                <w:lang w:eastAsia="lv-LV"/>
              </w:rPr>
              <w:t xml:space="preserve"> dalības laika pagarināšanu </w:t>
            </w:r>
            <w:r w:rsidRPr="000756D9">
              <w:rPr>
                <w:rFonts w:ascii="Times New Roman" w:eastAsia="Arial" w:hAnsi="Times New Roman" w:cs="Times New Roman"/>
                <w:kern w:val="2"/>
                <w:sz w:val="24"/>
                <w:szCs w:val="24"/>
                <w:lang w:eastAsia="lv-LV"/>
              </w:rPr>
              <w:t>EDSO Speciālajā novērošanas misijā Ukrainā līdz 2019</w:t>
            </w:r>
            <w:r w:rsidR="00C25296">
              <w:rPr>
                <w:rFonts w:ascii="Times New Roman" w:eastAsia="Arial" w:hAnsi="Times New Roman" w:cs="Times New Roman"/>
                <w:kern w:val="2"/>
                <w:sz w:val="24"/>
                <w:szCs w:val="24"/>
                <w:lang w:eastAsia="lv-LV"/>
              </w:rPr>
              <w:t>. gada 13</w:t>
            </w:r>
            <w:r w:rsidRPr="000756D9">
              <w:rPr>
                <w:rFonts w:ascii="Times New Roman" w:eastAsia="Arial" w:hAnsi="Times New Roman" w:cs="Times New Roman"/>
                <w:kern w:val="2"/>
                <w:sz w:val="24"/>
                <w:szCs w:val="24"/>
                <w:lang w:eastAsia="lv-LV"/>
              </w:rPr>
              <w:t>. </w:t>
            </w:r>
            <w:r w:rsidR="00C25296">
              <w:rPr>
                <w:rFonts w:ascii="Times New Roman" w:eastAsia="Arial" w:hAnsi="Times New Roman" w:cs="Times New Roman"/>
                <w:kern w:val="2"/>
                <w:sz w:val="24"/>
                <w:szCs w:val="24"/>
                <w:lang w:eastAsia="lv-LV"/>
              </w:rPr>
              <w:t>oktobrim</w:t>
            </w:r>
            <w:r w:rsidRPr="000756D9">
              <w:rPr>
                <w:rFonts w:ascii="Times New Roman" w:eastAsia="Arial" w:hAnsi="Times New Roman" w:cs="Times New Roman"/>
                <w:kern w:val="2"/>
                <w:sz w:val="24"/>
                <w:szCs w:val="24"/>
                <w:lang w:eastAsia="lv-LV"/>
              </w:rPr>
              <w:t>.</w:t>
            </w:r>
          </w:p>
          <w:p w:rsidR="00B7288F" w:rsidRPr="005D540C" w:rsidRDefault="00B7288F" w:rsidP="00E23450">
            <w:pPr>
              <w:spacing w:after="120" w:line="240" w:lineRule="auto"/>
              <w:jc w:val="both"/>
              <w:rPr>
                <w:rFonts w:ascii="Times New Roman" w:hAnsi="Times New Roman"/>
                <w:sz w:val="24"/>
                <w:szCs w:val="24"/>
              </w:rPr>
            </w:pPr>
            <w:r w:rsidRPr="003E7806">
              <w:rPr>
                <w:rFonts w:ascii="Times New Roman" w:hAnsi="Times New Roman"/>
                <w:sz w:val="24"/>
                <w:szCs w:val="24"/>
              </w:rPr>
              <w:t xml:space="preserve">EDSO Sekretariāta </w:t>
            </w:r>
            <w:r w:rsidR="00432A67">
              <w:rPr>
                <w:rFonts w:ascii="Times New Roman" w:hAnsi="Times New Roman"/>
                <w:sz w:val="24"/>
                <w:szCs w:val="24"/>
              </w:rPr>
              <w:t>2019. gada 14</w:t>
            </w:r>
            <w:r>
              <w:rPr>
                <w:rFonts w:ascii="Times New Roman" w:hAnsi="Times New Roman"/>
                <w:sz w:val="24"/>
                <w:szCs w:val="24"/>
              </w:rPr>
              <w:t xml:space="preserve">. </w:t>
            </w:r>
            <w:r w:rsidR="00432A67">
              <w:rPr>
                <w:rFonts w:ascii="Times New Roman" w:hAnsi="Times New Roman"/>
                <w:sz w:val="24"/>
                <w:szCs w:val="24"/>
              </w:rPr>
              <w:t>augusta</w:t>
            </w:r>
            <w:r>
              <w:rPr>
                <w:rFonts w:ascii="Times New Roman" w:hAnsi="Times New Roman"/>
                <w:sz w:val="24"/>
                <w:szCs w:val="24"/>
              </w:rPr>
              <w:t xml:space="preserve"> vēstule ar lūgumu pagarināt </w:t>
            </w:r>
            <w:r w:rsidR="00432A67" w:rsidRPr="00432A67">
              <w:rPr>
                <w:rFonts w:ascii="Times New Roman" w:hAnsi="Times New Roman"/>
                <w:sz w:val="24"/>
                <w:szCs w:val="24"/>
              </w:rPr>
              <w:t xml:space="preserve">civilā eksperta </w:t>
            </w:r>
            <w:proofErr w:type="spellStart"/>
            <w:r w:rsidR="00E23450" w:rsidRPr="00432A67">
              <w:rPr>
                <w:rFonts w:ascii="Times New Roman" w:hAnsi="Times New Roman"/>
                <w:sz w:val="24"/>
                <w:szCs w:val="24"/>
              </w:rPr>
              <w:t>O</w:t>
            </w:r>
            <w:r w:rsidR="00E23450">
              <w:rPr>
                <w:rFonts w:ascii="Times New Roman" w:hAnsi="Times New Roman"/>
                <w:sz w:val="24"/>
                <w:szCs w:val="24"/>
              </w:rPr>
              <w:t>.</w:t>
            </w:r>
            <w:r w:rsidR="00432A67" w:rsidRPr="00432A67">
              <w:rPr>
                <w:rFonts w:ascii="Times New Roman" w:hAnsi="Times New Roman"/>
                <w:sz w:val="24"/>
                <w:szCs w:val="24"/>
              </w:rPr>
              <w:t>Lagutina</w:t>
            </w:r>
            <w:proofErr w:type="spellEnd"/>
            <w:r w:rsidR="00432A67" w:rsidRPr="00432A67">
              <w:rPr>
                <w:rFonts w:ascii="Times New Roman" w:hAnsi="Times New Roman"/>
                <w:sz w:val="24"/>
                <w:szCs w:val="24"/>
              </w:rPr>
              <w:t xml:space="preserve"> dalības laiku EDSO Speciālajā novērošanas misijā Ukrainā līdz </w:t>
            </w:r>
            <w:r w:rsidR="00432A67" w:rsidRPr="00432A67">
              <w:rPr>
                <w:rFonts w:ascii="Times New Roman" w:hAnsi="Times New Roman"/>
                <w:sz w:val="24"/>
                <w:szCs w:val="24"/>
              </w:rPr>
              <w:lastRenderedPageBreak/>
              <w:t>2020. gada 13. oktobrim.</w:t>
            </w:r>
          </w:p>
        </w:tc>
      </w:tr>
      <w:tr w:rsidR="00B7288F" w:rsidRPr="002675E3" w:rsidTr="001A077C">
        <w:trPr>
          <w:trHeight w:val="38"/>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p w:rsidR="00B7288F" w:rsidRPr="002675E3" w:rsidRDefault="00B7288F" w:rsidP="001A077C">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B7288F" w:rsidRDefault="00B7288F" w:rsidP="001A077C">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Ministru kabineta 2017. gada 21. februārī sēdē tika pieņemts zināšanai informatīvais ziņojums „Par Latvijas civilo ekspertu dalību starptautiskajās misijās 2017.-2019.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B7288F" w:rsidRPr="003C2873" w:rsidRDefault="00B7288F" w:rsidP="001A077C">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w:t>
            </w:r>
            <w:r>
              <w:rPr>
                <w:rFonts w:ascii="Times New Roman" w:eastAsia="Times New Roman" w:hAnsi="Times New Roman" w:cs="Times New Roman"/>
                <w:sz w:val="24"/>
                <w:szCs w:val="24"/>
                <w:lang w:eastAsia="lv-LV"/>
              </w:rPr>
              <w:t>astoņi</w:t>
            </w:r>
            <w:r w:rsidRPr="002675E3">
              <w:rPr>
                <w:rFonts w:ascii="Times New Roman" w:eastAsia="Times New Roman" w:hAnsi="Times New Roman" w:cs="Times New Roman"/>
                <w:sz w:val="24"/>
                <w:szCs w:val="24"/>
                <w:lang w:eastAsia="lv-LV"/>
              </w:rPr>
              <w:t xml:space="preserve"> nosūtītie civilie eksperti no Latvijas. </w:t>
            </w:r>
          </w:p>
          <w:p w:rsidR="00B7288F" w:rsidRPr="002675E3" w:rsidRDefault="00B7288F" w:rsidP="001A077C">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Pr="002675E3">
              <w:rPr>
                <w:rFonts w:ascii="Times New Roman" w:eastAsia="Calibri" w:hAnsi="Times New Roman" w:cs="Times New Roman"/>
                <w:sz w:val="24"/>
                <w:szCs w:val="24"/>
              </w:rPr>
              <w:t>EDSO Speciālajā novērošanas misijā Ukrainā</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rsidR="00B7288F" w:rsidRDefault="00B7288F" w:rsidP="001A077C">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Ministru kabineta 2009</w:t>
            </w:r>
            <w:r w:rsidR="00E23450" w:rsidRPr="002675E3">
              <w:rPr>
                <w:rFonts w:ascii="Times New Roman" w:eastAsia="Times New Roman" w:hAnsi="Times New Roman" w:cs="Times New Roman"/>
                <w:sz w:val="24"/>
                <w:szCs w:val="24"/>
                <w:lang w:eastAsia="lv-LV"/>
              </w:rPr>
              <w:t>.</w:t>
            </w:r>
            <w:r w:rsidR="00E23450">
              <w:rPr>
                <w:rFonts w:ascii="Times New Roman" w:eastAsia="Times New Roman" w:hAnsi="Times New Roman" w:cs="Times New Roman"/>
                <w:sz w:val="24"/>
                <w:szCs w:val="24"/>
                <w:lang w:eastAsia="lv-LV"/>
              </w:rPr>
              <w:t> </w:t>
            </w:r>
            <w:r w:rsidRPr="002675E3">
              <w:rPr>
                <w:rFonts w:ascii="Times New Roman" w:eastAsia="Times New Roman" w:hAnsi="Times New Roman" w:cs="Times New Roman"/>
                <w:sz w:val="24"/>
                <w:szCs w:val="24"/>
                <w:lang w:eastAsia="lv-LV"/>
              </w:rPr>
              <w:t xml:space="preserve">gada 13. janvāra </w:t>
            </w:r>
            <w:r w:rsidRPr="002675E3">
              <w:rPr>
                <w:rFonts w:ascii="Times New Roman" w:eastAsia="Calibri" w:hAnsi="Times New Roman" w:cs="Times New Roman"/>
                <w:sz w:val="24"/>
                <w:szCs w:val="24"/>
              </w:rPr>
              <w:t xml:space="preserve">noteikumu Nr. 35 „Kārtība, kādā civilo ekspertu nosūta dalībai starptautiskajā misijā, un dalības finansēšanas kārtība” 7. un 14.punktam, kā arī saskaņā ar 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Pr>
                <w:rFonts w:ascii="Times New Roman" w:eastAsia="Calibri" w:hAnsi="Times New Roman" w:cs="Times New Roman"/>
                <w:color w:val="000000"/>
                <w:sz w:val="24"/>
                <w:szCs w:val="24"/>
              </w:rPr>
              <w:t xml:space="preserve">u invaliditātes apdrošināšanu). </w:t>
            </w:r>
          </w:p>
          <w:p w:rsidR="00B7288F" w:rsidRDefault="00B7288F" w:rsidP="001A077C">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Saskaņā ar minēto noteikumu 14. punktu civilajiem ekspertiem netiek segti citi izdevumi. Ņemot vērā, ka </w:t>
            </w:r>
            <w:r w:rsidR="00432A67">
              <w:rPr>
                <w:rFonts w:ascii="Times New Roman" w:eastAsia="Calibri" w:hAnsi="Times New Roman" w:cs="Times New Roman"/>
                <w:color w:val="000000"/>
                <w:sz w:val="24"/>
                <w:szCs w:val="24"/>
              </w:rPr>
              <w:t>1 eksperta</w:t>
            </w:r>
            <w:r>
              <w:rPr>
                <w:rFonts w:ascii="Times New Roman" w:eastAsia="Calibri" w:hAnsi="Times New Roman" w:cs="Times New Roman"/>
                <w:color w:val="000000"/>
                <w:sz w:val="24"/>
                <w:szCs w:val="24"/>
              </w:rPr>
              <w:t xml:space="preserve"> paredzētais</w:t>
            </w:r>
            <w:r w:rsidRPr="002675E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dalības </w:t>
            </w:r>
            <w:r w:rsidRPr="002675E3">
              <w:rPr>
                <w:rFonts w:ascii="Times New Roman" w:eastAsia="Calibri" w:hAnsi="Times New Roman" w:cs="Times New Roman"/>
                <w:color w:val="000000"/>
                <w:sz w:val="24"/>
                <w:szCs w:val="24"/>
              </w:rPr>
              <w:t>laiks misijā š</w:t>
            </w:r>
            <w:r>
              <w:rPr>
                <w:rFonts w:ascii="Times New Roman" w:eastAsia="Calibri" w:hAnsi="Times New Roman" w:cs="Times New Roman"/>
                <w:color w:val="000000"/>
                <w:sz w:val="24"/>
                <w:szCs w:val="24"/>
              </w:rPr>
              <w:t xml:space="preserve">ajā laika periodā ir 1 gads, </w:t>
            </w:r>
            <w:r w:rsidRPr="002675E3">
              <w:rPr>
                <w:rFonts w:ascii="Times New Roman" w:eastAsia="Calibri" w:hAnsi="Times New Roman" w:cs="Times New Roman"/>
                <w:color w:val="000000"/>
                <w:sz w:val="24"/>
                <w:szCs w:val="24"/>
              </w:rPr>
              <w:t xml:space="preserve">tad apdrošināšanas izdevumu apmērs ir </w:t>
            </w:r>
            <w:r w:rsidRPr="000756D9">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w:t>
            </w:r>
          </w:p>
          <w:p w:rsidR="00B8278B" w:rsidRPr="002675E3" w:rsidRDefault="00B8278B" w:rsidP="001A077C">
            <w:pPr>
              <w:spacing w:after="120" w:line="240" w:lineRule="auto"/>
              <w:jc w:val="both"/>
              <w:rPr>
                <w:rFonts w:ascii="Times New Roman" w:eastAsia="Calibri" w:hAnsi="Times New Roman" w:cs="Times New Roman"/>
                <w:color w:val="000000"/>
                <w:sz w:val="24"/>
                <w:szCs w:val="24"/>
              </w:rPr>
            </w:pPr>
          </w:p>
        </w:tc>
      </w:tr>
      <w:tr w:rsidR="00B7288F" w:rsidRPr="002675E3" w:rsidTr="001A0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jc w:val="both"/>
              <w:rPr>
                <w:rFonts w:ascii="Times New Roman" w:eastAsia="Calibri" w:hAnsi="Times New Roman" w:cs="Times New Roman"/>
                <w:noProof/>
                <w:sz w:val="24"/>
                <w:szCs w:val="24"/>
              </w:rPr>
            </w:pPr>
            <w:r w:rsidRPr="002675E3">
              <w:rPr>
                <w:rFonts w:ascii="Times New Roman" w:eastAsia="Calibri" w:hAnsi="Times New Roman" w:cs="Times New Roman"/>
                <w:noProof/>
                <w:sz w:val="24"/>
                <w:szCs w:val="24"/>
              </w:rPr>
              <w:t>Ārlietu ministrija</w:t>
            </w:r>
          </w:p>
          <w:p w:rsidR="00B8278B" w:rsidRDefault="00B8278B" w:rsidP="001A077C">
            <w:pPr>
              <w:spacing w:after="0" w:line="240" w:lineRule="auto"/>
              <w:jc w:val="both"/>
              <w:rPr>
                <w:rFonts w:ascii="Times New Roman" w:eastAsia="Calibri" w:hAnsi="Times New Roman" w:cs="Times New Roman"/>
                <w:noProof/>
                <w:sz w:val="24"/>
                <w:szCs w:val="24"/>
              </w:rPr>
            </w:pPr>
          </w:p>
          <w:p w:rsidR="00B8278B" w:rsidRDefault="00B8278B" w:rsidP="001A077C">
            <w:pPr>
              <w:spacing w:after="0" w:line="240" w:lineRule="auto"/>
              <w:jc w:val="both"/>
              <w:rPr>
                <w:rFonts w:ascii="Times New Roman" w:eastAsia="Calibri" w:hAnsi="Times New Roman" w:cs="Times New Roman"/>
                <w:noProof/>
                <w:sz w:val="24"/>
                <w:szCs w:val="24"/>
              </w:rPr>
            </w:pPr>
          </w:p>
          <w:p w:rsidR="00B8278B" w:rsidRPr="002675E3" w:rsidRDefault="00B8278B" w:rsidP="001A077C">
            <w:pPr>
              <w:spacing w:after="0" w:line="240" w:lineRule="auto"/>
              <w:jc w:val="both"/>
              <w:rPr>
                <w:rFonts w:ascii="Times New Roman" w:eastAsia="Times New Roman" w:hAnsi="Times New Roman" w:cs="Times New Roman"/>
                <w:iCs/>
                <w:noProof/>
                <w:color w:val="A6A6A6"/>
                <w:sz w:val="24"/>
                <w:szCs w:val="24"/>
                <w:lang w:eastAsia="lv-LV"/>
              </w:rPr>
            </w:pPr>
          </w:p>
        </w:tc>
      </w:tr>
      <w:tr w:rsidR="00B7288F" w:rsidRPr="002675E3" w:rsidTr="001A077C">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8278B" w:rsidRDefault="00432A67" w:rsidP="001F68B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Ņemot vērā to, ka civilais eksperts</w:t>
            </w:r>
            <w:r w:rsidR="00B7288F">
              <w:rPr>
                <w:rFonts w:ascii="Times New Roman" w:eastAsia="Times New Roman" w:hAnsi="Times New Roman" w:cs="Times New Roman"/>
                <w:iCs/>
                <w:noProof/>
                <w:sz w:val="24"/>
                <w:szCs w:val="24"/>
                <w:lang w:eastAsia="lv-LV"/>
              </w:rPr>
              <w:t xml:space="preserve"> jau  pilda pienākumus misijā un esošais tiesiskais regulējums ir spēkā līdz 2019. gada </w:t>
            </w:r>
            <w:r>
              <w:rPr>
                <w:rFonts w:ascii="Times New Roman" w:eastAsia="Times New Roman" w:hAnsi="Times New Roman" w:cs="Times New Roman"/>
                <w:iCs/>
                <w:noProof/>
                <w:sz w:val="24"/>
                <w:szCs w:val="24"/>
                <w:lang w:eastAsia="lv-LV"/>
              </w:rPr>
              <w:t>13</w:t>
            </w:r>
            <w:r w:rsidR="00B7288F">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oktobrim</w:t>
            </w:r>
            <w:r w:rsidR="00B7288F">
              <w:rPr>
                <w:rFonts w:ascii="Times New Roman" w:eastAsia="Times New Roman" w:hAnsi="Times New Roman" w:cs="Times New Roman"/>
                <w:iCs/>
                <w:noProof/>
                <w:sz w:val="24"/>
                <w:szCs w:val="24"/>
                <w:lang w:eastAsia="lv-LV"/>
              </w:rPr>
              <w:t xml:space="preserve">, ir nepieciešams nodrošināt, lai rīkojuma projekts tiktu pieņemts ne </w:t>
            </w:r>
            <w:r w:rsidR="00B7288F">
              <w:rPr>
                <w:rFonts w:ascii="Times New Roman" w:eastAsia="Times New Roman" w:hAnsi="Times New Roman" w:cs="Times New Roman"/>
                <w:iCs/>
                <w:noProof/>
                <w:sz w:val="24"/>
                <w:szCs w:val="24"/>
                <w:lang w:eastAsia="lv-LV"/>
              </w:rPr>
              <w:lastRenderedPageBreak/>
              <w:t xml:space="preserve">vēlāk kā 2019.gada </w:t>
            </w:r>
            <w:r>
              <w:rPr>
                <w:rFonts w:ascii="Times New Roman" w:eastAsia="Times New Roman" w:hAnsi="Times New Roman" w:cs="Times New Roman"/>
                <w:iCs/>
                <w:noProof/>
                <w:sz w:val="24"/>
                <w:szCs w:val="24"/>
                <w:lang w:eastAsia="lv-LV"/>
              </w:rPr>
              <w:t>8</w:t>
            </w:r>
            <w:r w:rsidR="00B7288F">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oktobrī</w:t>
            </w:r>
            <w:r w:rsidR="00B7288F">
              <w:rPr>
                <w:rFonts w:ascii="Times New Roman" w:eastAsia="Times New Roman" w:hAnsi="Times New Roman" w:cs="Times New Roman"/>
                <w:iCs/>
                <w:noProof/>
                <w:sz w:val="24"/>
                <w:szCs w:val="24"/>
                <w:lang w:eastAsia="lv-LV"/>
              </w:rPr>
              <w:t>.</w:t>
            </w:r>
          </w:p>
          <w:p w:rsidR="00B8278B" w:rsidRPr="00B8278B" w:rsidRDefault="00B8278B" w:rsidP="001F68B8">
            <w:pPr>
              <w:spacing w:after="0" w:line="240" w:lineRule="auto"/>
              <w:jc w:val="both"/>
              <w:rPr>
                <w:rFonts w:ascii="Times New Roman" w:eastAsia="Times New Roman" w:hAnsi="Times New Roman" w:cs="Times New Roman"/>
                <w:iCs/>
                <w:noProof/>
                <w:sz w:val="24"/>
                <w:szCs w:val="24"/>
                <w:lang w:eastAsia="lv-LV"/>
              </w:rPr>
            </w:pP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B7288F" w:rsidRPr="002675E3" w:rsidTr="001A077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7288F" w:rsidRDefault="00B7288F" w:rsidP="004D25E1">
                  <w:pPr>
                    <w:spacing w:after="0" w:line="240" w:lineRule="auto"/>
                    <w:rPr>
                      <w:rFonts w:ascii="Times New Roman" w:eastAsia="Times New Roman" w:hAnsi="Times New Roman" w:cs="Times New Roman"/>
                      <w:noProof/>
                      <w:sz w:val="24"/>
                      <w:szCs w:val="24"/>
                      <w:lang w:eastAsia="lv-LV"/>
                    </w:rPr>
                  </w:pPr>
                  <w:r w:rsidRPr="006C6CF4">
                    <w:rPr>
                      <w:rFonts w:ascii="Times New Roman" w:eastAsia="Times New Roman" w:hAnsi="Times New Roman" w:cs="Times New Roman"/>
                      <w:noProof/>
                      <w:sz w:val="24"/>
                      <w:szCs w:val="24"/>
                      <w:lang w:eastAsia="lv-LV"/>
                    </w:rPr>
                    <w:t>Rīkojuma</w:t>
                  </w:r>
                  <w:r>
                    <w:rPr>
                      <w:rFonts w:ascii="Times New Roman" w:eastAsia="Times New Roman" w:hAnsi="Times New Roman" w:cs="Times New Roman"/>
                      <w:noProof/>
                      <w:sz w:val="24"/>
                      <w:szCs w:val="24"/>
                      <w:lang w:eastAsia="lv-LV"/>
                    </w:rPr>
                    <w:t xml:space="preserve"> projekts atti</w:t>
                  </w:r>
                  <w:r w:rsidR="004D25E1">
                    <w:rPr>
                      <w:rFonts w:ascii="Times New Roman" w:eastAsia="Times New Roman" w:hAnsi="Times New Roman" w:cs="Times New Roman"/>
                      <w:noProof/>
                      <w:sz w:val="24"/>
                      <w:szCs w:val="24"/>
                      <w:lang w:eastAsia="lv-LV"/>
                    </w:rPr>
                    <w:t>ecas uz konkrēto civilo ekspertu</w:t>
                  </w:r>
                  <w:r>
                    <w:rPr>
                      <w:rFonts w:ascii="Times New Roman" w:eastAsia="Times New Roman" w:hAnsi="Times New Roman" w:cs="Times New Roman"/>
                      <w:noProof/>
                      <w:sz w:val="24"/>
                      <w:szCs w:val="24"/>
                      <w:lang w:eastAsia="lv-LV"/>
                    </w:rPr>
                    <w:t xml:space="preserve"> </w:t>
                  </w:r>
                  <w:r w:rsidR="004D25E1">
                    <w:rPr>
                      <w:rFonts w:ascii="Times New Roman" w:eastAsia="Times New Roman" w:hAnsi="Times New Roman" w:cs="Times New Roman"/>
                      <w:noProof/>
                      <w:sz w:val="24"/>
                      <w:szCs w:val="24"/>
                      <w:lang w:eastAsia="lv-LV"/>
                    </w:rPr>
                    <w:t>–</w:t>
                  </w:r>
                  <w:r w:rsidRPr="006C6CF4">
                    <w:rPr>
                      <w:rFonts w:ascii="Times New Roman" w:eastAsia="Times New Roman" w:hAnsi="Times New Roman" w:cs="Times New Roman"/>
                      <w:noProof/>
                      <w:sz w:val="24"/>
                      <w:szCs w:val="24"/>
                      <w:lang w:eastAsia="lv-LV"/>
                    </w:rPr>
                    <w:t xml:space="preserve"> </w:t>
                  </w:r>
                  <w:r w:rsidR="004D25E1">
                    <w:rPr>
                      <w:rFonts w:ascii="Times New Roman" w:eastAsia="Times New Roman" w:hAnsi="Times New Roman" w:cs="Times New Roman"/>
                      <w:noProof/>
                      <w:sz w:val="24"/>
                      <w:szCs w:val="24"/>
                      <w:lang w:eastAsia="lv-LV"/>
                    </w:rPr>
                    <w:t>Oļegu Lagutinu</w:t>
                  </w:r>
                  <w:r>
                    <w:rPr>
                      <w:rFonts w:ascii="Times New Roman" w:eastAsia="Times New Roman" w:hAnsi="Times New Roman" w:cs="Times New Roman"/>
                      <w:noProof/>
                      <w:sz w:val="24"/>
                      <w:szCs w:val="24"/>
                      <w:lang w:eastAsia="lv-LV"/>
                    </w:rPr>
                    <w:t>.</w:t>
                  </w:r>
                </w:p>
                <w:p w:rsidR="00B8278B" w:rsidRDefault="00B8278B" w:rsidP="004D25E1">
                  <w:pPr>
                    <w:spacing w:after="0" w:line="240" w:lineRule="auto"/>
                    <w:rPr>
                      <w:rFonts w:ascii="Times New Roman" w:eastAsia="Times New Roman" w:hAnsi="Times New Roman" w:cs="Times New Roman"/>
                      <w:noProof/>
                      <w:sz w:val="24"/>
                      <w:szCs w:val="24"/>
                      <w:lang w:eastAsia="lv-LV"/>
                    </w:rPr>
                  </w:pPr>
                </w:p>
                <w:p w:rsidR="00B8278B" w:rsidRPr="002675E3" w:rsidRDefault="00B8278B" w:rsidP="004D25E1">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B8278B" w:rsidRDefault="00B8278B" w:rsidP="001A077C">
                  <w:pPr>
                    <w:spacing w:after="0" w:line="240" w:lineRule="auto"/>
                    <w:rPr>
                      <w:rFonts w:ascii="Times New Roman" w:eastAsia="Times New Roman" w:hAnsi="Times New Roman" w:cs="Times New Roman"/>
                      <w:noProof/>
                      <w:sz w:val="24"/>
                      <w:szCs w:val="24"/>
                      <w:lang w:eastAsia="lv-LV"/>
                    </w:rPr>
                  </w:pPr>
                </w:p>
                <w:p w:rsidR="00B8278B" w:rsidRDefault="00B8278B" w:rsidP="001A077C">
                  <w:pPr>
                    <w:spacing w:after="0" w:line="240" w:lineRule="auto"/>
                    <w:rPr>
                      <w:rFonts w:ascii="Times New Roman" w:eastAsia="Times New Roman" w:hAnsi="Times New Roman" w:cs="Times New Roman"/>
                      <w:noProof/>
                      <w:sz w:val="24"/>
                      <w:szCs w:val="24"/>
                      <w:lang w:eastAsia="lv-LV"/>
                    </w:rPr>
                  </w:pPr>
                </w:p>
                <w:p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B8278B" w:rsidRDefault="00B8278B" w:rsidP="001A077C">
                  <w:pPr>
                    <w:spacing w:after="0" w:line="240" w:lineRule="auto"/>
                    <w:rPr>
                      <w:rFonts w:ascii="Times New Roman" w:eastAsia="Times New Roman" w:hAnsi="Times New Roman" w:cs="Times New Roman"/>
                      <w:noProof/>
                      <w:sz w:val="24"/>
                      <w:szCs w:val="24"/>
                      <w:lang w:eastAsia="lv-LV"/>
                    </w:rPr>
                  </w:pPr>
                </w:p>
                <w:p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p w:rsidR="00B8278B" w:rsidRDefault="00B8278B" w:rsidP="001A077C">
                  <w:pPr>
                    <w:spacing w:after="0" w:line="240" w:lineRule="auto"/>
                    <w:rPr>
                      <w:rFonts w:ascii="Times New Roman" w:eastAsia="Times New Roman" w:hAnsi="Times New Roman" w:cs="Times New Roman"/>
                      <w:noProof/>
                      <w:sz w:val="24"/>
                      <w:szCs w:val="24"/>
                      <w:lang w:eastAsia="lv-LV"/>
                    </w:rPr>
                  </w:pPr>
                </w:p>
                <w:p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p w:rsidR="00B8278B" w:rsidRPr="002675E3" w:rsidRDefault="00B8278B" w:rsidP="001A077C">
                  <w:pPr>
                    <w:spacing w:after="0" w:line="240" w:lineRule="auto"/>
                    <w:rPr>
                      <w:rFonts w:ascii="Times New Roman" w:eastAsia="Times New Roman" w:hAnsi="Times New Roman" w:cs="Times New Roman"/>
                      <w:noProof/>
                      <w:sz w:val="24"/>
                      <w:szCs w:val="24"/>
                      <w:lang w:eastAsia="lv-LV"/>
                    </w:rPr>
                  </w:pPr>
                </w:p>
              </w:tc>
            </w:tr>
          </w:tbl>
          <w:p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B7288F" w:rsidRPr="002675E3" w:rsidTr="001A077C">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1"/>
              <w:gridCol w:w="901"/>
              <w:gridCol w:w="1059"/>
              <w:gridCol w:w="831"/>
              <w:gridCol w:w="30"/>
              <w:gridCol w:w="1059"/>
              <w:gridCol w:w="861"/>
              <w:gridCol w:w="1059"/>
              <w:gridCol w:w="1074"/>
            </w:tblGrid>
            <w:tr w:rsidR="00B7288F" w:rsidRPr="002675E3" w:rsidTr="001A077C">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2019</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B7288F" w:rsidRPr="002675E3"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r>
            <w:tr w:rsidR="00B7288F" w:rsidRPr="002675E3" w:rsidTr="001A077C">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B7288F" w:rsidRPr="002675E3" w:rsidRDefault="00B7288F" w:rsidP="001A077C">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2020</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B7288F" w:rsidRPr="002675E3" w:rsidRDefault="00B7288F" w:rsidP="001A077C">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w:t>
                  </w:r>
                  <w:r>
                    <w:rPr>
                      <w:rFonts w:ascii="Times New Roman" w:eastAsia="Times New Roman" w:hAnsi="Times New Roman" w:cs="Times New Roman"/>
                      <w:noProof/>
                      <w:sz w:val="19"/>
                      <w:szCs w:val="19"/>
                      <w:lang w:eastAsia="lv-LV"/>
                    </w:rPr>
                    <w:t>ēja termiņa budžeta ietvaru 2021</w:t>
                  </w:r>
                  <w:r w:rsidRPr="002675E3">
                    <w:rPr>
                      <w:rFonts w:ascii="Times New Roman" w:eastAsia="Times New Roman" w:hAnsi="Times New Roman" w:cs="Times New Roman"/>
                      <w:noProof/>
                      <w:sz w:val="19"/>
                      <w:szCs w:val="19"/>
                      <w:lang w:eastAsia="lv-LV"/>
                    </w:rPr>
                    <w:t>. gadam</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7288F" w:rsidRPr="002675E3" w:rsidRDefault="00B7288F" w:rsidP="001A077C">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B7288F" w:rsidRPr="002675E3" w:rsidRDefault="00B7288F" w:rsidP="001A077C">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B7288F" w:rsidRPr="002675E3"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w:t>
                  </w:r>
                  <w:r w:rsidR="004811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w:t>
                  </w:r>
                  <w:r w:rsidR="0048119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4D25E1">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4D25E1">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4D25E1">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4D25E1">
                    <w:rPr>
                      <w:rFonts w:ascii="Times New Roman" w:eastAsia="Times New Roman" w:hAnsi="Times New Roman" w:cs="Times New Roman"/>
                      <w:sz w:val="24"/>
                      <w:szCs w:val="24"/>
                      <w:lang w:eastAsia="lv-LV"/>
                    </w:rPr>
                    <w:t>1</w:t>
                  </w:r>
                  <w:r w:rsidR="0048119E">
                    <w:rPr>
                      <w:rFonts w:ascii="Times New Roman" w:eastAsia="Times New Roman" w:hAnsi="Times New Roman" w:cs="Times New Roman"/>
                      <w:sz w:val="24"/>
                      <w:szCs w:val="24"/>
                      <w:lang w:eastAsia="lv-LV"/>
                    </w:rPr>
                    <w:t xml:space="preserve"> </w:t>
                  </w:r>
                  <w:r w:rsidR="004D25E1">
                    <w:rPr>
                      <w:rFonts w:ascii="Times New Roman" w:eastAsia="Times New Roman" w:hAnsi="Times New Roman" w:cs="Times New Roman"/>
                      <w:sz w:val="24"/>
                      <w:szCs w:val="24"/>
                      <w:lang w:eastAsia="lv-LV"/>
                    </w:rPr>
                    <w:t>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4D25E1">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004D25E1">
                    <w:rPr>
                      <w:rFonts w:ascii="Times New Roman" w:eastAsia="Times New Roman" w:hAnsi="Times New Roman" w:cs="Times New Roman"/>
                      <w:noProof/>
                      <w:sz w:val="24"/>
                      <w:szCs w:val="24"/>
                      <w:lang w:eastAsia="lv-LV"/>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4D25E1">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4D25E1">
                    <w:rPr>
                      <w:rFonts w:ascii="Times New Roman" w:eastAsia="Times New Roman" w:hAnsi="Times New Roman" w:cs="Times New Roman"/>
                      <w:sz w:val="24"/>
                      <w:szCs w:val="24"/>
                      <w:lang w:eastAsia="lv-LV"/>
                    </w:rPr>
                    <w:t>1</w:t>
                  </w:r>
                  <w:r w:rsidR="0048119E">
                    <w:rPr>
                      <w:rFonts w:ascii="Times New Roman" w:eastAsia="Times New Roman" w:hAnsi="Times New Roman" w:cs="Times New Roman"/>
                      <w:sz w:val="24"/>
                      <w:szCs w:val="24"/>
                      <w:lang w:eastAsia="lv-LV"/>
                    </w:rPr>
                    <w:t xml:space="preserve"> </w:t>
                  </w:r>
                  <w:r w:rsidR="004D25E1">
                    <w:rPr>
                      <w:rFonts w:ascii="Times New Roman" w:eastAsia="Times New Roman" w:hAnsi="Times New Roman" w:cs="Times New Roman"/>
                      <w:sz w:val="24"/>
                      <w:szCs w:val="24"/>
                      <w:lang w:eastAsia="lv-LV"/>
                    </w:rPr>
                    <w:t>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B7288F" w:rsidRPr="002675E3" w:rsidRDefault="004D25E1" w:rsidP="001A077C">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w:t>
                  </w:r>
                  <w:r w:rsidR="0048119E">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211</w:t>
                  </w:r>
                </w:p>
              </w:tc>
              <w:tc>
                <w:tcPr>
                  <w:tcW w:w="0" w:type="auto"/>
                  <w:tcBorders>
                    <w:top w:val="outset" w:sz="6" w:space="0" w:color="auto"/>
                    <w:left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B7288F" w:rsidRPr="002675E3" w:rsidTr="001A077C">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57"/>
                    <w:gridCol w:w="3077"/>
                    <w:gridCol w:w="1490"/>
                    <w:gridCol w:w="1383"/>
                  </w:tblGrid>
                  <w:tr w:rsidR="00B7288F" w:rsidRPr="002675E3" w:rsidTr="001A077C">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8F" w:rsidRPr="002675E3" w:rsidRDefault="00B7288F" w:rsidP="001A077C">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p>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Izdevumi 2019.-2020</w:t>
                        </w:r>
                        <w:r w:rsidRPr="002675E3">
                          <w:rPr>
                            <w:rFonts w:ascii="Times New Roman" w:eastAsia="Times New Roman" w:hAnsi="Times New Roman" w:cs="Times New Roman"/>
                            <w:color w:val="000000"/>
                            <w:sz w:val="20"/>
                            <w:szCs w:val="20"/>
                            <w:lang w:eastAsia="lv-LV"/>
                          </w:rPr>
                          <w:t>. gadā</w:t>
                        </w:r>
                      </w:p>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(14.10.2019.-13.10</w:t>
                        </w:r>
                        <w:r w:rsidR="00B7288F">
                          <w:rPr>
                            <w:rFonts w:ascii="Times New Roman" w:eastAsia="Times New Roman" w:hAnsi="Times New Roman" w:cs="Times New Roman"/>
                            <w:color w:val="000000"/>
                            <w:sz w:val="20"/>
                            <w:szCs w:val="20"/>
                            <w:lang w:eastAsia="lv-LV"/>
                          </w:rPr>
                          <w:t>.2020</w:t>
                        </w:r>
                        <w:r w:rsidR="00B7288F" w:rsidRPr="002675E3">
                          <w:rPr>
                            <w:rFonts w:ascii="Times New Roman" w:eastAsia="Times New Roman" w:hAnsi="Times New Roman" w:cs="Times New Roman"/>
                            <w:color w:val="000000"/>
                            <w:sz w:val="20"/>
                            <w:szCs w:val="20"/>
                            <w:lang w:eastAsia="lv-LV"/>
                          </w:rPr>
                          <w:t>.)</w:t>
                        </w:r>
                      </w:p>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p>
                    </w:tc>
                  </w:tr>
                  <w:tr w:rsidR="00B7288F" w:rsidRPr="002675E3" w:rsidTr="001A077C">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88F" w:rsidRPr="002675E3" w:rsidRDefault="00B7288F" w:rsidP="001A077C">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2019</w:t>
                        </w:r>
                        <w:r w:rsidRPr="002675E3">
                          <w:rPr>
                            <w:rFonts w:ascii="Times New Roman" w:eastAsia="Times New Roman" w:hAnsi="Times New Roman" w:cs="Times New Roman"/>
                            <w:b/>
                            <w:color w:val="000000"/>
                            <w:sz w:val="20"/>
                            <w:szCs w:val="20"/>
                            <w:lang w:eastAsia="lv-LV"/>
                          </w:rPr>
                          <w:t>. gadā</w:t>
                        </w:r>
                      </w:p>
                      <w:p w:rsidR="00B7288F" w:rsidRPr="002675E3" w:rsidRDefault="00B7288F" w:rsidP="001A077C">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rsidR="00B7288F" w:rsidRPr="002675E3" w:rsidRDefault="00B7288F" w:rsidP="001A077C">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2020</w:t>
                        </w:r>
                        <w:r w:rsidRPr="002675E3">
                          <w:rPr>
                            <w:rFonts w:ascii="Times New Roman" w:eastAsia="Times New Roman" w:hAnsi="Times New Roman" w:cs="Times New Roman"/>
                            <w:b/>
                            <w:color w:val="000000"/>
                            <w:sz w:val="20"/>
                            <w:szCs w:val="20"/>
                            <w:lang w:eastAsia="lv-LV"/>
                          </w:rPr>
                          <w:t>. gadā</w:t>
                        </w:r>
                      </w:p>
                      <w:p w:rsidR="00B7288F" w:rsidRPr="002675E3" w:rsidRDefault="00B7288F" w:rsidP="001A077C">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B7288F" w:rsidRPr="002675E3" w:rsidTr="001A077C">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88F" w:rsidRPr="002675E3" w:rsidRDefault="00B7288F" w:rsidP="001A077C">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B7288F" w:rsidP="001A077C">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4D25E1" w:rsidP="001A077C">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B7288F" w:rsidRPr="002675E3" w:rsidRDefault="004D25E1" w:rsidP="001A077C">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w:t>
                        </w:r>
                        <w:r w:rsidR="00BB04DD">
                          <w:rPr>
                            <w:rFonts w:ascii="Times New Roman" w:eastAsia="Times New Roman" w:hAnsi="Times New Roman" w:cs="Times New Roman"/>
                            <w:b/>
                            <w:color w:val="000000"/>
                            <w:sz w:val="20"/>
                            <w:szCs w:val="20"/>
                            <w:lang w:eastAsia="lv-LV"/>
                          </w:rPr>
                          <w:t> </w:t>
                        </w:r>
                        <w:r>
                          <w:rPr>
                            <w:rFonts w:ascii="Times New Roman" w:eastAsia="Times New Roman" w:hAnsi="Times New Roman" w:cs="Times New Roman"/>
                            <w:b/>
                            <w:color w:val="000000"/>
                            <w:sz w:val="20"/>
                            <w:szCs w:val="20"/>
                            <w:lang w:eastAsia="lv-LV"/>
                          </w:rPr>
                          <w:t>211</w:t>
                        </w:r>
                      </w:p>
                    </w:tc>
                  </w:tr>
                  <w:tr w:rsidR="00B7288F" w:rsidRPr="002675E3" w:rsidTr="001A077C">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BB04DD">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211</w:t>
                        </w:r>
                      </w:p>
                    </w:tc>
                  </w:tr>
                  <w:tr w:rsidR="00B7288F" w:rsidRPr="002675E3" w:rsidTr="001A077C">
                    <w:trPr>
                      <w:trHeight w:val="190"/>
                    </w:trPr>
                    <w:tc>
                      <w:tcPr>
                        <w:tcW w:w="564" w:type="pct"/>
                        <w:vMerge w:val="restart"/>
                        <w:tcBorders>
                          <w:top w:val="single" w:sz="4" w:space="0" w:color="auto"/>
                          <w:left w:val="single" w:sz="4" w:space="0" w:color="auto"/>
                          <w:right w:val="single" w:sz="4"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88F" w:rsidRPr="002675E3" w:rsidRDefault="00B7288F" w:rsidP="001A077C">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BB04DD">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211</w:t>
                        </w:r>
                      </w:p>
                    </w:tc>
                  </w:tr>
                  <w:tr w:rsidR="00B7288F" w:rsidRPr="002675E3" w:rsidTr="001A077C">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sidR="004D25E1">
                          <w:rPr>
                            <w:rFonts w:ascii="Times New Roman" w:eastAsia="Times New Roman" w:hAnsi="Times New Roman" w:cs="Times New Roman"/>
                            <w:color w:val="000000"/>
                            <w:sz w:val="20"/>
                            <w:szCs w:val="20"/>
                            <w:u w:val="single"/>
                            <w:lang w:eastAsia="lv-LV"/>
                          </w:rPr>
                          <w:t>1 eksperta</w:t>
                        </w:r>
                        <w:r>
                          <w:rPr>
                            <w:rFonts w:ascii="Times New Roman" w:eastAsia="Times New Roman" w:hAnsi="Times New Roman" w:cs="Times New Roman"/>
                            <w:color w:val="000000"/>
                            <w:sz w:val="20"/>
                            <w:szCs w:val="20"/>
                            <w:lang w:eastAsia="lv-LV"/>
                          </w:rPr>
                          <w:t xml:space="preserve"> nosūtīšanai EDSO S</w:t>
                        </w:r>
                        <w:r w:rsidRPr="002675E3">
                          <w:rPr>
                            <w:rFonts w:ascii="Times New Roman" w:eastAsia="Times New Roman" w:hAnsi="Times New Roman" w:cs="Times New Roman"/>
                            <w:color w:val="000000"/>
                            <w:sz w:val="20"/>
                            <w:szCs w:val="20"/>
                            <w:lang w:eastAsia="lv-LV"/>
                          </w:rPr>
                          <w:t xml:space="preserve">peciālajā novērošanas misijā Ukrainā (apdrošināšanas izdevumu apjoms vienam ekspertam gadā ir 1543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par </w:t>
                        </w:r>
                        <w:r>
                          <w:rPr>
                            <w:rFonts w:ascii="Times New Roman" w:eastAsia="Times New Roman" w:hAnsi="Times New Roman" w:cs="Times New Roman"/>
                            <w:color w:val="000000"/>
                            <w:sz w:val="20"/>
                            <w:szCs w:val="20"/>
                            <w:lang w:eastAsia="lv-LV"/>
                          </w:rPr>
                          <w:t>vienu gadu vienam ekspertam</w:t>
                        </w:r>
                        <w:bookmarkStart w:id="0" w:name="_GoBack"/>
                        <w:bookmarkEnd w:id="0"/>
                        <w:r w:rsidRPr="002675E3">
                          <w:rPr>
                            <w:rFonts w:ascii="Times New Roman" w:eastAsia="Times New Roman" w:hAnsi="Times New Roman" w:cs="Times New Roman"/>
                            <w:color w:val="000000"/>
                            <w:sz w:val="20"/>
                            <w:szCs w:val="20"/>
                            <w:lang w:eastAsia="lv-LV"/>
                          </w:rPr>
                          <w:t xml:space="preserve"> – </w:t>
                        </w:r>
                        <w:r w:rsidRPr="000756D9">
                          <w:rPr>
                            <w:rFonts w:ascii="Times New Roman" w:eastAsia="Times New Roman" w:hAnsi="Times New Roman" w:cs="Times New Roman"/>
                            <w:color w:val="000000"/>
                            <w:sz w:val="20"/>
                            <w:szCs w:val="20"/>
                            <w:lang w:eastAsia="lv-LV"/>
                          </w:rPr>
                          <w:t xml:space="preserve">1543 </w:t>
                        </w:r>
                        <w:proofErr w:type="spellStart"/>
                        <w:r w:rsidRPr="004B7E1E">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p>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p>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p>
                      <w:p w:rsidR="00B7288F" w:rsidRPr="002675E3" w:rsidRDefault="00B7288F" w:rsidP="001A077C">
                        <w:pPr>
                          <w:spacing w:after="0" w:line="240" w:lineRule="auto"/>
                          <w:rPr>
                            <w:rFonts w:ascii="Times New Roman" w:eastAsia="Times New Roman" w:hAnsi="Times New Roman" w:cs="Times New Roman"/>
                            <w:color w:val="000000"/>
                            <w:sz w:val="20"/>
                            <w:szCs w:val="20"/>
                            <w:lang w:eastAsia="lv-LV"/>
                          </w:rPr>
                        </w:pPr>
                      </w:p>
                      <w:p w:rsidR="00B7288F" w:rsidRPr="002675E3" w:rsidRDefault="004D25E1" w:rsidP="001A077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BB04DD">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211</w:t>
                        </w:r>
                      </w:p>
                    </w:tc>
                  </w:tr>
                  <w:tr w:rsidR="00B7288F" w:rsidRPr="002675E3" w:rsidTr="001A077C">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8F" w:rsidRPr="002675E3" w:rsidRDefault="00B7288F" w:rsidP="001A077C">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8F" w:rsidRPr="002675E3" w:rsidRDefault="00B7288F" w:rsidP="001A077C">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8F" w:rsidRPr="002675E3" w:rsidRDefault="00B7288F" w:rsidP="001A077C">
                        <w:pPr>
                          <w:spacing w:after="0" w:line="240" w:lineRule="auto"/>
                          <w:jc w:val="center"/>
                          <w:rPr>
                            <w:rFonts w:ascii="Times New Roman" w:eastAsia="Times New Roman" w:hAnsi="Times New Roman" w:cs="Times New Roman"/>
                            <w:b/>
                            <w:color w:val="000000"/>
                            <w:sz w:val="20"/>
                            <w:szCs w:val="20"/>
                            <w:lang w:eastAsia="lv-LV"/>
                          </w:rPr>
                        </w:pPr>
                        <w:r w:rsidRPr="000756D9">
                          <w:rPr>
                            <w:rFonts w:ascii="Times New Roman" w:eastAsia="Times New Roman" w:hAnsi="Times New Roman" w:cs="Times New Roman"/>
                            <w:b/>
                            <w:color w:val="000000"/>
                            <w:sz w:val="20"/>
                            <w:szCs w:val="20"/>
                            <w:lang w:eastAsia="lv-LV"/>
                          </w:rPr>
                          <w:t>1</w:t>
                        </w:r>
                        <w:r w:rsidR="00BB04DD">
                          <w:rPr>
                            <w:rFonts w:ascii="Times New Roman" w:eastAsia="Times New Roman" w:hAnsi="Times New Roman" w:cs="Times New Roman"/>
                            <w:b/>
                            <w:color w:val="000000"/>
                            <w:sz w:val="20"/>
                            <w:szCs w:val="20"/>
                            <w:lang w:eastAsia="lv-LV"/>
                          </w:rPr>
                          <w:t> </w:t>
                        </w:r>
                        <w:r w:rsidRPr="000756D9">
                          <w:rPr>
                            <w:rFonts w:ascii="Times New Roman" w:eastAsia="Times New Roman" w:hAnsi="Times New Roman" w:cs="Times New Roman"/>
                            <w:b/>
                            <w:color w:val="000000"/>
                            <w:sz w:val="20"/>
                            <w:szCs w:val="20"/>
                            <w:lang w:eastAsia="lv-LV"/>
                          </w:rPr>
                          <w:t>543</w:t>
                        </w:r>
                      </w:p>
                    </w:tc>
                  </w:tr>
                </w:tbl>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p w:rsidR="00B8278B" w:rsidRPr="002675E3" w:rsidRDefault="00B8278B" w:rsidP="001A077C">
                  <w:pPr>
                    <w:spacing w:after="120" w:line="240" w:lineRule="auto"/>
                    <w:jc w:val="both"/>
                    <w:rPr>
                      <w:rFonts w:ascii="Times New Roman" w:eastAsia="Times New Roman" w:hAnsi="Times New Roman" w:cs="Times New Roman"/>
                      <w:iCs/>
                      <w:noProof/>
                      <w:sz w:val="24"/>
                      <w:szCs w:val="24"/>
                      <w:lang w:eastAsia="lv-LV"/>
                    </w:rPr>
                  </w:pPr>
                </w:p>
              </w:tc>
            </w:tr>
            <w:tr w:rsidR="00B7288F" w:rsidRPr="002675E3" w:rsidTr="001A077C">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B7288F" w:rsidRPr="002675E3"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B7288F" w:rsidRDefault="00B7288F" w:rsidP="001A07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Izdevumus 2019. gadā </w:t>
                  </w:r>
                  <w:r w:rsidR="004D25E1">
                    <w:rPr>
                      <w:rFonts w:ascii="Times New Roman" w:eastAsia="Calibri" w:hAnsi="Times New Roman" w:cs="Times New Roman"/>
                      <w:sz w:val="24"/>
                      <w:szCs w:val="24"/>
                    </w:rPr>
                    <w:t>332</w:t>
                  </w:r>
                  <w:r>
                    <w:rPr>
                      <w:rFonts w:ascii="Times New Roman" w:eastAsia="Calibri" w:hAnsi="Times New Roman" w:cs="Times New Roman"/>
                      <w:sz w:val="24"/>
                      <w:szCs w:val="24"/>
                    </w:rPr>
                    <w:t xml:space="preserve"> </w:t>
                  </w:r>
                  <w:proofErr w:type="spellStart"/>
                  <w:r w:rsidRPr="002675E3">
                    <w:rPr>
                      <w:rFonts w:ascii="Times New Roman" w:eastAsia="Calibri" w:hAnsi="Times New Roman" w:cs="Times New Roman"/>
                      <w:i/>
                      <w:sz w:val="24"/>
                      <w:szCs w:val="24"/>
                    </w:rPr>
                    <w:t>euro</w:t>
                  </w:r>
                  <w:proofErr w:type="spellEnd"/>
                  <w:r w:rsidRPr="002675E3">
                    <w:rPr>
                      <w:rFonts w:ascii="Times New Roman" w:eastAsia="Calibri" w:hAnsi="Times New Roman" w:cs="Times New Roman"/>
                      <w:i/>
                      <w:sz w:val="24"/>
                      <w:szCs w:val="24"/>
                    </w:rPr>
                    <w:t xml:space="preserve"> </w:t>
                  </w:r>
                  <w:r w:rsidRPr="002675E3">
                    <w:rPr>
                      <w:rFonts w:ascii="Times New Roman" w:eastAsia="Calibri" w:hAnsi="Times New Roman" w:cs="Times New Roman"/>
                      <w:sz w:val="24"/>
                      <w:szCs w:val="24"/>
                    </w:rPr>
                    <w:t>apmērā sedz no valsts budžeta programmas 02.00.00 „Līdzekļi neparedzētiem gadījumiem”.</w:t>
                  </w:r>
                </w:p>
                <w:p w:rsidR="000A1B31" w:rsidRPr="000A1B31" w:rsidRDefault="000A1B31" w:rsidP="000A1B31">
                  <w:pPr>
                    <w:spacing w:after="0" w:line="240" w:lineRule="auto"/>
                    <w:jc w:val="both"/>
                    <w:rPr>
                      <w:rFonts w:ascii="Times New Roman" w:eastAsia="Times New Roman" w:hAnsi="Times New Roman" w:cs="Times New Roman"/>
                      <w:iCs/>
                      <w:sz w:val="24"/>
                      <w:szCs w:val="24"/>
                      <w:lang w:eastAsia="lv-LV"/>
                    </w:rPr>
                  </w:pPr>
                  <w:r w:rsidRPr="000A1B31">
                    <w:rPr>
                      <w:rFonts w:ascii="Times New Roman" w:eastAsia="Times New Roman" w:hAnsi="Times New Roman" w:cs="Times New Roman"/>
                      <w:iCs/>
                      <w:sz w:val="24"/>
                      <w:szCs w:val="24"/>
                      <w:lang w:eastAsia="lv-LV"/>
                    </w:rPr>
                    <w:t>Nepieciešams palielināt Ārlietu ministrijas budžeta izdevumus programmā 97.00.00 "Nozaru vadība un politikas plānošana" 1211 apmērā civilā eksperta darbības nodrošināšanai no 2020. gada 1. janvāra, vienlaikus samazinot finansējumu valsts budžeta resora "74. Gadskārtējā valsts budžeta izpildes procesā pārdalāmais finansējums" programmai 02.00.00 "Līdzekļi neparedzētiem gadījumiem".</w:t>
                  </w:r>
                </w:p>
                <w:p w:rsidR="00B8278B" w:rsidRPr="007E06C7" w:rsidRDefault="00B8278B" w:rsidP="001A077C">
                  <w:pPr>
                    <w:spacing w:after="0" w:line="240" w:lineRule="auto"/>
                    <w:jc w:val="both"/>
                    <w:rPr>
                      <w:rFonts w:ascii="Times New Roman" w:eastAsia="Calibri" w:hAnsi="Times New Roman" w:cs="Times New Roman"/>
                      <w:sz w:val="24"/>
                      <w:szCs w:val="24"/>
                    </w:rPr>
                  </w:pPr>
                </w:p>
              </w:tc>
            </w:tr>
          </w:tbl>
          <w:p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288F" w:rsidRPr="002675E3" w:rsidRDefault="00B7288F" w:rsidP="001A077C">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B7288F" w:rsidRPr="002675E3" w:rsidTr="001A077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jc w:val="center"/>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7288F" w:rsidRPr="002675E3" w:rsidTr="001A0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B7288F" w:rsidRPr="002675E3" w:rsidTr="001A077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jc w:val="center"/>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B7288F" w:rsidRPr="002675E3" w:rsidRDefault="00B7288F" w:rsidP="00B7288F">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7288F" w:rsidRPr="002675E3" w:rsidTr="001A07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288F" w:rsidRPr="002675E3" w:rsidRDefault="00B7288F" w:rsidP="001A077C">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B7288F" w:rsidRPr="002675E3"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rPr>
                <w:rFonts w:ascii="Times New Roman" w:eastAsia="Calibri" w:hAnsi="Times New Roman" w:cs="Times New Roman"/>
                <w:noProof/>
                <w:sz w:val="24"/>
                <w:szCs w:val="24"/>
                <w:lang w:eastAsia="lv-LV"/>
              </w:rPr>
            </w:pPr>
            <w:r w:rsidRPr="002675E3">
              <w:rPr>
                <w:rFonts w:ascii="Times New Roman" w:eastAsia="Calibri" w:hAnsi="Times New Roman" w:cs="Times New Roman"/>
                <w:noProof/>
                <w:sz w:val="24"/>
                <w:szCs w:val="24"/>
                <w:lang w:eastAsia="lv-LV"/>
              </w:rPr>
              <w:t>Ārlietu ministrija, Finanšu ministrija</w:t>
            </w:r>
          </w:p>
          <w:p w:rsidR="00B8278B" w:rsidRDefault="00B8278B" w:rsidP="001A077C">
            <w:pPr>
              <w:spacing w:after="0" w:line="240" w:lineRule="auto"/>
              <w:rPr>
                <w:rFonts w:ascii="Times New Roman" w:eastAsia="Calibri" w:hAnsi="Times New Roman" w:cs="Times New Roman"/>
                <w:noProof/>
                <w:sz w:val="24"/>
                <w:szCs w:val="24"/>
                <w:lang w:eastAsia="lv-LV"/>
              </w:rPr>
            </w:pPr>
          </w:p>
          <w:p w:rsidR="00B8278B" w:rsidRPr="002675E3" w:rsidRDefault="00B8278B" w:rsidP="001A077C">
            <w:pPr>
              <w:spacing w:after="0" w:line="240" w:lineRule="auto"/>
              <w:rPr>
                <w:rFonts w:ascii="Times New Roman" w:eastAsia="Times New Roman" w:hAnsi="Times New Roman" w:cs="Times New Roman"/>
                <w:iCs/>
                <w:noProof/>
                <w:color w:val="A6A6A6"/>
                <w:sz w:val="24"/>
                <w:szCs w:val="24"/>
                <w:lang w:eastAsia="lv-LV"/>
              </w:rPr>
            </w:pPr>
          </w:p>
        </w:tc>
      </w:tr>
      <w:tr w:rsidR="00B7288F" w:rsidRPr="002675E3"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2675E3">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7288F" w:rsidRDefault="00B7288F" w:rsidP="001A077C">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rsidR="00B7288F" w:rsidRDefault="00B7288F" w:rsidP="001A077C">
            <w:pPr>
              <w:spacing w:after="0" w:line="240" w:lineRule="auto"/>
              <w:rPr>
                <w:rFonts w:ascii="Times New Roman" w:eastAsia="Times New Roman" w:hAnsi="Times New Roman" w:cs="Times New Roman"/>
                <w:noProof/>
                <w:sz w:val="24"/>
                <w:szCs w:val="24"/>
                <w:lang w:eastAsia="lv-LV"/>
              </w:rPr>
            </w:pPr>
          </w:p>
          <w:p w:rsidR="00B7288F" w:rsidRDefault="00B7288F" w:rsidP="001A077C">
            <w:pPr>
              <w:spacing w:after="0" w:line="240" w:lineRule="auto"/>
              <w:rPr>
                <w:rFonts w:ascii="Times New Roman" w:eastAsia="Times New Roman" w:hAnsi="Times New Roman" w:cs="Times New Roman"/>
                <w:noProof/>
                <w:sz w:val="24"/>
                <w:szCs w:val="24"/>
                <w:lang w:eastAsia="lv-LV"/>
              </w:rPr>
            </w:pPr>
          </w:p>
          <w:p w:rsidR="00B7288F" w:rsidRDefault="00B7288F" w:rsidP="001A077C">
            <w:pPr>
              <w:spacing w:after="0" w:line="240" w:lineRule="auto"/>
              <w:rPr>
                <w:rFonts w:ascii="Times New Roman" w:eastAsia="Times New Roman" w:hAnsi="Times New Roman" w:cs="Times New Roman"/>
                <w:noProof/>
                <w:sz w:val="24"/>
                <w:szCs w:val="24"/>
                <w:lang w:eastAsia="lv-LV"/>
              </w:rPr>
            </w:pPr>
          </w:p>
          <w:p w:rsidR="00B8278B" w:rsidRDefault="00B8278B" w:rsidP="001A077C">
            <w:pPr>
              <w:spacing w:after="0" w:line="240" w:lineRule="auto"/>
              <w:rPr>
                <w:rFonts w:ascii="Times New Roman" w:eastAsia="Times New Roman" w:hAnsi="Times New Roman" w:cs="Times New Roman"/>
                <w:noProof/>
                <w:sz w:val="24"/>
                <w:szCs w:val="24"/>
                <w:lang w:eastAsia="lv-LV"/>
              </w:rPr>
            </w:pPr>
          </w:p>
          <w:p w:rsidR="00B7288F" w:rsidRPr="002675E3" w:rsidRDefault="00B7288F" w:rsidP="001A077C">
            <w:pPr>
              <w:spacing w:after="0" w:line="240" w:lineRule="auto"/>
              <w:rPr>
                <w:rFonts w:ascii="Times New Roman" w:eastAsia="Times New Roman" w:hAnsi="Times New Roman" w:cs="Times New Roman"/>
                <w:iCs/>
                <w:noProof/>
                <w:color w:val="A6A6A6"/>
                <w:sz w:val="24"/>
                <w:szCs w:val="24"/>
                <w:lang w:eastAsia="lv-LV"/>
              </w:rPr>
            </w:pPr>
          </w:p>
        </w:tc>
      </w:tr>
      <w:tr w:rsidR="00B7288F" w:rsidRPr="002675E3" w:rsidTr="001A07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7288F" w:rsidRPr="002675E3" w:rsidRDefault="00B7288F" w:rsidP="001A077C">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8278B" w:rsidRPr="00B8278B" w:rsidRDefault="00B7288F" w:rsidP="001A077C">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Nav</w:t>
            </w:r>
          </w:p>
        </w:tc>
      </w:tr>
    </w:tbl>
    <w:p w:rsidR="00B7288F" w:rsidRPr="002675E3" w:rsidRDefault="00B7288F" w:rsidP="00B7288F">
      <w:pPr>
        <w:spacing w:after="0" w:line="240" w:lineRule="auto"/>
        <w:rPr>
          <w:rFonts w:ascii="Times New Roman" w:eastAsia="Calibri" w:hAnsi="Times New Roman" w:cs="Times New Roman"/>
          <w:noProof/>
          <w:sz w:val="28"/>
          <w:szCs w:val="28"/>
        </w:rPr>
      </w:pPr>
    </w:p>
    <w:p w:rsidR="00B7288F" w:rsidRPr="002675E3" w:rsidRDefault="00B7288F" w:rsidP="00B7288F">
      <w:pPr>
        <w:spacing w:after="0" w:line="259" w:lineRule="auto"/>
        <w:rPr>
          <w:rFonts w:ascii="Times New Roman" w:eastAsia="Times New Roman" w:hAnsi="Times New Roman" w:cs="Times New Roman"/>
          <w:noProof/>
          <w:sz w:val="24"/>
          <w:szCs w:val="24"/>
        </w:rPr>
      </w:pPr>
    </w:p>
    <w:p w:rsidR="00B7288F" w:rsidRDefault="00B7288F" w:rsidP="00B8278B">
      <w:pPr>
        <w:spacing w:after="0" w:line="259" w:lineRule="auto"/>
        <w:rPr>
          <w:rFonts w:ascii="Times New Roman" w:eastAsia="Times New Roman" w:hAnsi="Times New Roman" w:cs="Times New Roman"/>
          <w:noProof/>
          <w:sz w:val="28"/>
          <w:szCs w:val="24"/>
        </w:rPr>
      </w:pPr>
      <w:r w:rsidRPr="00294470">
        <w:rPr>
          <w:rFonts w:ascii="Times New Roman" w:eastAsia="Times New Roman" w:hAnsi="Times New Roman" w:cs="Times New Roman"/>
          <w:noProof/>
          <w:sz w:val="28"/>
          <w:szCs w:val="24"/>
        </w:rPr>
        <w:t>Ārlietu ministrs</w:t>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r>
      <w:r w:rsidRPr="00294470">
        <w:rPr>
          <w:rFonts w:ascii="Times New Roman" w:eastAsia="Times New Roman" w:hAnsi="Times New Roman" w:cs="Times New Roman"/>
          <w:noProof/>
          <w:sz w:val="28"/>
          <w:szCs w:val="24"/>
        </w:rPr>
        <w:tab/>
        <w:t>E. Rinkēvičs</w:t>
      </w:r>
    </w:p>
    <w:p w:rsidR="00B8278B" w:rsidRDefault="00B8278B" w:rsidP="00B8278B">
      <w:pPr>
        <w:spacing w:after="0" w:line="259" w:lineRule="auto"/>
        <w:rPr>
          <w:rFonts w:ascii="Times New Roman" w:eastAsia="Times New Roman" w:hAnsi="Times New Roman" w:cs="Times New Roman"/>
          <w:noProof/>
          <w:sz w:val="28"/>
          <w:szCs w:val="24"/>
        </w:rPr>
      </w:pPr>
    </w:p>
    <w:p w:rsidR="00B8278B" w:rsidRPr="00B8278B" w:rsidRDefault="00B8278B" w:rsidP="00B8278B">
      <w:pPr>
        <w:spacing w:after="0" w:line="259" w:lineRule="auto"/>
        <w:rPr>
          <w:rFonts w:ascii="Times New Roman" w:eastAsia="Calibri" w:hAnsi="Times New Roman" w:cs="Times New Roman"/>
          <w:noProof/>
          <w:sz w:val="28"/>
          <w:szCs w:val="24"/>
        </w:rPr>
      </w:pPr>
    </w:p>
    <w:p w:rsidR="00B7288F" w:rsidRPr="00B8278B" w:rsidRDefault="00B7288F" w:rsidP="00B7288F">
      <w:pPr>
        <w:spacing w:after="0" w:line="240" w:lineRule="auto"/>
        <w:rPr>
          <w:rFonts w:ascii="Times New Roman" w:eastAsia="Calibri" w:hAnsi="Times New Roman" w:cs="Times New Roman"/>
          <w:szCs w:val="20"/>
        </w:rPr>
      </w:pPr>
      <w:r w:rsidRPr="00B8278B">
        <w:rPr>
          <w:rFonts w:ascii="Times New Roman" w:eastAsia="Calibri" w:hAnsi="Times New Roman" w:cs="Times New Roman"/>
          <w:szCs w:val="20"/>
        </w:rPr>
        <w:t>Dzenītis 67015928</w:t>
      </w:r>
    </w:p>
    <w:p w:rsidR="009C16F8" w:rsidRPr="00B8278B" w:rsidRDefault="00B7288F" w:rsidP="00B7288F">
      <w:pPr>
        <w:spacing w:after="0" w:line="240" w:lineRule="auto"/>
        <w:rPr>
          <w:rFonts w:ascii="Times New Roman" w:eastAsia="Calibri" w:hAnsi="Times New Roman" w:cs="Times New Roman"/>
          <w:sz w:val="32"/>
          <w:szCs w:val="28"/>
        </w:rPr>
      </w:pPr>
      <w:r w:rsidRPr="00B8278B">
        <w:rPr>
          <w:rFonts w:ascii="Times New Roman" w:eastAsia="Calibri" w:hAnsi="Times New Roman" w:cs="Times New Roman"/>
          <w:color w:val="0000FF"/>
          <w:szCs w:val="20"/>
          <w:u w:val="single"/>
        </w:rPr>
        <w:t>eduards.dzenitis@mfa.gov.lv</w:t>
      </w:r>
    </w:p>
    <w:sectPr w:rsidR="009C16F8" w:rsidRPr="00B8278B" w:rsidSect="00C03B86">
      <w:footerReference w:type="default" r:id="rId7"/>
      <w:pgSz w:w="11906" w:h="16838"/>
      <w:pgMar w:top="1418" w:right="1134" w:bottom="135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93" w:rsidRDefault="003C5593" w:rsidP="00B7288F">
      <w:pPr>
        <w:spacing w:after="0" w:line="240" w:lineRule="auto"/>
      </w:pPr>
      <w:r>
        <w:separator/>
      </w:r>
    </w:p>
  </w:endnote>
  <w:endnote w:type="continuationSeparator" w:id="0">
    <w:p w:rsidR="003C5593" w:rsidRDefault="003C5593" w:rsidP="00B7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3" w:rsidRPr="002675E3" w:rsidRDefault="00B7288F">
    <w:pPr>
      <w:pStyle w:val="Footer"/>
      <w:rPr>
        <w:rFonts w:ascii="Times New Roman" w:hAnsi="Times New Roman" w:cs="Times New Roman"/>
        <w:sz w:val="20"/>
      </w:rPr>
    </w:pPr>
    <w:r>
      <w:rPr>
        <w:rFonts w:ascii="Times New Roman" w:hAnsi="Times New Roman" w:cs="Times New Roman"/>
        <w:sz w:val="20"/>
      </w:rPr>
      <w:t>AM</w:t>
    </w:r>
    <w:r w:rsidR="00E23450">
      <w:rPr>
        <w:rFonts w:ascii="Times New Roman" w:hAnsi="Times New Roman" w:cs="Times New Roman"/>
        <w:sz w:val="20"/>
      </w:rPr>
      <w:t>a</w:t>
    </w:r>
    <w:r>
      <w:rPr>
        <w:rFonts w:ascii="Times New Roman" w:hAnsi="Times New Roman" w:cs="Times New Roman"/>
        <w:sz w:val="20"/>
      </w:rPr>
      <w:t>not_</w:t>
    </w:r>
    <w:r w:rsidR="00D57AB8">
      <w:rPr>
        <w:rFonts w:ascii="Times New Roman" w:hAnsi="Times New Roman" w:cs="Times New Roman"/>
        <w:sz w:val="20"/>
      </w:rPr>
      <w:t>18</w:t>
    </w:r>
    <w:r w:rsidR="00BF33CD">
      <w:rPr>
        <w:rFonts w:ascii="Times New Roman" w:hAnsi="Times New Roman" w:cs="Times New Roman"/>
        <w:sz w:val="20"/>
      </w:rPr>
      <w:t>09</w:t>
    </w:r>
    <w:r>
      <w:rPr>
        <w:rFonts w:ascii="Times New Roman" w:hAnsi="Times New Roman" w:cs="Times New Roman"/>
        <w:sz w:val="20"/>
      </w:rPr>
      <w:t>19</w:t>
    </w:r>
    <w:r w:rsidRPr="00940508">
      <w:rPr>
        <w:rFonts w:ascii="Times New Roman" w:hAnsi="Times New Roman" w:cs="Times New Roman"/>
        <w:sz w:val="20"/>
      </w:rPr>
      <w:t xml:space="preserve">_CivEksp </w:t>
    </w:r>
    <w:r>
      <w:rPr>
        <w:rFonts w:ascii="Times New Roman" w:hAnsi="Times New Roman" w:cs="Times New Roman"/>
        <w:sz w:val="20"/>
      </w:rPr>
      <w:t>_O.Lagutins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93" w:rsidRDefault="003C5593" w:rsidP="00B7288F">
      <w:pPr>
        <w:spacing w:after="0" w:line="240" w:lineRule="auto"/>
      </w:pPr>
      <w:r>
        <w:separator/>
      </w:r>
    </w:p>
  </w:footnote>
  <w:footnote w:type="continuationSeparator" w:id="0">
    <w:p w:rsidR="003C5593" w:rsidRDefault="003C5593" w:rsidP="00B7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8F"/>
    <w:rsid w:val="000A1B31"/>
    <w:rsid w:val="001F68B8"/>
    <w:rsid w:val="002C20DA"/>
    <w:rsid w:val="003121E0"/>
    <w:rsid w:val="003175DC"/>
    <w:rsid w:val="003C5593"/>
    <w:rsid w:val="00432A67"/>
    <w:rsid w:val="0048119E"/>
    <w:rsid w:val="004D25E1"/>
    <w:rsid w:val="00527BAD"/>
    <w:rsid w:val="007E06C7"/>
    <w:rsid w:val="00981F2C"/>
    <w:rsid w:val="009C16F8"/>
    <w:rsid w:val="00B67C27"/>
    <w:rsid w:val="00B7288F"/>
    <w:rsid w:val="00B8278B"/>
    <w:rsid w:val="00BB04DD"/>
    <w:rsid w:val="00BF33CD"/>
    <w:rsid w:val="00C25296"/>
    <w:rsid w:val="00D57AB8"/>
    <w:rsid w:val="00D933EB"/>
    <w:rsid w:val="00E23450"/>
    <w:rsid w:val="00F76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88F"/>
  </w:style>
  <w:style w:type="paragraph" w:styleId="Header">
    <w:name w:val="header"/>
    <w:basedOn w:val="Normal"/>
    <w:link w:val="HeaderChar"/>
    <w:uiPriority w:val="99"/>
    <w:unhideWhenUsed/>
    <w:rsid w:val="00B72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88F"/>
  </w:style>
  <w:style w:type="paragraph" w:styleId="BalloonText">
    <w:name w:val="Balloon Text"/>
    <w:basedOn w:val="Normal"/>
    <w:link w:val="BalloonTextChar"/>
    <w:uiPriority w:val="99"/>
    <w:semiHidden/>
    <w:unhideWhenUsed/>
    <w:rsid w:val="00E2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50"/>
    <w:rPr>
      <w:rFonts w:ascii="Segoe UI" w:hAnsi="Segoe UI" w:cs="Segoe UI"/>
      <w:sz w:val="18"/>
      <w:szCs w:val="18"/>
    </w:rPr>
  </w:style>
  <w:style w:type="character" w:styleId="CommentReference">
    <w:name w:val="annotation reference"/>
    <w:basedOn w:val="DefaultParagraphFont"/>
    <w:uiPriority w:val="99"/>
    <w:semiHidden/>
    <w:unhideWhenUsed/>
    <w:rsid w:val="00E23450"/>
    <w:rPr>
      <w:sz w:val="16"/>
      <w:szCs w:val="16"/>
    </w:rPr>
  </w:style>
  <w:style w:type="paragraph" w:styleId="CommentText">
    <w:name w:val="annotation text"/>
    <w:basedOn w:val="Normal"/>
    <w:link w:val="CommentTextChar"/>
    <w:uiPriority w:val="99"/>
    <w:semiHidden/>
    <w:unhideWhenUsed/>
    <w:rsid w:val="00E23450"/>
    <w:pPr>
      <w:spacing w:line="240" w:lineRule="auto"/>
    </w:pPr>
    <w:rPr>
      <w:sz w:val="20"/>
      <w:szCs w:val="20"/>
    </w:rPr>
  </w:style>
  <w:style w:type="character" w:customStyle="1" w:styleId="CommentTextChar">
    <w:name w:val="Comment Text Char"/>
    <w:basedOn w:val="DefaultParagraphFont"/>
    <w:link w:val="CommentText"/>
    <w:uiPriority w:val="99"/>
    <w:semiHidden/>
    <w:rsid w:val="00E23450"/>
    <w:rPr>
      <w:sz w:val="20"/>
      <w:szCs w:val="20"/>
    </w:rPr>
  </w:style>
  <w:style w:type="paragraph" w:styleId="CommentSubject">
    <w:name w:val="annotation subject"/>
    <w:basedOn w:val="CommentText"/>
    <w:next w:val="CommentText"/>
    <w:link w:val="CommentSubjectChar"/>
    <w:uiPriority w:val="99"/>
    <w:semiHidden/>
    <w:unhideWhenUsed/>
    <w:rsid w:val="00E23450"/>
    <w:rPr>
      <w:b/>
      <w:bCs/>
    </w:rPr>
  </w:style>
  <w:style w:type="character" w:customStyle="1" w:styleId="CommentSubjectChar">
    <w:name w:val="Comment Subject Char"/>
    <w:basedOn w:val="CommentTextChar"/>
    <w:link w:val="CommentSubject"/>
    <w:uiPriority w:val="99"/>
    <w:semiHidden/>
    <w:rsid w:val="00E234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88F"/>
  </w:style>
  <w:style w:type="paragraph" w:styleId="Header">
    <w:name w:val="header"/>
    <w:basedOn w:val="Normal"/>
    <w:link w:val="HeaderChar"/>
    <w:uiPriority w:val="99"/>
    <w:unhideWhenUsed/>
    <w:rsid w:val="00B72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88F"/>
  </w:style>
  <w:style w:type="paragraph" w:styleId="BalloonText">
    <w:name w:val="Balloon Text"/>
    <w:basedOn w:val="Normal"/>
    <w:link w:val="BalloonTextChar"/>
    <w:uiPriority w:val="99"/>
    <w:semiHidden/>
    <w:unhideWhenUsed/>
    <w:rsid w:val="00E23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50"/>
    <w:rPr>
      <w:rFonts w:ascii="Segoe UI" w:hAnsi="Segoe UI" w:cs="Segoe UI"/>
      <w:sz w:val="18"/>
      <w:szCs w:val="18"/>
    </w:rPr>
  </w:style>
  <w:style w:type="character" w:styleId="CommentReference">
    <w:name w:val="annotation reference"/>
    <w:basedOn w:val="DefaultParagraphFont"/>
    <w:uiPriority w:val="99"/>
    <w:semiHidden/>
    <w:unhideWhenUsed/>
    <w:rsid w:val="00E23450"/>
    <w:rPr>
      <w:sz w:val="16"/>
      <w:szCs w:val="16"/>
    </w:rPr>
  </w:style>
  <w:style w:type="paragraph" w:styleId="CommentText">
    <w:name w:val="annotation text"/>
    <w:basedOn w:val="Normal"/>
    <w:link w:val="CommentTextChar"/>
    <w:uiPriority w:val="99"/>
    <w:semiHidden/>
    <w:unhideWhenUsed/>
    <w:rsid w:val="00E23450"/>
    <w:pPr>
      <w:spacing w:line="240" w:lineRule="auto"/>
    </w:pPr>
    <w:rPr>
      <w:sz w:val="20"/>
      <w:szCs w:val="20"/>
    </w:rPr>
  </w:style>
  <w:style w:type="character" w:customStyle="1" w:styleId="CommentTextChar">
    <w:name w:val="Comment Text Char"/>
    <w:basedOn w:val="DefaultParagraphFont"/>
    <w:link w:val="CommentText"/>
    <w:uiPriority w:val="99"/>
    <w:semiHidden/>
    <w:rsid w:val="00E23450"/>
    <w:rPr>
      <w:sz w:val="20"/>
      <w:szCs w:val="20"/>
    </w:rPr>
  </w:style>
  <w:style w:type="paragraph" w:styleId="CommentSubject">
    <w:name w:val="annotation subject"/>
    <w:basedOn w:val="CommentText"/>
    <w:next w:val="CommentText"/>
    <w:link w:val="CommentSubjectChar"/>
    <w:uiPriority w:val="99"/>
    <w:semiHidden/>
    <w:unhideWhenUsed/>
    <w:rsid w:val="00E23450"/>
    <w:rPr>
      <w:b/>
      <w:bCs/>
    </w:rPr>
  </w:style>
  <w:style w:type="character" w:customStyle="1" w:styleId="CommentSubjectChar">
    <w:name w:val="Comment Subject Char"/>
    <w:basedOn w:val="CommentTextChar"/>
    <w:link w:val="CommentSubject"/>
    <w:uiPriority w:val="99"/>
    <w:semiHidden/>
    <w:rsid w:val="00E23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5417</Words>
  <Characters>3088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AManot_040919_CivEksp _O.Lagutins</vt:lpstr>
    </vt:vector>
  </TitlesOfParts>
  <Company>Ārlietu ministrija</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AManot_180919_CivEksp _O.Lagutins</dc:title>
  <dc:subject>Rīkojuma projekts</dc:subject>
  <dc:creator>Eduards Dzenitis</dc:creator>
  <dc:description>67015928, eduards.dzenitis@mfa.gov.lv</dc:description>
  <cp:lastModifiedBy>Eduards Dzenitis</cp:lastModifiedBy>
  <cp:revision>5</cp:revision>
  <cp:lastPrinted>2019-09-13T08:53:00Z</cp:lastPrinted>
  <dcterms:created xsi:type="dcterms:W3CDTF">2019-09-16T12:23:00Z</dcterms:created>
  <dcterms:modified xsi:type="dcterms:W3CDTF">2019-09-18T12:08:00Z</dcterms:modified>
</cp:coreProperties>
</file>