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0188"/>
      </w:tblGrid>
      <w:tr w:rsidR="00BD6FD2" w:rsidRPr="000904BE" w14:paraId="4D61FD41" w14:textId="77777777" w:rsidTr="00F43A16">
        <w:trPr>
          <w:jc w:val="center"/>
        </w:trPr>
        <w:tc>
          <w:tcPr>
            <w:tcW w:w="10188" w:type="dxa"/>
            <w:tcBorders>
              <w:bottom w:val="single" w:sz="6" w:space="0" w:color="000000"/>
            </w:tcBorders>
          </w:tcPr>
          <w:p w14:paraId="4CE3A860" w14:textId="644E93B7" w:rsidR="00BD6FD2" w:rsidRPr="000904BE" w:rsidRDefault="000C3947" w:rsidP="00F43A16">
            <w:pPr>
              <w:pStyle w:val="Heading1"/>
              <w:spacing w:before="0" w:beforeAutospacing="0" w:after="0" w:afterAutospacing="0"/>
              <w:jc w:val="center"/>
              <w:rPr>
                <w:color w:val="000000"/>
                <w:sz w:val="22"/>
                <w:szCs w:val="22"/>
              </w:rPr>
            </w:pPr>
            <w:bookmarkStart w:id="0" w:name="OLE_LINK1"/>
            <w:bookmarkStart w:id="1" w:name="OLE_LINK2"/>
            <w:r w:rsidRPr="000C3947">
              <w:rPr>
                <w:color w:val="000000"/>
                <w:sz w:val="22"/>
                <w:szCs w:val="22"/>
              </w:rPr>
              <w:t>Izziņa par atzinumos sniegtajiem iebildumiem</w:t>
            </w:r>
          </w:p>
          <w:p w14:paraId="4B0657C5" w14:textId="139A90A8" w:rsidR="00BD6FD2" w:rsidRPr="0008781E" w:rsidRDefault="000C3947" w:rsidP="0008781E">
            <w:pPr>
              <w:spacing w:before="120" w:after="120"/>
              <w:jc w:val="center"/>
              <w:rPr>
                <w:b/>
                <w:sz w:val="28"/>
                <w:szCs w:val="28"/>
              </w:rPr>
            </w:pPr>
            <w:r w:rsidRPr="0008781E">
              <w:rPr>
                <w:b/>
              </w:rPr>
              <w:t xml:space="preserve">Likumprojekts </w:t>
            </w:r>
            <w:r w:rsidR="0008781E" w:rsidRPr="0008781E">
              <w:rPr>
                <w:b/>
              </w:rPr>
              <w:t>“Grozījumi Elektroenerģijas tirgus likumā</w:t>
            </w:r>
            <w:r w:rsidR="00B56F65" w:rsidRPr="0008781E">
              <w:rPr>
                <w:b/>
              </w:rPr>
              <w:t>”</w:t>
            </w:r>
            <w:bookmarkEnd w:id="0"/>
            <w:bookmarkEnd w:id="1"/>
          </w:p>
        </w:tc>
      </w:tr>
    </w:tbl>
    <w:p w14:paraId="433D748A" w14:textId="77777777" w:rsidR="00BD6FD2" w:rsidRPr="000904BE" w:rsidRDefault="00BD6FD2" w:rsidP="00BD6FD2">
      <w:pPr>
        <w:pStyle w:val="naisf"/>
        <w:spacing w:before="0" w:after="0"/>
        <w:ind w:firstLine="0"/>
        <w:rPr>
          <w:b/>
        </w:rPr>
      </w:pPr>
    </w:p>
    <w:p w14:paraId="27ACA861" w14:textId="77777777" w:rsidR="00BD6FD2" w:rsidRPr="000904BE" w:rsidRDefault="00BD6FD2" w:rsidP="00BD6FD2">
      <w:pPr>
        <w:pStyle w:val="naisf"/>
        <w:spacing w:before="0" w:after="0"/>
        <w:ind w:firstLine="0"/>
        <w:jc w:val="center"/>
        <w:rPr>
          <w:b/>
          <w:sz w:val="22"/>
          <w:szCs w:val="22"/>
        </w:rPr>
      </w:pPr>
      <w:r w:rsidRPr="000904BE">
        <w:rPr>
          <w:b/>
          <w:sz w:val="22"/>
          <w:szCs w:val="22"/>
        </w:rPr>
        <w:t>I. Jautājumi, par kuriem saskaņošanā vienošanās nav panākta</w:t>
      </w:r>
    </w:p>
    <w:p w14:paraId="25C44757" w14:textId="77777777" w:rsidR="00BD6FD2" w:rsidRPr="000904BE" w:rsidRDefault="00BD6FD2" w:rsidP="00BD6FD2">
      <w:pPr>
        <w:pStyle w:val="naisf"/>
        <w:spacing w:before="0" w:after="0"/>
        <w:ind w:firstLine="720"/>
      </w:pPr>
    </w:p>
    <w:tbl>
      <w:tblPr>
        <w:tblW w:w="141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268"/>
        <w:gridCol w:w="3119"/>
        <w:gridCol w:w="3260"/>
        <w:gridCol w:w="2552"/>
        <w:gridCol w:w="2268"/>
      </w:tblGrid>
      <w:tr w:rsidR="00D459C0" w:rsidRPr="000904BE" w14:paraId="71E5CD98" w14:textId="77777777" w:rsidTr="004C3B1A">
        <w:tc>
          <w:tcPr>
            <w:tcW w:w="67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5F18D9F" w14:textId="77777777" w:rsidR="00BD6FD2" w:rsidRPr="000904BE" w:rsidRDefault="00BD6FD2" w:rsidP="00F838C6">
            <w:pPr>
              <w:pStyle w:val="naisc"/>
              <w:spacing w:before="0" w:after="0"/>
            </w:pPr>
            <w:r w:rsidRPr="000904BE">
              <w:rPr>
                <w:sz w:val="22"/>
                <w:szCs w:val="22"/>
              </w:rPr>
              <w:t>Nr. p.k.</w:t>
            </w:r>
          </w:p>
        </w:tc>
        <w:tc>
          <w:tcPr>
            <w:tcW w:w="226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ED315BB" w14:textId="77777777" w:rsidR="00BD6FD2" w:rsidRPr="000904BE" w:rsidRDefault="00BD6FD2" w:rsidP="00F838C6">
            <w:pPr>
              <w:pStyle w:val="naisc"/>
              <w:spacing w:before="0" w:after="0"/>
              <w:ind w:firstLine="12"/>
            </w:pPr>
            <w:r w:rsidRPr="000904BE">
              <w:rPr>
                <w:sz w:val="22"/>
                <w:szCs w:val="22"/>
              </w:rPr>
              <w:t>Saskaņošanai nosūtītā projekta redakcija (konkrēta punkta (panta) redakcija)</w:t>
            </w:r>
          </w:p>
        </w:tc>
        <w:tc>
          <w:tcPr>
            <w:tcW w:w="311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2F58246" w14:textId="77777777" w:rsidR="00BD6FD2" w:rsidRPr="000904BE" w:rsidRDefault="00BD6FD2" w:rsidP="00F838C6">
            <w:pPr>
              <w:pStyle w:val="naisc"/>
              <w:spacing w:before="0" w:after="0"/>
              <w:ind w:right="3"/>
            </w:pPr>
            <w:r w:rsidRPr="000904BE">
              <w:rPr>
                <w:sz w:val="22"/>
                <w:szCs w:val="22"/>
              </w:rPr>
              <w:t>Ministrijas (citas institūcijas) iebildums,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F937B03" w14:textId="77777777" w:rsidR="00BD6FD2" w:rsidRPr="000904BE" w:rsidRDefault="00BD6FD2" w:rsidP="00F838C6">
            <w:pPr>
              <w:pStyle w:val="naisc"/>
              <w:spacing w:before="0" w:after="0"/>
              <w:ind w:firstLine="21"/>
            </w:pPr>
            <w:r w:rsidRPr="000904BE">
              <w:rPr>
                <w:sz w:val="22"/>
                <w:szCs w:val="22"/>
              </w:rPr>
              <w:t>Atbildīgās ministrijas pamatojums iebilduma noraidījumam</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07E31C27" w14:textId="77777777" w:rsidR="00BD6FD2" w:rsidRPr="000904BE" w:rsidRDefault="00BD6FD2" w:rsidP="00F838C6">
            <w:pPr>
              <w:jc w:val="center"/>
            </w:pPr>
            <w:r w:rsidRPr="000904BE">
              <w:rPr>
                <w:sz w:val="22"/>
                <w:szCs w:val="22"/>
              </w:rPr>
              <w:t>Atzinuma sniedzēja uzturētais iebildums, ja tas atšķiras no atzinumā norādītā iebilduma pamatojuma</w:t>
            </w:r>
          </w:p>
        </w:tc>
        <w:tc>
          <w:tcPr>
            <w:tcW w:w="2268" w:type="dxa"/>
            <w:tcBorders>
              <w:top w:val="single" w:sz="4" w:space="0" w:color="auto"/>
              <w:left w:val="single" w:sz="4" w:space="0" w:color="auto"/>
              <w:bottom w:val="single" w:sz="4" w:space="0" w:color="auto"/>
            </w:tcBorders>
            <w:shd w:val="clear" w:color="auto" w:fill="D9D9D9"/>
            <w:vAlign w:val="center"/>
          </w:tcPr>
          <w:p w14:paraId="2EBBB399" w14:textId="77777777" w:rsidR="00BD6FD2" w:rsidRPr="000904BE" w:rsidRDefault="00BD6FD2" w:rsidP="00F838C6">
            <w:pPr>
              <w:jc w:val="center"/>
            </w:pPr>
            <w:r w:rsidRPr="000904BE">
              <w:rPr>
                <w:sz w:val="22"/>
                <w:szCs w:val="22"/>
              </w:rPr>
              <w:t>Projekta attiecīgā punkta (panta) galīgā redakcija</w:t>
            </w:r>
          </w:p>
        </w:tc>
      </w:tr>
      <w:tr w:rsidR="00D459C0" w:rsidRPr="000904BE" w14:paraId="2D374505" w14:textId="77777777" w:rsidTr="00930F81">
        <w:trPr>
          <w:trHeight w:val="211"/>
        </w:trPr>
        <w:tc>
          <w:tcPr>
            <w:tcW w:w="675" w:type="dxa"/>
            <w:tcBorders>
              <w:top w:val="single" w:sz="6" w:space="0" w:color="000000"/>
              <w:left w:val="single" w:sz="6" w:space="0" w:color="000000"/>
              <w:bottom w:val="single" w:sz="6" w:space="0" w:color="000000"/>
              <w:right w:val="single" w:sz="6" w:space="0" w:color="000000"/>
            </w:tcBorders>
            <w:shd w:val="clear" w:color="auto" w:fill="D9D9D9"/>
          </w:tcPr>
          <w:p w14:paraId="180D3855" w14:textId="77777777" w:rsidR="00BD6FD2" w:rsidRPr="000904BE" w:rsidRDefault="00BD6FD2" w:rsidP="00826949">
            <w:pPr>
              <w:pStyle w:val="naisc"/>
              <w:spacing w:before="0" w:after="0"/>
            </w:pPr>
            <w:r w:rsidRPr="000904BE">
              <w:rPr>
                <w:sz w:val="22"/>
                <w:szCs w:val="22"/>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D9D9D9"/>
          </w:tcPr>
          <w:p w14:paraId="4E36CEF3" w14:textId="77777777" w:rsidR="00BD6FD2" w:rsidRPr="000904BE" w:rsidRDefault="00BD6FD2" w:rsidP="00932EEE">
            <w:pPr>
              <w:pStyle w:val="naisc"/>
              <w:spacing w:before="0" w:after="0"/>
              <w:ind w:firstLine="720"/>
            </w:pPr>
            <w:r w:rsidRPr="000904BE">
              <w:rPr>
                <w:sz w:val="22"/>
                <w:szCs w:val="22"/>
              </w:rPr>
              <w:t>2</w:t>
            </w:r>
          </w:p>
        </w:tc>
        <w:tc>
          <w:tcPr>
            <w:tcW w:w="3119" w:type="dxa"/>
            <w:tcBorders>
              <w:top w:val="single" w:sz="6" w:space="0" w:color="000000"/>
              <w:left w:val="single" w:sz="6" w:space="0" w:color="000000"/>
              <w:bottom w:val="single" w:sz="6" w:space="0" w:color="000000"/>
              <w:right w:val="single" w:sz="6" w:space="0" w:color="000000"/>
            </w:tcBorders>
            <w:shd w:val="clear" w:color="auto" w:fill="D9D9D9"/>
          </w:tcPr>
          <w:p w14:paraId="27AE115A" w14:textId="77777777" w:rsidR="00BD6FD2" w:rsidRPr="000904BE" w:rsidRDefault="00BD6FD2" w:rsidP="00F838C6">
            <w:pPr>
              <w:pStyle w:val="naisc"/>
              <w:spacing w:before="0" w:after="0"/>
              <w:ind w:firstLine="720"/>
            </w:pPr>
            <w:r w:rsidRPr="000904BE">
              <w:rPr>
                <w:sz w:val="22"/>
                <w:szCs w:val="22"/>
              </w:rPr>
              <w:t>3</w:t>
            </w:r>
          </w:p>
        </w:tc>
        <w:tc>
          <w:tcPr>
            <w:tcW w:w="3260" w:type="dxa"/>
            <w:tcBorders>
              <w:top w:val="single" w:sz="6" w:space="0" w:color="000000"/>
              <w:left w:val="single" w:sz="6" w:space="0" w:color="000000"/>
              <w:bottom w:val="single" w:sz="6" w:space="0" w:color="000000"/>
              <w:right w:val="single" w:sz="6" w:space="0" w:color="000000"/>
            </w:tcBorders>
            <w:shd w:val="clear" w:color="auto" w:fill="D9D9D9"/>
          </w:tcPr>
          <w:p w14:paraId="5BDC71B3" w14:textId="77777777" w:rsidR="00BD6FD2" w:rsidRPr="000904BE" w:rsidRDefault="00BD6FD2" w:rsidP="00F838C6">
            <w:pPr>
              <w:pStyle w:val="naisc"/>
              <w:spacing w:before="0" w:after="0"/>
              <w:ind w:firstLine="720"/>
            </w:pPr>
            <w:r w:rsidRPr="000904BE">
              <w:rPr>
                <w:sz w:val="22"/>
                <w:szCs w:val="22"/>
              </w:rPr>
              <w:t>4</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3302CF39" w14:textId="77777777" w:rsidR="00BD6FD2" w:rsidRPr="000904BE" w:rsidRDefault="00BD6FD2" w:rsidP="00F838C6">
            <w:pPr>
              <w:jc w:val="center"/>
            </w:pPr>
            <w:r w:rsidRPr="000904BE">
              <w:rPr>
                <w:sz w:val="22"/>
                <w:szCs w:val="22"/>
              </w:rPr>
              <w:t>5</w:t>
            </w:r>
          </w:p>
        </w:tc>
        <w:tc>
          <w:tcPr>
            <w:tcW w:w="2268" w:type="dxa"/>
            <w:tcBorders>
              <w:top w:val="single" w:sz="4" w:space="0" w:color="auto"/>
              <w:left w:val="single" w:sz="4" w:space="0" w:color="auto"/>
              <w:bottom w:val="single" w:sz="4" w:space="0" w:color="auto"/>
            </w:tcBorders>
            <w:shd w:val="clear" w:color="auto" w:fill="D9D9D9"/>
          </w:tcPr>
          <w:p w14:paraId="0DD48677" w14:textId="77777777" w:rsidR="00BD6FD2" w:rsidRPr="000904BE" w:rsidRDefault="00BD6FD2" w:rsidP="00F838C6">
            <w:pPr>
              <w:jc w:val="center"/>
            </w:pPr>
            <w:r w:rsidRPr="000904BE">
              <w:rPr>
                <w:sz w:val="22"/>
                <w:szCs w:val="22"/>
              </w:rPr>
              <w:t>6</w:t>
            </w:r>
          </w:p>
        </w:tc>
      </w:tr>
      <w:tr w:rsidR="000E4E81" w:rsidRPr="000904BE" w14:paraId="718B8990" w14:textId="77777777" w:rsidTr="00151B22">
        <w:trPr>
          <w:trHeight w:val="353"/>
        </w:trPr>
        <w:tc>
          <w:tcPr>
            <w:tcW w:w="675" w:type="dxa"/>
            <w:tcBorders>
              <w:top w:val="single" w:sz="6" w:space="0" w:color="000000"/>
              <w:left w:val="single" w:sz="6" w:space="0" w:color="000000"/>
              <w:bottom w:val="single" w:sz="6" w:space="0" w:color="000000"/>
              <w:right w:val="single" w:sz="6" w:space="0" w:color="000000"/>
            </w:tcBorders>
            <w:shd w:val="clear" w:color="auto" w:fill="auto"/>
          </w:tcPr>
          <w:p w14:paraId="3C5F96BA" w14:textId="77777777" w:rsidR="000E4E81" w:rsidRPr="000904BE" w:rsidRDefault="000E4E81" w:rsidP="00136112">
            <w:pPr>
              <w:pStyle w:val="naisc"/>
              <w:spacing w:before="0" w:after="0"/>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3A26231B" w14:textId="77777777" w:rsidR="000E4E81" w:rsidRPr="000904BE" w:rsidRDefault="000E4E81" w:rsidP="00136112">
            <w:pPr>
              <w:pStyle w:val="naisc"/>
              <w:spacing w:before="0" w:after="0"/>
              <w:jc w:val="both"/>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641D8BDD" w14:textId="77777777" w:rsidR="000E4E81" w:rsidRPr="000904BE" w:rsidRDefault="000E4E81" w:rsidP="00136112">
            <w:pPr>
              <w:pStyle w:val="naisc"/>
              <w:spacing w:before="0" w:after="0"/>
              <w:jc w:val="both"/>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C8B7AF2" w14:textId="77777777" w:rsidR="000E4E81" w:rsidRPr="000904BE" w:rsidRDefault="000E4E81" w:rsidP="00136112">
            <w:pPr>
              <w:pStyle w:val="naisc"/>
              <w:spacing w:before="0" w:after="0"/>
              <w:jc w:val="both"/>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DF871B3" w14:textId="77777777" w:rsidR="000E4E81" w:rsidRPr="000904BE" w:rsidRDefault="000E4E81" w:rsidP="00136112">
            <w:pPr>
              <w:jc w:val="center"/>
            </w:pPr>
          </w:p>
        </w:tc>
        <w:tc>
          <w:tcPr>
            <w:tcW w:w="2268" w:type="dxa"/>
            <w:tcBorders>
              <w:top w:val="single" w:sz="4" w:space="0" w:color="auto"/>
              <w:left w:val="single" w:sz="4" w:space="0" w:color="auto"/>
              <w:bottom w:val="single" w:sz="4" w:space="0" w:color="auto"/>
            </w:tcBorders>
            <w:shd w:val="clear" w:color="auto" w:fill="auto"/>
          </w:tcPr>
          <w:p w14:paraId="6F2ECD6C" w14:textId="77777777" w:rsidR="000E4E81" w:rsidRPr="000904BE" w:rsidRDefault="000E4E81" w:rsidP="00136112">
            <w:pPr>
              <w:jc w:val="center"/>
            </w:pPr>
          </w:p>
        </w:tc>
      </w:tr>
    </w:tbl>
    <w:p w14:paraId="112957B8" w14:textId="77777777" w:rsidR="00BB0972" w:rsidRPr="000904BE" w:rsidRDefault="00BB0972" w:rsidP="00BB0972">
      <w:pPr>
        <w:spacing w:after="200" w:line="276" w:lineRule="auto"/>
        <w:rPr>
          <w:b/>
          <w:bCs/>
        </w:rPr>
      </w:pPr>
    </w:p>
    <w:p w14:paraId="7A16F1CD" w14:textId="77777777" w:rsidR="00BB0972" w:rsidRPr="000904BE" w:rsidRDefault="00BB0972" w:rsidP="00BB0972">
      <w:pPr>
        <w:spacing w:after="200" w:line="276" w:lineRule="auto"/>
        <w:rPr>
          <w:sz w:val="22"/>
          <w:szCs w:val="22"/>
        </w:rPr>
      </w:pPr>
      <w:r w:rsidRPr="000904BE">
        <w:rPr>
          <w:b/>
          <w:bCs/>
          <w:sz w:val="22"/>
          <w:szCs w:val="22"/>
        </w:rPr>
        <w:t>Informācija par starpministriju (starpinstitūciju) sanāksmi vai elektronisko saskaņošanu</w:t>
      </w:r>
    </w:p>
    <w:tbl>
      <w:tblPr>
        <w:tblW w:w="12780" w:type="dxa"/>
        <w:tblCellSpacing w:w="0" w:type="dxa"/>
        <w:tblCellMar>
          <w:left w:w="0" w:type="dxa"/>
          <w:right w:w="0" w:type="dxa"/>
        </w:tblCellMar>
        <w:tblLook w:val="04A0" w:firstRow="1" w:lastRow="0" w:firstColumn="1" w:lastColumn="0" w:noHBand="0" w:noVBand="1"/>
      </w:tblPr>
      <w:tblGrid>
        <w:gridCol w:w="2856"/>
        <w:gridCol w:w="3161"/>
        <w:gridCol w:w="2150"/>
        <w:gridCol w:w="2714"/>
        <w:gridCol w:w="1869"/>
        <w:gridCol w:w="30"/>
      </w:tblGrid>
      <w:tr w:rsidR="00BB0972" w:rsidRPr="000904BE" w14:paraId="13B0299B" w14:textId="77777777" w:rsidTr="00BB0972">
        <w:trPr>
          <w:gridAfter w:val="1"/>
          <w:wAfter w:w="30" w:type="dxa"/>
          <w:trHeight w:val="749"/>
          <w:tblCellSpacing w:w="0" w:type="dxa"/>
        </w:trPr>
        <w:tc>
          <w:tcPr>
            <w:tcW w:w="2856" w:type="dxa"/>
            <w:hideMark/>
          </w:tcPr>
          <w:p w14:paraId="5D473C02" w14:textId="77777777" w:rsidR="00BB0972" w:rsidRPr="002567E1" w:rsidRDefault="00BB0972" w:rsidP="00E66C07">
            <w:pPr>
              <w:spacing w:before="75" w:after="75"/>
            </w:pPr>
            <w:r w:rsidRPr="000904BE">
              <w:rPr>
                <w:b/>
                <w:bCs/>
                <w:sz w:val="22"/>
                <w:szCs w:val="22"/>
              </w:rPr>
              <w:t> </w:t>
            </w:r>
            <w:r w:rsidRPr="002567E1">
              <w:rPr>
                <w:sz w:val="22"/>
                <w:szCs w:val="22"/>
              </w:rPr>
              <w:t>Datums</w:t>
            </w:r>
          </w:p>
        </w:tc>
        <w:tc>
          <w:tcPr>
            <w:tcW w:w="9894" w:type="dxa"/>
            <w:gridSpan w:val="4"/>
            <w:tcBorders>
              <w:top w:val="nil"/>
              <w:left w:val="nil"/>
              <w:bottom w:val="single" w:sz="8" w:space="0" w:color="000000"/>
              <w:right w:val="nil"/>
            </w:tcBorders>
            <w:hideMark/>
          </w:tcPr>
          <w:p w14:paraId="7CD85E8C" w14:textId="08E06344" w:rsidR="00BB0972" w:rsidRPr="000904BE" w:rsidRDefault="007E28C6" w:rsidP="008B0AA4">
            <w:pPr>
              <w:jc w:val="both"/>
            </w:pPr>
            <w:r w:rsidRPr="00996F74">
              <w:t xml:space="preserve">26.08. – </w:t>
            </w:r>
            <w:r>
              <w:t>30</w:t>
            </w:r>
            <w:r w:rsidRPr="00996F74">
              <w:t>.09.2019.</w:t>
            </w:r>
          </w:p>
        </w:tc>
      </w:tr>
      <w:tr w:rsidR="00BB0972" w:rsidRPr="000904BE" w14:paraId="38E481EB" w14:textId="77777777" w:rsidTr="00BB0972">
        <w:trPr>
          <w:gridAfter w:val="1"/>
          <w:wAfter w:w="30" w:type="dxa"/>
          <w:trHeight w:val="220"/>
          <w:tblCellSpacing w:w="0" w:type="dxa"/>
        </w:trPr>
        <w:tc>
          <w:tcPr>
            <w:tcW w:w="2856" w:type="dxa"/>
            <w:hideMark/>
          </w:tcPr>
          <w:p w14:paraId="6838E5D0" w14:textId="77777777" w:rsidR="00BB0972" w:rsidRPr="000904BE" w:rsidRDefault="00BB0972" w:rsidP="00E66C07">
            <w:pPr>
              <w:spacing w:before="75" w:after="75"/>
              <w:ind w:firstLine="375"/>
              <w:jc w:val="both"/>
            </w:pPr>
            <w:r w:rsidRPr="000904BE">
              <w:rPr>
                <w:sz w:val="22"/>
                <w:szCs w:val="22"/>
              </w:rPr>
              <w:t> </w:t>
            </w:r>
          </w:p>
        </w:tc>
        <w:tc>
          <w:tcPr>
            <w:tcW w:w="9894" w:type="dxa"/>
            <w:gridSpan w:val="4"/>
            <w:tcBorders>
              <w:top w:val="nil"/>
              <w:left w:val="nil"/>
              <w:bottom w:val="nil"/>
              <w:right w:val="nil"/>
            </w:tcBorders>
            <w:hideMark/>
          </w:tcPr>
          <w:p w14:paraId="69D559D7" w14:textId="77777777" w:rsidR="00BB0972" w:rsidRPr="000904BE" w:rsidRDefault="00BB0972" w:rsidP="00E66C07">
            <w:pPr>
              <w:spacing w:before="75" w:after="75"/>
              <w:jc w:val="both"/>
            </w:pPr>
          </w:p>
        </w:tc>
      </w:tr>
      <w:tr w:rsidR="00BB0972" w:rsidRPr="000904BE" w14:paraId="37D71753" w14:textId="77777777" w:rsidTr="00826949">
        <w:trPr>
          <w:gridAfter w:val="1"/>
          <w:wAfter w:w="30" w:type="dxa"/>
          <w:trHeight w:val="147"/>
          <w:tblCellSpacing w:w="0" w:type="dxa"/>
        </w:trPr>
        <w:tc>
          <w:tcPr>
            <w:tcW w:w="2856" w:type="dxa"/>
            <w:vAlign w:val="center"/>
            <w:hideMark/>
          </w:tcPr>
          <w:p w14:paraId="3158F508" w14:textId="77777777" w:rsidR="00BB0972" w:rsidRPr="000904BE" w:rsidRDefault="00BB0972" w:rsidP="00E66C07">
            <w:r w:rsidRPr="000904BE">
              <w:rPr>
                <w:sz w:val="22"/>
                <w:szCs w:val="22"/>
              </w:rPr>
              <w:t>Saskaņošanas dalībnieki</w:t>
            </w:r>
          </w:p>
        </w:tc>
        <w:tc>
          <w:tcPr>
            <w:tcW w:w="9894" w:type="dxa"/>
            <w:gridSpan w:val="4"/>
            <w:tcBorders>
              <w:bottom w:val="single" w:sz="6" w:space="0" w:color="000000"/>
            </w:tcBorders>
            <w:vAlign w:val="center"/>
            <w:hideMark/>
          </w:tcPr>
          <w:p w14:paraId="3CBCF385" w14:textId="6ECE8F78" w:rsidR="00BB0972" w:rsidRPr="000904BE" w:rsidRDefault="009F7C8A" w:rsidP="003140C0">
            <w:r w:rsidRPr="000904BE">
              <w:t>Finanšu mi</w:t>
            </w:r>
            <w:r w:rsidR="000E50D9" w:rsidRPr="000904BE">
              <w:t>nistrija</w:t>
            </w:r>
            <w:r w:rsidR="000C3947">
              <w:t>, Tieslietu ministrija</w:t>
            </w:r>
          </w:p>
        </w:tc>
      </w:tr>
      <w:tr w:rsidR="00BB0972" w:rsidRPr="000904BE" w14:paraId="042BBC11" w14:textId="77777777" w:rsidTr="00E13AC5">
        <w:trPr>
          <w:trHeight w:val="1341"/>
          <w:tblCellSpacing w:w="0" w:type="dxa"/>
        </w:trPr>
        <w:tc>
          <w:tcPr>
            <w:tcW w:w="6017" w:type="dxa"/>
            <w:gridSpan w:val="2"/>
            <w:hideMark/>
          </w:tcPr>
          <w:p w14:paraId="51A6951B" w14:textId="77777777" w:rsidR="00BB0972" w:rsidRPr="000904BE" w:rsidRDefault="00BB0972" w:rsidP="00E66C07"/>
          <w:p w14:paraId="7EB3115C" w14:textId="77777777" w:rsidR="00BB0972" w:rsidRPr="000904BE" w:rsidRDefault="00BB0972" w:rsidP="00E66C07">
            <w:r w:rsidRPr="000904BE">
              <w:rPr>
                <w:sz w:val="22"/>
                <w:szCs w:val="22"/>
              </w:rPr>
              <w:t>Saskaņošanas dalībnieki izskatīja šādu ministriju (citu institūciju) iebildumus</w:t>
            </w:r>
          </w:p>
        </w:tc>
        <w:tc>
          <w:tcPr>
            <w:tcW w:w="4864" w:type="dxa"/>
            <w:gridSpan w:val="2"/>
            <w:hideMark/>
          </w:tcPr>
          <w:p w14:paraId="36ADED7C" w14:textId="77777777" w:rsidR="00BB0972" w:rsidRPr="000904BE" w:rsidRDefault="00BB0972" w:rsidP="00E66C07"/>
          <w:p w14:paraId="497C79A6" w14:textId="0338E623" w:rsidR="00BB0972" w:rsidRPr="000904BE" w:rsidRDefault="00432FE1" w:rsidP="008A5A47">
            <w:r w:rsidRPr="000904BE">
              <w:t>Finanšu ministrija</w:t>
            </w:r>
            <w:r w:rsidR="00625EC4" w:rsidRPr="000904BE">
              <w:t xml:space="preserve"> </w:t>
            </w:r>
            <w:r w:rsidR="000C3947">
              <w:t>, Tieslietu ministrija</w:t>
            </w:r>
          </w:p>
          <w:p w14:paraId="4753B9B5" w14:textId="77777777" w:rsidR="00962313" w:rsidRPr="000904BE" w:rsidRDefault="00962313" w:rsidP="008A5A47"/>
          <w:p w14:paraId="72083DE0" w14:textId="77777777" w:rsidR="00962313" w:rsidRPr="000904BE" w:rsidRDefault="00962313" w:rsidP="009F7C8A"/>
        </w:tc>
        <w:tc>
          <w:tcPr>
            <w:tcW w:w="1899" w:type="dxa"/>
            <w:gridSpan w:val="2"/>
            <w:hideMark/>
          </w:tcPr>
          <w:p w14:paraId="413AB482" w14:textId="77777777" w:rsidR="00BB0972" w:rsidRPr="000904BE" w:rsidRDefault="00BB0972" w:rsidP="00E66C07">
            <w:pPr>
              <w:spacing w:before="75" w:after="75"/>
            </w:pPr>
            <w:r w:rsidRPr="000904BE">
              <w:rPr>
                <w:sz w:val="22"/>
                <w:szCs w:val="22"/>
              </w:rPr>
              <w:t> </w:t>
            </w:r>
          </w:p>
        </w:tc>
      </w:tr>
      <w:tr w:rsidR="00BB0972" w:rsidRPr="000904BE" w14:paraId="6C8CA90A" w14:textId="77777777" w:rsidTr="00BB0972">
        <w:trPr>
          <w:trHeight w:val="277"/>
          <w:tblCellSpacing w:w="0" w:type="dxa"/>
        </w:trPr>
        <w:tc>
          <w:tcPr>
            <w:tcW w:w="8167" w:type="dxa"/>
            <w:gridSpan w:val="3"/>
            <w:vAlign w:val="center"/>
            <w:hideMark/>
          </w:tcPr>
          <w:p w14:paraId="1CDA8DAD" w14:textId="77777777" w:rsidR="00BB0972" w:rsidRPr="000904BE" w:rsidRDefault="00BB0972" w:rsidP="00E66C07">
            <w:r w:rsidRPr="000904BE">
              <w:rPr>
                <w:sz w:val="22"/>
                <w:szCs w:val="22"/>
              </w:rPr>
              <w:t>Ministrijas (citas institūcijas), kuras nav ieradušās uz sanāksmi vai kuras nav atbildējušas uz uzaicinājumu piedalīties elektroniskajā saskaņošanā</w:t>
            </w:r>
          </w:p>
        </w:tc>
        <w:tc>
          <w:tcPr>
            <w:tcW w:w="4613" w:type="dxa"/>
            <w:gridSpan w:val="3"/>
            <w:vAlign w:val="center"/>
            <w:hideMark/>
          </w:tcPr>
          <w:p w14:paraId="0779F3DA" w14:textId="77777777" w:rsidR="00BB0972" w:rsidRPr="000904BE" w:rsidRDefault="00BB0972" w:rsidP="00E66C07">
            <w:pPr>
              <w:spacing w:before="75" w:after="75"/>
            </w:pPr>
          </w:p>
        </w:tc>
      </w:tr>
    </w:tbl>
    <w:p w14:paraId="6B3DE356" w14:textId="77777777" w:rsidR="00644436" w:rsidRPr="000904BE" w:rsidRDefault="00644436" w:rsidP="00B633B1">
      <w:pPr>
        <w:ind w:left="1440" w:firstLine="720"/>
        <w:jc w:val="center"/>
        <w:rPr>
          <w:b/>
          <w:bCs/>
        </w:rPr>
      </w:pPr>
    </w:p>
    <w:p w14:paraId="40473A13" w14:textId="77777777" w:rsidR="008B0AA4" w:rsidRPr="000904BE" w:rsidRDefault="008B0AA4" w:rsidP="00B633B1">
      <w:pPr>
        <w:ind w:left="1440" w:firstLine="720"/>
        <w:jc w:val="center"/>
        <w:rPr>
          <w:b/>
          <w:bCs/>
        </w:rPr>
      </w:pPr>
    </w:p>
    <w:p w14:paraId="078BD109" w14:textId="77777777" w:rsidR="00720129" w:rsidRPr="000904BE" w:rsidRDefault="00720129" w:rsidP="00B633B1">
      <w:pPr>
        <w:ind w:left="1440" w:firstLine="720"/>
        <w:jc w:val="center"/>
        <w:rPr>
          <w:b/>
          <w:bCs/>
        </w:rPr>
      </w:pPr>
    </w:p>
    <w:p w14:paraId="56E37D8F" w14:textId="56767CBE" w:rsidR="00BD6FD2" w:rsidRPr="000904BE" w:rsidRDefault="00BD6FD2" w:rsidP="00720129">
      <w:pPr>
        <w:ind w:left="851"/>
        <w:jc w:val="center"/>
        <w:rPr>
          <w:b/>
          <w:bCs/>
          <w:sz w:val="22"/>
          <w:szCs w:val="22"/>
        </w:rPr>
      </w:pPr>
      <w:r w:rsidRPr="000904BE">
        <w:rPr>
          <w:b/>
          <w:bCs/>
          <w:sz w:val="22"/>
          <w:szCs w:val="22"/>
        </w:rPr>
        <w:t xml:space="preserve">II. Jautājumi, par kuriem saskaņošanā </w:t>
      </w:r>
      <w:r w:rsidR="00962313" w:rsidRPr="000904BE">
        <w:rPr>
          <w:b/>
          <w:bCs/>
          <w:sz w:val="22"/>
          <w:szCs w:val="22"/>
        </w:rPr>
        <w:t xml:space="preserve">vienošanās </w:t>
      </w:r>
      <w:r w:rsidRPr="000904BE">
        <w:rPr>
          <w:b/>
          <w:bCs/>
          <w:sz w:val="22"/>
          <w:szCs w:val="22"/>
        </w:rPr>
        <w:t>ir panākta</w:t>
      </w:r>
    </w:p>
    <w:p w14:paraId="7054B821" w14:textId="77777777" w:rsidR="00962313" w:rsidRPr="000904BE" w:rsidRDefault="00962313" w:rsidP="00B633B1">
      <w:pPr>
        <w:ind w:left="1440" w:firstLine="720"/>
        <w:jc w:val="center"/>
        <w:rPr>
          <w:b/>
          <w:bCs/>
          <w:sz w:val="22"/>
          <w:szCs w:val="22"/>
        </w:rPr>
      </w:pPr>
    </w:p>
    <w:tbl>
      <w:tblPr>
        <w:tblW w:w="15014" w:type="dxa"/>
        <w:tblCellSpacing w:w="0" w:type="dxa"/>
        <w:tblCellMar>
          <w:left w:w="0" w:type="dxa"/>
          <w:right w:w="0" w:type="dxa"/>
        </w:tblCellMar>
        <w:tblLook w:val="04A0" w:firstRow="1" w:lastRow="0" w:firstColumn="1" w:lastColumn="0" w:noHBand="0" w:noVBand="1"/>
      </w:tblPr>
      <w:tblGrid>
        <w:gridCol w:w="606"/>
        <w:gridCol w:w="2221"/>
        <w:gridCol w:w="1433"/>
        <w:gridCol w:w="3387"/>
        <w:gridCol w:w="3260"/>
        <w:gridCol w:w="3428"/>
        <w:gridCol w:w="679"/>
      </w:tblGrid>
      <w:tr w:rsidR="00DE4CF9" w:rsidRPr="006E66AB" w14:paraId="65EC4B4F" w14:textId="77777777" w:rsidTr="0018741C">
        <w:trPr>
          <w:trHeight w:val="1520"/>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7D28BA61" w14:textId="77777777" w:rsidR="00BD6FD2" w:rsidRPr="006E66AB" w:rsidRDefault="00BD6FD2" w:rsidP="00F43A16">
            <w:pPr>
              <w:spacing w:before="75" w:after="75"/>
              <w:jc w:val="center"/>
              <w:rPr>
                <w:sz w:val="22"/>
                <w:szCs w:val="22"/>
              </w:rPr>
            </w:pPr>
            <w:r w:rsidRPr="006E66AB">
              <w:rPr>
                <w:sz w:val="22"/>
                <w:szCs w:val="22"/>
              </w:rPr>
              <w:lastRenderedPageBreak/>
              <w:t>Nr. p.k.</w:t>
            </w:r>
          </w:p>
        </w:tc>
        <w:tc>
          <w:tcPr>
            <w:tcW w:w="2221"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1E8306C3" w14:textId="77777777" w:rsidR="00BD6FD2" w:rsidRPr="006E66AB" w:rsidRDefault="00BD6FD2" w:rsidP="00F43A16">
            <w:pPr>
              <w:spacing w:before="75" w:after="75"/>
              <w:ind w:right="127"/>
              <w:jc w:val="center"/>
              <w:rPr>
                <w:sz w:val="22"/>
                <w:szCs w:val="22"/>
              </w:rPr>
            </w:pPr>
            <w:r w:rsidRPr="006E66AB">
              <w:rPr>
                <w:sz w:val="22"/>
                <w:szCs w:val="22"/>
              </w:rPr>
              <w:t>Saskaņošanai nosūtītā projekta redakcija (konkrēta punkta (panta) redakcija)</w:t>
            </w:r>
          </w:p>
        </w:tc>
        <w:tc>
          <w:tcPr>
            <w:tcW w:w="4820"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23A7337E" w14:textId="77777777" w:rsidR="00BD6FD2" w:rsidRPr="006E66AB" w:rsidRDefault="00BD6FD2" w:rsidP="00C14E10">
            <w:pPr>
              <w:spacing w:before="75" w:after="75"/>
              <w:ind w:left="127" w:right="127"/>
              <w:jc w:val="both"/>
              <w:rPr>
                <w:sz w:val="22"/>
                <w:szCs w:val="22"/>
              </w:rPr>
            </w:pPr>
            <w:r w:rsidRPr="006E66AB">
              <w:rPr>
                <w:sz w:val="22"/>
                <w:szCs w:val="22"/>
              </w:rPr>
              <w:t>Atzinumā norādītais ministrijas (citas institūcijas) iebildums, kā arī saskaņošanā papildus izteiktais iebildums par projekta konkrēto punktu (pantu)</w:t>
            </w:r>
          </w:p>
        </w:tc>
        <w:tc>
          <w:tcPr>
            <w:tcW w:w="3260"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606F3BA4" w14:textId="77777777" w:rsidR="00BD6FD2" w:rsidRPr="006E66AB" w:rsidRDefault="00BD6FD2" w:rsidP="00F43A16">
            <w:pPr>
              <w:spacing w:before="75" w:after="75"/>
              <w:ind w:left="140" w:right="127"/>
              <w:jc w:val="center"/>
              <w:rPr>
                <w:sz w:val="22"/>
                <w:szCs w:val="22"/>
              </w:rPr>
            </w:pPr>
            <w:r w:rsidRPr="006E66AB">
              <w:rPr>
                <w:sz w:val="22"/>
                <w:szCs w:val="22"/>
              </w:rPr>
              <w:t>Atbildīgās ministrijas norāde par to, ka iebildums ir ņemts vērā, vai informācija par saskaņošanā panākto alternatīvo risinājumu</w:t>
            </w:r>
          </w:p>
        </w:tc>
        <w:tc>
          <w:tcPr>
            <w:tcW w:w="4107"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264FFEBC" w14:textId="77777777" w:rsidR="00BD6FD2" w:rsidRPr="006E66AB" w:rsidRDefault="00BD6FD2" w:rsidP="00F43A16">
            <w:pPr>
              <w:spacing w:before="75" w:after="75"/>
              <w:ind w:right="127"/>
              <w:jc w:val="center"/>
              <w:rPr>
                <w:sz w:val="22"/>
                <w:szCs w:val="22"/>
              </w:rPr>
            </w:pPr>
            <w:r w:rsidRPr="006E66AB">
              <w:rPr>
                <w:sz w:val="22"/>
                <w:szCs w:val="22"/>
              </w:rPr>
              <w:t>Projekta attiecīgā punkta (panta) galīgā redakcija</w:t>
            </w:r>
          </w:p>
        </w:tc>
      </w:tr>
      <w:tr w:rsidR="00DE4CF9" w:rsidRPr="006E66AB" w14:paraId="460DA60A" w14:textId="77777777" w:rsidTr="0018741C">
        <w:trPr>
          <w:trHeight w:val="251"/>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D9D9D9"/>
            <w:hideMark/>
          </w:tcPr>
          <w:p w14:paraId="35120DCF" w14:textId="77777777" w:rsidR="00BD6FD2" w:rsidRPr="006E66AB" w:rsidRDefault="00BD6FD2" w:rsidP="00CD2D93">
            <w:pPr>
              <w:jc w:val="center"/>
              <w:rPr>
                <w:sz w:val="22"/>
                <w:szCs w:val="22"/>
              </w:rPr>
            </w:pPr>
            <w:r w:rsidRPr="006E66AB">
              <w:rPr>
                <w:sz w:val="22"/>
                <w:szCs w:val="22"/>
              </w:rPr>
              <w:t>1</w:t>
            </w:r>
          </w:p>
        </w:tc>
        <w:tc>
          <w:tcPr>
            <w:tcW w:w="2221" w:type="dxa"/>
            <w:tcBorders>
              <w:top w:val="single" w:sz="6" w:space="0" w:color="808080"/>
              <w:left w:val="single" w:sz="6" w:space="0" w:color="808080"/>
              <w:bottom w:val="single" w:sz="6" w:space="0" w:color="808080"/>
              <w:right w:val="single" w:sz="6" w:space="0" w:color="808080"/>
            </w:tcBorders>
            <w:shd w:val="clear" w:color="auto" w:fill="D9D9D9"/>
            <w:hideMark/>
          </w:tcPr>
          <w:p w14:paraId="10A89E8F" w14:textId="77777777" w:rsidR="00BD6FD2" w:rsidRPr="006E66AB" w:rsidRDefault="00BD6FD2" w:rsidP="00CD2D93">
            <w:pPr>
              <w:jc w:val="center"/>
              <w:rPr>
                <w:sz w:val="22"/>
                <w:szCs w:val="22"/>
              </w:rPr>
            </w:pPr>
            <w:r w:rsidRPr="006E66AB">
              <w:rPr>
                <w:sz w:val="22"/>
                <w:szCs w:val="22"/>
              </w:rPr>
              <w:t>2</w:t>
            </w:r>
          </w:p>
        </w:tc>
        <w:tc>
          <w:tcPr>
            <w:tcW w:w="4820" w:type="dxa"/>
            <w:gridSpan w:val="2"/>
            <w:tcBorders>
              <w:top w:val="single" w:sz="6" w:space="0" w:color="808080"/>
              <w:left w:val="single" w:sz="6" w:space="0" w:color="808080"/>
              <w:bottom w:val="single" w:sz="6" w:space="0" w:color="808080"/>
              <w:right w:val="single" w:sz="6" w:space="0" w:color="808080"/>
            </w:tcBorders>
            <w:shd w:val="clear" w:color="auto" w:fill="D9D9D9"/>
            <w:hideMark/>
          </w:tcPr>
          <w:p w14:paraId="2FD79E0E" w14:textId="77777777" w:rsidR="00BD6FD2" w:rsidRPr="006E66AB" w:rsidRDefault="00BD6FD2" w:rsidP="00C14E10">
            <w:pPr>
              <w:jc w:val="both"/>
              <w:rPr>
                <w:sz w:val="22"/>
                <w:szCs w:val="22"/>
              </w:rPr>
            </w:pPr>
            <w:r w:rsidRPr="006E66AB">
              <w:rPr>
                <w:sz w:val="22"/>
                <w:szCs w:val="22"/>
              </w:rPr>
              <w:t>3</w:t>
            </w:r>
          </w:p>
        </w:tc>
        <w:tc>
          <w:tcPr>
            <w:tcW w:w="3260" w:type="dxa"/>
            <w:tcBorders>
              <w:top w:val="single" w:sz="6" w:space="0" w:color="808080"/>
              <w:left w:val="single" w:sz="6" w:space="0" w:color="808080"/>
              <w:bottom w:val="single" w:sz="6" w:space="0" w:color="808080"/>
              <w:right w:val="single" w:sz="6" w:space="0" w:color="808080"/>
            </w:tcBorders>
            <w:shd w:val="clear" w:color="auto" w:fill="D9D9D9"/>
            <w:hideMark/>
          </w:tcPr>
          <w:p w14:paraId="7DD74B36" w14:textId="77777777" w:rsidR="00BD6FD2" w:rsidRPr="006E66AB" w:rsidRDefault="00BD6FD2" w:rsidP="00CD2D93">
            <w:pPr>
              <w:jc w:val="center"/>
              <w:rPr>
                <w:sz w:val="22"/>
                <w:szCs w:val="22"/>
              </w:rPr>
            </w:pPr>
            <w:r w:rsidRPr="006E66AB">
              <w:rPr>
                <w:sz w:val="22"/>
                <w:szCs w:val="22"/>
              </w:rPr>
              <w:t>4</w:t>
            </w:r>
          </w:p>
        </w:tc>
        <w:tc>
          <w:tcPr>
            <w:tcW w:w="4107" w:type="dxa"/>
            <w:gridSpan w:val="2"/>
            <w:tcBorders>
              <w:top w:val="single" w:sz="6" w:space="0" w:color="808080"/>
              <w:left w:val="single" w:sz="6" w:space="0" w:color="808080"/>
              <w:bottom w:val="single" w:sz="6" w:space="0" w:color="808080"/>
              <w:right w:val="single" w:sz="6" w:space="0" w:color="808080"/>
            </w:tcBorders>
            <w:shd w:val="clear" w:color="auto" w:fill="D9D9D9"/>
            <w:hideMark/>
          </w:tcPr>
          <w:p w14:paraId="476D4570" w14:textId="77777777" w:rsidR="00BD6FD2" w:rsidRPr="006E66AB" w:rsidRDefault="00BD6FD2" w:rsidP="00CD2D93">
            <w:pPr>
              <w:jc w:val="center"/>
              <w:rPr>
                <w:sz w:val="22"/>
                <w:szCs w:val="22"/>
              </w:rPr>
            </w:pPr>
            <w:r w:rsidRPr="006E66AB">
              <w:rPr>
                <w:sz w:val="22"/>
                <w:szCs w:val="22"/>
              </w:rPr>
              <w:t>5</w:t>
            </w:r>
          </w:p>
        </w:tc>
      </w:tr>
      <w:tr w:rsidR="00DE4CF9" w:rsidRPr="006E66AB" w14:paraId="6796CD56" w14:textId="77777777" w:rsidTr="0018741C">
        <w:trPr>
          <w:trHeight w:val="306"/>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B3D1CBE" w14:textId="62E331F2" w:rsidR="00BF1C28" w:rsidRPr="006E66AB" w:rsidRDefault="0018741C" w:rsidP="007233D6">
            <w:pPr>
              <w:pStyle w:val="naisc"/>
              <w:spacing w:before="0" w:after="0"/>
              <w:rPr>
                <w:sz w:val="22"/>
                <w:szCs w:val="22"/>
              </w:rPr>
            </w:pPr>
            <w:r w:rsidRPr="006E66AB">
              <w:rPr>
                <w:sz w:val="22"/>
                <w:szCs w:val="22"/>
              </w:rPr>
              <w:t>1</w:t>
            </w:r>
            <w:r w:rsidR="00D86419" w:rsidRPr="006E66AB">
              <w:rPr>
                <w:sz w:val="22"/>
                <w:szCs w:val="22"/>
              </w:rPr>
              <w:t>.</w:t>
            </w:r>
          </w:p>
        </w:tc>
        <w:tc>
          <w:tcPr>
            <w:tcW w:w="2221"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46305A3" w14:textId="1E323FA5" w:rsidR="00BF1C28" w:rsidRPr="006E66AB" w:rsidRDefault="00C14E10" w:rsidP="00892A42">
            <w:pPr>
              <w:spacing w:before="120"/>
              <w:jc w:val="both"/>
              <w:rPr>
                <w:sz w:val="22"/>
                <w:szCs w:val="22"/>
              </w:rPr>
            </w:pPr>
            <w:r w:rsidRPr="006E66AB">
              <w:rPr>
                <w:sz w:val="22"/>
                <w:szCs w:val="22"/>
              </w:rPr>
              <w:t>Likumprojekta</w:t>
            </w:r>
            <w:r w:rsidR="009D0EE2" w:rsidRPr="006E66AB">
              <w:rPr>
                <w:sz w:val="22"/>
                <w:szCs w:val="22"/>
              </w:rPr>
              <w:t xml:space="preserve"> 4.pantā paredzētā 31.</w:t>
            </w:r>
            <w:r w:rsidR="009D0EE2" w:rsidRPr="006E66AB">
              <w:rPr>
                <w:sz w:val="22"/>
                <w:szCs w:val="22"/>
                <w:vertAlign w:val="superscript"/>
              </w:rPr>
              <w:t>1</w:t>
            </w:r>
            <w:r w:rsidR="009D0EE2" w:rsidRPr="006E66AB">
              <w:rPr>
                <w:sz w:val="22"/>
                <w:szCs w:val="22"/>
              </w:rPr>
              <w:t xml:space="preserve"> panta</w:t>
            </w:r>
            <w:r w:rsidRPr="006E66AB">
              <w:rPr>
                <w:sz w:val="22"/>
                <w:szCs w:val="22"/>
              </w:rPr>
              <w:t xml:space="preserve"> 5. un 7.</w:t>
            </w:r>
            <w:r w:rsidR="009D0EE2" w:rsidRPr="006E66AB">
              <w:rPr>
                <w:sz w:val="22"/>
                <w:szCs w:val="22"/>
              </w:rPr>
              <w:t>daļa</w:t>
            </w:r>
          </w:p>
          <w:p w14:paraId="2B4A4F72" w14:textId="15107170" w:rsidR="00C14E10" w:rsidRPr="006E66AB" w:rsidRDefault="00C14E10" w:rsidP="00892A42">
            <w:pPr>
              <w:spacing w:before="120"/>
              <w:jc w:val="both"/>
              <w:rPr>
                <w:sz w:val="22"/>
                <w:szCs w:val="22"/>
              </w:rPr>
            </w:pPr>
            <w:r w:rsidRPr="006E66AB">
              <w:rPr>
                <w:sz w:val="22"/>
                <w:szCs w:val="22"/>
              </w:rPr>
              <w:t>(5) Enerģētikas nozares valsts atbalsta sistēmas darbības regulēšanas nodevas administrēšanu organizē Ministru kabineta noteiktā atbildīgā institūcija.</w:t>
            </w:r>
          </w:p>
          <w:p w14:paraId="455AA220" w14:textId="77777777" w:rsidR="00C14E10" w:rsidRPr="006E66AB" w:rsidRDefault="00C14E10" w:rsidP="00892A42">
            <w:pPr>
              <w:spacing w:before="120"/>
              <w:jc w:val="both"/>
              <w:rPr>
                <w:sz w:val="22"/>
                <w:szCs w:val="22"/>
              </w:rPr>
            </w:pPr>
            <w:r w:rsidRPr="006E66AB">
              <w:rPr>
                <w:sz w:val="22"/>
                <w:szCs w:val="22"/>
              </w:rPr>
              <w:t>(..)</w:t>
            </w:r>
          </w:p>
          <w:p w14:paraId="1D20F732" w14:textId="367E3C2B" w:rsidR="00C14E10" w:rsidRPr="006E66AB" w:rsidRDefault="00C14E10" w:rsidP="00892A42">
            <w:pPr>
              <w:spacing w:before="120"/>
              <w:jc w:val="both"/>
              <w:rPr>
                <w:sz w:val="22"/>
                <w:szCs w:val="22"/>
              </w:rPr>
            </w:pPr>
            <w:r w:rsidRPr="006E66AB">
              <w:rPr>
                <w:sz w:val="22"/>
                <w:szCs w:val="22"/>
              </w:rPr>
              <w:t>(7) Ja elektroenerģijas ražotājs šī panta sestajā daļā minētajā termiņā nav nomaksājis nodevu, elektroenerģijas ražotājam Ministru kabineta noteiktā kārtībā tiek apturēta valsts atbalsta izmaksa līdz brīdim, kad nodeva ir nomaksāta.</w:t>
            </w:r>
          </w:p>
        </w:tc>
        <w:tc>
          <w:tcPr>
            <w:tcW w:w="4820"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67074BCE" w14:textId="77777777" w:rsidR="00BF1C28" w:rsidRPr="006E66AB" w:rsidRDefault="00C14E10" w:rsidP="00C14E10">
            <w:pPr>
              <w:jc w:val="both"/>
              <w:rPr>
                <w:b/>
                <w:sz w:val="22"/>
                <w:szCs w:val="22"/>
              </w:rPr>
            </w:pPr>
            <w:r w:rsidRPr="006E66AB">
              <w:rPr>
                <w:b/>
                <w:sz w:val="22"/>
                <w:szCs w:val="22"/>
              </w:rPr>
              <w:t>Tieslietu ministrija (03.09.2019)</w:t>
            </w:r>
          </w:p>
          <w:p w14:paraId="346E6E24" w14:textId="77777777" w:rsidR="00C14E10" w:rsidRPr="006E66AB" w:rsidRDefault="00C14E10" w:rsidP="00C14E10">
            <w:pPr>
              <w:jc w:val="both"/>
              <w:rPr>
                <w:b/>
                <w:sz w:val="22"/>
                <w:szCs w:val="22"/>
              </w:rPr>
            </w:pPr>
          </w:p>
          <w:p w14:paraId="0B842316" w14:textId="3EB1199A" w:rsidR="00C14E10" w:rsidRPr="006E66AB" w:rsidRDefault="00670094" w:rsidP="00C14E10">
            <w:pPr>
              <w:jc w:val="both"/>
              <w:rPr>
                <w:sz w:val="22"/>
                <w:szCs w:val="22"/>
              </w:rPr>
            </w:pPr>
            <w:r w:rsidRPr="006E66AB">
              <w:rPr>
                <w:sz w:val="22"/>
                <w:szCs w:val="22"/>
              </w:rPr>
              <w:t>3.</w:t>
            </w:r>
            <w:r w:rsidR="00C14E10" w:rsidRPr="006E66AB">
              <w:rPr>
                <w:sz w:val="22"/>
                <w:szCs w:val="22"/>
              </w:rPr>
              <w:t>Vēršam uzmanību uz to, ka projekta 4. pantā paredzētajā likuma 31.</w:t>
            </w:r>
            <w:r w:rsidR="00C14E10" w:rsidRPr="006E66AB">
              <w:rPr>
                <w:sz w:val="22"/>
                <w:szCs w:val="22"/>
                <w:vertAlign w:val="superscript"/>
              </w:rPr>
              <w:t>1</w:t>
            </w:r>
            <w:r w:rsidR="00C14E10" w:rsidRPr="006E66AB">
              <w:rPr>
                <w:sz w:val="22"/>
                <w:szCs w:val="22"/>
              </w:rPr>
              <w:t> panta piektajā un septītajā daļā ietvertais regulējums ir neskaidrs, proti, nav saprotams, vai tajā ir ietverts pilnvarojums Ministru kabinetam noteikt attiecīgo regulējumu, vai arī tā ir atsauce uz Ministru kabineta noteikumiem.</w:t>
            </w:r>
          </w:p>
          <w:p w14:paraId="680A460F" w14:textId="77777777" w:rsidR="00C14E10" w:rsidRPr="006E66AB" w:rsidRDefault="00C14E10" w:rsidP="00C14E10">
            <w:pPr>
              <w:jc w:val="both"/>
              <w:rPr>
                <w:sz w:val="22"/>
                <w:szCs w:val="22"/>
              </w:rPr>
            </w:pPr>
          </w:p>
          <w:p w14:paraId="6742CBD2" w14:textId="0B877E70" w:rsidR="00C14E10" w:rsidRPr="006E66AB" w:rsidRDefault="00C14E10" w:rsidP="00C14E10">
            <w:pPr>
              <w:jc w:val="both"/>
              <w:rPr>
                <w:sz w:val="22"/>
                <w:szCs w:val="22"/>
              </w:rPr>
            </w:pPr>
            <w:r w:rsidRPr="006E66AB">
              <w:rPr>
                <w:sz w:val="22"/>
                <w:szCs w:val="22"/>
              </w:rPr>
              <w:t>Vienlaikus vēršam uzmanību uz to, ka pilnvarojumu Ministru kabinetam izstrādā atbilstoši Ministru kabineta 2009. gada 3. februāra noteikumu Nr. 108 "Normatīvo aktu projektu sagatavošanas noteikumi" 47. punktā noteiktajām prasībām. Savukārt atbilstoši Ministru kabineta 2009. gada 3. februāra noteikumu Nr. 108 "Normatīvo aktu projektu sagatavošanas noteikumi" 62. punktā noteiktajam likumprojektā neietver atsauces uz zemāka juridiskā spēka normatīvo aktu.</w:t>
            </w:r>
          </w:p>
          <w:p w14:paraId="08922669" w14:textId="77777777" w:rsidR="00C14E10" w:rsidRPr="006E66AB" w:rsidRDefault="00C14E10" w:rsidP="00C14E10">
            <w:pPr>
              <w:ind w:firstLine="720"/>
              <w:jc w:val="both"/>
              <w:rPr>
                <w:sz w:val="22"/>
                <w:szCs w:val="22"/>
              </w:rPr>
            </w:pPr>
          </w:p>
          <w:p w14:paraId="0832964C" w14:textId="6D2E9034" w:rsidR="00C14E10" w:rsidRPr="006E66AB" w:rsidRDefault="00C14E10" w:rsidP="00C14E10">
            <w:pPr>
              <w:jc w:val="both"/>
              <w:rPr>
                <w:bCs/>
                <w:sz w:val="22"/>
                <w:szCs w:val="22"/>
              </w:rPr>
            </w:pPr>
            <w:r w:rsidRPr="006E66AB">
              <w:rPr>
                <w:sz w:val="22"/>
                <w:szCs w:val="22"/>
              </w:rPr>
              <w:t>Ievērojot minēto, lūdzam precizēt projekta 4. pantā paredzētajā likuma 31.</w:t>
            </w:r>
            <w:r w:rsidRPr="006E66AB">
              <w:rPr>
                <w:sz w:val="22"/>
                <w:szCs w:val="22"/>
                <w:vertAlign w:val="superscript"/>
              </w:rPr>
              <w:t>1</w:t>
            </w:r>
            <w:r w:rsidRPr="006E66AB">
              <w:rPr>
                <w:sz w:val="22"/>
                <w:szCs w:val="22"/>
              </w:rPr>
              <w:t> panta piektajā un septītajā daļā ietverto regulējumu, kā arī papildināt anotāciju ar atbilstošu informāciju</w:t>
            </w:r>
            <w:r w:rsidRPr="006E66AB">
              <w:rPr>
                <w:bCs/>
                <w:sz w:val="22"/>
                <w:szCs w:val="22"/>
              </w:rPr>
              <w:t xml:space="preserve">. Gadījumā, ja tiks izdoti Ministru kabineta noteikumi atbilstoši </w:t>
            </w:r>
            <w:r w:rsidRPr="006E66AB">
              <w:rPr>
                <w:sz w:val="22"/>
                <w:szCs w:val="22"/>
              </w:rPr>
              <w:t>projekta 4. pantā paredzētajā likuma 31.</w:t>
            </w:r>
            <w:r w:rsidRPr="006E66AB">
              <w:rPr>
                <w:sz w:val="22"/>
                <w:szCs w:val="22"/>
                <w:vertAlign w:val="superscript"/>
              </w:rPr>
              <w:t>1</w:t>
            </w:r>
            <w:r w:rsidRPr="006E66AB">
              <w:rPr>
                <w:sz w:val="22"/>
                <w:szCs w:val="22"/>
              </w:rPr>
              <w:t xml:space="preserve"> panta piektajā un septītajā daļā ietvertajam pilnvarojumam Ministru kabinetam, lūdzam aizpildīt anotācijas IV sadaļas 1. punktu atbilstoši Ministru kabineta 2009. gada 15. decembra instrukcijas Nr. 19 "Tiesību akta </w:t>
            </w:r>
            <w:r w:rsidRPr="006E66AB">
              <w:rPr>
                <w:sz w:val="22"/>
                <w:szCs w:val="22"/>
              </w:rPr>
              <w:lastRenderedPageBreak/>
              <w:t>projekta sākotnējās ietekmes izvērtēšanas kārtība" 54.1. apakšpunktā noteiktajām prasībām.</w:t>
            </w:r>
          </w:p>
        </w:tc>
        <w:tc>
          <w:tcPr>
            <w:tcW w:w="3260"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53C02C0D" w14:textId="77777777" w:rsidR="00BF1C28" w:rsidRPr="006E66AB" w:rsidRDefault="00C14E10" w:rsidP="00FE323A">
            <w:pPr>
              <w:pStyle w:val="naisc"/>
              <w:spacing w:before="0" w:after="0"/>
              <w:rPr>
                <w:b/>
                <w:sz w:val="22"/>
                <w:szCs w:val="22"/>
              </w:rPr>
            </w:pPr>
            <w:r w:rsidRPr="006E66AB">
              <w:rPr>
                <w:b/>
                <w:sz w:val="22"/>
                <w:szCs w:val="22"/>
              </w:rPr>
              <w:lastRenderedPageBreak/>
              <w:t>Ņemts vērā</w:t>
            </w:r>
          </w:p>
          <w:p w14:paraId="7145397B" w14:textId="3965EC29" w:rsidR="00C14E10" w:rsidRPr="006E66AB" w:rsidRDefault="00C14E10" w:rsidP="00D57C9E">
            <w:pPr>
              <w:pStyle w:val="naisc"/>
              <w:spacing w:before="0" w:after="0"/>
              <w:jc w:val="both"/>
              <w:rPr>
                <w:sz w:val="22"/>
                <w:szCs w:val="22"/>
              </w:rPr>
            </w:pPr>
          </w:p>
          <w:p w14:paraId="1621B471" w14:textId="0C846F63" w:rsidR="00670094" w:rsidRPr="006E66AB" w:rsidRDefault="00670094" w:rsidP="00D57C9E">
            <w:pPr>
              <w:pStyle w:val="naisc"/>
              <w:spacing w:before="0" w:after="0"/>
              <w:jc w:val="both"/>
              <w:rPr>
                <w:sz w:val="22"/>
                <w:szCs w:val="22"/>
              </w:rPr>
            </w:pPr>
            <w:r w:rsidRPr="006E66AB">
              <w:rPr>
                <w:sz w:val="22"/>
                <w:szCs w:val="22"/>
              </w:rPr>
              <w:t>Likumprojekts precizēts.</w:t>
            </w:r>
          </w:p>
          <w:p w14:paraId="4FB1D0E7" w14:textId="77777777" w:rsidR="00670094" w:rsidRPr="006E66AB" w:rsidRDefault="00670094" w:rsidP="00D57C9E">
            <w:pPr>
              <w:pStyle w:val="naisc"/>
              <w:spacing w:before="0" w:after="0"/>
              <w:jc w:val="both"/>
              <w:rPr>
                <w:sz w:val="22"/>
                <w:szCs w:val="22"/>
              </w:rPr>
            </w:pPr>
          </w:p>
          <w:p w14:paraId="1217F97F" w14:textId="77777777" w:rsidR="00670094" w:rsidRPr="006E66AB" w:rsidRDefault="00670094" w:rsidP="00D57C9E">
            <w:pPr>
              <w:pStyle w:val="naisc"/>
              <w:spacing w:before="0" w:after="0"/>
              <w:jc w:val="both"/>
              <w:rPr>
                <w:sz w:val="22"/>
                <w:szCs w:val="22"/>
              </w:rPr>
            </w:pPr>
            <w:r w:rsidRPr="006E66AB">
              <w:rPr>
                <w:sz w:val="22"/>
                <w:szCs w:val="22"/>
              </w:rPr>
              <w:t>Attiecībā uz likumprojekta anotācijas IV sadaļas 1.punkta precizējumu, informējam, ka tajā jau ir norādīti Ministru kabineta noteikumi, kuros būtu veicami grozījumi attiecīgā deleģējuma izpildei:</w:t>
            </w:r>
          </w:p>
          <w:p w14:paraId="3CCB2CF1" w14:textId="77777777" w:rsidR="00670094" w:rsidRPr="006E66AB" w:rsidRDefault="00670094" w:rsidP="00670094">
            <w:pPr>
              <w:numPr>
                <w:ilvl w:val="3"/>
                <w:numId w:val="19"/>
              </w:numPr>
              <w:tabs>
                <w:tab w:val="left" w:pos="209"/>
              </w:tabs>
              <w:ind w:left="0" w:firstLine="0"/>
              <w:jc w:val="both"/>
              <w:outlineLvl w:val="3"/>
              <w:rPr>
                <w:sz w:val="22"/>
                <w:szCs w:val="22"/>
              </w:rPr>
            </w:pPr>
            <w:r w:rsidRPr="006E66AB">
              <w:rPr>
                <w:sz w:val="22"/>
                <w:szCs w:val="22"/>
              </w:rPr>
              <w:t>Ministru kabineta 2010. gada 16. marta noteikumi Nr. 262 “Noteikumi par elektroenerģijas ražošanu, izmantojot atjaunojamos energoresursus, un cenu noteikšanas kārtību”;</w:t>
            </w:r>
          </w:p>
          <w:p w14:paraId="5987EF0B" w14:textId="77777777" w:rsidR="00670094" w:rsidRPr="006E66AB" w:rsidRDefault="00670094" w:rsidP="00670094">
            <w:pPr>
              <w:numPr>
                <w:ilvl w:val="3"/>
                <w:numId w:val="19"/>
              </w:numPr>
              <w:tabs>
                <w:tab w:val="left" w:pos="209"/>
              </w:tabs>
              <w:ind w:left="0" w:firstLine="0"/>
              <w:jc w:val="both"/>
              <w:outlineLvl w:val="3"/>
              <w:rPr>
                <w:sz w:val="22"/>
                <w:szCs w:val="22"/>
              </w:rPr>
            </w:pPr>
            <w:r w:rsidRPr="006E66AB">
              <w:rPr>
                <w:sz w:val="22"/>
                <w:szCs w:val="22"/>
              </w:rPr>
              <w:t>Ministru kabineta 2009. gada 10. marta noteikumi Nr. 221 “Noteikumi par elektroenerģijas ražošanu un cenu noteikšanu, ražojot elektroenerģiju koģenerācijā”;</w:t>
            </w:r>
          </w:p>
          <w:p w14:paraId="36D8D3E0" w14:textId="3C93EDD6" w:rsidR="00670094" w:rsidRPr="006E66AB" w:rsidRDefault="00670094" w:rsidP="00D57C9E">
            <w:pPr>
              <w:pStyle w:val="naisc"/>
              <w:spacing w:before="0" w:after="0"/>
              <w:jc w:val="both"/>
              <w:rPr>
                <w:b/>
                <w:sz w:val="22"/>
                <w:szCs w:val="22"/>
              </w:rPr>
            </w:pPr>
          </w:p>
        </w:tc>
        <w:tc>
          <w:tcPr>
            <w:tcW w:w="410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EA3DEC7" w14:textId="08C0578A" w:rsidR="00235306" w:rsidRPr="006E66AB" w:rsidRDefault="00235306" w:rsidP="00235306">
            <w:pPr>
              <w:spacing w:before="120"/>
              <w:jc w:val="both"/>
              <w:rPr>
                <w:sz w:val="22"/>
                <w:szCs w:val="22"/>
                <w:u w:val="single"/>
              </w:rPr>
            </w:pPr>
            <w:r w:rsidRPr="006E66AB">
              <w:rPr>
                <w:sz w:val="22"/>
                <w:szCs w:val="22"/>
                <w:u w:val="single"/>
              </w:rPr>
              <w:t>Likumprojekta</w:t>
            </w:r>
            <w:r w:rsidR="009D0EE2" w:rsidRPr="006E66AB">
              <w:rPr>
                <w:sz w:val="22"/>
                <w:szCs w:val="22"/>
                <w:u w:val="single"/>
              </w:rPr>
              <w:t xml:space="preserve"> 4.pantā paredzētā 31.</w:t>
            </w:r>
            <w:r w:rsidR="009D0EE2" w:rsidRPr="006E66AB">
              <w:rPr>
                <w:sz w:val="22"/>
                <w:szCs w:val="22"/>
                <w:u w:val="single"/>
                <w:vertAlign w:val="superscript"/>
              </w:rPr>
              <w:t>1</w:t>
            </w:r>
            <w:r w:rsidR="009D0EE2" w:rsidRPr="006E66AB">
              <w:rPr>
                <w:sz w:val="22"/>
                <w:szCs w:val="22"/>
                <w:u w:val="single"/>
              </w:rPr>
              <w:t xml:space="preserve"> panta</w:t>
            </w:r>
            <w:r w:rsidRPr="006E66AB">
              <w:rPr>
                <w:sz w:val="22"/>
                <w:szCs w:val="22"/>
                <w:u w:val="single"/>
              </w:rPr>
              <w:t xml:space="preserve"> 6. un 8</w:t>
            </w:r>
            <w:r w:rsidR="009D0EE2" w:rsidRPr="006E66AB">
              <w:rPr>
                <w:sz w:val="22"/>
                <w:szCs w:val="22"/>
                <w:u w:val="single"/>
              </w:rPr>
              <w:t>.daļa</w:t>
            </w:r>
            <w:r w:rsidR="00B52238" w:rsidRPr="006E66AB">
              <w:rPr>
                <w:sz w:val="22"/>
                <w:szCs w:val="22"/>
                <w:u w:val="single"/>
              </w:rPr>
              <w:t>:</w:t>
            </w:r>
          </w:p>
          <w:p w14:paraId="4E2A9863" w14:textId="68FC35AB" w:rsidR="00D568F5" w:rsidRPr="006E66AB" w:rsidRDefault="00C14E10" w:rsidP="00A87ADF">
            <w:pPr>
              <w:spacing w:before="120" w:after="120"/>
              <w:jc w:val="both"/>
              <w:rPr>
                <w:color w:val="0D0D0D" w:themeColor="text1" w:themeTint="F2"/>
                <w:sz w:val="22"/>
                <w:szCs w:val="22"/>
              </w:rPr>
            </w:pPr>
            <w:r w:rsidRPr="006E66AB">
              <w:rPr>
                <w:color w:val="0D0D0D" w:themeColor="text1" w:themeTint="F2"/>
                <w:sz w:val="22"/>
                <w:szCs w:val="22"/>
              </w:rPr>
              <w:t>(6) Ministru kabinets nosaka atbildīgo institūciju, kas organizē enerģētikas nozares valsts atbalsta sistēmas darbības regulēšanas nodevas administrēšanu organizē Ministru kabineta noteiktā atbildīgā institūcija.</w:t>
            </w:r>
          </w:p>
          <w:p w14:paraId="14F25BEF" w14:textId="77777777" w:rsidR="00235306" w:rsidRPr="006E66AB" w:rsidRDefault="00235306" w:rsidP="00A87ADF">
            <w:pPr>
              <w:spacing w:before="120" w:after="120"/>
              <w:jc w:val="both"/>
              <w:rPr>
                <w:color w:val="0D0D0D" w:themeColor="text1" w:themeTint="F2"/>
                <w:sz w:val="22"/>
                <w:szCs w:val="22"/>
              </w:rPr>
            </w:pPr>
            <w:r w:rsidRPr="006E66AB">
              <w:rPr>
                <w:color w:val="0D0D0D" w:themeColor="text1" w:themeTint="F2"/>
                <w:sz w:val="22"/>
                <w:szCs w:val="22"/>
              </w:rPr>
              <w:t>..</w:t>
            </w:r>
          </w:p>
          <w:p w14:paraId="091AE383" w14:textId="5C1045E5" w:rsidR="00235306" w:rsidRPr="006E66AB" w:rsidRDefault="00235306" w:rsidP="00A87ADF">
            <w:pPr>
              <w:spacing w:before="120" w:after="120"/>
              <w:jc w:val="both"/>
              <w:rPr>
                <w:color w:val="0D0D0D" w:themeColor="text1" w:themeTint="F2"/>
                <w:sz w:val="22"/>
                <w:szCs w:val="22"/>
              </w:rPr>
            </w:pPr>
            <w:r w:rsidRPr="006E66AB">
              <w:rPr>
                <w:color w:val="0D0D0D" w:themeColor="text1" w:themeTint="F2"/>
                <w:sz w:val="22"/>
                <w:szCs w:val="22"/>
              </w:rPr>
              <w:t>(8) Ja elektroenerģijas ražotājs šī panta sestajā daļā minētajā termiņā nav nomaksājis nodevu, elektroenerģijas ražotājam tiek apturēta valsts atbalsta izmaksa līdz brīdim, kad nodeva ir nomaksāta. Ministru kabinets nosaka kārtību, kādā tiek apturēta valsts atbalsta izmaksa.</w:t>
            </w:r>
          </w:p>
        </w:tc>
      </w:tr>
      <w:tr w:rsidR="00DE4CF9" w:rsidRPr="006E66AB" w14:paraId="1693B4E5" w14:textId="77777777" w:rsidTr="0018741C">
        <w:trPr>
          <w:trHeight w:val="306"/>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74AD20E2" w14:textId="39728B05" w:rsidR="00B137F3" w:rsidRPr="006E66AB" w:rsidRDefault="0018741C" w:rsidP="00B137F3">
            <w:pPr>
              <w:pStyle w:val="naisc"/>
              <w:spacing w:before="0" w:after="0"/>
              <w:rPr>
                <w:sz w:val="22"/>
                <w:szCs w:val="22"/>
              </w:rPr>
            </w:pPr>
            <w:r w:rsidRPr="006E66AB">
              <w:rPr>
                <w:sz w:val="22"/>
                <w:szCs w:val="22"/>
              </w:rPr>
              <w:t>2</w:t>
            </w:r>
            <w:r w:rsidR="00B137F3" w:rsidRPr="006E66AB">
              <w:rPr>
                <w:sz w:val="22"/>
                <w:szCs w:val="22"/>
              </w:rPr>
              <w:t>.</w:t>
            </w:r>
          </w:p>
        </w:tc>
        <w:tc>
          <w:tcPr>
            <w:tcW w:w="2221"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4F3E64F9" w14:textId="2C34E8FC" w:rsidR="009D0EE2" w:rsidRPr="006E66AB" w:rsidRDefault="009D0EE2" w:rsidP="009D0EE2">
            <w:pPr>
              <w:spacing w:before="120"/>
              <w:jc w:val="both"/>
              <w:rPr>
                <w:sz w:val="22"/>
                <w:szCs w:val="22"/>
              </w:rPr>
            </w:pPr>
            <w:r w:rsidRPr="006E66AB">
              <w:rPr>
                <w:sz w:val="22"/>
                <w:szCs w:val="22"/>
              </w:rPr>
              <w:t>Likumprojekta 4.pantā paredzētā 31.</w:t>
            </w:r>
            <w:r w:rsidRPr="006E66AB">
              <w:rPr>
                <w:sz w:val="22"/>
                <w:szCs w:val="22"/>
                <w:vertAlign w:val="superscript"/>
              </w:rPr>
              <w:t>1</w:t>
            </w:r>
            <w:r w:rsidRPr="006E66AB">
              <w:rPr>
                <w:sz w:val="22"/>
                <w:szCs w:val="22"/>
              </w:rPr>
              <w:t xml:space="preserve"> panta 6.daļa:</w:t>
            </w:r>
          </w:p>
          <w:p w14:paraId="04DADA9A" w14:textId="5CD7ED12" w:rsidR="009D0EE2" w:rsidRPr="006E66AB" w:rsidRDefault="009D0EE2" w:rsidP="009D0EE2">
            <w:pPr>
              <w:spacing w:before="120"/>
              <w:jc w:val="both"/>
              <w:rPr>
                <w:sz w:val="22"/>
                <w:szCs w:val="22"/>
              </w:rPr>
            </w:pPr>
            <w:r w:rsidRPr="006E66AB">
              <w:rPr>
                <w:sz w:val="22"/>
                <w:szCs w:val="22"/>
              </w:rPr>
              <w:t>“(6) Ministru kabinets nosaka atbildīgo institūciju, kas organizē enerģētikas nozares valsts atbalsta sistēmas darbības regulēšanas nodevas administrēšanu organizē Ministru kabineta noteiktā atbildīgā institūcija.”</w:t>
            </w:r>
          </w:p>
          <w:p w14:paraId="30D37D8E" w14:textId="2F13F705" w:rsidR="00B137F3" w:rsidRPr="006E66AB" w:rsidRDefault="00B137F3" w:rsidP="009D0EE2">
            <w:pPr>
              <w:jc w:val="both"/>
              <w:rPr>
                <w:sz w:val="22"/>
                <w:szCs w:val="22"/>
              </w:rPr>
            </w:pPr>
          </w:p>
        </w:tc>
        <w:tc>
          <w:tcPr>
            <w:tcW w:w="4820"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3D09A5D3" w14:textId="7FA94AFB" w:rsidR="00B137F3" w:rsidRPr="006E66AB" w:rsidRDefault="009D0EE2" w:rsidP="00C14E10">
            <w:pPr>
              <w:tabs>
                <w:tab w:val="left" w:pos="993"/>
              </w:tabs>
              <w:jc w:val="both"/>
              <w:rPr>
                <w:b/>
                <w:sz w:val="22"/>
                <w:szCs w:val="22"/>
              </w:rPr>
            </w:pPr>
            <w:r w:rsidRPr="006E66AB">
              <w:rPr>
                <w:b/>
                <w:sz w:val="22"/>
                <w:szCs w:val="22"/>
              </w:rPr>
              <w:t>Tieslietu ministrija (30.09.2019)</w:t>
            </w:r>
          </w:p>
          <w:p w14:paraId="362B7136" w14:textId="77777777" w:rsidR="009D0EE2" w:rsidRPr="006E66AB" w:rsidRDefault="009D0EE2" w:rsidP="009D0EE2">
            <w:pPr>
              <w:jc w:val="both"/>
              <w:rPr>
                <w:sz w:val="22"/>
                <w:szCs w:val="22"/>
              </w:rPr>
            </w:pPr>
            <w:r w:rsidRPr="006E66AB">
              <w:rPr>
                <w:sz w:val="22"/>
                <w:szCs w:val="22"/>
              </w:rPr>
              <w:t>2. Ievērojot, ka projekta 4. pantā paredzētajā Elektroenerģijas tirgus likuma (turpmāk – likums) 31.</w:t>
            </w:r>
            <w:r w:rsidRPr="006E66AB">
              <w:rPr>
                <w:sz w:val="22"/>
                <w:szCs w:val="22"/>
                <w:vertAlign w:val="superscript"/>
              </w:rPr>
              <w:t>1</w:t>
            </w:r>
            <w:r w:rsidRPr="006E66AB">
              <w:rPr>
                <w:sz w:val="22"/>
                <w:szCs w:val="22"/>
              </w:rPr>
              <w:t> panta sestajā daļā ietvertais regulējums ir neskaidrs, lūdzam to precizēt.</w:t>
            </w:r>
          </w:p>
          <w:p w14:paraId="7423018A" w14:textId="77777777" w:rsidR="009D0EE2" w:rsidRPr="006E66AB" w:rsidRDefault="009D0EE2" w:rsidP="00C14E10">
            <w:pPr>
              <w:tabs>
                <w:tab w:val="left" w:pos="993"/>
              </w:tabs>
              <w:jc w:val="both"/>
              <w:rPr>
                <w:b/>
                <w:sz w:val="22"/>
                <w:szCs w:val="22"/>
              </w:rPr>
            </w:pPr>
          </w:p>
          <w:p w14:paraId="3C848960" w14:textId="3BA2EB20" w:rsidR="009D0EE2" w:rsidRPr="006E66AB" w:rsidRDefault="009D0EE2" w:rsidP="00C14E10">
            <w:pPr>
              <w:tabs>
                <w:tab w:val="left" w:pos="993"/>
              </w:tabs>
              <w:jc w:val="both"/>
              <w:rPr>
                <w:b/>
                <w:sz w:val="22"/>
                <w:szCs w:val="22"/>
              </w:rPr>
            </w:pPr>
          </w:p>
        </w:tc>
        <w:tc>
          <w:tcPr>
            <w:tcW w:w="3260"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43970B15" w14:textId="0921A619" w:rsidR="00B137F3" w:rsidRPr="006E66AB" w:rsidRDefault="009D0EE2" w:rsidP="00B137F3">
            <w:pPr>
              <w:pStyle w:val="naisc"/>
              <w:spacing w:before="0" w:after="0"/>
              <w:rPr>
                <w:b/>
                <w:sz w:val="22"/>
                <w:szCs w:val="22"/>
              </w:rPr>
            </w:pPr>
            <w:r w:rsidRPr="006E66AB">
              <w:rPr>
                <w:b/>
                <w:sz w:val="22"/>
                <w:szCs w:val="22"/>
              </w:rPr>
              <w:t>Ņemts vērā</w:t>
            </w:r>
          </w:p>
        </w:tc>
        <w:tc>
          <w:tcPr>
            <w:tcW w:w="410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127202EE" w14:textId="39509EF2" w:rsidR="009D0EE2" w:rsidRPr="006E66AB" w:rsidRDefault="009D0EE2" w:rsidP="009D0EE2">
            <w:pPr>
              <w:spacing w:before="120"/>
              <w:jc w:val="both"/>
              <w:rPr>
                <w:sz w:val="22"/>
                <w:szCs w:val="22"/>
                <w:u w:val="single"/>
              </w:rPr>
            </w:pPr>
            <w:r w:rsidRPr="006E66AB">
              <w:rPr>
                <w:sz w:val="22"/>
                <w:szCs w:val="22"/>
                <w:u w:val="single"/>
              </w:rPr>
              <w:t xml:space="preserve">Likumprojekta 4.pantā </w:t>
            </w:r>
            <w:r w:rsidR="001200CD" w:rsidRPr="006E66AB">
              <w:rPr>
                <w:sz w:val="22"/>
                <w:szCs w:val="22"/>
                <w:u w:val="single"/>
              </w:rPr>
              <w:t xml:space="preserve">paredzētā </w:t>
            </w:r>
            <w:r w:rsidRPr="006E66AB">
              <w:rPr>
                <w:sz w:val="22"/>
                <w:szCs w:val="22"/>
                <w:u w:val="single"/>
              </w:rPr>
              <w:t>31.</w:t>
            </w:r>
            <w:r w:rsidRPr="006E66AB">
              <w:rPr>
                <w:sz w:val="22"/>
                <w:szCs w:val="22"/>
                <w:u w:val="single"/>
                <w:vertAlign w:val="superscript"/>
              </w:rPr>
              <w:t>1</w:t>
            </w:r>
            <w:r w:rsidRPr="006E66AB">
              <w:rPr>
                <w:sz w:val="22"/>
                <w:szCs w:val="22"/>
                <w:u w:val="single"/>
              </w:rPr>
              <w:t xml:space="preserve"> panta 6.daļa:</w:t>
            </w:r>
          </w:p>
          <w:p w14:paraId="3AE717B6" w14:textId="4E85843F" w:rsidR="009D0EE2" w:rsidRPr="006E66AB" w:rsidRDefault="009D0EE2" w:rsidP="009D0EE2">
            <w:pPr>
              <w:spacing w:before="120"/>
              <w:jc w:val="both"/>
              <w:rPr>
                <w:sz w:val="22"/>
                <w:szCs w:val="22"/>
              </w:rPr>
            </w:pPr>
            <w:r w:rsidRPr="006E66AB">
              <w:rPr>
                <w:sz w:val="22"/>
                <w:szCs w:val="22"/>
              </w:rPr>
              <w:t>“(6) Ministru kabinets nosaka atbildīgo institūciju, kas organizē enerģētikas nozares valsts atbalsta sistēmas darbības regulēšanas nodevas administrēšanu.”</w:t>
            </w:r>
          </w:p>
          <w:p w14:paraId="1490EAFD" w14:textId="4E7C03F8" w:rsidR="00B137F3" w:rsidRPr="006E66AB" w:rsidRDefault="00B137F3" w:rsidP="00B137F3">
            <w:pPr>
              <w:pStyle w:val="NoSpacing"/>
              <w:spacing w:before="120" w:after="120"/>
              <w:jc w:val="both"/>
              <w:rPr>
                <w:sz w:val="22"/>
                <w:szCs w:val="22"/>
                <w:lang w:val="lv-LV"/>
              </w:rPr>
            </w:pPr>
          </w:p>
        </w:tc>
      </w:tr>
      <w:tr w:rsidR="009D0EE2" w:rsidRPr="006E66AB" w14:paraId="59AB7295" w14:textId="77777777" w:rsidTr="0018741C">
        <w:trPr>
          <w:trHeight w:val="306"/>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85C978B" w14:textId="77777777" w:rsidR="009D0EE2" w:rsidRPr="006E66AB" w:rsidRDefault="009D0EE2" w:rsidP="00B137F3">
            <w:pPr>
              <w:pStyle w:val="naisc"/>
              <w:spacing w:before="0" w:after="0"/>
              <w:rPr>
                <w:sz w:val="22"/>
                <w:szCs w:val="22"/>
              </w:rPr>
            </w:pPr>
          </w:p>
          <w:p w14:paraId="48F50CDE" w14:textId="55466C19" w:rsidR="009D0EE2" w:rsidRPr="006E66AB" w:rsidRDefault="0018741C" w:rsidP="00B137F3">
            <w:pPr>
              <w:pStyle w:val="naisc"/>
              <w:spacing w:before="0" w:after="0"/>
              <w:rPr>
                <w:sz w:val="22"/>
                <w:szCs w:val="22"/>
              </w:rPr>
            </w:pPr>
            <w:r w:rsidRPr="006E66AB">
              <w:rPr>
                <w:sz w:val="22"/>
                <w:szCs w:val="22"/>
              </w:rPr>
              <w:t>3</w:t>
            </w:r>
            <w:r w:rsidR="009D0EE2" w:rsidRPr="006E66AB">
              <w:rPr>
                <w:sz w:val="22"/>
                <w:szCs w:val="22"/>
              </w:rPr>
              <w:t>.</w:t>
            </w:r>
          </w:p>
        </w:tc>
        <w:tc>
          <w:tcPr>
            <w:tcW w:w="2221"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5BE5DAEF" w14:textId="38B196E8" w:rsidR="009D0EE2" w:rsidRPr="006E66AB" w:rsidRDefault="009D0EE2" w:rsidP="009D0EE2">
            <w:pPr>
              <w:spacing w:before="120"/>
              <w:jc w:val="both"/>
              <w:rPr>
                <w:sz w:val="22"/>
                <w:szCs w:val="22"/>
              </w:rPr>
            </w:pPr>
            <w:r w:rsidRPr="006E66AB">
              <w:rPr>
                <w:sz w:val="22"/>
                <w:szCs w:val="22"/>
              </w:rPr>
              <w:t>Likumprojekta 4.pantā paredzētā 31.</w:t>
            </w:r>
            <w:r w:rsidRPr="006E66AB">
              <w:rPr>
                <w:sz w:val="22"/>
                <w:szCs w:val="22"/>
                <w:vertAlign w:val="superscript"/>
              </w:rPr>
              <w:t>1</w:t>
            </w:r>
            <w:r w:rsidRPr="006E66AB">
              <w:rPr>
                <w:sz w:val="22"/>
                <w:szCs w:val="22"/>
              </w:rPr>
              <w:t xml:space="preserve"> panta 8.daļa:</w:t>
            </w:r>
          </w:p>
          <w:p w14:paraId="07AEC770" w14:textId="06B8BFC5" w:rsidR="009D0EE2" w:rsidRPr="006E66AB" w:rsidRDefault="009D0EE2" w:rsidP="009D0EE2">
            <w:pPr>
              <w:spacing w:before="120"/>
              <w:jc w:val="both"/>
              <w:rPr>
                <w:sz w:val="22"/>
                <w:szCs w:val="22"/>
              </w:rPr>
            </w:pPr>
            <w:r w:rsidRPr="006E66AB">
              <w:rPr>
                <w:sz w:val="22"/>
                <w:szCs w:val="22"/>
              </w:rPr>
              <w:t>“(8) Ja elektroenerģijas ražotājs šī panta sestajā daļā minētajā termiņā nav nomaksājis nodevu, elektroenerģijas ražotājam tiek apturēta valsts atbalsta izmaksa līdz brīdim, kad nodeva ir nomaksāta. Ministru kabinets nosaka kārtību, kādā tiek apturēta valsts atbalsta izmaksa.”</w:t>
            </w:r>
          </w:p>
          <w:p w14:paraId="7BFB8ABE" w14:textId="77777777" w:rsidR="009D0EE2" w:rsidRPr="006E66AB" w:rsidRDefault="009D0EE2" w:rsidP="00B137F3">
            <w:pPr>
              <w:spacing w:before="120"/>
              <w:jc w:val="both"/>
              <w:rPr>
                <w:sz w:val="22"/>
                <w:szCs w:val="22"/>
              </w:rPr>
            </w:pPr>
          </w:p>
        </w:tc>
        <w:tc>
          <w:tcPr>
            <w:tcW w:w="4820"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1BB616E6" w14:textId="77777777" w:rsidR="009D0EE2" w:rsidRPr="006E66AB" w:rsidRDefault="009D0EE2" w:rsidP="00C14E10">
            <w:pPr>
              <w:tabs>
                <w:tab w:val="left" w:pos="993"/>
              </w:tabs>
              <w:jc w:val="both"/>
              <w:rPr>
                <w:b/>
                <w:sz w:val="22"/>
                <w:szCs w:val="22"/>
              </w:rPr>
            </w:pPr>
            <w:r w:rsidRPr="006E66AB">
              <w:rPr>
                <w:b/>
                <w:sz w:val="22"/>
                <w:szCs w:val="22"/>
              </w:rPr>
              <w:t>Tieslietu ministrija (30.09.2019)</w:t>
            </w:r>
          </w:p>
          <w:p w14:paraId="7C06A304" w14:textId="7EED3634" w:rsidR="009D0EE2" w:rsidRPr="006E66AB" w:rsidRDefault="009D0EE2" w:rsidP="00C14E10">
            <w:pPr>
              <w:tabs>
                <w:tab w:val="left" w:pos="993"/>
              </w:tabs>
              <w:jc w:val="both"/>
              <w:rPr>
                <w:bCs/>
                <w:sz w:val="22"/>
                <w:szCs w:val="22"/>
              </w:rPr>
            </w:pPr>
            <w:r w:rsidRPr="006E66AB">
              <w:rPr>
                <w:bCs/>
                <w:sz w:val="22"/>
                <w:szCs w:val="22"/>
              </w:rPr>
              <w:t>3. Vēršam uzmanību uz to, ka projekta 4. pantā paredzētajā likuma 31.</w:t>
            </w:r>
            <w:r w:rsidRPr="006E66AB">
              <w:rPr>
                <w:bCs/>
                <w:sz w:val="22"/>
                <w:szCs w:val="22"/>
                <w:vertAlign w:val="superscript"/>
              </w:rPr>
              <w:t>1</w:t>
            </w:r>
            <w:r w:rsidRPr="006E66AB">
              <w:rPr>
                <w:bCs/>
                <w:sz w:val="22"/>
                <w:szCs w:val="22"/>
              </w:rPr>
              <w:t xml:space="preserve"> panta sestajā daļā nav regulējuma par termiņu, tādēļ lūdzam precizēt projekta 4. pantā paredzētajā likuma 31.</w:t>
            </w:r>
            <w:r w:rsidRPr="006E66AB">
              <w:rPr>
                <w:bCs/>
                <w:sz w:val="22"/>
                <w:szCs w:val="22"/>
                <w:vertAlign w:val="superscript"/>
              </w:rPr>
              <w:t xml:space="preserve">1 </w:t>
            </w:r>
            <w:r w:rsidRPr="006E66AB">
              <w:rPr>
                <w:bCs/>
                <w:sz w:val="22"/>
                <w:szCs w:val="22"/>
              </w:rPr>
              <w:t>panta astotajā daļā ietverto regulējumu.</w:t>
            </w:r>
          </w:p>
        </w:tc>
        <w:tc>
          <w:tcPr>
            <w:tcW w:w="3260"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5A8C45E" w14:textId="1D506751" w:rsidR="009D0EE2" w:rsidRPr="006E66AB" w:rsidRDefault="009D0EE2" w:rsidP="00B137F3">
            <w:pPr>
              <w:pStyle w:val="naisc"/>
              <w:spacing w:before="0" w:after="0"/>
              <w:rPr>
                <w:b/>
                <w:sz w:val="22"/>
                <w:szCs w:val="22"/>
              </w:rPr>
            </w:pPr>
            <w:r w:rsidRPr="006E66AB">
              <w:rPr>
                <w:b/>
                <w:sz w:val="22"/>
                <w:szCs w:val="22"/>
              </w:rPr>
              <w:t>Ņemts vērā</w:t>
            </w:r>
          </w:p>
        </w:tc>
        <w:tc>
          <w:tcPr>
            <w:tcW w:w="410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569A450D" w14:textId="77777777" w:rsidR="009D0EE2" w:rsidRPr="006E66AB" w:rsidRDefault="009D0EE2" w:rsidP="009D0EE2">
            <w:pPr>
              <w:spacing w:before="120"/>
              <w:jc w:val="both"/>
              <w:rPr>
                <w:sz w:val="22"/>
                <w:szCs w:val="22"/>
                <w:u w:val="single"/>
              </w:rPr>
            </w:pPr>
            <w:r w:rsidRPr="006E66AB">
              <w:rPr>
                <w:sz w:val="22"/>
                <w:szCs w:val="22"/>
                <w:u w:val="single"/>
              </w:rPr>
              <w:t>Likumprojekta 4.pantā paredzētā 31.</w:t>
            </w:r>
            <w:r w:rsidRPr="006E66AB">
              <w:rPr>
                <w:sz w:val="22"/>
                <w:szCs w:val="22"/>
                <w:u w:val="single"/>
                <w:vertAlign w:val="superscript"/>
              </w:rPr>
              <w:t>1</w:t>
            </w:r>
            <w:r w:rsidRPr="006E66AB">
              <w:rPr>
                <w:sz w:val="22"/>
                <w:szCs w:val="22"/>
                <w:u w:val="single"/>
              </w:rPr>
              <w:t xml:space="preserve"> panta 8.daļa:</w:t>
            </w:r>
          </w:p>
          <w:p w14:paraId="2328282E" w14:textId="77777777" w:rsidR="009D0EE2" w:rsidRPr="006E66AB" w:rsidRDefault="009D0EE2" w:rsidP="009D0EE2">
            <w:pPr>
              <w:pStyle w:val="NoSpacing"/>
              <w:rPr>
                <w:sz w:val="22"/>
                <w:szCs w:val="22"/>
                <w:lang w:val="lv-LV"/>
              </w:rPr>
            </w:pPr>
          </w:p>
          <w:p w14:paraId="57578214" w14:textId="7F94B5F9" w:rsidR="009D0EE2" w:rsidRPr="006E66AB" w:rsidRDefault="009D0EE2" w:rsidP="009D0EE2">
            <w:pPr>
              <w:pStyle w:val="NoSpacing"/>
              <w:jc w:val="both"/>
              <w:rPr>
                <w:sz w:val="22"/>
                <w:szCs w:val="22"/>
              </w:rPr>
            </w:pPr>
            <w:r w:rsidRPr="006E66AB">
              <w:rPr>
                <w:sz w:val="22"/>
                <w:szCs w:val="22"/>
                <w:lang w:val="lv-LV"/>
              </w:rPr>
              <w:t>“(8) Ja elektroenerģijas ražotājs šī panta septītajā daļā minētajā termiņā nav nomaksājis nodevu, elektroenerģijas ražotājam tiek apturēta valsts atbalsta izmaksa līdz brīdim, kad nodeva ir nomaksāta. Ministru kabinets nosaka kārtību, kādā tiek apturēta valsts atbalsta izmaksa.”</w:t>
            </w:r>
          </w:p>
          <w:p w14:paraId="568223FD" w14:textId="77777777" w:rsidR="009D0EE2" w:rsidRPr="006E66AB" w:rsidRDefault="009D0EE2" w:rsidP="00B137F3">
            <w:pPr>
              <w:pStyle w:val="NoSpacing"/>
              <w:spacing w:before="120" w:after="120"/>
              <w:jc w:val="both"/>
              <w:rPr>
                <w:sz w:val="22"/>
                <w:szCs w:val="22"/>
              </w:rPr>
            </w:pPr>
          </w:p>
        </w:tc>
      </w:tr>
      <w:tr w:rsidR="0053164A" w:rsidRPr="006E66AB" w14:paraId="69001795" w14:textId="77777777" w:rsidTr="0018741C">
        <w:trPr>
          <w:trHeight w:val="306"/>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5397A4BA" w14:textId="6DD6A781" w:rsidR="0053164A" w:rsidRPr="006E66AB" w:rsidRDefault="0018741C" w:rsidP="00B137F3">
            <w:pPr>
              <w:pStyle w:val="naisc"/>
              <w:spacing w:before="0" w:after="0"/>
              <w:rPr>
                <w:sz w:val="22"/>
                <w:szCs w:val="22"/>
              </w:rPr>
            </w:pPr>
            <w:r w:rsidRPr="006E66AB">
              <w:rPr>
                <w:sz w:val="22"/>
                <w:szCs w:val="22"/>
              </w:rPr>
              <w:t>4</w:t>
            </w:r>
            <w:r w:rsidR="0053164A" w:rsidRPr="006E66AB">
              <w:rPr>
                <w:sz w:val="22"/>
                <w:szCs w:val="22"/>
              </w:rPr>
              <w:t>.</w:t>
            </w:r>
          </w:p>
        </w:tc>
        <w:tc>
          <w:tcPr>
            <w:tcW w:w="2221"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7B975FFD" w14:textId="5B4980EC" w:rsidR="0053164A" w:rsidRPr="006E66AB" w:rsidRDefault="002B16EB" w:rsidP="009D0EE2">
            <w:pPr>
              <w:spacing w:before="120"/>
              <w:jc w:val="both"/>
              <w:rPr>
                <w:sz w:val="22"/>
                <w:szCs w:val="22"/>
              </w:rPr>
            </w:pPr>
            <w:r w:rsidRPr="006E66AB">
              <w:rPr>
                <w:sz w:val="22"/>
                <w:szCs w:val="22"/>
              </w:rPr>
              <w:t>Likumprojekta 4. panta paredzētajā likuma 31.</w:t>
            </w:r>
            <w:r w:rsidRPr="006E66AB">
              <w:rPr>
                <w:sz w:val="22"/>
                <w:szCs w:val="22"/>
                <w:vertAlign w:val="superscript"/>
              </w:rPr>
              <w:t>1</w:t>
            </w:r>
            <w:r w:rsidRPr="006E66AB">
              <w:rPr>
                <w:sz w:val="22"/>
                <w:szCs w:val="22"/>
              </w:rPr>
              <w:t> panta desmitā daļa</w:t>
            </w:r>
          </w:p>
        </w:tc>
        <w:tc>
          <w:tcPr>
            <w:tcW w:w="4820"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49DF3984" w14:textId="77777777" w:rsidR="0053164A" w:rsidRPr="006E66AB" w:rsidRDefault="0053164A" w:rsidP="0053164A">
            <w:pPr>
              <w:tabs>
                <w:tab w:val="left" w:pos="993"/>
              </w:tabs>
              <w:jc w:val="both"/>
              <w:rPr>
                <w:b/>
                <w:sz w:val="22"/>
                <w:szCs w:val="22"/>
              </w:rPr>
            </w:pPr>
            <w:r w:rsidRPr="006E66AB">
              <w:rPr>
                <w:b/>
                <w:sz w:val="22"/>
                <w:szCs w:val="22"/>
              </w:rPr>
              <w:t>Tieslietu ministrija (30.09.2019)</w:t>
            </w:r>
          </w:p>
          <w:p w14:paraId="71FFCC6D" w14:textId="6F2ED1CF" w:rsidR="0053164A" w:rsidRPr="006E66AB" w:rsidRDefault="0053164A" w:rsidP="0053164A">
            <w:pPr>
              <w:jc w:val="both"/>
              <w:rPr>
                <w:sz w:val="22"/>
                <w:szCs w:val="22"/>
              </w:rPr>
            </w:pPr>
            <w:r w:rsidRPr="006E66AB">
              <w:rPr>
                <w:sz w:val="22"/>
                <w:szCs w:val="22"/>
              </w:rPr>
              <w:t xml:space="preserve">4. Vēršam uzmanību uz to, ka projekta 4. pantā paredzētajā likuma </w:t>
            </w:r>
            <w:r w:rsidRPr="006E66AB">
              <w:rPr>
                <w:b/>
                <w:bCs/>
                <w:sz w:val="22"/>
                <w:szCs w:val="22"/>
              </w:rPr>
              <w:t>31.</w:t>
            </w:r>
            <w:r w:rsidRPr="006E66AB">
              <w:rPr>
                <w:b/>
                <w:bCs/>
                <w:sz w:val="22"/>
                <w:szCs w:val="22"/>
                <w:vertAlign w:val="superscript"/>
              </w:rPr>
              <w:t>1</w:t>
            </w:r>
            <w:r w:rsidRPr="006E66AB">
              <w:rPr>
                <w:b/>
                <w:bCs/>
                <w:sz w:val="22"/>
                <w:szCs w:val="22"/>
              </w:rPr>
              <w:t xml:space="preserve"> panta desmitajā daļā </w:t>
            </w:r>
            <w:r w:rsidRPr="006E66AB">
              <w:rPr>
                <w:b/>
                <w:bCs/>
                <w:sz w:val="22"/>
                <w:szCs w:val="22"/>
              </w:rPr>
              <w:lastRenderedPageBreak/>
              <w:t>ietvertais regulējums ir neskaidrs</w:t>
            </w:r>
            <w:r w:rsidRPr="006E66AB">
              <w:rPr>
                <w:sz w:val="22"/>
                <w:szCs w:val="22"/>
              </w:rPr>
              <w:t>, proti, nav saprotams, vai tajā ir ietverts pilnvarojums Ministru kabinetam noteikt attiecīgo regulējumu, vai arī tā ir atsauce uz Ministru kabineta noteikumiem.</w:t>
            </w:r>
          </w:p>
          <w:p w14:paraId="7D52722C" w14:textId="77777777" w:rsidR="0053164A" w:rsidRPr="006E66AB" w:rsidRDefault="0053164A" w:rsidP="0053164A">
            <w:pPr>
              <w:jc w:val="both"/>
              <w:rPr>
                <w:sz w:val="22"/>
                <w:szCs w:val="22"/>
              </w:rPr>
            </w:pPr>
            <w:r w:rsidRPr="006E66AB">
              <w:rPr>
                <w:sz w:val="22"/>
                <w:szCs w:val="22"/>
              </w:rPr>
              <w:t>Vienlaikus vēršam uzmanību uz to, ka pilnvarojumu Ministru kabinetam izstrādā atbilstoši Ministru kabineta 2009. gada 3. februāra noteikumu Nr. 108 "Normatīvo aktu projektu sagatavošanas noteikumi" 47. punktā noteiktajām prasībām. Savukārt atbilstoši Ministru kabineta 2009. gada 3. februāra noteikumu Nr. 108 "Normatīvo aktu projektu sagatavošanas noteikumi" 62. punktā noteiktajam likumprojektā neietver atsauces uz zemāka juridiskā spēka normatīvo aktu.</w:t>
            </w:r>
          </w:p>
          <w:p w14:paraId="5EF2F67F" w14:textId="77777777" w:rsidR="0053164A" w:rsidRPr="006E66AB" w:rsidRDefault="0053164A" w:rsidP="0053164A">
            <w:pPr>
              <w:jc w:val="both"/>
              <w:rPr>
                <w:sz w:val="22"/>
                <w:szCs w:val="22"/>
              </w:rPr>
            </w:pPr>
            <w:r w:rsidRPr="006E66AB">
              <w:rPr>
                <w:sz w:val="22"/>
                <w:szCs w:val="22"/>
              </w:rPr>
              <w:t>Papildus norādām uz to, ka regulējums par nokavējuma naudu ir paredzēts likuma "Par nodokļiem un nodevām" 29. pantā. Savukārt atbilstoši Ministru kabineta 2009. gada 3. februāra noteikumu Nr. 108 "Normatīvo aktu projektu sagatavošanas noteikumi" 3.2. apakšpunktā noteiktajam normatīvā akta projektā neietver normas, kas dublē tāda paša spēka normatīvā akta tiesību normās ietverto normatīvo regulējumu.</w:t>
            </w:r>
          </w:p>
          <w:p w14:paraId="29E7515C" w14:textId="77777777" w:rsidR="0053164A" w:rsidRPr="006E66AB" w:rsidRDefault="0053164A" w:rsidP="0053164A">
            <w:pPr>
              <w:jc w:val="both"/>
              <w:rPr>
                <w:sz w:val="22"/>
                <w:szCs w:val="22"/>
              </w:rPr>
            </w:pPr>
            <w:r w:rsidRPr="006E66AB">
              <w:rPr>
                <w:sz w:val="22"/>
                <w:szCs w:val="22"/>
              </w:rPr>
              <w:t xml:space="preserve">Ievērojot minēto, </w:t>
            </w:r>
            <w:r w:rsidRPr="006E66AB">
              <w:rPr>
                <w:b/>
                <w:bCs/>
                <w:sz w:val="22"/>
                <w:szCs w:val="22"/>
              </w:rPr>
              <w:t>lūdzam precizēt projekta 4. pantā paredzēto likuma 31.</w:t>
            </w:r>
            <w:r w:rsidRPr="006E66AB">
              <w:rPr>
                <w:b/>
                <w:bCs/>
                <w:sz w:val="22"/>
                <w:szCs w:val="22"/>
                <w:vertAlign w:val="superscript"/>
              </w:rPr>
              <w:t>1</w:t>
            </w:r>
            <w:r w:rsidRPr="006E66AB">
              <w:rPr>
                <w:b/>
                <w:bCs/>
                <w:sz w:val="22"/>
                <w:szCs w:val="22"/>
              </w:rPr>
              <w:t> pantu, kā arī papildināt anotāciju ar atbilstošu informāciju</w:t>
            </w:r>
            <w:r w:rsidRPr="006E66AB">
              <w:rPr>
                <w:sz w:val="22"/>
                <w:szCs w:val="22"/>
              </w:rPr>
              <w:t>. Gadījumā</w:t>
            </w:r>
            <w:r w:rsidRPr="006E66AB">
              <w:rPr>
                <w:b/>
                <w:bCs/>
                <w:sz w:val="22"/>
                <w:szCs w:val="22"/>
              </w:rPr>
              <w:t>, ja tiks izdoti Ministru kabineta noteikumi</w:t>
            </w:r>
            <w:r w:rsidRPr="006E66AB">
              <w:rPr>
                <w:sz w:val="22"/>
                <w:szCs w:val="22"/>
              </w:rPr>
              <w:t xml:space="preserve"> atbilstoši projekta 4. pantā paredzētajā likuma 31.</w:t>
            </w:r>
            <w:r w:rsidRPr="006E66AB">
              <w:rPr>
                <w:sz w:val="22"/>
                <w:szCs w:val="22"/>
                <w:vertAlign w:val="superscript"/>
              </w:rPr>
              <w:t>1</w:t>
            </w:r>
            <w:r w:rsidRPr="006E66AB">
              <w:rPr>
                <w:sz w:val="22"/>
                <w:szCs w:val="22"/>
              </w:rPr>
              <w:t xml:space="preserve"> panta desmitajā daļā ietvertajam pilnvarojumam Ministru kabinetam, </w:t>
            </w:r>
            <w:r w:rsidRPr="006E66AB">
              <w:rPr>
                <w:b/>
                <w:bCs/>
                <w:sz w:val="22"/>
                <w:szCs w:val="22"/>
              </w:rPr>
              <w:t>lūdzam aizpildīt anotācijas IV sadaļas 1. punktu</w:t>
            </w:r>
            <w:r w:rsidRPr="006E66AB">
              <w:rPr>
                <w:sz w:val="22"/>
                <w:szCs w:val="22"/>
              </w:rPr>
              <w:t xml:space="preserve"> atbilstoši Ministru kabineta 2009. gada 15. decembra instrukcijas Nr. 19 "Tiesību akta projekta sākotnējās ietekmes izvērtēšanas kārtība" 54.1. apakšpunktā noteiktajām prasībām.</w:t>
            </w:r>
          </w:p>
          <w:p w14:paraId="794A66BE" w14:textId="77777777" w:rsidR="0053164A" w:rsidRPr="006E66AB" w:rsidRDefault="0053164A" w:rsidP="00C14E10">
            <w:pPr>
              <w:tabs>
                <w:tab w:val="left" w:pos="993"/>
              </w:tabs>
              <w:jc w:val="both"/>
              <w:rPr>
                <w:b/>
                <w:sz w:val="22"/>
                <w:szCs w:val="22"/>
              </w:rPr>
            </w:pPr>
          </w:p>
        </w:tc>
        <w:tc>
          <w:tcPr>
            <w:tcW w:w="3260"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6546E5A" w14:textId="08FE962A" w:rsidR="0053164A" w:rsidRPr="006E66AB" w:rsidRDefault="00A17A08" w:rsidP="00B137F3">
            <w:pPr>
              <w:pStyle w:val="naisc"/>
              <w:spacing w:before="0" w:after="0"/>
              <w:rPr>
                <w:b/>
                <w:sz w:val="22"/>
                <w:szCs w:val="22"/>
              </w:rPr>
            </w:pPr>
            <w:r w:rsidRPr="006E66AB">
              <w:rPr>
                <w:b/>
                <w:sz w:val="22"/>
                <w:szCs w:val="22"/>
              </w:rPr>
              <w:lastRenderedPageBreak/>
              <w:t xml:space="preserve">Ņemts vērā </w:t>
            </w:r>
          </w:p>
        </w:tc>
        <w:tc>
          <w:tcPr>
            <w:tcW w:w="410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601A38C0" w14:textId="67CC60A5" w:rsidR="0053164A" w:rsidRPr="006E66AB" w:rsidRDefault="00A17A08" w:rsidP="009D0EE2">
            <w:pPr>
              <w:spacing w:before="120"/>
              <w:jc w:val="both"/>
              <w:rPr>
                <w:sz w:val="22"/>
                <w:szCs w:val="22"/>
                <w:u w:val="single"/>
              </w:rPr>
            </w:pPr>
            <w:r w:rsidRPr="006E66AB">
              <w:rPr>
                <w:sz w:val="22"/>
                <w:szCs w:val="22"/>
                <w:u w:val="single"/>
              </w:rPr>
              <w:t>Likumprojekta 4. panta paredzētā likuma 31.</w:t>
            </w:r>
            <w:r w:rsidRPr="006E66AB">
              <w:rPr>
                <w:sz w:val="22"/>
                <w:szCs w:val="22"/>
                <w:u w:val="single"/>
                <w:vertAlign w:val="superscript"/>
              </w:rPr>
              <w:t>1</w:t>
            </w:r>
            <w:r w:rsidRPr="006E66AB">
              <w:rPr>
                <w:sz w:val="22"/>
                <w:szCs w:val="22"/>
                <w:u w:val="single"/>
              </w:rPr>
              <w:t> panta desmitā daļa svītrota</w:t>
            </w:r>
            <w:r w:rsidR="00A65D45" w:rsidRPr="006E66AB">
              <w:rPr>
                <w:sz w:val="22"/>
                <w:szCs w:val="22"/>
                <w:u w:val="single"/>
              </w:rPr>
              <w:t>.</w:t>
            </w:r>
          </w:p>
        </w:tc>
      </w:tr>
      <w:tr w:rsidR="0018741C" w:rsidRPr="006E66AB" w14:paraId="4E777F35" w14:textId="77777777" w:rsidTr="0018741C">
        <w:trPr>
          <w:trHeight w:val="306"/>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77D5A2B7" w14:textId="12DB96F1" w:rsidR="0018741C" w:rsidRPr="006E66AB" w:rsidRDefault="0018741C" w:rsidP="0018741C">
            <w:pPr>
              <w:pStyle w:val="naisc"/>
              <w:spacing w:before="0" w:after="0"/>
              <w:rPr>
                <w:sz w:val="22"/>
                <w:szCs w:val="22"/>
              </w:rPr>
            </w:pPr>
            <w:r w:rsidRPr="006E66AB">
              <w:rPr>
                <w:sz w:val="22"/>
                <w:szCs w:val="22"/>
              </w:rPr>
              <w:t>5.</w:t>
            </w:r>
          </w:p>
        </w:tc>
        <w:tc>
          <w:tcPr>
            <w:tcW w:w="2221"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75DD18C0" w14:textId="77777777" w:rsidR="0018741C" w:rsidRPr="006E66AB" w:rsidRDefault="0018741C" w:rsidP="0018741C">
            <w:pPr>
              <w:spacing w:before="120"/>
              <w:jc w:val="both"/>
              <w:rPr>
                <w:sz w:val="22"/>
                <w:szCs w:val="22"/>
              </w:rPr>
            </w:pPr>
            <w:r w:rsidRPr="006E66AB">
              <w:rPr>
                <w:sz w:val="22"/>
                <w:szCs w:val="22"/>
              </w:rPr>
              <w:t>Likumprojekts, likumprojekta anotācija</w:t>
            </w:r>
          </w:p>
          <w:p w14:paraId="3E0B6959" w14:textId="77777777" w:rsidR="0018741C" w:rsidRPr="006E66AB" w:rsidRDefault="0018741C" w:rsidP="0018741C">
            <w:pPr>
              <w:rPr>
                <w:sz w:val="22"/>
                <w:szCs w:val="22"/>
              </w:rPr>
            </w:pPr>
          </w:p>
          <w:p w14:paraId="56D54EE0" w14:textId="77777777" w:rsidR="0018741C" w:rsidRPr="006E66AB" w:rsidRDefault="0018741C" w:rsidP="0018741C">
            <w:pPr>
              <w:rPr>
                <w:sz w:val="22"/>
                <w:szCs w:val="22"/>
              </w:rPr>
            </w:pPr>
          </w:p>
          <w:p w14:paraId="503FD585" w14:textId="77777777" w:rsidR="0018741C" w:rsidRPr="006E66AB" w:rsidRDefault="0018741C" w:rsidP="0018741C">
            <w:pPr>
              <w:rPr>
                <w:sz w:val="22"/>
                <w:szCs w:val="22"/>
              </w:rPr>
            </w:pPr>
          </w:p>
          <w:p w14:paraId="3BEF299B" w14:textId="77777777" w:rsidR="0018741C" w:rsidRPr="006E66AB" w:rsidRDefault="0018741C" w:rsidP="0018741C">
            <w:pPr>
              <w:rPr>
                <w:sz w:val="22"/>
                <w:szCs w:val="22"/>
              </w:rPr>
            </w:pPr>
          </w:p>
          <w:p w14:paraId="611BF46D" w14:textId="77777777" w:rsidR="0018741C" w:rsidRPr="006E66AB" w:rsidRDefault="0018741C" w:rsidP="0018741C">
            <w:pPr>
              <w:rPr>
                <w:sz w:val="22"/>
                <w:szCs w:val="22"/>
              </w:rPr>
            </w:pPr>
          </w:p>
          <w:p w14:paraId="087CE0A1" w14:textId="77777777" w:rsidR="0018741C" w:rsidRPr="006E66AB" w:rsidRDefault="0018741C" w:rsidP="0018741C">
            <w:pPr>
              <w:rPr>
                <w:sz w:val="22"/>
                <w:szCs w:val="22"/>
              </w:rPr>
            </w:pPr>
          </w:p>
          <w:p w14:paraId="39C22A99" w14:textId="77777777" w:rsidR="0018741C" w:rsidRPr="006E66AB" w:rsidRDefault="0018741C" w:rsidP="0018741C">
            <w:pPr>
              <w:rPr>
                <w:sz w:val="22"/>
                <w:szCs w:val="22"/>
              </w:rPr>
            </w:pPr>
          </w:p>
          <w:p w14:paraId="68E90C91" w14:textId="77777777" w:rsidR="0018741C" w:rsidRPr="006E66AB" w:rsidRDefault="0018741C" w:rsidP="0018741C">
            <w:pPr>
              <w:rPr>
                <w:sz w:val="22"/>
                <w:szCs w:val="22"/>
              </w:rPr>
            </w:pPr>
          </w:p>
          <w:p w14:paraId="4F940079" w14:textId="77777777" w:rsidR="0018741C" w:rsidRPr="006E66AB" w:rsidRDefault="0018741C" w:rsidP="0018741C">
            <w:pPr>
              <w:rPr>
                <w:sz w:val="22"/>
                <w:szCs w:val="22"/>
              </w:rPr>
            </w:pPr>
          </w:p>
          <w:p w14:paraId="7BE30E13" w14:textId="77777777" w:rsidR="0018741C" w:rsidRPr="006E66AB" w:rsidRDefault="0018741C" w:rsidP="0018741C">
            <w:pPr>
              <w:rPr>
                <w:sz w:val="22"/>
                <w:szCs w:val="22"/>
              </w:rPr>
            </w:pPr>
          </w:p>
          <w:p w14:paraId="509FF33A" w14:textId="77777777" w:rsidR="0018741C" w:rsidRPr="006E66AB" w:rsidRDefault="0018741C" w:rsidP="0018741C">
            <w:pPr>
              <w:rPr>
                <w:sz w:val="22"/>
                <w:szCs w:val="22"/>
              </w:rPr>
            </w:pPr>
          </w:p>
          <w:p w14:paraId="2342C985" w14:textId="77777777" w:rsidR="0018741C" w:rsidRPr="006E66AB" w:rsidRDefault="0018741C" w:rsidP="0018741C">
            <w:pPr>
              <w:rPr>
                <w:sz w:val="22"/>
                <w:szCs w:val="22"/>
              </w:rPr>
            </w:pPr>
          </w:p>
          <w:p w14:paraId="5439B7CD" w14:textId="77777777" w:rsidR="0018741C" w:rsidRPr="006E66AB" w:rsidRDefault="0018741C" w:rsidP="0018741C">
            <w:pPr>
              <w:rPr>
                <w:sz w:val="22"/>
                <w:szCs w:val="22"/>
              </w:rPr>
            </w:pPr>
          </w:p>
          <w:p w14:paraId="454D0E10" w14:textId="77777777" w:rsidR="0018741C" w:rsidRPr="006E66AB" w:rsidRDefault="0018741C" w:rsidP="0018741C">
            <w:pPr>
              <w:rPr>
                <w:sz w:val="22"/>
                <w:szCs w:val="22"/>
              </w:rPr>
            </w:pPr>
          </w:p>
          <w:p w14:paraId="38214671" w14:textId="77777777" w:rsidR="0018741C" w:rsidRPr="006E66AB" w:rsidRDefault="0018741C" w:rsidP="0018741C">
            <w:pPr>
              <w:rPr>
                <w:sz w:val="22"/>
                <w:szCs w:val="22"/>
              </w:rPr>
            </w:pPr>
          </w:p>
          <w:p w14:paraId="6F983397" w14:textId="77777777" w:rsidR="0018741C" w:rsidRPr="006E66AB" w:rsidRDefault="0018741C" w:rsidP="0018741C">
            <w:pPr>
              <w:rPr>
                <w:sz w:val="22"/>
                <w:szCs w:val="22"/>
              </w:rPr>
            </w:pPr>
          </w:p>
          <w:p w14:paraId="3D002031" w14:textId="77777777" w:rsidR="0018741C" w:rsidRPr="006E66AB" w:rsidRDefault="0018741C" w:rsidP="0018741C">
            <w:pPr>
              <w:rPr>
                <w:sz w:val="22"/>
                <w:szCs w:val="22"/>
              </w:rPr>
            </w:pPr>
          </w:p>
          <w:p w14:paraId="48DFC6DA" w14:textId="77777777" w:rsidR="0018741C" w:rsidRPr="006E66AB" w:rsidRDefault="0018741C" w:rsidP="0018741C">
            <w:pPr>
              <w:rPr>
                <w:sz w:val="22"/>
                <w:szCs w:val="22"/>
              </w:rPr>
            </w:pPr>
          </w:p>
          <w:p w14:paraId="4BDC64DF" w14:textId="77777777" w:rsidR="0018741C" w:rsidRPr="006E66AB" w:rsidRDefault="0018741C" w:rsidP="0018741C">
            <w:pPr>
              <w:rPr>
                <w:sz w:val="22"/>
                <w:szCs w:val="22"/>
              </w:rPr>
            </w:pPr>
          </w:p>
          <w:p w14:paraId="6116AA62" w14:textId="77777777" w:rsidR="0018741C" w:rsidRPr="006E66AB" w:rsidRDefault="0018741C" w:rsidP="0018741C">
            <w:pPr>
              <w:rPr>
                <w:sz w:val="22"/>
                <w:szCs w:val="22"/>
              </w:rPr>
            </w:pPr>
          </w:p>
          <w:p w14:paraId="3D93569B" w14:textId="77777777" w:rsidR="0018741C" w:rsidRPr="006E66AB" w:rsidRDefault="0018741C" w:rsidP="0018741C">
            <w:pPr>
              <w:rPr>
                <w:sz w:val="22"/>
                <w:szCs w:val="22"/>
              </w:rPr>
            </w:pPr>
          </w:p>
          <w:p w14:paraId="586E4C74" w14:textId="77777777" w:rsidR="0018741C" w:rsidRPr="006E66AB" w:rsidRDefault="0018741C" w:rsidP="0018741C">
            <w:pPr>
              <w:rPr>
                <w:sz w:val="22"/>
                <w:szCs w:val="22"/>
              </w:rPr>
            </w:pPr>
          </w:p>
          <w:p w14:paraId="1A77D74F" w14:textId="77777777" w:rsidR="0018741C" w:rsidRPr="006E66AB" w:rsidRDefault="0018741C" w:rsidP="0018741C">
            <w:pPr>
              <w:rPr>
                <w:sz w:val="22"/>
                <w:szCs w:val="22"/>
              </w:rPr>
            </w:pPr>
          </w:p>
          <w:p w14:paraId="028BAB06" w14:textId="77777777" w:rsidR="0018741C" w:rsidRPr="006E66AB" w:rsidRDefault="0018741C" w:rsidP="0018741C">
            <w:pPr>
              <w:rPr>
                <w:sz w:val="22"/>
                <w:szCs w:val="22"/>
              </w:rPr>
            </w:pPr>
          </w:p>
          <w:p w14:paraId="432CB6EF" w14:textId="77777777" w:rsidR="0018741C" w:rsidRPr="006E66AB" w:rsidRDefault="0018741C" w:rsidP="0018741C">
            <w:pPr>
              <w:rPr>
                <w:sz w:val="22"/>
                <w:szCs w:val="22"/>
              </w:rPr>
            </w:pPr>
          </w:p>
          <w:p w14:paraId="2572B9AF" w14:textId="77777777" w:rsidR="0018741C" w:rsidRPr="006E66AB" w:rsidRDefault="0018741C" w:rsidP="0018741C">
            <w:pPr>
              <w:rPr>
                <w:sz w:val="22"/>
                <w:szCs w:val="22"/>
              </w:rPr>
            </w:pPr>
          </w:p>
          <w:p w14:paraId="3D4A244C" w14:textId="77777777" w:rsidR="0018741C" w:rsidRPr="006E66AB" w:rsidRDefault="0018741C" w:rsidP="0018741C">
            <w:pPr>
              <w:rPr>
                <w:sz w:val="22"/>
                <w:szCs w:val="22"/>
              </w:rPr>
            </w:pPr>
          </w:p>
          <w:p w14:paraId="605F5A83" w14:textId="77777777" w:rsidR="0018741C" w:rsidRPr="006E66AB" w:rsidRDefault="0018741C" w:rsidP="0018741C">
            <w:pPr>
              <w:rPr>
                <w:sz w:val="22"/>
                <w:szCs w:val="22"/>
              </w:rPr>
            </w:pPr>
          </w:p>
          <w:p w14:paraId="45204ACD" w14:textId="77777777" w:rsidR="0018741C" w:rsidRPr="006E66AB" w:rsidRDefault="0018741C" w:rsidP="0018741C">
            <w:pPr>
              <w:rPr>
                <w:sz w:val="22"/>
                <w:szCs w:val="22"/>
              </w:rPr>
            </w:pPr>
          </w:p>
          <w:p w14:paraId="02E273F1" w14:textId="77777777" w:rsidR="0018741C" w:rsidRPr="006E66AB" w:rsidRDefault="0018741C" w:rsidP="0018741C">
            <w:pPr>
              <w:rPr>
                <w:sz w:val="22"/>
                <w:szCs w:val="22"/>
              </w:rPr>
            </w:pPr>
          </w:p>
          <w:p w14:paraId="44869362" w14:textId="77777777" w:rsidR="0018741C" w:rsidRPr="006E66AB" w:rsidRDefault="0018741C" w:rsidP="0018741C">
            <w:pPr>
              <w:rPr>
                <w:sz w:val="22"/>
                <w:szCs w:val="22"/>
              </w:rPr>
            </w:pPr>
          </w:p>
          <w:p w14:paraId="79D0DE3B" w14:textId="77777777" w:rsidR="0018741C" w:rsidRPr="006E66AB" w:rsidRDefault="0018741C" w:rsidP="0018741C">
            <w:pPr>
              <w:rPr>
                <w:sz w:val="22"/>
                <w:szCs w:val="22"/>
              </w:rPr>
            </w:pPr>
          </w:p>
          <w:p w14:paraId="5CEA8726" w14:textId="77777777" w:rsidR="0018741C" w:rsidRPr="006E66AB" w:rsidRDefault="0018741C" w:rsidP="0018741C">
            <w:pPr>
              <w:rPr>
                <w:sz w:val="22"/>
                <w:szCs w:val="22"/>
              </w:rPr>
            </w:pPr>
          </w:p>
          <w:p w14:paraId="2C4FB79D" w14:textId="77777777" w:rsidR="0018741C" w:rsidRPr="006E66AB" w:rsidRDefault="0018741C" w:rsidP="0018741C">
            <w:pPr>
              <w:rPr>
                <w:sz w:val="22"/>
                <w:szCs w:val="22"/>
              </w:rPr>
            </w:pPr>
          </w:p>
          <w:p w14:paraId="0943D0B7" w14:textId="77777777" w:rsidR="0018741C" w:rsidRPr="006E66AB" w:rsidRDefault="0018741C" w:rsidP="0018741C">
            <w:pPr>
              <w:rPr>
                <w:sz w:val="22"/>
                <w:szCs w:val="22"/>
              </w:rPr>
            </w:pPr>
          </w:p>
          <w:p w14:paraId="09AAA552" w14:textId="77777777" w:rsidR="0018741C" w:rsidRPr="006E66AB" w:rsidRDefault="0018741C" w:rsidP="0018741C">
            <w:pPr>
              <w:rPr>
                <w:sz w:val="22"/>
                <w:szCs w:val="22"/>
              </w:rPr>
            </w:pPr>
          </w:p>
          <w:p w14:paraId="7294EE0A" w14:textId="77777777" w:rsidR="0018741C" w:rsidRPr="006E66AB" w:rsidRDefault="0018741C" w:rsidP="0018741C">
            <w:pPr>
              <w:rPr>
                <w:sz w:val="22"/>
                <w:szCs w:val="22"/>
              </w:rPr>
            </w:pPr>
          </w:p>
          <w:p w14:paraId="59D03AFE" w14:textId="77777777" w:rsidR="0018741C" w:rsidRPr="006E66AB" w:rsidRDefault="0018741C" w:rsidP="0018741C">
            <w:pPr>
              <w:spacing w:before="120"/>
              <w:jc w:val="both"/>
              <w:rPr>
                <w:sz w:val="22"/>
                <w:szCs w:val="22"/>
              </w:rPr>
            </w:pPr>
          </w:p>
        </w:tc>
        <w:tc>
          <w:tcPr>
            <w:tcW w:w="4820"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567CD8C3" w14:textId="77777777" w:rsidR="0018741C" w:rsidRPr="006E66AB" w:rsidRDefault="0018741C" w:rsidP="0018741C">
            <w:pPr>
              <w:tabs>
                <w:tab w:val="left" w:pos="993"/>
              </w:tabs>
              <w:jc w:val="both"/>
              <w:rPr>
                <w:b/>
                <w:sz w:val="22"/>
                <w:szCs w:val="22"/>
              </w:rPr>
            </w:pPr>
            <w:r w:rsidRPr="006E66AB">
              <w:rPr>
                <w:b/>
                <w:sz w:val="22"/>
                <w:szCs w:val="22"/>
              </w:rPr>
              <w:lastRenderedPageBreak/>
              <w:t>Tieslietu ministrijas atzinums (03.09.2019.)</w:t>
            </w:r>
          </w:p>
          <w:p w14:paraId="0E9496AC" w14:textId="77777777" w:rsidR="0018741C" w:rsidRPr="006E66AB" w:rsidRDefault="0018741C" w:rsidP="0018741C">
            <w:pPr>
              <w:jc w:val="both"/>
              <w:rPr>
                <w:color w:val="0D0D0D" w:themeColor="text1" w:themeTint="F2"/>
                <w:sz w:val="22"/>
                <w:szCs w:val="22"/>
              </w:rPr>
            </w:pPr>
            <w:r w:rsidRPr="006E66AB">
              <w:rPr>
                <w:color w:val="0D0D0D" w:themeColor="text1" w:themeTint="F2"/>
                <w:sz w:val="22"/>
                <w:szCs w:val="22"/>
              </w:rPr>
              <w:t xml:space="preserve">Būvniecības valsts kontroles birojs ir izveidots saskaņā ar Būvniecības likuma 6. panta septīto daļu, kurā noteikts, ka par būvniecības nozari atbildīgās </w:t>
            </w:r>
            <w:r w:rsidRPr="006E66AB">
              <w:rPr>
                <w:color w:val="0D0D0D" w:themeColor="text1" w:themeTint="F2"/>
                <w:sz w:val="22"/>
                <w:szCs w:val="22"/>
              </w:rPr>
              <w:lastRenderedPageBreak/>
              <w:t>ministrijas padotībā ir Būvniecības valsts kontroles birojs, kas likumā un Ministru kabineta noteikumos paredzētajos gadījumos veic būvdarbu valsts kontroli un būvju ekspluatācijas uzraudzību, organizē ekspertīzes un piešķir patstāvīgās prakses tiesības Būvniecības likuma 13. panta trešās daļas 5. punktā noteiktajā specialitātē, kā arī veic patstāvīgās prakses uzraudzību. Būvniecības likuma 6.</w:t>
            </w:r>
            <w:r w:rsidRPr="006E66AB">
              <w:rPr>
                <w:color w:val="0D0D0D" w:themeColor="text1" w:themeTint="F2"/>
                <w:sz w:val="22"/>
                <w:szCs w:val="22"/>
                <w:vertAlign w:val="superscript"/>
              </w:rPr>
              <w:t>1</w:t>
            </w:r>
            <w:r w:rsidRPr="006E66AB">
              <w:rPr>
                <w:color w:val="0D0D0D" w:themeColor="text1" w:themeTint="F2"/>
                <w:sz w:val="22"/>
                <w:szCs w:val="22"/>
              </w:rPr>
              <w:t xml:space="preserve"> panta pirmā daļa noteic Būvniecības valsts kontroles biroja kompetenci, kas ir saistīta ar noteiktiem uzdevumiem būvniecības jomā. </w:t>
            </w:r>
            <w:r w:rsidRPr="006E66AB">
              <w:rPr>
                <w:color w:val="0D0D0D" w:themeColor="text1" w:themeTint="F2"/>
                <w:sz w:val="22"/>
                <w:szCs w:val="22"/>
                <w:u w:val="single"/>
              </w:rPr>
              <w:t>Būvniecības valsts kontroles biroja nosaukums un noteiktā kompetence, neveicot grozījumus Būvniecības likumā, radīs maldinošu priekšstatu par iestādes darbības jomu.</w:t>
            </w:r>
            <w:r w:rsidRPr="006E66AB">
              <w:rPr>
                <w:color w:val="0D0D0D" w:themeColor="text1" w:themeTint="F2"/>
                <w:sz w:val="22"/>
                <w:szCs w:val="22"/>
              </w:rPr>
              <w:t xml:space="preserve"> Projekta sākotnējās ietekmes novērtējuma ziņojuma IV sadaļas 1. punktā nav norādīts, ka paredzēts veikt grozījumus Būvniecības likumā. Ņemot vērā minēto, uzskatām, ka jaunu uzdevumu nodošana Būvniecības valsts kontroles birojam var tikt veikta tikai pēc attiecīgu grozījumu veikšanas Būvniecības likumā.</w:t>
            </w:r>
          </w:p>
          <w:p w14:paraId="24740D7F" w14:textId="77777777" w:rsidR="0018741C" w:rsidRPr="006E66AB" w:rsidRDefault="0018741C" w:rsidP="0018741C">
            <w:pPr>
              <w:tabs>
                <w:tab w:val="left" w:pos="993"/>
              </w:tabs>
              <w:jc w:val="both"/>
              <w:rPr>
                <w:b/>
                <w:sz w:val="22"/>
                <w:szCs w:val="22"/>
              </w:rPr>
            </w:pPr>
          </w:p>
        </w:tc>
        <w:tc>
          <w:tcPr>
            <w:tcW w:w="3260"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7564F230" w14:textId="1E17A092" w:rsidR="0018741C" w:rsidRPr="006E66AB" w:rsidRDefault="0018741C" w:rsidP="0018741C">
            <w:pPr>
              <w:pStyle w:val="naisc"/>
              <w:spacing w:before="0" w:after="0"/>
              <w:rPr>
                <w:b/>
                <w:sz w:val="22"/>
                <w:szCs w:val="22"/>
              </w:rPr>
            </w:pPr>
            <w:r w:rsidRPr="006E66AB">
              <w:rPr>
                <w:b/>
                <w:sz w:val="22"/>
                <w:szCs w:val="22"/>
              </w:rPr>
              <w:lastRenderedPageBreak/>
              <w:t>Ņemts vērā</w:t>
            </w:r>
          </w:p>
          <w:p w14:paraId="3CAC13FF" w14:textId="77777777" w:rsidR="0018741C" w:rsidRPr="006E66AB" w:rsidRDefault="0018741C" w:rsidP="0018741C">
            <w:pPr>
              <w:spacing w:before="120"/>
              <w:jc w:val="both"/>
              <w:rPr>
                <w:sz w:val="22"/>
                <w:szCs w:val="22"/>
              </w:rPr>
            </w:pPr>
            <w:r w:rsidRPr="006E66AB">
              <w:rPr>
                <w:sz w:val="22"/>
                <w:szCs w:val="22"/>
              </w:rPr>
              <w:t>Papildināta anotācija.</w:t>
            </w:r>
          </w:p>
          <w:p w14:paraId="30880184" w14:textId="77777777" w:rsidR="0018741C" w:rsidRPr="006E66AB" w:rsidRDefault="0018741C" w:rsidP="0018741C">
            <w:pPr>
              <w:spacing w:before="120"/>
              <w:jc w:val="both"/>
              <w:rPr>
                <w:sz w:val="22"/>
                <w:szCs w:val="22"/>
              </w:rPr>
            </w:pPr>
            <w:r w:rsidRPr="006E66AB">
              <w:rPr>
                <w:sz w:val="22"/>
                <w:szCs w:val="22"/>
              </w:rPr>
              <w:lastRenderedPageBreak/>
              <w:t>Vēršam uzmanību, ka Būvniecības likuma 6.panta septītā daļa un jo īpaši 6.</w:t>
            </w:r>
            <w:r w:rsidRPr="006E66AB">
              <w:rPr>
                <w:sz w:val="22"/>
                <w:szCs w:val="22"/>
                <w:vertAlign w:val="superscript"/>
              </w:rPr>
              <w:t>1</w:t>
            </w:r>
            <w:r w:rsidRPr="006E66AB">
              <w:rPr>
                <w:sz w:val="22"/>
                <w:szCs w:val="22"/>
              </w:rPr>
              <w:t>panta pirmā daļa nosaka Būvniecības valsts kontroles biroja kompetenci izpildot Būvniecības likumu un tam pakārtotos normatīvos aktus. Minētās normas neierobežo citos normatīvajos aktos noteikt , ka Būvniecības valsts kontroles birojs veic arī citas funkcijas. Paskaidrojam, ka saskaņā ar Valsts pārvaldes iekārtas likuma 16.panta otro daļu tieši iestādes nolikumā norāda iestādes funkcijas, uzdevumus un kompetenci. Ņemot vērā minēto, Ekonomikas ministrijas ieskatā nav juridisku šķēršļu enerģētikas politikas īstenošanas funkciju nodot Būvniecības valsts kontroles birojam. Arī Tieslietu ministrija nav norādījusi, ka minētās funkcijas nodošana Būvniecības valsts kontroles birojam, nemainot iestādes nosaukumu un negrozot Būvniecības likumu, nonāktu pretrunā ar citiem normatīvajiem aktiem. Vienlaikus Ekonomikas ministrijas ieskatā, ievērojot valsts pārvaldes efektivitātes principu, Būvniecības valsts kontroles biroja nosaukums būtu jāpārskata un  Ekonomikas ministrija plāno veikt attiecīgus grozījumus Būvniecības likumā un ar to saistītajos Ministru kabineta noteikumos 2020. gadā.</w:t>
            </w:r>
          </w:p>
          <w:p w14:paraId="13369835" w14:textId="6CAF03A9" w:rsidR="0018741C" w:rsidRPr="006E66AB" w:rsidRDefault="0018741C" w:rsidP="00FE323A">
            <w:pPr>
              <w:pStyle w:val="naisc"/>
              <w:spacing w:before="0" w:after="0"/>
              <w:jc w:val="both"/>
              <w:rPr>
                <w:b/>
                <w:sz w:val="22"/>
                <w:szCs w:val="22"/>
              </w:rPr>
            </w:pPr>
            <w:r w:rsidRPr="006E66AB">
              <w:rPr>
                <w:sz w:val="22"/>
                <w:szCs w:val="22"/>
              </w:rPr>
              <w:t xml:space="preserve">Ņemot vērā izskatāma jautājuma steidzamību, iekļaušanai valsts budžeta likumprojektu paketē tiek </w:t>
            </w:r>
            <w:r w:rsidRPr="006E66AB">
              <w:rPr>
                <w:sz w:val="22"/>
                <w:szCs w:val="22"/>
              </w:rPr>
              <w:lastRenderedPageBreak/>
              <w:t xml:space="preserve">virzīti  tikai ar budžeta ietekmi vai funkciju nodošanu saistīti tiesību aktu grozījumi. </w:t>
            </w:r>
          </w:p>
        </w:tc>
        <w:tc>
          <w:tcPr>
            <w:tcW w:w="410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112C5B04" w14:textId="77777777" w:rsidR="0018741C" w:rsidRPr="006E66AB" w:rsidRDefault="0018741C" w:rsidP="0018741C">
            <w:pPr>
              <w:pStyle w:val="naisc"/>
              <w:spacing w:before="120" w:after="0"/>
              <w:jc w:val="both"/>
              <w:rPr>
                <w:sz w:val="22"/>
                <w:szCs w:val="22"/>
                <w:u w:val="single"/>
              </w:rPr>
            </w:pPr>
            <w:r w:rsidRPr="006E66AB">
              <w:rPr>
                <w:sz w:val="22"/>
                <w:szCs w:val="22"/>
                <w:u w:val="single"/>
              </w:rPr>
              <w:lastRenderedPageBreak/>
              <w:t>Anotācijas I sadaļas 2. punkts papildināts šādā redakcijā:</w:t>
            </w:r>
          </w:p>
          <w:p w14:paraId="3079DF47" w14:textId="6DAC5C3A" w:rsidR="0018741C" w:rsidRPr="006E66AB" w:rsidRDefault="0018741C" w:rsidP="0018741C">
            <w:pPr>
              <w:tabs>
                <w:tab w:val="left" w:pos="209"/>
              </w:tabs>
              <w:jc w:val="both"/>
              <w:outlineLvl w:val="3"/>
              <w:rPr>
                <w:sz w:val="22"/>
                <w:szCs w:val="22"/>
              </w:rPr>
            </w:pPr>
            <w:r w:rsidRPr="006E66AB">
              <w:rPr>
                <w:sz w:val="22"/>
                <w:szCs w:val="22"/>
              </w:rPr>
              <w:t xml:space="preserve">“Lai precizētu Būvniecības valsts kontroles biroja nosaukumu un darbības jomu, tādejādi </w:t>
            </w:r>
            <w:r w:rsidRPr="006E66AB">
              <w:rPr>
                <w:sz w:val="22"/>
                <w:szCs w:val="22"/>
              </w:rPr>
              <w:lastRenderedPageBreak/>
              <w:t>novēršot potenciāli maldinošu priekšstatu par iestādes darbības jomu, Ekonomikas ministrija papildus plāno veikt grozījumus Būvniecības likumā un ar to saistītajos Ministru kabineta noteikumos. Grozījumus plānots veikt  2020. gadā.”</w:t>
            </w:r>
          </w:p>
        </w:tc>
      </w:tr>
      <w:tr w:rsidR="0018741C" w:rsidRPr="006E66AB" w14:paraId="03070830" w14:textId="77777777" w:rsidTr="0018741C">
        <w:trPr>
          <w:trHeight w:val="306"/>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0F7C065" w14:textId="1315D8C6" w:rsidR="0018741C" w:rsidRPr="006E66AB" w:rsidRDefault="0018741C" w:rsidP="0018741C">
            <w:pPr>
              <w:pStyle w:val="naisc"/>
              <w:spacing w:before="0" w:after="0"/>
              <w:rPr>
                <w:sz w:val="22"/>
                <w:szCs w:val="22"/>
              </w:rPr>
            </w:pPr>
            <w:r w:rsidRPr="006E66AB">
              <w:rPr>
                <w:sz w:val="22"/>
                <w:szCs w:val="22"/>
              </w:rPr>
              <w:lastRenderedPageBreak/>
              <w:t>6.</w:t>
            </w:r>
          </w:p>
        </w:tc>
        <w:tc>
          <w:tcPr>
            <w:tcW w:w="2221"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7B31875" w14:textId="77777777" w:rsidR="0018741C" w:rsidRPr="006E66AB" w:rsidRDefault="0018741C" w:rsidP="0018741C">
            <w:pPr>
              <w:jc w:val="both"/>
              <w:rPr>
                <w:sz w:val="22"/>
                <w:szCs w:val="22"/>
              </w:rPr>
            </w:pPr>
            <w:r w:rsidRPr="006E66AB">
              <w:rPr>
                <w:sz w:val="22"/>
                <w:szCs w:val="22"/>
              </w:rPr>
              <w:t>Likumprojekts, likumprojekta anotācija</w:t>
            </w:r>
          </w:p>
          <w:p w14:paraId="1CBDF7CE" w14:textId="77777777" w:rsidR="0018741C" w:rsidRPr="006E66AB" w:rsidRDefault="0018741C" w:rsidP="0018741C">
            <w:pPr>
              <w:rPr>
                <w:sz w:val="22"/>
                <w:szCs w:val="22"/>
              </w:rPr>
            </w:pPr>
          </w:p>
          <w:p w14:paraId="3ED84F43" w14:textId="77777777" w:rsidR="0018741C" w:rsidRPr="006E66AB" w:rsidRDefault="0018741C" w:rsidP="0018741C">
            <w:pPr>
              <w:rPr>
                <w:sz w:val="22"/>
                <w:szCs w:val="22"/>
              </w:rPr>
            </w:pPr>
          </w:p>
          <w:p w14:paraId="0B658460" w14:textId="77777777" w:rsidR="0018741C" w:rsidRPr="006E66AB" w:rsidRDefault="0018741C" w:rsidP="0018741C">
            <w:pPr>
              <w:rPr>
                <w:sz w:val="22"/>
                <w:szCs w:val="22"/>
              </w:rPr>
            </w:pPr>
          </w:p>
          <w:p w14:paraId="509411D8" w14:textId="77777777" w:rsidR="0018741C" w:rsidRPr="006E66AB" w:rsidRDefault="0018741C" w:rsidP="0018741C">
            <w:pPr>
              <w:rPr>
                <w:sz w:val="22"/>
                <w:szCs w:val="22"/>
              </w:rPr>
            </w:pPr>
          </w:p>
          <w:p w14:paraId="5B7D636F" w14:textId="77777777" w:rsidR="0018741C" w:rsidRPr="006E66AB" w:rsidRDefault="0018741C" w:rsidP="0018741C">
            <w:pPr>
              <w:rPr>
                <w:sz w:val="22"/>
                <w:szCs w:val="22"/>
              </w:rPr>
            </w:pPr>
          </w:p>
          <w:p w14:paraId="745C7C9A" w14:textId="77777777" w:rsidR="0018741C" w:rsidRPr="006E66AB" w:rsidRDefault="0018741C" w:rsidP="0018741C">
            <w:pPr>
              <w:rPr>
                <w:sz w:val="22"/>
                <w:szCs w:val="22"/>
              </w:rPr>
            </w:pPr>
          </w:p>
          <w:p w14:paraId="1B2513A3" w14:textId="77777777" w:rsidR="0018741C" w:rsidRPr="006E66AB" w:rsidRDefault="0018741C" w:rsidP="0018741C">
            <w:pPr>
              <w:rPr>
                <w:sz w:val="22"/>
                <w:szCs w:val="22"/>
              </w:rPr>
            </w:pPr>
          </w:p>
          <w:p w14:paraId="786F1912" w14:textId="77777777" w:rsidR="0018741C" w:rsidRPr="006E66AB" w:rsidRDefault="0018741C" w:rsidP="0018741C">
            <w:pPr>
              <w:rPr>
                <w:sz w:val="22"/>
                <w:szCs w:val="22"/>
              </w:rPr>
            </w:pPr>
          </w:p>
          <w:p w14:paraId="5921C4F8" w14:textId="77777777" w:rsidR="0018741C" w:rsidRPr="006E66AB" w:rsidRDefault="0018741C" w:rsidP="0018741C">
            <w:pPr>
              <w:rPr>
                <w:sz w:val="22"/>
                <w:szCs w:val="22"/>
              </w:rPr>
            </w:pPr>
          </w:p>
          <w:p w14:paraId="7F8E3AA0" w14:textId="77777777" w:rsidR="0018741C" w:rsidRPr="006E66AB" w:rsidRDefault="0018741C" w:rsidP="0018741C">
            <w:pPr>
              <w:rPr>
                <w:sz w:val="22"/>
                <w:szCs w:val="22"/>
              </w:rPr>
            </w:pPr>
          </w:p>
          <w:p w14:paraId="0E6C18D8" w14:textId="77777777" w:rsidR="0018741C" w:rsidRPr="006E66AB" w:rsidRDefault="0018741C" w:rsidP="0018741C">
            <w:pPr>
              <w:rPr>
                <w:sz w:val="22"/>
                <w:szCs w:val="22"/>
              </w:rPr>
            </w:pPr>
          </w:p>
          <w:p w14:paraId="6401CEBD" w14:textId="77777777" w:rsidR="0018741C" w:rsidRPr="006E66AB" w:rsidRDefault="0018741C" w:rsidP="0018741C">
            <w:pPr>
              <w:rPr>
                <w:sz w:val="22"/>
                <w:szCs w:val="22"/>
              </w:rPr>
            </w:pPr>
          </w:p>
          <w:p w14:paraId="3465124F" w14:textId="77777777" w:rsidR="0018741C" w:rsidRPr="006E66AB" w:rsidRDefault="0018741C" w:rsidP="0018741C">
            <w:pPr>
              <w:rPr>
                <w:sz w:val="22"/>
                <w:szCs w:val="22"/>
              </w:rPr>
            </w:pPr>
          </w:p>
          <w:p w14:paraId="247C3EE3" w14:textId="77777777" w:rsidR="0018741C" w:rsidRPr="006E66AB" w:rsidRDefault="0018741C" w:rsidP="0018741C">
            <w:pPr>
              <w:rPr>
                <w:sz w:val="22"/>
                <w:szCs w:val="22"/>
              </w:rPr>
            </w:pPr>
          </w:p>
          <w:p w14:paraId="4D854A4E" w14:textId="77777777" w:rsidR="0018741C" w:rsidRPr="006E66AB" w:rsidRDefault="0018741C" w:rsidP="0018741C">
            <w:pPr>
              <w:rPr>
                <w:sz w:val="22"/>
                <w:szCs w:val="22"/>
              </w:rPr>
            </w:pPr>
          </w:p>
          <w:p w14:paraId="0D8062E3" w14:textId="77777777" w:rsidR="0018741C" w:rsidRPr="006E66AB" w:rsidRDefault="0018741C" w:rsidP="0018741C">
            <w:pPr>
              <w:rPr>
                <w:sz w:val="22"/>
                <w:szCs w:val="22"/>
              </w:rPr>
            </w:pPr>
          </w:p>
          <w:p w14:paraId="115E5C0F" w14:textId="77777777" w:rsidR="0018741C" w:rsidRPr="006E66AB" w:rsidRDefault="0018741C" w:rsidP="0018741C">
            <w:pPr>
              <w:rPr>
                <w:sz w:val="22"/>
                <w:szCs w:val="22"/>
              </w:rPr>
            </w:pPr>
          </w:p>
          <w:p w14:paraId="6BFE6AC3" w14:textId="77777777" w:rsidR="0018741C" w:rsidRPr="006E66AB" w:rsidRDefault="0018741C" w:rsidP="0018741C">
            <w:pPr>
              <w:rPr>
                <w:sz w:val="22"/>
                <w:szCs w:val="22"/>
              </w:rPr>
            </w:pPr>
          </w:p>
          <w:p w14:paraId="1A52A757" w14:textId="77777777" w:rsidR="0018741C" w:rsidRPr="006E66AB" w:rsidRDefault="0018741C" w:rsidP="0018741C">
            <w:pPr>
              <w:rPr>
                <w:sz w:val="22"/>
                <w:szCs w:val="22"/>
              </w:rPr>
            </w:pPr>
          </w:p>
          <w:p w14:paraId="6FEA68AE" w14:textId="77777777" w:rsidR="0018741C" w:rsidRPr="006E66AB" w:rsidRDefault="0018741C" w:rsidP="0018741C">
            <w:pPr>
              <w:rPr>
                <w:sz w:val="22"/>
                <w:szCs w:val="22"/>
              </w:rPr>
            </w:pPr>
          </w:p>
          <w:p w14:paraId="0EBEBE45" w14:textId="77777777" w:rsidR="0018741C" w:rsidRPr="006E66AB" w:rsidRDefault="0018741C" w:rsidP="0018741C">
            <w:pPr>
              <w:rPr>
                <w:sz w:val="22"/>
                <w:szCs w:val="22"/>
              </w:rPr>
            </w:pPr>
          </w:p>
          <w:p w14:paraId="469615A3" w14:textId="77777777" w:rsidR="0018741C" w:rsidRPr="006E66AB" w:rsidRDefault="0018741C" w:rsidP="0018741C">
            <w:pPr>
              <w:rPr>
                <w:sz w:val="22"/>
                <w:szCs w:val="22"/>
              </w:rPr>
            </w:pPr>
          </w:p>
          <w:p w14:paraId="06C8ED61" w14:textId="77777777" w:rsidR="0018741C" w:rsidRPr="006E66AB" w:rsidRDefault="0018741C" w:rsidP="0018741C">
            <w:pPr>
              <w:rPr>
                <w:sz w:val="22"/>
                <w:szCs w:val="22"/>
              </w:rPr>
            </w:pPr>
          </w:p>
          <w:p w14:paraId="65474993" w14:textId="77777777" w:rsidR="0018741C" w:rsidRPr="006E66AB" w:rsidRDefault="0018741C" w:rsidP="0018741C">
            <w:pPr>
              <w:rPr>
                <w:sz w:val="22"/>
                <w:szCs w:val="22"/>
              </w:rPr>
            </w:pPr>
          </w:p>
          <w:p w14:paraId="7ADE741A" w14:textId="77777777" w:rsidR="0018741C" w:rsidRPr="006E66AB" w:rsidRDefault="0018741C" w:rsidP="0018741C">
            <w:pPr>
              <w:rPr>
                <w:sz w:val="22"/>
                <w:szCs w:val="22"/>
              </w:rPr>
            </w:pPr>
          </w:p>
          <w:p w14:paraId="4318F245" w14:textId="77777777" w:rsidR="0018741C" w:rsidRPr="006E66AB" w:rsidRDefault="0018741C" w:rsidP="0018741C">
            <w:pPr>
              <w:rPr>
                <w:sz w:val="22"/>
                <w:szCs w:val="22"/>
              </w:rPr>
            </w:pPr>
          </w:p>
          <w:p w14:paraId="2F131F67" w14:textId="77777777" w:rsidR="0018741C" w:rsidRPr="006E66AB" w:rsidRDefault="0018741C" w:rsidP="0018741C">
            <w:pPr>
              <w:rPr>
                <w:sz w:val="22"/>
                <w:szCs w:val="22"/>
              </w:rPr>
            </w:pPr>
          </w:p>
          <w:p w14:paraId="0B9C97AB" w14:textId="77777777" w:rsidR="0018741C" w:rsidRPr="006E66AB" w:rsidRDefault="0018741C" w:rsidP="0018741C">
            <w:pPr>
              <w:spacing w:before="120"/>
              <w:jc w:val="both"/>
              <w:rPr>
                <w:sz w:val="22"/>
                <w:szCs w:val="22"/>
              </w:rPr>
            </w:pPr>
          </w:p>
        </w:tc>
        <w:tc>
          <w:tcPr>
            <w:tcW w:w="4820"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0BA88032" w14:textId="77777777" w:rsidR="0018741C" w:rsidRPr="006E66AB" w:rsidRDefault="0018741C" w:rsidP="0018741C">
            <w:pPr>
              <w:jc w:val="both"/>
              <w:rPr>
                <w:b/>
                <w:bCs/>
                <w:sz w:val="22"/>
                <w:szCs w:val="22"/>
              </w:rPr>
            </w:pPr>
            <w:r w:rsidRPr="006E66AB">
              <w:rPr>
                <w:b/>
                <w:bCs/>
                <w:sz w:val="22"/>
                <w:szCs w:val="22"/>
              </w:rPr>
              <w:t>Tieslietu ministrija (03.09.2019.)</w:t>
            </w:r>
          </w:p>
          <w:p w14:paraId="5A4AC678" w14:textId="77777777" w:rsidR="0018741C" w:rsidRPr="006E66AB" w:rsidRDefault="0018741C" w:rsidP="0018741C">
            <w:pPr>
              <w:jc w:val="both"/>
              <w:rPr>
                <w:b/>
                <w:bCs/>
                <w:sz w:val="22"/>
                <w:szCs w:val="22"/>
              </w:rPr>
            </w:pPr>
          </w:p>
          <w:p w14:paraId="01ACCE4D" w14:textId="77777777" w:rsidR="0018741C" w:rsidRPr="006E66AB" w:rsidRDefault="0018741C" w:rsidP="0018741C">
            <w:pPr>
              <w:jc w:val="both"/>
              <w:rPr>
                <w:sz w:val="22"/>
                <w:szCs w:val="22"/>
              </w:rPr>
            </w:pPr>
            <w:r w:rsidRPr="006E66AB">
              <w:rPr>
                <w:sz w:val="22"/>
                <w:szCs w:val="22"/>
              </w:rPr>
              <w:t>2. Atbilstoši anotācijas I sadaļas 2. punktā ietvertajai informācijai priekšlikumi par enerģētikas nozares valsts atbalsta sistēmas darbības regulēšanas nodevu ir atbalstīti Saeimā otrajā lasījumā likumprojektā "Grozījumi Elektroenerģijas tirgus likumā" (Nr. 77/Lp13). Līdz ar to nav skaidrs, kādēļ tāds pats regulējums (izņemot Elektroenerģijas tirgus likuma (turpmāk – likums) attiecīgā panta numurs un nodevas apmērs) tiek paredzēts arī projektā.</w:t>
            </w:r>
          </w:p>
          <w:p w14:paraId="5D73183E" w14:textId="77777777" w:rsidR="0018741C" w:rsidRPr="006E66AB" w:rsidRDefault="0018741C" w:rsidP="0018741C">
            <w:pPr>
              <w:tabs>
                <w:tab w:val="left" w:pos="7926"/>
              </w:tabs>
              <w:jc w:val="both"/>
              <w:rPr>
                <w:sz w:val="22"/>
                <w:szCs w:val="22"/>
              </w:rPr>
            </w:pPr>
          </w:p>
          <w:p w14:paraId="2375EC2D" w14:textId="77777777" w:rsidR="0018741C" w:rsidRPr="006E66AB" w:rsidRDefault="0018741C" w:rsidP="0018741C">
            <w:pPr>
              <w:tabs>
                <w:tab w:val="left" w:pos="7926"/>
              </w:tabs>
              <w:jc w:val="both"/>
              <w:rPr>
                <w:sz w:val="22"/>
                <w:szCs w:val="22"/>
              </w:rPr>
            </w:pPr>
            <w:r w:rsidRPr="006E66AB">
              <w:rPr>
                <w:sz w:val="22"/>
                <w:szCs w:val="22"/>
              </w:rPr>
              <w:t xml:space="preserve">Vienlaikus vēršam uzmanību uz to, ka Tieslietu ministrija 2019. gada 29. maija atzinumā Nr. 1-9.1/525 par informatīvā ziņojuma projektu "Par elektroenerģijas obligātā iepirkuma komponentes problemātikas iespējamajiem risinājumiem un enerģētikas politikas īstenošanas funkcijām" norādīja, ka šajā projektā ir paredzēta virkne pasākumu, kas pasliktina atbalsta saņēmēju tiesisko vai faktisko stāvokli (piemēram, atbalsta saņēmēju nodevas ieviešana, stingrāku elektrostaciju darbības nosacījumu ieviešana, papildu prasību noteikšana biogāzes stacijām, atbalsta apmēra ierobežošana, iespēja noteikt tiesisku pienākumu attiecībā uz saimnieciskas rīcības stiprināšanu). Līdz ar to </w:t>
            </w:r>
            <w:r w:rsidRPr="006E66AB">
              <w:rPr>
                <w:sz w:val="22"/>
                <w:szCs w:val="22"/>
                <w:u w:val="single"/>
              </w:rPr>
              <w:t xml:space="preserve">nepieciešams šāda </w:t>
            </w:r>
            <w:bookmarkStart w:id="2" w:name="OLE_LINK12"/>
            <w:bookmarkStart w:id="3" w:name="OLE_LINK11"/>
            <w:r w:rsidRPr="006E66AB">
              <w:rPr>
                <w:sz w:val="22"/>
                <w:szCs w:val="22"/>
                <w:u w:val="single"/>
              </w:rPr>
              <w:t xml:space="preserve">regulējuma iedarbības laikā skaidrojums, tā pieļaujamības pamatojums, tostarp iespējamo </w:t>
            </w:r>
            <w:proofErr w:type="spellStart"/>
            <w:r w:rsidRPr="006E66AB">
              <w:rPr>
                <w:sz w:val="22"/>
                <w:szCs w:val="22"/>
                <w:u w:val="single"/>
              </w:rPr>
              <w:t>pamattiesību</w:t>
            </w:r>
            <w:proofErr w:type="spellEnd"/>
            <w:r w:rsidRPr="006E66AB">
              <w:rPr>
                <w:sz w:val="22"/>
                <w:szCs w:val="22"/>
                <w:u w:val="single"/>
              </w:rPr>
              <w:t xml:space="preserve"> ierobežojumu </w:t>
            </w:r>
            <w:proofErr w:type="spellStart"/>
            <w:r w:rsidRPr="006E66AB">
              <w:rPr>
                <w:sz w:val="22"/>
                <w:szCs w:val="22"/>
                <w:u w:val="single"/>
              </w:rPr>
              <w:t>attaisnojamības</w:t>
            </w:r>
            <w:proofErr w:type="spellEnd"/>
            <w:r w:rsidRPr="006E66AB">
              <w:rPr>
                <w:sz w:val="22"/>
                <w:szCs w:val="22"/>
                <w:u w:val="single"/>
              </w:rPr>
              <w:t xml:space="preserve"> izvērtējums</w:t>
            </w:r>
            <w:r w:rsidRPr="006E66AB">
              <w:rPr>
                <w:sz w:val="22"/>
                <w:szCs w:val="22"/>
              </w:rPr>
              <w:t>.</w:t>
            </w:r>
            <w:bookmarkEnd w:id="2"/>
            <w:bookmarkEnd w:id="3"/>
          </w:p>
          <w:p w14:paraId="7DF2492B" w14:textId="77777777" w:rsidR="0018741C" w:rsidRPr="006E66AB" w:rsidRDefault="0018741C" w:rsidP="0018741C">
            <w:pPr>
              <w:tabs>
                <w:tab w:val="left" w:pos="7926"/>
              </w:tabs>
              <w:jc w:val="both"/>
              <w:rPr>
                <w:sz w:val="22"/>
                <w:szCs w:val="22"/>
              </w:rPr>
            </w:pPr>
          </w:p>
          <w:p w14:paraId="52EDFA1F" w14:textId="77777777" w:rsidR="0018741C" w:rsidRPr="006E66AB" w:rsidRDefault="0018741C" w:rsidP="0018741C">
            <w:pPr>
              <w:tabs>
                <w:tab w:val="left" w:pos="7926"/>
              </w:tabs>
              <w:jc w:val="both"/>
              <w:rPr>
                <w:sz w:val="22"/>
                <w:szCs w:val="22"/>
              </w:rPr>
            </w:pPr>
            <w:r w:rsidRPr="006E66AB">
              <w:rPr>
                <w:sz w:val="22"/>
                <w:szCs w:val="22"/>
              </w:rPr>
              <w:lastRenderedPageBreak/>
              <w:t xml:space="preserve">Informatīvā ziņojuma projektā "Par elektroenerģijas obligātā iepirkuma komponentes problemātikas iespējamajiem risinājumiem un enerģētikas politikas īstenošanas funkcijām" netika ietverts attiecīgā regulējuma iedarbības laikā skaidrojums, tā pieļaujamības pamatojums, tostarp iespējamo </w:t>
            </w:r>
            <w:proofErr w:type="spellStart"/>
            <w:r w:rsidRPr="006E66AB">
              <w:rPr>
                <w:sz w:val="22"/>
                <w:szCs w:val="22"/>
              </w:rPr>
              <w:t>pamattiesību</w:t>
            </w:r>
            <w:proofErr w:type="spellEnd"/>
            <w:r w:rsidRPr="006E66AB">
              <w:rPr>
                <w:sz w:val="22"/>
                <w:szCs w:val="22"/>
              </w:rPr>
              <w:t xml:space="preserve"> ierobežojumu </w:t>
            </w:r>
            <w:proofErr w:type="spellStart"/>
            <w:r w:rsidRPr="006E66AB">
              <w:rPr>
                <w:sz w:val="22"/>
                <w:szCs w:val="22"/>
              </w:rPr>
              <w:t>attaisnojamības</w:t>
            </w:r>
            <w:proofErr w:type="spellEnd"/>
            <w:r w:rsidRPr="006E66AB">
              <w:rPr>
                <w:sz w:val="22"/>
                <w:szCs w:val="22"/>
              </w:rPr>
              <w:t xml:space="preserve"> izvērtējums, kā arī anotācijā tāda nav par projekta 4. pantā paredzēto grozījumu. Līdz ar to Tieslietu ministrija nevar izvērtēt projekta 4. pantā paredzēto grozījumu.</w:t>
            </w:r>
          </w:p>
          <w:p w14:paraId="0EA148B6" w14:textId="77777777" w:rsidR="0018741C" w:rsidRPr="006E66AB" w:rsidRDefault="0018741C" w:rsidP="0018741C">
            <w:pPr>
              <w:jc w:val="both"/>
              <w:rPr>
                <w:b/>
                <w:bCs/>
                <w:sz w:val="22"/>
                <w:szCs w:val="22"/>
              </w:rPr>
            </w:pPr>
          </w:p>
          <w:p w14:paraId="5C6F329A" w14:textId="77777777" w:rsidR="0018741C" w:rsidRPr="006E66AB" w:rsidRDefault="0018741C" w:rsidP="0018741C">
            <w:pPr>
              <w:jc w:val="both"/>
              <w:rPr>
                <w:b/>
                <w:bCs/>
                <w:sz w:val="22"/>
                <w:szCs w:val="22"/>
              </w:rPr>
            </w:pPr>
            <w:r w:rsidRPr="006E66AB">
              <w:rPr>
                <w:b/>
                <w:bCs/>
                <w:sz w:val="22"/>
                <w:szCs w:val="22"/>
              </w:rPr>
              <w:t>Tieslietu ministrija (30.09.2019)</w:t>
            </w:r>
          </w:p>
          <w:p w14:paraId="30F51889" w14:textId="77777777" w:rsidR="0018741C" w:rsidRPr="006E66AB" w:rsidRDefault="0018741C" w:rsidP="0018741C">
            <w:pPr>
              <w:jc w:val="both"/>
              <w:rPr>
                <w:sz w:val="22"/>
                <w:szCs w:val="22"/>
              </w:rPr>
            </w:pPr>
          </w:p>
          <w:p w14:paraId="45BB0A66" w14:textId="77777777" w:rsidR="0018741C" w:rsidRPr="006E66AB" w:rsidRDefault="0018741C" w:rsidP="0018741C">
            <w:pPr>
              <w:jc w:val="both"/>
              <w:rPr>
                <w:sz w:val="22"/>
                <w:szCs w:val="22"/>
              </w:rPr>
            </w:pPr>
            <w:r w:rsidRPr="006E66AB">
              <w:rPr>
                <w:sz w:val="22"/>
                <w:szCs w:val="22"/>
              </w:rPr>
              <w:t xml:space="preserve">1. Atkārtoti vēršam uzmanību uz to, ka atbilstoši projekta sākotnējās </w:t>
            </w:r>
            <w:r w:rsidRPr="006E66AB">
              <w:rPr>
                <w:i/>
                <w:iCs/>
                <w:sz w:val="22"/>
                <w:szCs w:val="22"/>
              </w:rPr>
              <w:t>(</w:t>
            </w:r>
            <w:proofErr w:type="spellStart"/>
            <w:r w:rsidRPr="006E66AB">
              <w:rPr>
                <w:i/>
                <w:iCs/>
                <w:sz w:val="22"/>
                <w:szCs w:val="22"/>
              </w:rPr>
              <w:t>ex-ante</w:t>
            </w:r>
            <w:proofErr w:type="spellEnd"/>
            <w:r w:rsidRPr="006E66AB">
              <w:rPr>
                <w:i/>
                <w:iCs/>
                <w:sz w:val="22"/>
                <w:szCs w:val="22"/>
              </w:rPr>
              <w:t>)</w:t>
            </w:r>
            <w:r w:rsidRPr="006E66AB">
              <w:rPr>
                <w:sz w:val="22"/>
                <w:szCs w:val="22"/>
              </w:rPr>
              <w:t xml:space="preserve"> ietekmes novērtējuma ziņojuma (turpmāk – anotācija) I sadaļas 2. punktā ietvertajai informācijai priekšlikumi par enerģētikas nozares valsts atbalsta sistēmas darbības regulēšanas nodevu ir atbalstīti Saeimā otrajā lasījumā likumprojektā "Grozījumi Elektroenerģijas tirgus likumā" (Nr. 77/Lp13). </w:t>
            </w:r>
            <w:r w:rsidRPr="006E66AB">
              <w:rPr>
                <w:b/>
                <w:bCs/>
                <w:sz w:val="22"/>
                <w:szCs w:val="22"/>
              </w:rPr>
              <w:t>Līdz ar to nav skaidrs, kādēļ gandrīz tāds pats regulējums tiek paredzēts arī projektā.</w:t>
            </w:r>
          </w:p>
          <w:p w14:paraId="338AC199" w14:textId="77777777" w:rsidR="0018741C" w:rsidRPr="006E66AB" w:rsidRDefault="0018741C" w:rsidP="0018741C">
            <w:pPr>
              <w:jc w:val="both"/>
              <w:rPr>
                <w:sz w:val="22"/>
                <w:szCs w:val="22"/>
              </w:rPr>
            </w:pPr>
          </w:p>
          <w:p w14:paraId="6D31DC8D" w14:textId="77777777" w:rsidR="0018741C" w:rsidRPr="006E66AB" w:rsidRDefault="0018741C" w:rsidP="0018741C">
            <w:pPr>
              <w:jc w:val="both"/>
              <w:rPr>
                <w:sz w:val="22"/>
                <w:szCs w:val="22"/>
              </w:rPr>
            </w:pPr>
            <w:r w:rsidRPr="006E66AB">
              <w:rPr>
                <w:b/>
                <w:bCs/>
                <w:sz w:val="22"/>
                <w:szCs w:val="22"/>
              </w:rPr>
              <w:t>(..)</w:t>
            </w:r>
          </w:p>
          <w:p w14:paraId="2CE7027D" w14:textId="77777777" w:rsidR="0018741C" w:rsidRPr="006E66AB" w:rsidRDefault="0018741C" w:rsidP="0018741C">
            <w:pPr>
              <w:jc w:val="both"/>
              <w:rPr>
                <w:sz w:val="22"/>
                <w:szCs w:val="22"/>
              </w:rPr>
            </w:pPr>
            <w:r w:rsidRPr="006E66AB">
              <w:rPr>
                <w:sz w:val="22"/>
                <w:szCs w:val="22"/>
              </w:rPr>
              <w:t xml:space="preserve">Informatīvā ziņojuma projektā "Par elektroenerģijas obligātā iepirkuma komponentes problemātikas iespējamajiem risinājumiem un enerģētikas politikas īstenošanas funkcijām" netika ietverts attiecīgā regulējuma iedarbības laikā skaidrojums, tā pieļaujamības pamatojums, tostarp iespējamo </w:t>
            </w:r>
            <w:proofErr w:type="spellStart"/>
            <w:r w:rsidRPr="006E66AB">
              <w:rPr>
                <w:sz w:val="22"/>
                <w:szCs w:val="22"/>
              </w:rPr>
              <w:t>pamattiesību</w:t>
            </w:r>
            <w:proofErr w:type="spellEnd"/>
            <w:r w:rsidRPr="006E66AB">
              <w:rPr>
                <w:sz w:val="22"/>
                <w:szCs w:val="22"/>
              </w:rPr>
              <w:t xml:space="preserve"> ierobežojumu </w:t>
            </w:r>
            <w:proofErr w:type="spellStart"/>
            <w:r w:rsidRPr="006E66AB">
              <w:rPr>
                <w:sz w:val="22"/>
                <w:szCs w:val="22"/>
              </w:rPr>
              <w:t>attaisnojamības</w:t>
            </w:r>
            <w:proofErr w:type="spellEnd"/>
            <w:r w:rsidRPr="006E66AB">
              <w:rPr>
                <w:sz w:val="22"/>
                <w:szCs w:val="22"/>
              </w:rPr>
              <w:t xml:space="preserve"> izvērtējums, kā arī anotācijā </w:t>
            </w:r>
            <w:r w:rsidRPr="006E66AB">
              <w:rPr>
                <w:b/>
                <w:bCs/>
                <w:sz w:val="22"/>
                <w:szCs w:val="22"/>
              </w:rPr>
              <w:t>nav izvērsta skaidrojuma</w:t>
            </w:r>
            <w:r w:rsidRPr="006E66AB">
              <w:rPr>
                <w:sz w:val="22"/>
                <w:szCs w:val="22"/>
              </w:rPr>
              <w:t xml:space="preserve"> par projekta 4. pantā paredzēto grozījumu. Līdz ar to Tieslietu ministrija nevar izvērtēt projekta 4. pantā paredzēto grozījumu.</w:t>
            </w:r>
          </w:p>
          <w:p w14:paraId="3557333A" w14:textId="77777777" w:rsidR="0018741C" w:rsidRPr="006E66AB" w:rsidRDefault="0018741C" w:rsidP="0018741C">
            <w:pPr>
              <w:jc w:val="both"/>
              <w:rPr>
                <w:sz w:val="22"/>
                <w:szCs w:val="22"/>
                <w:lang w:eastAsia="en-US"/>
              </w:rPr>
            </w:pPr>
            <w:r w:rsidRPr="006E66AB">
              <w:rPr>
                <w:sz w:val="22"/>
                <w:szCs w:val="22"/>
              </w:rPr>
              <w:lastRenderedPageBreak/>
              <w:t xml:space="preserve">Ievērojot minēto, atkārtoti </w:t>
            </w:r>
            <w:r w:rsidRPr="006E66AB">
              <w:rPr>
                <w:b/>
                <w:bCs/>
                <w:sz w:val="22"/>
                <w:szCs w:val="22"/>
              </w:rPr>
              <w:t>lūdzam papildināt anotācijas I sadaļas 2. punktu ar atbilstošu skaidrojumu, t.sk., izvērtējumu par projekta 4. pantā paredzētajā grozījumā ietvertā regulējuma atbilstību Latvijas Republikas Satversmes 105. pantam</w:t>
            </w:r>
            <w:r w:rsidRPr="006E66AB">
              <w:rPr>
                <w:sz w:val="22"/>
                <w:szCs w:val="22"/>
              </w:rPr>
              <w:t xml:space="preserve">. Turklāt lūdzam </w:t>
            </w:r>
            <w:r w:rsidRPr="006E66AB">
              <w:rPr>
                <w:b/>
                <w:bCs/>
                <w:sz w:val="22"/>
                <w:szCs w:val="22"/>
              </w:rPr>
              <w:t>aizpildīt anotācijas I sadaļas 2. punktu atbilstoši</w:t>
            </w:r>
            <w:r w:rsidRPr="006E66AB">
              <w:rPr>
                <w:sz w:val="22"/>
                <w:szCs w:val="22"/>
              </w:rPr>
              <w:t xml:space="preserve"> Ministru kabineta 2009. gada 15. decembra instrukcijas Nr. 19 "Tiesību akta projekta sākotnējās ietekmes izvērtēšanas kārtība" 14. punktā noteiktajām prasībām.</w:t>
            </w:r>
          </w:p>
          <w:p w14:paraId="6D550C4A" w14:textId="77777777" w:rsidR="0018741C" w:rsidRPr="006E66AB" w:rsidRDefault="0018741C" w:rsidP="0018741C">
            <w:pPr>
              <w:jc w:val="both"/>
              <w:rPr>
                <w:sz w:val="22"/>
                <w:szCs w:val="22"/>
              </w:rPr>
            </w:pPr>
          </w:p>
          <w:p w14:paraId="72C55303" w14:textId="77777777" w:rsidR="0018741C" w:rsidRPr="006E66AB" w:rsidRDefault="0018741C" w:rsidP="0018741C">
            <w:pPr>
              <w:jc w:val="both"/>
              <w:rPr>
                <w:sz w:val="22"/>
                <w:szCs w:val="22"/>
              </w:rPr>
            </w:pPr>
            <w:r w:rsidRPr="006E66AB">
              <w:rPr>
                <w:b/>
                <w:bCs/>
                <w:sz w:val="22"/>
                <w:szCs w:val="22"/>
              </w:rPr>
              <w:t>Papildus Tieslietu ministrija atkārto 03.09.2019. atzinumā sniegtos iebildumus</w:t>
            </w:r>
          </w:p>
          <w:p w14:paraId="11733EB6" w14:textId="77777777" w:rsidR="0018741C" w:rsidRPr="006E66AB" w:rsidRDefault="0018741C" w:rsidP="0018741C">
            <w:pPr>
              <w:tabs>
                <w:tab w:val="left" w:pos="993"/>
              </w:tabs>
              <w:jc w:val="both"/>
              <w:rPr>
                <w:b/>
                <w:sz w:val="22"/>
                <w:szCs w:val="22"/>
              </w:rPr>
            </w:pPr>
          </w:p>
        </w:tc>
        <w:tc>
          <w:tcPr>
            <w:tcW w:w="3260"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70E9C18" w14:textId="77777777" w:rsidR="0018741C" w:rsidRPr="006E66AB" w:rsidRDefault="0018741C" w:rsidP="00FE323A">
            <w:pPr>
              <w:jc w:val="center"/>
              <w:rPr>
                <w:b/>
                <w:bCs/>
                <w:sz w:val="22"/>
                <w:szCs w:val="22"/>
              </w:rPr>
            </w:pPr>
            <w:r w:rsidRPr="006E66AB">
              <w:rPr>
                <w:b/>
                <w:bCs/>
                <w:sz w:val="22"/>
                <w:szCs w:val="22"/>
              </w:rPr>
              <w:lastRenderedPageBreak/>
              <w:t>Ņemts vērā</w:t>
            </w:r>
          </w:p>
          <w:p w14:paraId="2686FDE4" w14:textId="77777777" w:rsidR="0018741C" w:rsidRPr="006E66AB" w:rsidRDefault="0018741C" w:rsidP="0018741C">
            <w:pPr>
              <w:jc w:val="both"/>
              <w:rPr>
                <w:b/>
                <w:bCs/>
                <w:sz w:val="22"/>
                <w:szCs w:val="22"/>
              </w:rPr>
            </w:pPr>
          </w:p>
          <w:p w14:paraId="23C6DE02" w14:textId="77777777" w:rsidR="0018741C" w:rsidRPr="006E66AB" w:rsidRDefault="0018741C" w:rsidP="0018741C">
            <w:pPr>
              <w:tabs>
                <w:tab w:val="left" w:pos="7926"/>
              </w:tabs>
              <w:jc w:val="both"/>
              <w:rPr>
                <w:sz w:val="22"/>
                <w:szCs w:val="22"/>
              </w:rPr>
            </w:pPr>
            <w:r w:rsidRPr="006E66AB">
              <w:rPr>
                <w:sz w:val="22"/>
                <w:szCs w:val="22"/>
              </w:rPr>
              <w:t>Kā norādīts Informatīvā ziņojuma Ievada daļā “Pasākumi šo rīcības virzienu ietvaros īstenojami, vērtējot to ietekmju kopsakarības un, izvērtējams, vai veicot normatīvo aktu grozījumus, lai ieviestu šos pasākumus, vai kopsakarā ar citiem ieviešamajiem pasākumiem to raksturs kopumā ir atturošs un efektīvs un tie nav nesamērīgi.”</w:t>
            </w:r>
          </w:p>
          <w:p w14:paraId="1F3FC5D3" w14:textId="77777777" w:rsidR="0018741C" w:rsidRPr="006E66AB" w:rsidRDefault="0018741C" w:rsidP="0018741C">
            <w:pPr>
              <w:tabs>
                <w:tab w:val="left" w:pos="7926"/>
              </w:tabs>
              <w:jc w:val="both"/>
              <w:rPr>
                <w:sz w:val="22"/>
                <w:szCs w:val="22"/>
              </w:rPr>
            </w:pPr>
            <w:r w:rsidRPr="006E66AB">
              <w:rPr>
                <w:sz w:val="22"/>
                <w:szCs w:val="22"/>
              </w:rPr>
              <w:t xml:space="preserve"> Ņemot vērā, ka pasākumu ieviešana nav paredzēta vienlaicīga, kā arī to, ka attiecīgajām izmaiņām iespējams piemērot pārejas periodus, katra jauna ierobežojuma vai prasību ieviešana vērtējama kontekstā ar līdz šim īstenotajiem pasākumiem. Nodevas ieviešana ir pirmais no Ministru kabinetā izskatāmajiem jautājumiem, kas izriet no Informatīvajā ziņojumā norādītā plāna, attiecīgi tā šobrīd nebūtu vērtējama kontekstā ar citiem plānotajiem pasākumiem, kas var arī netikt ieviesti. Anotācijas teksts papildināts ar skaidrojumu par nodevas ieviešanas pamatojumu u.tml. </w:t>
            </w:r>
          </w:p>
          <w:p w14:paraId="6C94F3FC" w14:textId="77777777" w:rsidR="0018741C" w:rsidRPr="006E66AB" w:rsidRDefault="0018741C" w:rsidP="0018741C">
            <w:pPr>
              <w:tabs>
                <w:tab w:val="left" w:pos="7926"/>
              </w:tabs>
              <w:jc w:val="both"/>
              <w:rPr>
                <w:sz w:val="22"/>
                <w:szCs w:val="22"/>
              </w:rPr>
            </w:pPr>
          </w:p>
          <w:p w14:paraId="2960FD90" w14:textId="77777777" w:rsidR="0018741C" w:rsidRPr="006E66AB" w:rsidRDefault="0018741C" w:rsidP="0018741C">
            <w:pPr>
              <w:tabs>
                <w:tab w:val="left" w:pos="7926"/>
              </w:tabs>
              <w:jc w:val="both"/>
              <w:rPr>
                <w:sz w:val="22"/>
                <w:szCs w:val="22"/>
              </w:rPr>
            </w:pPr>
            <w:r w:rsidRPr="006E66AB">
              <w:rPr>
                <w:sz w:val="22"/>
                <w:szCs w:val="22"/>
              </w:rPr>
              <w:lastRenderedPageBreak/>
              <w:t xml:space="preserve">Augstāk minētais skaidrojums par regulējuma iedarbību laikā iekļauts anotācijas II sadaļas 5.punktā. Ņemot vērā, ka nav zināmi pasākumu ieviešanas termiņi un kādā apmērā tie tiks ieviesti nav pamata vērtēt tos pirms to ieviešanas. Vienlaikus norādām, ka </w:t>
            </w:r>
            <w:proofErr w:type="spellStart"/>
            <w:r w:rsidRPr="006E66AB">
              <w:rPr>
                <w:sz w:val="22"/>
                <w:szCs w:val="22"/>
              </w:rPr>
              <w:t>Satversmības</w:t>
            </w:r>
            <w:proofErr w:type="spellEnd"/>
            <w:r w:rsidRPr="006E66AB">
              <w:rPr>
                <w:sz w:val="22"/>
                <w:szCs w:val="22"/>
              </w:rPr>
              <w:t xml:space="preserve"> testu var piemērot tikai attiecībā uz esošu regulējumu. </w:t>
            </w:r>
          </w:p>
          <w:p w14:paraId="08EC5043" w14:textId="77777777" w:rsidR="0018741C" w:rsidRPr="006E66AB" w:rsidRDefault="0018741C" w:rsidP="0018741C">
            <w:pPr>
              <w:tabs>
                <w:tab w:val="left" w:pos="7926"/>
              </w:tabs>
              <w:jc w:val="both"/>
              <w:rPr>
                <w:sz w:val="22"/>
                <w:szCs w:val="22"/>
              </w:rPr>
            </w:pPr>
          </w:p>
          <w:p w14:paraId="6CCFD0BC" w14:textId="77777777" w:rsidR="0018741C" w:rsidRPr="006E66AB" w:rsidRDefault="0018741C" w:rsidP="0018741C">
            <w:pPr>
              <w:tabs>
                <w:tab w:val="left" w:pos="7926"/>
              </w:tabs>
              <w:jc w:val="both"/>
              <w:rPr>
                <w:sz w:val="22"/>
                <w:szCs w:val="22"/>
              </w:rPr>
            </w:pPr>
            <w:r w:rsidRPr="006E66AB">
              <w:rPr>
                <w:sz w:val="22"/>
                <w:szCs w:val="22"/>
              </w:rPr>
              <w:t xml:space="preserve">Papildus jānorāda, ka valsts atbalsta sistēmas darbības regulēšanas nodevas ieviešana paredzēta ar 2020.gadu. Likumprojekta "Grozījumi Elektroenerģijas tirgus likumā" (Nr. 77/Lp13) izskatīšana Saeimā ir uzsākta 2018.gada nogalē un bez nodevas ieviešanas likumprojekts paredz virkni citu likumdošanas izmaiņu, tādējādi pastāv risks, ka attiecīgais likumprojekts vispār netiks pieņemts, vai netiks pieņemts termiņā, kādā ir nepieciešams finansējums pasākumu ieviešanai. Ņemot vērā, ka </w:t>
            </w:r>
          </w:p>
          <w:p w14:paraId="7B87B78D" w14:textId="77777777" w:rsidR="0018741C" w:rsidRPr="006E66AB" w:rsidRDefault="0018741C" w:rsidP="0018741C">
            <w:pPr>
              <w:tabs>
                <w:tab w:val="left" w:pos="7926"/>
              </w:tabs>
              <w:jc w:val="both"/>
              <w:rPr>
                <w:sz w:val="22"/>
                <w:szCs w:val="22"/>
              </w:rPr>
            </w:pPr>
            <w:r w:rsidRPr="006E66AB">
              <w:rPr>
                <w:sz w:val="22"/>
                <w:szCs w:val="22"/>
              </w:rPr>
              <w:t xml:space="preserve">ieņēmumi no nodevas būs daļa no 2020.gada budžeta, tad būtiski to ieļaut arī 2020.gada budžeta ietvarā. </w:t>
            </w:r>
          </w:p>
          <w:p w14:paraId="0D397974" w14:textId="77777777" w:rsidR="0018741C" w:rsidRPr="006E66AB" w:rsidRDefault="0018741C" w:rsidP="0018741C">
            <w:pPr>
              <w:pStyle w:val="naisc"/>
              <w:spacing w:before="0" w:after="0"/>
              <w:rPr>
                <w:b/>
                <w:sz w:val="22"/>
                <w:szCs w:val="22"/>
              </w:rPr>
            </w:pPr>
          </w:p>
        </w:tc>
        <w:tc>
          <w:tcPr>
            <w:tcW w:w="410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325C8DD" w14:textId="77777777" w:rsidR="0018741C" w:rsidRPr="006E66AB" w:rsidRDefault="0018741C" w:rsidP="0018741C">
            <w:pPr>
              <w:tabs>
                <w:tab w:val="left" w:pos="1134"/>
              </w:tabs>
              <w:jc w:val="both"/>
              <w:rPr>
                <w:sz w:val="22"/>
                <w:szCs w:val="22"/>
                <w:u w:val="single"/>
              </w:rPr>
            </w:pPr>
            <w:r w:rsidRPr="006E66AB">
              <w:rPr>
                <w:sz w:val="22"/>
                <w:szCs w:val="22"/>
                <w:u w:val="single"/>
              </w:rPr>
              <w:lastRenderedPageBreak/>
              <w:t>Anotācijas I sadaļas 2.punkts papildināts šādā redakcijā:</w:t>
            </w:r>
          </w:p>
          <w:p w14:paraId="7B979B53" w14:textId="77777777" w:rsidR="0018741C" w:rsidRPr="006E66AB" w:rsidRDefault="0018741C" w:rsidP="0018741C">
            <w:pPr>
              <w:tabs>
                <w:tab w:val="left" w:pos="1134"/>
              </w:tabs>
              <w:jc w:val="both"/>
              <w:rPr>
                <w:sz w:val="22"/>
                <w:szCs w:val="22"/>
              </w:rPr>
            </w:pPr>
            <w:r w:rsidRPr="006E66AB">
              <w:rPr>
                <w:sz w:val="22"/>
                <w:szCs w:val="22"/>
              </w:rPr>
              <w:t xml:space="preserve">“Enerģētikas nozares valsts atbalsta sistēmas darbības regulēšanas nodevas mērķis ir nodrošināt valsts atbalsta sistēmas elektroenerģijas ražošanai obligātā iepirkuma ietvaros vai garantētās maksas saņemšanai kontroles un uzraudzības efektīvu un pilnvērtīgu darbību. Nodevas likme tiek noteikta, ņemot vērā aprēķinātās nepieciešamās kopējās kontroles un uzraudzības izmaksas (Ekonomikas ministrija un Būvniecības valsts kontroles birojs ir aprēķinājuši, ka esošajā situācijā efektīvas un pastāvīgas kontroles un uzraudzības nodrošināšanai ir nepieciešami līdz 450 </w:t>
            </w:r>
            <w:proofErr w:type="spellStart"/>
            <w:r w:rsidRPr="006E66AB">
              <w:rPr>
                <w:sz w:val="22"/>
                <w:szCs w:val="22"/>
              </w:rPr>
              <w:t>tūkst.euro</w:t>
            </w:r>
            <w:proofErr w:type="spellEnd"/>
            <w:r w:rsidRPr="006E66AB">
              <w:rPr>
                <w:sz w:val="22"/>
                <w:szCs w:val="22"/>
              </w:rPr>
              <w:t xml:space="preserve"> ikgadēji), tāpēc tā tiek piemērota proporcionāli visiem sistēmas dalībniekiem, ievērojot to dalības apjomu valsts atbalsta sistēmā.</w:t>
            </w:r>
          </w:p>
          <w:p w14:paraId="022EC594" w14:textId="77777777" w:rsidR="0018741C" w:rsidRPr="006E66AB" w:rsidRDefault="0018741C" w:rsidP="0018741C">
            <w:pPr>
              <w:tabs>
                <w:tab w:val="left" w:pos="1134"/>
              </w:tabs>
              <w:jc w:val="both"/>
              <w:rPr>
                <w:sz w:val="22"/>
                <w:szCs w:val="22"/>
              </w:rPr>
            </w:pPr>
            <w:r w:rsidRPr="006E66AB">
              <w:rPr>
                <w:sz w:val="22"/>
                <w:szCs w:val="22"/>
              </w:rPr>
              <w:t xml:space="preserve">Tāpat nodevas piemērošana turpmāk arī palīdzēs uzlabot valsts atbalsta sistēmu un uzlabos turpmāko uzraudzības darbību kvalitāti. Nodevas maksātāji segs kontroļu un uzraudzības darbību izmaksas, tādējādi tie būs </w:t>
            </w:r>
            <w:proofErr w:type="spellStart"/>
            <w:r w:rsidRPr="006E66AB">
              <w:rPr>
                <w:sz w:val="22"/>
                <w:szCs w:val="22"/>
              </w:rPr>
              <w:t>vispusēji</w:t>
            </w:r>
            <w:proofErr w:type="spellEnd"/>
            <w:r w:rsidRPr="006E66AB">
              <w:rPr>
                <w:sz w:val="22"/>
                <w:szCs w:val="22"/>
              </w:rPr>
              <w:t xml:space="preserve"> iesaistīti uzraudzības procesa īstenošanā, kas savukārt veicinās valsts atbalsta uzraudzības procesa pilnveidošanos.</w:t>
            </w:r>
          </w:p>
          <w:p w14:paraId="575E6D25" w14:textId="77777777" w:rsidR="0018741C" w:rsidRPr="006E66AB" w:rsidRDefault="0018741C" w:rsidP="0018741C">
            <w:pPr>
              <w:tabs>
                <w:tab w:val="left" w:pos="1134"/>
              </w:tabs>
              <w:jc w:val="both"/>
              <w:rPr>
                <w:sz w:val="22"/>
                <w:szCs w:val="22"/>
              </w:rPr>
            </w:pPr>
            <w:r w:rsidRPr="006E66AB">
              <w:rPr>
                <w:sz w:val="22"/>
                <w:szCs w:val="22"/>
              </w:rPr>
              <w:t>Ņemot vērā konstatētās nepilnības elektroenerģijas ražotāju, kas saņem valsts atbalstu, darbībā</w:t>
            </w:r>
            <w:r w:rsidRPr="006E66AB">
              <w:rPr>
                <w:rStyle w:val="FootnoteReference"/>
                <w:sz w:val="22"/>
                <w:szCs w:val="22"/>
              </w:rPr>
              <w:footnoteReference w:id="1"/>
            </w:r>
            <w:r w:rsidRPr="006E66AB">
              <w:rPr>
                <w:sz w:val="22"/>
                <w:szCs w:val="22"/>
              </w:rPr>
              <w:t xml:space="preserve">, normatīvajos aktos ir </w:t>
            </w:r>
            <w:r w:rsidRPr="006E66AB">
              <w:rPr>
                <w:sz w:val="22"/>
                <w:szCs w:val="22"/>
              </w:rPr>
              <w:lastRenderedPageBreak/>
              <w:t>paredzēts ieviest papildu valsts atbalsta kontroles mehānismus un pastiprināt jau esošos. Lai nodrošinātu minētajiem pasākumiem nepieciešamo finansējumu, tiek ieviesta nodeva, ar kuru tiks segtas valstij radušās kontroles mehānisma izmaksas. Tā kā atbilstoši Elektroenerģijas tirgus likumam elektroenerģijas ražotājam ir izvēles tiesības, vai saražoto elektroenerģiju pārdot par tirgus cenu vai pārdot to obligātā iepirkuma ietvaros, ražotājs var arī izvēlēties, vai saņemt valsts atbalstu. Izvēloties saņemt valsts atbalstu, komersantam būtu jāsedz arī izmaksas, kas rodas valstij uzturot sistēmu valsts atbalstam.</w:t>
            </w:r>
          </w:p>
          <w:p w14:paraId="5C8E0EFE" w14:textId="77777777" w:rsidR="0018741C" w:rsidRPr="006E66AB" w:rsidRDefault="0018741C" w:rsidP="0018741C">
            <w:pPr>
              <w:tabs>
                <w:tab w:val="left" w:pos="1134"/>
              </w:tabs>
              <w:jc w:val="both"/>
              <w:rPr>
                <w:sz w:val="22"/>
                <w:szCs w:val="22"/>
              </w:rPr>
            </w:pPr>
            <w:r w:rsidRPr="006E66AB">
              <w:rPr>
                <w:sz w:val="22"/>
                <w:szCs w:val="22"/>
              </w:rPr>
              <w:t>Ieguvums no pastiprinātas valsts atbalsta saņēmēju kontroles veikšanas būs valsts atbalsta efektīva izmantošana un atsevišķos gadījumos, iespējams, arī valsts atbalsta kopējo izmaksu samazināšanās.</w:t>
            </w:r>
          </w:p>
          <w:p w14:paraId="50E1FBFE" w14:textId="77777777" w:rsidR="0018741C" w:rsidRPr="006E66AB" w:rsidRDefault="0018741C" w:rsidP="0018741C">
            <w:pPr>
              <w:tabs>
                <w:tab w:val="left" w:pos="1134"/>
              </w:tabs>
              <w:jc w:val="both"/>
              <w:rPr>
                <w:sz w:val="22"/>
                <w:szCs w:val="22"/>
              </w:rPr>
            </w:pPr>
            <w:r w:rsidRPr="006E66AB">
              <w:rPr>
                <w:sz w:val="22"/>
                <w:szCs w:val="22"/>
              </w:rPr>
              <w:t xml:space="preserve">Alternatīvs variants nodevas ieviešanai ir šo izmaksu iekļaušana elektroenerģijas obligātā iepirkuma komponentē, ko segtu visi elektroenerģijas lietotāji. Izvērtējot minēto risinājumu, tika secināts, ka tas palielinātu elektroenerģijas lietotāju izmaksas. Turklāt elektroenerģijas lietotāji jau tā sedz atbalsta saņēmējiem izmaksātā atbalsta izmaksas. Ņemot vērā minēto, tika izvēlēts risinājums par nodevas piemērošana elektroenerģijas ražotājiem. </w:t>
            </w:r>
          </w:p>
          <w:p w14:paraId="088D1153" w14:textId="77777777" w:rsidR="0018741C" w:rsidRPr="006E66AB" w:rsidRDefault="0018741C" w:rsidP="0018741C">
            <w:pPr>
              <w:tabs>
                <w:tab w:val="left" w:pos="1134"/>
              </w:tabs>
              <w:jc w:val="both"/>
              <w:rPr>
                <w:sz w:val="22"/>
                <w:szCs w:val="22"/>
              </w:rPr>
            </w:pPr>
          </w:p>
          <w:p w14:paraId="26DE4CA9" w14:textId="77777777" w:rsidR="0018741C" w:rsidRPr="006E66AB" w:rsidRDefault="0018741C" w:rsidP="0018741C">
            <w:pPr>
              <w:tabs>
                <w:tab w:val="left" w:pos="1134"/>
              </w:tabs>
              <w:jc w:val="both"/>
              <w:rPr>
                <w:sz w:val="22"/>
                <w:szCs w:val="22"/>
              </w:rPr>
            </w:pPr>
          </w:p>
          <w:p w14:paraId="392FA904" w14:textId="77777777" w:rsidR="0018741C" w:rsidRPr="006E66AB" w:rsidRDefault="0018741C" w:rsidP="0018741C">
            <w:pPr>
              <w:tabs>
                <w:tab w:val="left" w:pos="1134"/>
              </w:tabs>
              <w:jc w:val="both"/>
              <w:rPr>
                <w:sz w:val="22"/>
                <w:szCs w:val="22"/>
              </w:rPr>
            </w:pPr>
            <w:r w:rsidRPr="006E66AB">
              <w:rPr>
                <w:sz w:val="22"/>
                <w:szCs w:val="22"/>
              </w:rPr>
              <w:t xml:space="preserve">Vidējais aprēķinātais nodevas apjoms nepārsniedz 0,3% no izmaksātā valsts atbalsta apjoma gadā. Saskaņā ar provizoriskajiem aprēķiniem nodevas īpatsvars no komersantam izmaksātā valsts atbalsta lielākajā daļā gadījumu nepārsniegs 1,3% no izmaksātā </w:t>
            </w:r>
            <w:r w:rsidRPr="006E66AB">
              <w:rPr>
                <w:sz w:val="22"/>
                <w:szCs w:val="22"/>
              </w:rPr>
              <w:lastRenderedPageBreak/>
              <w:t xml:space="preserve">valsts atbalsta apjoma gadā. Paredzams, ka 1,3% īpatsvaru nodevas apjoms varētu pārsniegt tikai septiņiem no vairāk kā 300  elektroenerģijas ražotājiem. Turklāt šis īpatsvars ir mazāks, ja to attiecina pret visu elektroenerģijas ražotājam izmaksāto summu par iepirkto elektroenerģiju. </w:t>
            </w:r>
          </w:p>
          <w:p w14:paraId="7473CC13" w14:textId="77777777" w:rsidR="0018741C" w:rsidRPr="006E66AB" w:rsidRDefault="0018741C" w:rsidP="0018741C">
            <w:pPr>
              <w:tabs>
                <w:tab w:val="left" w:pos="1134"/>
              </w:tabs>
              <w:jc w:val="both"/>
              <w:rPr>
                <w:sz w:val="22"/>
                <w:szCs w:val="22"/>
              </w:rPr>
            </w:pPr>
            <w:r w:rsidRPr="006E66AB">
              <w:rPr>
                <w:sz w:val="22"/>
                <w:szCs w:val="22"/>
              </w:rPr>
              <w:t xml:space="preserve">Atbilstoši aprēķiniem nodevas apjoms varētu pārsniegt 2000 </w:t>
            </w:r>
            <w:r w:rsidRPr="006E66AB">
              <w:rPr>
                <w:i/>
                <w:iCs/>
                <w:sz w:val="22"/>
                <w:szCs w:val="22"/>
              </w:rPr>
              <w:t>euro</w:t>
            </w:r>
            <w:r w:rsidRPr="006E66AB">
              <w:rPr>
                <w:sz w:val="22"/>
                <w:szCs w:val="22"/>
              </w:rPr>
              <w:t xml:space="preserve"> 10 no vairāk kā 300 komersantiem, kuriem tiks piemērota enerģētikas nozares valsts atbalsta sistēmas darbības regulēšanas nodeva.</w:t>
            </w:r>
          </w:p>
          <w:p w14:paraId="1968FC00" w14:textId="77777777" w:rsidR="0018741C" w:rsidRPr="006E66AB" w:rsidRDefault="0018741C" w:rsidP="0018741C">
            <w:pPr>
              <w:tabs>
                <w:tab w:val="left" w:pos="1134"/>
              </w:tabs>
              <w:jc w:val="both"/>
              <w:rPr>
                <w:sz w:val="22"/>
                <w:szCs w:val="22"/>
              </w:rPr>
            </w:pPr>
            <w:r w:rsidRPr="006E66AB">
              <w:rPr>
                <w:sz w:val="22"/>
                <w:szCs w:val="22"/>
              </w:rPr>
              <w:t xml:space="preserve">Ņemot vērā minēto, secināms, ka  enerģētikas nozares valsts atbalsta sistēmas darbības regulēšanas nodevas apmērs un īpatsvars pret izmaksāto valsts atbalstu ir samērīgs un būtiski neietekmēs nodevas maksātāju saimniecisko darbību. Ņemot vērā minēto  nodevas ieviešana atbilst Satversmes 105.pantam.  Turklāt, ņemot vērā nodevas apmēru un potenciālo ietekmi uz nodevas maksātājiem, šāda nodeva ir uzskatāma par samērīgu salīdzinājumā ar ieguvumu, ko iegūs sabiedrība no pastiprinātas valsts atbalsta sistēmas kontroles un nepamatoti izmaksāto atbalsta maksājumu samazināšanas. Ņemot vērā arī salīdzinoši nelielo nodevas apmēru normatīvajā aktā netika paredzēts pārejas periods. </w:t>
            </w:r>
          </w:p>
          <w:p w14:paraId="6B9852A8" w14:textId="77777777" w:rsidR="0018741C" w:rsidRPr="006E66AB" w:rsidRDefault="0018741C" w:rsidP="0018741C">
            <w:pPr>
              <w:tabs>
                <w:tab w:val="left" w:pos="1134"/>
              </w:tabs>
              <w:jc w:val="both"/>
              <w:rPr>
                <w:sz w:val="22"/>
                <w:szCs w:val="22"/>
              </w:rPr>
            </w:pPr>
          </w:p>
          <w:p w14:paraId="4DA7DBE2" w14:textId="77777777" w:rsidR="0018741C" w:rsidRPr="006E66AB" w:rsidRDefault="0018741C" w:rsidP="0018741C">
            <w:pPr>
              <w:tabs>
                <w:tab w:val="left" w:pos="1134"/>
              </w:tabs>
              <w:jc w:val="both"/>
              <w:rPr>
                <w:sz w:val="22"/>
                <w:szCs w:val="22"/>
              </w:rPr>
            </w:pPr>
            <w:r w:rsidRPr="006E66AB">
              <w:rPr>
                <w:sz w:val="22"/>
                <w:szCs w:val="22"/>
              </w:rPr>
              <w:t xml:space="preserve">Anotācijas II sadaļas 5.punkts papildināts šādā redakcijā: “Enerģētikas nozares valsts atbalsta sistēmas darbības regulēšanas nodevas ieviešana ir viens no informatīvā ziņojuma rīcības virziena “Efektīva valsts atbalsta sistēmas kontrole” pasākumiem.  Kā tas norādīts arī informatīvā ziņojuma Ievada daļā pasākumi rīcības virzienu ietvaros īstenojami, </w:t>
            </w:r>
            <w:r w:rsidRPr="006E66AB">
              <w:rPr>
                <w:sz w:val="22"/>
                <w:szCs w:val="22"/>
              </w:rPr>
              <w:lastRenderedPageBreak/>
              <w:t>vērtējot to ietekmju kopsakarības un, izvērtējams, vai veicot normatīvo aktu grozījumus, lai ieviestu šos pasākumus, vai kopsakarā ar citiem ieviešamajiem pasākumiem to raksturs kopumā ir atturošs un efektīvs un tie nav nesamērīgi. Ņemot vērā, ka pasākumu ieviešana nav paredzēta vienlaicīga, kā arī to, ka attiecīgajām izmaiņām iespējams piemērot pārejas periodus, katra jauna ierobežojuma  vai prasību ieviešana vērtējama kontekstā ar līdz šim īstenotajiem pasākumiem. Enerģētikas nozares valsts atbalsta sistēmas darbības regulēšanas nodevas ieviešana ir pirmais no Ministru kabinetā izskatāmajiem jautājumiem, kas izriet no informatīvajā ziņojumā norādītā plāna, attiecīgi tā šobrīd nebūtu vērtējama kontekstā ar citiem plānotajiem pasākumiem, kas var arī netikt ieviesti.”</w:t>
            </w:r>
          </w:p>
          <w:p w14:paraId="70F5067E" w14:textId="77777777" w:rsidR="0018741C" w:rsidRPr="006E66AB" w:rsidRDefault="0018741C" w:rsidP="0018741C">
            <w:pPr>
              <w:tabs>
                <w:tab w:val="left" w:pos="209"/>
              </w:tabs>
              <w:jc w:val="both"/>
              <w:outlineLvl w:val="3"/>
              <w:rPr>
                <w:sz w:val="22"/>
                <w:szCs w:val="22"/>
              </w:rPr>
            </w:pPr>
          </w:p>
        </w:tc>
      </w:tr>
      <w:tr w:rsidR="0018741C" w:rsidRPr="006E66AB" w14:paraId="55393840" w14:textId="77777777" w:rsidTr="0018741C">
        <w:trPr>
          <w:trHeight w:val="306"/>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70513D77" w14:textId="0C2A7510" w:rsidR="0018741C" w:rsidRPr="006E66AB" w:rsidRDefault="0018741C" w:rsidP="0018741C">
            <w:pPr>
              <w:pStyle w:val="naisc"/>
              <w:spacing w:before="0" w:after="0"/>
              <w:rPr>
                <w:sz w:val="22"/>
                <w:szCs w:val="22"/>
              </w:rPr>
            </w:pPr>
            <w:r w:rsidRPr="006E66AB">
              <w:rPr>
                <w:sz w:val="22"/>
                <w:szCs w:val="22"/>
              </w:rPr>
              <w:lastRenderedPageBreak/>
              <w:t>7.</w:t>
            </w:r>
          </w:p>
        </w:tc>
        <w:tc>
          <w:tcPr>
            <w:tcW w:w="2221"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77AFF810" w14:textId="4945F497" w:rsidR="0018741C" w:rsidRPr="006E66AB" w:rsidRDefault="0018741C" w:rsidP="0018741C">
            <w:pPr>
              <w:jc w:val="both"/>
              <w:rPr>
                <w:sz w:val="22"/>
                <w:szCs w:val="22"/>
              </w:rPr>
            </w:pPr>
            <w:r w:rsidRPr="006E66AB">
              <w:rPr>
                <w:sz w:val="22"/>
                <w:szCs w:val="22"/>
              </w:rPr>
              <w:t>Likumprojekta anotācija</w:t>
            </w:r>
          </w:p>
        </w:tc>
        <w:tc>
          <w:tcPr>
            <w:tcW w:w="4820"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1BC524EB" w14:textId="77777777" w:rsidR="0018741C" w:rsidRPr="006E66AB" w:rsidRDefault="0018741C" w:rsidP="0018741C">
            <w:pPr>
              <w:pStyle w:val="ListParagraph"/>
              <w:spacing w:after="0" w:line="240" w:lineRule="auto"/>
              <w:ind w:left="0"/>
              <w:contextualSpacing w:val="0"/>
              <w:jc w:val="both"/>
              <w:rPr>
                <w:rFonts w:ascii="Times New Roman" w:hAnsi="Times New Roman"/>
                <w:b/>
                <w:bCs/>
                <w:color w:val="0D0D0D" w:themeColor="text1" w:themeTint="F2"/>
              </w:rPr>
            </w:pPr>
            <w:r w:rsidRPr="006E66AB">
              <w:rPr>
                <w:rFonts w:ascii="Times New Roman" w:hAnsi="Times New Roman"/>
                <w:b/>
                <w:bCs/>
                <w:color w:val="0D0D0D" w:themeColor="text1" w:themeTint="F2"/>
              </w:rPr>
              <w:t>Finanšu ministrija (05.09.2019)</w:t>
            </w:r>
          </w:p>
          <w:p w14:paraId="7525F999" w14:textId="77777777" w:rsidR="0018741C" w:rsidRPr="006E66AB" w:rsidRDefault="0018741C" w:rsidP="0018741C">
            <w:pPr>
              <w:pStyle w:val="ListParagraph"/>
              <w:spacing w:after="0" w:line="240" w:lineRule="auto"/>
              <w:ind w:left="0"/>
              <w:contextualSpacing w:val="0"/>
              <w:jc w:val="both"/>
              <w:rPr>
                <w:rFonts w:ascii="Times New Roman" w:hAnsi="Times New Roman"/>
                <w:color w:val="0D0D0D" w:themeColor="text1" w:themeTint="F2"/>
              </w:rPr>
            </w:pPr>
          </w:p>
          <w:p w14:paraId="34CC6524" w14:textId="4CE5658E" w:rsidR="0018741C" w:rsidRPr="006E66AB" w:rsidRDefault="0018741C" w:rsidP="0018741C">
            <w:pPr>
              <w:jc w:val="both"/>
              <w:rPr>
                <w:b/>
                <w:bCs/>
                <w:sz w:val="22"/>
                <w:szCs w:val="22"/>
              </w:rPr>
            </w:pPr>
            <w:r w:rsidRPr="006E66AB">
              <w:rPr>
                <w:color w:val="0D0D0D" w:themeColor="text1" w:themeTint="F2"/>
                <w:sz w:val="22"/>
                <w:szCs w:val="22"/>
              </w:rPr>
              <w:t>2.1. Ņemot vērā, ka likumprojekta 31.1 pants paredz enerģētikas nozares valsts atbalsta sistēmas darbības regulēšanas nodevu, lūdzam likumprojekta anotācijā iekļaut informāciju, skaidrojot nodevas sistēmas loģiku un apmēru, kā tika lemts 2019.gada 2.jūlija Tautsaimniecības, agrārās, vides un reģionālās politikas komisijas sēdē, izskatot jautājumus likumprojekta sagatavošanai otrajam lasījumam.</w:t>
            </w:r>
          </w:p>
        </w:tc>
        <w:tc>
          <w:tcPr>
            <w:tcW w:w="3260"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775E5E9" w14:textId="77777777" w:rsidR="0018741C" w:rsidRPr="006E66AB" w:rsidRDefault="0018741C" w:rsidP="0018741C">
            <w:pPr>
              <w:pStyle w:val="naisc"/>
              <w:spacing w:before="0" w:after="0"/>
              <w:rPr>
                <w:b/>
                <w:sz w:val="22"/>
                <w:szCs w:val="22"/>
              </w:rPr>
            </w:pPr>
            <w:r w:rsidRPr="006E66AB">
              <w:rPr>
                <w:b/>
                <w:sz w:val="22"/>
                <w:szCs w:val="22"/>
              </w:rPr>
              <w:t>Ņemts vērā</w:t>
            </w:r>
          </w:p>
          <w:p w14:paraId="2050DC23" w14:textId="77777777" w:rsidR="0018741C" w:rsidRPr="006E66AB" w:rsidRDefault="0018741C" w:rsidP="0018741C">
            <w:pPr>
              <w:jc w:val="both"/>
              <w:rPr>
                <w:b/>
                <w:bCs/>
                <w:sz w:val="22"/>
                <w:szCs w:val="22"/>
              </w:rPr>
            </w:pPr>
          </w:p>
        </w:tc>
        <w:tc>
          <w:tcPr>
            <w:tcW w:w="410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101CFA6" w14:textId="77777777" w:rsidR="0018741C" w:rsidRPr="006E66AB" w:rsidRDefault="0018741C" w:rsidP="0018741C">
            <w:pPr>
              <w:pStyle w:val="NoSpacing"/>
              <w:spacing w:before="120" w:after="120"/>
              <w:jc w:val="both"/>
              <w:rPr>
                <w:sz w:val="22"/>
                <w:szCs w:val="22"/>
                <w:u w:val="single"/>
                <w:lang w:val="lv-LV"/>
              </w:rPr>
            </w:pPr>
            <w:r w:rsidRPr="006E66AB">
              <w:rPr>
                <w:sz w:val="22"/>
                <w:szCs w:val="22"/>
                <w:u w:val="single"/>
                <w:lang w:val="lv-LV"/>
              </w:rPr>
              <w:t>Anotācijas I sadaļas 2.punkts papildināts šādā redakcijā:</w:t>
            </w:r>
          </w:p>
          <w:p w14:paraId="5D87C907" w14:textId="77777777" w:rsidR="0018741C" w:rsidRPr="006E66AB" w:rsidRDefault="0018741C" w:rsidP="0018741C">
            <w:pPr>
              <w:pStyle w:val="NoSpacing"/>
              <w:spacing w:before="120" w:after="120"/>
              <w:jc w:val="both"/>
              <w:rPr>
                <w:sz w:val="22"/>
                <w:szCs w:val="22"/>
                <w:lang w:val="lv-LV"/>
              </w:rPr>
            </w:pPr>
            <w:r w:rsidRPr="006E66AB">
              <w:rPr>
                <w:sz w:val="22"/>
                <w:szCs w:val="22"/>
                <w:lang w:val="lv-LV"/>
              </w:rPr>
              <w:t xml:space="preserve">“..Enerģētikas nozares valsts atbalsta sistēmas darbības regulēšanas nodevas mērķis ir nodrošināt valsts atbalsta sistēmas elektroenerģijas ražošanai obligātā iepirkuma ietvaros vai garantētās maksas saņemšanai kontroles un uzraudzības efektīvu un pilnvērtīgu darbību. Nodevas likme tiek noteikta, ņemot vērā aprēķinātās nepieciešamās kopējās kontroles un uzraudzības izmaksas (Ekonomikas ministrija un Būvniecības valsts kontroles birojs ir aprēķinājuši, ka esošajā situācijā efektīvas un pastāvīgas kontroles un uzraudzības nodrošināšanai ir nepieciešami līdz 450 </w:t>
            </w:r>
            <w:proofErr w:type="spellStart"/>
            <w:r w:rsidRPr="006E66AB">
              <w:rPr>
                <w:sz w:val="22"/>
                <w:szCs w:val="22"/>
                <w:lang w:val="lv-LV"/>
              </w:rPr>
              <w:t>tūkst.euro</w:t>
            </w:r>
            <w:proofErr w:type="spellEnd"/>
            <w:r w:rsidRPr="006E66AB">
              <w:rPr>
                <w:sz w:val="22"/>
                <w:szCs w:val="22"/>
                <w:lang w:val="lv-LV"/>
              </w:rPr>
              <w:t xml:space="preserve"> ikgadēji), tāpēc tā tiek piemērota </w:t>
            </w:r>
            <w:r w:rsidRPr="006E66AB">
              <w:rPr>
                <w:sz w:val="22"/>
                <w:szCs w:val="22"/>
                <w:lang w:val="lv-LV"/>
              </w:rPr>
              <w:lastRenderedPageBreak/>
              <w:t>proporcionāli visiem sistēmas dalībniekiem, ievērojot to dalības apjomu valsts atbalsta sistēmā.</w:t>
            </w:r>
          </w:p>
          <w:p w14:paraId="5919FE2F" w14:textId="3D37F473" w:rsidR="0018741C" w:rsidRPr="006E66AB" w:rsidRDefault="0018741C" w:rsidP="0018741C">
            <w:pPr>
              <w:tabs>
                <w:tab w:val="left" w:pos="1134"/>
              </w:tabs>
              <w:jc w:val="both"/>
              <w:rPr>
                <w:sz w:val="22"/>
                <w:szCs w:val="22"/>
                <w:u w:val="single"/>
              </w:rPr>
            </w:pPr>
            <w:r w:rsidRPr="006E66AB">
              <w:rPr>
                <w:sz w:val="22"/>
                <w:szCs w:val="22"/>
              </w:rPr>
              <w:t xml:space="preserve">Tāpat nodevas piemērošana turpmāk arī palīdzēs uzlabot valsts atbalsta sistēmu un uzlabos turpmāko uzraudzības darbību kvalitāti. Nodevas maksātāji segs kontroļu un uzraudzības darbību izmaksas, tādējādi tie būs </w:t>
            </w:r>
            <w:proofErr w:type="spellStart"/>
            <w:r w:rsidRPr="006E66AB">
              <w:rPr>
                <w:sz w:val="22"/>
                <w:szCs w:val="22"/>
              </w:rPr>
              <w:t>vispusēji</w:t>
            </w:r>
            <w:proofErr w:type="spellEnd"/>
            <w:r w:rsidRPr="006E66AB">
              <w:rPr>
                <w:sz w:val="22"/>
                <w:szCs w:val="22"/>
              </w:rPr>
              <w:t xml:space="preserve"> iesaistīti uzraudzības procesa īstenošanā, kas savukārt veicinās valsts atbalsta uzraudzības procesa pilnveidošanos…”</w:t>
            </w:r>
          </w:p>
        </w:tc>
      </w:tr>
      <w:tr w:rsidR="0018741C" w:rsidRPr="006E66AB" w14:paraId="1096769D" w14:textId="77777777" w:rsidTr="0018741C">
        <w:trPr>
          <w:trHeight w:val="306"/>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494A2AFA" w14:textId="5FA1A7CD" w:rsidR="0018741C" w:rsidRPr="006E66AB" w:rsidRDefault="0018741C" w:rsidP="0018741C">
            <w:pPr>
              <w:pStyle w:val="naisc"/>
              <w:spacing w:before="0" w:after="0"/>
              <w:rPr>
                <w:sz w:val="22"/>
                <w:szCs w:val="22"/>
              </w:rPr>
            </w:pPr>
            <w:r w:rsidRPr="006E66AB">
              <w:rPr>
                <w:sz w:val="22"/>
                <w:szCs w:val="22"/>
              </w:rPr>
              <w:lastRenderedPageBreak/>
              <w:t>8.</w:t>
            </w:r>
          </w:p>
        </w:tc>
        <w:tc>
          <w:tcPr>
            <w:tcW w:w="2221"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D5F83D3" w14:textId="1C83DA4E" w:rsidR="0018741C" w:rsidRPr="006E66AB" w:rsidRDefault="0018741C" w:rsidP="0018741C">
            <w:pPr>
              <w:jc w:val="both"/>
              <w:rPr>
                <w:sz w:val="22"/>
                <w:szCs w:val="22"/>
              </w:rPr>
            </w:pPr>
            <w:r w:rsidRPr="006E66AB">
              <w:rPr>
                <w:sz w:val="22"/>
                <w:szCs w:val="22"/>
              </w:rPr>
              <w:t>Likumprojekta anotācijas III sadaļas 6.punkts</w:t>
            </w:r>
          </w:p>
        </w:tc>
        <w:tc>
          <w:tcPr>
            <w:tcW w:w="4820"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095AB2BD" w14:textId="77777777" w:rsidR="0018741C" w:rsidRPr="006E66AB" w:rsidRDefault="0018741C" w:rsidP="0018741C">
            <w:pPr>
              <w:pStyle w:val="ListParagraph"/>
              <w:spacing w:after="0" w:line="240" w:lineRule="auto"/>
              <w:ind w:left="0"/>
              <w:contextualSpacing w:val="0"/>
              <w:jc w:val="both"/>
              <w:rPr>
                <w:rFonts w:ascii="Times New Roman" w:hAnsi="Times New Roman"/>
                <w:b/>
                <w:bCs/>
                <w:color w:val="0D0D0D" w:themeColor="text1" w:themeTint="F2"/>
              </w:rPr>
            </w:pPr>
            <w:r w:rsidRPr="006E66AB">
              <w:rPr>
                <w:rFonts w:ascii="Times New Roman" w:hAnsi="Times New Roman"/>
                <w:b/>
                <w:bCs/>
                <w:color w:val="0D0D0D" w:themeColor="text1" w:themeTint="F2"/>
              </w:rPr>
              <w:t>Finanšu ministrija (05.09.2019)</w:t>
            </w:r>
          </w:p>
          <w:p w14:paraId="7787AC50" w14:textId="77777777" w:rsidR="0018741C" w:rsidRPr="006E66AB" w:rsidRDefault="0018741C" w:rsidP="0018741C">
            <w:pPr>
              <w:pStyle w:val="ListParagraph"/>
              <w:spacing w:after="0" w:line="240" w:lineRule="auto"/>
              <w:ind w:left="0"/>
              <w:contextualSpacing w:val="0"/>
              <w:jc w:val="both"/>
              <w:rPr>
                <w:rFonts w:ascii="Times New Roman" w:hAnsi="Times New Roman"/>
                <w:b/>
                <w:bCs/>
                <w:color w:val="0D0D0D" w:themeColor="text1" w:themeTint="F2"/>
              </w:rPr>
            </w:pPr>
          </w:p>
          <w:p w14:paraId="2AEA66FC" w14:textId="77777777" w:rsidR="0018741C" w:rsidRPr="006E66AB" w:rsidRDefault="0018741C" w:rsidP="0018741C">
            <w:pPr>
              <w:jc w:val="both"/>
              <w:rPr>
                <w:sz w:val="22"/>
                <w:szCs w:val="22"/>
              </w:rPr>
            </w:pPr>
            <w:r w:rsidRPr="006E66AB">
              <w:rPr>
                <w:sz w:val="22"/>
                <w:szCs w:val="22"/>
              </w:rPr>
              <w:t>2.2. Anotācijas III sadaļas 6.punktā jānorāda enerģētikas nozares valsts atbalsta sistēmas darbības regulēšanas nodevas ieņēmumu prognozes aprēķins un tajā izmantoto pieņēmumu skaidrojums.</w:t>
            </w:r>
          </w:p>
          <w:p w14:paraId="145108AD" w14:textId="77777777" w:rsidR="0018741C" w:rsidRPr="006E66AB" w:rsidRDefault="0018741C" w:rsidP="0018741C">
            <w:pPr>
              <w:pStyle w:val="ListParagraph"/>
              <w:spacing w:after="0" w:line="240" w:lineRule="auto"/>
              <w:ind w:left="0"/>
              <w:contextualSpacing w:val="0"/>
              <w:jc w:val="both"/>
              <w:rPr>
                <w:rFonts w:ascii="Times New Roman" w:hAnsi="Times New Roman"/>
                <w:b/>
                <w:bCs/>
                <w:color w:val="0D0D0D" w:themeColor="text1" w:themeTint="F2"/>
              </w:rPr>
            </w:pPr>
          </w:p>
        </w:tc>
        <w:tc>
          <w:tcPr>
            <w:tcW w:w="3260"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03C69238" w14:textId="7D7D9701" w:rsidR="0018741C" w:rsidRPr="006E66AB" w:rsidRDefault="0018741C" w:rsidP="0018741C">
            <w:pPr>
              <w:pStyle w:val="naisc"/>
              <w:spacing w:before="0" w:after="0"/>
              <w:rPr>
                <w:b/>
                <w:sz w:val="22"/>
                <w:szCs w:val="22"/>
              </w:rPr>
            </w:pPr>
            <w:r w:rsidRPr="006E66AB">
              <w:rPr>
                <w:b/>
                <w:sz w:val="22"/>
                <w:szCs w:val="22"/>
              </w:rPr>
              <w:t>Ņemts vērā</w:t>
            </w:r>
          </w:p>
        </w:tc>
        <w:tc>
          <w:tcPr>
            <w:tcW w:w="410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5616E9D0" w14:textId="77777777" w:rsidR="0018741C" w:rsidRPr="006E66AB" w:rsidRDefault="0018741C" w:rsidP="0018741C">
            <w:pPr>
              <w:jc w:val="both"/>
              <w:rPr>
                <w:sz w:val="22"/>
                <w:szCs w:val="22"/>
                <w:u w:val="single"/>
              </w:rPr>
            </w:pPr>
            <w:r w:rsidRPr="006E66AB">
              <w:rPr>
                <w:sz w:val="22"/>
                <w:szCs w:val="22"/>
                <w:u w:val="single"/>
              </w:rPr>
              <w:t>Anotācijas III sadaļas 6.punkts papildināts šādā redakcijā:</w:t>
            </w:r>
          </w:p>
          <w:p w14:paraId="4814B27E" w14:textId="77777777" w:rsidR="0018741C" w:rsidRPr="006E66AB" w:rsidRDefault="0018741C" w:rsidP="0018741C">
            <w:pPr>
              <w:jc w:val="both"/>
              <w:rPr>
                <w:sz w:val="22"/>
                <w:szCs w:val="22"/>
              </w:rPr>
            </w:pPr>
            <w:r w:rsidRPr="006E66AB">
              <w:rPr>
                <w:sz w:val="22"/>
                <w:szCs w:val="22"/>
              </w:rPr>
              <w:t xml:space="preserve">“Ņemot vērā, ka valsts atbalsta sistēmas ietvaros izmaksātais atbalsts ir tieši proporcionālo atkarīgs no saražotās elektroenerģijas apjoma, kas ir atkarīga no elektrostacijas uzstādītās elektriskās jaudas, kā arī, lai nodrošinātu vienkārši nodevas administrēšanas procesu, nodeva tiek piemērota par katru elektrostacijā uzstādīto jaudas vienību – kilovatu. Tā kā atsevišķām elektrostacijām tuvākajos gados tiesības uz valsts atbalsta saņemšanu beidzas, kā arī, pastiprinot elektrostaciju kontroli, pastāv iespēja, ka atsevišķas elektrostacijas zaudēs tiesības uz valsts atbalsta saņemšanu, nodevas likme ir aprēķināta ar rezervi, lai nosegtu attiecīgos izdevumus. Ņemot vērā minēto, paredzams, ka sākotnēji ieņemtais nodevas apjoms būs lielāks. Aprēķins nodevas ieņēmumiem ir sekojošos: 1 250 000 </w:t>
            </w:r>
            <w:proofErr w:type="spellStart"/>
            <w:r w:rsidRPr="006E66AB">
              <w:rPr>
                <w:sz w:val="22"/>
                <w:szCs w:val="22"/>
              </w:rPr>
              <w:t>kW</w:t>
            </w:r>
            <w:proofErr w:type="spellEnd"/>
            <w:r w:rsidRPr="006E66AB">
              <w:rPr>
                <w:sz w:val="22"/>
                <w:szCs w:val="22"/>
              </w:rPr>
              <w:t xml:space="preserve"> uzstādītās jaudas * 0,40 euro/</w:t>
            </w:r>
            <w:proofErr w:type="spellStart"/>
            <w:r w:rsidRPr="006E66AB">
              <w:rPr>
                <w:sz w:val="22"/>
                <w:szCs w:val="22"/>
              </w:rPr>
              <w:t>kW</w:t>
            </w:r>
            <w:proofErr w:type="spellEnd"/>
            <w:r w:rsidRPr="006E66AB">
              <w:rPr>
                <w:sz w:val="22"/>
                <w:szCs w:val="22"/>
              </w:rPr>
              <w:t xml:space="preserve">  = 500 000 euro.” </w:t>
            </w:r>
          </w:p>
          <w:p w14:paraId="73E418C0" w14:textId="77777777" w:rsidR="0018741C" w:rsidRPr="006E66AB" w:rsidRDefault="0018741C" w:rsidP="0018741C">
            <w:pPr>
              <w:pStyle w:val="NoSpacing"/>
              <w:spacing w:before="120" w:after="120"/>
              <w:jc w:val="both"/>
              <w:rPr>
                <w:sz w:val="22"/>
                <w:szCs w:val="22"/>
                <w:u w:val="single"/>
                <w:lang w:val="lv-LV"/>
              </w:rPr>
            </w:pPr>
          </w:p>
        </w:tc>
      </w:tr>
      <w:tr w:rsidR="0018741C" w:rsidRPr="006E66AB" w14:paraId="17197E64" w14:textId="77777777" w:rsidTr="0018741C">
        <w:trPr>
          <w:trHeight w:val="306"/>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8887CDC" w14:textId="7B2E7C71" w:rsidR="0018741C" w:rsidRPr="006E66AB" w:rsidRDefault="0018741C" w:rsidP="0018741C">
            <w:pPr>
              <w:pStyle w:val="naisc"/>
              <w:spacing w:before="0" w:after="0"/>
              <w:rPr>
                <w:sz w:val="22"/>
                <w:szCs w:val="22"/>
              </w:rPr>
            </w:pPr>
            <w:r w:rsidRPr="006E66AB">
              <w:rPr>
                <w:sz w:val="22"/>
                <w:szCs w:val="22"/>
              </w:rPr>
              <w:lastRenderedPageBreak/>
              <w:t>9.</w:t>
            </w:r>
          </w:p>
        </w:tc>
        <w:tc>
          <w:tcPr>
            <w:tcW w:w="2221"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72AD931" w14:textId="47442371" w:rsidR="0018741C" w:rsidRPr="006E66AB" w:rsidRDefault="0018741C" w:rsidP="0018741C">
            <w:pPr>
              <w:jc w:val="both"/>
              <w:rPr>
                <w:sz w:val="22"/>
                <w:szCs w:val="22"/>
              </w:rPr>
            </w:pPr>
            <w:r w:rsidRPr="006E66AB">
              <w:rPr>
                <w:sz w:val="22"/>
                <w:szCs w:val="22"/>
              </w:rPr>
              <w:t>Likumprojekta anotācijas IV sadaļas 1. punkts</w:t>
            </w:r>
          </w:p>
        </w:tc>
        <w:tc>
          <w:tcPr>
            <w:tcW w:w="4820"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1C10892F" w14:textId="77777777" w:rsidR="0018741C" w:rsidRPr="006E66AB" w:rsidRDefault="0018741C" w:rsidP="0018741C">
            <w:pPr>
              <w:tabs>
                <w:tab w:val="left" w:pos="993"/>
              </w:tabs>
              <w:jc w:val="both"/>
              <w:rPr>
                <w:b/>
                <w:sz w:val="22"/>
                <w:szCs w:val="22"/>
              </w:rPr>
            </w:pPr>
            <w:r w:rsidRPr="006E66AB">
              <w:rPr>
                <w:b/>
                <w:sz w:val="22"/>
                <w:szCs w:val="22"/>
              </w:rPr>
              <w:t>Tieslietu ministrija (30.09.2019)</w:t>
            </w:r>
          </w:p>
          <w:p w14:paraId="416B8F77" w14:textId="77777777" w:rsidR="0018741C" w:rsidRPr="006E66AB" w:rsidRDefault="0018741C" w:rsidP="0018741C">
            <w:pPr>
              <w:jc w:val="both"/>
              <w:rPr>
                <w:sz w:val="22"/>
                <w:szCs w:val="22"/>
              </w:rPr>
            </w:pPr>
          </w:p>
          <w:p w14:paraId="566B9555" w14:textId="77777777" w:rsidR="0018741C" w:rsidRPr="006E66AB" w:rsidRDefault="0018741C" w:rsidP="0018741C">
            <w:pPr>
              <w:jc w:val="both"/>
              <w:rPr>
                <w:sz w:val="22"/>
                <w:szCs w:val="22"/>
              </w:rPr>
            </w:pPr>
            <w:r w:rsidRPr="006E66AB">
              <w:rPr>
                <w:sz w:val="22"/>
                <w:szCs w:val="22"/>
              </w:rPr>
              <w:t>5. No projekta 4. pantā paredzētajā likuma 31.</w:t>
            </w:r>
            <w:r w:rsidRPr="006E66AB">
              <w:rPr>
                <w:sz w:val="22"/>
                <w:szCs w:val="22"/>
                <w:vertAlign w:val="superscript"/>
              </w:rPr>
              <w:t>1</w:t>
            </w:r>
            <w:r w:rsidRPr="006E66AB">
              <w:rPr>
                <w:sz w:val="22"/>
                <w:szCs w:val="22"/>
              </w:rPr>
              <w:t xml:space="preserve"> panta sestajā un astotajā daļā ietvertā regulējuma izriet, ka tiek noteikts jauns pilnvarojums Ministru kabinetam izdot noteikumus. Savukārt </w:t>
            </w:r>
            <w:r w:rsidRPr="006E66AB">
              <w:rPr>
                <w:b/>
                <w:bCs/>
                <w:sz w:val="22"/>
                <w:szCs w:val="22"/>
              </w:rPr>
              <w:t xml:space="preserve">anotācijas IV sadaļā nav norādīts, ka tiks izdoti attiecīgi Ministru kabineta noteikumi. </w:t>
            </w:r>
            <w:r w:rsidRPr="006E66AB">
              <w:rPr>
                <w:sz w:val="22"/>
                <w:szCs w:val="22"/>
              </w:rPr>
              <w:t xml:space="preserve">Ievērojot minēto, </w:t>
            </w:r>
            <w:r w:rsidRPr="006E66AB">
              <w:rPr>
                <w:b/>
                <w:bCs/>
                <w:sz w:val="22"/>
                <w:szCs w:val="22"/>
              </w:rPr>
              <w:t>lūdzam aizpildīt anotācijas IV sadaļas 1. punktu atbilstoši</w:t>
            </w:r>
            <w:r w:rsidRPr="006E66AB">
              <w:rPr>
                <w:sz w:val="22"/>
                <w:szCs w:val="22"/>
              </w:rPr>
              <w:t xml:space="preserve"> Ministru kabineta 2009. gada 15. decembra instrukcijas Nr. 19 "Tiesību akta projekta sākotnējās ietekmes izvērtēšanas kārtība" 54.1. apakšpunktā noteiktajām prasībām.</w:t>
            </w:r>
          </w:p>
          <w:p w14:paraId="61DAFB66" w14:textId="77777777" w:rsidR="0018741C" w:rsidRPr="006E66AB" w:rsidRDefault="0018741C" w:rsidP="0018741C">
            <w:pPr>
              <w:pStyle w:val="ListParagraph"/>
              <w:spacing w:after="0" w:line="240" w:lineRule="auto"/>
              <w:ind w:left="0"/>
              <w:contextualSpacing w:val="0"/>
              <w:jc w:val="both"/>
              <w:rPr>
                <w:rFonts w:ascii="Times New Roman" w:hAnsi="Times New Roman"/>
                <w:b/>
                <w:bCs/>
                <w:color w:val="0D0D0D" w:themeColor="text1" w:themeTint="F2"/>
              </w:rPr>
            </w:pPr>
          </w:p>
        </w:tc>
        <w:tc>
          <w:tcPr>
            <w:tcW w:w="3260"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784CB431" w14:textId="77777777" w:rsidR="0018741C" w:rsidRPr="006E66AB" w:rsidRDefault="0018741C" w:rsidP="0018741C">
            <w:pPr>
              <w:pStyle w:val="naisc"/>
              <w:spacing w:before="0" w:after="0"/>
              <w:rPr>
                <w:b/>
                <w:sz w:val="22"/>
                <w:szCs w:val="22"/>
              </w:rPr>
            </w:pPr>
            <w:r w:rsidRPr="006E66AB">
              <w:rPr>
                <w:b/>
                <w:sz w:val="22"/>
                <w:szCs w:val="22"/>
              </w:rPr>
              <w:t>Ņemts vērā</w:t>
            </w:r>
          </w:p>
          <w:p w14:paraId="31A9C598" w14:textId="77777777" w:rsidR="0018741C" w:rsidRPr="006E66AB" w:rsidRDefault="0018741C" w:rsidP="0018741C">
            <w:pPr>
              <w:pStyle w:val="naisc"/>
              <w:spacing w:before="0" w:after="0"/>
              <w:rPr>
                <w:b/>
                <w:sz w:val="22"/>
                <w:szCs w:val="22"/>
              </w:rPr>
            </w:pPr>
          </w:p>
          <w:p w14:paraId="28EB66A7" w14:textId="590E338E" w:rsidR="0018741C" w:rsidRPr="006E66AB" w:rsidRDefault="0018741C" w:rsidP="0018741C">
            <w:pPr>
              <w:pStyle w:val="naisc"/>
              <w:spacing w:before="0" w:after="0"/>
              <w:rPr>
                <w:b/>
                <w:sz w:val="22"/>
                <w:szCs w:val="22"/>
              </w:rPr>
            </w:pPr>
            <w:r w:rsidRPr="006E66AB">
              <w:rPr>
                <w:bCs/>
                <w:sz w:val="22"/>
                <w:szCs w:val="22"/>
              </w:rPr>
              <w:t>Ar attiecīgo informāciju papildinās anotācijas IV sad</w:t>
            </w:r>
            <w:bookmarkStart w:id="4" w:name="_GoBack"/>
            <w:bookmarkEnd w:id="4"/>
            <w:r w:rsidRPr="006E66AB">
              <w:rPr>
                <w:bCs/>
                <w:sz w:val="22"/>
                <w:szCs w:val="22"/>
              </w:rPr>
              <w:t>aļas 4.punkts.</w:t>
            </w:r>
          </w:p>
        </w:tc>
        <w:tc>
          <w:tcPr>
            <w:tcW w:w="410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69CDCC0A" w14:textId="2EDDDFF9" w:rsidR="0018741C" w:rsidRPr="006E66AB" w:rsidRDefault="00EB7DE0" w:rsidP="0018741C">
            <w:pPr>
              <w:jc w:val="both"/>
              <w:rPr>
                <w:sz w:val="22"/>
                <w:szCs w:val="22"/>
                <w:u w:val="single"/>
              </w:rPr>
            </w:pPr>
            <w:r w:rsidRPr="006E66AB">
              <w:rPr>
                <w:sz w:val="22"/>
                <w:szCs w:val="22"/>
                <w:u w:val="single"/>
              </w:rPr>
              <w:t>A</w:t>
            </w:r>
            <w:r w:rsidR="0018741C" w:rsidRPr="006E66AB">
              <w:rPr>
                <w:sz w:val="22"/>
                <w:szCs w:val="22"/>
                <w:u w:val="single"/>
              </w:rPr>
              <w:t>notācijas IV sadaļas 4.punkts papildināts ar sekojošu informāciju:</w:t>
            </w:r>
            <w:r w:rsidR="0018741C" w:rsidRPr="006E66AB">
              <w:rPr>
                <w:sz w:val="22"/>
                <w:szCs w:val="22"/>
              </w:rPr>
              <w:t xml:space="preserve"> “</w:t>
            </w:r>
            <w:r w:rsidR="0018741C" w:rsidRPr="006E66AB">
              <w:rPr>
                <w:iCs/>
                <w:sz w:val="22"/>
                <w:szCs w:val="22"/>
              </w:rPr>
              <w:t>Attiecībā uz Likumprojekta 4.pantā paredzētā 31.</w:t>
            </w:r>
            <w:r w:rsidR="0018741C" w:rsidRPr="006E66AB">
              <w:rPr>
                <w:iCs/>
                <w:sz w:val="22"/>
                <w:szCs w:val="22"/>
                <w:vertAlign w:val="superscript"/>
              </w:rPr>
              <w:t>1</w:t>
            </w:r>
            <w:r w:rsidR="0018741C" w:rsidRPr="006E66AB">
              <w:rPr>
                <w:iCs/>
                <w:sz w:val="22"/>
                <w:szCs w:val="22"/>
              </w:rPr>
              <w:t xml:space="preserve"> panta sestajā un astotajā daļā minēto deleģējumu jauni Ministra kabineta noteikumi izstrādāti netiks, bet tiks veikti grozījumi esošajos normatīvajos aktos (</w:t>
            </w:r>
            <w:r w:rsidR="0018741C" w:rsidRPr="006E66AB">
              <w:rPr>
                <w:sz w:val="22"/>
                <w:szCs w:val="22"/>
              </w:rPr>
              <w:t>Ministru kabineta 2010. gada 16. marta noteikumos Nr. 262 “Noteikumi par elektroenerģijas ražošanu, izmantojot atjaunojamos energoresursus, un cenu noteikšanas kārtību” un Ministru kabineta 2009. gada 10. marta noteikumos Nr. 221 “Noteikumi par elektroenerģijas ražošanu un cenu noteikšanu, ražojot elektroenerģiju koģenerācijā”).</w:t>
            </w:r>
          </w:p>
        </w:tc>
      </w:tr>
      <w:tr w:rsidR="0018741C" w:rsidRPr="000904BE" w14:paraId="71DA0CD9" w14:textId="77777777" w:rsidTr="0018741C">
        <w:trPr>
          <w:gridAfter w:val="1"/>
          <w:wAfter w:w="679" w:type="dxa"/>
          <w:tblCellSpacing w:w="0" w:type="dxa"/>
        </w:trPr>
        <w:tc>
          <w:tcPr>
            <w:tcW w:w="4260" w:type="dxa"/>
            <w:gridSpan w:val="3"/>
            <w:tcBorders>
              <w:top w:val="nil"/>
              <w:left w:val="nil"/>
              <w:bottom w:val="nil"/>
              <w:right w:val="nil"/>
            </w:tcBorders>
            <w:vAlign w:val="center"/>
            <w:hideMark/>
          </w:tcPr>
          <w:p w14:paraId="33E3A932" w14:textId="77777777" w:rsidR="0018741C" w:rsidRDefault="0018741C" w:rsidP="0018741C">
            <w:pPr>
              <w:spacing w:before="120" w:after="75"/>
              <w:jc w:val="both"/>
              <w:rPr>
                <w:sz w:val="22"/>
                <w:szCs w:val="22"/>
              </w:rPr>
            </w:pPr>
          </w:p>
          <w:p w14:paraId="1F5057A7" w14:textId="1819E144" w:rsidR="0018741C" w:rsidRPr="00C14E10" w:rsidRDefault="0018741C" w:rsidP="0018741C">
            <w:pPr>
              <w:spacing w:before="120" w:after="75"/>
              <w:jc w:val="both"/>
              <w:rPr>
                <w:sz w:val="22"/>
                <w:szCs w:val="22"/>
              </w:rPr>
            </w:pPr>
            <w:r w:rsidRPr="00C14E10">
              <w:rPr>
                <w:sz w:val="22"/>
                <w:szCs w:val="22"/>
              </w:rPr>
              <w:t>Atbildīgā amatpersona</w:t>
            </w:r>
          </w:p>
        </w:tc>
        <w:tc>
          <w:tcPr>
            <w:tcW w:w="6647" w:type="dxa"/>
            <w:gridSpan w:val="2"/>
            <w:tcBorders>
              <w:top w:val="nil"/>
              <w:left w:val="nil"/>
              <w:bottom w:val="nil"/>
              <w:right w:val="nil"/>
            </w:tcBorders>
            <w:hideMark/>
          </w:tcPr>
          <w:p w14:paraId="683F5B5C" w14:textId="77777777" w:rsidR="0018741C" w:rsidRPr="00C14E10" w:rsidRDefault="0018741C" w:rsidP="0018741C">
            <w:pPr>
              <w:spacing w:after="120"/>
              <w:jc w:val="both"/>
              <w:rPr>
                <w:b/>
                <w:bCs/>
                <w:color w:val="000000"/>
                <w:sz w:val="22"/>
                <w:szCs w:val="22"/>
              </w:rPr>
            </w:pPr>
          </w:p>
        </w:tc>
        <w:tc>
          <w:tcPr>
            <w:tcW w:w="3428" w:type="dxa"/>
            <w:tcBorders>
              <w:top w:val="nil"/>
              <w:left w:val="nil"/>
              <w:bottom w:val="nil"/>
              <w:right w:val="nil"/>
            </w:tcBorders>
            <w:hideMark/>
          </w:tcPr>
          <w:p w14:paraId="61A0D361" w14:textId="77777777" w:rsidR="0018741C" w:rsidRPr="000904BE" w:rsidRDefault="0018741C" w:rsidP="0018741C">
            <w:pPr>
              <w:spacing w:after="120"/>
              <w:jc w:val="both"/>
              <w:rPr>
                <w:b/>
                <w:bCs/>
                <w:color w:val="000000"/>
                <w:sz w:val="22"/>
                <w:szCs w:val="22"/>
              </w:rPr>
            </w:pPr>
          </w:p>
        </w:tc>
      </w:tr>
      <w:tr w:rsidR="0018741C" w:rsidRPr="000904BE" w14:paraId="5D6A1F91" w14:textId="77777777" w:rsidTr="0018741C">
        <w:trPr>
          <w:gridAfter w:val="1"/>
          <w:wAfter w:w="679" w:type="dxa"/>
          <w:trHeight w:val="237"/>
          <w:tblCellSpacing w:w="0" w:type="dxa"/>
        </w:trPr>
        <w:tc>
          <w:tcPr>
            <w:tcW w:w="4260" w:type="dxa"/>
            <w:gridSpan w:val="3"/>
            <w:tcBorders>
              <w:top w:val="nil"/>
              <w:left w:val="nil"/>
              <w:bottom w:val="nil"/>
              <w:right w:val="nil"/>
            </w:tcBorders>
            <w:vAlign w:val="center"/>
            <w:hideMark/>
          </w:tcPr>
          <w:p w14:paraId="552BCE27" w14:textId="77777777" w:rsidR="0018741C" w:rsidRPr="00C14E10" w:rsidRDefault="0018741C" w:rsidP="0018741C">
            <w:pPr>
              <w:spacing w:before="75" w:after="75"/>
              <w:jc w:val="both"/>
              <w:rPr>
                <w:sz w:val="22"/>
                <w:szCs w:val="22"/>
              </w:rPr>
            </w:pPr>
            <w:r w:rsidRPr="00C14E10">
              <w:rPr>
                <w:sz w:val="22"/>
                <w:szCs w:val="22"/>
              </w:rPr>
              <w:t> </w:t>
            </w:r>
          </w:p>
        </w:tc>
        <w:tc>
          <w:tcPr>
            <w:tcW w:w="6647" w:type="dxa"/>
            <w:gridSpan w:val="2"/>
            <w:tcBorders>
              <w:top w:val="single" w:sz="8" w:space="0" w:color="000000"/>
              <w:left w:val="nil"/>
              <w:bottom w:val="nil"/>
              <w:right w:val="nil"/>
            </w:tcBorders>
            <w:vAlign w:val="center"/>
            <w:hideMark/>
          </w:tcPr>
          <w:p w14:paraId="0C90889C" w14:textId="77777777" w:rsidR="0018741C" w:rsidRPr="00C14E10" w:rsidRDefault="0018741C" w:rsidP="0018741C">
            <w:pPr>
              <w:spacing w:before="75" w:after="75"/>
              <w:jc w:val="both"/>
              <w:rPr>
                <w:sz w:val="22"/>
                <w:szCs w:val="22"/>
              </w:rPr>
            </w:pPr>
            <w:r w:rsidRPr="00C14E10">
              <w:rPr>
                <w:sz w:val="22"/>
                <w:szCs w:val="22"/>
              </w:rPr>
              <w:t>(paraksts)*</w:t>
            </w:r>
          </w:p>
        </w:tc>
        <w:tc>
          <w:tcPr>
            <w:tcW w:w="3428" w:type="dxa"/>
            <w:tcBorders>
              <w:top w:val="nil"/>
              <w:left w:val="nil"/>
              <w:bottom w:val="nil"/>
              <w:right w:val="nil"/>
            </w:tcBorders>
            <w:vAlign w:val="center"/>
            <w:hideMark/>
          </w:tcPr>
          <w:p w14:paraId="1FD5855E" w14:textId="77777777" w:rsidR="0018741C" w:rsidRPr="000904BE" w:rsidRDefault="0018741C" w:rsidP="0018741C">
            <w:pPr>
              <w:spacing w:before="75" w:after="75"/>
              <w:ind w:firstLine="375"/>
              <w:jc w:val="both"/>
              <w:rPr>
                <w:sz w:val="22"/>
                <w:szCs w:val="22"/>
              </w:rPr>
            </w:pPr>
            <w:r w:rsidRPr="000904BE">
              <w:rPr>
                <w:sz w:val="22"/>
                <w:szCs w:val="22"/>
              </w:rPr>
              <w:t> </w:t>
            </w:r>
          </w:p>
        </w:tc>
      </w:tr>
    </w:tbl>
    <w:p w14:paraId="4B49F543" w14:textId="77777777" w:rsidR="00BD6FD2" w:rsidRPr="000904BE" w:rsidRDefault="00BD6FD2" w:rsidP="00BD6FD2">
      <w:pPr>
        <w:jc w:val="both"/>
        <w:rPr>
          <w:sz w:val="16"/>
        </w:rPr>
      </w:pPr>
      <w:r w:rsidRPr="000904BE">
        <w:rPr>
          <w:sz w:val="16"/>
        </w:rPr>
        <w:t>Piezīme. * Dokumenta rekvizītu "paraksts" neaizpilda, ja elektroniskais dokuments ir sagatavots atbilstoši normatīvajiem aktiem par elektronisko dokumentu noformēšanu.</w:t>
      </w:r>
    </w:p>
    <w:p w14:paraId="6F52E148" w14:textId="3D3614BC" w:rsidR="00AE6D8E" w:rsidRDefault="00AE6D8E" w:rsidP="00BD6FD2">
      <w:pPr>
        <w:spacing w:before="75" w:after="75"/>
        <w:ind w:firstLine="375"/>
        <w:jc w:val="both"/>
        <w:rPr>
          <w:sz w:val="16"/>
          <w:szCs w:val="16"/>
        </w:rPr>
      </w:pPr>
    </w:p>
    <w:p w14:paraId="5EC64317" w14:textId="77777777" w:rsidR="00AA5833" w:rsidRPr="000904BE" w:rsidRDefault="00AA5833" w:rsidP="00BD6FD2">
      <w:pPr>
        <w:spacing w:before="75" w:after="75"/>
        <w:ind w:firstLine="375"/>
        <w:jc w:val="both"/>
        <w:rPr>
          <w:sz w:val="16"/>
          <w:szCs w:val="16"/>
        </w:rPr>
      </w:pPr>
    </w:p>
    <w:p w14:paraId="59996E1B" w14:textId="5D6FA005" w:rsidR="00BD6FD2" w:rsidRPr="000904BE" w:rsidRDefault="000C3947" w:rsidP="008B74C5">
      <w:pPr>
        <w:spacing w:after="75"/>
        <w:ind w:firstLine="374"/>
        <w:jc w:val="both"/>
      </w:pPr>
      <w:r>
        <w:t>Aivars Neimanis</w:t>
      </w:r>
    </w:p>
    <w:tbl>
      <w:tblPr>
        <w:tblW w:w="0" w:type="auto"/>
        <w:tblCellSpacing w:w="0" w:type="dxa"/>
        <w:tblCellMar>
          <w:left w:w="0" w:type="dxa"/>
          <w:right w:w="0" w:type="dxa"/>
        </w:tblCellMar>
        <w:tblLook w:val="04A0" w:firstRow="1" w:lastRow="0" w:firstColumn="1" w:lastColumn="0" w:noHBand="0" w:noVBand="1"/>
      </w:tblPr>
      <w:tblGrid>
        <w:gridCol w:w="8265"/>
      </w:tblGrid>
      <w:tr w:rsidR="00EC365C" w:rsidRPr="000904BE" w14:paraId="27471AB3" w14:textId="77777777" w:rsidTr="00BC0A09">
        <w:trPr>
          <w:tblCellSpacing w:w="0" w:type="dxa"/>
        </w:trPr>
        <w:tc>
          <w:tcPr>
            <w:tcW w:w="8265" w:type="dxa"/>
            <w:tcBorders>
              <w:top w:val="single" w:sz="8" w:space="0" w:color="000000"/>
              <w:left w:val="nil"/>
              <w:bottom w:val="nil"/>
              <w:right w:val="nil"/>
            </w:tcBorders>
            <w:hideMark/>
          </w:tcPr>
          <w:p w14:paraId="6E21F1D3" w14:textId="77777777" w:rsidR="00BD6FD2" w:rsidRPr="000904BE" w:rsidRDefault="00BD6FD2" w:rsidP="00F43A16">
            <w:pPr>
              <w:spacing w:before="120"/>
              <w:jc w:val="center"/>
            </w:pPr>
            <w:r w:rsidRPr="000904BE">
              <w:rPr>
                <w:sz w:val="20"/>
              </w:rPr>
              <w:t>(par projektu atbildīgās amatpersonas vārds un uzvārds)</w:t>
            </w:r>
          </w:p>
        </w:tc>
      </w:tr>
      <w:tr w:rsidR="00EC365C" w:rsidRPr="000904BE" w14:paraId="1284B19B" w14:textId="77777777" w:rsidTr="00BC0A09">
        <w:trPr>
          <w:tblCellSpacing w:w="0" w:type="dxa"/>
        </w:trPr>
        <w:tc>
          <w:tcPr>
            <w:tcW w:w="8265" w:type="dxa"/>
            <w:tcBorders>
              <w:top w:val="nil"/>
              <w:left w:val="nil"/>
              <w:bottom w:val="single" w:sz="8" w:space="0" w:color="000000"/>
              <w:right w:val="nil"/>
            </w:tcBorders>
            <w:hideMark/>
          </w:tcPr>
          <w:p w14:paraId="6DD7FFFE" w14:textId="63003B03" w:rsidR="00BD6FD2" w:rsidRPr="000904BE" w:rsidRDefault="00AA5833" w:rsidP="008B0AA4">
            <w:pPr>
              <w:spacing w:before="120"/>
              <w:ind w:firstLine="375"/>
              <w:jc w:val="both"/>
            </w:pPr>
            <w:r>
              <w:t>Vecākais eksperts</w:t>
            </w:r>
          </w:p>
        </w:tc>
      </w:tr>
      <w:tr w:rsidR="00EC365C" w:rsidRPr="000904BE" w14:paraId="5DB1F223" w14:textId="77777777" w:rsidTr="00BC0A09">
        <w:trPr>
          <w:tblCellSpacing w:w="0" w:type="dxa"/>
        </w:trPr>
        <w:tc>
          <w:tcPr>
            <w:tcW w:w="8265" w:type="dxa"/>
            <w:tcBorders>
              <w:top w:val="nil"/>
              <w:left w:val="nil"/>
              <w:bottom w:val="single" w:sz="8" w:space="0" w:color="000000"/>
              <w:right w:val="nil"/>
            </w:tcBorders>
            <w:vAlign w:val="center"/>
            <w:hideMark/>
          </w:tcPr>
          <w:p w14:paraId="079E4461" w14:textId="6F7C8E99" w:rsidR="00BD6FD2" w:rsidRPr="000904BE" w:rsidRDefault="002104A8" w:rsidP="008B0AA4">
            <w:pPr>
              <w:ind w:firstLine="374"/>
              <w:jc w:val="both"/>
            </w:pPr>
            <w:r w:rsidRPr="000904BE">
              <w:t>67013</w:t>
            </w:r>
            <w:r w:rsidR="00AA5833">
              <w:t>249</w:t>
            </w:r>
          </w:p>
        </w:tc>
      </w:tr>
      <w:tr w:rsidR="00EC365C" w:rsidRPr="000904BE" w14:paraId="2004837B" w14:textId="77777777" w:rsidTr="00BC0A09">
        <w:trPr>
          <w:tblCellSpacing w:w="0" w:type="dxa"/>
        </w:trPr>
        <w:tc>
          <w:tcPr>
            <w:tcW w:w="8265" w:type="dxa"/>
            <w:tcBorders>
              <w:top w:val="nil"/>
              <w:left w:val="nil"/>
              <w:bottom w:val="single" w:sz="8" w:space="0" w:color="000000"/>
              <w:right w:val="nil"/>
            </w:tcBorders>
            <w:vAlign w:val="center"/>
            <w:hideMark/>
          </w:tcPr>
          <w:p w14:paraId="0EA30BB3" w14:textId="15549C42" w:rsidR="00BD6FD2" w:rsidRPr="000904BE" w:rsidRDefault="00AA5833" w:rsidP="00E6712D">
            <w:pPr>
              <w:spacing w:before="120"/>
              <w:ind w:firstLine="375"/>
              <w:jc w:val="both"/>
            </w:pPr>
            <w:r>
              <w:t>Aivars.Neimanis</w:t>
            </w:r>
            <w:r w:rsidR="00BD6FD2" w:rsidRPr="000904BE">
              <w:t>@em.gov.lv</w:t>
            </w:r>
            <w:r w:rsidR="00845180" w:rsidRPr="000904BE">
              <w:t xml:space="preserve"> </w:t>
            </w:r>
          </w:p>
        </w:tc>
      </w:tr>
      <w:tr w:rsidR="00EC365C" w:rsidRPr="000904BE" w14:paraId="4EC3711C" w14:textId="77777777" w:rsidTr="005A169E">
        <w:trPr>
          <w:trHeight w:val="405"/>
          <w:tblCellSpacing w:w="0" w:type="dxa"/>
        </w:trPr>
        <w:tc>
          <w:tcPr>
            <w:tcW w:w="8265" w:type="dxa"/>
            <w:tcBorders>
              <w:top w:val="nil"/>
              <w:left w:val="nil"/>
              <w:bottom w:val="nil"/>
              <w:right w:val="nil"/>
            </w:tcBorders>
            <w:vAlign w:val="center"/>
            <w:hideMark/>
          </w:tcPr>
          <w:p w14:paraId="6834DB06" w14:textId="77777777" w:rsidR="00BD6FD2" w:rsidRPr="000904BE" w:rsidRDefault="00BD6FD2" w:rsidP="00F43A16">
            <w:pPr>
              <w:spacing w:before="75" w:after="75"/>
              <w:jc w:val="center"/>
              <w:rPr>
                <w:sz w:val="22"/>
              </w:rPr>
            </w:pPr>
          </w:p>
        </w:tc>
      </w:tr>
    </w:tbl>
    <w:p w14:paraId="40C0B0F4" w14:textId="77777777" w:rsidR="000C3947" w:rsidRDefault="000C3947" w:rsidP="003F488F">
      <w:pPr>
        <w:tabs>
          <w:tab w:val="left" w:pos="1110"/>
        </w:tabs>
        <w:rPr>
          <w:color w:val="000000"/>
          <w:sz w:val="20"/>
          <w:szCs w:val="20"/>
        </w:rPr>
      </w:pPr>
    </w:p>
    <w:p w14:paraId="2F7B3AF5" w14:textId="622208DC" w:rsidR="003F488F" w:rsidRPr="000904BE" w:rsidRDefault="00AA5833" w:rsidP="003F488F">
      <w:pPr>
        <w:jc w:val="both"/>
        <w:rPr>
          <w:sz w:val="20"/>
          <w:szCs w:val="20"/>
        </w:rPr>
      </w:pPr>
      <w:proofErr w:type="spellStart"/>
      <w:r>
        <w:rPr>
          <w:sz w:val="20"/>
          <w:szCs w:val="20"/>
        </w:rPr>
        <w:t>A.Neimanis</w:t>
      </w:r>
      <w:proofErr w:type="spellEnd"/>
      <w:r w:rsidR="003F488F" w:rsidRPr="000904BE">
        <w:rPr>
          <w:sz w:val="20"/>
          <w:szCs w:val="20"/>
        </w:rPr>
        <w:t>, 67013</w:t>
      </w:r>
      <w:r>
        <w:rPr>
          <w:sz w:val="20"/>
          <w:szCs w:val="20"/>
        </w:rPr>
        <w:t>24</w:t>
      </w:r>
      <w:r w:rsidR="003F488F" w:rsidRPr="000904BE">
        <w:rPr>
          <w:sz w:val="20"/>
          <w:szCs w:val="20"/>
        </w:rPr>
        <w:t xml:space="preserve">9, </w:t>
      </w:r>
    </w:p>
    <w:p w14:paraId="25919DC0" w14:textId="5B072C29" w:rsidR="003F488F" w:rsidRPr="0010781A" w:rsidRDefault="00AA5833" w:rsidP="003F488F">
      <w:pPr>
        <w:widowControl w:val="0"/>
        <w:jc w:val="both"/>
        <w:rPr>
          <w:szCs w:val="20"/>
        </w:rPr>
      </w:pPr>
      <w:r w:rsidRPr="00AA5833">
        <w:rPr>
          <w:sz w:val="20"/>
          <w:szCs w:val="20"/>
        </w:rPr>
        <w:t>Aivars.Neimanis@em.gov.lv</w:t>
      </w:r>
      <w:r w:rsidR="003F488F" w:rsidRPr="0010781A">
        <w:rPr>
          <w:sz w:val="20"/>
          <w:szCs w:val="20"/>
        </w:rPr>
        <w:t xml:space="preserve"> </w:t>
      </w:r>
    </w:p>
    <w:p w14:paraId="5E5D92EF" w14:textId="77777777" w:rsidR="00BD6FD2" w:rsidRPr="0010781A" w:rsidRDefault="003F488F" w:rsidP="003F488F">
      <w:pPr>
        <w:rPr>
          <w:sz w:val="20"/>
          <w:szCs w:val="20"/>
        </w:rPr>
      </w:pPr>
      <w:r w:rsidRPr="0010781A">
        <w:rPr>
          <w:sz w:val="20"/>
          <w:szCs w:val="20"/>
        </w:rPr>
        <w:t xml:space="preserve"> </w:t>
      </w:r>
    </w:p>
    <w:sectPr w:rsidR="00BD6FD2" w:rsidRPr="0010781A" w:rsidSect="00644436">
      <w:headerReference w:type="even" r:id="rId8"/>
      <w:headerReference w:type="default" r:id="rId9"/>
      <w:footerReference w:type="default" r:id="rId10"/>
      <w:footerReference w:type="first" r:id="rId11"/>
      <w:pgSz w:w="16838" w:h="11906" w:orient="landscape" w:code="9"/>
      <w:pgMar w:top="709"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07746" w14:textId="77777777" w:rsidR="002D03BE" w:rsidRPr="0076341D" w:rsidRDefault="002D03BE" w:rsidP="00667113">
      <w:pPr>
        <w:rPr>
          <w:sz w:val="22"/>
          <w:szCs w:val="22"/>
        </w:rPr>
      </w:pPr>
      <w:r w:rsidRPr="0076341D">
        <w:rPr>
          <w:sz w:val="22"/>
          <w:szCs w:val="22"/>
        </w:rPr>
        <w:separator/>
      </w:r>
    </w:p>
  </w:endnote>
  <w:endnote w:type="continuationSeparator" w:id="0">
    <w:p w14:paraId="74B251C6" w14:textId="77777777" w:rsidR="002D03BE" w:rsidRPr="0076341D" w:rsidRDefault="002D03BE" w:rsidP="00667113">
      <w:pPr>
        <w:rPr>
          <w:sz w:val="22"/>
          <w:szCs w:val="22"/>
        </w:rPr>
      </w:pPr>
      <w:r w:rsidRPr="0076341D">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12F1" w14:textId="772A9EA7" w:rsidR="00630973" w:rsidRPr="000C3947" w:rsidRDefault="000C3947" w:rsidP="000C3947">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Pr>
        <w:noProof/>
        <w:sz w:val="20"/>
        <w:szCs w:val="20"/>
      </w:rPr>
      <w:t>EMIzz_</w:t>
    </w:r>
    <w:r w:rsidR="008B0DAA">
      <w:rPr>
        <w:noProof/>
        <w:sz w:val="20"/>
        <w:szCs w:val="20"/>
      </w:rPr>
      <w:t>0310</w:t>
    </w:r>
    <w:r>
      <w:rPr>
        <w:noProof/>
        <w:sz w:val="20"/>
        <w:szCs w:val="20"/>
      </w:rPr>
      <w:t>19_</w:t>
    </w:r>
    <w:r w:rsidR="00571ACA">
      <w:rPr>
        <w:noProof/>
        <w:sz w:val="20"/>
        <w:szCs w:val="20"/>
      </w:rPr>
      <w:t>Groz</w:t>
    </w:r>
    <w:r w:rsidR="00DD1A41">
      <w:rPr>
        <w:noProof/>
        <w:sz w:val="20"/>
        <w:szCs w:val="20"/>
      </w:rPr>
      <w:t>ETL</w:t>
    </w:r>
    <w:r>
      <w:rPr>
        <w:noProof/>
        <w:sz w:val="20"/>
        <w:szCs w:val="20"/>
      </w:rPr>
      <w:t>.docx</w:t>
    </w:r>
    <w:r w:rsidRPr="003E0C7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B9019" w14:textId="04EAFB34" w:rsidR="008B0AA4" w:rsidRPr="000C3947" w:rsidRDefault="000C3947" w:rsidP="000C3947">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Pr>
        <w:noProof/>
        <w:sz w:val="20"/>
        <w:szCs w:val="20"/>
      </w:rPr>
      <w:t>EMIzz_</w:t>
    </w:r>
    <w:r w:rsidR="008B0DAA">
      <w:rPr>
        <w:noProof/>
        <w:sz w:val="20"/>
        <w:szCs w:val="20"/>
      </w:rPr>
      <w:t>0310</w:t>
    </w:r>
    <w:r>
      <w:rPr>
        <w:noProof/>
        <w:sz w:val="20"/>
        <w:szCs w:val="20"/>
      </w:rPr>
      <w:t>19_</w:t>
    </w:r>
    <w:r w:rsidR="00571ACA">
      <w:rPr>
        <w:noProof/>
        <w:sz w:val="20"/>
        <w:szCs w:val="20"/>
      </w:rPr>
      <w:t>Groz</w:t>
    </w:r>
    <w:r w:rsidR="00A4561E">
      <w:rPr>
        <w:noProof/>
        <w:sz w:val="20"/>
        <w:szCs w:val="20"/>
      </w:rPr>
      <w:t>ETL</w:t>
    </w:r>
    <w:r>
      <w:rPr>
        <w:noProof/>
        <w:sz w:val="20"/>
        <w:szCs w:val="20"/>
      </w:rPr>
      <w:t>.docx</w:t>
    </w:r>
    <w:r w:rsidRPr="003E0C7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76BEA" w14:textId="77777777" w:rsidR="002D03BE" w:rsidRPr="0076341D" w:rsidRDefault="002D03BE" w:rsidP="00667113">
      <w:pPr>
        <w:rPr>
          <w:sz w:val="22"/>
          <w:szCs w:val="22"/>
        </w:rPr>
      </w:pPr>
      <w:r w:rsidRPr="0076341D">
        <w:rPr>
          <w:sz w:val="22"/>
          <w:szCs w:val="22"/>
        </w:rPr>
        <w:separator/>
      </w:r>
    </w:p>
  </w:footnote>
  <w:footnote w:type="continuationSeparator" w:id="0">
    <w:p w14:paraId="67D5D9F3" w14:textId="77777777" w:rsidR="002D03BE" w:rsidRPr="0076341D" w:rsidRDefault="002D03BE" w:rsidP="00667113">
      <w:pPr>
        <w:rPr>
          <w:sz w:val="22"/>
          <w:szCs w:val="22"/>
        </w:rPr>
      </w:pPr>
      <w:r w:rsidRPr="0076341D">
        <w:rPr>
          <w:sz w:val="22"/>
          <w:szCs w:val="22"/>
        </w:rPr>
        <w:continuationSeparator/>
      </w:r>
    </w:p>
  </w:footnote>
  <w:footnote w:id="1">
    <w:p w14:paraId="3BAB59D3" w14:textId="77777777" w:rsidR="0018741C" w:rsidRDefault="0018741C" w:rsidP="00ED1E18">
      <w:pPr>
        <w:pStyle w:val="FootnoteText"/>
        <w:jc w:val="both"/>
      </w:pPr>
      <w:r>
        <w:rPr>
          <w:rStyle w:val="FootnoteReference"/>
        </w:rPr>
        <w:footnoteRef/>
      </w:r>
      <w:r>
        <w:t xml:space="preserve">Ekonomikas ministrijas 2017.gada 30.oktobra ziņojums “Par izvērtējuma rezultātiem, plānoto rīcību un nepieciešamajām izmaiņām normatīvajos aktos, saistībā ar masu medijos izskanējušajām bažām, ka vairāki uzņēmumi varētu būt krāpušies ar atļaujām elektroenerģijas ražošanai obligātajā iepirkumā”, skatīt: </w:t>
      </w:r>
      <w:r w:rsidRPr="00952C96">
        <w:t>https://em.gov.lv/files/attachments/OIK_Zinojums_31.10.pdf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158E2" w14:textId="77777777" w:rsidR="00630973" w:rsidRPr="0076341D" w:rsidRDefault="00C40C82"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00630973" w:rsidRPr="0076341D">
      <w:rPr>
        <w:rStyle w:val="PageNumber"/>
        <w:sz w:val="22"/>
        <w:szCs w:val="22"/>
      </w:rPr>
      <w:instrText xml:space="preserve">PAGE  </w:instrText>
    </w:r>
    <w:r w:rsidRPr="0076341D">
      <w:rPr>
        <w:rStyle w:val="PageNumber"/>
        <w:sz w:val="22"/>
        <w:szCs w:val="22"/>
      </w:rPr>
      <w:fldChar w:fldCharType="end"/>
    </w:r>
  </w:p>
  <w:p w14:paraId="300BB4E3" w14:textId="77777777" w:rsidR="00630973" w:rsidRPr="0076341D" w:rsidRDefault="00630973">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CEAE2" w14:textId="77777777" w:rsidR="00630973" w:rsidRPr="0076341D" w:rsidRDefault="00C40C82"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00630973" w:rsidRPr="0076341D">
      <w:rPr>
        <w:rStyle w:val="PageNumber"/>
        <w:sz w:val="22"/>
        <w:szCs w:val="22"/>
      </w:rPr>
      <w:instrText xml:space="preserve">PAGE  </w:instrText>
    </w:r>
    <w:r w:rsidRPr="0076341D">
      <w:rPr>
        <w:rStyle w:val="PageNumber"/>
        <w:sz w:val="22"/>
        <w:szCs w:val="22"/>
      </w:rPr>
      <w:fldChar w:fldCharType="separate"/>
    </w:r>
    <w:r w:rsidR="00B07B53">
      <w:rPr>
        <w:rStyle w:val="PageNumber"/>
        <w:noProof/>
        <w:sz w:val="22"/>
        <w:szCs w:val="22"/>
      </w:rPr>
      <w:t>7</w:t>
    </w:r>
    <w:r w:rsidRPr="0076341D">
      <w:rPr>
        <w:rStyle w:val="PageNumber"/>
        <w:sz w:val="22"/>
        <w:szCs w:val="22"/>
      </w:rPr>
      <w:fldChar w:fldCharType="end"/>
    </w:r>
  </w:p>
  <w:p w14:paraId="112BA0B1" w14:textId="77777777" w:rsidR="00630973" w:rsidRPr="0076341D" w:rsidRDefault="00630973">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15F909"/>
    <w:multiLevelType w:val="hybridMultilevel"/>
    <w:tmpl w:val="C4C8C2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F04E6"/>
    <w:multiLevelType w:val="hybridMultilevel"/>
    <w:tmpl w:val="91C0EF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04175"/>
    <w:multiLevelType w:val="hybridMultilevel"/>
    <w:tmpl w:val="B4E8C54E"/>
    <w:lvl w:ilvl="0" w:tplc="0426000F">
      <w:start w:val="1"/>
      <w:numFmt w:val="decimal"/>
      <w:lvlText w:val="%1."/>
      <w:lvlJc w:val="left"/>
      <w:pPr>
        <w:ind w:left="794" w:hanging="360"/>
      </w:pPr>
    </w:lvl>
    <w:lvl w:ilvl="1" w:tplc="04260019" w:tentative="1">
      <w:start w:val="1"/>
      <w:numFmt w:val="lowerLetter"/>
      <w:lvlText w:val="%2."/>
      <w:lvlJc w:val="left"/>
      <w:pPr>
        <w:ind w:left="1514" w:hanging="360"/>
      </w:pPr>
    </w:lvl>
    <w:lvl w:ilvl="2" w:tplc="0426001B" w:tentative="1">
      <w:start w:val="1"/>
      <w:numFmt w:val="lowerRoman"/>
      <w:lvlText w:val="%3."/>
      <w:lvlJc w:val="right"/>
      <w:pPr>
        <w:ind w:left="2234" w:hanging="180"/>
      </w:pPr>
    </w:lvl>
    <w:lvl w:ilvl="3" w:tplc="0426000F" w:tentative="1">
      <w:start w:val="1"/>
      <w:numFmt w:val="decimal"/>
      <w:lvlText w:val="%4."/>
      <w:lvlJc w:val="left"/>
      <w:pPr>
        <w:ind w:left="2954" w:hanging="360"/>
      </w:pPr>
    </w:lvl>
    <w:lvl w:ilvl="4" w:tplc="04260019" w:tentative="1">
      <w:start w:val="1"/>
      <w:numFmt w:val="lowerLetter"/>
      <w:lvlText w:val="%5."/>
      <w:lvlJc w:val="left"/>
      <w:pPr>
        <w:ind w:left="3674" w:hanging="360"/>
      </w:pPr>
    </w:lvl>
    <w:lvl w:ilvl="5" w:tplc="0426001B" w:tentative="1">
      <w:start w:val="1"/>
      <w:numFmt w:val="lowerRoman"/>
      <w:lvlText w:val="%6."/>
      <w:lvlJc w:val="right"/>
      <w:pPr>
        <w:ind w:left="4394" w:hanging="180"/>
      </w:pPr>
    </w:lvl>
    <w:lvl w:ilvl="6" w:tplc="0426000F" w:tentative="1">
      <w:start w:val="1"/>
      <w:numFmt w:val="decimal"/>
      <w:lvlText w:val="%7."/>
      <w:lvlJc w:val="left"/>
      <w:pPr>
        <w:ind w:left="5114" w:hanging="360"/>
      </w:pPr>
    </w:lvl>
    <w:lvl w:ilvl="7" w:tplc="04260019" w:tentative="1">
      <w:start w:val="1"/>
      <w:numFmt w:val="lowerLetter"/>
      <w:lvlText w:val="%8."/>
      <w:lvlJc w:val="left"/>
      <w:pPr>
        <w:ind w:left="5834" w:hanging="360"/>
      </w:pPr>
    </w:lvl>
    <w:lvl w:ilvl="8" w:tplc="0426001B" w:tentative="1">
      <w:start w:val="1"/>
      <w:numFmt w:val="lowerRoman"/>
      <w:lvlText w:val="%9."/>
      <w:lvlJc w:val="right"/>
      <w:pPr>
        <w:ind w:left="6554" w:hanging="180"/>
      </w:pPr>
    </w:lvl>
  </w:abstractNum>
  <w:abstractNum w:abstractNumId="3" w15:restartNumberingAfterBreak="0">
    <w:nsid w:val="1DCA0E59"/>
    <w:multiLevelType w:val="hybridMultilevel"/>
    <w:tmpl w:val="1930BD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9A5A5D"/>
    <w:multiLevelType w:val="hybridMultilevel"/>
    <w:tmpl w:val="FBBCF790"/>
    <w:lvl w:ilvl="0" w:tplc="A3EAB200">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BE659A1"/>
    <w:multiLevelType w:val="hybridMultilevel"/>
    <w:tmpl w:val="3FF88086"/>
    <w:lvl w:ilvl="0" w:tplc="B40818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9B627F5"/>
    <w:multiLevelType w:val="hybridMultilevel"/>
    <w:tmpl w:val="901873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F17E89"/>
    <w:multiLevelType w:val="hybridMultilevel"/>
    <w:tmpl w:val="986A7F8E"/>
    <w:lvl w:ilvl="0" w:tplc="E7A4455A">
      <w:start w:val="1"/>
      <w:numFmt w:val="decimal"/>
      <w:lvlText w:val="%1."/>
      <w:lvlJc w:val="left"/>
      <w:pPr>
        <w:ind w:left="928" w:hanging="360"/>
      </w:pPr>
      <w:rPr>
        <w:rFonts w:cs="Times New Roman" w:hint="default"/>
        <w:i w:val="0"/>
        <w:iCs w:val="0"/>
        <w:sz w:val="28"/>
        <w:szCs w:val="28"/>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15:restartNumberingAfterBreak="0">
    <w:nsid w:val="3C2C3437"/>
    <w:multiLevelType w:val="hybridMultilevel"/>
    <w:tmpl w:val="9C4E0026"/>
    <w:lvl w:ilvl="0" w:tplc="343ADF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DE238C5"/>
    <w:multiLevelType w:val="multilevel"/>
    <w:tmpl w:val="39FA9974"/>
    <w:lvl w:ilvl="0">
      <w:start w:val="5"/>
      <w:numFmt w:val="decimal"/>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1986"/>
        </w:tabs>
        <w:ind w:left="1135"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2295946"/>
    <w:multiLevelType w:val="hybridMultilevel"/>
    <w:tmpl w:val="173A7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392CC9"/>
    <w:multiLevelType w:val="hybridMultilevel"/>
    <w:tmpl w:val="B1EC2B70"/>
    <w:lvl w:ilvl="0" w:tplc="E4DA30CE">
      <w:start w:val="1"/>
      <w:numFmt w:val="decimal"/>
      <w:lvlText w:val="%1."/>
      <w:lvlJc w:val="left"/>
      <w:pPr>
        <w:ind w:left="720"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E920C7D"/>
    <w:multiLevelType w:val="hybridMultilevel"/>
    <w:tmpl w:val="A03E09E4"/>
    <w:lvl w:ilvl="0" w:tplc="CA50ED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C9A3CF1"/>
    <w:multiLevelType w:val="hybridMultilevel"/>
    <w:tmpl w:val="DF901A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D623081"/>
    <w:multiLevelType w:val="hybridMultilevel"/>
    <w:tmpl w:val="32AC3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F113E10"/>
    <w:multiLevelType w:val="hybridMultilevel"/>
    <w:tmpl w:val="3EF828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B276088"/>
    <w:multiLevelType w:val="hybridMultilevel"/>
    <w:tmpl w:val="33DC0B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F0B1674"/>
    <w:multiLevelType w:val="hybridMultilevel"/>
    <w:tmpl w:val="4AEA86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F140064"/>
    <w:multiLevelType w:val="hybridMultilevel"/>
    <w:tmpl w:val="759C4878"/>
    <w:lvl w:ilvl="0" w:tplc="0426000F">
      <w:start w:val="1"/>
      <w:numFmt w:val="bullet"/>
      <w:pStyle w:val="bullet"/>
      <w:lvlText w:val=""/>
      <w:lvlJc w:val="left"/>
      <w:pPr>
        <w:tabs>
          <w:tab w:val="num" w:pos="644"/>
        </w:tabs>
        <w:ind w:left="644" w:hanging="360"/>
      </w:pPr>
      <w:rPr>
        <w:rFonts w:ascii="Symbol" w:hAnsi="Symbol" w:hint="default"/>
      </w:rPr>
    </w:lvl>
    <w:lvl w:ilvl="1" w:tplc="EAE4E820">
      <w:start w:val="1"/>
      <w:numFmt w:val="bullet"/>
      <w:lvlText w:val="o"/>
      <w:lvlJc w:val="left"/>
      <w:pPr>
        <w:tabs>
          <w:tab w:val="num" w:pos="1367"/>
        </w:tabs>
        <w:ind w:left="1367" w:hanging="360"/>
      </w:pPr>
      <w:rPr>
        <w:rFonts w:ascii="Courier New" w:hAnsi="Courier New" w:hint="default"/>
      </w:rPr>
    </w:lvl>
    <w:lvl w:ilvl="2" w:tplc="9F38B92C">
      <w:start w:val="1"/>
      <w:numFmt w:val="bullet"/>
      <w:lvlText w:val=""/>
      <w:lvlJc w:val="left"/>
      <w:pPr>
        <w:tabs>
          <w:tab w:val="num" w:pos="2087"/>
        </w:tabs>
        <w:ind w:left="2087" w:hanging="360"/>
      </w:pPr>
      <w:rPr>
        <w:rFonts w:ascii="Wingdings" w:hAnsi="Wingdings" w:hint="default"/>
      </w:rPr>
    </w:lvl>
    <w:lvl w:ilvl="3" w:tplc="74D8103C" w:tentative="1">
      <w:start w:val="1"/>
      <w:numFmt w:val="bullet"/>
      <w:lvlText w:val=""/>
      <w:lvlJc w:val="left"/>
      <w:pPr>
        <w:tabs>
          <w:tab w:val="num" w:pos="2807"/>
        </w:tabs>
        <w:ind w:left="2807" w:hanging="360"/>
      </w:pPr>
      <w:rPr>
        <w:rFonts w:ascii="Symbol" w:hAnsi="Symbol" w:hint="default"/>
      </w:rPr>
    </w:lvl>
    <w:lvl w:ilvl="4" w:tplc="544A2A0C" w:tentative="1">
      <w:start w:val="1"/>
      <w:numFmt w:val="bullet"/>
      <w:lvlText w:val="o"/>
      <w:lvlJc w:val="left"/>
      <w:pPr>
        <w:tabs>
          <w:tab w:val="num" w:pos="3527"/>
        </w:tabs>
        <w:ind w:left="3527" w:hanging="360"/>
      </w:pPr>
      <w:rPr>
        <w:rFonts w:ascii="Courier New" w:hAnsi="Courier New" w:hint="default"/>
      </w:rPr>
    </w:lvl>
    <w:lvl w:ilvl="5" w:tplc="6A3E48EA" w:tentative="1">
      <w:start w:val="1"/>
      <w:numFmt w:val="bullet"/>
      <w:lvlText w:val=""/>
      <w:lvlJc w:val="left"/>
      <w:pPr>
        <w:tabs>
          <w:tab w:val="num" w:pos="4247"/>
        </w:tabs>
        <w:ind w:left="4247" w:hanging="360"/>
      </w:pPr>
      <w:rPr>
        <w:rFonts w:ascii="Wingdings" w:hAnsi="Wingdings" w:hint="default"/>
      </w:rPr>
    </w:lvl>
    <w:lvl w:ilvl="6" w:tplc="CE7CE910" w:tentative="1">
      <w:start w:val="1"/>
      <w:numFmt w:val="bullet"/>
      <w:lvlText w:val=""/>
      <w:lvlJc w:val="left"/>
      <w:pPr>
        <w:tabs>
          <w:tab w:val="num" w:pos="4967"/>
        </w:tabs>
        <w:ind w:left="4967" w:hanging="360"/>
      </w:pPr>
      <w:rPr>
        <w:rFonts w:ascii="Symbol" w:hAnsi="Symbol" w:hint="default"/>
      </w:rPr>
    </w:lvl>
    <w:lvl w:ilvl="7" w:tplc="876E1C2A" w:tentative="1">
      <w:start w:val="1"/>
      <w:numFmt w:val="bullet"/>
      <w:lvlText w:val="o"/>
      <w:lvlJc w:val="left"/>
      <w:pPr>
        <w:tabs>
          <w:tab w:val="num" w:pos="5687"/>
        </w:tabs>
        <w:ind w:left="5687" w:hanging="360"/>
      </w:pPr>
      <w:rPr>
        <w:rFonts w:ascii="Courier New" w:hAnsi="Courier New" w:hint="default"/>
      </w:rPr>
    </w:lvl>
    <w:lvl w:ilvl="8" w:tplc="C1B6EEAC" w:tentative="1">
      <w:start w:val="1"/>
      <w:numFmt w:val="bullet"/>
      <w:lvlText w:val=""/>
      <w:lvlJc w:val="left"/>
      <w:pPr>
        <w:tabs>
          <w:tab w:val="num" w:pos="6407"/>
        </w:tabs>
        <w:ind w:left="6407" w:hanging="360"/>
      </w:pPr>
      <w:rPr>
        <w:rFonts w:ascii="Wingdings" w:hAnsi="Wingdings" w:hint="default"/>
      </w:rPr>
    </w:lvl>
  </w:abstractNum>
  <w:num w:numId="1">
    <w:abstractNumId w:val="9"/>
  </w:num>
  <w:num w:numId="2">
    <w:abstractNumId w:val="19"/>
  </w:num>
  <w:num w:numId="3">
    <w:abstractNumId w:val="16"/>
  </w:num>
  <w:num w:numId="4">
    <w:abstractNumId w:val="0"/>
  </w:num>
  <w:num w:numId="5">
    <w:abstractNumId w:val="15"/>
  </w:num>
  <w:num w:numId="6">
    <w:abstractNumId w:val="17"/>
  </w:num>
  <w:num w:numId="7">
    <w:abstractNumId w:val="14"/>
  </w:num>
  <w:num w:numId="8">
    <w:abstractNumId w:val="5"/>
  </w:num>
  <w:num w:numId="9">
    <w:abstractNumId w:val="3"/>
  </w:num>
  <w:num w:numId="10">
    <w:abstractNumId w:val="6"/>
  </w:num>
  <w:num w:numId="11">
    <w:abstractNumId w:val="2"/>
  </w:num>
  <w:num w:numId="12">
    <w:abstractNumId w:val="7"/>
  </w:num>
  <w:num w:numId="13">
    <w:abstractNumId w:val="10"/>
  </w:num>
  <w:num w:numId="14">
    <w:abstractNumId w:val="8"/>
  </w:num>
  <w:num w:numId="15">
    <w:abstractNumId w:val="13"/>
  </w:num>
  <w:num w:numId="16">
    <w:abstractNumId w:val="11"/>
  </w:num>
  <w:num w:numId="17">
    <w:abstractNumId w:val="4"/>
  </w:num>
  <w:num w:numId="18">
    <w:abstractNumId w:val="1"/>
  </w:num>
  <w:num w:numId="19">
    <w:abstractNumId w:val="12"/>
  </w:num>
  <w:num w:numId="2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D2"/>
    <w:rsid w:val="00000060"/>
    <w:rsid w:val="00000F35"/>
    <w:rsid w:val="0000290C"/>
    <w:rsid w:val="000029FE"/>
    <w:rsid w:val="00003D15"/>
    <w:rsid w:val="000042FE"/>
    <w:rsid w:val="000056B6"/>
    <w:rsid w:val="00005A61"/>
    <w:rsid w:val="000063BD"/>
    <w:rsid w:val="000071E4"/>
    <w:rsid w:val="00010710"/>
    <w:rsid w:val="00010A1D"/>
    <w:rsid w:val="0001157B"/>
    <w:rsid w:val="0001271F"/>
    <w:rsid w:val="00012BA1"/>
    <w:rsid w:val="000152EA"/>
    <w:rsid w:val="00015A6B"/>
    <w:rsid w:val="00015DD8"/>
    <w:rsid w:val="000160F5"/>
    <w:rsid w:val="00016AF0"/>
    <w:rsid w:val="00016B7E"/>
    <w:rsid w:val="00020E37"/>
    <w:rsid w:val="000220FC"/>
    <w:rsid w:val="0002252E"/>
    <w:rsid w:val="00022A56"/>
    <w:rsid w:val="00023296"/>
    <w:rsid w:val="00023407"/>
    <w:rsid w:val="00023D96"/>
    <w:rsid w:val="0002430A"/>
    <w:rsid w:val="00025376"/>
    <w:rsid w:val="00025A73"/>
    <w:rsid w:val="000278E0"/>
    <w:rsid w:val="000305D0"/>
    <w:rsid w:val="0003093E"/>
    <w:rsid w:val="000315EE"/>
    <w:rsid w:val="00031ACD"/>
    <w:rsid w:val="00032363"/>
    <w:rsid w:val="00032580"/>
    <w:rsid w:val="00032BEF"/>
    <w:rsid w:val="00032E7E"/>
    <w:rsid w:val="0003346E"/>
    <w:rsid w:val="0003420D"/>
    <w:rsid w:val="00034493"/>
    <w:rsid w:val="00034721"/>
    <w:rsid w:val="00034A65"/>
    <w:rsid w:val="00034CF3"/>
    <w:rsid w:val="00035569"/>
    <w:rsid w:val="0003638B"/>
    <w:rsid w:val="00036E3B"/>
    <w:rsid w:val="000370E8"/>
    <w:rsid w:val="00037729"/>
    <w:rsid w:val="0003789B"/>
    <w:rsid w:val="00037FF9"/>
    <w:rsid w:val="00040013"/>
    <w:rsid w:val="00040922"/>
    <w:rsid w:val="000410C8"/>
    <w:rsid w:val="0004188F"/>
    <w:rsid w:val="00041E34"/>
    <w:rsid w:val="00041E9B"/>
    <w:rsid w:val="000421C0"/>
    <w:rsid w:val="000427EB"/>
    <w:rsid w:val="00044DFE"/>
    <w:rsid w:val="00045003"/>
    <w:rsid w:val="00045185"/>
    <w:rsid w:val="00045CAD"/>
    <w:rsid w:val="00045EBD"/>
    <w:rsid w:val="00046292"/>
    <w:rsid w:val="00046391"/>
    <w:rsid w:val="000464D8"/>
    <w:rsid w:val="0004757A"/>
    <w:rsid w:val="000507B7"/>
    <w:rsid w:val="00050A9B"/>
    <w:rsid w:val="00051CA8"/>
    <w:rsid w:val="00051CB8"/>
    <w:rsid w:val="00052417"/>
    <w:rsid w:val="00052E70"/>
    <w:rsid w:val="00053082"/>
    <w:rsid w:val="00053A27"/>
    <w:rsid w:val="00053E1A"/>
    <w:rsid w:val="000545B4"/>
    <w:rsid w:val="00055430"/>
    <w:rsid w:val="000562FA"/>
    <w:rsid w:val="000568C8"/>
    <w:rsid w:val="00056A1F"/>
    <w:rsid w:val="00056A7D"/>
    <w:rsid w:val="00056BA5"/>
    <w:rsid w:val="00056D84"/>
    <w:rsid w:val="00060B29"/>
    <w:rsid w:val="00060E17"/>
    <w:rsid w:val="00061DA8"/>
    <w:rsid w:val="00062A8A"/>
    <w:rsid w:val="00063FF1"/>
    <w:rsid w:val="0006578D"/>
    <w:rsid w:val="000668AB"/>
    <w:rsid w:val="00067075"/>
    <w:rsid w:val="000673FA"/>
    <w:rsid w:val="000703F3"/>
    <w:rsid w:val="00071423"/>
    <w:rsid w:val="00071745"/>
    <w:rsid w:val="000722FD"/>
    <w:rsid w:val="000724A8"/>
    <w:rsid w:val="000725F3"/>
    <w:rsid w:val="00072980"/>
    <w:rsid w:val="00072DF4"/>
    <w:rsid w:val="00072E6C"/>
    <w:rsid w:val="000743AD"/>
    <w:rsid w:val="000743B4"/>
    <w:rsid w:val="000743EF"/>
    <w:rsid w:val="00074775"/>
    <w:rsid w:val="0007484B"/>
    <w:rsid w:val="00074A6E"/>
    <w:rsid w:val="00074FFE"/>
    <w:rsid w:val="00075003"/>
    <w:rsid w:val="00075AC7"/>
    <w:rsid w:val="00075C17"/>
    <w:rsid w:val="0007680E"/>
    <w:rsid w:val="00076F8F"/>
    <w:rsid w:val="0007745A"/>
    <w:rsid w:val="00077D16"/>
    <w:rsid w:val="00080CD0"/>
    <w:rsid w:val="00081FE8"/>
    <w:rsid w:val="00082B44"/>
    <w:rsid w:val="0008399D"/>
    <w:rsid w:val="00083ABE"/>
    <w:rsid w:val="00083CE6"/>
    <w:rsid w:val="00084003"/>
    <w:rsid w:val="00084D0D"/>
    <w:rsid w:val="000851D4"/>
    <w:rsid w:val="000855D7"/>
    <w:rsid w:val="00085998"/>
    <w:rsid w:val="000859C0"/>
    <w:rsid w:val="0008781E"/>
    <w:rsid w:val="000904BE"/>
    <w:rsid w:val="000904E0"/>
    <w:rsid w:val="000906CF"/>
    <w:rsid w:val="0009070A"/>
    <w:rsid w:val="00090BD4"/>
    <w:rsid w:val="00090ED9"/>
    <w:rsid w:val="00090F8E"/>
    <w:rsid w:val="000911F4"/>
    <w:rsid w:val="00091E21"/>
    <w:rsid w:val="00092DAD"/>
    <w:rsid w:val="00093937"/>
    <w:rsid w:val="00094EA6"/>
    <w:rsid w:val="00095512"/>
    <w:rsid w:val="0009597E"/>
    <w:rsid w:val="00095A96"/>
    <w:rsid w:val="00095EC4"/>
    <w:rsid w:val="00097B6C"/>
    <w:rsid w:val="000A03FE"/>
    <w:rsid w:val="000A0D41"/>
    <w:rsid w:val="000A107B"/>
    <w:rsid w:val="000A1AD5"/>
    <w:rsid w:val="000A1BA6"/>
    <w:rsid w:val="000A1BED"/>
    <w:rsid w:val="000A1D9C"/>
    <w:rsid w:val="000A1DBB"/>
    <w:rsid w:val="000A30AD"/>
    <w:rsid w:val="000A3313"/>
    <w:rsid w:val="000A3B50"/>
    <w:rsid w:val="000A4600"/>
    <w:rsid w:val="000A4D6C"/>
    <w:rsid w:val="000A54F1"/>
    <w:rsid w:val="000A566A"/>
    <w:rsid w:val="000A56BC"/>
    <w:rsid w:val="000A604E"/>
    <w:rsid w:val="000A6BED"/>
    <w:rsid w:val="000A7896"/>
    <w:rsid w:val="000B0340"/>
    <w:rsid w:val="000B04F7"/>
    <w:rsid w:val="000B0C75"/>
    <w:rsid w:val="000B0C81"/>
    <w:rsid w:val="000B0FEA"/>
    <w:rsid w:val="000B1379"/>
    <w:rsid w:val="000B1752"/>
    <w:rsid w:val="000B1763"/>
    <w:rsid w:val="000B1EC9"/>
    <w:rsid w:val="000B4ABC"/>
    <w:rsid w:val="000B5851"/>
    <w:rsid w:val="000B62FC"/>
    <w:rsid w:val="000B6483"/>
    <w:rsid w:val="000B6FB9"/>
    <w:rsid w:val="000C08BF"/>
    <w:rsid w:val="000C1646"/>
    <w:rsid w:val="000C197D"/>
    <w:rsid w:val="000C3040"/>
    <w:rsid w:val="000C30BB"/>
    <w:rsid w:val="000C3268"/>
    <w:rsid w:val="000C3947"/>
    <w:rsid w:val="000C3BE2"/>
    <w:rsid w:val="000C470C"/>
    <w:rsid w:val="000C6B57"/>
    <w:rsid w:val="000C6BC3"/>
    <w:rsid w:val="000C701D"/>
    <w:rsid w:val="000C7509"/>
    <w:rsid w:val="000C7B51"/>
    <w:rsid w:val="000D12DD"/>
    <w:rsid w:val="000D187D"/>
    <w:rsid w:val="000D22BD"/>
    <w:rsid w:val="000D4381"/>
    <w:rsid w:val="000D43DB"/>
    <w:rsid w:val="000D5307"/>
    <w:rsid w:val="000D5C90"/>
    <w:rsid w:val="000D62FB"/>
    <w:rsid w:val="000D635A"/>
    <w:rsid w:val="000D660E"/>
    <w:rsid w:val="000D68B8"/>
    <w:rsid w:val="000D790E"/>
    <w:rsid w:val="000D7E9E"/>
    <w:rsid w:val="000E0241"/>
    <w:rsid w:val="000E0C23"/>
    <w:rsid w:val="000E2A20"/>
    <w:rsid w:val="000E2B30"/>
    <w:rsid w:val="000E2BD0"/>
    <w:rsid w:val="000E4C93"/>
    <w:rsid w:val="000E4E81"/>
    <w:rsid w:val="000E50D9"/>
    <w:rsid w:val="000E52F7"/>
    <w:rsid w:val="000E5AE4"/>
    <w:rsid w:val="000E65ED"/>
    <w:rsid w:val="000E6618"/>
    <w:rsid w:val="000E66D7"/>
    <w:rsid w:val="000E6701"/>
    <w:rsid w:val="000E6B04"/>
    <w:rsid w:val="000E738C"/>
    <w:rsid w:val="000F03BD"/>
    <w:rsid w:val="000F080E"/>
    <w:rsid w:val="000F0A8E"/>
    <w:rsid w:val="000F1575"/>
    <w:rsid w:val="000F1DD9"/>
    <w:rsid w:val="000F1EB8"/>
    <w:rsid w:val="000F4117"/>
    <w:rsid w:val="000F459E"/>
    <w:rsid w:val="000F4C39"/>
    <w:rsid w:val="000F5652"/>
    <w:rsid w:val="000F5A5F"/>
    <w:rsid w:val="000F5B0F"/>
    <w:rsid w:val="000F5E49"/>
    <w:rsid w:val="000F6458"/>
    <w:rsid w:val="000F6A35"/>
    <w:rsid w:val="000F6A78"/>
    <w:rsid w:val="000F72EB"/>
    <w:rsid w:val="000F7C7D"/>
    <w:rsid w:val="00103956"/>
    <w:rsid w:val="00103D50"/>
    <w:rsid w:val="00103E6A"/>
    <w:rsid w:val="00103F3E"/>
    <w:rsid w:val="001043AB"/>
    <w:rsid w:val="00104816"/>
    <w:rsid w:val="0010602E"/>
    <w:rsid w:val="00106DAF"/>
    <w:rsid w:val="00106ED8"/>
    <w:rsid w:val="0010781A"/>
    <w:rsid w:val="001100BF"/>
    <w:rsid w:val="0011212E"/>
    <w:rsid w:val="001122C2"/>
    <w:rsid w:val="00112A64"/>
    <w:rsid w:val="0011396F"/>
    <w:rsid w:val="00114307"/>
    <w:rsid w:val="001143D1"/>
    <w:rsid w:val="00114B5B"/>
    <w:rsid w:val="00114CD1"/>
    <w:rsid w:val="00114DE0"/>
    <w:rsid w:val="001151F8"/>
    <w:rsid w:val="001157E9"/>
    <w:rsid w:val="001169A2"/>
    <w:rsid w:val="00117E34"/>
    <w:rsid w:val="00120068"/>
    <w:rsid w:val="001200CD"/>
    <w:rsid w:val="001211FD"/>
    <w:rsid w:val="00122873"/>
    <w:rsid w:val="00123148"/>
    <w:rsid w:val="0012469D"/>
    <w:rsid w:val="00124852"/>
    <w:rsid w:val="001255C6"/>
    <w:rsid w:val="0012589F"/>
    <w:rsid w:val="00125A65"/>
    <w:rsid w:val="00126D5B"/>
    <w:rsid w:val="0012759F"/>
    <w:rsid w:val="00130C68"/>
    <w:rsid w:val="00131657"/>
    <w:rsid w:val="00131D37"/>
    <w:rsid w:val="0013236C"/>
    <w:rsid w:val="0013245A"/>
    <w:rsid w:val="001341B3"/>
    <w:rsid w:val="00134877"/>
    <w:rsid w:val="0013501C"/>
    <w:rsid w:val="00136611"/>
    <w:rsid w:val="001366C5"/>
    <w:rsid w:val="00137001"/>
    <w:rsid w:val="001377D1"/>
    <w:rsid w:val="00137A20"/>
    <w:rsid w:val="001410F2"/>
    <w:rsid w:val="00142004"/>
    <w:rsid w:val="001424D0"/>
    <w:rsid w:val="0014329A"/>
    <w:rsid w:val="001439BA"/>
    <w:rsid w:val="001450C8"/>
    <w:rsid w:val="0014510D"/>
    <w:rsid w:val="00146113"/>
    <w:rsid w:val="001463E7"/>
    <w:rsid w:val="0014653C"/>
    <w:rsid w:val="001475EA"/>
    <w:rsid w:val="00147EB9"/>
    <w:rsid w:val="0015002B"/>
    <w:rsid w:val="0015041D"/>
    <w:rsid w:val="00150722"/>
    <w:rsid w:val="00150A52"/>
    <w:rsid w:val="00150AB6"/>
    <w:rsid w:val="00150F7A"/>
    <w:rsid w:val="0015141F"/>
    <w:rsid w:val="00151B22"/>
    <w:rsid w:val="00152682"/>
    <w:rsid w:val="00152CC3"/>
    <w:rsid w:val="00153275"/>
    <w:rsid w:val="00154098"/>
    <w:rsid w:val="0015486D"/>
    <w:rsid w:val="0015534F"/>
    <w:rsid w:val="00156C70"/>
    <w:rsid w:val="001579A1"/>
    <w:rsid w:val="00157A2D"/>
    <w:rsid w:val="00157AFF"/>
    <w:rsid w:val="00160089"/>
    <w:rsid w:val="00160845"/>
    <w:rsid w:val="0016094D"/>
    <w:rsid w:val="0016114A"/>
    <w:rsid w:val="00162CB5"/>
    <w:rsid w:val="00163C30"/>
    <w:rsid w:val="00163EFB"/>
    <w:rsid w:val="00164247"/>
    <w:rsid w:val="00164CA2"/>
    <w:rsid w:val="00164D20"/>
    <w:rsid w:val="001667A3"/>
    <w:rsid w:val="001671A2"/>
    <w:rsid w:val="00167636"/>
    <w:rsid w:val="00171474"/>
    <w:rsid w:val="0017168C"/>
    <w:rsid w:val="00171866"/>
    <w:rsid w:val="001728FB"/>
    <w:rsid w:val="0017392A"/>
    <w:rsid w:val="001740EC"/>
    <w:rsid w:val="001743A5"/>
    <w:rsid w:val="00174A2B"/>
    <w:rsid w:val="00175340"/>
    <w:rsid w:val="0017554B"/>
    <w:rsid w:val="0017752B"/>
    <w:rsid w:val="00177769"/>
    <w:rsid w:val="00177DD2"/>
    <w:rsid w:val="00181370"/>
    <w:rsid w:val="0018323E"/>
    <w:rsid w:val="0018347D"/>
    <w:rsid w:val="00184EE0"/>
    <w:rsid w:val="001855A4"/>
    <w:rsid w:val="001857E4"/>
    <w:rsid w:val="00185BA8"/>
    <w:rsid w:val="00186BA5"/>
    <w:rsid w:val="00186FAA"/>
    <w:rsid w:val="00186FBD"/>
    <w:rsid w:val="00186FD6"/>
    <w:rsid w:val="001870B6"/>
    <w:rsid w:val="0018741C"/>
    <w:rsid w:val="00187B60"/>
    <w:rsid w:val="00187D95"/>
    <w:rsid w:val="001910FA"/>
    <w:rsid w:val="00191964"/>
    <w:rsid w:val="00191A9D"/>
    <w:rsid w:val="001922DC"/>
    <w:rsid w:val="001923A2"/>
    <w:rsid w:val="001926F8"/>
    <w:rsid w:val="00193561"/>
    <w:rsid w:val="00194F8D"/>
    <w:rsid w:val="001952FA"/>
    <w:rsid w:val="00195995"/>
    <w:rsid w:val="0019612C"/>
    <w:rsid w:val="00196384"/>
    <w:rsid w:val="00196AA0"/>
    <w:rsid w:val="00196ACD"/>
    <w:rsid w:val="00197080"/>
    <w:rsid w:val="00197EB7"/>
    <w:rsid w:val="001A09E8"/>
    <w:rsid w:val="001A128C"/>
    <w:rsid w:val="001A187B"/>
    <w:rsid w:val="001A199F"/>
    <w:rsid w:val="001A33E3"/>
    <w:rsid w:val="001A4968"/>
    <w:rsid w:val="001A58F7"/>
    <w:rsid w:val="001A673A"/>
    <w:rsid w:val="001A68B6"/>
    <w:rsid w:val="001A76E1"/>
    <w:rsid w:val="001A7957"/>
    <w:rsid w:val="001A7BDD"/>
    <w:rsid w:val="001A7CDD"/>
    <w:rsid w:val="001A7FC0"/>
    <w:rsid w:val="001B060C"/>
    <w:rsid w:val="001B1342"/>
    <w:rsid w:val="001B1545"/>
    <w:rsid w:val="001B2986"/>
    <w:rsid w:val="001B5129"/>
    <w:rsid w:val="001B5A32"/>
    <w:rsid w:val="001B5E2F"/>
    <w:rsid w:val="001B776F"/>
    <w:rsid w:val="001B7CED"/>
    <w:rsid w:val="001C08A6"/>
    <w:rsid w:val="001C1A5D"/>
    <w:rsid w:val="001C262C"/>
    <w:rsid w:val="001C2901"/>
    <w:rsid w:val="001C292E"/>
    <w:rsid w:val="001C428D"/>
    <w:rsid w:val="001C499A"/>
    <w:rsid w:val="001C4A80"/>
    <w:rsid w:val="001C4FD5"/>
    <w:rsid w:val="001C55C3"/>
    <w:rsid w:val="001C6EE9"/>
    <w:rsid w:val="001C7ED2"/>
    <w:rsid w:val="001D0A14"/>
    <w:rsid w:val="001D0DAA"/>
    <w:rsid w:val="001D162A"/>
    <w:rsid w:val="001D1A3E"/>
    <w:rsid w:val="001D23F8"/>
    <w:rsid w:val="001D2778"/>
    <w:rsid w:val="001D32DA"/>
    <w:rsid w:val="001D3EA5"/>
    <w:rsid w:val="001D3F1A"/>
    <w:rsid w:val="001D46F6"/>
    <w:rsid w:val="001D47A4"/>
    <w:rsid w:val="001D4AB1"/>
    <w:rsid w:val="001D5CCD"/>
    <w:rsid w:val="001D5E35"/>
    <w:rsid w:val="001D66DB"/>
    <w:rsid w:val="001E176F"/>
    <w:rsid w:val="001E1C91"/>
    <w:rsid w:val="001E2109"/>
    <w:rsid w:val="001E22D7"/>
    <w:rsid w:val="001E293A"/>
    <w:rsid w:val="001E3DB1"/>
    <w:rsid w:val="001E53D1"/>
    <w:rsid w:val="001E5C70"/>
    <w:rsid w:val="001E6065"/>
    <w:rsid w:val="001E6C51"/>
    <w:rsid w:val="001F07A3"/>
    <w:rsid w:val="001F096A"/>
    <w:rsid w:val="001F0BCD"/>
    <w:rsid w:val="001F20DD"/>
    <w:rsid w:val="001F2F49"/>
    <w:rsid w:val="001F39C8"/>
    <w:rsid w:val="001F3BF8"/>
    <w:rsid w:val="001F3D2F"/>
    <w:rsid w:val="001F4585"/>
    <w:rsid w:val="001F499B"/>
    <w:rsid w:val="001F5273"/>
    <w:rsid w:val="001F5403"/>
    <w:rsid w:val="001F633A"/>
    <w:rsid w:val="001F65BE"/>
    <w:rsid w:val="001F6AF4"/>
    <w:rsid w:val="001F6EED"/>
    <w:rsid w:val="001F7DF8"/>
    <w:rsid w:val="001F7EF2"/>
    <w:rsid w:val="002003BF"/>
    <w:rsid w:val="002004E4"/>
    <w:rsid w:val="00200C1F"/>
    <w:rsid w:val="00200E1F"/>
    <w:rsid w:val="002029DD"/>
    <w:rsid w:val="00203414"/>
    <w:rsid w:val="00203F73"/>
    <w:rsid w:val="00204854"/>
    <w:rsid w:val="002058A6"/>
    <w:rsid w:val="002061A0"/>
    <w:rsid w:val="0020631D"/>
    <w:rsid w:val="00206523"/>
    <w:rsid w:val="002104A8"/>
    <w:rsid w:val="002106A6"/>
    <w:rsid w:val="00210F6C"/>
    <w:rsid w:val="002116BF"/>
    <w:rsid w:val="00211B10"/>
    <w:rsid w:val="00211BCA"/>
    <w:rsid w:val="00211C85"/>
    <w:rsid w:val="00212497"/>
    <w:rsid w:val="00212582"/>
    <w:rsid w:val="00212819"/>
    <w:rsid w:val="00212A6A"/>
    <w:rsid w:val="002143A1"/>
    <w:rsid w:val="002152E9"/>
    <w:rsid w:val="002154E3"/>
    <w:rsid w:val="00216246"/>
    <w:rsid w:val="00216353"/>
    <w:rsid w:val="00216743"/>
    <w:rsid w:val="00217122"/>
    <w:rsid w:val="00217618"/>
    <w:rsid w:val="00217694"/>
    <w:rsid w:val="0021787A"/>
    <w:rsid w:val="00220515"/>
    <w:rsid w:val="00221091"/>
    <w:rsid w:val="00221477"/>
    <w:rsid w:val="00221736"/>
    <w:rsid w:val="00222D2A"/>
    <w:rsid w:val="00223957"/>
    <w:rsid w:val="0022497B"/>
    <w:rsid w:val="00225C3D"/>
    <w:rsid w:val="00225E15"/>
    <w:rsid w:val="00226D23"/>
    <w:rsid w:val="00226F81"/>
    <w:rsid w:val="002271E3"/>
    <w:rsid w:val="00227F27"/>
    <w:rsid w:val="002306C9"/>
    <w:rsid w:val="00230B92"/>
    <w:rsid w:val="00230B9D"/>
    <w:rsid w:val="00230CEF"/>
    <w:rsid w:val="00230E29"/>
    <w:rsid w:val="0023313B"/>
    <w:rsid w:val="002342A8"/>
    <w:rsid w:val="00234EE6"/>
    <w:rsid w:val="00235020"/>
    <w:rsid w:val="00235306"/>
    <w:rsid w:val="0023618A"/>
    <w:rsid w:val="00236265"/>
    <w:rsid w:val="00236EB2"/>
    <w:rsid w:val="002370E1"/>
    <w:rsid w:val="00237D01"/>
    <w:rsid w:val="0024054A"/>
    <w:rsid w:val="002406A8"/>
    <w:rsid w:val="00241045"/>
    <w:rsid w:val="00241D03"/>
    <w:rsid w:val="00241FBC"/>
    <w:rsid w:val="00242044"/>
    <w:rsid w:val="0024335E"/>
    <w:rsid w:val="00244233"/>
    <w:rsid w:val="00244E04"/>
    <w:rsid w:val="002461AB"/>
    <w:rsid w:val="00246377"/>
    <w:rsid w:val="0024639B"/>
    <w:rsid w:val="002464F4"/>
    <w:rsid w:val="00246E86"/>
    <w:rsid w:val="00246FF3"/>
    <w:rsid w:val="00247E02"/>
    <w:rsid w:val="0025027E"/>
    <w:rsid w:val="0025134B"/>
    <w:rsid w:val="002516DD"/>
    <w:rsid w:val="00251D27"/>
    <w:rsid w:val="00252574"/>
    <w:rsid w:val="002528D3"/>
    <w:rsid w:val="00252CB6"/>
    <w:rsid w:val="002533D0"/>
    <w:rsid w:val="002567E1"/>
    <w:rsid w:val="0025746C"/>
    <w:rsid w:val="00257D4F"/>
    <w:rsid w:val="0026062C"/>
    <w:rsid w:val="00261C23"/>
    <w:rsid w:val="002620DB"/>
    <w:rsid w:val="00262207"/>
    <w:rsid w:val="002625DF"/>
    <w:rsid w:val="0026278D"/>
    <w:rsid w:val="0026403B"/>
    <w:rsid w:val="00264560"/>
    <w:rsid w:val="0026493D"/>
    <w:rsid w:val="00264F21"/>
    <w:rsid w:val="00265644"/>
    <w:rsid w:val="00265F7E"/>
    <w:rsid w:val="00266A15"/>
    <w:rsid w:val="002709A7"/>
    <w:rsid w:val="002712A3"/>
    <w:rsid w:val="00271415"/>
    <w:rsid w:val="00271452"/>
    <w:rsid w:val="00271997"/>
    <w:rsid w:val="00272281"/>
    <w:rsid w:val="002725FF"/>
    <w:rsid w:val="00272C44"/>
    <w:rsid w:val="00272EC2"/>
    <w:rsid w:val="00275F05"/>
    <w:rsid w:val="00280EF1"/>
    <w:rsid w:val="002815FC"/>
    <w:rsid w:val="00281757"/>
    <w:rsid w:val="00281AE1"/>
    <w:rsid w:val="00281FC9"/>
    <w:rsid w:val="0028361F"/>
    <w:rsid w:val="0028396E"/>
    <w:rsid w:val="00284B4B"/>
    <w:rsid w:val="00284CCF"/>
    <w:rsid w:val="00285B56"/>
    <w:rsid w:val="00286550"/>
    <w:rsid w:val="00287113"/>
    <w:rsid w:val="0029034E"/>
    <w:rsid w:val="00290772"/>
    <w:rsid w:val="00290C90"/>
    <w:rsid w:val="0029148B"/>
    <w:rsid w:val="00291F0C"/>
    <w:rsid w:val="00292075"/>
    <w:rsid w:val="00292D0D"/>
    <w:rsid w:val="00292D22"/>
    <w:rsid w:val="00294EAA"/>
    <w:rsid w:val="0029515F"/>
    <w:rsid w:val="002962E0"/>
    <w:rsid w:val="0029642E"/>
    <w:rsid w:val="00296EC4"/>
    <w:rsid w:val="00297E3C"/>
    <w:rsid w:val="002A0088"/>
    <w:rsid w:val="002A1273"/>
    <w:rsid w:val="002A127E"/>
    <w:rsid w:val="002A1CB8"/>
    <w:rsid w:val="002A2881"/>
    <w:rsid w:val="002A2BF9"/>
    <w:rsid w:val="002A3469"/>
    <w:rsid w:val="002A3BC5"/>
    <w:rsid w:val="002A404C"/>
    <w:rsid w:val="002A4DEE"/>
    <w:rsid w:val="002A517A"/>
    <w:rsid w:val="002A6450"/>
    <w:rsid w:val="002A64A2"/>
    <w:rsid w:val="002A6945"/>
    <w:rsid w:val="002A702C"/>
    <w:rsid w:val="002A7D7F"/>
    <w:rsid w:val="002A7F48"/>
    <w:rsid w:val="002B05A3"/>
    <w:rsid w:val="002B0B9A"/>
    <w:rsid w:val="002B16EB"/>
    <w:rsid w:val="002B1A68"/>
    <w:rsid w:val="002B2275"/>
    <w:rsid w:val="002B32BF"/>
    <w:rsid w:val="002B36E9"/>
    <w:rsid w:val="002B380E"/>
    <w:rsid w:val="002B4070"/>
    <w:rsid w:val="002B46AC"/>
    <w:rsid w:val="002B4EB2"/>
    <w:rsid w:val="002B6102"/>
    <w:rsid w:val="002B6525"/>
    <w:rsid w:val="002B7452"/>
    <w:rsid w:val="002B7AA8"/>
    <w:rsid w:val="002C0420"/>
    <w:rsid w:val="002C04EB"/>
    <w:rsid w:val="002C1943"/>
    <w:rsid w:val="002C1CCF"/>
    <w:rsid w:val="002C1F81"/>
    <w:rsid w:val="002C2345"/>
    <w:rsid w:val="002C27D0"/>
    <w:rsid w:val="002C3D56"/>
    <w:rsid w:val="002C3E86"/>
    <w:rsid w:val="002C4503"/>
    <w:rsid w:val="002C490A"/>
    <w:rsid w:val="002C567F"/>
    <w:rsid w:val="002C6B02"/>
    <w:rsid w:val="002C6C3D"/>
    <w:rsid w:val="002C6CA6"/>
    <w:rsid w:val="002C7BD0"/>
    <w:rsid w:val="002C7EA8"/>
    <w:rsid w:val="002D03BE"/>
    <w:rsid w:val="002D1099"/>
    <w:rsid w:val="002D1ADF"/>
    <w:rsid w:val="002D2588"/>
    <w:rsid w:val="002D3A28"/>
    <w:rsid w:val="002D4513"/>
    <w:rsid w:val="002D5A47"/>
    <w:rsid w:val="002D6E2F"/>
    <w:rsid w:val="002D7307"/>
    <w:rsid w:val="002D73EA"/>
    <w:rsid w:val="002D7841"/>
    <w:rsid w:val="002D7B20"/>
    <w:rsid w:val="002E0CFA"/>
    <w:rsid w:val="002E0E43"/>
    <w:rsid w:val="002E1072"/>
    <w:rsid w:val="002E11AD"/>
    <w:rsid w:val="002E172F"/>
    <w:rsid w:val="002E1828"/>
    <w:rsid w:val="002E1B9C"/>
    <w:rsid w:val="002E20EF"/>
    <w:rsid w:val="002E2F14"/>
    <w:rsid w:val="002E3163"/>
    <w:rsid w:val="002E35D7"/>
    <w:rsid w:val="002E5DFB"/>
    <w:rsid w:val="002E7149"/>
    <w:rsid w:val="002E75B1"/>
    <w:rsid w:val="002E7863"/>
    <w:rsid w:val="002F04FB"/>
    <w:rsid w:val="002F06C8"/>
    <w:rsid w:val="002F0C50"/>
    <w:rsid w:val="002F148E"/>
    <w:rsid w:val="002F20BA"/>
    <w:rsid w:val="002F307A"/>
    <w:rsid w:val="002F45B7"/>
    <w:rsid w:val="002F4A66"/>
    <w:rsid w:val="002F4C3C"/>
    <w:rsid w:val="002F564E"/>
    <w:rsid w:val="002F5B6A"/>
    <w:rsid w:val="002F648E"/>
    <w:rsid w:val="002F6894"/>
    <w:rsid w:val="002F69FD"/>
    <w:rsid w:val="002F6EC7"/>
    <w:rsid w:val="002F71A7"/>
    <w:rsid w:val="002F74B7"/>
    <w:rsid w:val="003007BD"/>
    <w:rsid w:val="00300963"/>
    <w:rsid w:val="0030127A"/>
    <w:rsid w:val="00301DB6"/>
    <w:rsid w:val="003046E8"/>
    <w:rsid w:val="003060F8"/>
    <w:rsid w:val="00306D82"/>
    <w:rsid w:val="00307FF8"/>
    <w:rsid w:val="00310167"/>
    <w:rsid w:val="003101FC"/>
    <w:rsid w:val="003103B3"/>
    <w:rsid w:val="0031042E"/>
    <w:rsid w:val="00310A91"/>
    <w:rsid w:val="003114BB"/>
    <w:rsid w:val="00312493"/>
    <w:rsid w:val="003124CC"/>
    <w:rsid w:val="0031277A"/>
    <w:rsid w:val="00313B8D"/>
    <w:rsid w:val="003140C0"/>
    <w:rsid w:val="00314150"/>
    <w:rsid w:val="003142C7"/>
    <w:rsid w:val="003142E5"/>
    <w:rsid w:val="00314D88"/>
    <w:rsid w:val="003154BE"/>
    <w:rsid w:val="003177F7"/>
    <w:rsid w:val="00317D67"/>
    <w:rsid w:val="0032071D"/>
    <w:rsid w:val="003207C9"/>
    <w:rsid w:val="003218C4"/>
    <w:rsid w:val="00321F69"/>
    <w:rsid w:val="003220D8"/>
    <w:rsid w:val="003225A3"/>
    <w:rsid w:val="00322750"/>
    <w:rsid w:val="003229FA"/>
    <w:rsid w:val="0032374A"/>
    <w:rsid w:val="0032455F"/>
    <w:rsid w:val="003262D0"/>
    <w:rsid w:val="0032694D"/>
    <w:rsid w:val="00327817"/>
    <w:rsid w:val="0033007F"/>
    <w:rsid w:val="00332B0E"/>
    <w:rsid w:val="00333841"/>
    <w:rsid w:val="003348AC"/>
    <w:rsid w:val="00334A5B"/>
    <w:rsid w:val="0033598D"/>
    <w:rsid w:val="00336977"/>
    <w:rsid w:val="003408DA"/>
    <w:rsid w:val="00340944"/>
    <w:rsid w:val="00341A49"/>
    <w:rsid w:val="00342420"/>
    <w:rsid w:val="00342D7C"/>
    <w:rsid w:val="00343991"/>
    <w:rsid w:val="003455BF"/>
    <w:rsid w:val="003472F6"/>
    <w:rsid w:val="00350025"/>
    <w:rsid w:val="0035024C"/>
    <w:rsid w:val="00350896"/>
    <w:rsid w:val="00350FBA"/>
    <w:rsid w:val="003512A3"/>
    <w:rsid w:val="003531C3"/>
    <w:rsid w:val="00353C80"/>
    <w:rsid w:val="00354F83"/>
    <w:rsid w:val="00355AA0"/>
    <w:rsid w:val="00356C90"/>
    <w:rsid w:val="00356F69"/>
    <w:rsid w:val="00360254"/>
    <w:rsid w:val="00360E68"/>
    <w:rsid w:val="0036289E"/>
    <w:rsid w:val="00362995"/>
    <w:rsid w:val="00362E3C"/>
    <w:rsid w:val="0036327A"/>
    <w:rsid w:val="00364678"/>
    <w:rsid w:val="003647DA"/>
    <w:rsid w:val="003648BB"/>
    <w:rsid w:val="003655FD"/>
    <w:rsid w:val="00365AE4"/>
    <w:rsid w:val="00365E9D"/>
    <w:rsid w:val="00371CD9"/>
    <w:rsid w:val="00372360"/>
    <w:rsid w:val="003727D0"/>
    <w:rsid w:val="003735B4"/>
    <w:rsid w:val="003746AA"/>
    <w:rsid w:val="003749C3"/>
    <w:rsid w:val="00374FA3"/>
    <w:rsid w:val="00375043"/>
    <w:rsid w:val="003754D1"/>
    <w:rsid w:val="00375644"/>
    <w:rsid w:val="003768E0"/>
    <w:rsid w:val="003778DB"/>
    <w:rsid w:val="00380D7F"/>
    <w:rsid w:val="003827E9"/>
    <w:rsid w:val="003828DA"/>
    <w:rsid w:val="00382F73"/>
    <w:rsid w:val="003841E0"/>
    <w:rsid w:val="003854EE"/>
    <w:rsid w:val="00385A72"/>
    <w:rsid w:val="0038628B"/>
    <w:rsid w:val="003866C1"/>
    <w:rsid w:val="003873F5"/>
    <w:rsid w:val="00387B0F"/>
    <w:rsid w:val="00387B1C"/>
    <w:rsid w:val="00387FBD"/>
    <w:rsid w:val="00390089"/>
    <w:rsid w:val="00390DEF"/>
    <w:rsid w:val="00392274"/>
    <w:rsid w:val="00393ABB"/>
    <w:rsid w:val="00393FCA"/>
    <w:rsid w:val="00394EEB"/>
    <w:rsid w:val="00395845"/>
    <w:rsid w:val="003960CC"/>
    <w:rsid w:val="00397CCD"/>
    <w:rsid w:val="003A13DE"/>
    <w:rsid w:val="003A1916"/>
    <w:rsid w:val="003A1EF2"/>
    <w:rsid w:val="003A27C8"/>
    <w:rsid w:val="003A30C5"/>
    <w:rsid w:val="003A32F9"/>
    <w:rsid w:val="003A5502"/>
    <w:rsid w:val="003A57F5"/>
    <w:rsid w:val="003B053C"/>
    <w:rsid w:val="003B2526"/>
    <w:rsid w:val="003B2BD1"/>
    <w:rsid w:val="003B5DF2"/>
    <w:rsid w:val="003B5EBD"/>
    <w:rsid w:val="003B6006"/>
    <w:rsid w:val="003B635D"/>
    <w:rsid w:val="003B7DB0"/>
    <w:rsid w:val="003B7EFB"/>
    <w:rsid w:val="003C1BB2"/>
    <w:rsid w:val="003C1DD8"/>
    <w:rsid w:val="003C3E21"/>
    <w:rsid w:val="003C44FD"/>
    <w:rsid w:val="003C4D4E"/>
    <w:rsid w:val="003C5288"/>
    <w:rsid w:val="003C5447"/>
    <w:rsid w:val="003C560C"/>
    <w:rsid w:val="003C56D9"/>
    <w:rsid w:val="003C5A2A"/>
    <w:rsid w:val="003C5A6B"/>
    <w:rsid w:val="003C7BC8"/>
    <w:rsid w:val="003C7E93"/>
    <w:rsid w:val="003D0434"/>
    <w:rsid w:val="003D05AA"/>
    <w:rsid w:val="003D1B95"/>
    <w:rsid w:val="003D1FC4"/>
    <w:rsid w:val="003D2543"/>
    <w:rsid w:val="003D2A37"/>
    <w:rsid w:val="003D311E"/>
    <w:rsid w:val="003D40FE"/>
    <w:rsid w:val="003D44DA"/>
    <w:rsid w:val="003D4561"/>
    <w:rsid w:val="003D4DD3"/>
    <w:rsid w:val="003D53E8"/>
    <w:rsid w:val="003D5A82"/>
    <w:rsid w:val="003D61C2"/>
    <w:rsid w:val="003D6450"/>
    <w:rsid w:val="003E0A6C"/>
    <w:rsid w:val="003E2334"/>
    <w:rsid w:val="003E2CB2"/>
    <w:rsid w:val="003E4A80"/>
    <w:rsid w:val="003E4E36"/>
    <w:rsid w:val="003E6B99"/>
    <w:rsid w:val="003E6FB9"/>
    <w:rsid w:val="003E733D"/>
    <w:rsid w:val="003F00FD"/>
    <w:rsid w:val="003F02B6"/>
    <w:rsid w:val="003F054A"/>
    <w:rsid w:val="003F0A8D"/>
    <w:rsid w:val="003F0B74"/>
    <w:rsid w:val="003F1D4E"/>
    <w:rsid w:val="003F1F0E"/>
    <w:rsid w:val="003F2132"/>
    <w:rsid w:val="003F2A21"/>
    <w:rsid w:val="003F33CA"/>
    <w:rsid w:val="003F3760"/>
    <w:rsid w:val="003F3809"/>
    <w:rsid w:val="003F3E7C"/>
    <w:rsid w:val="003F40E1"/>
    <w:rsid w:val="003F4215"/>
    <w:rsid w:val="003F450F"/>
    <w:rsid w:val="003F488F"/>
    <w:rsid w:val="003F6342"/>
    <w:rsid w:val="003F69C1"/>
    <w:rsid w:val="003F7F55"/>
    <w:rsid w:val="0040070B"/>
    <w:rsid w:val="00400A88"/>
    <w:rsid w:val="00401584"/>
    <w:rsid w:val="00401DBB"/>
    <w:rsid w:val="00401EA7"/>
    <w:rsid w:val="004026A8"/>
    <w:rsid w:val="00403717"/>
    <w:rsid w:val="00404477"/>
    <w:rsid w:val="00404CCE"/>
    <w:rsid w:val="00405F98"/>
    <w:rsid w:val="00407580"/>
    <w:rsid w:val="0040766A"/>
    <w:rsid w:val="00407804"/>
    <w:rsid w:val="00410B56"/>
    <w:rsid w:val="00411DDF"/>
    <w:rsid w:val="00411F13"/>
    <w:rsid w:val="00412207"/>
    <w:rsid w:val="00412572"/>
    <w:rsid w:val="00413901"/>
    <w:rsid w:val="004164B8"/>
    <w:rsid w:val="00416FCB"/>
    <w:rsid w:val="004174DB"/>
    <w:rsid w:val="004201AF"/>
    <w:rsid w:val="0042238E"/>
    <w:rsid w:val="0042283E"/>
    <w:rsid w:val="00422FC2"/>
    <w:rsid w:val="00423958"/>
    <w:rsid w:val="00423B4E"/>
    <w:rsid w:val="0042471E"/>
    <w:rsid w:val="004251E0"/>
    <w:rsid w:val="00425693"/>
    <w:rsid w:val="00425CC3"/>
    <w:rsid w:val="004278FD"/>
    <w:rsid w:val="00427994"/>
    <w:rsid w:val="00427D3B"/>
    <w:rsid w:val="00427D5A"/>
    <w:rsid w:val="00427F16"/>
    <w:rsid w:val="00430783"/>
    <w:rsid w:val="00430D3E"/>
    <w:rsid w:val="004318F5"/>
    <w:rsid w:val="0043203F"/>
    <w:rsid w:val="00432FE1"/>
    <w:rsid w:val="004333F9"/>
    <w:rsid w:val="00433C22"/>
    <w:rsid w:val="00434085"/>
    <w:rsid w:val="00434914"/>
    <w:rsid w:val="00434CB4"/>
    <w:rsid w:val="0043576C"/>
    <w:rsid w:val="00436514"/>
    <w:rsid w:val="00436AE4"/>
    <w:rsid w:val="00436AF0"/>
    <w:rsid w:val="00437161"/>
    <w:rsid w:val="0043730D"/>
    <w:rsid w:val="0044065A"/>
    <w:rsid w:val="00440F06"/>
    <w:rsid w:val="0044119C"/>
    <w:rsid w:val="0044156A"/>
    <w:rsid w:val="004417FF"/>
    <w:rsid w:val="0044236E"/>
    <w:rsid w:val="00442682"/>
    <w:rsid w:val="004459F3"/>
    <w:rsid w:val="00445C25"/>
    <w:rsid w:val="0044657B"/>
    <w:rsid w:val="00446742"/>
    <w:rsid w:val="004505B3"/>
    <w:rsid w:val="004519B3"/>
    <w:rsid w:val="00451B26"/>
    <w:rsid w:val="00451FBB"/>
    <w:rsid w:val="0045360A"/>
    <w:rsid w:val="00453CDF"/>
    <w:rsid w:val="00454090"/>
    <w:rsid w:val="00455159"/>
    <w:rsid w:val="004574CA"/>
    <w:rsid w:val="0046088A"/>
    <w:rsid w:val="00461DD6"/>
    <w:rsid w:val="00462127"/>
    <w:rsid w:val="004624E9"/>
    <w:rsid w:val="004628F8"/>
    <w:rsid w:val="00463E8A"/>
    <w:rsid w:val="00464BDC"/>
    <w:rsid w:val="004654BE"/>
    <w:rsid w:val="00466238"/>
    <w:rsid w:val="00467DD1"/>
    <w:rsid w:val="00467F2A"/>
    <w:rsid w:val="00470127"/>
    <w:rsid w:val="0047184D"/>
    <w:rsid w:val="00471CF6"/>
    <w:rsid w:val="00471EAC"/>
    <w:rsid w:val="00472341"/>
    <w:rsid w:val="0047465B"/>
    <w:rsid w:val="004770F3"/>
    <w:rsid w:val="004771CF"/>
    <w:rsid w:val="004808D5"/>
    <w:rsid w:val="004811B6"/>
    <w:rsid w:val="00481FD8"/>
    <w:rsid w:val="00483061"/>
    <w:rsid w:val="00483AA2"/>
    <w:rsid w:val="0048429A"/>
    <w:rsid w:val="00484358"/>
    <w:rsid w:val="00485AC3"/>
    <w:rsid w:val="00486014"/>
    <w:rsid w:val="004866A2"/>
    <w:rsid w:val="00486885"/>
    <w:rsid w:val="00486B54"/>
    <w:rsid w:val="00486B55"/>
    <w:rsid w:val="00487AB1"/>
    <w:rsid w:val="00487DDE"/>
    <w:rsid w:val="00493795"/>
    <w:rsid w:val="00493C8D"/>
    <w:rsid w:val="00494CD6"/>
    <w:rsid w:val="00495318"/>
    <w:rsid w:val="00495660"/>
    <w:rsid w:val="00495716"/>
    <w:rsid w:val="00496D0A"/>
    <w:rsid w:val="004975D7"/>
    <w:rsid w:val="00497660"/>
    <w:rsid w:val="004976D3"/>
    <w:rsid w:val="00497C06"/>
    <w:rsid w:val="004A1CA0"/>
    <w:rsid w:val="004A1DD6"/>
    <w:rsid w:val="004A2909"/>
    <w:rsid w:val="004A2CDC"/>
    <w:rsid w:val="004A3DB8"/>
    <w:rsid w:val="004A44D2"/>
    <w:rsid w:val="004A4CB7"/>
    <w:rsid w:val="004A5005"/>
    <w:rsid w:val="004A5587"/>
    <w:rsid w:val="004A6284"/>
    <w:rsid w:val="004A6F10"/>
    <w:rsid w:val="004B005F"/>
    <w:rsid w:val="004B093B"/>
    <w:rsid w:val="004B0F1C"/>
    <w:rsid w:val="004B2EE5"/>
    <w:rsid w:val="004B3DA3"/>
    <w:rsid w:val="004B432A"/>
    <w:rsid w:val="004B4512"/>
    <w:rsid w:val="004B4F2A"/>
    <w:rsid w:val="004B5B81"/>
    <w:rsid w:val="004B612B"/>
    <w:rsid w:val="004B7440"/>
    <w:rsid w:val="004B78D1"/>
    <w:rsid w:val="004B79B4"/>
    <w:rsid w:val="004C0601"/>
    <w:rsid w:val="004C1043"/>
    <w:rsid w:val="004C1C68"/>
    <w:rsid w:val="004C1E38"/>
    <w:rsid w:val="004C1F3C"/>
    <w:rsid w:val="004C1FCB"/>
    <w:rsid w:val="004C23BC"/>
    <w:rsid w:val="004C2DD7"/>
    <w:rsid w:val="004C316E"/>
    <w:rsid w:val="004C3AFB"/>
    <w:rsid w:val="004C3B1A"/>
    <w:rsid w:val="004C4243"/>
    <w:rsid w:val="004C446B"/>
    <w:rsid w:val="004C4A79"/>
    <w:rsid w:val="004C5322"/>
    <w:rsid w:val="004C5724"/>
    <w:rsid w:val="004C5F7C"/>
    <w:rsid w:val="004C61DA"/>
    <w:rsid w:val="004C6EEA"/>
    <w:rsid w:val="004D0059"/>
    <w:rsid w:val="004D014D"/>
    <w:rsid w:val="004D0226"/>
    <w:rsid w:val="004D0300"/>
    <w:rsid w:val="004D0418"/>
    <w:rsid w:val="004D0431"/>
    <w:rsid w:val="004D0AD9"/>
    <w:rsid w:val="004D14C2"/>
    <w:rsid w:val="004D18B0"/>
    <w:rsid w:val="004D193B"/>
    <w:rsid w:val="004D3203"/>
    <w:rsid w:val="004D421D"/>
    <w:rsid w:val="004D71D5"/>
    <w:rsid w:val="004E098E"/>
    <w:rsid w:val="004E09A6"/>
    <w:rsid w:val="004E153E"/>
    <w:rsid w:val="004E25CF"/>
    <w:rsid w:val="004E295C"/>
    <w:rsid w:val="004E2976"/>
    <w:rsid w:val="004E3053"/>
    <w:rsid w:val="004E36E7"/>
    <w:rsid w:val="004E44B3"/>
    <w:rsid w:val="004E5442"/>
    <w:rsid w:val="004E5655"/>
    <w:rsid w:val="004E5BAA"/>
    <w:rsid w:val="004E68F4"/>
    <w:rsid w:val="004E6A97"/>
    <w:rsid w:val="004E7BA2"/>
    <w:rsid w:val="004F160E"/>
    <w:rsid w:val="004F1A30"/>
    <w:rsid w:val="004F21F7"/>
    <w:rsid w:val="004F2CF2"/>
    <w:rsid w:val="004F2FAE"/>
    <w:rsid w:val="004F332A"/>
    <w:rsid w:val="004F3587"/>
    <w:rsid w:val="004F38D8"/>
    <w:rsid w:val="004F3A6D"/>
    <w:rsid w:val="004F3ECF"/>
    <w:rsid w:val="004F3EDC"/>
    <w:rsid w:val="004F3F84"/>
    <w:rsid w:val="004F521E"/>
    <w:rsid w:val="004F54E2"/>
    <w:rsid w:val="004F56D8"/>
    <w:rsid w:val="004F595F"/>
    <w:rsid w:val="004F6C8F"/>
    <w:rsid w:val="004F75C1"/>
    <w:rsid w:val="004F7619"/>
    <w:rsid w:val="004F76D9"/>
    <w:rsid w:val="00500339"/>
    <w:rsid w:val="00500416"/>
    <w:rsid w:val="0050067A"/>
    <w:rsid w:val="00500817"/>
    <w:rsid w:val="00501627"/>
    <w:rsid w:val="00501A65"/>
    <w:rsid w:val="00501B62"/>
    <w:rsid w:val="00501E32"/>
    <w:rsid w:val="005037BA"/>
    <w:rsid w:val="00503921"/>
    <w:rsid w:val="00503A14"/>
    <w:rsid w:val="00503DD8"/>
    <w:rsid w:val="00504BF3"/>
    <w:rsid w:val="005063C9"/>
    <w:rsid w:val="0050733B"/>
    <w:rsid w:val="005074F6"/>
    <w:rsid w:val="00507AC0"/>
    <w:rsid w:val="005109FD"/>
    <w:rsid w:val="00511202"/>
    <w:rsid w:val="00511575"/>
    <w:rsid w:val="005115FE"/>
    <w:rsid w:val="0051172B"/>
    <w:rsid w:val="00511E73"/>
    <w:rsid w:val="00512164"/>
    <w:rsid w:val="005123AA"/>
    <w:rsid w:val="005138FB"/>
    <w:rsid w:val="0051451C"/>
    <w:rsid w:val="00514D8C"/>
    <w:rsid w:val="00515D27"/>
    <w:rsid w:val="00516086"/>
    <w:rsid w:val="00516598"/>
    <w:rsid w:val="005174B1"/>
    <w:rsid w:val="0052013B"/>
    <w:rsid w:val="00522FEB"/>
    <w:rsid w:val="005259DD"/>
    <w:rsid w:val="00526559"/>
    <w:rsid w:val="0052761A"/>
    <w:rsid w:val="00527A2A"/>
    <w:rsid w:val="00527A64"/>
    <w:rsid w:val="00530093"/>
    <w:rsid w:val="00530894"/>
    <w:rsid w:val="00531015"/>
    <w:rsid w:val="005311E4"/>
    <w:rsid w:val="0053164A"/>
    <w:rsid w:val="005316B9"/>
    <w:rsid w:val="00531827"/>
    <w:rsid w:val="00531CFA"/>
    <w:rsid w:val="00531D8E"/>
    <w:rsid w:val="0053216C"/>
    <w:rsid w:val="005327B0"/>
    <w:rsid w:val="00532946"/>
    <w:rsid w:val="0053431F"/>
    <w:rsid w:val="0053475C"/>
    <w:rsid w:val="0053511B"/>
    <w:rsid w:val="005354D7"/>
    <w:rsid w:val="00535984"/>
    <w:rsid w:val="00535A5F"/>
    <w:rsid w:val="00535B01"/>
    <w:rsid w:val="0053616F"/>
    <w:rsid w:val="00536495"/>
    <w:rsid w:val="00536F9A"/>
    <w:rsid w:val="0053763C"/>
    <w:rsid w:val="00537AAF"/>
    <w:rsid w:val="00537BFC"/>
    <w:rsid w:val="00540D0B"/>
    <w:rsid w:val="005414F8"/>
    <w:rsid w:val="00541635"/>
    <w:rsid w:val="0054184F"/>
    <w:rsid w:val="005421AB"/>
    <w:rsid w:val="00542254"/>
    <w:rsid w:val="00542458"/>
    <w:rsid w:val="0054298D"/>
    <w:rsid w:val="00542F44"/>
    <w:rsid w:val="00543455"/>
    <w:rsid w:val="005435C9"/>
    <w:rsid w:val="00543F72"/>
    <w:rsid w:val="005447A1"/>
    <w:rsid w:val="005465CF"/>
    <w:rsid w:val="005501FF"/>
    <w:rsid w:val="00551921"/>
    <w:rsid w:val="00551B49"/>
    <w:rsid w:val="00551C1E"/>
    <w:rsid w:val="00552093"/>
    <w:rsid w:val="00552A5A"/>
    <w:rsid w:val="00552C20"/>
    <w:rsid w:val="00554744"/>
    <w:rsid w:val="0055522F"/>
    <w:rsid w:val="005552E9"/>
    <w:rsid w:val="005552FC"/>
    <w:rsid w:val="0055556D"/>
    <w:rsid w:val="005556DB"/>
    <w:rsid w:val="00555A11"/>
    <w:rsid w:val="00555D64"/>
    <w:rsid w:val="0055602F"/>
    <w:rsid w:val="00556D10"/>
    <w:rsid w:val="005577DE"/>
    <w:rsid w:val="00557869"/>
    <w:rsid w:val="00561182"/>
    <w:rsid w:val="00562DA6"/>
    <w:rsid w:val="00563B0C"/>
    <w:rsid w:val="00563D7D"/>
    <w:rsid w:val="00564A0D"/>
    <w:rsid w:val="00564BE6"/>
    <w:rsid w:val="00565DE9"/>
    <w:rsid w:val="00565F10"/>
    <w:rsid w:val="005661E3"/>
    <w:rsid w:val="00567A51"/>
    <w:rsid w:val="00567D5D"/>
    <w:rsid w:val="005701CC"/>
    <w:rsid w:val="0057033B"/>
    <w:rsid w:val="00570442"/>
    <w:rsid w:val="00571228"/>
    <w:rsid w:val="00571ACA"/>
    <w:rsid w:val="00572661"/>
    <w:rsid w:val="0057295A"/>
    <w:rsid w:val="00572DCB"/>
    <w:rsid w:val="00574A36"/>
    <w:rsid w:val="005751EC"/>
    <w:rsid w:val="00576995"/>
    <w:rsid w:val="00576FEF"/>
    <w:rsid w:val="005771D3"/>
    <w:rsid w:val="00577D6F"/>
    <w:rsid w:val="00577DF4"/>
    <w:rsid w:val="00577EAB"/>
    <w:rsid w:val="005800FF"/>
    <w:rsid w:val="00580752"/>
    <w:rsid w:val="00580875"/>
    <w:rsid w:val="00580B9E"/>
    <w:rsid w:val="00580BE3"/>
    <w:rsid w:val="00581C55"/>
    <w:rsid w:val="0058257E"/>
    <w:rsid w:val="00584CE8"/>
    <w:rsid w:val="00585CDF"/>
    <w:rsid w:val="005865E4"/>
    <w:rsid w:val="00586713"/>
    <w:rsid w:val="00586C51"/>
    <w:rsid w:val="00587A23"/>
    <w:rsid w:val="00587A73"/>
    <w:rsid w:val="00587CDD"/>
    <w:rsid w:val="00587FCF"/>
    <w:rsid w:val="0059028D"/>
    <w:rsid w:val="00592CEB"/>
    <w:rsid w:val="00593B4E"/>
    <w:rsid w:val="00593BAD"/>
    <w:rsid w:val="00595227"/>
    <w:rsid w:val="00596ECF"/>
    <w:rsid w:val="005976A8"/>
    <w:rsid w:val="005A169E"/>
    <w:rsid w:val="005A198C"/>
    <w:rsid w:val="005A2962"/>
    <w:rsid w:val="005A33EE"/>
    <w:rsid w:val="005A3581"/>
    <w:rsid w:val="005A3651"/>
    <w:rsid w:val="005A3B81"/>
    <w:rsid w:val="005A3C79"/>
    <w:rsid w:val="005A3CE2"/>
    <w:rsid w:val="005A42C2"/>
    <w:rsid w:val="005A4936"/>
    <w:rsid w:val="005A4F2F"/>
    <w:rsid w:val="005A5326"/>
    <w:rsid w:val="005A5685"/>
    <w:rsid w:val="005A5D94"/>
    <w:rsid w:val="005A67FC"/>
    <w:rsid w:val="005B234B"/>
    <w:rsid w:val="005B2816"/>
    <w:rsid w:val="005B28BE"/>
    <w:rsid w:val="005B379E"/>
    <w:rsid w:val="005B39EE"/>
    <w:rsid w:val="005B4C26"/>
    <w:rsid w:val="005B4F26"/>
    <w:rsid w:val="005B4F96"/>
    <w:rsid w:val="005B51A7"/>
    <w:rsid w:val="005B5767"/>
    <w:rsid w:val="005B66F0"/>
    <w:rsid w:val="005B6C86"/>
    <w:rsid w:val="005B73E7"/>
    <w:rsid w:val="005B7951"/>
    <w:rsid w:val="005C13BB"/>
    <w:rsid w:val="005C16C0"/>
    <w:rsid w:val="005C3718"/>
    <w:rsid w:val="005C4F3E"/>
    <w:rsid w:val="005C50EA"/>
    <w:rsid w:val="005C5339"/>
    <w:rsid w:val="005C5862"/>
    <w:rsid w:val="005C68FF"/>
    <w:rsid w:val="005C6C9C"/>
    <w:rsid w:val="005C7FDC"/>
    <w:rsid w:val="005D01D1"/>
    <w:rsid w:val="005D027D"/>
    <w:rsid w:val="005D0FC6"/>
    <w:rsid w:val="005D1AEB"/>
    <w:rsid w:val="005D3085"/>
    <w:rsid w:val="005D3771"/>
    <w:rsid w:val="005D39A3"/>
    <w:rsid w:val="005D483F"/>
    <w:rsid w:val="005D4965"/>
    <w:rsid w:val="005D4E5B"/>
    <w:rsid w:val="005D4EEB"/>
    <w:rsid w:val="005D606D"/>
    <w:rsid w:val="005D623B"/>
    <w:rsid w:val="005D62DC"/>
    <w:rsid w:val="005D6380"/>
    <w:rsid w:val="005D71BF"/>
    <w:rsid w:val="005E08E0"/>
    <w:rsid w:val="005E09D3"/>
    <w:rsid w:val="005E0FB8"/>
    <w:rsid w:val="005E10C5"/>
    <w:rsid w:val="005E214F"/>
    <w:rsid w:val="005E2883"/>
    <w:rsid w:val="005E3DB3"/>
    <w:rsid w:val="005E3EFD"/>
    <w:rsid w:val="005E5603"/>
    <w:rsid w:val="005E56E0"/>
    <w:rsid w:val="005E585E"/>
    <w:rsid w:val="005E5BA5"/>
    <w:rsid w:val="005E69DC"/>
    <w:rsid w:val="005E7985"/>
    <w:rsid w:val="005E7BBC"/>
    <w:rsid w:val="005E7D26"/>
    <w:rsid w:val="005F03A6"/>
    <w:rsid w:val="005F11B5"/>
    <w:rsid w:val="005F11D3"/>
    <w:rsid w:val="005F1519"/>
    <w:rsid w:val="005F1561"/>
    <w:rsid w:val="005F2029"/>
    <w:rsid w:val="005F2CF3"/>
    <w:rsid w:val="005F3835"/>
    <w:rsid w:val="005F389C"/>
    <w:rsid w:val="005F4AE5"/>
    <w:rsid w:val="005F53E3"/>
    <w:rsid w:val="005F671B"/>
    <w:rsid w:val="005F7163"/>
    <w:rsid w:val="005F7B22"/>
    <w:rsid w:val="006005AE"/>
    <w:rsid w:val="00600C9B"/>
    <w:rsid w:val="00601A8A"/>
    <w:rsid w:val="00601F2B"/>
    <w:rsid w:val="00602541"/>
    <w:rsid w:val="00605755"/>
    <w:rsid w:val="00605BDB"/>
    <w:rsid w:val="00607A93"/>
    <w:rsid w:val="00610312"/>
    <w:rsid w:val="00610AEB"/>
    <w:rsid w:val="00610F04"/>
    <w:rsid w:val="00611189"/>
    <w:rsid w:val="0061168D"/>
    <w:rsid w:val="00611C15"/>
    <w:rsid w:val="00612FAF"/>
    <w:rsid w:val="006137B9"/>
    <w:rsid w:val="006149DB"/>
    <w:rsid w:val="0061557D"/>
    <w:rsid w:val="00615C87"/>
    <w:rsid w:val="00616217"/>
    <w:rsid w:val="006175DE"/>
    <w:rsid w:val="0062152A"/>
    <w:rsid w:val="006221AE"/>
    <w:rsid w:val="0062265E"/>
    <w:rsid w:val="0062269C"/>
    <w:rsid w:val="00624ADA"/>
    <w:rsid w:val="0062512A"/>
    <w:rsid w:val="00625EC4"/>
    <w:rsid w:val="00625F09"/>
    <w:rsid w:val="00626609"/>
    <w:rsid w:val="006278D8"/>
    <w:rsid w:val="006301BB"/>
    <w:rsid w:val="00630973"/>
    <w:rsid w:val="006314CA"/>
    <w:rsid w:val="006321BF"/>
    <w:rsid w:val="0063420E"/>
    <w:rsid w:val="00634851"/>
    <w:rsid w:val="00634C20"/>
    <w:rsid w:val="00635012"/>
    <w:rsid w:val="0063505B"/>
    <w:rsid w:val="00635177"/>
    <w:rsid w:val="00636397"/>
    <w:rsid w:val="00636AC3"/>
    <w:rsid w:val="00640A53"/>
    <w:rsid w:val="006414E7"/>
    <w:rsid w:val="006415D1"/>
    <w:rsid w:val="00641A80"/>
    <w:rsid w:val="0064203C"/>
    <w:rsid w:val="006435BA"/>
    <w:rsid w:val="00643DD8"/>
    <w:rsid w:val="00643F46"/>
    <w:rsid w:val="00644436"/>
    <w:rsid w:val="00645301"/>
    <w:rsid w:val="006456F8"/>
    <w:rsid w:val="0064587C"/>
    <w:rsid w:val="00646744"/>
    <w:rsid w:val="00646B3C"/>
    <w:rsid w:val="00646BF8"/>
    <w:rsid w:val="0064777E"/>
    <w:rsid w:val="00647BF8"/>
    <w:rsid w:val="00650420"/>
    <w:rsid w:val="006509BF"/>
    <w:rsid w:val="0065163F"/>
    <w:rsid w:val="00652572"/>
    <w:rsid w:val="00652718"/>
    <w:rsid w:val="006529BC"/>
    <w:rsid w:val="006530B8"/>
    <w:rsid w:val="006531B3"/>
    <w:rsid w:val="006534CC"/>
    <w:rsid w:val="00653D2F"/>
    <w:rsid w:val="00655BC7"/>
    <w:rsid w:val="006572FD"/>
    <w:rsid w:val="00657A95"/>
    <w:rsid w:val="006600C5"/>
    <w:rsid w:val="0066070D"/>
    <w:rsid w:val="00660A25"/>
    <w:rsid w:val="006616CB"/>
    <w:rsid w:val="0066238D"/>
    <w:rsid w:val="0066348D"/>
    <w:rsid w:val="00663637"/>
    <w:rsid w:val="00663C5A"/>
    <w:rsid w:val="00664CFC"/>
    <w:rsid w:val="00667113"/>
    <w:rsid w:val="00667B06"/>
    <w:rsid w:val="00667F0A"/>
    <w:rsid w:val="00670094"/>
    <w:rsid w:val="006702CA"/>
    <w:rsid w:val="00670DAB"/>
    <w:rsid w:val="00671313"/>
    <w:rsid w:val="0067153B"/>
    <w:rsid w:val="006719CD"/>
    <w:rsid w:val="00671EAC"/>
    <w:rsid w:val="00672032"/>
    <w:rsid w:val="0067256E"/>
    <w:rsid w:val="006739C8"/>
    <w:rsid w:val="006741E9"/>
    <w:rsid w:val="006748F1"/>
    <w:rsid w:val="006755EE"/>
    <w:rsid w:val="00675EA6"/>
    <w:rsid w:val="0067615D"/>
    <w:rsid w:val="006762A1"/>
    <w:rsid w:val="006763FD"/>
    <w:rsid w:val="006765BA"/>
    <w:rsid w:val="00676AB3"/>
    <w:rsid w:val="0068027D"/>
    <w:rsid w:val="00680D9A"/>
    <w:rsid w:val="00680F2C"/>
    <w:rsid w:val="0068106E"/>
    <w:rsid w:val="00681AFC"/>
    <w:rsid w:val="00682123"/>
    <w:rsid w:val="0068297C"/>
    <w:rsid w:val="006857B0"/>
    <w:rsid w:val="0068589D"/>
    <w:rsid w:val="006858AB"/>
    <w:rsid w:val="00685C36"/>
    <w:rsid w:val="00686B5B"/>
    <w:rsid w:val="006871A8"/>
    <w:rsid w:val="00687277"/>
    <w:rsid w:val="006875CF"/>
    <w:rsid w:val="006901B4"/>
    <w:rsid w:val="00690B2A"/>
    <w:rsid w:val="006914E3"/>
    <w:rsid w:val="00691A5E"/>
    <w:rsid w:val="00691B7B"/>
    <w:rsid w:val="006927B8"/>
    <w:rsid w:val="0069310B"/>
    <w:rsid w:val="00693752"/>
    <w:rsid w:val="0069395B"/>
    <w:rsid w:val="006944AF"/>
    <w:rsid w:val="006950AC"/>
    <w:rsid w:val="00696B28"/>
    <w:rsid w:val="006978F0"/>
    <w:rsid w:val="00697DCC"/>
    <w:rsid w:val="006A054A"/>
    <w:rsid w:val="006A0963"/>
    <w:rsid w:val="006A0F86"/>
    <w:rsid w:val="006A2DA4"/>
    <w:rsid w:val="006A33D0"/>
    <w:rsid w:val="006A3744"/>
    <w:rsid w:val="006A5779"/>
    <w:rsid w:val="006A691C"/>
    <w:rsid w:val="006A7620"/>
    <w:rsid w:val="006A7800"/>
    <w:rsid w:val="006A7A47"/>
    <w:rsid w:val="006A7BB4"/>
    <w:rsid w:val="006A7BCE"/>
    <w:rsid w:val="006B09D9"/>
    <w:rsid w:val="006B1830"/>
    <w:rsid w:val="006B2628"/>
    <w:rsid w:val="006B265B"/>
    <w:rsid w:val="006B363A"/>
    <w:rsid w:val="006B3905"/>
    <w:rsid w:val="006B4A62"/>
    <w:rsid w:val="006B4C64"/>
    <w:rsid w:val="006B6046"/>
    <w:rsid w:val="006B69BA"/>
    <w:rsid w:val="006B6C73"/>
    <w:rsid w:val="006B6CC7"/>
    <w:rsid w:val="006B7B3F"/>
    <w:rsid w:val="006B7DC5"/>
    <w:rsid w:val="006C0741"/>
    <w:rsid w:val="006C0ACB"/>
    <w:rsid w:val="006C0C6C"/>
    <w:rsid w:val="006C28BA"/>
    <w:rsid w:val="006C314B"/>
    <w:rsid w:val="006C36FA"/>
    <w:rsid w:val="006C37E9"/>
    <w:rsid w:val="006C3DFC"/>
    <w:rsid w:val="006C4293"/>
    <w:rsid w:val="006C4922"/>
    <w:rsid w:val="006C4B14"/>
    <w:rsid w:val="006C4D05"/>
    <w:rsid w:val="006C5937"/>
    <w:rsid w:val="006C59A3"/>
    <w:rsid w:val="006C5CF6"/>
    <w:rsid w:val="006C648F"/>
    <w:rsid w:val="006C70D0"/>
    <w:rsid w:val="006D04FD"/>
    <w:rsid w:val="006D076C"/>
    <w:rsid w:val="006D0D5E"/>
    <w:rsid w:val="006D1391"/>
    <w:rsid w:val="006D17BB"/>
    <w:rsid w:val="006D1914"/>
    <w:rsid w:val="006D1EA3"/>
    <w:rsid w:val="006D246A"/>
    <w:rsid w:val="006D286F"/>
    <w:rsid w:val="006D29B5"/>
    <w:rsid w:val="006D33C1"/>
    <w:rsid w:val="006D382A"/>
    <w:rsid w:val="006D4079"/>
    <w:rsid w:val="006D4F50"/>
    <w:rsid w:val="006D5252"/>
    <w:rsid w:val="006D5579"/>
    <w:rsid w:val="006D5AF0"/>
    <w:rsid w:val="006D601F"/>
    <w:rsid w:val="006D609C"/>
    <w:rsid w:val="006D6929"/>
    <w:rsid w:val="006D76B4"/>
    <w:rsid w:val="006E0246"/>
    <w:rsid w:val="006E0498"/>
    <w:rsid w:val="006E1657"/>
    <w:rsid w:val="006E18E9"/>
    <w:rsid w:val="006E1B67"/>
    <w:rsid w:val="006E1C18"/>
    <w:rsid w:val="006E1D96"/>
    <w:rsid w:val="006E218B"/>
    <w:rsid w:val="006E30E8"/>
    <w:rsid w:val="006E39A7"/>
    <w:rsid w:val="006E4088"/>
    <w:rsid w:val="006E4FF1"/>
    <w:rsid w:val="006E66AB"/>
    <w:rsid w:val="006E6A6C"/>
    <w:rsid w:val="006E6AC0"/>
    <w:rsid w:val="006E6DD9"/>
    <w:rsid w:val="006E70BA"/>
    <w:rsid w:val="006E77B3"/>
    <w:rsid w:val="006E7812"/>
    <w:rsid w:val="006F0B27"/>
    <w:rsid w:val="006F0F4E"/>
    <w:rsid w:val="006F10A5"/>
    <w:rsid w:val="006F146D"/>
    <w:rsid w:val="006F1A7F"/>
    <w:rsid w:val="006F24EF"/>
    <w:rsid w:val="006F254A"/>
    <w:rsid w:val="006F2B06"/>
    <w:rsid w:val="006F2F52"/>
    <w:rsid w:val="006F3B3F"/>
    <w:rsid w:val="006F436E"/>
    <w:rsid w:val="006F4959"/>
    <w:rsid w:val="006F4B08"/>
    <w:rsid w:val="006F57A7"/>
    <w:rsid w:val="006F6789"/>
    <w:rsid w:val="006F6AC1"/>
    <w:rsid w:val="006F7C0A"/>
    <w:rsid w:val="007001AE"/>
    <w:rsid w:val="00700B9A"/>
    <w:rsid w:val="00700FE5"/>
    <w:rsid w:val="007018BA"/>
    <w:rsid w:val="00701D89"/>
    <w:rsid w:val="00702DD0"/>
    <w:rsid w:val="007046BD"/>
    <w:rsid w:val="0070481B"/>
    <w:rsid w:val="00704A32"/>
    <w:rsid w:val="007053FE"/>
    <w:rsid w:val="00705493"/>
    <w:rsid w:val="00706E7E"/>
    <w:rsid w:val="00707527"/>
    <w:rsid w:val="0071072A"/>
    <w:rsid w:val="00710C01"/>
    <w:rsid w:val="00711A1D"/>
    <w:rsid w:val="00711A7E"/>
    <w:rsid w:val="007124B1"/>
    <w:rsid w:val="0071282F"/>
    <w:rsid w:val="007133E1"/>
    <w:rsid w:val="0071415D"/>
    <w:rsid w:val="00714CCD"/>
    <w:rsid w:val="0071577E"/>
    <w:rsid w:val="007163F6"/>
    <w:rsid w:val="00716D62"/>
    <w:rsid w:val="00716F8C"/>
    <w:rsid w:val="00720129"/>
    <w:rsid w:val="00720EF3"/>
    <w:rsid w:val="00722D11"/>
    <w:rsid w:val="007233D6"/>
    <w:rsid w:val="007239BA"/>
    <w:rsid w:val="00723F4F"/>
    <w:rsid w:val="00724587"/>
    <w:rsid w:val="0072704C"/>
    <w:rsid w:val="0073095D"/>
    <w:rsid w:val="00730F08"/>
    <w:rsid w:val="0073141B"/>
    <w:rsid w:val="0073211D"/>
    <w:rsid w:val="00732306"/>
    <w:rsid w:val="007338CD"/>
    <w:rsid w:val="00733FA1"/>
    <w:rsid w:val="00734A8B"/>
    <w:rsid w:val="00734E4D"/>
    <w:rsid w:val="00734FDC"/>
    <w:rsid w:val="007351DD"/>
    <w:rsid w:val="00736275"/>
    <w:rsid w:val="0073636F"/>
    <w:rsid w:val="00736A5C"/>
    <w:rsid w:val="00736E8C"/>
    <w:rsid w:val="0073759F"/>
    <w:rsid w:val="00737D1B"/>
    <w:rsid w:val="00737E7D"/>
    <w:rsid w:val="00740141"/>
    <w:rsid w:val="00741434"/>
    <w:rsid w:val="00741AAF"/>
    <w:rsid w:val="0074249D"/>
    <w:rsid w:val="00742539"/>
    <w:rsid w:val="00742614"/>
    <w:rsid w:val="00742F9F"/>
    <w:rsid w:val="00744597"/>
    <w:rsid w:val="0074467D"/>
    <w:rsid w:val="00745FA5"/>
    <w:rsid w:val="00746346"/>
    <w:rsid w:val="0074637F"/>
    <w:rsid w:val="00746CEE"/>
    <w:rsid w:val="00747469"/>
    <w:rsid w:val="00747C4B"/>
    <w:rsid w:val="00750361"/>
    <w:rsid w:val="00751392"/>
    <w:rsid w:val="007519D0"/>
    <w:rsid w:val="00752241"/>
    <w:rsid w:val="00752426"/>
    <w:rsid w:val="007539AA"/>
    <w:rsid w:val="0075412E"/>
    <w:rsid w:val="0075538E"/>
    <w:rsid w:val="00755E57"/>
    <w:rsid w:val="00756517"/>
    <w:rsid w:val="0075760A"/>
    <w:rsid w:val="00760221"/>
    <w:rsid w:val="007614EC"/>
    <w:rsid w:val="007628E4"/>
    <w:rsid w:val="0076341D"/>
    <w:rsid w:val="00763933"/>
    <w:rsid w:val="00763F4E"/>
    <w:rsid w:val="007644E8"/>
    <w:rsid w:val="007647B9"/>
    <w:rsid w:val="0076494A"/>
    <w:rsid w:val="00764A1E"/>
    <w:rsid w:val="0076548F"/>
    <w:rsid w:val="0076577F"/>
    <w:rsid w:val="00765C74"/>
    <w:rsid w:val="00765D54"/>
    <w:rsid w:val="00766134"/>
    <w:rsid w:val="00766198"/>
    <w:rsid w:val="0076627D"/>
    <w:rsid w:val="007701A2"/>
    <w:rsid w:val="00770DA4"/>
    <w:rsid w:val="00770E92"/>
    <w:rsid w:val="00771034"/>
    <w:rsid w:val="00771255"/>
    <w:rsid w:val="007712D9"/>
    <w:rsid w:val="00773070"/>
    <w:rsid w:val="00773E6F"/>
    <w:rsid w:val="0077475C"/>
    <w:rsid w:val="00774B60"/>
    <w:rsid w:val="00775184"/>
    <w:rsid w:val="007757E9"/>
    <w:rsid w:val="00775E02"/>
    <w:rsid w:val="00777A33"/>
    <w:rsid w:val="007808CB"/>
    <w:rsid w:val="00781204"/>
    <w:rsid w:val="00781904"/>
    <w:rsid w:val="00781941"/>
    <w:rsid w:val="00781CD0"/>
    <w:rsid w:val="00781D3C"/>
    <w:rsid w:val="00781F4F"/>
    <w:rsid w:val="0078221F"/>
    <w:rsid w:val="00783354"/>
    <w:rsid w:val="00783B12"/>
    <w:rsid w:val="00784C9A"/>
    <w:rsid w:val="00785CB1"/>
    <w:rsid w:val="00787564"/>
    <w:rsid w:val="00787575"/>
    <w:rsid w:val="00790B1D"/>
    <w:rsid w:val="00791E64"/>
    <w:rsid w:val="007931CB"/>
    <w:rsid w:val="00793AA8"/>
    <w:rsid w:val="00794745"/>
    <w:rsid w:val="00794D4C"/>
    <w:rsid w:val="007951CE"/>
    <w:rsid w:val="007956CD"/>
    <w:rsid w:val="00795A05"/>
    <w:rsid w:val="007964DA"/>
    <w:rsid w:val="00796911"/>
    <w:rsid w:val="00796AE2"/>
    <w:rsid w:val="00796F27"/>
    <w:rsid w:val="00797A43"/>
    <w:rsid w:val="00797F27"/>
    <w:rsid w:val="007A0BCD"/>
    <w:rsid w:val="007A28F3"/>
    <w:rsid w:val="007A2E79"/>
    <w:rsid w:val="007A3A56"/>
    <w:rsid w:val="007A40F5"/>
    <w:rsid w:val="007A4574"/>
    <w:rsid w:val="007A45E6"/>
    <w:rsid w:val="007A6B49"/>
    <w:rsid w:val="007A7134"/>
    <w:rsid w:val="007A7422"/>
    <w:rsid w:val="007A76B1"/>
    <w:rsid w:val="007B0126"/>
    <w:rsid w:val="007B1EF4"/>
    <w:rsid w:val="007B2C5C"/>
    <w:rsid w:val="007B3511"/>
    <w:rsid w:val="007B669B"/>
    <w:rsid w:val="007B68F8"/>
    <w:rsid w:val="007B73D2"/>
    <w:rsid w:val="007C0C7B"/>
    <w:rsid w:val="007C107B"/>
    <w:rsid w:val="007C302C"/>
    <w:rsid w:val="007C33BE"/>
    <w:rsid w:val="007C37F2"/>
    <w:rsid w:val="007C3A40"/>
    <w:rsid w:val="007C3DB1"/>
    <w:rsid w:val="007C48C3"/>
    <w:rsid w:val="007C4E88"/>
    <w:rsid w:val="007C5D8F"/>
    <w:rsid w:val="007C7270"/>
    <w:rsid w:val="007C7329"/>
    <w:rsid w:val="007C7A7E"/>
    <w:rsid w:val="007C7BAB"/>
    <w:rsid w:val="007C7D79"/>
    <w:rsid w:val="007D02E0"/>
    <w:rsid w:val="007D0BF2"/>
    <w:rsid w:val="007D1036"/>
    <w:rsid w:val="007D16D8"/>
    <w:rsid w:val="007D16DC"/>
    <w:rsid w:val="007D1C6E"/>
    <w:rsid w:val="007D1EC8"/>
    <w:rsid w:val="007D2CB0"/>
    <w:rsid w:val="007D393D"/>
    <w:rsid w:val="007D6B25"/>
    <w:rsid w:val="007D6B38"/>
    <w:rsid w:val="007D6D97"/>
    <w:rsid w:val="007D7291"/>
    <w:rsid w:val="007D767F"/>
    <w:rsid w:val="007E0D40"/>
    <w:rsid w:val="007E2054"/>
    <w:rsid w:val="007E28C6"/>
    <w:rsid w:val="007E3D8F"/>
    <w:rsid w:val="007E4462"/>
    <w:rsid w:val="007E451A"/>
    <w:rsid w:val="007E5439"/>
    <w:rsid w:val="007E617A"/>
    <w:rsid w:val="007E72D1"/>
    <w:rsid w:val="007F0AAC"/>
    <w:rsid w:val="007F0E04"/>
    <w:rsid w:val="007F0E85"/>
    <w:rsid w:val="007F19E8"/>
    <w:rsid w:val="007F2768"/>
    <w:rsid w:val="007F2AB0"/>
    <w:rsid w:val="007F3590"/>
    <w:rsid w:val="007F3869"/>
    <w:rsid w:val="007F4AB4"/>
    <w:rsid w:val="007F5893"/>
    <w:rsid w:val="007F5D2F"/>
    <w:rsid w:val="007F5D8C"/>
    <w:rsid w:val="007F5F12"/>
    <w:rsid w:val="007F6996"/>
    <w:rsid w:val="00800480"/>
    <w:rsid w:val="008009A8"/>
    <w:rsid w:val="00800D25"/>
    <w:rsid w:val="0080273F"/>
    <w:rsid w:val="00805342"/>
    <w:rsid w:val="00805F81"/>
    <w:rsid w:val="008068E1"/>
    <w:rsid w:val="00807B7F"/>
    <w:rsid w:val="0081146D"/>
    <w:rsid w:val="0081194C"/>
    <w:rsid w:val="00811B1A"/>
    <w:rsid w:val="00812723"/>
    <w:rsid w:val="008134BA"/>
    <w:rsid w:val="0081379F"/>
    <w:rsid w:val="00813C4A"/>
    <w:rsid w:val="00814418"/>
    <w:rsid w:val="008144FA"/>
    <w:rsid w:val="008148CB"/>
    <w:rsid w:val="00815281"/>
    <w:rsid w:val="00815587"/>
    <w:rsid w:val="00816CAF"/>
    <w:rsid w:val="00817C3D"/>
    <w:rsid w:val="00817CB5"/>
    <w:rsid w:val="008205B2"/>
    <w:rsid w:val="00820861"/>
    <w:rsid w:val="00820E2C"/>
    <w:rsid w:val="00820E8A"/>
    <w:rsid w:val="00821F81"/>
    <w:rsid w:val="00822562"/>
    <w:rsid w:val="00822A61"/>
    <w:rsid w:val="00823E27"/>
    <w:rsid w:val="008244ED"/>
    <w:rsid w:val="00824FB3"/>
    <w:rsid w:val="008253ED"/>
    <w:rsid w:val="00825E87"/>
    <w:rsid w:val="00826949"/>
    <w:rsid w:val="00826E68"/>
    <w:rsid w:val="008321D0"/>
    <w:rsid w:val="0083261E"/>
    <w:rsid w:val="008329DD"/>
    <w:rsid w:val="00832A75"/>
    <w:rsid w:val="008333B0"/>
    <w:rsid w:val="00833605"/>
    <w:rsid w:val="00833BE5"/>
    <w:rsid w:val="00833C74"/>
    <w:rsid w:val="00834E22"/>
    <w:rsid w:val="00834EDF"/>
    <w:rsid w:val="008350EC"/>
    <w:rsid w:val="00835157"/>
    <w:rsid w:val="00835963"/>
    <w:rsid w:val="008365F8"/>
    <w:rsid w:val="00836B63"/>
    <w:rsid w:val="00836F20"/>
    <w:rsid w:val="008370C1"/>
    <w:rsid w:val="00837256"/>
    <w:rsid w:val="00840144"/>
    <w:rsid w:val="00841A41"/>
    <w:rsid w:val="00841B03"/>
    <w:rsid w:val="00842448"/>
    <w:rsid w:val="00842882"/>
    <w:rsid w:val="008434B8"/>
    <w:rsid w:val="00843DB5"/>
    <w:rsid w:val="00845180"/>
    <w:rsid w:val="0084536D"/>
    <w:rsid w:val="008453B2"/>
    <w:rsid w:val="008459CC"/>
    <w:rsid w:val="00846AA7"/>
    <w:rsid w:val="00846C2F"/>
    <w:rsid w:val="00846EC8"/>
    <w:rsid w:val="008471D3"/>
    <w:rsid w:val="00847411"/>
    <w:rsid w:val="008476E9"/>
    <w:rsid w:val="00847ED1"/>
    <w:rsid w:val="00847EEB"/>
    <w:rsid w:val="00847FBF"/>
    <w:rsid w:val="00851262"/>
    <w:rsid w:val="0085213D"/>
    <w:rsid w:val="00852371"/>
    <w:rsid w:val="00852380"/>
    <w:rsid w:val="008534B5"/>
    <w:rsid w:val="00854478"/>
    <w:rsid w:val="00854D8C"/>
    <w:rsid w:val="00855DED"/>
    <w:rsid w:val="0085668D"/>
    <w:rsid w:val="00857245"/>
    <w:rsid w:val="0085752A"/>
    <w:rsid w:val="00857638"/>
    <w:rsid w:val="00860601"/>
    <w:rsid w:val="0086142F"/>
    <w:rsid w:val="0086169F"/>
    <w:rsid w:val="00862691"/>
    <w:rsid w:val="00862973"/>
    <w:rsid w:val="00862A46"/>
    <w:rsid w:val="00862EBC"/>
    <w:rsid w:val="00864889"/>
    <w:rsid w:val="00864CB6"/>
    <w:rsid w:val="00865666"/>
    <w:rsid w:val="0086638A"/>
    <w:rsid w:val="008675DA"/>
    <w:rsid w:val="00867E9F"/>
    <w:rsid w:val="00870A78"/>
    <w:rsid w:val="00871C2C"/>
    <w:rsid w:val="00871D7A"/>
    <w:rsid w:val="008720D3"/>
    <w:rsid w:val="00873623"/>
    <w:rsid w:val="00874064"/>
    <w:rsid w:val="008757D8"/>
    <w:rsid w:val="00875897"/>
    <w:rsid w:val="0087592E"/>
    <w:rsid w:val="0087659D"/>
    <w:rsid w:val="00876946"/>
    <w:rsid w:val="008778F7"/>
    <w:rsid w:val="00877A29"/>
    <w:rsid w:val="00880F5F"/>
    <w:rsid w:val="008813B9"/>
    <w:rsid w:val="00881611"/>
    <w:rsid w:val="0088163D"/>
    <w:rsid w:val="00881B61"/>
    <w:rsid w:val="00881C80"/>
    <w:rsid w:val="0088201A"/>
    <w:rsid w:val="008828D8"/>
    <w:rsid w:val="00883268"/>
    <w:rsid w:val="008837FF"/>
    <w:rsid w:val="008839F1"/>
    <w:rsid w:val="00884622"/>
    <w:rsid w:val="00884D12"/>
    <w:rsid w:val="00884EE5"/>
    <w:rsid w:val="00885613"/>
    <w:rsid w:val="0088602E"/>
    <w:rsid w:val="00886482"/>
    <w:rsid w:val="0088667D"/>
    <w:rsid w:val="00886B84"/>
    <w:rsid w:val="00886EB4"/>
    <w:rsid w:val="008873D3"/>
    <w:rsid w:val="00891C5B"/>
    <w:rsid w:val="00892A42"/>
    <w:rsid w:val="00893125"/>
    <w:rsid w:val="00893628"/>
    <w:rsid w:val="008936EF"/>
    <w:rsid w:val="00893C97"/>
    <w:rsid w:val="0089421B"/>
    <w:rsid w:val="00894354"/>
    <w:rsid w:val="0089448F"/>
    <w:rsid w:val="008946E4"/>
    <w:rsid w:val="00894F66"/>
    <w:rsid w:val="008950E7"/>
    <w:rsid w:val="00895A5D"/>
    <w:rsid w:val="008967AB"/>
    <w:rsid w:val="0089701B"/>
    <w:rsid w:val="00897438"/>
    <w:rsid w:val="008A011C"/>
    <w:rsid w:val="008A06C7"/>
    <w:rsid w:val="008A07A1"/>
    <w:rsid w:val="008A1D80"/>
    <w:rsid w:val="008A20F9"/>
    <w:rsid w:val="008A3385"/>
    <w:rsid w:val="008A3677"/>
    <w:rsid w:val="008A443A"/>
    <w:rsid w:val="008A4927"/>
    <w:rsid w:val="008A5872"/>
    <w:rsid w:val="008A58B1"/>
    <w:rsid w:val="008A5A47"/>
    <w:rsid w:val="008A620A"/>
    <w:rsid w:val="008A7749"/>
    <w:rsid w:val="008A7A8D"/>
    <w:rsid w:val="008B0705"/>
    <w:rsid w:val="008B0979"/>
    <w:rsid w:val="008B0AA4"/>
    <w:rsid w:val="008B0DAA"/>
    <w:rsid w:val="008B322B"/>
    <w:rsid w:val="008B379E"/>
    <w:rsid w:val="008B3D8D"/>
    <w:rsid w:val="008B5D0E"/>
    <w:rsid w:val="008B5FCB"/>
    <w:rsid w:val="008B6259"/>
    <w:rsid w:val="008B63F7"/>
    <w:rsid w:val="008B68D7"/>
    <w:rsid w:val="008B74C5"/>
    <w:rsid w:val="008B7605"/>
    <w:rsid w:val="008C00CA"/>
    <w:rsid w:val="008C0797"/>
    <w:rsid w:val="008C2383"/>
    <w:rsid w:val="008C299F"/>
    <w:rsid w:val="008C2D1D"/>
    <w:rsid w:val="008C357F"/>
    <w:rsid w:val="008C4614"/>
    <w:rsid w:val="008C58D1"/>
    <w:rsid w:val="008C59B2"/>
    <w:rsid w:val="008C5AA6"/>
    <w:rsid w:val="008C5EB9"/>
    <w:rsid w:val="008C799F"/>
    <w:rsid w:val="008D02AE"/>
    <w:rsid w:val="008D0A43"/>
    <w:rsid w:val="008D0C8A"/>
    <w:rsid w:val="008D15C5"/>
    <w:rsid w:val="008D1F03"/>
    <w:rsid w:val="008D33CC"/>
    <w:rsid w:val="008D3487"/>
    <w:rsid w:val="008D38FE"/>
    <w:rsid w:val="008D3DA8"/>
    <w:rsid w:val="008D4E27"/>
    <w:rsid w:val="008D5035"/>
    <w:rsid w:val="008D5157"/>
    <w:rsid w:val="008D5C2A"/>
    <w:rsid w:val="008D6341"/>
    <w:rsid w:val="008D653C"/>
    <w:rsid w:val="008D6EB6"/>
    <w:rsid w:val="008E014D"/>
    <w:rsid w:val="008E111A"/>
    <w:rsid w:val="008E1F78"/>
    <w:rsid w:val="008E21E3"/>
    <w:rsid w:val="008E26A1"/>
    <w:rsid w:val="008E3470"/>
    <w:rsid w:val="008E3741"/>
    <w:rsid w:val="008E4084"/>
    <w:rsid w:val="008E4634"/>
    <w:rsid w:val="008E4AF4"/>
    <w:rsid w:val="008E4B43"/>
    <w:rsid w:val="008E562B"/>
    <w:rsid w:val="008E59FC"/>
    <w:rsid w:val="008F0B14"/>
    <w:rsid w:val="008F13C7"/>
    <w:rsid w:val="008F1BEA"/>
    <w:rsid w:val="008F2158"/>
    <w:rsid w:val="008F2E1B"/>
    <w:rsid w:val="008F31A8"/>
    <w:rsid w:val="008F34CF"/>
    <w:rsid w:val="008F4909"/>
    <w:rsid w:val="008F4C08"/>
    <w:rsid w:val="008F4FEB"/>
    <w:rsid w:val="008F57C8"/>
    <w:rsid w:val="008F7116"/>
    <w:rsid w:val="008F7824"/>
    <w:rsid w:val="008F7C9D"/>
    <w:rsid w:val="009017AE"/>
    <w:rsid w:val="00901880"/>
    <w:rsid w:val="00903469"/>
    <w:rsid w:val="009036D8"/>
    <w:rsid w:val="00903CFB"/>
    <w:rsid w:val="00903FCE"/>
    <w:rsid w:val="009044B5"/>
    <w:rsid w:val="0090511F"/>
    <w:rsid w:val="00905D92"/>
    <w:rsid w:val="00905DFA"/>
    <w:rsid w:val="00905ED0"/>
    <w:rsid w:val="0090680B"/>
    <w:rsid w:val="0090783D"/>
    <w:rsid w:val="009079C1"/>
    <w:rsid w:val="0091015A"/>
    <w:rsid w:val="009109B5"/>
    <w:rsid w:val="009111E2"/>
    <w:rsid w:val="00911CB0"/>
    <w:rsid w:val="00912B05"/>
    <w:rsid w:val="009138EE"/>
    <w:rsid w:val="00913D64"/>
    <w:rsid w:val="00913F52"/>
    <w:rsid w:val="00913F59"/>
    <w:rsid w:val="0091482B"/>
    <w:rsid w:val="00914F9C"/>
    <w:rsid w:val="009151DC"/>
    <w:rsid w:val="00916824"/>
    <w:rsid w:val="00921755"/>
    <w:rsid w:val="00921987"/>
    <w:rsid w:val="00922438"/>
    <w:rsid w:val="0092373C"/>
    <w:rsid w:val="009237AB"/>
    <w:rsid w:val="00923C90"/>
    <w:rsid w:val="00923D75"/>
    <w:rsid w:val="00926903"/>
    <w:rsid w:val="00927234"/>
    <w:rsid w:val="00927C61"/>
    <w:rsid w:val="00927DB5"/>
    <w:rsid w:val="009301C3"/>
    <w:rsid w:val="009305DF"/>
    <w:rsid w:val="00930829"/>
    <w:rsid w:val="00930DA7"/>
    <w:rsid w:val="00930F81"/>
    <w:rsid w:val="0093132B"/>
    <w:rsid w:val="0093144D"/>
    <w:rsid w:val="00931638"/>
    <w:rsid w:val="0093248E"/>
    <w:rsid w:val="00932EEE"/>
    <w:rsid w:val="0093338D"/>
    <w:rsid w:val="00934456"/>
    <w:rsid w:val="00934C29"/>
    <w:rsid w:val="009369D1"/>
    <w:rsid w:val="00937831"/>
    <w:rsid w:val="00940703"/>
    <w:rsid w:val="00940B60"/>
    <w:rsid w:val="00941317"/>
    <w:rsid w:val="00941490"/>
    <w:rsid w:val="00942407"/>
    <w:rsid w:val="00942747"/>
    <w:rsid w:val="0094367C"/>
    <w:rsid w:val="00943845"/>
    <w:rsid w:val="00944587"/>
    <w:rsid w:val="00944FA6"/>
    <w:rsid w:val="00945034"/>
    <w:rsid w:val="0094559A"/>
    <w:rsid w:val="009461B0"/>
    <w:rsid w:val="00946380"/>
    <w:rsid w:val="00946796"/>
    <w:rsid w:val="00947042"/>
    <w:rsid w:val="0094744D"/>
    <w:rsid w:val="0094767D"/>
    <w:rsid w:val="00950ABC"/>
    <w:rsid w:val="009510A2"/>
    <w:rsid w:val="00952962"/>
    <w:rsid w:val="0095377E"/>
    <w:rsid w:val="00953DD2"/>
    <w:rsid w:val="00954608"/>
    <w:rsid w:val="009559E1"/>
    <w:rsid w:val="00955A13"/>
    <w:rsid w:val="00955B0B"/>
    <w:rsid w:val="00956189"/>
    <w:rsid w:val="00956396"/>
    <w:rsid w:val="0095643C"/>
    <w:rsid w:val="00956DFE"/>
    <w:rsid w:val="0095797A"/>
    <w:rsid w:val="00957C66"/>
    <w:rsid w:val="00960A98"/>
    <w:rsid w:val="00961A82"/>
    <w:rsid w:val="00962313"/>
    <w:rsid w:val="00962CD5"/>
    <w:rsid w:val="0096525C"/>
    <w:rsid w:val="00965F29"/>
    <w:rsid w:val="00966187"/>
    <w:rsid w:val="00966C58"/>
    <w:rsid w:val="00966D00"/>
    <w:rsid w:val="00966D82"/>
    <w:rsid w:val="00966F15"/>
    <w:rsid w:val="00967541"/>
    <w:rsid w:val="00970069"/>
    <w:rsid w:val="0097040C"/>
    <w:rsid w:val="00970C0B"/>
    <w:rsid w:val="009712AD"/>
    <w:rsid w:val="00973171"/>
    <w:rsid w:val="00973A08"/>
    <w:rsid w:val="00973E91"/>
    <w:rsid w:val="00973F53"/>
    <w:rsid w:val="00973F6A"/>
    <w:rsid w:val="00974580"/>
    <w:rsid w:val="00975C20"/>
    <w:rsid w:val="0097602D"/>
    <w:rsid w:val="0097664C"/>
    <w:rsid w:val="00976969"/>
    <w:rsid w:val="00976BC1"/>
    <w:rsid w:val="00976CBE"/>
    <w:rsid w:val="00977194"/>
    <w:rsid w:val="00977E3C"/>
    <w:rsid w:val="009805D3"/>
    <w:rsid w:val="00980E0C"/>
    <w:rsid w:val="00982014"/>
    <w:rsid w:val="0098289E"/>
    <w:rsid w:val="00982CD8"/>
    <w:rsid w:val="00982E8C"/>
    <w:rsid w:val="00984858"/>
    <w:rsid w:val="009858D9"/>
    <w:rsid w:val="00986F0C"/>
    <w:rsid w:val="0098707C"/>
    <w:rsid w:val="00987441"/>
    <w:rsid w:val="00987DAC"/>
    <w:rsid w:val="00990239"/>
    <w:rsid w:val="009938E2"/>
    <w:rsid w:val="009942E7"/>
    <w:rsid w:val="00994D29"/>
    <w:rsid w:val="00995CEE"/>
    <w:rsid w:val="009970B2"/>
    <w:rsid w:val="009974E3"/>
    <w:rsid w:val="009977D7"/>
    <w:rsid w:val="009A05A5"/>
    <w:rsid w:val="009A1080"/>
    <w:rsid w:val="009A1EB2"/>
    <w:rsid w:val="009A4B19"/>
    <w:rsid w:val="009A4E53"/>
    <w:rsid w:val="009A4F81"/>
    <w:rsid w:val="009A5120"/>
    <w:rsid w:val="009A5ED6"/>
    <w:rsid w:val="009A6E57"/>
    <w:rsid w:val="009B04FA"/>
    <w:rsid w:val="009B1E42"/>
    <w:rsid w:val="009B219B"/>
    <w:rsid w:val="009B3144"/>
    <w:rsid w:val="009B3156"/>
    <w:rsid w:val="009B3E3A"/>
    <w:rsid w:val="009B4550"/>
    <w:rsid w:val="009B4624"/>
    <w:rsid w:val="009B4990"/>
    <w:rsid w:val="009B4F81"/>
    <w:rsid w:val="009B57DB"/>
    <w:rsid w:val="009B5EDA"/>
    <w:rsid w:val="009B6E64"/>
    <w:rsid w:val="009B6EAA"/>
    <w:rsid w:val="009B7511"/>
    <w:rsid w:val="009C1216"/>
    <w:rsid w:val="009C1306"/>
    <w:rsid w:val="009C1CCB"/>
    <w:rsid w:val="009C20DE"/>
    <w:rsid w:val="009C28FF"/>
    <w:rsid w:val="009C2C62"/>
    <w:rsid w:val="009C40EF"/>
    <w:rsid w:val="009C42A6"/>
    <w:rsid w:val="009C4B27"/>
    <w:rsid w:val="009C4B5F"/>
    <w:rsid w:val="009C5AA5"/>
    <w:rsid w:val="009C68E9"/>
    <w:rsid w:val="009C6D86"/>
    <w:rsid w:val="009C7653"/>
    <w:rsid w:val="009D0371"/>
    <w:rsid w:val="009D0407"/>
    <w:rsid w:val="009D0EE2"/>
    <w:rsid w:val="009D1088"/>
    <w:rsid w:val="009D2113"/>
    <w:rsid w:val="009D25A6"/>
    <w:rsid w:val="009D3334"/>
    <w:rsid w:val="009D384B"/>
    <w:rsid w:val="009D3F54"/>
    <w:rsid w:val="009D47B3"/>
    <w:rsid w:val="009D55D1"/>
    <w:rsid w:val="009D5ABD"/>
    <w:rsid w:val="009D5B68"/>
    <w:rsid w:val="009D7C5E"/>
    <w:rsid w:val="009E2CFC"/>
    <w:rsid w:val="009E2DEB"/>
    <w:rsid w:val="009E3197"/>
    <w:rsid w:val="009E3F06"/>
    <w:rsid w:val="009E59AF"/>
    <w:rsid w:val="009E6211"/>
    <w:rsid w:val="009E74A6"/>
    <w:rsid w:val="009E7631"/>
    <w:rsid w:val="009E785D"/>
    <w:rsid w:val="009F04C7"/>
    <w:rsid w:val="009F0908"/>
    <w:rsid w:val="009F168D"/>
    <w:rsid w:val="009F16C5"/>
    <w:rsid w:val="009F16F1"/>
    <w:rsid w:val="009F171F"/>
    <w:rsid w:val="009F1B9B"/>
    <w:rsid w:val="009F1EE1"/>
    <w:rsid w:val="009F35F8"/>
    <w:rsid w:val="009F3ADF"/>
    <w:rsid w:val="009F4F5F"/>
    <w:rsid w:val="009F52C6"/>
    <w:rsid w:val="009F5CCD"/>
    <w:rsid w:val="009F615E"/>
    <w:rsid w:val="009F7C8A"/>
    <w:rsid w:val="00A0062C"/>
    <w:rsid w:val="00A00A5F"/>
    <w:rsid w:val="00A00A6E"/>
    <w:rsid w:val="00A00F2C"/>
    <w:rsid w:val="00A011A4"/>
    <w:rsid w:val="00A011F5"/>
    <w:rsid w:val="00A0181B"/>
    <w:rsid w:val="00A02398"/>
    <w:rsid w:val="00A026C0"/>
    <w:rsid w:val="00A026D0"/>
    <w:rsid w:val="00A02B37"/>
    <w:rsid w:val="00A02E79"/>
    <w:rsid w:val="00A038C6"/>
    <w:rsid w:val="00A038D9"/>
    <w:rsid w:val="00A03D46"/>
    <w:rsid w:val="00A03E1C"/>
    <w:rsid w:val="00A041E5"/>
    <w:rsid w:val="00A043EC"/>
    <w:rsid w:val="00A06303"/>
    <w:rsid w:val="00A065D1"/>
    <w:rsid w:val="00A0771C"/>
    <w:rsid w:val="00A10D2C"/>
    <w:rsid w:val="00A11236"/>
    <w:rsid w:val="00A11904"/>
    <w:rsid w:val="00A11A22"/>
    <w:rsid w:val="00A1512A"/>
    <w:rsid w:val="00A15513"/>
    <w:rsid w:val="00A16276"/>
    <w:rsid w:val="00A17757"/>
    <w:rsid w:val="00A17A08"/>
    <w:rsid w:val="00A219CF"/>
    <w:rsid w:val="00A21DEE"/>
    <w:rsid w:val="00A22FB2"/>
    <w:rsid w:val="00A2321C"/>
    <w:rsid w:val="00A23657"/>
    <w:rsid w:val="00A23BC4"/>
    <w:rsid w:val="00A23CFF"/>
    <w:rsid w:val="00A241B2"/>
    <w:rsid w:val="00A25BE1"/>
    <w:rsid w:val="00A26447"/>
    <w:rsid w:val="00A268AD"/>
    <w:rsid w:val="00A27884"/>
    <w:rsid w:val="00A27BF4"/>
    <w:rsid w:val="00A30867"/>
    <w:rsid w:val="00A30BB8"/>
    <w:rsid w:val="00A30F52"/>
    <w:rsid w:val="00A31635"/>
    <w:rsid w:val="00A31B68"/>
    <w:rsid w:val="00A32005"/>
    <w:rsid w:val="00A32602"/>
    <w:rsid w:val="00A32A38"/>
    <w:rsid w:val="00A339E1"/>
    <w:rsid w:val="00A33C94"/>
    <w:rsid w:val="00A35263"/>
    <w:rsid w:val="00A35520"/>
    <w:rsid w:val="00A3557C"/>
    <w:rsid w:val="00A358CB"/>
    <w:rsid w:val="00A36B6E"/>
    <w:rsid w:val="00A36EF1"/>
    <w:rsid w:val="00A37547"/>
    <w:rsid w:val="00A415E8"/>
    <w:rsid w:val="00A426CE"/>
    <w:rsid w:val="00A428DE"/>
    <w:rsid w:val="00A4315F"/>
    <w:rsid w:val="00A4357D"/>
    <w:rsid w:val="00A44191"/>
    <w:rsid w:val="00A44573"/>
    <w:rsid w:val="00A44A08"/>
    <w:rsid w:val="00A44DD9"/>
    <w:rsid w:val="00A45543"/>
    <w:rsid w:val="00A4561E"/>
    <w:rsid w:val="00A457B3"/>
    <w:rsid w:val="00A46D67"/>
    <w:rsid w:val="00A47F1F"/>
    <w:rsid w:val="00A50A65"/>
    <w:rsid w:val="00A5156B"/>
    <w:rsid w:val="00A51EB1"/>
    <w:rsid w:val="00A52435"/>
    <w:rsid w:val="00A547D4"/>
    <w:rsid w:val="00A551BC"/>
    <w:rsid w:val="00A56556"/>
    <w:rsid w:val="00A568A4"/>
    <w:rsid w:val="00A57472"/>
    <w:rsid w:val="00A5748E"/>
    <w:rsid w:val="00A578BC"/>
    <w:rsid w:val="00A579A2"/>
    <w:rsid w:val="00A57BC2"/>
    <w:rsid w:val="00A62A84"/>
    <w:rsid w:val="00A646A8"/>
    <w:rsid w:val="00A652E0"/>
    <w:rsid w:val="00A65D39"/>
    <w:rsid w:val="00A65D45"/>
    <w:rsid w:val="00A661C8"/>
    <w:rsid w:val="00A66B4E"/>
    <w:rsid w:val="00A6724D"/>
    <w:rsid w:val="00A67DF7"/>
    <w:rsid w:val="00A71183"/>
    <w:rsid w:val="00A723B9"/>
    <w:rsid w:val="00A74985"/>
    <w:rsid w:val="00A75063"/>
    <w:rsid w:val="00A77773"/>
    <w:rsid w:val="00A803BB"/>
    <w:rsid w:val="00A812D8"/>
    <w:rsid w:val="00A81FF6"/>
    <w:rsid w:val="00A82020"/>
    <w:rsid w:val="00A82079"/>
    <w:rsid w:val="00A82151"/>
    <w:rsid w:val="00A8236A"/>
    <w:rsid w:val="00A83281"/>
    <w:rsid w:val="00A838FB"/>
    <w:rsid w:val="00A847B7"/>
    <w:rsid w:val="00A84DD8"/>
    <w:rsid w:val="00A84E15"/>
    <w:rsid w:val="00A85E04"/>
    <w:rsid w:val="00A863F2"/>
    <w:rsid w:val="00A86767"/>
    <w:rsid w:val="00A871EB"/>
    <w:rsid w:val="00A877DF"/>
    <w:rsid w:val="00A87ADF"/>
    <w:rsid w:val="00A90331"/>
    <w:rsid w:val="00A90D09"/>
    <w:rsid w:val="00A91C0A"/>
    <w:rsid w:val="00A924E1"/>
    <w:rsid w:val="00A9406E"/>
    <w:rsid w:val="00A94AC5"/>
    <w:rsid w:val="00A94D64"/>
    <w:rsid w:val="00AA253F"/>
    <w:rsid w:val="00AA2814"/>
    <w:rsid w:val="00AA3216"/>
    <w:rsid w:val="00AA4954"/>
    <w:rsid w:val="00AA4D2B"/>
    <w:rsid w:val="00AA5833"/>
    <w:rsid w:val="00AA72A7"/>
    <w:rsid w:val="00AB0330"/>
    <w:rsid w:val="00AB0935"/>
    <w:rsid w:val="00AB0AF0"/>
    <w:rsid w:val="00AB1033"/>
    <w:rsid w:val="00AB1D27"/>
    <w:rsid w:val="00AB233C"/>
    <w:rsid w:val="00AB2BDF"/>
    <w:rsid w:val="00AB315B"/>
    <w:rsid w:val="00AB36F9"/>
    <w:rsid w:val="00AB3A66"/>
    <w:rsid w:val="00AB43AF"/>
    <w:rsid w:val="00AB4FDD"/>
    <w:rsid w:val="00AB59F2"/>
    <w:rsid w:val="00AB612C"/>
    <w:rsid w:val="00AB62EC"/>
    <w:rsid w:val="00AB72D0"/>
    <w:rsid w:val="00AC1E43"/>
    <w:rsid w:val="00AC2CB8"/>
    <w:rsid w:val="00AC4249"/>
    <w:rsid w:val="00AC4510"/>
    <w:rsid w:val="00AC4598"/>
    <w:rsid w:val="00AC4BE6"/>
    <w:rsid w:val="00AC4D57"/>
    <w:rsid w:val="00AC5356"/>
    <w:rsid w:val="00AC7325"/>
    <w:rsid w:val="00AD040D"/>
    <w:rsid w:val="00AD0671"/>
    <w:rsid w:val="00AD1935"/>
    <w:rsid w:val="00AD2184"/>
    <w:rsid w:val="00AD23ED"/>
    <w:rsid w:val="00AD36A2"/>
    <w:rsid w:val="00AD3800"/>
    <w:rsid w:val="00AD3BA3"/>
    <w:rsid w:val="00AD403C"/>
    <w:rsid w:val="00AD419E"/>
    <w:rsid w:val="00AD421F"/>
    <w:rsid w:val="00AD4A1F"/>
    <w:rsid w:val="00AD4EBF"/>
    <w:rsid w:val="00AD612E"/>
    <w:rsid w:val="00AD71D5"/>
    <w:rsid w:val="00AE07EE"/>
    <w:rsid w:val="00AE08F9"/>
    <w:rsid w:val="00AE0CDE"/>
    <w:rsid w:val="00AE119F"/>
    <w:rsid w:val="00AE19E9"/>
    <w:rsid w:val="00AE1C53"/>
    <w:rsid w:val="00AE4CEB"/>
    <w:rsid w:val="00AE563F"/>
    <w:rsid w:val="00AE6143"/>
    <w:rsid w:val="00AE655E"/>
    <w:rsid w:val="00AE6D8E"/>
    <w:rsid w:val="00AE7871"/>
    <w:rsid w:val="00AE7A80"/>
    <w:rsid w:val="00AE7B29"/>
    <w:rsid w:val="00AF064A"/>
    <w:rsid w:val="00AF0725"/>
    <w:rsid w:val="00AF12E6"/>
    <w:rsid w:val="00AF25FC"/>
    <w:rsid w:val="00AF3011"/>
    <w:rsid w:val="00AF3256"/>
    <w:rsid w:val="00AF3BB3"/>
    <w:rsid w:val="00AF598C"/>
    <w:rsid w:val="00AF5B07"/>
    <w:rsid w:val="00AF66F3"/>
    <w:rsid w:val="00AF6D1E"/>
    <w:rsid w:val="00AF6D9F"/>
    <w:rsid w:val="00AF72BB"/>
    <w:rsid w:val="00AF747E"/>
    <w:rsid w:val="00B00E16"/>
    <w:rsid w:val="00B012C6"/>
    <w:rsid w:val="00B01785"/>
    <w:rsid w:val="00B01965"/>
    <w:rsid w:val="00B01B9F"/>
    <w:rsid w:val="00B01D25"/>
    <w:rsid w:val="00B01F2E"/>
    <w:rsid w:val="00B034EE"/>
    <w:rsid w:val="00B0355C"/>
    <w:rsid w:val="00B03836"/>
    <w:rsid w:val="00B03C16"/>
    <w:rsid w:val="00B03E5B"/>
    <w:rsid w:val="00B03F6A"/>
    <w:rsid w:val="00B0401E"/>
    <w:rsid w:val="00B0457F"/>
    <w:rsid w:val="00B04B6E"/>
    <w:rsid w:val="00B05538"/>
    <w:rsid w:val="00B06C2F"/>
    <w:rsid w:val="00B0761D"/>
    <w:rsid w:val="00B07846"/>
    <w:rsid w:val="00B07B53"/>
    <w:rsid w:val="00B10D4F"/>
    <w:rsid w:val="00B112D4"/>
    <w:rsid w:val="00B11C31"/>
    <w:rsid w:val="00B137F3"/>
    <w:rsid w:val="00B15461"/>
    <w:rsid w:val="00B15572"/>
    <w:rsid w:val="00B15FD2"/>
    <w:rsid w:val="00B1626B"/>
    <w:rsid w:val="00B179CF"/>
    <w:rsid w:val="00B20DAB"/>
    <w:rsid w:val="00B21037"/>
    <w:rsid w:val="00B21F02"/>
    <w:rsid w:val="00B238C6"/>
    <w:rsid w:val="00B23E1D"/>
    <w:rsid w:val="00B249D1"/>
    <w:rsid w:val="00B24D32"/>
    <w:rsid w:val="00B25B53"/>
    <w:rsid w:val="00B26D34"/>
    <w:rsid w:val="00B271F9"/>
    <w:rsid w:val="00B279E3"/>
    <w:rsid w:val="00B30368"/>
    <w:rsid w:val="00B3243C"/>
    <w:rsid w:val="00B325F8"/>
    <w:rsid w:val="00B32779"/>
    <w:rsid w:val="00B333BA"/>
    <w:rsid w:val="00B33468"/>
    <w:rsid w:val="00B34A45"/>
    <w:rsid w:val="00B34B38"/>
    <w:rsid w:val="00B36CBE"/>
    <w:rsid w:val="00B37120"/>
    <w:rsid w:val="00B372E3"/>
    <w:rsid w:val="00B403A4"/>
    <w:rsid w:val="00B414AD"/>
    <w:rsid w:val="00B41D9D"/>
    <w:rsid w:val="00B42747"/>
    <w:rsid w:val="00B43D78"/>
    <w:rsid w:val="00B440AD"/>
    <w:rsid w:val="00B44617"/>
    <w:rsid w:val="00B45E37"/>
    <w:rsid w:val="00B466DE"/>
    <w:rsid w:val="00B467C9"/>
    <w:rsid w:val="00B46C90"/>
    <w:rsid w:val="00B473FC"/>
    <w:rsid w:val="00B47DFF"/>
    <w:rsid w:val="00B47EA5"/>
    <w:rsid w:val="00B47FB8"/>
    <w:rsid w:val="00B50567"/>
    <w:rsid w:val="00B512AD"/>
    <w:rsid w:val="00B512D8"/>
    <w:rsid w:val="00B516C4"/>
    <w:rsid w:val="00B51B92"/>
    <w:rsid w:val="00B51FCD"/>
    <w:rsid w:val="00B52238"/>
    <w:rsid w:val="00B52F76"/>
    <w:rsid w:val="00B52F83"/>
    <w:rsid w:val="00B53435"/>
    <w:rsid w:val="00B53ABD"/>
    <w:rsid w:val="00B544EF"/>
    <w:rsid w:val="00B54C93"/>
    <w:rsid w:val="00B5538C"/>
    <w:rsid w:val="00B5556F"/>
    <w:rsid w:val="00B56F65"/>
    <w:rsid w:val="00B57405"/>
    <w:rsid w:val="00B57D70"/>
    <w:rsid w:val="00B57DB2"/>
    <w:rsid w:val="00B60787"/>
    <w:rsid w:val="00B616B2"/>
    <w:rsid w:val="00B6220B"/>
    <w:rsid w:val="00B625B8"/>
    <w:rsid w:val="00B633B1"/>
    <w:rsid w:val="00B63E1F"/>
    <w:rsid w:val="00B64626"/>
    <w:rsid w:val="00B64858"/>
    <w:rsid w:val="00B64F88"/>
    <w:rsid w:val="00B65633"/>
    <w:rsid w:val="00B65C47"/>
    <w:rsid w:val="00B67A17"/>
    <w:rsid w:val="00B72B1F"/>
    <w:rsid w:val="00B745E7"/>
    <w:rsid w:val="00B746B0"/>
    <w:rsid w:val="00B752C5"/>
    <w:rsid w:val="00B75F00"/>
    <w:rsid w:val="00B7602A"/>
    <w:rsid w:val="00B7621A"/>
    <w:rsid w:val="00B77961"/>
    <w:rsid w:val="00B833D4"/>
    <w:rsid w:val="00B83640"/>
    <w:rsid w:val="00B836FF"/>
    <w:rsid w:val="00B84396"/>
    <w:rsid w:val="00B8474E"/>
    <w:rsid w:val="00B84EFD"/>
    <w:rsid w:val="00B85044"/>
    <w:rsid w:val="00B86DE5"/>
    <w:rsid w:val="00B8731A"/>
    <w:rsid w:val="00B87DD8"/>
    <w:rsid w:val="00B90584"/>
    <w:rsid w:val="00B90721"/>
    <w:rsid w:val="00B91880"/>
    <w:rsid w:val="00B92CD7"/>
    <w:rsid w:val="00B93747"/>
    <w:rsid w:val="00B93ED3"/>
    <w:rsid w:val="00B944B8"/>
    <w:rsid w:val="00B94730"/>
    <w:rsid w:val="00B9476F"/>
    <w:rsid w:val="00B948CC"/>
    <w:rsid w:val="00B94F74"/>
    <w:rsid w:val="00B9628D"/>
    <w:rsid w:val="00B96586"/>
    <w:rsid w:val="00B96FC9"/>
    <w:rsid w:val="00B97261"/>
    <w:rsid w:val="00BA0CD5"/>
    <w:rsid w:val="00BA1322"/>
    <w:rsid w:val="00BA16E6"/>
    <w:rsid w:val="00BA2447"/>
    <w:rsid w:val="00BA3F08"/>
    <w:rsid w:val="00BA50A0"/>
    <w:rsid w:val="00BA5674"/>
    <w:rsid w:val="00BA6C85"/>
    <w:rsid w:val="00BA707E"/>
    <w:rsid w:val="00BA7CBF"/>
    <w:rsid w:val="00BB0972"/>
    <w:rsid w:val="00BB0A44"/>
    <w:rsid w:val="00BB174B"/>
    <w:rsid w:val="00BB1BB0"/>
    <w:rsid w:val="00BB256D"/>
    <w:rsid w:val="00BB34C3"/>
    <w:rsid w:val="00BB3613"/>
    <w:rsid w:val="00BB3C6E"/>
    <w:rsid w:val="00BB3C89"/>
    <w:rsid w:val="00BB3DCE"/>
    <w:rsid w:val="00BB4455"/>
    <w:rsid w:val="00BB4542"/>
    <w:rsid w:val="00BB4AA2"/>
    <w:rsid w:val="00BB4ECD"/>
    <w:rsid w:val="00BB59FA"/>
    <w:rsid w:val="00BB5D46"/>
    <w:rsid w:val="00BB657D"/>
    <w:rsid w:val="00BB6584"/>
    <w:rsid w:val="00BB70E4"/>
    <w:rsid w:val="00BB720B"/>
    <w:rsid w:val="00BB7585"/>
    <w:rsid w:val="00BB7C08"/>
    <w:rsid w:val="00BC01E4"/>
    <w:rsid w:val="00BC0A09"/>
    <w:rsid w:val="00BC12BF"/>
    <w:rsid w:val="00BC2F25"/>
    <w:rsid w:val="00BC3317"/>
    <w:rsid w:val="00BC3ECF"/>
    <w:rsid w:val="00BC42EF"/>
    <w:rsid w:val="00BC463D"/>
    <w:rsid w:val="00BC605E"/>
    <w:rsid w:val="00BC6426"/>
    <w:rsid w:val="00BD0091"/>
    <w:rsid w:val="00BD02BA"/>
    <w:rsid w:val="00BD0761"/>
    <w:rsid w:val="00BD2CFB"/>
    <w:rsid w:val="00BD4151"/>
    <w:rsid w:val="00BD4EB4"/>
    <w:rsid w:val="00BD568B"/>
    <w:rsid w:val="00BD6FD2"/>
    <w:rsid w:val="00BD722F"/>
    <w:rsid w:val="00BE01C0"/>
    <w:rsid w:val="00BE05E2"/>
    <w:rsid w:val="00BE0DFD"/>
    <w:rsid w:val="00BE10D5"/>
    <w:rsid w:val="00BE1FA8"/>
    <w:rsid w:val="00BE2094"/>
    <w:rsid w:val="00BE249C"/>
    <w:rsid w:val="00BE2BFB"/>
    <w:rsid w:val="00BE2F8F"/>
    <w:rsid w:val="00BE318C"/>
    <w:rsid w:val="00BE3F2E"/>
    <w:rsid w:val="00BE40BB"/>
    <w:rsid w:val="00BE4314"/>
    <w:rsid w:val="00BE453F"/>
    <w:rsid w:val="00BE625F"/>
    <w:rsid w:val="00BE6952"/>
    <w:rsid w:val="00BE6AA4"/>
    <w:rsid w:val="00BE7A18"/>
    <w:rsid w:val="00BF1C28"/>
    <w:rsid w:val="00BF2448"/>
    <w:rsid w:val="00BF2839"/>
    <w:rsid w:val="00BF2938"/>
    <w:rsid w:val="00BF41A9"/>
    <w:rsid w:val="00BF4B1E"/>
    <w:rsid w:val="00BF4CA8"/>
    <w:rsid w:val="00BF5138"/>
    <w:rsid w:val="00BF5DA6"/>
    <w:rsid w:val="00BF6070"/>
    <w:rsid w:val="00BF6A1C"/>
    <w:rsid w:val="00BF6C35"/>
    <w:rsid w:val="00C017C5"/>
    <w:rsid w:val="00C0199D"/>
    <w:rsid w:val="00C01A80"/>
    <w:rsid w:val="00C033C2"/>
    <w:rsid w:val="00C04261"/>
    <w:rsid w:val="00C057CE"/>
    <w:rsid w:val="00C05BDE"/>
    <w:rsid w:val="00C05D1D"/>
    <w:rsid w:val="00C06532"/>
    <w:rsid w:val="00C06EC5"/>
    <w:rsid w:val="00C07115"/>
    <w:rsid w:val="00C07D18"/>
    <w:rsid w:val="00C07D55"/>
    <w:rsid w:val="00C105FA"/>
    <w:rsid w:val="00C10B86"/>
    <w:rsid w:val="00C11E4A"/>
    <w:rsid w:val="00C1267A"/>
    <w:rsid w:val="00C12CC8"/>
    <w:rsid w:val="00C1338E"/>
    <w:rsid w:val="00C146BF"/>
    <w:rsid w:val="00C14A5D"/>
    <w:rsid w:val="00C14E10"/>
    <w:rsid w:val="00C15B82"/>
    <w:rsid w:val="00C15F54"/>
    <w:rsid w:val="00C16098"/>
    <w:rsid w:val="00C16756"/>
    <w:rsid w:val="00C177F1"/>
    <w:rsid w:val="00C1795C"/>
    <w:rsid w:val="00C17D19"/>
    <w:rsid w:val="00C20748"/>
    <w:rsid w:val="00C209FE"/>
    <w:rsid w:val="00C20B33"/>
    <w:rsid w:val="00C20F99"/>
    <w:rsid w:val="00C210F9"/>
    <w:rsid w:val="00C219AE"/>
    <w:rsid w:val="00C21C55"/>
    <w:rsid w:val="00C22C10"/>
    <w:rsid w:val="00C23EDB"/>
    <w:rsid w:val="00C24001"/>
    <w:rsid w:val="00C25F39"/>
    <w:rsid w:val="00C26B5D"/>
    <w:rsid w:val="00C275D4"/>
    <w:rsid w:val="00C3108E"/>
    <w:rsid w:val="00C31557"/>
    <w:rsid w:val="00C3157F"/>
    <w:rsid w:val="00C31809"/>
    <w:rsid w:val="00C32357"/>
    <w:rsid w:val="00C3316B"/>
    <w:rsid w:val="00C34201"/>
    <w:rsid w:val="00C34453"/>
    <w:rsid w:val="00C36139"/>
    <w:rsid w:val="00C3712B"/>
    <w:rsid w:val="00C4042C"/>
    <w:rsid w:val="00C40C82"/>
    <w:rsid w:val="00C4191A"/>
    <w:rsid w:val="00C41988"/>
    <w:rsid w:val="00C41F38"/>
    <w:rsid w:val="00C427D6"/>
    <w:rsid w:val="00C42A95"/>
    <w:rsid w:val="00C42D63"/>
    <w:rsid w:val="00C43AF0"/>
    <w:rsid w:val="00C43C4B"/>
    <w:rsid w:val="00C44422"/>
    <w:rsid w:val="00C45458"/>
    <w:rsid w:val="00C455A5"/>
    <w:rsid w:val="00C47524"/>
    <w:rsid w:val="00C47CF6"/>
    <w:rsid w:val="00C5111D"/>
    <w:rsid w:val="00C51151"/>
    <w:rsid w:val="00C51FA3"/>
    <w:rsid w:val="00C529A8"/>
    <w:rsid w:val="00C52ED3"/>
    <w:rsid w:val="00C53936"/>
    <w:rsid w:val="00C5459B"/>
    <w:rsid w:val="00C54DE1"/>
    <w:rsid w:val="00C55060"/>
    <w:rsid w:val="00C55CEE"/>
    <w:rsid w:val="00C55FC6"/>
    <w:rsid w:val="00C565C1"/>
    <w:rsid w:val="00C575C2"/>
    <w:rsid w:val="00C60687"/>
    <w:rsid w:val="00C614BC"/>
    <w:rsid w:val="00C61702"/>
    <w:rsid w:val="00C620C6"/>
    <w:rsid w:val="00C620D5"/>
    <w:rsid w:val="00C62B7B"/>
    <w:rsid w:val="00C6370D"/>
    <w:rsid w:val="00C63FA0"/>
    <w:rsid w:val="00C6436B"/>
    <w:rsid w:val="00C646D5"/>
    <w:rsid w:val="00C6573C"/>
    <w:rsid w:val="00C7096F"/>
    <w:rsid w:val="00C729A4"/>
    <w:rsid w:val="00C73036"/>
    <w:rsid w:val="00C737FA"/>
    <w:rsid w:val="00C740A3"/>
    <w:rsid w:val="00C742E1"/>
    <w:rsid w:val="00C74AAB"/>
    <w:rsid w:val="00C74C6D"/>
    <w:rsid w:val="00C76873"/>
    <w:rsid w:val="00C76FC5"/>
    <w:rsid w:val="00C77090"/>
    <w:rsid w:val="00C77601"/>
    <w:rsid w:val="00C80859"/>
    <w:rsid w:val="00C80A03"/>
    <w:rsid w:val="00C816C3"/>
    <w:rsid w:val="00C822FB"/>
    <w:rsid w:val="00C83381"/>
    <w:rsid w:val="00C848A7"/>
    <w:rsid w:val="00C84CD4"/>
    <w:rsid w:val="00C854A6"/>
    <w:rsid w:val="00C85539"/>
    <w:rsid w:val="00C85B9F"/>
    <w:rsid w:val="00C860FF"/>
    <w:rsid w:val="00C86B30"/>
    <w:rsid w:val="00C87533"/>
    <w:rsid w:val="00C905C0"/>
    <w:rsid w:val="00C90E03"/>
    <w:rsid w:val="00C90EBD"/>
    <w:rsid w:val="00C91328"/>
    <w:rsid w:val="00C917B5"/>
    <w:rsid w:val="00C925B6"/>
    <w:rsid w:val="00C92C4E"/>
    <w:rsid w:val="00C92D94"/>
    <w:rsid w:val="00C93041"/>
    <w:rsid w:val="00C93666"/>
    <w:rsid w:val="00C93F9F"/>
    <w:rsid w:val="00C948A2"/>
    <w:rsid w:val="00C95100"/>
    <w:rsid w:val="00C962D0"/>
    <w:rsid w:val="00C96ECD"/>
    <w:rsid w:val="00C96FB4"/>
    <w:rsid w:val="00C9744B"/>
    <w:rsid w:val="00CA0086"/>
    <w:rsid w:val="00CA1A09"/>
    <w:rsid w:val="00CA2336"/>
    <w:rsid w:val="00CA2DCA"/>
    <w:rsid w:val="00CA318D"/>
    <w:rsid w:val="00CA373A"/>
    <w:rsid w:val="00CA3B4C"/>
    <w:rsid w:val="00CA49B3"/>
    <w:rsid w:val="00CA5D86"/>
    <w:rsid w:val="00CA5DA4"/>
    <w:rsid w:val="00CA5EFC"/>
    <w:rsid w:val="00CA75D5"/>
    <w:rsid w:val="00CA7A64"/>
    <w:rsid w:val="00CA7EFD"/>
    <w:rsid w:val="00CB034D"/>
    <w:rsid w:val="00CB06D9"/>
    <w:rsid w:val="00CB06E5"/>
    <w:rsid w:val="00CB081E"/>
    <w:rsid w:val="00CB0E54"/>
    <w:rsid w:val="00CB1145"/>
    <w:rsid w:val="00CB202E"/>
    <w:rsid w:val="00CB3730"/>
    <w:rsid w:val="00CB3895"/>
    <w:rsid w:val="00CB556A"/>
    <w:rsid w:val="00CB67A1"/>
    <w:rsid w:val="00CB6FF8"/>
    <w:rsid w:val="00CC03DE"/>
    <w:rsid w:val="00CC040B"/>
    <w:rsid w:val="00CC0DEE"/>
    <w:rsid w:val="00CC10F1"/>
    <w:rsid w:val="00CC197D"/>
    <w:rsid w:val="00CC1F5A"/>
    <w:rsid w:val="00CC22F9"/>
    <w:rsid w:val="00CC2934"/>
    <w:rsid w:val="00CC3772"/>
    <w:rsid w:val="00CC3AC4"/>
    <w:rsid w:val="00CC41B0"/>
    <w:rsid w:val="00CC4EA5"/>
    <w:rsid w:val="00CC5261"/>
    <w:rsid w:val="00CC60BD"/>
    <w:rsid w:val="00CC6798"/>
    <w:rsid w:val="00CC7360"/>
    <w:rsid w:val="00CC736A"/>
    <w:rsid w:val="00CD1374"/>
    <w:rsid w:val="00CD1EA9"/>
    <w:rsid w:val="00CD1F9E"/>
    <w:rsid w:val="00CD205C"/>
    <w:rsid w:val="00CD2D93"/>
    <w:rsid w:val="00CD3B25"/>
    <w:rsid w:val="00CD3EC9"/>
    <w:rsid w:val="00CD5654"/>
    <w:rsid w:val="00CD6159"/>
    <w:rsid w:val="00CD72E4"/>
    <w:rsid w:val="00CD772F"/>
    <w:rsid w:val="00CD7DF2"/>
    <w:rsid w:val="00CE00C0"/>
    <w:rsid w:val="00CE05EE"/>
    <w:rsid w:val="00CE11A5"/>
    <w:rsid w:val="00CE1CDB"/>
    <w:rsid w:val="00CE1F1D"/>
    <w:rsid w:val="00CE2271"/>
    <w:rsid w:val="00CE2AE3"/>
    <w:rsid w:val="00CE2BE2"/>
    <w:rsid w:val="00CE3491"/>
    <w:rsid w:val="00CE350D"/>
    <w:rsid w:val="00CE3A01"/>
    <w:rsid w:val="00CE3BA5"/>
    <w:rsid w:val="00CE3D3A"/>
    <w:rsid w:val="00CE4098"/>
    <w:rsid w:val="00CE40F2"/>
    <w:rsid w:val="00CE418E"/>
    <w:rsid w:val="00CE493C"/>
    <w:rsid w:val="00CE5AD5"/>
    <w:rsid w:val="00CE65C7"/>
    <w:rsid w:val="00CE6687"/>
    <w:rsid w:val="00CE6693"/>
    <w:rsid w:val="00CE7458"/>
    <w:rsid w:val="00CF02B7"/>
    <w:rsid w:val="00CF0A21"/>
    <w:rsid w:val="00CF0EE7"/>
    <w:rsid w:val="00CF19D5"/>
    <w:rsid w:val="00CF3846"/>
    <w:rsid w:val="00CF3A18"/>
    <w:rsid w:val="00CF43B9"/>
    <w:rsid w:val="00CF4879"/>
    <w:rsid w:val="00CF576F"/>
    <w:rsid w:val="00CF7056"/>
    <w:rsid w:val="00CF70FD"/>
    <w:rsid w:val="00D005FA"/>
    <w:rsid w:val="00D011E1"/>
    <w:rsid w:val="00D01C67"/>
    <w:rsid w:val="00D01FE5"/>
    <w:rsid w:val="00D02E9F"/>
    <w:rsid w:val="00D043E4"/>
    <w:rsid w:val="00D0444D"/>
    <w:rsid w:val="00D047C4"/>
    <w:rsid w:val="00D0596C"/>
    <w:rsid w:val="00D06191"/>
    <w:rsid w:val="00D07149"/>
    <w:rsid w:val="00D078E6"/>
    <w:rsid w:val="00D10103"/>
    <w:rsid w:val="00D10C6E"/>
    <w:rsid w:val="00D11082"/>
    <w:rsid w:val="00D1208A"/>
    <w:rsid w:val="00D13D3D"/>
    <w:rsid w:val="00D14256"/>
    <w:rsid w:val="00D14561"/>
    <w:rsid w:val="00D1517D"/>
    <w:rsid w:val="00D159BD"/>
    <w:rsid w:val="00D16092"/>
    <w:rsid w:val="00D166C5"/>
    <w:rsid w:val="00D17BDA"/>
    <w:rsid w:val="00D210B1"/>
    <w:rsid w:val="00D213F4"/>
    <w:rsid w:val="00D2154A"/>
    <w:rsid w:val="00D21E38"/>
    <w:rsid w:val="00D24ABB"/>
    <w:rsid w:val="00D25B2B"/>
    <w:rsid w:val="00D25D2D"/>
    <w:rsid w:val="00D26F93"/>
    <w:rsid w:val="00D278C7"/>
    <w:rsid w:val="00D278E2"/>
    <w:rsid w:val="00D27E96"/>
    <w:rsid w:val="00D30050"/>
    <w:rsid w:val="00D30AEE"/>
    <w:rsid w:val="00D31304"/>
    <w:rsid w:val="00D315A9"/>
    <w:rsid w:val="00D32B9B"/>
    <w:rsid w:val="00D32ECA"/>
    <w:rsid w:val="00D33196"/>
    <w:rsid w:val="00D337AA"/>
    <w:rsid w:val="00D33FC2"/>
    <w:rsid w:val="00D344F9"/>
    <w:rsid w:val="00D3706E"/>
    <w:rsid w:val="00D377A0"/>
    <w:rsid w:val="00D37F67"/>
    <w:rsid w:val="00D40127"/>
    <w:rsid w:val="00D401F8"/>
    <w:rsid w:val="00D40A96"/>
    <w:rsid w:val="00D40AF9"/>
    <w:rsid w:val="00D40E04"/>
    <w:rsid w:val="00D40E2A"/>
    <w:rsid w:val="00D4259E"/>
    <w:rsid w:val="00D427EC"/>
    <w:rsid w:val="00D42E47"/>
    <w:rsid w:val="00D4304A"/>
    <w:rsid w:val="00D43D71"/>
    <w:rsid w:val="00D44AD6"/>
    <w:rsid w:val="00D45139"/>
    <w:rsid w:val="00D459C0"/>
    <w:rsid w:val="00D45AE2"/>
    <w:rsid w:val="00D45D51"/>
    <w:rsid w:val="00D4627D"/>
    <w:rsid w:val="00D46733"/>
    <w:rsid w:val="00D46B44"/>
    <w:rsid w:val="00D46DC8"/>
    <w:rsid w:val="00D46EA7"/>
    <w:rsid w:val="00D47505"/>
    <w:rsid w:val="00D47F24"/>
    <w:rsid w:val="00D50180"/>
    <w:rsid w:val="00D50A39"/>
    <w:rsid w:val="00D52074"/>
    <w:rsid w:val="00D53597"/>
    <w:rsid w:val="00D53E6A"/>
    <w:rsid w:val="00D54930"/>
    <w:rsid w:val="00D55080"/>
    <w:rsid w:val="00D55A70"/>
    <w:rsid w:val="00D560BA"/>
    <w:rsid w:val="00D56212"/>
    <w:rsid w:val="00D568F5"/>
    <w:rsid w:val="00D57ADB"/>
    <w:rsid w:val="00D57C9E"/>
    <w:rsid w:val="00D6008B"/>
    <w:rsid w:val="00D607E4"/>
    <w:rsid w:val="00D607F8"/>
    <w:rsid w:val="00D60BBE"/>
    <w:rsid w:val="00D61946"/>
    <w:rsid w:val="00D61A52"/>
    <w:rsid w:val="00D620E5"/>
    <w:rsid w:val="00D63F8D"/>
    <w:rsid w:val="00D64359"/>
    <w:rsid w:val="00D65041"/>
    <w:rsid w:val="00D66451"/>
    <w:rsid w:val="00D667F8"/>
    <w:rsid w:val="00D668CA"/>
    <w:rsid w:val="00D67089"/>
    <w:rsid w:val="00D672F3"/>
    <w:rsid w:val="00D7064C"/>
    <w:rsid w:val="00D708AE"/>
    <w:rsid w:val="00D70AD2"/>
    <w:rsid w:val="00D70ED6"/>
    <w:rsid w:val="00D71B60"/>
    <w:rsid w:val="00D74724"/>
    <w:rsid w:val="00D7499D"/>
    <w:rsid w:val="00D751B1"/>
    <w:rsid w:val="00D751C5"/>
    <w:rsid w:val="00D777A5"/>
    <w:rsid w:val="00D80ACB"/>
    <w:rsid w:val="00D80D7A"/>
    <w:rsid w:val="00D82684"/>
    <w:rsid w:val="00D82C35"/>
    <w:rsid w:val="00D82F59"/>
    <w:rsid w:val="00D8388A"/>
    <w:rsid w:val="00D83FAF"/>
    <w:rsid w:val="00D853F9"/>
    <w:rsid w:val="00D85C91"/>
    <w:rsid w:val="00D85D71"/>
    <w:rsid w:val="00D85D75"/>
    <w:rsid w:val="00D86419"/>
    <w:rsid w:val="00D866FE"/>
    <w:rsid w:val="00D87455"/>
    <w:rsid w:val="00D874A1"/>
    <w:rsid w:val="00D9045D"/>
    <w:rsid w:val="00D90E2C"/>
    <w:rsid w:val="00D91405"/>
    <w:rsid w:val="00D91B50"/>
    <w:rsid w:val="00D92AFF"/>
    <w:rsid w:val="00D93468"/>
    <w:rsid w:val="00D9374A"/>
    <w:rsid w:val="00D949C6"/>
    <w:rsid w:val="00D95A44"/>
    <w:rsid w:val="00D9642A"/>
    <w:rsid w:val="00D96C97"/>
    <w:rsid w:val="00D96DB9"/>
    <w:rsid w:val="00DA061B"/>
    <w:rsid w:val="00DA133A"/>
    <w:rsid w:val="00DA151C"/>
    <w:rsid w:val="00DA15DF"/>
    <w:rsid w:val="00DA221A"/>
    <w:rsid w:val="00DA2B01"/>
    <w:rsid w:val="00DA2CC0"/>
    <w:rsid w:val="00DA2DFD"/>
    <w:rsid w:val="00DA30E6"/>
    <w:rsid w:val="00DA31C8"/>
    <w:rsid w:val="00DA3C3C"/>
    <w:rsid w:val="00DA3D35"/>
    <w:rsid w:val="00DA4B96"/>
    <w:rsid w:val="00DA4C59"/>
    <w:rsid w:val="00DA51A6"/>
    <w:rsid w:val="00DA63CA"/>
    <w:rsid w:val="00DA77C1"/>
    <w:rsid w:val="00DB0CC4"/>
    <w:rsid w:val="00DB0F24"/>
    <w:rsid w:val="00DB105A"/>
    <w:rsid w:val="00DB27F6"/>
    <w:rsid w:val="00DB2D68"/>
    <w:rsid w:val="00DB3162"/>
    <w:rsid w:val="00DB3976"/>
    <w:rsid w:val="00DB4113"/>
    <w:rsid w:val="00DB50A3"/>
    <w:rsid w:val="00DB6CA6"/>
    <w:rsid w:val="00DB6F1A"/>
    <w:rsid w:val="00DB7EFC"/>
    <w:rsid w:val="00DC01B3"/>
    <w:rsid w:val="00DC06E1"/>
    <w:rsid w:val="00DC12FD"/>
    <w:rsid w:val="00DC1DAF"/>
    <w:rsid w:val="00DC2013"/>
    <w:rsid w:val="00DC42ED"/>
    <w:rsid w:val="00DC52DC"/>
    <w:rsid w:val="00DC5AB1"/>
    <w:rsid w:val="00DC60ED"/>
    <w:rsid w:val="00DC650D"/>
    <w:rsid w:val="00DC6A81"/>
    <w:rsid w:val="00DC748B"/>
    <w:rsid w:val="00DD026D"/>
    <w:rsid w:val="00DD1A41"/>
    <w:rsid w:val="00DD2BC0"/>
    <w:rsid w:val="00DD35DF"/>
    <w:rsid w:val="00DD3733"/>
    <w:rsid w:val="00DD3A39"/>
    <w:rsid w:val="00DD3E17"/>
    <w:rsid w:val="00DD3EC4"/>
    <w:rsid w:val="00DD41AE"/>
    <w:rsid w:val="00DD4FC0"/>
    <w:rsid w:val="00DD53B9"/>
    <w:rsid w:val="00DD5BA0"/>
    <w:rsid w:val="00DD5BF1"/>
    <w:rsid w:val="00DD5CEF"/>
    <w:rsid w:val="00DD63B0"/>
    <w:rsid w:val="00DE0366"/>
    <w:rsid w:val="00DE0622"/>
    <w:rsid w:val="00DE0A6F"/>
    <w:rsid w:val="00DE0FF8"/>
    <w:rsid w:val="00DE1249"/>
    <w:rsid w:val="00DE1764"/>
    <w:rsid w:val="00DE17B6"/>
    <w:rsid w:val="00DE1B4B"/>
    <w:rsid w:val="00DE2177"/>
    <w:rsid w:val="00DE29C9"/>
    <w:rsid w:val="00DE2BB1"/>
    <w:rsid w:val="00DE3F9E"/>
    <w:rsid w:val="00DE4167"/>
    <w:rsid w:val="00DE4322"/>
    <w:rsid w:val="00DE4CF9"/>
    <w:rsid w:val="00DE50B2"/>
    <w:rsid w:val="00DE5CDB"/>
    <w:rsid w:val="00DE60B0"/>
    <w:rsid w:val="00DE66B6"/>
    <w:rsid w:val="00DE6CB7"/>
    <w:rsid w:val="00DF15A9"/>
    <w:rsid w:val="00DF1709"/>
    <w:rsid w:val="00DF1B92"/>
    <w:rsid w:val="00DF2286"/>
    <w:rsid w:val="00DF232B"/>
    <w:rsid w:val="00DF2BB8"/>
    <w:rsid w:val="00DF5F1F"/>
    <w:rsid w:val="00DF613F"/>
    <w:rsid w:val="00DF6918"/>
    <w:rsid w:val="00DF6ACB"/>
    <w:rsid w:val="00DF6DFC"/>
    <w:rsid w:val="00DF6E60"/>
    <w:rsid w:val="00E0068D"/>
    <w:rsid w:val="00E0128D"/>
    <w:rsid w:val="00E024D6"/>
    <w:rsid w:val="00E02668"/>
    <w:rsid w:val="00E02C53"/>
    <w:rsid w:val="00E034DD"/>
    <w:rsid w:val="00E0354D"/>
    <w:rsid w:val="00E06201"/>
    <w:rsid w:val="00E0673A"/>
    <w:rsid w:val="00E068AC"/>
    <w:rsid w:val="00E0725A"/>
    <w:rsid w:val="00E0734D"/>
    <w:rsid w:val="00E07B35"/>
    <w:rsid w:val="00E10588"/>
    <w:rsid w:val="00E10D11"/>
    <w:rsid w:val="00E11858"/>
    <w:rsid w:val="00E11C6B"/>
    <w:rsid w:val="00E11FFE"/>
    <w:rsid w:val="00E120BF"/>
    <w:rsid w:val="00E12B90"/>
    <w:rsid w:val="00E12CB5"/>
    <w:rsid w:val="00E13AC5"/>
    <w:rsid w:val="00E1471D"/>
    <w:rsid w:val="00E15115"/>
    <w:rsid w:val="00E168DE"/>
    <w:rsid w:val="00E21B87"/>
    <w:rsid w:val="00E21E0F"/>
    <w:rsid w:val="00E22798"/>
    <w:rsid w:val="00E22C09"/>
    <w:rsid w:val="00E22D4C"/>
    <w:rsid w:val="00E23E61"/>
    <w:rsid w:val="00E249C9"/>
    <w:rsid w:val="00E24B96"/>
    <w:rsid w:val="00E24DA5"/>
    <w:rsid w:val="00E26D67"/>
    <w:rsid w:val="00E27098"/>
    <w:rsid w:val="00E27827"/>
    <w:rsid w:val="00E2793F"/>
    <w:rsid w:val="00E27F99"/>
    <w:rsid w:val="00E301E6"/>
    <w:rsid w:val="00E3115A"/>
    <w:rsid w:val="00E318AF"/>
    <w:rsid w:val="00E31BD7"/>
    <w:rsid w:val="00E32197"/>
    <w:rsid w:val="00E323A0"/>
    <w:rsid w:val="00E33900"/>
    <w:rsid w:val="00E340E5"/>
    <w:rsid w:val="00E34348"/>
    <w:rsid w:val="00E35137"/>
    <w:rsid w:val="00E351AC"/>
    <w:rsid w:val="00E35A57"/>
    <w:rsid w:val="00E364DF"/>
    <w:rsid w:val="00E40374"/>
    <w:rsid w:val="00E40ED3"/>
    <w:rsid w:val="00E42597"/>
    <w:rsid w:val="00E43525"/>
    <w:rsid w:val="00E4354A"/>
    <w:rsid w:val="00E4390B"/>
    <w:rsid w:val="00E43BE8"/>
    <w:rsid w:val="00E44229"/>
    <w:rsid w:val="00E44F3B"/>
    <w:rsid w:val="00E45679"/>
    <w:rsid w:val="00E45939"/>
    <w:rsid w:val="00E45B70"/>
    <w:rsid w:val="00E45F14"/>
    <w:rsid w:val="00E46328"/>
    <w:rsid w:val="00E464B0"/>
    <w:rsid w:val="00E475AC"/>
    <w:rsid w:val="00E502D5"/>
    <w:rsid w:val="00E50423"/>
    <w:rsid w:val="00E5113A"/>
    <w:rsid w:val="00E51232"/>
    <w:rsid w:val="00E51E43"/>
    <w:rsid w:val="00E5375E"/>
    <w:rsid w:val="00E53FF9"/>
    <w:rsid w:val="00E552EB"/>
    <w:rsid w:val="00E56135"/>
    <w:rsid w:val="00E5634A"/>
    <w:rsid w:val="00E563FB"/>
    <w:rsid w:val="00E56990"/>
    <w:rsid w:val="00E610AE"/>
    <w:rsid w:val="00E61105"/>
    <w:rsid w:val="00E619B8"/>
    <w:rsid w:val="00E61FD3"/>
    <w:rsid w:val="00E62D23"/>
    <w:rsid w:val="00E62D2D"/>
    <w:rsid w:val="00E633E8"/>
    <w:rsid w:val="00E64A1E"/>
    <w:rsid w:val="00E656D7"/>
    <w:rsid w:val="00E65BAC"/>
    <w:rsid w:val="00E65C13"/>
    <w:rsid w:val="00E65F21"/>
    <w:rsid w:val="00E661DC"/>
    <w:rsid w:val="00E6712D"/>
    <w:rsid w:val="00E67244"/>
    <w:rsid w:val="00E6785B"/>
    <w:rsid w:val="00E700A2"/>
    <w:rsid w:val="00E7035F"/>
    <w:rsid w:val="00E70361"/>
    <w:rsid w:val="00E704BE"/>
    <w:rsid w:val="00E73198"/>
    <w:rsid w:val="00E7352E"/>
    <w:rsid w:val="00E735D2"/>
    <w:rsid w:val="00E7393D"/>
    <w:rsid w:val="00E73997"/>
    <w:rsid w:val="00E73CEA"/>
    <w:rsid w:val="00E74463"/>
    <w:rsid w:val="00E744DF"/>
    <w:rsid w:val="00E74829"/>
    <w:rsid w:val="00E748E5"/>
    <w:rsid w:val="00E75361"/>
    <w:rsid w:val="00E75935"/>
    <w:rsid w:val="00E767D4"/>
    <w:rsid w:val="00E76E59"/>
    <w:rsid w:val="00E77C12"/>
    <w:rsid w:val="00E77DD7"/>
    <w:rsid w:val="00E8011A"/>
    <w:rsid w:val="00E80195"/>
    <w:rsid w:val="00E80ED0"/>
    <w:rsid w:val="00E816DE"/>
    <w:rsid w:val="00E83AB9"/>
    <w:rsid w:val="00E83F9B"/>
    <w:rsid w:val="00E85276"/>
    <w:rsid w:val="00E85505"/>
    <w:rsid w:val="00E86A7B"/>
    <w:rsid w:val="00E87F28"/>
    <w:rsid w:val="00E912FF"/>
    <w:rsid w:val="00E91E61"/>
    <w:rsid w:val="00E935F9"/>
    <w:rsid w:val="00E94D72"/>
    <w:rsid w:val="00E9605A"/>
    <w:rsid w:val="00E96E9E"/>
    <w:rsid w:val="00E97631"/>
    <w:rsid w:val="00E97CBC"/>
    <w:rsid w:val="00EA0163"/>
    <w:rsid w:val="00EA0948"/>
    <w:rsid w:val="00EA0A3D"/>
    <w:rsid w:val="00EA0B31"/>
    <w:rsid w:val="00EA1BEF"/>
    <w:rsid w:val="00EA1DEE"/>
    <w:rsid w:val="00EA2430"/>
    <w:rsid w:val="00EA384B"/>
    <w:rsid w:val="00EA3C04"/>
    <w:rsid w:val="00EA40D1"/>
    <w:rsid w:val="00EA4E20"/>
    <w:rsid w:val="00EA527E"/>
    <w:rsid w:val="00EA639C"/>
    <w:rsid w:val="00EA6AE9"/>
    <w:rsid w:val="00EA7125"/>
    <w:rsid w:val="00EA7AE2"/>
    <w:rsid w:val="00EB0BF5"/>
    <w:rsid w:val="00EB2323"/>
    <w:rsid w:val="00EB26E8"/>
    <w:rsid w:val="00EB28D7"/>
    <w:rsid w:val="00EB2B3C"/>
    <w:rsid w:val="00EB2BB3"/>
    <w:rsid w:val="00EB3F38"/>
    <w:rsid w:val="00EB41D4"/>
    <w:rsid w:val="00EB497B"/>
    <w:rsid w:val="00EB6B26"/>
    <w:rsid w:val="00EB7DE0"/>
    <w:rsid w:val="00EB7E70"/>
    <w:rsid w:val="00EC0771"/>
    <w:rsid w:val="00EC1385"/>
    <w:rsid w:val="00EC1D16"/>
    <w:rsid w:val="00EC2B30"/>
    <w:rsid w:val="00EC2C7C"/>
    <w:rsid w:val="00EC2EBF"/>
    <w:rsid w:val="00EC35E6"/>
    <w:rsid w:val="00EC365C"/>
    <w:rsid w:val="00EC3F55"/>
    <w:rsid w:val="00EC41AF"/>
    <w:rsid w:val="00EC41C1"/>
    <w:rsid w:val="00EC4534"/>
    <w:rsid w:val="00EC49AF"/>
    <w:rsid w:val="00EC5E08"/>
    <w:rsid w:val="00EC6836"/>
    <w:rsid w:val="00EC6F35"/>
    <w:rsid w:val="00EC705C"/>
    <w:rsid w:val="00EC779F"/>
    <w:rsid w:val="00ED011F"/>
    <w:rsid w:val="00ED0F8C"/>
    <w:rsid w:val="00ED1811"/>
    <w:rsid w:val="00ED1E18"/>
    <w:rsid w:val="00ED2426"/>
    <w:rsid w:val="00ED3D2C"/>
    <w:rsid w:val="00ED44F4"/>
    <w:rsid w:val="00ED4930"/>
    <w:rsid w:val="00ED4998"/>
    <w:rsid w:val="00ED4EB7"/>
    <w:rsid w:val="00ED5F69"/>
    <w:rsid w:val="00ED6457"/>
    <w:rsid w:val="00ED6BA8"/>
    <w:rsid w:val="00ED6FD5"/>
    <w:rsid w:val="00ED72EF"/>
    <w:rsid w:val="00EE00D3"/>
    <w:rsid w:val="00EE0E9B"/>
    <w:rsid w:val="00EE51C6"/>
    <w:rsid w:val="00EE5F27"/>
    <w:rsid w:val="00EE65B5"/>
    <w:rsid w:val="00EE65BD"/>
    <w:rsid w:val="00EE6CDA"/>
    <w:rsid w:val="00EE6EF9"/>
    <w:rsid w:val="00EE787C"/>
    <w:rsid w:val="00EF04DD"/>
    <w:rsid w:val="00EF140F"/>
    <w:rsid w:val="00EF170E"/>
    <w:rsid w:val="00EF1D50"/>
    <w:rsid w:val="00EF2778"/>
    <w:rsid w:val="00EF3015"/>
    <w:rsid w:val="00EF3A70"/>
    <w:rsid w:val="00EF3B38"/>
    <w:rsid w:val="00EF3D08"/>
    <w:rsid w:val="00EF4FDB"/>
    <w:rsid w:val="00EF6396"/>
    <w:rsid w:val="00EF68C7"/>
    <w:rsid w:val="00EF7161"/>
    <w:rsid w:val="00F00DB3"/>
    <w:rsid w:val="00F01B6D"/>
    <w:rsid w:val="00F02522"/>
    <w:rsid w:val="00F037E8"/>
    <w:rsid w:val="00F037E9"/>
    <w:rsid w:val="00F03935"/>
    <w:rsid w:val="00F03B18"/>
    <w:rsid w:val="00F056C4"/>
    <w:rsid w:val="00F0599D"/>
    <w:rsid w:val="00F05A30"/>
    <w:rsid w:val="00F07558"/>
    <w:rsid w:val="00F117CE"/>
    <w:rsid w:val="00F11B44"/>
    <w:rsid w:val="00F12621"/>
    <w:rsid w:val="00F12703"/>
    <w:rsid w:val="00F12F73"/>
    <w:rsid w:val="00F13362"/>
    <w:rsid w:val="00F13EE2"/>
    <w:rsid w:val="00F1458B"/>
    <w:rsid w:val="00F14A7E"/>
    <w:rsid w:val="00F153CE"/>
    <w:rsid w:val="00F15639"/>
    <w:rsid w:val="00F15A8C"/>
    <w:rsid w:val="00F15D45"/>
    <w:rsid w:val="00F1603A"/>
    <w:rsid w:val="00F1606D"/>
    <w:rsid w:val="00F16661"/>
    <w:rsid w:val="00F167ED"/>
    <w:rsid w:val="00F173F1"/>
    <w:rsid w:val="00F1786F"/>
    <w:rsid w:val="00F17D2F"/>
    <w:rsid w:val="00F2040C"/>
    <w:rsid w:val="00F20A93"/>
    <w:rsid w:val="00F236A1"/>
    <w:rsid w:val="00F23F06"/>
    <w:rsid w:val="00F24A1D"/>
    <w:rsid w:val="00F24E11"/>
    <w:rsid w:val="00F267D8"/>
    <w:rsid w:val="00F27156"/>
    <w:rsid w:val="00F27218"/>
    <w:rsid w:val="00F275FB"/>
    <w:rsid w:val="00F27ACE"/>
    <w:rsid w:val="00F3005D"/>
    <w:rsid w:val="00F3129A"/>
    <w:rsid w:val="00F3188F"/>
    <w:rsid w:val="00F3286E"/>
    <w:rsid w:val="00F32C55"/>
    <w:rsid w:val="00F3312E"/>
    <w:rsid w:val="00F33336"/>
    <w:rsid w:val="00F33656"/>
    <w:rsid w:val="00F33924"/>
    <w:rsid w:val="00F348C6"/>
    <w:rsid w:val="00F34E93"/>
    <w:rsid w:val="00F34F64"/>
    <w:rsid w:val="00F35D99"/>
    <w:rsid w:val="00F35FE2"/>
    <w:rsid w:val="00F36189"/>
    <w:rsid w:val="00F3642A"/>
    <w:rsid w:val="00F36847"/>
    <w:rsid w:val="00F369D7"/>
    <w:rsid w:val="00F36BD3"/>
    <w:rsid w:val="00F36C8A"/>
    <w:rsid w:val="00F37FDD"/>
    <w:rsid w:val="00F4110D"/>
    <w:rsid w:val="00F411ED"/>
    <w:rsid w:val="00F41F7D"/>
    <w:rsid w:val="00F4234B"/>
    <w:rsid w:val="00F4272D"/>
    <w:rsid w:val="00F42D2C"/>
    <w:rsid w:val="00F437EA"/>
    <w:rsid w:val="00F438E2"/>
    <w:rsid w:val="00F43A16"/>
    <w:rsid w:val="00F44033"/>
    <w:rsid w:val="00F45172"/>
    <w:rsid w:val="00F453A7"/>
    <w:rsid w:val="00F463D9"/>
    <w:rsid w:val="00F51262"/>
    <w:rsid w:val="00F52041"/>
    <w:rsid w:val="00F52182"/>
    <w:rsid w:val="00F5219C"/>
    <w:rsid w:val="00F52743"/>
    <w:rsid w:val="00F52E8F"/>
    <w:rsid w:val="00F53680"/>
    <w:rsid w:val="00F53BC3"/>
    <w:rsid w:val="00F54C10"/>
    <w:rsid w:val="00F55FA7"/>
    <w:rsid w:val="00F57D6D"/>
    <w:rsid w:val="00F57D9E"/>
    <w:rsid w:val="00F60410"/>
    <w:rsid w:val="00F61E5A"/>
    <w:rsid w:val="00F624A6"/>
    <w:rsid w:val="00F62B20"/>
    <w:rsid w:val="00F64D60"/>
    <w:rsid w:val="00F65BE1"/>
    <w:rsid w:val="00F66A6F"/>
    <w:rsid w:val="00F66DB0"/>
    <w:rsid w:val="00F67060"/>
    <w:rsid w:val="00F67141"/>
    <w:rsid w:val="00F67DB4"/>
    <w:rsid w:val="00F707AE"/>
    <w:rsid w:val="00F70A97"/>
    <w:rsid w:val="00F71035"/>
    <w:rsid w:val="00F722E3"/>
    <w:rsid w:val="00F73F47"/>
    <w:rsid w:val="00F74EF9"/>
    <w:rsid w:val="00F76D75"/>
    <w:rsid w:val="00F76EFC"/>
    <w:rsid w:val="00F77A82"/>
    <w:rsid w:val="00F77ECC"/>
    <w:rsid w:val="00F8108F"/>
    <w:rsid w:val="00F81E02"/>
    <w:rsid w:val="00F82B13"/>
    <w:rsid w:val="00F833C6"/>
    <w:rsid w:val="00F838C6"/>
    <w:rsid w:val="00F83D63"/>
    <w:rsid w:val="00F8561D"/>
    <w:rsid w:val="00F85FDE"/>
    <w:rsid w:val="00F86413"/>
    <w:rsid w:val="00F873D2"/>
    <w:rsid w:val="00F8758B"/>
    <w:rsid w:val="00F91415"/>
    <w:rsid w:val="00F91860"/>
    <w:rsid w:val="00F9187F"/>
    <w:rsid w:val="00F918BD"/>
    <w:rsid w:val="00F9225B"/>
    <w:rsid w:val="00F92710"/>
    <w:rsid w:val="00F92C29"/>
    <w:rsid w:val="00F932FE"/>
    <w:rsid w:val="00F941B2"/>
    <w:rsid w:val="00F9468C"/>
    <w:rsid w:val="00F94A78"/>
    <w:rsid w:val="00F94DA8"/>
    <w:rsid w:val="00F94F04"/>
    <w:rsid w:val="00F956AD"/>
    <w:rsid w:val="00F95E9F"/>
    <w:rsid w:val="00F95ED4"/>
    <w:rsid w:val="00F963B9"/>
    <w:rsid w:val="00F96599"/>
    <w:rsid w:val="00F965CC"/>
    <w:rsid w:val="00F97168"/>
    <w:rsid w:val="00F974B9"/>
    <w:rsid w:val="00F97B7D"/>
    <w:rsid w:val="00FA03E4"/>
    <w:rsid w:val="00FA1040"/>
    <w:rsid w:val="00FA12D0"/>
    <w:rsid w:val="00FA1365"/>
    <w:rsid w:val="00FA1AC5"/>
    <w:rsid w:val="00FA1E1C"/>
    <w:rsid w:val="00FA2AAA"/>
    <w:rsid w:val="00FA3CBB"/>
    <w:rsid w:val="00FA423F"/>
    <w:rsid w:val="00FA4E22"/>
    <w:rsid w:val="00FA502A"/>
    <w:rsid w:val="00FA5416"/>
    <w:rsid w:val="00FA55A4"/>
    <w:rsid w:val="00FA6F9A"/>
    <w:rsid w:val="00FA7573"/>
    <w:rsid w:val="00FA7A61"/>
    <w:rsid w:val="00FB0368"/>
    <w:rsid w:val="00FB0532"/>
    <w:rsid w:val="00FB0E89"/>
    <w:rsid w:val="00FB19F4"/>
    <w:rsid w:val="00FB1C26"/>
    <w:rsid w:val="00FB396A"/>
    <w:rsid w:val="00FB4058"/>
    <w:rsid w:val="00FB5401"/>
    <w:rsid w:val="00FB5FAC"/>
    <w:rsid w:val="00FB601A"/>
    <w:rsid w:val="00FB6A75"/>
    <w:rsid w:val="00FB7211"/>
    <w:rsid w:val="00FB72EF"/>
    <w:rsid w:val="00FB74F2"/>
    <w:rsid w:val="00FB791A"/>
    <w:rsid w:val="00FC0224"/>
    <w:rsid w:val="00FC04C0"/>
    <w:rsid w:val="00FC13E2"/>
    <w:rsid w:val="00FC1788"/>
    <w:rsid w:val="00FC17F0"/>
    <w:rsid w:val="00FC1933"/>
    <w:rsid w:val="00FC3E04"/>
    <w:rsid w:val="00FC420A"/>
    <w:rsid w:val="00FC521E"/>
    <w:rsid w:val="00FC55B4"/>
    <w:rsid w:val="00FC569E"/>
    <w:rsid w:val="00FC78FE"/>
    <w:rsid w:val="00FC7CAA"/>
    <w:rsid w:val="00FD10C9"/>
    <w:rsid w:val="00FD11C0"/>
    <w:rsid w:val="00FD12D2"/>
    <w:rsid w:val="00FD14D6"/>
    <w:rsid w:val="00FD2B78"/>
    <w:rsid w:val="00FD2DD4"/>
    <w:rsid w:val="00FD33A7"/>
    <w:rsid w:val="00FD35C4"/>
    <w:rsid w:val="00FD3E2B"/>
    <w:rsid w:val="00FD60EA"/>
    <w:rsid w:val="00FD61B3"/>
    <w:rsid w:val="00FD639E"/>
    <w:rsid w:val="00FD64A9"/>
    <w:rsid w:val="00FD795F"/>
    <w:rsid w:val="00FE192E"/>
    <w:rsid w:val="00FE26E6"/>
    <w:rsid w:val="00FE2BC8"/>
    <w:rsid w:val="00FE323A"/>
    <w:rsid w:val="00FE3A57"/>
    <w:rsid w:val="00FE3DBC"/>
    <w:rsid w:val="00FE3DE9"/>
    <w:rsid w:val="00FE4282"/>
    <w:rsid w:val="00FE6059"/>
    <w:rsid w:val="00FE6594"/>
    <w:rsid w:val="00FE6926"/>
    <w:rsid w:val="00FE798D"/>
    <w:rsid w:val="00FF0285"/>
    <w:rsid w:val="00FF032D"/>
    <w:rsid w:val="00FF0766"/>
    <w:rsid w:val="00FF0BBD"/>
    <w:rsid w:val="00FF0CCF"/>
    <w:rsid w:val="00FF1245"/>
    <w:rsid w:val="00FF1D46"/>
    <w:rsid w:val="00FF3065"/>
    <w:rsid w:val="00FF4A3B"/>
    <w:rsid w:val="00FF4C82"/>
    <w:rsid w:val="00FF4E7C"/>
    <w:rsid w:val="00FF51AF"/>
    <w:rsid w:val="00FF52F3"/>
    <w:rsid w:val="00FF611A"/>
    <w:rsid w:val="00FF66B7"/>
    <w:rsid w:val="00FF7B7A"/>
    <w:rsid w:val="00FF7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C8B1F"/>
  <w15:docId w15:val="{0C027B8A-DAAE-4D2A-8081-AB0B3406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FD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9"/>
    <w:qFormat/>
    <w:rsid w:val="00BD6FD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BD6F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D6FD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D6FD2"/>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rsid w:val="00BD6FD2"/>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rsid w:val="00BD6FD2"/>
    <w:rPr>
      <w:rFonts w:ascii="Cambria" w:eastAsia="Times New Roman" w:hAnsi="Cambria" w:cs="Times New Roman"/>
      <w:b/>
      <w:bCs/>
      <w:sz w:val="26"/>
      <w:szCs w:val="26"/>
      <w:lang w:eastAsia="lv-LV"/>
    </w:rPr>
  </w:style>
  <w:style w:type="character" w:styleId="Hyperlink">
    <w:name w:val="Hyperlink"/>
    <w:basedOn w:val="DefaultParagraphFont"/>
    <w:rsid w:val="00BD6FD2"/>
    <w:rPr>
      <w:rFonts w:cs="Times New Roman"/>
      <w:color w:val="0000FF"/>
      <w:u w:val="single"/>
    </w:rPr>
  </w:style>
  <w:style w:type="character" w:styleId="FollowedHyperlink">
    <w:name w:val="FollowedHyperlink"/>
    <w:basedOn w:val="DefaultParagraphFont"/>
    <w:uiPriority w:val="99"/>
    <w:semiHidden/>
    <w:rsid w:val="00BD6FD2"/>
    <w:rPr>
      <w:rFonts w:cs="Times New Roman"/>
      <w:color w:val="800080"/>
      <w:u w:val="single"/>
    </w:rPr>
  </w:style>
  <w:style w:type="paragraph" w:customStyle="1" w:styleId="h1">
    <w:name w:val="h1"/>
    <w:basedOn w:val="Normal"/>
    <w:uiPriority w:val="99"/>
    <w:rsid w:val="00BD6FD2"/>
    <w:pPr>
      <w:spacing w:after="150"/>
    </w:pPr>
    <w:rPr>
      <w:color w:val="306060"/>
      <w:sz w:val="31"/>
      <w:szCs w:val="31"/>
    </w:rPr>
  </w:style>
  <w:style w:type="paragraph" w:customStyle="1" w:styleId="h2">
    <w:name w:val="h2"/>
    <w:basedOn w:val="Normal"/>
    <w:uiPriority w:val="99"/>
    <w:rsid w:val="00BD6FD2"/>
    <w:pPr>
      <w:spacing w:before="100" w:beforeAutospacing="1" w:after="100" w:afterAutospacing="1"/>
    </w:pPr>
    <w:rPr>
      <w:color w:val="306060"/>
    </w:rPr>
  </w:style>
  <w:style w:type="paragraph" w:customStyle="1" w:styleId="a">
    <w:name w:val="a"/>
    <w:basedOn w:val="Normal"/>
    <w:uiPriority w:val="99"/>
    <w:rsid w:val="00BD6FD2"/>
    <w:pPr>
      <w:spacing w:before="100" w:beforeAutospacing="1" w:after="100" w:afterAutospacing="1"/>
    </w:pPr>
    <w:rPr>
      <w:color w:val="306060"/>
    </w:rPr>
  </w:style>
  <w:style w:type="paragraph" w:customStyle="1" w:styleId="b">
    <w:name w:val="b"/>
    <w:basedOn w:val="Normal"/>
    <w:uiPriority w:val="99"/>
    <w:rsid w:val="00BD6FD2"/>
    <w:pPr>
      <w:spacing w:before="100" w:beforeAutospacing="1" w:after="100" w:afterAutospacing="1"/>
    </w:pPr>
    <w:rPr>
      <w:color w:val="306060"/>
    </w:rPr>
  </w:style>
  <w:style w:type="paragraph" w:customStyle="1" w:styleId="body">
    <w:name w:val="body"/>
    <w:basedOn w:val="Normal"/>
    <w:uiPriority w:val="99"/>
    <w:rsid w:val="00BD6FD2"/>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BD6FD2"/>
    <w:pPr>
      <w:spacing w:before="100" w:beforeAutospacing="1" w:after="100" w:afterAutospacing="1"/>
    </w:pPr>
    <w:rPr>
      <w:color w:val="F0F8F8"/>
    </w:rPr>
  </w:style>
  <w:style w:type="paragraph" w:customStyle="1" w:styleId="radio">
    <w:name w:val="radio"/>
    <w:basedOn w:val="Normal"/>
    <w:uiPriority w:val="99"/>
    <w:rsid w:val="00BD6FD2"/>
    <w:pPr>
      <w:spacing w:before="100" w:beforeAutospacing="1" w:after="100" w:afterAutospacing="1"/>
    </w:pPr>
  </w:style>
  <w:style w:type="paragraph" w:customStyle="1" w:styleId="headcol">
    <w:name w:val="headcol"/>
    <w:basedOn w:val="Normal"/>
    <w:uiPriority w:val="99"/>
    <w:rsid w:val="00BD6FD2"/>
    <w:pPr>
      <w:spacing w:before="100" w:beforeAutospacing="1" w:after="100" w:afterAutospacing="1"/>
    </w:pPr>
    <w:rPr>
      <w:color w:val="F0F8F8"/>
    </w:rPr>
  </w:style>
  <w:style w:type="paragraph" w:customStyle="1" w:styleId="titlecol">
    <w:name w:val="titlecol"/>
    <w:basedOn w:val="Normal"/>
    <w:uiPriority w:val="99"/>
    <w:rsid w:val="00BD6FD2"/>
    <w:pPr>
      <w:spacing w:before="100" w:beforeAutospacing="1" w:after="100" w:afterAutospacing="1"/>
      <w:jc w:val="right"/>
    </w:pPr>
    <w:rPr>
      <w:b/>
      <w:bCs/>
    </w:rPr>
  </w:style>
  <w:style w:type="paragraph" w:customStyle="1" w:styleId="th">
    <w:name w:val="th"/>
    <w:basedOn w:val="Normal"/>
    <w:uiPriority w:val="99"/>
    <w:rsid w:val="00BD6FD2"/>
    <w:pPr>
      <w:spacing w:before="100" w:beforeAutospacing="1" w:after="100" w:afterAutospacing="1"/>
    </w:pPr>
    <w:rPr>
      <w:b/>
      <w:bCs/>
      <w:color w:val="333333"/>
    </w:rPr>
  </w:style>
  <w:style w:type="paragraph" w:customStyle="1" w:styleId="thr">
    <w:name w:val="thr"/>
    <w:basedOn w:val="Normal"/>
    <w:uiPriority w:val="99"/>
    <w:rsid w:val="00BD6FD2"/>
    <w:pPr>
      <w:spacing w:before="100" w:beforeAutospacing="1" w:after="100" w:afterAutospacing="1"/>
      <w:jc w:val="right"/>
    </w:pPr>
  </w:style>
  <w:style w:type="paragraph" w:customStyle="1" w:styleId="bdc">
    <w:name w:val="bdc"/>
    <w:basedOn w:val="Normal"/>
    <w:uiPriority w:val="99"/>
    <w:rsid w:val="00BD6FD2"/>
    <w:pPr>
      <w:spacing w:before="100" w:beforeAutospacing="1" w:after="100" w:afterAutospacing="1"/>
    </w:pPr>
    <w:rPr>
      <w:b/>
      <w:bCs/>
    </w:rPr>
  </w:style>
  <w:style w:type="paragraph" w:customStyle="1" w:styleId="input">
    <w:name w:val="input"/>
    <w:basedOn w:val="Normal"/>
    <w:uiPriority w:val="99"/>
    <w:rsid w:val="00BD6FD2"/>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BD6FD2"/>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BD6FD2"/>
    <w:pPr>
      <w:shd w:val="clear" w:color="auto" w:fill="F0F8F8"/>
      <w:spacing w:before="100" w:beforeAutospacing="1" w:after="100" w:afterAutospacing="1"/>
    </w:pPr>
    <w:rPr>
      <w:color w:val="333333"/>
    </w:rPr>
  </w:style>
  <w:style w:type="paragraph" w:customStyle="1" w:styleId="top1">
    <w:name w:val="top1"/>
    <w:basedOn w:val="Normal"/>
    <w:uiPriority w:val="99"/>
    <w:rsid w:val="00BD6FD2"/>
    <w:pPr>
      <w:spacing w:before="100" w:beforeAutospacing="1" w:after="100" w:afterAutospacing="1"/>
    </w:pPr>
  </w:style>
  <w:style w:type="paragraph" w:customStyle="1" w:styleId="logo">
    <w:name w:val="logo"/>
    <w:basedOn w:val="Normal"/>
    <w:uiPriority w:val="99"/>
    <w:rsid w:val="00BD6FD2"/>
    <w:pPr>
      <w:spacing w:before="100" w:beforeAutospacing="1" w:after="100" w:afterAutospacing="1"/>
    </w:pPr>
  </w:style>
  <w:style w:type="paragraph" w:customStyle="1" w:styleId="top2">
    <w:name w:val="top2"/>
    <w:basedOn w:val="Normal"/>
    <w:uiPriority w:val="99"/>
    <w:rsid w:val="00BD6FD2"/>
    <w:pPr>
      <w:spacing w:before="100" w:beforeAutospacing="1" w:after="100" w:afterAutospacing="1"/>
    </w:pPr>
  </w:style>
  <w:style w:type="paragraph" w:customStyle="1" w:styleId="hline">
    <w:name w:val="hline"/>
    <w:basedOn w:val="Normal"/>
    <w:uiPriority w:val="99"/>
    <w:rsid w:val="00BD6FD2"/>
    <w:pPr>
      <w:spacing w:before="100" w:beforeAutospacing="1" w:after="100" w:afterAutospacing="1"/>
    </w:pPr>
  </w:style>
  <w:style w:type="paragraph" w:customStyle="1" w:styleId="vline">
    <w:name w:val="vline"/>
    <w:basedOn w:val="Normal"/>
    <w:uiPriority w:val="99"/>
    <w:rsid w:val="00BD6FD2"/>
    <w:pPr>
      <w:spacing w:before="100" w:beforeAutospacing="1" w:after="100" w:afterAutospacing="1"/>
    </w:pPr>
  </w:style>
  <w:style w:type="paragraph" w:customStyle="1" w:styleId="zvabri">
    <w:name w:val="zvabri"/>
    <w:basedOn w:val="Normal"/>
    <w:uiPriority w:val="99"/>
    <w:rsid w:val="00BD6FD2"/>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BD6FD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D6FD2"/>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BD6FD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D6FD2"/>
    <w:rPr>
      <w:rFonts w:ascii="Arial" w:eastAsia="Times New Roman" w:hAnsi="Arial" w:cs="Arial"/>
      <w:vanish/>
      <w:sz w:val="16"/>
      <w:szCs w:val="16"/>
      <w:lang w:eastAsia="lv-LV"/>
    </w:rPr>
  </w:style>
  <w:style w:type="paragraph" w:styleId="NormalWeb">
    <w:name w:val="Normal (Web)"/>
    <w:basedOn w:val="Normal"/>
    <w:uiPriority w:val="99"/>
    <w:rsid w:val="00BD6FD2"/>
    <w:pPr>
      <w:spacing w:before="100" w:beforeAutospacing="1" w:after="100" w:afterAutospacing="1"/>
    </w:pPr>
  </w:style>
  <w:style w:type="paragraph" w:customStyle="1" w:styleId="naisf">
    <w:name w:val="naisf"/>
    <w:basedOn w:val="Normal"/>
    <w:rsid w:val="00BD6FD2"/>
    <w:pPr>
      <w:spacing w:before="75" w:after="75"/>
      <w:ind w:firstLine="375"/>
      <w:jc w:val="both"/>
    </w:pPr>
  </w:style>
  <w:style w:type="paragraph" w:customStyle="1" w:styleId="nais1">
    <w:name w:val="nais1"/>
    <w:basedOn w:val="Normal"/>
    <w:uiPriority w:val="99"/>
    <w:rsid w:val="00BD6FD2"/>
    <w:pPr>
      <w:spacing w:before="75" w:after="75"/>
      <w:ind w:left="450" w:firstLine="375"/>
      <w:jc w:val="both"/>
    </w:pPr>
  </w:style>
  <w:style w:type="paragraph" w:customStyle="1" w:styleId="nais2">
    <w:name w:val="nais2"/>
    <w:basedOn w:val="Normal"/>
    <w:uiPriority w:val="99"/>
    <w:rsid w:val="00BD6FD2"/>
    <w:pPr>
      <w:spacing w:before="75" w:after="75"/>
      <w:ind w:left="900" w:firstLine="375"/>
      <w:jc w:val="both"/>
    </w:pPr>
  </w:style>
  <w:style w:type="paragraph" w:customStyle="1" w:styleId="naispant">
    <w:name w:val="naispant"/>
    <w:basedOn w:val="Normal"/>
    <w:uiPriority w:val="99"/>
    <w:rsid w:val="00BD6FD2"/>
    <w:pPr>
      <w:spacing w:before="75" w:after="75"/>
      <w:ind w:left="375" w:firstLine="375"/>
      <w:jc w:val="both"/>
    </w:pPr>
    <w:rPr>
      <w:b/>
      <w:bCs/>
    </w:rPr>
  </w:style>
  <w:style w:type="paragraph" w:customStyle="1" w:styleId="naisvisr">
    <w:name w:val="naisvisr"/>
    <w:basedOn w:val="Normal"/>
    <w:uiPriority w:val="99"/>
    <w:rsid w:val="00BD6FD2"/>
    <w:pPr>
      <w:spacing w:before="150" w:after="150"/>
      <w:jc w:val="center"/>
    </w:pPr>
    <w:rPr>
      <w:b/>
      <w:bCs/>
      <w:sz w:val="28"/>
      <w:szCs w:val="28"/>
    </w:rPr>
  </w:style>
  <w:style w:type="paragraph" w:customStyle="1" w:styleId="naisnod">
    <w:name w:val="naisnod"/>
    <w:basedOn w:val="Normal"/>
    <w:rsid w:val="00BD6FD2"/>
    <w:pPr>
      <w:spacing w:before="150" w:after="150"/>
      <w:jc w:val="center"/>
    </w:pPr>
    <w:rPr>
      <w:b/>
      <w:bCs/>
    </w:rPr>
  </w:style>
  <w:style w:type="paragraph" w:customStyle="1" w:styleId="naislab">
    <w:name w:val="naislab"/>
    <w:basedOn w:val="Normal"/>
    <w:rsid w:val="00BD6FD2"/>
    <w:pPr>
      <w:spacing w:before="75" w:after="75"/>
      <w:jc w:val="right"/>
    </w:pPr>
  </w:style>
  <w:style w:type="paragraph" w:customStyle="1" w:styleId="naiskr">
    <w:name w:val="naiskr"/>
    <w:basedOn w:val="Normal"/>
    <w:rsid w:val="00BD6FD2"/>
    <w:pPr>
      <w:spacing w:before="75" w:after="75"/>
    </w:pPr>
  </w:style>
  <w:style w:type="paragraph" w:customStyle="1" w:styleId="naisc">
    <w:name w:val="naisc"/>
    <w:basedOn w:val="Normal"/>
    <w:rsid w:val="00BD6FD2"/>
    <w:pPr>
      <w:spacing w:before="75" w:after="75"/>
      <w:jc w:val="center"/>
    </w:pPr>
  </w:style>
  <w:style w:type="character" w:styleId="Strong">
    <w:name w:val="Strong"/>
    <w:basedOn w:val="DefaultParagraphFont"/>
    <w:uiPriority w:val="22"/>
    <w:qFormat/>
    <w:rsid w:val="00BD6FD2"/>
    <w:rPr>
      <w:rFonts w:cs="Times New Roman"/>
      <w:b/>
      <w:bCs/>
    </w:rPr>
  </w:style>
  <w:style w:type="character" w:customStyle="1" w:styleId="th1">
    <w:name w:val="th1"/>
    <w:basedOn w:val="DefaultParagraphFont"/>
    <w:uiPriority w:val="99"/>
    <w:rsid w:val="00BD6FD2"/>
    <w:rPr>
      <w:rFonts w:cs="Times New Roman"/>
      <w:b/>
      <w:bCs/>
      <w:color w:val="333333"/>
    </w:rPr>
  </w:style>
  <w:style w:type="character" w:styleId="Emphasis">
    <w:name w:val="Emphasis"/>
    <w:basedOn w:val="DefaultParagraphFont"/>
    <w:uiPriority w:val="99"/>
    <w:qFormat/>
    <w:rsid w:val="00BD6FD2"/>
    <w:rPr>
      <w:rFonts w:cs="Times New Roman"/>
      <w:i/>
      <w:iCs/>
    </w:rPr>
  </w:style>
  <w:style w:type="paragraph" w:styleId="BalloonText">
    <w:name w:val="Balloon Text"/>
    <w:basedOn w:val="Normal"/>
    <w:link w:val="BalloonTextChar"/>
    <w:uiPriority w:val="99"/>
    <w:semiHidden/>
    <w:rsid w:val="00BD6FD2"/>
    <w:rPr>
      <w:rFonts w:ascii="Tahoma" w:hAnsi="Tahoma" w:cs="Tahoma"/>
      <w:sz w:val="16"/>
      <w:szCs w:val="16"/>
    </w:rPr>
  </w:style>
  <w:style w:type="character" w:customStyle="1" w:styleId="BalloonTextChar">
    <w:name w:val="Balloon Text Char"/>
    <w:basedOn w:val="DefaultParagraphFont"/>
    <w:link w:val="BalloonText"/>
    <w:uiPriority w:val="99"/>
    <w:semiHidden/>
    <w:rsid w:val="00BD6FD2"/>
    <w:rPr>
      <w:rFonts w:ascii="Tahoma" w:eastAsia="Times New Roman" w:hAnsi="Tahoma" w:cs="Tahoma"/>
      <w:sz w:val="16"/>
      <w:szCs w:val="16"/>
      <w:lang w:eastAsia="lv-LV"/>
    </w:rPr>
  </w:style>
  <w:style w:type="table" w:styleId="TableGrid">
    <w:name w:val="Table Grid"/>
    <w:basedOn w:val="TableNormal"/>
    <w:uiPriority w:val="99"/>
    <w:rsid w:val="00BD6FD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BD6FD2"/>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BD6FD2"/>
    <w:rPr>
      <w:rFonts w:ascii="Times New Roman" w:eastAsia="Times New Roman" w:hAnsi="Times New Roman" w:cs="Times New Roman"/>
      <w:sz w:val="28"/>
      <w:szCs w:val="28"/>
    </w:rPr>
  </w:style>
  <w:style w:type="paragraph" w:styleId="Header">
    <w:name w:val="header"/>
    <w:basedOn w:val="Normal"/>
    <w:link w:val="HeaderChar"/>
    <w:uiPriority w:val="99"/>
    <w:rsid w:val="00BD6FD2"/>
    <w:pPr>
      <w:tabs>
        <w:tab w:val="center" w:pos="4153"/>
        <w:tab w:val="right" w:pos="8306"/>
      </w:tabs>
    </w:pPr>
  </w:style>
  <w:style w:type="character" w:customStyle="1" w:styleId="HeaderChar">
    <w:name w:val="Header Char"/>
    <w:basedOn w:val="DefaultParagraphFont"/>
    <w:link w:val="Header"/>
    <w:uiPriority w:val="99"/>
    <w:rsid w:val="00BD6FD2"/>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BD6FD2"/>
    <w:rPr>
      <w:rFonts w:cs="Times New Roman"/>
    </w:rPr>
  </w:style>
  <w:style w:type="paragraph" w:styleId="Footer">
    <w:name w:val="footer"/>
    <w:basedOn w:val="Normal"/>
    <w:link w:val="FooterChar"/>
    <w:uiPriority w:val="99"/>
    <w:rsid w:val="00BD6FD2"/>
    <w:pPr>
      <w:tabs>
        <w:tab w:val="center" w:pos="4153"/>
        <w:tab w:val="right" w:pos="8306"/>
      </w:tabs>
    </w:pPr>
  </w:style>
  <w:style w:type="character" w:customStyle="1" w:styleId="FooterChar">
    <w:name w:val="Footer Char"/>
    <w:basedOn w:val="DefaultParagraphFont"/>
    <w:link w:val="Footer"/>
    <w:uiPriority w:val="99"/>
    <w:rsid w:val="00BD6FD2"/>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D6FD2"/>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BD6FD2"/>
    <w:rPr>
      <w:sz w:val="16"/>
      <w:szCs w:val="16"/>
    </w:rPr>
  </w:style>
  <w:style w:type="paragraph" w:styleId="CommentText">
    <w:name w:val="annotation text"/>
    <w:basedOn w:val="Normal"/>
    <w:link w:val="CommentTextChar"/>
    <w:uiPriority w:val="99"/>
    <w:unhideWhenUsed/>
    <w:rsid w:val="00BD6FD2"/>
    <w:rPr>
      <w:sz w:val="20"/>
      <w:szCs w:val="20"/>
    </w:rPr>
  </w:style>
  <w:style w:type="character" w:customStyle="1" w:styleId="CommentTextChar">
    <w:name w:val="Comment Text Char"/>
    <w:basedOn w:val="DefaultParagraphFont"/>
    <w:link w:val="CommentText"/>
    <w:uiPriority w:val="99"/>
    <w:rsid w:val="00BD6F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D6FD2"/>
    <w:rPr>
      <w:b/>
      <w:bCs/>
    </w:rPr>
  </w:style>
  <w:style w:type="character" w:customStyle="1" w:styleId="CommentSubjectChar">
    <w:name w:val="Comment Subject Char"/>
    <w:basedOn w:val="CommentTextChar"/>
    <w:link w:val="CommentSubject"/>
    <w:uiPriority w:val="99"/>
    <w:semiHidden/>
    <w:rsid w:val="00BD6FD2"/>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BD6FD2"/>
    <w:pPr>
      <w:spacing w:after="120"/>
    </w:pPr>
    <w:rPr>
      <w:rFonts w:cs="Arial"/>
      <w:bCs/>
      <w:kern w:val="32"/>
      <w:sz w:val="28"/>
      <w:szCs w:val="32"/>
      <w:lang w:eastAsia="en-US"/>
    </w:rPr>
  </w:style>
  <w:style w:type="character" w:customStyle="1" w:styleId="BodyTextChar">
    <w:name w:val="Body Text Char"/>
    <w:basedOn w:val="DefaultParagraphFont"/>
    <w:link w:val="BodyText"/>
    <w:rsid w:val="00BD6FD2"/>
    <w:rPr>
      <w:rFonts w:ascii="Times New Roman" w:eastAsia="Times New Roman" w:hAnsi="Times New Roman" w:cs="Arial"/>
      <w:bCs/>
      <w:kern w:val="32"/>
      <w:sz w:val="28"/>
      <w:szCs w:val="32"/>
    </w:rPr>
  </w:style>
  <w:style w:type="paragraph" w:customStyle="1" w:styleId="tvhtmlmktable">
    <w:name w:val="tv_html mk_table"/>
    <w:basedOn w:val="Normal"/>
    <w:rsid w:val="00BD6FD2"/>
    <w:pPr>
      <w:spacing w:before="100" w:beforeAutospacing="1" w:after="100" w:afterAutospacing="1"/>
    </w:pPr>
  </w:style>
  <w:style w:type="paragraph" w:customStyle="1" w:styleId="Noteikumutekstam">
    <w:name w:val="Noteikumu tekstam"/>
    <w:basedOn w:val="Normal"/>
    <w:link w:val="NoteikumutekstamRakstz"/>
    <w:autoRedefine/>
    <w:rsid w:val="00BD6FD2"/>
    <w:pPr>
      <w:tabs>
        <w:tab w:val="left" w:pos="127"/>
      </w:tabs>
      <w:spacing w:after="240"/>
      <w:ind w:left="127" w:right="125" w:hanging="15"/>
      <w:jc w:val="both"/>
    </w:pPr>
  </w:style>
  <w:style w:type="character" w:customStyle="1" w:styleId="NoteikumutekstamRakstz">
    <w:name w:val="Noteikumu tekstam Rakstz."/>
    <w:basedOn w:val="DefaultParagraphFont"/>
    <w:link w:val="Noteikumutekstam"/>
    <w:rsid w:val="00BD6FD2"/>
    <w:rPr>
      <w:rFonts w:ascii="Times New Roman" w:eastAsia="Times New Roman" w:hAnsi="Times New Roman" w:cs="Times New Roman"/>
      <w:sz w:val="24"/>
      <w:szCs w:val="24"/>
      <w:lang w:eastAsia="lv-LV"/>
    </w:rPr>
  </w:style>
  <w:style w:type="paragraph" w:customStyle="1" w:styleId="Noteikumuapakpunkti">
    <w:name w:val="Noteikumu apakšpunkti"/>
    <w:basedOn w:val="Noteikumutekstam"/>
    <w:rsid w:val="00BD6FD2"/>
    <w:pPr>
      <w:numPr>
        <w:ilvl w:val="1"/>
        <w:numId w:val="1"/>
      </w:numPr>
      <w:ind w:right="0"/>
    </w:pPr>
    <w:rPr>
      <w:sz w:val="22"/>
      <w:szCs w:val="22"/>
    </w:rPr>
  </w:style>
  <w:style w:type="paragraph" w:customStyle="1" w:styleId="Noteikumuapakpunkti2">
    <w:name w:val="Noteikumu apakšpunkti_2"/>
    <w:basedOn w:val="Noteikumuapakpunkti"/>
    <w:rsid w:val="00BD6FD2"/>
    <w:pPr>
      <w:numPr>
        <w:ilvl w:val="2"/>
      </w:numPr>
    </w:pPr>
  </w:style>
  <w:style w:type="paragraph" w:customStyle="1" w:styleId="Noteikumuapakpunkt3">
    <w:name w:val="Noteikumu apakšpunkt_3"/>
    <w:basedOn w:val="Noteikumuapakpunkti2"/>
    <w:rsid w:val="00BD6FD2"/>
    <w:pPr>
      <w:numPr>
        <w:ilvl w:val="3"/>
      </w:numPr>
    </w:pPr>
  </w:style>
  <w:style w:type="paragraph" w:customStyle="1" w:styleId="NormalMK">
    <w:name w:val="Normal MK"/>
    <w:basedOn w:val="Normal"/>
    <w:rsid w:val="00BD6FD2"/>
    <w:rPr>
      <w:rFonts w:ascii="RimTimes" w:hAnsi="RimTimes"/>
      <w:sz w:val="28"/>
      <w:szCs w:val="20"/>
      <w:lang w:eastAsia="en-US"/>
    </w:rPr>
  </w:style>
  <w:style w:type="character" w:customStyle="1" w:styleId="spelle">
    <w:name w:val="spelle"/>
    <w:basedOn w:val="DefaultParagraphFont"/>
    <w:rsid w:val="00BD6FD2"/>
  </w:style>
  <w:style w:type="paragraph" w:styleId="BodyText2">
    <w:name w:val="Body Text 2"/>
    <w:basedOn w:val="Normal"/>
    <w:link w:val="BodyText2Char"/>
    <w:uiPriority w:val="99"/>
    <w:unhideWhenUsed/>
    <w:rsid w:val="00BD6FD2"/>
    <w:pPr>
      <w:spacing w:after="120" w:line="480" w:lineRule="auto"/>
    </w:pPr>
  </w:style>
  <w:style w:type="character" w:customStyle="1" w:styleId="BodyText2Char">
    <w:name w:val="Body Text 2 Char"/>
    <w:basedOn w:val="DefaultParagraphFont"/>
    <w:link w:val="BodyText2"/>
    <w:uiPriority w:val="99"/>
    <w:rsid w:val="00BD6FD2"/>
    <w:rPr>
      <w:rFonts w:ascii="Times New Roman" w:eastAsia="Times New Roman" w:hAnsi="Times New Roman" w:cs="Times New Roman"/>
      <w:sz w:val="24"/>
      <w:szCs w:val="24"/>
      <w:lang w:eastAsia="lv-LV"/>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qFormat/>
    <w:rsid w:val="00BD6FD2"/>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sid w:val="00BD6FD2"/>
    <w:rPr>
      <w:rFonts w:ascii="Times New Roman" w:eastAsia="Times New Roman" w:hAnsi="Times New Roman" w:cs="Times New Roman"/>
      <w:sz w:val="20"/>
      <w:szCs w:val="20"/>
      <w:lang w:eastAsia="lv-LV"/>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
    <w:basedOn w:val="DefaultParagraphFont"/>
    <w:link w:val="FootnoteRefernece"/>
    <w:uiPriority w:val="99"/>
    <w:qFormat/>
    <w:rsid w:val="00BD6FD2"/>
    <w:rPr>
      <w:vertAlign w:val="superscript"/>
    </w:rPr>
  </w:style>
  <w:style w:type="paragraph" w:customStyle="1" w:styleId="CharChar1CharRakstzRakstz">
    <w:name w:val="Char Char1 Char Rakstz. Rakstz."/>
    <w:basedOn w:val="Normal"/>
    <w:rsid w:val="00BD6FD2"/>
    <w:pPr>
      <w:spacing w:after="160" w:line="240" w:lineRule="exact"/>
    </w:pPr>
    <w:rPr>
      <w:rFonts w:ascii="Tahoma" w:hAnsi="Tahoma"/>
      <w:sz w:val="20"/>
      <w:szCs w:val="20"/>
      <w:lang w:val="en-US" w:eastAsia="en-US"/>
    </w:rPr>
  </w:style>
  <w:style w:type="paragraph" w:customStyle="1" w:styleId="1">
    <w:name w:val="1."/>
    <w:basedOn w:val="Heading1"/>
    <w:link w:val="1Char"/>
    <w:uiPriority w:val="99"/>
    <w:rsid w:val="00BD6FD2"/>
    <w:pPr>
      <w:keepNext/>
      <w:keepLines/>
      <w:spacing w:before="120" w:beforeAutospacing="0" w:after="120" w:afterAutospacing="0"/>
      <w:ind w:hanging="11"/>
      <w:jc w:val="center"/>
    </w:pPr>
    <w:rPr>
      <w:kern w:val="0"/>
      <w:sz w:val="28"/>
      <w:szCs w:val="28"/>
      <w:lang w:eastAsia="en-US"/>
    </w:rPr>
  </w:style>
  <w:style w:type="character" w:customStyle="1" w:styleId="1Char">
    <w:name w:val="1. Char"/>
    <w:basedOn w:val="Heading1Char"/>
    <w:link w:val="1"/>
    <w:uiPriority w:val="99"/>
    <w:locked/>
    <w:rsid w:val="00BD6FD2"/>
    <w:rPr>
      <w:rFonts w:ascii="Times New Roman" w:eastAsia="Times New Roman" w:hAnsi="Times New Roman" w:cs="Times New Roman"/>
      <w:b/>
      <w:bCs/>
      <w:kern w:val="36"/>
      <w:sz w:val="28"/>
      <w:szCs w:val="28"/>
      <w:lang w:eastAsia="lv-LV"/>
    </w:rPr>
  </w:style>
  <w:style w:type="paragraph" w:customStyle="1" w:styleId="bullet">
    <w:name w:val="bullet"/>
    <w:basedOn w:val="Normal"/>
    <w:uiPriority w:val="99"/>
    <w:rsid w:val="00BD6FD2"/>
    <w:pPr>
      <w:numPr>
        <w:numId w:val="2"/>
      </w:numPr>
      <w:spacing w:after="120"/>
      <w:ind w:left="714" w:hanging="357"/>
      <w:jc w:val="both"/>
    </w:pPr>
    <w:rPr>
      <w:bCs/>
      <w:szCs w:val="20"/>
      <w:lang w:eastAsia="en-US"/>
    </w:rPr>
  </w:style>
  <w:style w:type="character" w:customStyle="1" w:styleId="apple-style-span">
    <w:name w:val="apple-style-span"/>
    <w:basedOn w:val="DefaultParagraphFont"/>
    <w:uiPriority w:val="99"/>
    <w:rsid w:val="00BD6FD2"/>
    <w:rPr>
      <w:rFonts w:cs="Times New Roman"/>
    </w:rPr>
  </w:style>
  <w:style w:type="character" w:customStyle="1" w:styleId="apple-converted-space">
    <w:name w:val="apple-converted-space"/>
    <w:basedOn w:val="DefaultParagraphFont"/>
    <w:uiPriority w:val="99"/>
    <w:rsid w:val="00BD6FD2"/>
    <w:rPr>
      <w:rFonts w:cs="Times New Roman"/>
    </w:rPr>
  </w:style>
  <w:style w:type="paragraph" w:customStyle="1" w:styleId="Default">
    <w:name w:val="Default"/>
    <w:rsid w:val="00BD6FD2"/>
    <w:pPr>
      <w:autoSpaceDE w:val="0"/>
      <w:autoSpaceDN w:val="0"/>
      <w:adjustRightInd w:val="0"/>
      <w:spacing w:after="0" w:line="240" w:lineRule="auto"/>
    </w:pPr>
    <w:rPr>
      <w:rFonts w:ascii="Calibri" w:eastAsia="Times New Roman" w:hAnsi="Calibri" w:cs="Calibri"/>
      <w:color w:val="000000"/>
      <w:sz w:val="24"/>
      <w:szCs w:val="24"/>
      <w:lang w:eastAsia="lv-LV"/>
    </w:rPr>
  </w:style>
  <w:style w:type="paragraph" w:customStyle="1" w:styleId="CharChar1CharRakstzCharChar">
    <w:name w:val="Char Char1 Char Rakstz. Char Char"/>
    <w:basedOn w:val="Normal"/>
    <w:rsid w:val="00BD6FD2"/>
    <w:rPr>
      <w:lang w:val="pl-PL" w:eastAsia="pl-PL"/>
    </w:rPr>
  </w:style>
  <w:style w:type="character" w:customStyle="1" w:styleId="FontStyle15">
    <w:name w:val="Font Style15"/>
    <w:basedOn w:val="DefaultParagraphFont"/>
    <w:rsid w:val="002E7149"/>
    <w:rPr>
      <w:rFonts w:ascii="Times New Roman" w:hAnsi="Times New Roman" w:cs="Times New Roman"/>
      <w:b/>
      <w:bCs/>
      <w:sz w:val="22"/>
      <w:szCs w:val="22"/>
    </w:rPr>
  </w:style>
  <w:style w:type="paragraph" w:styleId="HTMLPreformatted">
    <w:name w:val="HTML Preformatted"/>
    <w:basedOn w:val="Normal"/>
    <w:link w:val="HTMLPreformattedChar"/>
    <w:rsid w:val="00F2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20A93"/>
    <w:rPr>
      <w:rFonts w:ascii="Courier New" w:eastAsia="Times New Roman" w:hAnsi="Courier New" w:cs="Courier New"/>
      <w:sz w:val="20"/>
      <w:szCs w:val="20"/>
      <w:lang w:eastAsia="lv-LV"/>
    </w:rPr>
  </w:style>
  <w:style w:type="character" w:customStyle="1" w:styleId="FontStyle16">
    <w:name w:val="Font Style16"/>
    <w:basedOn w:val="DefaultParagraphFont"/>
    <w:uiPriority w:val="99"/>
    <w:rsid w:val="005115FE"/>
    <w:rPr>
      <w:rFonts w:ascii="Times New Roman" w:hAnsi="Times New Roman" w:cs="Times New Roman"/>
      <w:sz w:val="22"/>
      <w:szCs w:val="22"/>
    </w:rPr>
  </w:style>
  <w:style w:type="paragraph" w:customStyle="1" w:styleId="tvhtml">
    <w:name w:val="tv_html"/>
    <w:basedOn w:val="Normal"/>
    <w:rsid w:val="001671A2"/>
    <w:pPr>
      <w:spacing w:before="100" w:beforeAutospacing="1" w:after="100" w:afterAutospacing="1"/>
    </w:pPr>
    <w:rPr>
      <w:rFonts w:ascii="Verdana" w:eastAsia="Calibri" w:hAnsi="Verdana"/>
      <w:sz w:val="18"/>
      <w:szCs w:val="18"/>
    </w:rPr>
  </w:style>
  <w:style w:type="paragraph" w:customStyle="1" w:styleId="Normaltext">
    <w:name w:val="Normal text"/>
    <w:basedOn w:val="Normal"/>
    <w:link w:val="NormaltextChar"/>
    <w:rsid w:val="0091482B"/>
    <w:pPr>
      <w:spacing w:line="360" w:lineRule="auto"/>
      <w:ind w:firstLine="720"/>
      <w:jc w:val="both"/>
    </w:pPr>
    <w:rPr>
      <w:lang w:eastAsia="en-US"/>
    </w:rPr>
  </w:style>
  <w:style w:type="character" w:customStyle="1" w:styleId="NormaltextChar">
    <w:name w:val="Normal text Char"/>
    <w:basedOn w:val="DefaultParagraphFont"/>
    <w:link w:val="Normaltext"/>
    <w:rsid w:val="0091482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F4FDB"/>
    <w:pPr>
      <w:spacing w:after="120"/>
      <w:ind w:left="283"/>
    </w:pPr>
  </w:style>
  <w:style w:type="character" w:customStyle="1" w:styleId="BodyTextIndentChar">
    <w:name w:val="Body Text Indent Char"/>
    <w:basedOn w:val="DefaultParagraphFont"/>
    <w:link w:val="BodyTextIndent"/>
    <w:uiPriority w:val="99"/>
    <w:semiHidden/>
    <w:rsid w:val="00EF4FDB"/>
    <w:rPr>
      <w:rFonts w:ascii="Times New Roman" w:eastAsia="Times New Roman" w:hAnsi="Times New Roman" w:cs="Times New Roman"/>
      <w:sz w:val="24"/>
      <w:szCs w:val="24"/>
      <w:lang w:eastAsia="lv-LV"/>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852371"/>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NoSpacing">
    <w:name w:val="No Spacing"/>
    <w:qFormat/>
    <w:rsid w:val="005123AA"/>
    <w:pPr>
      <w:spacing w:after="0" w:line="240" w:lineRule="auto"/>
    </w:pPr>
    <w:rPr>
      <w:rFonts w:ascii="Times New Roman" w:eastAsia="Times New Roman" w:hAnsi="Times New Roman" w:cs="Times New Roman"/>
      <w:sz w:val="24"/>
      <w:szCs w:val="20"/>
      <w:lang w:val="en-AU" w:eastAsia="lv-LV"/>
    </w:rPr>
  </w:style>
  <w:style w:type="paragraph" w:customStyle="1" w:styleId="tv213">
    <w:name w:val="tv213"/>
    <w:basedOn w:val="Normal"/>
    <w:rsid w:val="00766134"/>
    <w:pPr>
      <w:spacing w:before="100" w:beforeAutospacing="1" w:after="100" w:afterAutospacing="1"/>
    </w:p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uiPriority w:val="99"/>
    <w:rsid w:val="006F6AC1"/>
    <w:pPr>
      <w:spacing w:after="160" w:line="240" w:lineRule="exact"/>
      <w:jc w:val="both"/>
    </w:pPr>
    <w:rPr>
      <w:rFonts w:ascii="Calibri" w:eastAsia="Calibri" w:hAnsi="Calibri"/>
      <w:sz w:val="22"/>
      <w:szCs w:val="22"/>
      <w:vertAlign w:val="superscript"/>
      <w:lang w:eastAsia="en-US"/>
    </w:rPr>
  </w:style>
  <w:style w:type="character" w:styleId="UnresolvedMention">
    <w:name w:val="Unresolved Mention"/>
    <w:basedOn w:val="DefaultParagraphFont"/>
    <w:uiPriority w:val="99"/>
    <w:semiHidden/>
    <w:unhideWhenUsed/>
    <w:rsid w:val="00AA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9177">
      <w:bodyDiv w:val="1"/>
      <w:marLeft w:val="0"/>
      <w:marRight w:val="0"/>
      <w:marTop w:val="0"/>
      <w:marBottom w:val="0"/>
      <w:divBdr>
        <w:top w:val="none" w:sz="0" w:space="0" w:color="auto"/>
        <w:left w:val="none" w:sz="0" w:space="0" w:color="auto"/>
        <w:bottom w:val="none" w:sz="0" w:space="0" w:color="auto"/>
        <w:right w:val="none" w:sz="0" w:space="0" w:color="auto"/>
      </w:divBdr>
    </w:div>
    <w:div w:id="39406226">
      <w:bodyDiv w:val="1"/>
      <w:marLeft w:val="0"/>
      <w:marRight w:val="0"/>
      <w:marTop w:val="0"/>
      <w:marBottom w:val="0"/>
      <w:divBdr>
        <w:top w:val="none" w:sz="0" w:space="0" w:color="auto"/>
        <w:left w:val="none" w:sz="0" w:space="0" w:color="auto"/>
        <w:bottom w:val="none" w:sz="0" w:space="0" w:color="auto"/>
        <w:right w:val="none" w:sz="0" w:space="0" w:color="auto"/>
      </w:divBdr>
    </w:div>
    <w:div w:id="39743634">
      <w:bodyDiv w:val="1"/>
      <w:marLeft w:val="0"/>
      <w:marRight w:val="0"/>
      <w:marTop w:val="0"/>
      <w:marBottom w:val="0"/>
      <w:divBdr>
        <w:top w:val="none" w:sz="0" w:space="0" w:color="auto"/>
        <w:left w:val="none" w:sz="0" w:space="0" w:color="auto"/>
        <w:bottom w:val="none" w:sz="0" w:space="0" w:color="auto"/>
        <w:right w:val="none" w:sz="0" w:space="0" w:color="auto"/>
      </w:divBdr>
    </w:div>
    <w:div w:id="93019978">
      <w:bodyDiv w:val="1"/>
      <w:marLeft w:val="0"/>
      <w:marRight w:val="0"/>
      <w:marTop w:val="0"/>
      <w:marBottom w:val="0"/>
      <w:divBdr>
        <w:top w:val="none" w:sz="0" w:space="0" w:color="auto"/>
        <w:left w:val="none" w:sz="0" w:space="0" w:color="auto"/>
        <w:bottom w:val="none" w:sz="0" w:space="0" w:color="auto"/>
        <w:right w:val="none" w:sz="0" w:space="0" w:color="auto"/>
      </w:divBdr>
    </w:div>
    <w:div w:id="189611603">
      <w:bodyDiv w:val="1"/>
      <w:marLeft w:val="0"/>
      <w:marRight w:val="0"/>
      <w:marTop w:val="0"/>
      <w:marBottom w:val="0"/>
      <w:divBdr>
        <w:top w:val="none" w:sz="0" w:space="0" w:color="auto"/>
        <w:left w:val="none" w:sz="0" w:space="0" w:color="auto"/>
        <w:bottom w:val="none" w:sz="0" w:space="0" w:color="auto"/>
        <w:right w:val="none" w:sz="0" w:space="0" w:color="auto"/>
      </w:divBdr>
    </w:div>
    <w:div w:id="240022286">
      <w:bodyDiv w:val="1"/>
      <w:marLeft w:val="0"/>
      <w:marRight w:val="0"/>
      <w:marTop w:val="0"/>
      <w:marBottom w:val="0"/>
      <w:divBdr>
        <w:top w:val="none" w:sz="0" w:space="0" w:color="auto"/>
        <w:left w:val="none" w:sz="0" w:space="0" w:color="auto"/>
        <w:bottom w:val="none" w:sz="0" w:space="0" w:color="auto"/>
        <w:right w:val="none" w:sz="0" w:space="0" w:color="auto"/>
      </w:divBdr>
    </w:div>
    <w:div w:id="281571088">
      <w:bodyDiv w:val="1"/>
      <w:marLeft w:val="0"/>
      <w:marRight w:val="0"/>
      <w:marTop w:val="0"/>
      <w:marBottom w:val="0"/>
      <w:divBdr>
        <w:top w:val="none" w:sz="0" w:space="0" w:color="auto"/>
        <w:left w:val="none" w:sz="0" w:space="0" w:color="auto"/>
        <w:bottom w:val="none" w:sz="0" w:space="0" w:color="auto"/>
        <w:right w:val="none" w:sz="0" w:space="0" w:color="auto"/>
      </w:divBdr>
    </w:div>
    <w:div w:id="339744060">
      <w:bodyDiv w:val="1"/>
      <w:marLeft w:val="0"/>
      <w:marRight w:val="0"/>
      <w:marTop w:val="0"/>
      <w:marBottom w:val="0"/>
      <w:divBdr>
        <w:top w:val="none" w:sz="0" w:space="0" w:color="auto"/>
        <w:left w:val="none" w:sz="0" w:space="0" w:color="auto"/>
        <w:bottom w:val="none" w:sz="0" w:space="0" w:color="auto"/>
        <w:right w:val="none" w:sz="0" w:space="0" w:color="auto"/>
      </w:divBdr>
    </w:div>
    <w:div w:id="395277086">
      <w:bodyDiv w:val="1"/>
      <w:marLeft w:val="0"/>
      <w:marRight w:val="0"/>
      <w:marTop w:val="0"/>
      <w:marBottom w:val="0"/>
      <w:divBdr>
        <w:top w:val="none" w:sz="0" w:space="0" w:color="auto"/>
        <w:left w:val="none" w:sz="0" w:space="0" w:color="auto"/>
        <w:bottom w:val="none" w:sz="0" w:space="0" w:color="auto"/>
        <w:right w:val="none" w:sz="0" w:space="0" w:color="auto"/>
      </w:divBdr>
    </w:div>
    <w:div w:id="395511342">
      <w:bodyDiv w:val="1"/>
      <w:marLeft w:val="0"/>
      <w:marRight w:val="0"/>
      <w:marTop w:val="0"/>
      <w:marBottom w:val="0"/>
      <w:divBdr>
        <w:top w:val="none" w:sz="0" w:space="0" w:color="auto"/>
        <w:left w:val="none" w:sz="0" w:space="0" w:color="auto"/>
        <w:bottom w:val="none" w:sz="0" w:space="0" w:color="auto"/>
        <w:right w:val="none" w:sz="0" w:space="0" w:color="auto"/>
      </w:divBdr>
    </w:div>
    <w:div w:id="443305884">
      <w:bodyDiv w:val="1"/>
      <w:marLeft w:val="0"/>
      <w:marRight w:val="0"/>
      <w:marTop w:val="0"/>
      <w:marBottom w:val="0"/>
      <w:divBdr>
        <w:top w:val="none" w:sz="0" w:space="0" w:color="auto"/>
        <w:left w:val="none" w:sz="0" w:space="0" w:color="auto"/>
        <w:bottom w:val="none" w:sz="0" w:space="0" w:color="auto"/>
        <w:right w:val="none" w:sz="0" w:space="0" w:color="auto"/>
      </w:divBdr>
      <w:divsChild>
        <w:div w:id="959996438">
          <w:marLeft w:val="0"/>
          <w:marRight w:val="0"/>
          <w:marTop w:val="0"/>
          <w:marBottom w:val="0"/>
          <w:divBdr>
            <w:top w:val="none" w:sz="0" w:space="0" w:color="auto"/>
            <w:left w:val="none" w:sz="0" w:space="0" w:color="auto"/>
            <w:bottom w:val="none" w:sz="0" w:space="0" w:color="auto"/>
            <w:right w:val="none" w:sz="0" w:space="0" w:color="auto"/>
          </w:divBdr>
          <w:divsChild>
            <w:div w:id="467238535">
              <w:marLeft w:val="0"/>
              <w:marRight w:val="0"/>
              <w:marTop w:val="0"/>
              <w:marBottom w:val="0"/>
              <w:divBdr>
                <w:top w:val="none" w:sz="0" w:space="0" w:color="auto"/>
                <w:left w:val="none" w:sz="0" w:space="0" w:color="auto"/>
                <w:bottom w:val="none" w:sz="0" w:space="0" w:color="auto"/>
                <w:right w:val="none" w:sz="0" w:space="0" w:color="auto"/>
              </w:divBdr>
              <w:divsChild>
                <w:div w:id="5056539">
                  <w:marLeft w:val="0"/>
                  <w:marRight w:val="0"/>
                  <w:marTop w:val="0"/>
                  <w:marBottom w:val="0"/>
                  <w:divBdr>
                    <w:top w:val="none" w:sz="0" w:space="0" w:color="auto"/>
                    <w:left w:val="none" w:sz="0" w:space="0" w:color="auto"/>
                    <w:bottom w:val="none" w:sz="0" w:space="0" w:color="auto"/>
                    <w:right w:val="none" w:sz="0" w:space="0" w:color="auto"/>
                  </w:divBdr>
                  <w:divsChild>
                    <w:div w:id="628977999">
                      <w:marLeft w:val="150"/>
                      <w:marRight w:val="150"/>
                      <w:marTop w:val="0"/>
                      <w:marBottom w:val="0"/>
                      <w:divBdr>
                        <w:top w:val="single" w:sz="12" w:space="0" w:color="E3E3E3"/>
                        <w:left w:val="single" w:sz="6" w:space="0" w:color="D3D3D3"/>
                        <w:bottom w:val="single" w:sz="12" w:space="0" w:color="FFFFFF"/>
                        <w:right w:val="single" w:sz="6" w:space="0" w:color="D3D3D3"/>
                      </w:divBdr>
                      <w:divsChild>
                        <w:div w:id="1823892141">
                          <w:marLeft w:val="150"/>
                          <w:marRight w:val="150"/>
                          <w:marTop w:val="0"/>
                          <w:marBottom w:val="0"/>
                          <w:divBdr>
                            <w:top w:val="none" w:sz="0" w:space="0" w:color="auto"/>
                            <w:left w:val="none" w:sz="0" w:space="0" w:color="auto"/>
                            <w:bottom w:val="none" w:sz="0" w:space="0" w:color="auto"/>
                            <w:right w:val="none" w:sz="0" w:space="0" w:color="auto"/>
                          </w:divBdr>
                          <w:divsChild>
                            <w:div w:id="1009648523">
                              <w:marLeft w:val="150"/>
                              <w:marRight w:val="0"/>
                              <w:marTop w:val="150"/>
                              <w:marBottom w:val="150"/>
                              <w:divBdr>
                                <w:top w:val="single" w:sz="6" w:space="8" w:color="FFFFFF"/>
                                <w:left w:val="single" w:sz="6" w:space="8" w:color="D7D7D7"/>
                                <w:bottom w:val="single" w:sz="6" w:space="8" w:color="D7D7D7"/>
                                <w:right w:val="single" w:sz="6" w:space="8" w:color="D7D7D7"/>
                              </w:divBdr>
                            </w:div>
                          </w:divsChild>
                        </w:div>
                      </w:divsChild>
                    </w:div>
                  </w:divsChild>
                </w:div>
              </w:divsChild>
            </w:div>
          </w:divsChild>
        </w:div>
      </w:divsChild>
    </w:div>
    <w:div w:id="531454220">
      <w:bodyDiv w:val="1"/>
      <w:marLeft w:val="0"/>
      <w:marRight w:val="0"/>
      <w:marTop w:val="0"/>
      <w:marBottom w:val="0"/>
      <w:divBdr>
        <w:top w:val="none" w:sz="0" w:space="0" w:color="auto"/>
        <w:left w:val="none" w:sz="0" w:space="0" w:color="auto"/>
        <w:bottom w:val="none" w:sz="0" w:space="0" w:color="auto"/>
        <w:right w:val="none" w:sz="0" w:space="0" w:color="auto"/>
      </w:divBdr>
    </w:div>
    <w:div w:id="569773275">
      <w:bodyDiv w:val="1"/>
      <w:marLeft w:val="0"/>
      <w:marRight w:val="0"/>
      <w:marTop w:val="0"/>
      <w:marBottom w:val="0"/>
      <w:divBdr>
        <w:top w:val="none" w:sz="0" w:space="0" w:color="auto"/>
        <w:left w:val="none" w:sz="0" w:space="0" w:color="auto"/>
        <w:bottom w:val="none" w:sz="0" w:space="0" w:color="auto"/>
        <w:right w:val="none" w:sz="0" w:space="0" w:color="auto"/>
      </w:divBdr>
    </w:div>
    <w:div w:id="733621551">
      <w:bodyDiv w:val="1"/>
      <w:marLeft w:val="0"/>
      <w:marRight w:val="0"/>
      <w:marTop w:val="0"/>
      <w:marBottom w:val="0"/>
      <w:divBdr>
        <w:top w:val="none" w:sz="0" w:space="0" w:color="auto"/>
        <w:left w:val="none" w:sz="0" w:space="0" w:color="auto"/>
        <w:bottom w:val="none" w:sz="0" w:space="0" w:color="auto"/>
        <w:right w:val="none" w:sz="0" w:space="0" w:color="auto"/>
      </w:divBdr>
    </w:div>
    <w:div w:id="763964265">
      <w:bodyDiv w:val="1"/>
      <w:marLeft w:val="0"/>
      <w:marRight w:val="0"/>
      <w:marTop w:val="0"/>
      <w:marBottom w:val="0"/>
      <w:divBdr>
        <w:top w:val="none" w:sz="0" w:space="0" w:color="auto"/>
        <w:left w:val="none" w:sz="0" w:space="0" w:color="auto"/>
        <w:bottom w:val="none" w:sz="0" w:space="0" w:color="auto"/>
        <w:right w:val="none" w:sz="0" w:space="0" w:color="auto"/>
      </w:divBdr>
    </w:div>
    <w:div w:id="990790022">
      <w:bodyDiv w:val="1"/>
      <w:marLeft w:val="0"/>
      <w:marRight w:val="0"/>
      <w:marTop w:val="0"/>
      <w:marBottom w:val="0"/>
      <w:divBdr>
        <w:top w:val="none" w:sz="0" w:space="0" w:color="auto"/>
        <w:left w:val="none" w:sz="0" w:space="0" w:color="auto"/>
        <w:bottom w:val="none" w:sz="0" w:space="0" w:color="auto"/>
        <w:right w:val="none" w:sz="0" w:space="0" w:color="auto"/>
      </w:divBdr>
    </w:div>
    <w:div w:id="1011300154">
      <w:bodyDiv w:val="1"/>
      <w:marLeft w:val="0"/>
      <w:marRight w:val="0"/>
      <w:marTop w:val="0"/>
      <w:marBottom w:val="0"/>
      <w:divBdr>
        <w:top w:val="none" w:sz="0" w:space="0" w:color="auto"/>
        <w:left w:val="none" w:sz="0" w:space="0" w:color="auto"/>
        <w:bottom w:val="none" w:sz="0" w:space="0" w:color="auto"/>
        <w:right w:val="none" w:sz="0" w:space="0" w:color="auto"/>
      </w:divBdr>
    </w:div>
    <w:div w:id="1154220203">
      <w:bodyDiv w:val="1"/>
      <w:marLeft w:val="0"/>
      <w:marRight w:val="0"/>
      <w:marTop w:val="0"/>
      <w:marBottom w:val="0"/>
      <w:divBdr>
        <w:top w:val="none" w:sz="0" w:space="0" w:color="auto"/>
        <w:left w:val="none" w:sz="0" w:space="0" w:color="auto"/>
        <w:bottom w:val="none" w:sz="0" w:space="0" w:color="auto"/>
        <w:right w:val="none" w:sz="0" w:space="0" w:color="auto"/>
      </w:divBdr>
    </w:div>
    <w:div w:id="1172572701">
      <w:bodyDiv w:val="1"/>
      <w:marLeft w:val="0"/>
      <w:marRight w:val="0"/>
      <w:marTop w:val="0"/>
      <w:marBottom w:val="0"/>
      <w:divBdr>
        <w:top w:val="none" w:sz="0" w:space="0" w:color="auto"/>
        <w:left w:val="none" w:sz="0" w:space="0" w:color="auto"/>
        <w:bottom w:val="none" w:sz="0" w:space="0" w:color="auto"/>
        <w:right w:val="none" w:sz="0" w:space="0" w:color="auto"/>
      </w:divBdr>
    </w:div>
    <w:div w:id="1403023232">
      <w:bodyDiv w:val="1"/>
      <w:marLeft w:val="45"/>
      <w:marRight w:val="45"/>
      <w:marTop w:val="90"/>
      <w:marBottom w:val="90"/>
      <w:divBdr>
        <w:top w:val="none" w:sz="0" w:space="0" w:color="auto"/>
        <w:left w:val="none" w:sz="0" w:space="0" w:color="auto"/>
        <w:bottom w:val="none" w:sz="0" w:space="0" w:color="auto"/>
        <w:right w:val="none" w:sz="0" w:space="0" w:color="auto"/>
      </w:divBdr>
      <w:divsChild>
        <w:div w:id="1155998317">
          <w:marLeft w:val="0"/>
          <w:marRight w:val="0"/>
          <w:marTop w:val="0"/>
          <w:marBottom w:val="567"/>
          <w:divBdr>
            <w:top w:val="none" w:sz="0" w:space="0" w:color="auto"/>
            <w:left w:val="none" w:sz="0" w:space="0" w:color="auto"/>
            <w:bottom w:val="none" w:sz="0" w:space="0" w:color="auto"/>
            <w:right w:val="none" w:sz="0" w:space="0" w:color="auto"/>
          </w:divBdr>
        </w:div>
      </w:divsChild>
    </w:div>
    <w:div w:id="1462573435">
      <w:bodyDiv w:val="1"/>
      <w:marLeft w:val="0"/>
      <w:marRight w:val="0"/>
      <w:marTop w:val="0"/>
      <w:marBottom w:val="0"/>
      <w:divBdr>
        <w:top w:val="none" w:sz="0" w:space="0" w:color="auto"/>
        <w:left w:val="none" w:sz="0" w:space="0" w:color="auto"/>
        <w:bottom w:val="none" w:sz="0" w:space="0" w:color="auto"/>
        <w:right w:val="none" w:sz="0" w:space="0" w:color="auto"/>
      </w:divBdr>
    </w:div>
    <w:div w:id="1611276556">
      <w:bodyDiv w:val="1"/>
      <w:marLeft w:val="0"/>
      <w:marRight w:val="0"/>
      <w:marTop w:val="0"/>
      <w:marBottom w:val="0"/>
      <w:divBdr>
        <w:top w:val="none" w:sz="0" w:space="0" w:color="auto"/>
        <w:left w:val="none" w:sz="0" w:space="0" w:color="auto"/>
        <w:bottom w:val="none" w:sz="0" w:space="0" w:color="auto"/>
        <w:right w:val="none" w:sz="0" w:space="0" w:color="auto"/>
      </w:divBdr>
    </w:div>
    <w:div w:id="1654529987">
      <w:bodyDiv w:val="1"/>
      <w:marLeft w:val="0"/>
      <w:marRight w:val="0"/>
      <w:marTop w:val="0"/>
      <w:marBottom w:val="0"/>
      <w:divBdr>
        <w:top w:val="none" w:sz="0" w:space="0" w:color="auto"/>
        <w:left w:val="none" w:sz="0" w:space="0" w:color="auto"/>
        <w:bottom w:val="none" w:sz="0" w:space="0" w:color="auto"/>
        <w:right w:val="none" w:sz="0" w:space="0" w:color="auto"/>
      </w:divBdr>
    </w:div>
    <w:div w:id="1771006262">
      <w:bodyDiv w:val="1"/>
      <w:marLeft w:val="0"/>
      <w:marRight w:val="0"/>
      <w:marTop w:val="0"/>
      <w:marBottom w:val="0"/>
      <w:divBdr>
        <w:top w:val="none" w:sz="0" w:space="0" w:color="auto"/>
        <w:left w:val="none" w:sz="0" w:space="0" w:color="auto"/>
        <w:bottom w:val="none" w:sz="0" w:space="0" w:color="auto"/>
        <w:right w:val="none" w:sz="0" w:space="0" w:color="auto"/>
      </w:divBdr>
    </w:div>
    <w:div w:id="1844126309">
      <w:bodyDiv w:val="1"/>
      <w:marLeft w:val="0"/>
      <w:marRight w:val="0"/>
      <w:marTop w:val="0"/>
      <w:marBottom w:val="0"/>
      <w:divBdr>
        <w:top w:val="none" w:sz="0" w:space="0" w:color="auto"/>
        <w:left w:val="none" w:sz="0" w:space="0" w:color="auto"/>
        <w:bottom w:val="none" w:sz="0" w:space="0" w:color="auto"/>
        <w:right w:val="none" w:sz="0" w:space="0" w:color="auto"/>
      </w:divBdr>
    </w:div>
    <w:div w:id="1885212294">
      <w:bodyDiv w:val="1"/>
      <w:marLeft w:val="0"/>
      <w:marRight w:val="0"/>
      <w:marTop w:val="0"/>
      <w:marBottom w:val="0"/>
      <w:divBdr>
        <w:top w:val="none" w:sz="0" w:space="0" w:color="auto"/>
        <w:left w:val="none" w:sz="0" w:space="0" w:color="auto"/>
        <w:bottom w:val="none" w:sz="0" w:space="0" w:color="auto"/>
        <w:right w:val="none" w:sz="0" w:space="0" w:color="auto"/>
      </w:divBdr>
    </w:div>
    <w:div w:id="1951468938">
      <w:bodyDiv w:val="1"/>
      <w:marLeft w:val="0"/>
      <w:marRight w:val="0"/>
      <w:marTop w:val="0"/>
      <w:marBottom w:val="0"/>
      <w:divBdr>
        <w:top w:val="none" w:sz="0" w:space="0" w:color="auto"/>
        <w:left w:val="none" w:sz="0" w:space="0" w:color="auto"/>
        <w:bottom w:val="none" w:sz="0" w:space="0" w:color="auto"/>
        <w:right w:val="none" w:sz="0" w:space="0" w:color="auto"/>
      </w:divBdr>
    </w:div>
    <w:div w:id="205804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AB17E-957D-4E3B-A780-66D7FCBE1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16473</Words>
  <Characters>9391</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25813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Izziņa</dc:subject>
  <dc:creator>EM</dc:creator>
  <dc:description/>
  <cp:lastModifiedBy>Author</cp:lastModifiedBy>
  <cp:revision>8</cp:revision>
  <cp:lastPrinted>2019-08-23T06:06:00Z</cp:lastPrinted>
  <dcterms:created xsi:type="dcterms:W3CDTF">2019-10-03T07:50:00Z</dcterms:created>
  <dcterms:modified xsi:type="dcterms:W3CDTF">2019-10-03T07:55:00Z</dcterms:modified>
</cp:coreProperties>
</file>