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9778" w14:textId="77777777" w:rsidR="00312904" w:rsidRDefault="00312904" w:rsidP="00742755">
      <w:pPr>
        <w:pStyle w:val="Title"/>
      </w:pPr>
    </w:p>
    <w:p w14:paraId="2F7437BA" w14:textId="15DF5A58" w:rsidR="00742755" w:rsidRPr="002926B4" w:rsidRDefault="00742755" w:rsidP="00742755">
      <w:pPr>
        <w:pStyle w:val="Title"/>
      </w:pPr>
      <w:r w:rsidRPr="002926B4">
        <w:t>Informatīvais ziņojums</w:t>
      </w:r>
    </w:p>
    <w:p w14:paraId="188A9E75" w14:textId="77777777" w:rsidR="00742755" w:rsidRPr="002926B4" w:rsidRDefault="00742755" w:rsidP="00742755">
      <w:pPr>
        <w:spacing w:before="0" w:after="0" w:line="240" w:lineRule="auto"/>
        <w:jc w:val="center"/>
        <w:rPr>
          <w:b/>
          <w:bCs/>
          <w:sz w:val="28"/>
          <w:lang w:val="lv-LV"/>
        </w:rPr>
      </w:pPr>
    </w:p>
    <w:p w14:paraId="613B386E" w14:textId="77777777" w:rsidR="00312904" w:rsidRDefault="00312904" w:rsidP="00742755">
      <w:pPr>
        <w:spacing w:before="0" w:after="0" w:line="240" w:lineRule="auto"/>
        <w:jc w:val="center"/>
        <w:rPr>
          <w:b/>
          <w:bCs/>
          <w:sz w:val="28"/>
          <w:szCs w:val="24"/>
          <w:lang w:val="lv-LV"/>
        </w:rPr>
      </w:pPr>
    </w:p>
    <w:p w14:paraId="5F801126" w14:textId="0354A499" w:rsidR="00742755" w:rsidRPr="002926B4" w:rsidRDefault="00742755" w:rsidP="00742755">
      <w:pPr>
        <w:spacing w:before="0" w:after="0" w:line="240" w:lineRule="auto"/>
        <w:jc w:val="center"/>
        <w:rPr>
          <w:b/>
          <w:bCs/>
          <w:sz w:val="28"/>
          <w:szCs w:val="24"/>
          <w:lang w:val="lv-LV"/>
        </w:rPr>
      </w:pPr>
      <w:bookmarkStart w:id="0" w:name="_GoBack"/>
      <w:bookmarkEnd w:id="0"/>
      <w:r w:rsidRPr="002926B4">
        <w:rPr>
          <w:b/>
          <w:bCs/>
          <w:sz w:val="28"/>
          <w:szCs w:val="24"/>
          <w:lang w:val="lv-LV"/>
        </w:rPr>
        <w:t xml:space="preserve">Par </w:t>
      </w:r>
      <w:r w:rsidR="005D65A8" w:rsidRPr="002926B4">
        <w:rPr>
          <w:b/>
          <w:bCs/>
          <w:sz w:val="28"/>
          <w:szCs w:val="24"/>
          <w:lang w:val="lv-LV"/>
        </w:rPr>
        <w:t>priekšlikumiem publisko iepirkumu sistēmas uzlabošanai</w:t>
      </w:r>
    </w:p>
    <w:p w14:paraId="18EDB7B6" w14:textId="26B0963B" w:rsidR="00742755" w:rsidRPr="002926B4" w:rsidRDefault="00742755" w:rsidP="00742755">
      <w:pPr>
        <w:spacing w:before="0" w:after="0" w:line="240" w:lineRule="auto"/>
        <w:jc w:val="center"/>
        <w:rPr>
          <w:b/>
          <w:bCs/>
          <w:sz w:val="28"/>
          <w:szCs w:val="24"/>
          <w:lang w:val="lv-LV"/>
        </w:rPr>
      </w:pPr>
    </w:p>
    <w:p w14:paraId="02B3C033" w14:textId="7FDC31FF" w:rsidR="00B11AC0" w:rsidRPr="002926B4" w:rsidRDefault="004357F2" w:rsidP="00DE6668">
      <w:pPr>
        <w:widowControl/>
        <w:spacing w:before="120" w:after="0" w:line="240" w:lineRule="auto"/>
        <w:rPr>
          <w:szCs w:val="26"/>
          <w:lang w:val="lv-LV"/>
        </w:rPr>
      </w:pPr>
      <w:r w:rsidRPr="002926B4">
        <w:rPr>
          <w:szCs w:val="26"/>
          <w:lang w:val="lv-LV"/>
        </w:rPr>
        <w:t xml:space="preserve">Saskaņā ar </w:t>
      </w:r>
      <w:r w:rsidR="005D65A8" w:rsidRPr="002926B4">
        <w:rPr>
          <w:szCs w:val="26"/>
          <w:lang w:val="lv-LV"/>
        </w:rPr>
        <w:t>Ministru prezidenta 2019. gada 13.septembra rezolūciju Nr.</w:t>
      </w:r>
      <w:r w:rsidR="00210898" w:rsidRPr="00210898">
        <w:rPr>
          <w:szCs w:val="26"/>
          <w:lang w:val="lv-LV"/>
        </w:rPr>
        <w:t> </w:t>
      </w:r>
      <w:r w:rsidR="005D65A8" w:rsidRPr="002926B4">
        <w:rPr>
          <w:szCs w:val="26"/>
          <w:lang w:val="lv-LV"/>
        </w:rPr>
        <w:t xml:space="preserve">1.1.1/34-34, Ekonomikas ministrijai sadarbībā ar Finanšu ministriju, Iepirkumu uzraudzības biroju, Konkurences padomi un Korupcijas novēršanas un apkarošanas biroju </w:t>
      </w:r>
      <w:r w:rsidR="00910CEA" w:rsidRPr="002926B4">
        <w:rPr>
          <w:szCs w:val="26"/>
          <w:lang w:val="lv-LV"/>
        </w:rPr>
        <w:t xml:space="preserve">dots uzdevums </w:t>
      </w:r>
      <w:r w:rsidR="005D65A8" w:rsidRPr="002926B4">
        <w:rPr>
          <w:szCs w:val="26"/>
          <w:lang w:val="lv-LV"/>
        </w:rPr>
        <w:t>izstrādāt un iesniegt izskatīšanai Ministru kabineta 2019. gada 1.oktobra sēd</w:t>
      </w:r>
      <w:r w:rsidR="00910CEA" w:rsidRPr="002926B4">
        <w:rPr>
          <w:szCs w:val="26"/>
          <w:lang w:val="lv-LV"/>
        </w:rPr>
        <w:t>ē</w:t>
      </w:r>
      <w:r w:rsidR="005D65A8" w:rsidRPr="002926B4">
        <w:rPr>
          <w:szCs w:val="26"/>
          <w:lang w:val="lv-LV"/>
        </w:rPr>
        <w:t xml:space="preserve"> informatīvo ziņojumu ar priekšlikumiem publiskā iepirkuma sistēmas uzlabošanai, tai skaitā sniegt priekšlikumus kas ierobežo pretendentu iespējas slēgt aizliegt</w:t>
      </w:r>
      <w:r w:rsidR="00910CEA" w:rsidRPr="002926B4">
        <w:rPr>
          <w:szCs w:val="26"/>
          <w:lang w:val="lv-LV"/>
        </w:rPr>
        <w:t>a</w:t>
      </w:r>
      <w:r w:rsidR="005D65A8" w:rsidRPr="002926B4">
        <w:rPr>
          <w:szCs w:val="26"/>
          <w:lang w:val="lv-LV"/>
        </w:rPr>
        <w:t xml:space="preserve">s vienošanās </w:t>
      </w:r>
      <w:r w:rsidR="00B11AC0" w:rsidRPr="002926B4">
        <w:rPr>
          <w:szCs w:val="26"/>
          <w:lang w:val="lv-LV"/>
        </w:rPr>
        <w:t xml:space="preserve">publiskajā iepirkumā, paredzot skaidrus mehānismus, kas veicina pretendentu brīvu konkurenci. </w:t>
      </w:r>
    </w:p>
    <w:p w14:paraId="3BB081A4" w14:textId="0210F09C" w:rsidR="00E16FE8" w:rsidRPr="002926B4" w:rsidRDefault="00B11AC0" w:rsidP="00DE6668">
      <w:pPr>
        <w:widowControl/>
        <w:spacing w:before="120" w:after="0" w:line="240" w:lineRule="auto"/>
        <w:rPr>
          <w:szCs w:val="26"/>
          <w:lang w:val="lv-LV"/>
        </w:rPr>
      </w:pPr>
      <w:r w:rsidRPr="002926B4">
        <w:rPr>
          <w:szCs w:val="26"/>
          <w:lang w:val="lv-LV"/>
        </w:rPr>
        <w:t>Atbilstoši Ministru prezidenta rezolūcijai Ekonomikas ministrija 2019.gada 13.septembrī organizēja sanāksmi, kurā piedalījās Ekonomikas ministrijas, Konkurences padomes, Būvniecības valsts kontroles biroja, Finanšu ministrijas, Iepirkumu uzraudzības biroja, Valsts ieņēmumu dienesta</w:t>
      </w:r>
      <w:r w:rsidR="00F63A1D" w:rsidRPr="002926B4">
        <w:rPr>
          <w:szCs w:val="26"/>
          <w:lang w:val="lv-LV"/>
        </w:rPr>
        <w:t xml:space="preserve">, </w:t>
      </w:r>
      <w:r w:rsidRPr="002926B4">
        <w:rPr>
          <w:szCs w:val="26"/>
          <w:lang w:val="lv-LV"/>
        </w:rPr>
        <w:t xml:space="preserve">Korupcijas novēršanas un apkarošanas biroja </w:t>
      </w:r>
      <w:r w:rsidR="00F63A1D" w:rsidRPr="002926B4">
        <w:rPr>
          <w:szCs w:val="26"/>
          <w:lang w:val="lv-LV"/>
        </w:rPr>
        <w:t xml:space="preserve">un Saeimas Tautsaimniecības, agrārās, vides un reģionālās politikas komisijas </w:t>
      </w:r>
      <w:r w:rsidRPr="002926B4">
        <w:rPr>
          <w:szCs w:val="26"/>
          <w:lang w:val="lv-LV"/>
        </w:rPr>
        <w:t xml:space="preserve">pārstāvji. </w:t>
      </w:r>
      <w:r w:rsidR="00E16FE8" w:rsidRPr="002926B4">
        <w:rPr>
          <w:szCs w:val="26"/>
          <w:lang w:val="lv-LV"/>
        </w:rPr>
        <w:t xml:space="preserve">Atbilstoši Ekonomikas ministrijas lūgumam līdz sanāksmei rakstiskus priekšlikumus pasākumiem, kas varētu pozitīvi ietekmēt konkurenci publiskajos iepirkumos, iesniedza Korupcijas novēršanas un apkarošanas birojs un Iepirkumu uzraudzības birojs. </w:t>
      </w:r>
    </w:p>
    <w:p w14:paraId="23E178E0" w14:textId="22051635" w:rsidR="007242D3" w:rsidRPr="002926B4" w:rsidRDefault="00E16FE8" w:rsidP="00DE6668">
      <w:pPr>
        <w:widowControl/>
        <w:spacing w:before="120" w:after="0" w:line="240" w:lineRule="auto"/>
        <w:rPr>
          <w:szCs w:val="26"/>
          <w:lang w:val="lv-LV"/>
        </w:rPr>
      </w:pPr>
      <w:r w:rsidRPr="002926B4">
        <w:rPr>
          <w:szCs w:val="26"/>
          <w:lang w:val="lv-LV"/>
        </w:rPr>
        <w:t>Sanāksmes laikā institūciju pārstāvji pārrunāj</w:t>
      </w:r>
      <w:r w:rsidR="00F63A1D" w:rsidRPr="002926B4">
        <w:rPr>
          <w:szCs w:val="26"/>
          <w:lang w:val="lv-LV"/>
        </w:rPr>
        <w:t>a</w:t>
      </w:r>
      <w:r w:rsidRPr="002926B4">
        <w:rPr>
          <w:szCs w:val="26"/>
          <w:lang w:val="lv-LV"/>
        </w:rPr>
        <w:t xml:space="preserve"> </w:t>
      </w:r>
      <w:r w:rsidR="00A4079B" w:rsidRPr="002926B4">
        <w:rPr>
          <w:szCs w:val="26"/>
          <w:lang w:val="lv-LV"/>
        </w:rPr>
        <w:t xml:space="preserve">normatīvā regulējuma </w:t>
      </w:r>
      <w:r w:rsidR="00A4079B" w:rsidRPr="00210898">
        <w:rPr>
          <w:szCs w:val="26"/>
          <w:lang w:val="lv-LV"/>
        </w:rPr>
        <w:t>piemēroša</w:t>
      </w:r>
      <w:r w:rsidR="00B62537" w:rsidRPr="00210898">
        <w:rPr>
          <w:szCs w:val="26"/>
          <w:lang w:val="lv-LV"/>
        </w:rPr>
        <w:t>na</w:t>
      </w:r>
      <w:r w:rsidR="00A4079B" w:rsidRPr="00210898">
        <w:rPr>
          <w:szCs w:val="26"/>
          <w:lang w:val="lv-LV"/>
        </w:rPr>
        <w:t>s</w:t>
      </w:r>
      <w:r w:rsidR="00716274">
        <w:rPr>
          <w:szCs w:val="26"/>
          <w:lang w:val="lv-LV"/>
        </w:rPr>
        <w:t xml:space="preserve"> </w:t>
      </w:r>
      <w:r w:rsidR="00A4079B" w:rsidRPr="002926B4">
        <w:rPr>
          <w:szCs w:val="26"/>
          <w:lang w:val="lv-LV"/>
        </w:rPr>
        <w:t xml:space="preserve">problemātiku, </w:t>
      </w:r>
      <w:r w:rsidRPr="002926B4">
        <w:rPr>
          <w:szCs w:val="26"/>
          <w:lang w:val="lv-LV"/>
        </w:rPr>
        <w:t>trūkum</w:t>
      </w:r>
      <w:r w:rsidR="0076779A" w:rsidRPr="002926B4">
        <w:rPr>
          <w:szCs w:val="26"/>
          <w:lang w:val="lv-LV"/>
        </w:rPr>
        <w:t>u</w:t>
      </w:r>
      <w:r w:rsidRPr="002926B4">
        <w:rPr>
          <w:szCs w:val="26"/>
          <w:lang w:val="lv-LV"/>
        </w:rPr>
        <w:t xml:space="preserve">s institūciju darbībā, kas negatīvi ietekmē konkurenci publiskajos iepirkumos, </w:t>
      </w:r>
      <w:r w:rsidR="005F4C87" w:rsidRPr="002926B4">
        <w:rPr>
          <w:szCs w:val="26"/>
          <w:lang w:val="lv-LV"/>
        </w:rPr>
        <w:t>pieļauj nepamatotu iepirkumu sadārdzinājumu un preču</w:t>
      </w:r>
      <w:r w:rsidR="007242D3" w:rsidRPr="002926B4">
        <w:rPr>
          <w:szCs w:val="26"/>
          <w:lang w:val="lv-LV"/>
        </w:rPr>
        <w:t xml:space="preserve">, </w:t>
      </w:r>
      <w:r w:rsidR="005F4C87" w:rsidRPr="002926B4">
        <w:rPr>
          <w:szCs w:val="26"/>
          <w:lang w:val="lv-LV"/>
        </w:rPr>
        <w:t>pakalpojuma un būvdarbu zemu kvalitāti</w:t>
      </w:r>
      <w:r w:rsidR="007242D3" w:rsidRPr="002926B4">
        <w:rPr>
          <w:szCs w:val="26"/>
          <w:lang w:val="lv-LV"/>
        </w:rPr>
        <w:t xml:space="preserve">, kā arī </w:t>
      </w:r>
      <w:r w:rsidR="005F4C87" w:rsidRPr="002926B4">
        <w:rPr>
          <w:szCs w:val="26"/>
          <w:lang w:val="lv-LV"/>
        </w:rPr>
        <w:t>neatbilstību pasūtītāja reālaj</w:t>
      </w:r>
      <w:r w:rsidR="0076779A" w:rsidRPr="002926B4">
        <w:rPr>
          <w:szCs w:val="26"/>
          <w:lang w:val="lv-LV"/>
        </w:rPr>
        <w:t>ā</w:t>
      </w:r>
      <w:r w:rsidR="005F4C87" w:rsidRPr="002926B4">
        <w:rPr>
          <w:szCs w:val="26"/>
          <w:lang w:val="lv-LV"/>
        </w:rPr>
        <w:t xml:space="preserve">m vajadzībām. Ņemot vērā </w:t>
      </w:r>
      <w:r w:rsidR="00644195">
        <w:rPr>
          <w:szCs w:val="26"/>
          <w:lang w:val="lv-LV"/>
        </w:rPr>
        <w:t>pārrunāto</w:t>
      </w:r>
      <w:r w:rsidR="005F4C87" w:rsidRPr="002926B4">
        <w:rPr>
          <w:szCs w:val="26"/>
          <w:lang w:val="lv-LV"/>
        </w:rPr>
        <w:t xml:space="preserve">, sanāksmes dalībnieki izteica </w:t>
      </w:r>
      <w:r w:rsidR="00644195">
        <w:rPr>
          <w:szCs w:val="26"/>
          <w:lang w:val="lv-LV"/>
        </w:rPr>
        <w:t xml:space="preserve">arī </w:t>
      </w:r>
      <w:r w:rsidR="005F4C87" w:rsidRPr="002926B4">
        <w:rPr>
          <w:szCs w:val="26"/>
          <w:lang w:val="lv-LV"/>
        </w:rPr>
        <w:t>priekšlikumus, kas ir vērsti uz normatīvā regulējuma un institūciju darbības uzlabojumiem.</w:t>
      </w:r>
      <w:r w:rsidR="007242D3" w:rsidRPr="002926B4">
        <w:rPr>
          <w:szCs w:val="26"/>
          <w:lang w:val="lv-LV"/>
        </w:rPr>
        <w:t xml:space="preserve"> Papildu priekšlikumi ir saņemti no VAS “Valsts nekustamie īpašumi”. </w:t>
      </w:r>
    </w:p>
    <w:p w14:paraId="15B3FB8D" w14:textId="7FFE293E" w:rsidR="00CA5A99" w:rsidRPr="002926B4" w:rsidRDefault="005F4C87" w:rsidP="00DE6668">
      <w:pPr>
        <w:widowControl/>
        <w:spacing w:before="120" w:after="0" w:line="240" w:lineRule="auto"/>
        <w:rPr>
          <w:szCs w:val="26"/>
          <w:lang w:val="lv-LV"/>
        </w:rPr>
      </w:pPr>
      <w:bookmarkStart w:id="1" w:name="_Hlk20843452"/>
      <w:r w:rsidRPr="002926B4">
        <w:rPr>
          <w:szCs w:val="26"/>
          <w:lang w:val="lv-LV"/>
        </w:rPr>
        <w:t>Informatīvais ziņojums ir strukturēt</w:t>
      </w:r>
      <w:r w:rsidR="00CA5A99" w:rsidRPr="002926B4">
        <w:rPr>
          <w:szCs w:val="26"/>
          <w:lang w:val="lv-LV"/>
        </w:rPr>
        <w:t xml:space="preserve">s, aprakstot identificētos </w:t>
      </w:r>
      <w:r w:rsidR="00CA5A99" w:rsidRPr="00210898">
        <w:rPr>
          <w:szCs w:val="26"/>
          <w:lang w:val="lv-LV"/>
        </w:rPr>
        <w:t>trūkum</w:t>
      </w:r>
      <w:r w:rsidR="00B62537" w:rsidRPr="00210898">
        <w:rPr>
          <w:szCs w:val="26"/>
          <w:lang w:val="lv-LV"/>
        </w:rPr>
        <w:t>u</w:t>
      </w:r>
      <w:r w:rsidR="00CA5A99" w:rsidRPr="00210898">
        <w:rPr>
          <w:szCs w:val="26"/>
          <w:lang w:val="lv-LV"/>
        </w:rPr>
        <w:t>s</w:t>
      </w:r>
      <w:r w:rsidR="00716274">
        <w:rPr>
          <w:szCs w:val="26"/>
          <w:lang w:val="lv-LV"/>
        </w:rPr>
        <w:t xml:space="preserve"> </w:t>
      </w:r>
      <w:r w:rsidR="00CA5A99" w:rsidRPr="002926B4">
        <w:rPr>
          <w:szCs w:val="26"/>
          <w:lang w:val="lv-LV"/>
        </w:rPr>
        <w:t>un institūciju pārstāvju priekšlikumus trūkumu novēršanai, risku mazināšanai un iepirkumu sistēmas kopējai uzlabošanai. Informatīvā ziņojuma pēdējā sadaļā ir sniegti vispārīgi priekšlikumi iepirkumu sistēmas uzlabojumiem un konkurences regulējuma pilnveidojumiem</w:t>
      </w:r>
      <w:r w:rsidR="00F63A1D" w:rsidRPr="002926B4">
        <w:rPr>
          <w:szCs w:val="26"/>
          <w:lang w:val="lv-LV"/>
        </w:rPr>
        <w:t>.</w:t>
      </w:r>
    </w:p>
    <w:p w14:paraId="18C05FAE" w14:textId="51C0D4CB" w:rsidR="002C731C" w:rsidRPr="002926B4" w:rsidRDefault="00CA5A99" w:rsidP="00DE6668">
      <w:pPr>
        <w:widowControl/>
        <w:spacing w:before="120" w:after="0" w:line="240" w:lineRule="auto"/>
        <w:rPr>
          <w:szCs w:val="26"/>
          <w:lang w:val="lv-LV"/>
        </w:rPr>
      </w:pPr>
      <w:r w:rsidRPr="002926B4">
        <w:rPr>
          <w:szCs w:val="26"/>
          <w:lang w:val="lv-LV"/>
        </w:rPr>
        <w:t xml:space="preserve">Informatīvais ziņojums 2019. gada </w:t>
      </w:r>
      <w:r w:rsidR="007B6848" w:rsidRPr="002926B4">
        <w:rPr>
          <w:szCs w:val="26"/>
          <w:lang w:val="lv-LV"/>
        </w:rPr>
        <w:t>2</w:t>
      </w:r>
      <w:r w:rsidRPr="002926B4">
        <w:rPr>
          <w:szCs w:val="26"/>
          <w:lang w:val="lv-LV"/>
        </w:rPr>
        <w:t xml:space="preserve">.oktobra sanāksmē ir saskaņots ar Finanšu ministriju, Iepirkumu uzraudzības biroju, </w:t>
      </w:r>
      <w:r w:rsidR="00F63A1D" w:rsidRPr="002926B4">
        <w:rPr>
          <w:szCs w:val="26"/>
          <w:lang w:val="lv-LV"/>
        </w:rPr>
        <w:t>VAS “Valsts nekustamie īpašumi”</w:t>
      </w:r>
      <w:r w:rsidR="007242D3" w:rsidRPr="002926B4">
        <w:rPr>
          <w:szCs w:val="26"/>
          <w:lang w:val="lv-LV"/>
        </w:rPr>
        <w:t xml:space="preserve"> Konkurences padomi, Būvniecības valsts kontroles biroju un Korupcijas novēršanas un apkarošanas biroju.</w:t>
      </w:r>
      <w:r w:rsidRPr="002926B4">
        <w:rPr>
          <w:szCs w:val="26"/>
          <w:lang w:val="lv-LV"/>
        </w:rPr>
        <w:t xml:space="preserve">  </w:t>
      </w:r>
    </w:p>
    <w:p w14:paraId="371718DE" w14:textId="16B209A2" w:rsidR="00F63A1D" w:rsidRPr="002926B4" w:rsidRDefault="00F63A1D" w:rsidP="0076779A">
      <w:pPr>
        <w:widowControl/>
        <w:spacing w:before="120" w:after="0" w:line="240" w:lineRule="auto"/>
        <w:rPr>
          <w:szCs w:val="26"/>
          <w:lang w:val="lv-LV"/>
        </w:rPr>
      </w:pPr>
      <w:bookmarkStart w:id="2" w:name="_Hlk20843323"/>
      <w:bookmarkEnd w:id="1"/>
      <w:r w:rsidRPr="002926B4">
        <w:rPr>
          <w:szCs w:val="26"/>
          <w:lang w:val="lv-LV"/>
        </w:rPr>
        <w:t xml:space="preserve">Publisko iepirkumu normatīvā regulējuma, tai skaitā Publisko iepirkumu likuma (turpmāk – PIL), Sabiedrisko pakalpojumu sniedzēju iepirkumu likuma (turpmāk – SPSIL) un tiem pakārtoto normatīvo aktu,  mērķis ir panākt </w:t>
      </w:r>
      <w:r w:rsidRPr="002926B4">
        <w:rPr>
          <w:szCs w:val="26"/>
          <w:lang w:val="lv-LV"/>
        </w:rPr>
        <w:lastRenderedPageBreak/>
        <w:t xml:space="preserve">iepirkumu atklātumu, piegādātāju brīvu konkurenci, vienlīdzīgu un taisnīgu attieksmi pret tiem, kā arī pasūtītāja līdzekļu efektīvu izmantošanu. Tomēr pēdējā laikā arī publiskajā telpā aktualizētie jautājumi norāda uz vairākām būtiskām problēmām publisko iepirkumu norisē, ļaujot secināt, ka arvien biežāk faktiskajā publiskā iepirkuma procesā netiek sasniegts iepriekš noteiktais mērķis. Lai arī </w:t>
      </w:r>
      <w:r w:rsidRPr="002926B4">
        <w:rPr>
          <w:szCs w:val="26"/>
          <w:lang w:val="lv-LV"/>
        </w:rPr>
        <w:t>publiski</w:t>
      </w:r>
      <w:r w:rsidR="00DA3A39">
        <w:rPr>
          <w:szCs w:val="26"/>
          <w:lang w:val="lv-LV"/>
        </w:rPr>
        <w:t>e</w:t>
      </w:r>
      <w:r w:rsidRPr="002926B4">
        <w:rPr>
          <w:szCs w:val="26"/>
          <w:lang w:val="lv-LV"/>
        </w:rPr>
        <w:t xml:space="preserve"> iepirkumi skar daudzus tirgus, vienlaikus ir atzīmējama būvniecības nozare, kur valsts un pašvaldību publiskie iepirkumi veido nozīmīgu apjomu.</w:t>
      </w:r>
    </w:p>
    <w:p w14:paraId="3D5BA9C6" w14:textId="67C27BD5" w:rsidR="0076779A" w:rsidRPr="002926B4" w:rsidRDefault="0076779A" w:rsidP="0076779A">
      <w:pPr>
        <w:widowControl/>
        <w:spacing w:before="120" w:after="0" w:line="240" w:lineRule="auto"/>
        <w:rPr>
          <w:szCs w:val="26"/>
          <w:lang w:val="lv-LV"/>
        </w:rPr>
      </w:pPr>
      <w:r w:rsidRPr="002926B4">
        <w:rPr>
          <w:szCs w:val="26"/>
          <w:lang w:val="lv-LV"/>
        </w:rPr>
        <w:t>Konkurences likuma (</w:t>
      </w:r>
      <w:r w:rsidR="001B6EAE">
        <w:rPr>
          <w:szCs w:val="26"/>
          <w:lang w:val="lv-LV"/>
        </w:rPr>
        <w:t xml:space="preserve">turpmāk - </w:t>
      </w:r>
      <w:r w:rsidRPr="002926B4">
        <w:rPr>
          <w:szCs w:val="26"/>
          <w:lang w:val="lv-LV"/>
        </w:rPr>
        <w:t>KL) mērķis ir novērst un atturēt no konkurenci kropļojošām darbībām un nodrošināt efektīvu pārkāpumu izmeklēšanu un pilnvaras. KL 11.</w:t>
      </w:r>
      <w:r w:rsidR="00B62537" w:rsidRPr="00210898">
        <w:rPr>
          <w:szCs w:val="26"/>
          <w:lang w:val="lv-LV"/>
        </w:rPr>
        <w:t>panta</w:t>
      </w:r>
      <w:r w:rsidR="00716274">
        <w:rPr>
          <w:szCs w:val="26"/>
          <w:lang w:val="lv-LV"/>
        </w:rPr>
        <w:t xml:space="preserve"> </w:t>
      </w:r>
      <w:r w:rsidRPr="002926B4">
        <w:rPr>
          <w:szCs w:val="26"/>
          <w:lang w:val="lv-LV"/>
        </w:rPr>
        <w:t xml:space="preserve">regulējums aptver tāda veida aizliegtās vienošanās kā karteļu vienošanās, t.sk., arī </w:t>
      </w:r>
      <w:r w:rsidRPr="00210898">
        <w:rPr>
          <w:szCs w:val="26"/>
          <w:lang w:val="lv-LV"/>
        </w:rPr>
        <w:t>šād</w:t>
      </w:r>
      <w:r w:rsidR="00BE588B" w:rsidRPr="00210898">
        <w:rPr>
          <w:szCs w:val="26"/>
          <w:lang w:val="lv-LV"/>
        </w:rPr>
        <w:t>as</w:t>
      </w:r>
      <w:r w:rsidRPr="00210898">
        <w:rPr>
          <w:szCs w:val="26"/>
          <w:lang w:val="lv-LV"/>
        </w:rPr>
        <w:t xml:space="preserve"> aizliegt</w:t>
      </w:r>
      <w:r w:rsidR="00BE588B" w:rsidRPr="00210898">
        <w:rPr>
          <w:szCs w:val="26"/>
          <w:lang w:val="lv-LV"/>
        </w:rPr>
        <w:t>as</w:t>
      </w:r>
      <w:r w:rsidRPr="00210898">
        <w:rPr>
          <w:szCs w:val="26"/>
          <w:lang w:val="lv-LV"/>
        </w:rPr>
        <w:t xml:space="preserve"> darbīb</w:t>
      </w:r>
      <w:r w:rsidR="00BE588B" w:rsidRPr="00210898">
        <w:rPr>
          <w:szCs w:val="26"/>
          <w:lang w:val="lv-LV"/>
        </w:rPr>
        <w:t>as</w:t>
      </w:r>
      <w:r w:rsidR="00716274">
        <w:rPr>
          <w:szCs w:val="26"/>
          <w:lang w:val="lv-LV"/>
        </w:rPr>
        <w:t xml:space="preserve"> </w:t>
      </w:r>
      <w:r w:rsidRPr="002926B4">
        <w:rPr>
          <w:szCs w:val="26"/>
          <w:lang w:val="lv-LV"/>
        </w:rPr>
        <w:t>iepirkumos.</w:t>
      </w:r>
      <w:r w:rsidRPr="002926B4">
        <w:rPr>
          <w:szCs w:val="26"/>
          <w:vertAlign w:val="superscript"/>
          <w:lang w:val="lv-LV"/>
        </w:rPr>
        <w:footnoteReference w:id="2"/>
      </w:r>
      <w:r w:rsidRPr="002926B4">
        <w:rPr>
          <w:szCs w:val="26"/>
          <w:lang w:val="lv-LV"/>
        </w:rPr>
        <w:t xml:space="preserve"> Atbilstoši Regulai 1/2003</w:t>
      </w:r>
      <w:r w:rsidRPr="002926B4">
        <w:rPr>
          <w:szCs w:val="26"/>
          <w:vertAlign w:val="superscript"/>
          <w:lang w:val="lv-LV"/>
        </w:rPr>
        <w:footnoteReference w:id="3"/>
      </w:r>
      <w:r w:rsidRPr="002926B4">
        <w:rPr>
          <w:szCs w:val="26"/>
          <w:lang w:val="lv-LV"/>
        </w:rPr>
        <w:t xml:space="preserve"> K</w:t>
      </w:r>
      <w:r w:rsidR="00F63A1D" w:rsidRPr="002926B4">
        <w:rPr>
          <w:szCs w:val="26"/>
          <w:lang w:val="lv-LV"/>
        </w:rPr>
        <w:t>onkurences padomei</w:t>
      </w:r>
      <w:r w:rsidRPr="002926B4">
        <w:rPr>
          <w:szCs w:val="26"/>
          <w:lang w:val="lv-LV"/>
        </w:rPr>
        <w:t xml:space="preserve"> ir noteiktas tiesības izmeklēt arī Līguma par Eiropas Savienības darbību 101.panta (bijušais EKL 81.pants)</w:t>
      </w:r>
      <w:r w:rsidRPr="002926B4">
        <w:rPr>
          <w:szCs w:val="26"/>
          <w:vertAlign w:val="superscript"/>
          <w:lang w:val="lv-LV"/>
        </w:rPr>
        <w:footnoteReference w:id="4"/>
      </w:r>
      <w:r w:rsidRPr="002926B4">
        <w:rPr>
          <w:szCs w:val="26"/>
          <w:lang w:val="lv-LV"/>
        </w:rPr>
        <w:t xml:space="preserve"> pārkāpumus. Atbildība par aizliegto vienošanos pārkāpumiem noteikta KL 12.pantā. K</w:t>
      </w:r>
      <w:r w:rsidR="00F63A1D" w:rsidRPr="002926B4">
        <w:rPr>
          <w:szCs w:val="26"/>
          <w:lang w:val="lv-LV"/>
        </w:rPr>
        <w:t>onkurences padome,</w:t>
      </w:r>
      <w:r w:rsidRPr="002926B4">
        <w:rPr>
          <w:szCs w:val="26"/>
          <w:lang w:val="lv-LV"/>
        </w:rPr>
        <w:t xml:space="preserve"> konstatējot tirgus dalībnieku darbībās </w:t>
      </w:r>
      <w:r w:rsidR="00BE588B" w:rsidRPr="00210898">
        <w:rPr>
          <w:szCs w:val="26"/>
          <w:lang w:val="lv-LV"/>
        </w:rPr>
        <w:t>KL</w:t>
      </w:r>
      <w:r w:rsidRPr="002926B4">
        <w:rPr>
          <w:szCs w:val="26"/>
          <w:lang w:val="lv-LV"/>
        </w:rPr>
        <w:t xml:space="preserve"> 11.panta pirmās daļas pārkāpumu, pieņem lēmumu par pārkāpuma konstatēšanu, tiesiskā pienākuma un naudas soda uzlikšanu, kur naudas sods var tikt noteikts līdz 10 procentiem no tirgus dalībnieka iepriekšējā </w:t>
      </w:r>
      <w:r w:rsidR="00716274">
        <w:rPr>
          <w:szCs w:val="26"/>
          <w:lang w:val="lv-LV"/>
        </w:rPr>
        <w:t>gada</w:t>
      </w:r>
      <w:r w:rsidRPr="002926B4">
        <w:rPr>
          <w:szCs w:val="26"/>
          <w:lang w:val="lv-LV"/>
        </w:rPr>
        <w:t xml:space="preserve"> finanšu apgrozījuma. Pilnvaras piemērot KL ir arī tiesām.  Ekskluzīva kompetence tiesām ir izskatīt zaudējumu prasības</w:t>
      </w:r>
      <w:r w:rsidRPr="002926B4">
        <w:rPr>
          <w:szCs w:val="26"/>
          <w:vertAlign w:val="superscript"/>
          <w:lang w:val="lv-LV"/>
        </w:rPr>
        <w:footnoteReference w:id="5"/>
      </w:r>
      <w:r w:rsidRPr="002926B4">
        <w:rPr>
          <w:szCs w:val="26"/>
          <w:lang w:val="lv-LV"/>
        </w:rPr>
        <w:t xml:space="preserve"> par KL pārkāpumiem.</w:t>
      </w:r>
    </w:p>
    <w:p w14:paraId="1ABEB361" w14:textId="33C01946" w:rsidR="00EC7458" w:rsidRPr="002926B4" w:rsidRDefault="00EC7458" w:rsidP="00EC7458">
      <w:pPr>
        <w:widowControl/>
        <w:spacing w:before="120" w:after="0" w:line="240" w:lineRule="auto"/>
        <w:rPr>
          <w:szCs w:val="26"/>
          <w:lang w:val="lv-LV"/>
        </w:rPr>
      </w:pPr>
      <w:r w:rsidRPr="002926B4">
        <w:rPr>
          <w:szCs w:val="26"/>
          <w:lang w:val="lv-LV"/>
        </w:rPr>
        <w:t xml:space="preserve">Korupcija visbiežāk var izpausties situācijās, kad saskaras publiskā un privātā sektora intereses. Pastāvot korupcijai, publiskajā sektorā tiek kavēta arī godīgas biznesa vides attīstība, tajā skaitā izkropļota konkurence. Būtiska loma ir negodprātīgu valsts amatpersonu prettiesiskai rīcībai ar publiskas personas mantu un finanšu līdzekļiem, it īpaši publisko iepirkumu jomā. Kaut arī Korupcijas novēršanas un apkarošanas birojam ir piekritīga noziedzīgu nodarījumu valsts institūciju dienestā, kas ir saistīti ar korupciju, izmeklēšana, tomēr aizvien lielāka nozīme praktiskajā darbā ir aktīvai, uz savstarpēju uzticību balstītai sadarbībai ne tikai starp </w:t>
      </w:r>
      <w:proofErr w:type="spellStart"/>
      <w:r w:rsidRPr="002926B4">
        <w:rPr>
          <w:szCs w:val="26"/>
          <w:lang w:val="lv-LV"/>
        </w:rPr>
        <w:t>tiesībsargājošām</w:t>
      </w:r>
      <w:proofErr w:type="spellEnd"/>
      <w:r w:rsidRPr="002926B4">
        <w:rPr>
          <w:szCs w:val="26"/>
          <w:lang w:val="lv-LV"/>
        </w:rPr>
        <w:t xml:space="preserve"> iestādēm, bet arī starp visām publiskas personas institūcijām.</w:t>
      </w:r>
    </w:p>
    <w:p w14:paraId="008CD8CA" w14:textId="2EFE5F19" w:rsidR="0076779A" w:rsidRPr="002926B4" w:rsidRDefault="00F63A1D" w:rsidP="0076779A">
      <w:pPr>
        <w:widowControl/>
        <w:spacing w:before="120" w:after="0" w:line="240" w:lineRule="auto"/>
        <w:rPr>
          <w:szCs w:val="26"/>
          <w:lang w:val="lv-LV"/>
        </w:rPr>
      </w:pPr>
      <w:r w:rsidRPr="002926B4">
        <w:rPr>
          <w:szCs w:val="26"/>
          <w:lang w:val="lv-LV"/>
        </w:rPr>
        <w:t>Publisko iepirkumu integritātes nodrošināšanā b</w:t>
      </w:r>
      <w:r w:rsidR="0076779A" w:rsidRPr="002926B4">
        <w:rPr>
          <w:szCs w:val="26"/>
          <w:lang w:val="lv-LV"/>
        </w:rPr>
        <w:t>ūtiska loma ir ar korupciju un cit</w:t>
      </w:r>
      <w:r w:rsidRPr="002926B4">
        <w:rPr>
          <w:szCs w:val="26"/>
          <w:lang w:val="lv-LV"/>
        </w:rPr>
        <w:t>iem</w:t>
      </w:r>
      <w:r w:rsidR="0076779A" w:rsidRPr="002926B4">
        <w:rPr>
          <w:szCs w:val="26"/>
          <w:lang w:val="lv-LV"/>
        </w:rPr>
        <w:t xml:space="preserve"> noziedzīg</w:t>
      </w:r>
      <w:r w:rsidRPr="002926B4">
        <w:rPr>
          <w:szCs w:val="26"/>
          <w:lang w:val="lv-LV"/>
        </w:rPr>
        <w:t>iem</w:t>
      </w:r>
      <w:r w:rsidR="0076779A" w:rsidRPr="002926B4">
        <w:rPr>
          <w:szCs w:val="26"/>
          <w:lang w:val="lv-LV"/>
        </w:rPr>
        <w:t xml:space="preserve"> nodarījum</w:t>
      </w:r>
      <w:r w:rsidRPr="002926B4">
        <w:rPr>
          <w:szCs w:val="26"/>
          <w:lang w:val="lv-LV"/>
        </w:rPr>
        <w:t>iem</w:t>
      </w:r>
      <w:r w:rsidR="0076779A" w:rsidRPr="002926B4">
        <w:rPr>
          <w:szCs w:val="26"/>
          <w:lang w:val="lv-LV"/>
        </w:rPr>
        <w:t xml:space="preserve"> saistīto pārkāpumu </w:t>
      </w:r>
      <w:r w:rsidR="0076779A" w:rsidRPr="002926B4">
        <w:rPr>
          <w:szCs w:val="26"/>
          <w:lang w:val="lv-LV"/>
        </w:rPr>
        <w:lastRenderedPageBreak/>
        <w:t>izmeklēšan</w:t>
      </w:r>
      <w:r w:rsidRPr="002926B4">
        <w:rPr>
          <w:szCs w:val="26"/>
          <w:lang w:val="lv-LV"/>
        </w:rPr>
        <w:t>ai</w:t>
      </w:r>
      <w:r w:rsidR="0076779A" w:rsidRPr="002926B4">
        <w:rPr>
          <w:szCs w:val="26"/>
          <w:lang w:val="lv-LV"/>
        </w:rPr>
        <w:t xml:space="preserve"> un novēršan</w:t>
      </w:r>
      <w:r w:rsidRPr="002926B4">
        <w:rPr>
          <w:szCs w:val="26"/>
          <w:lang w:val="lv-LV"/>
        </w:rPr>
        <w:t>ai</w:t>
      </w:r>
      <w:r w:rsidR="0076779A" w:rsidRPr="002926B4">
        <w:rPr>
          <w:szCs w:val="26"/>
          <w:lang w:val="lv-LV"/>
        </w:rPr>
        <w:t>, k</w:t>
      </w:r>
      <w:r w:rsidRPr="002926B4">
        <w:rPr>
          <w:szCs w:val="26"/>
          <w:lang w:val="lv-LV"/>
        </w:rPr>
        <w:t>as</w:t>
      </w:r>
      <w:r w:rsidR="0076779A" w:rsidRPr="002926B4">
        <w:rPr>
          <w:szCs w:val="26"/>
          <w:lang w:val="lv-LV"/>
        </w:rPr>
        <w:t xml:space="preserve"> ietilpst Korupcijas novēršanas un </w:t>
      </w:r>
      <w:r w:rsidR="00F64CEF" w:rsidRPr="002926B4">
        <w:rPr>
          <w:szCs w:val="26"/>
          <w:lang w:val="lv-LV"/>
        </w:rPr>
        <w:t>apkarošanas</w:t>
      </w:r>
      <w:r w:rsidR="0076779A" w:rsidRPr="002926B4">
        <w:rPr>
          <w:szCs w:val="26"/>
          <w:lang w:val="lv-LV"/>
        </w:rPr>
        <w:t xml:space="preserve"> biroja kompetencē.</w:t>
      </w:r>
    </w:p>
    <w:p w14:paraId="01CF9FB1" w14:textId="6F8664C4" w:rsidR="0076779A" w:rsidRPr="002926B4" w:rsidRDefault="0076779A" w:rsidP="00DD739D">
      <w:pPr>
        <w:widowControl/>
        <w:spacing w:before="120" w:after="0" w:line="240" w:lineRule="auto"/>
        <w:rPr>
          <w:szCs w:val="26"/>
          <w:lang w:val="lv-LV"/>
        </w:rPr>
      </w:pPr>
      <w:r w:rsidRPr="002926B4">
        <w:rPr>
          <w:szCs w:val="26"/>
          <w:lang w:val="lv-LV"/>
        </w:rPr>
        <w:t>Nozīmīga loma ir sadarbībai starp institūcijām, lai sekmētu pārkāpumu atklāšanu (pierādījumu apmaiņa, kopīgas izmeklēšanas darbības u.c.), kā arī ar izglītošanu saistītās darbības, lai sekmētu tā atklāšanu vai mazinātu pārkāpumus nākotnē. Izglītošana</w:t>
      </w:r>
      <w:r w:rsidR="00FC5B8D" w:rsidRPr="002926B4">
        <w:rPr>
          <w:szCs w:val="26"/>
          <w:lang w:val="lv-LV"/>
        </w:rPr>
        <w:t>s</w:t>
      </w:r>
      <w:r w:rsidRPr="002926B4">
        <w:rPr>
          <w:szCs w:val="26"/>
          <w:lang w:val="lv-LV"/>
        </w:rPr>
        <w:t xml:space="preserve"> aktivitātes ir vērsta</w:t>
      </w:r>
      <w:r w:rsidR="00FC5B8D" w:rsidRPr="002926B4">
        <w:rPr>
          <w:szCs w:val="26"/>
          <w:lang w:val="lv-LV"/>
        </w:rPr>
        <w:t>s</w:t>
      </w:r>
      <w:r w:rsidRPr="002926B4">
        <w:rPr>
          <w:szCs w:val="26"/>
          <w:lang w:val="lv-LV"/>
        </w:rPr>
        <w:t xml:space="preserve"> uz šādiem iesaistītajiem: -) iepirkuma organizator</w:t>
      </w:r>
      <w:r w:rsidR="00FC5B8D" w:rsidRPr="002926B4">
        <w:rPr>
          <w:szCs w:val="26"/>
          <w:lang w:val="lv-LV"/>
        </w:rPr>
        <w:t>i</w:t>
      </w:r>
      <w:r w:rsidR="00A33FD2">
        <w:rPr>
          <w:szCs w:val="26"/>
          <w:lang w:val="lv-LV"/>
        </w:rPr>
        <w:t>,</w:t>
      </w:r>
      <w:r w:rsidRPr="002926B4">
        <w:rPr>
          <w:szCs w:val="26"/>
          <w:lang w:val="lv-LV"/>
        </w:rPr>
        <w:t xml:space="preserve"> -) iepirkuma pretendent</w:t>
      </w:r>
      <w:r w:rsidR="00FC5B8D" w:rsidRPr="002926B4">
        <w:rPr>
          <w:szCs w:val="26"/>
          <w:lang w:val="lv-LV"/>
        </w:rPr>
        <w:t>i</w:t>
      </w:r>
      <w:r w:rsidRPr="002926B4">
        <w:rPr>
          <w:szCs w:val="26"/>
          <w:lang w:val="lv-LV"/>
        </w:rPr>
        <w:t xml:space="preserve">, -) izmeklēšanas un citas sadarbības iestādes, -) kā arī </w:t>
      </w:r>
      <w:r w:rsidR="00B62537" w:rsidRPr="00210898">
        <w:rPr>
          <w:szCs w:val="26"/>
          <w:lang w:val="lv-LV"/>
        </w:rPr>
        <w:t>mācību</w:t>
      </w:r>
      <w:r w:rsidR="00716274">
        <w:rPr>
          <w:szCs w:val="26"/>
          <w:lang w:val="lv-LV"/>
        </w:rPr>
        <w:t xml:space="preserve"> </w:t>
      </w:r>
      <w:r w:rsidRPr="002926B4">
        <w:rPr>
          <w:szCs w:val="26"/>
          <w:lang w:val="lv-LV"/>
        </w:rPr>
        <w:t>iestāžu (studentu, skolēnu) auditorij</w:t>
      </w:r>
      <w:r w:rsidR="00FC5B8D" w:rsidRPr="002926B4">
        <w:rPr>
          <w:szCs w:val="26"/>
          <w:lang w:val="lv-LV"/>
        </w:rPr>
        <w:t>a</w:t>
      </w:r>
      <w:r w:rsidRPr="002926B4">
        <w:rPr>
          <w:szCs w:val="26"/>
          <w:lang w:val="lv-LV"/>
        </w:rPr>
        <w:t>, ar mērķi izglītot nākamos uzņēmējus</w:t>
      </w:r>
      <w:r w:rsidR="00136DEC" w:rsidRPr="002926B4">
        <w:rPr>
          <w:szCs w:val="26"/>
          <w:lang w:val="lv-LV"/>
        </w:rPr>
        <w:t>.</w:t>
      </w:r>
      <w:bookmarkEnd w:id="2"/>
    </w:p>
    <w:p w14:paraId="1C57FA54" w14:textId="5D27932C" w:rsidR="00DD739D" w:rsidRPr="002926B4" w:rsidRDefault="00136DEC" w:rsidP="00DD739D">
      <w:pPr>
        <w:widowControl/>
        <w:spacing w:before="120" w:after="0" w:line="240" w:lineRule="auto"/>
        <w:rPr>
          <w:szCs w:val="26"/>
          <w:lang w:val="lv-LV"/>
        </w:rPr>
      </w:pPr>
      <w:r w:rsidRPr="002926B4">
        <w:rPr>
          <w:szCs w:val="26"/>
          <w:lang w:val="lv-LV"/>
        </w:rPr>
        <w:t xml:space="preserve">Ievērojot Ministru kabineta 2019.gada 7.maija rīkojuma Nr.210 “Par Valdības rīcības plānu Deklarācijas par Artura Krišjāņa Kariņa vadītā Ministru kabineta iecerēto darbību īstenošanu” 38.punktu Finanšu ministrija, lai veicinātu publisko iepirkumu norises kvalitātes uzlabošanu, ir izstrādājusi grozījumus  </w:t>
      </w:r>
      <w:r w:rsidR="00D71E69">
        <w:rPr>
          <w:szCs w:val="26"/>
          <w:lang w:val="lv-LV"/>
        </w:rPr>
        <w:t>PIL</w:t>
      </w:r>
      <w:r w:rsidRPr="002926B4">
        <w:rPr>
          <w:szCs w:val="26"/>
          <w:lang w:val="lv-LV"/>
        </w:rPr>
        <w:t xml:space="preserve"> (likumprojekts 2019.gada 25.aprīlī ir izsludināts Valsts sekretāru sanāksmē, VSS-345) un grozījumus </w:t>
      </w:r>
      <w:r w:rsidR="00B62537" w:rsidRPr="00210898">
        <w:rPr>
          <w:szCs w:val="26"/>
          <w:lang w:val="lv-LV"/>
        </w:rPr>
        <w:t>SPSIL</w:t>
      </w:r>
      <w:r w:rsidRPr="002926B4">
        <w:rPr>
          <w:szCs w:val="26"/>
          <w:lang w:val="lv-LV"/>
        </w:rPr>
        <w:t xml:space="preserve"> (likumprojekts 2019.gada 2.maijā ir izsludināts Valsts sekretāru sanāksmē, VSS-359). </w:t>
      </w:r>
      <w:r w:rsidR="00716274">
        <w:rPr>
          <w:szCs w:val="26"/>
          <w:lang w:val="lv-LV"/>
        </w:rPr>
        <w:t xml:space="preserve"> </w:t>
      </w:r>
      <w:r w:rsidRPr="002926B4">
        <w:rPr>
          <w:szCs w:val="26"/>
          <w:lang w:val="lv-LV"/>
        </w:rPr>
        <w:t xml:space="preserve">Ar minētajos likumprojektos paredzētajiem grozījumiem </w:t>
      </w:r>
      <w:r w:rsidR="00D71E69">
        <w:rPr>
          <w:szCs w:val="26"/>
          <w:lang w:val="lv-LV"/>
        </w:rPr>
        <w:t>PIL</w:t>
      </w:r>
      <w:r w:rsidRPr="002926B4">
        <w:rPr>
          <w:szCs w:val="26"/>
          <w:lang w:val="lv-LV"/>
        </w:rPr>
        <w:t xml:space="preserve"> un </w:t>
      </w:r>
      <w:r w:rsidR="00D71E69">
        <w:rPr>
          <w:szCs w:val="26"/>
          <w:lang w:val="lv-LV"/>
        </w:rPr>
        <w:t>SPSIL</w:t>
      </w:r>
      <w:r w:rsidRPr="002926B4">
        <w:rPr>
          <w:szCs w:val="26"/>
          <w:lang w:val="lv-LV"/>
        </w:rPr>
        <w:t xml:space="preserve"> jau tiek risināta daļa no šajā informatīvajā ziņojumā identificētajiem risināmajiem jautājumiem.</w:t>
      </w:r>
    </w:p>
    <w:p w14:paraId="78ED6820" w14:textId="77777777" w:rsidR="00136DEC" w:rsidRPr="002926B4" w:rsidRDefault="00136DEC" w:rsidP="00DD739D">
      <w:pPr>
        <w:widowControl/>
        <w:spacing w:before="120" w:after="0" w:line="240" w:lineRule="auto"/>
        <w:rPr>
          <w:szCs w:val="26"/>
          <w:lang w:val="lv-LV"/>
        </w:rPr>
      </w:pPr>
    </w:p>
    <w:p w14:paraId="3FF2FAED" w14:textId="07103B01" w:rsidR="002C731C" w:rsidRPr="002926B4" w:rsidRDefault="002C731C" w:rsidP="002C731C">
      <w:pPr>
        <w:pStyle w:val="ListParagraph"/>
        <w:widowControl/>
        <w:numPr>
          <w:ilvl w:val="0"/>
          <w:numId w:val="9"/>
        </w:numPr>
        <w:spacing w:before="120" w:after="0" w:line="240" w:lineRule="auto"/>
        <w:rPr>
          <w:szCs w:val="26"/>
          <w:lang w:val="lv-LV"/>
        </w:rPr>
      </w:pPr>
      <w:r w:rsidRPr="002926B4">
        <w:rPr>
          <w:szCs w:val="26"/>
          <w:lang w:val="lv-LV"/>
        </w:rPr>
        <w:t>Nepamatotu, neobjektīvu, neadekvātu prasību izvirzīšana</w:t>
      </w:r>
      <w:r w:rsidR="00B307A7" w:rsidRPr="002926B4">
        <w:rPr>
          <w:szCs w:val="26"/>
          <w:lang w:val="lv-LV"/>
        </w:rPr>
        <w:t xml:space="preserve"> </w:t>
      </w:r>
      <w:r w:rsidRPr="002926B4">
        <w:rPr>
          <w:szCs w:val="26"/>
          <w:lang w:val="lv-LV"/>
        </w:rPr>
        <w:t xml:space="preserve">publiskā iepirkuma </w:t>
      </w:r>
      <w:r w:rsidR="0076779A" w:rsidRPr="002926B4">
        <w:rPr>
          <w:szCs w:val="26"/>
          <w:lang w:val="lv-LV"/>
        </w:rPr>
        <w:t xml:space="preserve">procedūras </w:t>
      </w:r>
      <w:r w:rsidRPr="002926B4">
        <w:rPr>
          <w:szCs w:val="26"/>
          <w:lang w:val="lv-LV"/>
        </w:rPr>
        <w:t>dokumentos, kas samazina pretendentu loku, šādi mazinot konkurenci publiskajos iepirkumos.</w:t>
      </w:r>
      <w:r w:rsidR="00B53A30" w:rsidRPr="002926B4">
        <w:rPr>
          <w:szCs w:val="26"/>
          <w:lang w:val="lv-LV"/>
        </w:rPr>
        <w:t xml:space="preserve"> Iepirkumu komisijas locekļu zems atbildības līmenis.</w:t>
      </w:r>
    </w:p>
    <w:p w14:paraId="5E08CE4F" w14:textId="49E3C0B0" w:rsidR="00B764A9" w:rsidRPr="002926B4" w:rsidRDefault="0076779A" w:rsidP="00B307A7">
      <w:pPr>
        <w:widowControl/>
        <w:spacing w:before="120" w:after="0" w:line="240" w:lineRule="auto"/>
        <w:rPr>
          <w:szCs w:val="26"/>
          <w:lang w:val="lv-LV"/>
        </w:rPr>
      </w:pPr>
      <w:r w:rsidRPr="002926B4">
        <w:rPr>
          <w:szCs w:val="26"/>
          <w:lang w:val="lv-LV"/>
        </w:rPr>
        <w:t xml:space="preserve">Saskaņā ar </w:t>
      </w:r>
      <w:r w:rsidR="00861C72">
        <w:rPr>
          <w:szCs w:val="26"/>
          <w:lang w:val="lv-LV"/>
        </w:rPr>
        <w:t>publisko iepirkumu regulējumu</w:t>
      </w:r>
      <w:r w:rsidRPr="002926B4">
        <w:rPr>
          <w:szCs w:val="26"/>
          <w:lang w:val="lv-LV"/>
        </w:rPr>
        <w:t xml:space="preserve"> iepirkuma procedūras pamatdokument</w:t>
      </w:r>
      <w:r w:rsidR="00136DEC" w:rsidRPr="002926B4">
        <w:rPr>
          <w:szCs w:val="26"/>
          <w:lang w:val="lv-LV"/>
        </w:rPr>
        <w:t>s</w:t>
      </w:r>
      <w:r w:rsidRPr="002926B4">
        <w:rPr>
          <w:szCs w:val="26"/>
          <w:lang w:val="lv-LV"/>
        </w:rPr>
        <w:t xml:space="preserve"> ir </w:t>
      </w:r>
      <w:r w:rsidR="00136DEC" w:rsidRPr="002926B4">
        <w:rPr>
          <w:szCs w:val="26"/>
          <w:lang w:val="lv-LV"/>
        </w:rPr>
        <w:t xml:space="preserve">nolikums, kas ietver arī tehnisko specifikāciju un līguma projektu. </w:t>
      </w:r>
      <w:r w:rsidRPr="002926B4">
        <w:rPr>
          <w:szCs w:val="26"/>
          <w:lang w:val="lv-LV"/>
        </w:rPr>
        <w:t xml:space="preserve">Iepirkuma </w:t>
      </w:r>
      <w:r w:rsidR="00FC5B8D" w:rsidRPr="002926B4">
        <w:rPr>
          <w:szCs w:val="26"/>
          <w:lang w:val="lv-LV"/>
        </w:rPr>
        <w:t xml:space="preserve">procedūras </w:t>
      </w:r>
      <w:r w:rsidRPr="002926B4">
        <w:rPr>
          <w:szCs w:val="26"/>
          <w:lang w:val="lv-LV"/>
        </w:rPr>
        <w:t>nolikumā ietver</w:t>
      </w:r>
      <w:r w:rsidR="00FC5B8D" w:rsidRPr="002926B4">
        <w:rPr>
          <w:szCs w:val="26"/>
          <w:lang w:val="lv-LV"/>
        </w:rPr>
        <w:t xml:space="preserve"> </w:t>
      </w:r>
      <w:r w:rsidRPr="002926B4">
        <w:rPr>
          <w:szCs w:val="26"/>
          <w:lang w:val="lv-LV"/>
        </w:rPr>
        <w:t>pamatotas un objektīvas prasības attiecībā uz iepirkuma priekšmetu</w:t>
      </w:r>
      <w:r w:rsidR="00136DEC" w:rsidRPr="002926B4">
        <w:rPr>
          <w:szCs w:val="26"/>
          <w:lang w:val="lv-LV"/>
        </w:rPr>
        <w:t xml:space="preserve"> (tehniskās specifikācijas)</w:t>
      </w:r>
      <w:r w:rsidRPr="002926B4">
        <w:rPr>
          <w:szCs w:val="26"/>
          <w:lang w:val="lv-LV"/>
        </w:rPr>
        <w:t xml:space="preserve">, prasības pretendentiem, prasības piedāvājuma nodrošinājumam, ja tāds paredzēts, un saistību izpildes nodrošinājumam, ja tāds paredzēts, piedāvājuma izvērtēšanas kritērijus. </w:t>
      </w:r>
      <w:r w:rsidR="00136DEC" w:rsidRPr="002926B4">
        <w:rPr>
          <w:szCs w:val="26"/>
          <w:lang w:val="lv-LV"/>
        </w:rPr>
        <w:t>Nolikumā noteiktajām kvalifikācijas prasībām jābūt samērīgām ar iepirkuma priekšmetu, savukārt t</w:t>
      </w:r>
      <w:r w:rsidR="00D44958" w:rsidRPr="002926B4">
        <w:rPr>
          <w:szCs w:val="26"/>
          <w:lang w:val="lv-LV"/>
        </w:rPr>
        <w:t>ehnis</w:t>
      </w:r>
      <w:r w:rsidRPr="002926B4">
        <w:rPr>
          <w:szCs w:val="26"/>
          <w:lang w:val="lv-LV"/>
        </w:rPr>
        <w:t>kai</w:t>
      </w:r>
      <w:r w:rsidR="00D44958" w:rsidRPr="002926B4">
        <w:rPr>
          <w:szCs w:val="26"/>
          <w:lang w:val="lv-LV"/>
        </w:rPr>
        <w:t xml:space="preserve"> </w:t>
      </w:r>
      <w:r w:rsidRPr="002926B4">
        <w:rPr>
          <w:szCs w:val="26"/>
          <w:lang w:val="lv-LV"/>
        </w:rPr>
        <w:t>specifikācijai jā</w:t>
      </w:r>
      <w:r w:rsidR="00D44958" w:rsidRPr="002926B4">
        <w:rPr>
          <w:szCs w:val="26"/>
          <w:lang w:val="lv-LV"/>
        </w:rPr>
        <w:t xml:space="preserve">nodrošina vienādas iespējas visiem pretendentiem un </w:t>
      </w:r>
      <w:r w:rsidRPr="002926B4">
        <w:rPr>
          <w:szCs w:val="26"/>
          <w:lang w:val="lv-LV"/>
        </w:rPr>
        <w:t xml:space="preserve">tā nedrīkst radīt </w:t>
      </w:r>
      <w:r w:rsidR="00D44958" w:rsidRPr="002926B4">
        <w:rPr>
          <w:szCs w:val="26"/>
          <w:lang w:val="lv-LV"/>
        </w:rPr>
        <w:t>nepamatotus ierobežojumus konkurencei iepirkumā.</w:t>
      </w:r>
    </w:p>
    <w:p w14:paraId="6E90E00B" w14:textId="4A30FAFE" w:rsidR="00D44958" w:rsidRPr="002926B4" w:rsidRDefault="00136DEC" w:rsidP="00DE6668">
      <w:pPr>
        <w:widowControl/>
        <w:spacing w:before="120" w:after="0" w:line="240" w:lineRule="auto"/>
        <w:rPr>
          <w:szCs w:val="26"/>
          <w:lang w:val="lv-LV"/>
        </w:rPr>
      </w:pPr>
      <w:r w:rsidRPr="002926B4">
        <w:rPr>
          <w:szCs w:val="26"/>
          <w:lang w:val="lv-LV"/>
        </w:rPr>
        <w:t xml:space="preserve">Tehniskās </w:t>
      </w:r>
      <w:r w:rsidR="00D71E69" w:rsidRPr="002926B4">
        <w:rPr>
          <w:szCs w:val="26"/>
          <w:lang w:val="lv-LV"/>
        </w:rPr>
        <w:t>specifikācijas</w:t>
      </w:r>
      <w:r w:rsidR="00D44958" w:rsidRPr="002926B4">
        <w:rPr>
          <w:szCs w:val="26"/>
          <w:lang w:val="lv-LV"/>
        </w:rPr>
        <w:t xml:space="preserve"> kvalitāte un tajā izvirzīto prasību </w:t>
      </w:r>
      <w:r w:rsidR="00D44958" w:rsidRPr="002926B4">
        <w:rPr>
          <w:szCs w:val="26"/>
          <w:lang w:val="lv-LV"/>
        </w:rPr>
        <w:t>objektīv</w:t>
      </w:r>
      <w:r w:rsidR="00A33FD2">
        <w:rPr>
          <w:szCs w:val="26"/>
          <w:lang w:val="lv-LV"/>
        </w:rPr>
        <w:t>a</w:t>
      </w:r>
      <w:r w:rsidR="00716274">
        <w:rPr>
          <w:szCs w:val="26"/>
          <w:lang w:val="lv-LV"/>
        </w:rPr>
        <w:t xml:space="preserve"> </w:t>
      </w:r>
      <w:r w:rsidR="00D44958" w:rsidRPr="002926B4">
        <w:rPr>
          <w:szCs w:val="26"/>
          <w:lang w:val="lv-LV"/>
        </w:rPr>
        <w:t xml:space="preserve">pamatotība ir priekšnoteikums iepirkuma procesa efektivitātei un tiesiskai norisei. </w:t>
      </w:r>
    </w:p>
    <w:p w14:paraId="5755593F" w14:textId="17BBEE89" w:rsidR="00BA6E66" w:rsidRPr="002926B4" w:rsidRDefault="00D44958" w:rsidP="00DE6668">
      <w:pPr>
        <w:widowControl/>
        <w:spacing w:before="120" w:after="0" w:line="240" w:lineRule="auto"/>
        <w:rPr>
          <w:szCs w:val="26"/>
          <w:lang w:val="lv-LV"/>
        </w:rPr>
      </w:pPr>
      <w:r w:rsidRPr="002926B4">
        <w:rPr>
          <w:szCs w:val="26"/>
          <w:lang w:val="lv-LV"/>
        </w:rPr>
        <w:t xml:space="preserve">Praksē bieži tiek konstatēti gadījumi, kad publiskā iepirkuma </w:t>
      </w:r>
      <w:r w:rsidR="00622730" w:rsidRPr="002926B4">
        <w:rPr>
          <w:szCs w:val="26"/>
          <w:lang w:val="lv-LV"/>
        </w:rPr>
        <w:t>dokumentācijā</w:t>
      </w:r>
      <w:r w:rsidRPr="002926B4">
        <w:rPr>
          <w:szCs w:val="26"/>
          <w:lang w:val="lv-LV"/>
        </w:rPr>
        <w:t xml:space="preserve"> prasības attiecībā uz pretendentu kvalifikāciju </w:t>
      </w:r>
      <w:r w:rsidR="000747D5" w:rsidRPr="002926B4">
        <w:rPr>
          <w:szCs w:val="26"/>
          <w:lang w:val="lv-LV"/>
        </w:rPr>
        <w:t xml:space="preserve">un iepriekšējo pieredzi, kā arī precei, pakalpojumam vai būvdarbiem  </w:t>
      </w:r>
      <w:r w:rsidR="005E13B2" w:rsidRPr="002926B4">
        <w:rPr>
          <w:szCs w:val="26"/>
          <w:lang w:val="lv-LV"/>
        </w:rPr>
        <w:t xml:space="preserve">izvirzītās prasības ir </w:t>
      </w:r>
      <w:r w:rsidR="000747D5" w:rsidRPr="002926B4">
        <w:rPr>
          <w:szCs w:val="26"/>
          <w:lang w:val="lv-LV"/>
        </w:rPr>
        <w:t>pārmērīgas</w:t>
      </w:r>
      <w:r w:rsidR="005E13B2" w:rsidRPr="002926B4">
        <w:rPr>
          <w:szCs w:val="26"/>
          <w:lang w:val="lv-LV"/>
        </w:rPr>
        <w:t xml:space="preserve"> un </w:t>
      </w:r>
      <w:r w:rsidR="000747D5" w:rsidRPr="002926B4">
        <w:rPr>
          <w:szCs w:val="26"/>
          <w:lang w:val="lv-LV"/>
        </w:rPr>
        <w:t xml:space="preserve">neadekvātas, </w:t>
      </w:r>
      <w:r w:rsidR="005E13B2" w:rsidRPr="002926B4">
        <w:rPr>
          <w:szCs w:val="26"/>
          <w:lang w:val="lv-LV"/>
        </w:rPr>
        <w:t xml:space="preserve">to </w:t>
      </w:r>
      <w:r w:rsidR="000747D5" w:rsidRPr="002926B4">
        <w:rPr>
          <w:szCs w:val="26"/>
          <w:lang w:val="lv-LV"/>
        </w:rPr>
        <w:t>nepieciešamība nekādā veidā nav pamatota. Šād</w:t>
      </w:r>
      <w:r w:rsidR="00BA6E66" w:rsidRPr="002926B4">
        <w:rPr>
          <w:szCs w:val="26"/>
          <w:lang w:val="lv-LV"/>
        </w:rPr>
        <w:t>a</w:t>
      </w:r>
      <w:r w:rsidR="000747D5" w:rsidRPr="002926B4">
        <w:rPr>
          <w:szCs w:val="26"/>
          <w:lang w:val="lv-LV"/>
        </w:rPr>
        <w:t xml:space="preserve"> prasību izvirzīšana parasti </w:t>
      </w:r>
      <w:r w:rsidR="00BA6E66" w:rsidRPr="002926B4">
        <w:rPr>
          <w:szCs w:val="26"/>
          <w:lang w:val="lv-LV"/>
        </w:rPr>
        <w:t xml:space="preserve">mērķēta uz priekšrocību radīšanu kādai konkrētai precei vai kādam konkrētam pretendentam. </w:t>
      </w:r>
    </w:p>
    <w:p w14:paraId="7F7897B9" w14:textId="4523AA06" w:rsidR="00D44958" w:rsidRPr="002926B4" w:rsidRDefault="00875751" w:rsidP="00DE6668">
      <w:pPr>
        <w:widowControl/>
        <w:spacing w:before="120" w:after="0" w:line="240" w:lineRule="auto"/>
        <w:rPr>
          <w:szCs w:val="26"/>
          <w:lang w:val="lv-LV"/>
        </w:rPr>
      </w:pPr>
      <w:r w:rsidRPr="002926B4">
        <w:rPr>
          <w:szCs w:val="26"/>
          <w:lang w:val="lv-LV"/>
        </w:rPr>
        <w:lastRenderedPageBreak/>
        <w:t xml:space="preserve">Nekvalitatīviem publiskā iepirkuma dokumentiem var būt </w:t>
      </w:r>
      <w:r w:rsidR="00BE588B" w:rsidRPr="00210898">
        <w:rPr>
          <w:szCs w:val="26"/>
          <w:lang w:val="lv-LV"/>
        </w:rPr>
        <w:t>divi</w:t>
      </w:r>
      <w:r w:rsidRPr="002926B4">
        <w:rPr>
          <w:szCs w:val="26"/>
          <w:lang w:val="lv-LV"/>
        </w:rPr>
        <w:t xml:space="preserve"> iemesli, proti, tas var būt iepirkuma komisijas locekļu nepietiekamā kompetence un zināšanas par iepirkuma priekšmetu vai </w:t>
      </w:r>
      <w:r w:rsidR="00B643D9" w:rsidRPr="002926B4">
        <w:rPr>
          <w:szCs w:val="26"/>
          <w:lang w:val="lv-LV"/>
        </w:rPr>
        <w:t xml:space="preserve">ļaunprātīga rīcība </w:t>
      </w:r>
      <w:r w:rsidRPr="002926B4">
        <w:rPr>
          <w:szCs w:val="26"/>
          <w:lang w:val="lv-LV"/>
        </w:rPr>
        <w:t xml:space="preserve">(korupcija). </w:t>
      </w:r>
    </w:p>
    <w:p w14:paraId="5E4F3087" w14:textId="0F77C4C9" w:rsidR="00875751" w:rsidRPr="002926B4" w:rsidRDefault="00875751" w:rsidP="00DE6668">
      <w:pPr>
        <w:widowControl/>
        <w:spacing w:before="120" w:after="0" w:line="240" w:lineRule="auto"/>
        <w:rPr>
          <w:szCs w:val="26"/>
          <w:lang w:val="lv-LV"/>
        </w:rPr>
      </w:pPr>
      <w:r w:rsidRPr="002926B4">
        <w:rPr>
          <w:szCs w:val="26"/>
          <w:lang w:val="lv-LV"/>
        </w:rPr>
        <w:t>Jāatzīmē, ka arī uzraugošām institūcijām ne vienmēr</w:t>
      </w:r>
      <w:r w:rsidR="00136DEC" w:rsidRPr="002926B4">
        <w:rPr>
          <w:szCs w:val="26"/>
          <w:lang w:val="lv-LV"/>
        </w:rPr>
        <w:t xml:space="preserve"> ir specifiskās zināšanas, lai, izvērtējot iepirkuma dokumentāciju, pilnībā novērstu piegādātāju ierobežojumus. </w:t>
      </w:r>
      <w:r w:rsidRPr="002926B4">
        <w:rPr>
          <w:szCs w:val="26"/>
          <w:lang w:val="lv-LV"/>
        </w:rPr>
        <w:t xml:space="preserve"> </w:t>
      </w:r>
    </w:p>
    <w:p w14:paraId="40F7BF5B" w14:textId="267FEB5E" w:rsidR="00924EC9" w:rsidRPr="002926B4" w:rsidRDefault="00924EC9" w:rsidP="00924EC9">
      <w:pPr>
        <w:widowControl/>
        <w:spacing w:before="120" w:after="0" w:line="240" w:lineRule="auto"/>
        <w:rPr>
          <w:b/>
          <w:bCs/>
          <w:szCs w:val="26"/>
          <w:lang w:val="lv-LV"/>
        </w:rPr>
      </w:pPr>
      <w:r w:rsidRPr="002926B4">
        <w:rPr>
          <w:b/>
          <w:bCs/>
          <w:szCs w:val="26"/>
          <w:lang w:val="lv-LV"/>
        </w:rPr>
        <w:t>Priekšlikumi:</w:t>
      </w:r>
    </w:p>
    <w:p w14:paraId="1475464D" w14:textId="1AE50F9D" w:rsidR="00924EC9" w:rsidRPr="002926B4" w:rsidRDefault="00332C76" w:rsidP="00924EC9">
      <w:pPr>
        <w:pStyle w:val="ListParagraph"/>
        <w:widowControl/>
        <w:numPr>
          <w:ilvl w:val="0"/>
          <w:numId w:val="10"/>
        </w:numPr>
        <w:spacing w:before="120" w:after="0" w:line="240" w:lineRule="auto"/>
        <w:rPr>
          <w:b/>
          <w:bCs/>
          <w:szCs w:val="26"/>
          <w:lang w:val="lv-LV"/>
        </w:rPr>
      </w:pPr>
      <w:r w:rsidRPr="002926B4">
        <w:rPr>
          <w:b/>
          <w:bCs/>
          <w:szCs w:val="26"/>
          <w:lang w:val="lv-LV"/>
        </w:rPr>
        <w:t>Izskatīt iespēju izstrādāt m</w:t>
      </w:r>
      <w:r w:rsidR="00924EC9" w:rsidRPr="002926B4">
        <w:rPr>
          <w:b/>
          <w:bCs/>
          <w:szCs w:val="26"/>
          <w:lang w:val="lv-LV"/>
        </w:rPr>
        <w:t>etodoloģisk</w:t>
      </w:r>
      <w:r w:rsidR="00FD3406" w:rsidRPr="002926B4">
        <w:rPr>
          <w:b/>
          <w:bCs/>
          <w:szCs w:val="26"/>
          <w:lang w:val="lv-LV"/>
        </w:rPr>
        <w:t>os</w:t>
      </w:r>
      <w:r w:rsidR="00924EC9" w:rsidRPr="002926B4">
        <w:rPr>
          <w:b/>
          <w:bCs/>
          <w:szCs w:val="26"/>
          <w:lang w:val="lv-LV"/>
        </w:rPr>
        <w:t xml:space="preserve"> materiālu</w:t>
      </w:r>
      <w:r w:rsidR="00FD3406" w:rsidRPr="002926B4">
        <w:rPr>
          <w:b/>
          <w:bCs/>
          <w:szCs w:val="26"/>
          <w:lang w:val="lv-LV"/>
        </w:rPr>
        <w:t>s</w:t>
      </w:r>
      <w:r w:rsidR="00924EC9" w:rsidRPr="002926B4">
        <w:rPr>
          <w:b/>
          <w:bCs/>
          <w:szCs w:val="26"/>
          <w:lang w:val="lv-LV"/>
        </w:rPr>
        <w:t>/ standartizētu</w:t>
      </w:r>
      <w:r w:rsidR="002926B4" w:rsidRPr="002926B4">
        <w:rPr>
          <w:b/>
          <w:bCs/>
          <w:szCs w:val="26"/>
          <w:lang w:val="lv-LV"/>
        </w:rPr>
        <w:t>s</w:t>
      </w:r>
      <w:r w:rsidR="00924EC9" w:rsidRPr="002926B4">
        <w:rPr>
          <w:b/>
          <w:bCs/>
          <w:szCs w:val="26"/>
          <w:lang w:val="lv-LV"/>
        </w:rPr>
        <w:t xml:space="preserve"> </w:t>
      </w:r>
      <w:r w:rsidR="00C95A88" w:rsidRPr="002926B4">
        <w:rPr>
          <w:b/>
          <w:bCs/>
          <w:szCs w:val="26"/>
          <w:lang w:val="lv-LV"/>
        </w:rPr>
        <w:t>iepirkum</w:t>
      </w:r>
      <w:r w:rsidR="00FD3406" w:rsidRPr="002926B4">
        <w:rPr>
          <w:b/>
          <w:bCs/>
          <w:szCs w:val="26"/>
          <w:lang w:val="lv-LV"/>
        </w:rPr>
        <w:t>a</w:t>
      </w:r>
      <w:r w:rsidR="000B406E" w:rsidRPr="002926B4">
        <w:rPr>
          <w:b/>
          <w:bCs/>
          <w:szCs w:val="26"/>
          <w:lang w:val="lv-LV"/>
        </w:rPr>
        <w:t xml:space="preserve"> dokumentu</w:t>
      </w:r>
      <w:r w:rsidR="002926B4" w:rsidRPr="002926B4">
        <w:rPr>
          <w:b/>
          <w:bCs/>
          <w:szCs w:val="26"/>
          <w:lang w:val="lv-LV"/>
        </w:rPr>
        <w:t>s</w:t>
      </w:r>
      <w:r w:rsidR="00924EC9" w:rsidRPr="002926B4">
        <w:rPr>
          <w:b/>
          <w:bCs/>
          <w:szCs w:val="26"/>
          <w:lang w:val="lv-LV"/>
        </w:rPr>
        <w:t>, tai skaitā nozaru griezumā (piemēram, IKT, būvniecības, autotransporta, ēdināšanas jomā</w:t>
      </w:r>
      <w:r w:rsidR="00924EC9" w:rsidRPr="002926B4">
        <w:rPr>
          <w:b/>
          <w:bCs/>
          <w:szCs w:val="26"/>
          <w:lang w:val="lv-LV"/>
        </w:rPr>
        <w:t>)</w:t>
      </w:r>
      <w:r w:rsidR="00BE588B">
        <w:rPr>
          <w:b/>
          <w:bCs/>
          <w:szCs w:val="26"/>
          <w:lang w:val="lv-LV"/>
        </w:rPr>
        <w:t>.</w:t>
      </w:r>
    </w:p>
    <w:p w14:paraId="286BAC83" w14:textId="3342A01A" w:rsidR="00B643D9" w:rsidRPr="002926B4" w:rsidRDefault="00B643D9" w:rsidP="007B5C29">
      <w:pPr>
        <w:pStyle w:val="ListParagraph"/>
        <w:widowControl/>
        <w:numPr>
          <w:ilvl w:val="0"/>
          <w:numId w:val="10"/>
        </w:numPr>
        <w:spacing w:before="120" w:after="0" w:line="240" w:lineRule="auto"/>
        <w:rPr>
          <w:szCs w:val="26"/>
          <w:lang w:val="lv-LV"/>
        </w:rPr>
      </w:pPr>
      <w:r w:rsidRPr="002926B4">
        <w:rPr>
          <w:b/>
          <w:bCs/>
          <w:szCs w:val="26"/>
          <w:lang w:val="lv-LV"/>
        </w:rPr>
        <w:t xml:space="preserve">Veicināt pašvaldību savstarpējo sadarbību, organizējot kopīgus iepirkumus. Pašvaldības varētu apmainīties ar informāciju, lai jēgpilni plānotu iepirkumus un  veicinātu pretendentu loka paplašināšanu. Tāpat pašvaldības varētu apmainīties ar informāciju par tehniskajām specifikācijām un kvalifikācijas prasībām, daloties pieredzē. </w:t>
      </w:r>
    </w:p>
    <w:p w14:paraId="7AFBCF2C" w14:textId="0B163E3E" w:rsidR="00924EC9" w:rsidRPr="00716274" w:rsidRDefault="008670DB" w:rsidP="00716274">
      <w:pPr>
        <w:pStyle w:val="ListParagraph"/>
        <w:numPr>
          <w:ilvl w:val="0"/>
          <w:numId w:val="10"/>
        </w:numPr>
        <w:spacing w:line="240" w:lineRule="auto"/>
        <w:rPr>
          <w:b/>
          <w:bCs/>
          <w:szCs w:val="26"/>
          <w:lang w:val="lv-LV"/>
        </w:rPr>
      </w:pPr>
      <w:r w:rsidRPr="002926B4">
        <w:rPr>
          <w:b/>
          <w:bCs/>
          <w:szCs w:val="26"/>
          <w:lang w:val="lv-LV"/>
        </w:rPr>
        <w:t xml:space="preserve">Apsvērt iespēju veicināt </w:t>
      </w:r>
      <w:r w:rsidR="00C52A6D" w:rsidRPr="002926B4">
        <w:rPr>
          <w:b/>
          <w:bCs/>
          <w:szCs w:val="26"/>
          <w:lang w:val="lv-LV"/>
        </w:rPr>
        <w:t>k</w:t>
      </w:r>
      <w:r w:rsidR="00924EC9" w:rsidRPr="002926B4">
        <w:rPr>
          <w:b/>
          <w:bCs/>
          <w:szCs w:val="26"/>
          <w:lang w:val="lv-LV"/>
        </w:rPr>
        <w:t>ompetentu ekspertu iesaist</w:t>
      </w:r>
      <w:r w:rsidR="00C52A6D" w:rsidRPr="002926B4">
        <w:rPr>
          <w:b/>
          <w:bCs/>
          <w:szCs w:val="26"/>
          <w:lang w:val="lv-LV"/>
        </w:rPr>
        <w:t>i</w:t>
      </w:r>
      <w:r w:rsidR="002926B4" w:rsidRPr="002926B4">
        <w:rPr>
          <w:b/>
          <w:bCs/>
          <w:szCs w:val="26"/>
          <w:lang w:val="lv-LV"/>
        </w:rPr>
        <w:t xml:space="preserve"> iepirkuma dokumentācijas sagatavošanā</w:t>
      </w:r>
      <w:r w:rsidR="00924EC9" w:rsidRPr="002926B4">
        <w:rPr>
          <w:b/>
          <w:bCs/>
          <w:szCs w:val="26"/>
          <w:lang w:val="lv-LV"/>
        </w:rPr>
        <w:t>, tai skaitā</w:t>
      </w:r>
      <w:r w:rsidR="00602A47" w:rsidRPr="00210898">
        <w:rPr>
          <w:b/>
          <w:bCs/>
          <w:szCs w:val="26"/>
          <w:lang w:val="lv-LV"/>
        </w:rPr>
        <w:t>,</w:t>
      </w:r>
      <w:r w:rsidR="00924EC9" w:rsidRPr="002926B4">
        <w:rPr>
          <w:b/>
          <w:bCs/>
          <w:szCs w:val="26"/>
          <w:lang w:val="lv-LV"/>
        </w:rPr>
        <w:t xml:space="preserve"> </w:t>
      </w:r>
      <w:r w:rsidR="00005A78" w:rsidRPr="002926B4">
        <w:rPr>
          <w:b/>
          <w:bCs/>
          <w:szCs w:val="26"/>
          <w:lang w:val="lv-LV"/>
        </w:rPr>
        <w:t xml:space="preserve">izmantot </w:t>
      </w:r>
      <w:r w:rsidR="00924EC9" w:rsidRPr="002926B4">
        <w:rPr>
          <w:b/>
          <w:bCs/>
          <w:szCs w:val="26"/>
          <w:lang w:val="lv-LV"/>
        </w:rPr>
        <w:t>nozares ministrijas pārstāvju konsultācijas</w:t>
      </w:r>
      <w:r w:rsidR="00C52A6D" w:rsidRPr="002926B4">
        <w:rPr>
          <w:b/>
          <w:bCs/>
          <w:szCs w:val="26"/>
          <w:lang w:val="lv-LV"/>
        </w:rPr>
        <w:t xml:space="preserve"> </w:t>
      </w:r>
      <w:r w:rsidR="000D201E" w:rsidRPr="002926B4">
        <w:rPr>
          <w:b/>
          <w:bCs/>
          <w:szCs w:val="26"/>
          <w:lang w:val="lv-LV"/>
        </w:rPr>
        <w:t>publisko iepirkumu procesā.</w:t>
      </w:r>
      <w:r w:rsidR="00716274" w:rsidRPr="00716274">
        <w:rPr>
          <w:b/>
          <w:bCs/>
          <w:szCs w:val="26"/>
          <w:lang w:val="lv-LV"/>
        </w:rPr>
        <w:t xml:space="preserve"> </w:t>
      </w:r>
      <w:r w:rsidR="00716274" w:rsidRPr="002926B4">
        <w:rPr>
          <w:b/>
          <w:bCs/>
          <w:szCs w:val="26"/>
          <w:lang w:val="lv-LV"/>
        </w:rPr>
        <w:t>Lai piesaistītu iepirkumu procedūrās kompetentus ekspertus, izvērtēt iespēju noteikt pasūtītājam pienākumu iepirkumu komisijas sastāvā iekļaut kompetentu, neatkarīgu speciālistu no citām publiskas personas institūcijām</w:t>
      </w:r>
      <w:r w:rsidR="00716274">
        <w:rPr>
          <w:b/>
          <w:bCs/>
          <w:szCs w:val="26"/>
          <w:lang w:val="lv-LV"/>
        </w:rPr>
        <w:t>, piemēram attiecīgās jomas nozares ministrijām,</w:t>
      </w:r>
      <w:r w:rsidR="00716274" w:rsidRPr="002926B4">
        <w:rPr>
          <w:b/>
          <w:bCs/>
          <w:szCs w:val="26"/>
          <w:lang w:val="lv-LV"/>
        </w:rPr>
        <w:t xml:space="preserve"> gadījumos, kad paredzamā publisku būvdarbu līguma līgumcena ir vienāda ar Ministru kabineta noteiktajām līgumcenu robežvērtībām vai lielāka (5 548 000 </w:t>
      </w:r>
      <w:proofErr w:type="spellStart"/>
      <w:r w:rsidR="00716274" w:rsidRPr="00716274">
        <w:rPr>
          <w:b/>
          <w:i/>
          <w:lang w:val="lv-LV"/>
        </w:rPr>
        <w:t>euro</w:t>
      </w:r>
      <w:proofErr w:type="spellEnd"/>
      <w:r w:rsidR="00716274" w:rsidRPr="002926B4">
        <w:rPr>
          <w:b/>
          <w:bCs/>
          <w:szCs w:val="26"/>
          <w:lang w:val="lv-LV"/>
        </w:rPr>
        <w:t xml:space="preserve"> vai lielāka).</w:t>
      </w:r>
    </w:p>
    <w:p w14:paraId="16E7CD8F" w14:textId="7724C908" w:rsidR="00924EC9" w:rsidRPr="002926B4" w:rsidRDefault="003946F0" w:rsidP="007B5C29">
      <w:pPr>
        <w:pStyle w:val="ListParagraph"/>
        <w:widowControl/>
        <w:numPr>
          <w:ilvl w:val="0"/>
          <w:numId w:val="10"/>
        </w:numPr>
        <w:spacing w:before="120" w:after="0" w:line="240" w:lineRule="auto"/>
        <w:rPr>
          <w:szCs w:val="26"/>
          <w:lang w:val="lv-LV"/>
        </w:rPr>
      </w:pPr>
      <w:r w:rsidRPr="002926B4">
        <w:rPr>
          <w:b/>
          <w:bCs/>
          <w:szCs w:val="26"/>
          <w:lang w:val="lv-LV"/>
        </w:rPr>
        <w:t>Apsvērt iespē</w:t>
      </w:r>
      <w:r w:rsidR="00676AEE" w:rsidRPr="002926B4">
        <w:rPr>
          <w:b/>
          <w:bCs/>
          <w:szCs w:val="26"/>
          <w:lang w:val="lv-LV"/>
        </w:rPr>
        <w:t>ju veikt p</w:t>
      </w:r>
      <w:r w:rsidR="00924EC9" w:rsidRPr="002926B4">
        <w:rPr>
          <w:b/>
          <w:bCs/>
          <w:szCs w:val="26"/>
          <w:lang w:val="lv-LV"/>
        </w:rPr>
        <w:t>ublisko iepirkumu centralizēšan</w:t>
      </w:r>
      <w:r w:rsidR="00676AEE" w:rsidRPr="002926B4">
        <w:rPr>
          <w:b/>
          <w:bCs/>
          <w:szCs w:val="26"/>
          <w:lang w:val="lv-LV"/>
        </w:rPr>
        <w:t>u</w:t>
      </w:r>
      <w:r w:rsidR="00924EC9" w:rsidRPr="002926B4">
        <w:rPr>
          <w:b/>
          <w:bCs/>
          <w:szCs w:val="26"/>
          <w:lang w:val="lv-LV"/>
        </w:rPr>
        <w:t xml:space="preserve">, uzticot lielu un sarežģītu </w:t>
      </w:r>
      <w:r w:rsidR="00C1471F" w:rsidRPr="002926B4">
        <w:rPr>
          <w:b/>
          <w:bCs/>
          <w:szCs w:val="26"/>
          <w:lang w:val="lv-LV"/>
        </w:rPr>
        <w:t xml:space="preserve">iepirkumu veikšanu centralizētai institūcijai. </w:t>
      </w:r>
    </w:p>
    <w:p w14:paraId="1AC2A6B1" w14:textId="0DC1ABB3" w:rsidR="00B53A30" w:rsidRPr="002926B4" w:rsidRDefault="00B62537" w:rsidP="007B5C29">
      <w:pPr>
        <w:pStyle w:val="ListParagraph"/>
        <w:widowControl/>
        <w:numPr>
          <w:ilvl w:val="0"/>
          <w:numId w:val="10"/>
        </w:numPr>
        <w:spacing w:before="120" w:after="0" w:line="240" w:lineRule="auto"/>
        <w:rPr>
          <w:szCs w:val="26"/>
          <w:lang w:val="lv-LV"/>
        </w:rPr>
      </w:pPr>
      <w:r w:rsidRPr="00210898">
        <w:rPr>
          <w:b/>
          <w:bCs/>
          <w:szCs w:val="26"/>
          <w:lang w:val="lv-LV"/>
        </w:rPr>
        <w:t>Apsvērt iespēju pārskatīt</w:t>
      </w:r>
      <w:r w:rsidR="00B53A30" w:rsidRPr="002926B4">
        <w:rPr>
          <w:b/>
          <w:bCs/>
          <w:szCs w:val="26"/>
          <w:lang w:val="lv-LV"/>
        </w:rPr>
        <w:t xml:space="preserve"> publisko iepirkumu komisijas </w:t>
      </w:r>
      <w:r w:rsidRPr="00210898">
        <w:rPr>
          <w:b/>
          <w:bCs/>
          <w:szCs w:val="26"/>
          <w:lang w:val="lv-LV"/>
        </w:rPr>
        <w:t>sastāva</w:t>
      </w:r>
      <w:r w:rsidR="00716274">
        <w:rPr>
          <w:b/>
          <w:bCs/>
          <w:szCs w:val="26"/>
          <w:lang w:val="lv-LV"/>
        </w:rPr>
        <w:t xml:space="preserve"> </w:t>
      </w:r>
      <w:r w:rsidR="00B53A30" w:rsidRPr="002926B4">
        <w:rPr>
          <w:b/>
          <w:bCs/>
          <w:szCs w:val="26"/>
          <w:lang w:val="lv-LV"/>
        </w:rPr>
        <w:t xml:space="preserve">noteikšanas </w:t>
      </w:r>
      <w:r w:rsidR="00676AEE" w:rsidRPr="002926B4">
        <w:rPr>
          <w:b/>
          <w:bCs/>
          <w:szCs w:val="26"/>
          <w:lang w:val="lv-LV"/>
        </w:rPr>
        <w:t>kritērijus</w:t>
      </w:r>
      <w:r w:rsidR="00B53A30" w:rsidRPr="002926B4">
        <w:rPr>
          <w:b/>
          <w:bCs/>
          <w:szCs w:val="26"/>
          <w:lang w:val="lv-LV"/>
        </w:rPr>
        <w:t>, pārskatot tās locekļu kompetenci</w:t>
      </w:r>
      <w:r w:rsidR="00E7114A" w:rsidRPr="002926B4">
        <w:rPr>
          <w:b/>
          <w:bCs/>
          <w:szCs w:val="26"/>
          <w:lang w:val="lv-LV"/>
        </w:rPr>
        <w:t xml:space="preserve"> un atbilstību.</w:t>
      </w:r>
    </w:p>
    <w:p w14:paraId="01BBAC65" w14:textId="6A81ACB2" w:rsidR="00B53A30" w:rsidRPr="002926B4" w:rsidRDefault="00F161EF" w:rsidP="007B5C29">
      <w:pPr>
        <w:pStyle w:val="ListParagraph"/>
        <w:widowControl/>
        <w:numPr>
          <w:ilvl w:val="0"/>
          <w:numId w:val="10"/>
        </w:numPr>
        <w:spacing w:before="120" w:after="0" w:line="240" w:lineRule="auto"/>
        <w:rPr>
          <w:szCs w:val="26"/>
          <w:lang w:val="lv-LV"/>
        </w:rPr>
      </w:pPr>
      <w:r w:rsidRPr="002926B4">
        <w:rPr>
          <w:b/>
          <w:bCs/>
          <w:szCs w:val="26"/>
          <w:lang w:val="lv-LV"/>
        </w:rPr>
        <w:t xml:space="preserve">Apsvērt iespēju </w:t>
      </w:r>
      <w:r w:rsidR="00B53A30" w:rsidRPr="002926B4">
        <w:rPr>
          <w:b/>
          <w:bCs/>
          <w:szCs w:val="26"/>
          <w:lang w:val="lv-LV"/>
        </w:rPr>
        <w:t xml:space="preserve">stiprināt </w:t>
      </w:r>
      <w:r w:rsidRPr="002926B4">
        <w:rPr>
          <w:b/>
          <w:bCs/>
          <w:szCs w:val="26"/>
          <w:lang w:val="lv-LV"/>
        </w:rPr>
        <w:t xml:space="preserve">Valsts kontroles </w:t>
      </w:r>
      <w:r w:rsidR="00B53A30" w:rsidRPr="002926B4">
        <w:rPr>
          <w:b/>
          <w:bCs/>
          <w:szCs w:val="26"/>
          <w:lang w:val="lv-LV"/>
        </w:rPr>
        <w:t>uzraudzību publisko iepirkumu jomā, tai skaitā</w:t>
      </w:r>
      <w:r w:rsidR="00602A47" w:rsidRPr="00210898">
        <w:rPr>
          <w:b/>
          <w:bCs/>
          <w:szCs w:val="26"/>
          <w:lang w:val="lv-LV"/>
        </w:rPr>
        <w:t>,</w:t>
      </w:r>
      <w:r w:rsidR="009871C1" w:rsidRPr="002926B4">
        <w:rPr>
          <w:b/>
          <w:bCs/>
          <w:szCs w:val="26"/>
          <w:lang w:val="lv-LV"/>
        </w:rPr>
        <w:t xml:space="preserve"> ļaujot</w:t>
      </w:r>
      <w:r w:rsidR="00B53A30" w:rsidRPr="002926B4">
        <w:rPr>
          <w:b/>
          <w:bCs/>
          <w:szCs w:val="26"/>
          <w:lang w:val="lv-LV"/>
        </w:rPr>
        <w:t xml:space="preserve"> vērtē</w:t>
      </w:r>
      <w:r w:rsidR="009871C1" w:rsidRPr="002926B4">
        <w:rPr>
          <w:b/>
          <w:bCs/>
          <w:szCs w:val="26"/>
          <w:lang w:val="lv-LV"/>
        </w:rPr>
        <w:t>t</w:t>
      </w:r>
      <w:r w:rsidR="00B53A30" w:rsidRPr="002926B4">
        <w:rPr>
          <w:b/>
          <w:bCs/>
          <w:szCs w:val="26"/>
          <w:lang w:val="lv-LV"/>
        </w:rPr>
        <w:t xml:space="preserve"> iepirkumu komisiju darbību piedāvājumu </w:t>
      </w:r>
      <w:r w:rsidR="009871C1" w:rsidRPr="002926B4">
        <w:rPr>
          <w:b/>
          <w:bCs/>
          <w:szCs w:val="26"/>
          <w:lang w:val="lv-LV"/>
        </w:rPr>
        <w:t>iz</w:t>
      </w:r>
      <w:r w:rsidR="00B53A30" w:rsidRPr="002926B4">
        <w:rPr>
          <w:b/>
          <w:bCs/>
          <w:szCs w:val="26"/>
          <w:lang w:val="lv-LV"/>
        </w:rPr>
        <w:t>vērtēšanā.</w:t>
      </w:r>
    </w:p>
    <w:p w14:paraId="677E9018" w14:textId="77777777" w:rsidR="00716274" w:rsidRDefault="00716274" w:rsidP="001046E9">
      <w:pPr>
        <w:pStyle w:val="ListParagraph"/>
        <w:widowControl/>
        <w:numPr>
          <w:ilvl w:val="0"/>
          <w:numId w:val="10"/>
        </w:numPr>
        <w:spacing w:before="120" w:after="0" w:line="240" w:lineRule="auto"/>
        <w:rPr>
          <w:b/>
          <w:bCs/>
          <w:szCs w:val="26"/>
          <w:lang w:val="lv-LV"/>
        </w:rPr>
      </w:pPr>
      <w:r w:rsidRPr="00716274">
        <w:rPr>
          <w:b/>
          <w:bCs/>
          <w:szCs w:val="26"/>
          <w:lang w:val="lv-LV"/>
        </w:rPr>
        <w:t>Izvērtēt iespēju pārskatīt iepirkumu regulējumu attiecībā uz pienākumu pasūtītājam fiksēt konsultāciju faktu, norādot arī personu, kas sniegusi konsultācijas.</w:t>
      </w:r>
    </w:p>
    <w:p w14:paraId="045DF246" w14:textId="2BD86D62" w:rsidR="004C59B9" w:rsidRPr="002926B4" w:rsidRDefault="00124A0F" w:rsidP="001046E9">
      <w:pPr>
        <w:pStyle w:val="ListParagraph"/>
        <w:widowControl/>
        <w:numPr>
          <w:ilvl w:val="0"/>
          <w:numId w:val="10"/>
        </w:numPr>
        <w:spacing w:before="120" w:after="0" w:line="240" w:lineRule="auto"/>
        <w:rPr>
          <w:b/>
          <w:bCs/>
          <w:szCs w:val="26"/>
          <w:lang w:val="lv-LV"/>
        </w:rPr>
      </w:pPr>
      <w:r>
        <w:rPr>
          <w:b/>
          <w:bCs/>
          <w:szCs w:val="26"/>
          <w:lang w:val="lv-LV"/>
        </w:rPr>
        <w:t>Veikt</w:t>
      </w:r>
      <w:r w:rsidR="001D76A5" w:rsidRPr="002926B4">
        <w:rPr>
          <w:b/>
          <w:bCs/>
          <w:szCs w:val="26"/>
          <w:lang w:val="lv-LV"/>
        </w:rPr>
        <w:t xml:space="preserve"> </w:t>
      </w:r>
      <w:r w:rsidR="004C59B9" w:rsidRPr="002926B4">
        <w:rPr>
          <w:b/>
          <w:bCs/>
          <w:szCs w:val="26"/>
          <w:lang w:val="lv-LV"/>
        </w:rPr>
        <w:t>FIDI</w:t>
      </w:r>
      <w:r w:rsidR="00D71E69">
        <w:rPr>
          <w:b/>
          <w:bCs/>
          <w:szCs w:val="26"/>
          <w:lang w:val="lv-LV"/>
        </w:rPr>
        <w:t>C (</w:t>
      </w:r>
      <w:r w:rsidR="00D71E69" w:rsidRPr="00D71E69">
        <w:rPr>
          <w:b/>
          <w:bCs/>
          <w:szCs w:val="26"/>
          <w:lang w:val="lv-LV"/>
        </w:rPr>
        <w:t>Starptautiskā inženieru konsultantu federācija</w:t>
      </w:r>
      <w:r w:rsidR="00D71E69">
        <w:rPr>
          <w:b/>
          <w:bCs/>
          <w:szCs w:val="26"/>
          <w:lang w:val="lv-LV"/>
        </w:rPr>
        <w:t>)</w:t>
      </w:r>
      <w:r w:rsidR="004C59B9" w:rsidRPr="002926B4">
        <w:rPr>
          <w:b/>
          <w:bCs/>
          <w:szCs w:val="26"/>
          <w:lang w:val="lv-LV"/>
        </w:rPr>
        <w:t xml:space="preserve"> līguma ieviešan</w:t>
      </w:r>
      <w:r>
        <w:rPr>
          <w:b/>
          <w:bCs/>
          <w:szCs w:val="26"/>
          <w:lang w:val="lv-LV"/>
        </w:rPr>
        <w:t>u</w:t>
      </w:r>
      <w:r w:rsidR="004C59B9" w:rsidRPr="002926B4">
        <w:rPr>
          <w:b/>
          <w:bCs/>
          <w:szCs w:val="26"/>
          <w:lang w:val="lv-LV"/>
        </w:rPr>
        <w:t xml:space="preserve"> būvniecībā</w:t>
      </w:r>
      <w:r w:rsidR="007A01DE" w:rsidRPr="002926B4">
        <w:rPr>
          <w:b/>
          <w:bCs/>
          <w:szCs w:val="26"/>
          <w:lang w:val="lv-LV"/>
        </w:rPr>
        <w:t>.</w:t>
      </w:r>
    </w:p>
    <w:p w14:paraId="31306F79" w14:textId="44BCF35E" w:rsidR="00C1471F" w:rsidRPr="002926B4" w:rsidRDefault="00C1471F" w:rsidP="00D72835">
      <w:pPr>
        <w:widowControl/>
        <w:spacing w:before="120" w:after="0" w:line="240" w:lineRule="auto"/>
        <w:ind w:left="720" w:firstLine="0"/>
        <w:rPr>
          <w:szCs w:val="26"/>
          <w:lang w:val="lv-LV"/>
        </w:rPr>
      </w:pPr>
    </w:p>
    <w:p w14:paraId="6680FF5C" w14:textId="46A11148" w:rsidR="00C1471F" w:rsidRPr="002926B4" w:rsidRDefault="00C1471F" w:rsidP="00C1471F">
      <w:pPr>
        <w:pStyle w:val="ListParagraph"/>
        <w:widowControl/>
        <w:numPr>
          <w:ilvl w:val="0"/>
          <w:numId w:val="9"/>
        </w:numPr>
        <w:spacing w:before="120" w:after="0" w:line="240" w:lineRule="auto"/>
        <w:rPr>
          <w:szCs w:val="26"/>
          <w:lang w:val="lv-LV"/>
        </w:rPr>
      </w:pPr>
      <w:r w:rsidRPr="002926B4">
        <w:rPr>
          <w:szCs w:val="26"/>
          <w:lang w:val="lv-LV"/>
        </w:rPr>
        <w:t>Pastāv šķēršļi ārvalstu piegādātāju un pakalpojuma sniedzēju ienākšanai Latvijas tirgū un dalībai publiskajos iepirkumos</w:t>
      </w:r>
    </w:p>
    <w:p w14:paraId="64950ED4" w14:textId="77777777" w:rsidR="00C1471F" w:rsidRPr="002926B4" w:rsidRDefault="00C1471F" w:rsidP="00C1471F">
      <w:pPr>
        <w:widowControl/>
        <w:spacing w:before="120" w:after="0" w:line="240" w:lineRule="auto"/>
        <w:rPr>
          <w:szCs w:val="26"/>
          <w:lang w:val="lv-LV"/>
        </w:rPr>
      </w:pPr>
    </w:p>
    <w:p w14:paraId="2C20BF9D" w14:textId="729CF386" w:rsidR="00C1471F" w:rsidRPr="002926B4" w:rsidRDefault="00D71E69" w:rsidP="00C1471F">
      <w:pPr>
        <w:widowControl/>
        <w:spacing w:before="120" w:after="0" w:line="240" w:lineRule="auto"/>
        <w:rPr>
          <w:szCs w:val="26"/>
          <w:lang w:val="lv-LV"/>
        </w:rPr>
      </w:pPr>
      <w:r>
        <w:rPr>
          <w:szCs w:val="26"/>
          <w:lang w:val="lv-LV"/>
        </w:rPr>
        <w:t>PIL</w:t>
      </w:r>
      <w:r w:rsidR="00C1471F" w:rsidRPr="002926B4">
        <w:rPr>
          <w:szCs w:val="26"/>
          <w:lang w:val="lv-LV"/>
        </w:rPr>
        <w:t xml:space="preserve"> aizliedz ārvalstu uzņēmumu diskrimināciju, proti, publiskajā pasūtījumā ir aizliegts izvirzīt tādus nosacījumus</w:t>
      </w:r>
      <w:r w:rsidR="00AF7C59" w:rsidRPr="002926B4">
        <w:rPr>
          <w:szCs w:val="26"/>
          <w:lang w:val="lv-LV"/>
        </w:rPr>
        <w:t xml:space="preserve"> un tādas prasības, kas sniedz priekšrocības vietējiem preču piegādātājiem, pakalpojumu sniedzējiem un būvdarbu veicējiem. </w:t>
      </w:r>
    </w:p>
    <w:p w14:paraId="59AD3878" w14:textId="7F64E47F" w:rsidR="00AF7C59" w:rsidRPr="002926B4" w:rsidRDefault="00AF7C59" w:rsidP="00C1471F">
      <w:pPr>
        <w:widowControl/>
        <w:spacing w:before="120" w:after="0" w:line="240" w:lineRule="auto"/>
        <w:rPr>
          <w:szCs w:val="26"/>
          <w:lang w:val="lv-LV"/>
        </w:rPr>
      </w:pPr>
      <w:r w:rsidRPr="002926B4">
        <w:rPr>
          <w:szCs w:val="26"/>
          <w:lang w:val="lv-LV"/>
        </w:rPr>
        <w:t xml:space="preserve">Vienlaicīgi, tādi apstākļi, kā visas iepirkuma dokumentācijas pieejamība tikai valsts valodā, </w:t>
      </w:r>
      <w:r w:rsidR="002926B4" w:rsidRPr="002926B4">
        <w:rPr>
          <w:szCs w:val="26"/>
          <w:lang w:val="lv-LV"/>
        </w:rPr>
        <w:t xml:space="preserve">pārāk īsi termiņi, </w:t>
      </w:r>
      <w:r w:rsidRPr="002926B4">
        <w:rPr>
          <w:szCs w:val="26"/>
          <w:lang w:val="lv-LV"/>
        </w:rPr>
        <w:t>informācija</w:t>
      </w:r>
      <w:r w:rsidR="00BD548B" w:rsidRPr="002926B4">
        <w:rPr>
          <w:szCs w:val="26"/>
          <w:lang w:val="lv-LV"/>
        </w:rPr>
        <w:t>s</w:t>
      </w:r>
      <w:r w:rsidRPr="002926B4">
        <w:rPr>
          <w:szCs w:val="26"/>
          <w:lang w:val="lv-LV"/>
        </w:rPr>
        <w:t xml:space="preserve"> par plānotiem iepirkumiem pieejamība</w:t>
      </w:r>
      <w:r w:rsidR="00BD548B" w:rsidRPr="002926B4">
        <w:rPr>
          <w:szCs w:val="26"/>
          <w:lang w:val="lv-LV"/>
        </w:rPr>
        <w:t xml:space="preserve">, kā arī atsevišķu prasību izvirzīšana apgrūtina ārvalstu pretendentu dalību publiskajos iepirkumos. </w:t>
      </w:r>
    </w:p>
    <w:p w14:paraId="0B74A634" w14:textId="1518C0FB" w:rsidR="00BD548B" w:rsidRPr="002926B4" w:rsidRDefault="00BD548B" w:rsidP="00C1471F">
      <w:pPr>
        <w:widowControl/>
        <w:spacing w:before="120" w:after="0" w:line="240" w:lineRule="auto"/>
        <w:rPr>
          <w:szCs w:val="26"/>
          <w:lang w:val="lv-LV"/>
        </w:rPr>
      </w:pPr>
    </w:p>
    <w:p w14:paraId="71B0177A" w14:textId="14B29950" w:rsidR="00BD548B" w:rsidRPr="002926B4" w:rsidRDefault="00BD548B" w:rsidP="00C1471F">
      <w:pPr>
        <w:widowControl/>
        <w:spacing w:before="120" w:after="0" w:line="240" w:lineRule="auto"/>
        <w:rPr>
          <w:b/>
          <w:bCs/>
          <w:szCs w:val="26"/>
          <w:lang w:val="lv-LV"/>
        </w:rPr>
      </w:pPr>
      <w:r w:rsidRPr="002926B4">
        <w:rPr>
          <w:b/>
          <w:bCs/>
          <w:szCs w:val="26"/>
          <w:lang w:val="lv-LV"/>
        </w:rPr>
        <w:t>Priekšlikumi:</w:t>
      </w:r>
    </w:p>
    <w:p w14:paraId="22B05593" w14:textId="53FF3838" w:rsidR="00BD548B" w:rsidRPr="002926B4" w:rsidRDefault="00BD548B" w:rsidP="00BD548B">
      <w:pPr>
        <w:pStyle w:val="ListParagraph"/>
        <w:widowControl/>
        <w:numPr>
          <w:ilvl w:val="0"/>
          <w:numId w:val="11"/>
        </w:numPr>
        <w:spacing w:before="120" w:after="0" w:line="240" w:lineRule="auto"/>
        <w:rPr>
          <w:b/>
          <w:bCs/>
          <w:szCs w:val="26"/>
          <w:lang w:val="lv-LV"/>
        </w:rPr>
      </w:pPr>
      <w:r w:rsidRPr="002926B4">
        <w:rPr>
          <w:b/>
          <w:bCs/>
          <w:szCs w:val="26"/>
          <w:lang w:val="lv-LV"/>
        </w:rPr>
        <w:t>Veicināt ātrāku publisko iepirkumu izziņošanu, tai skaitā iepriekšējā informatīvā paziņojuma formā par liel</w:t>
      </w:r>
      <w:r w:rsidR="002926B4" w:rsidRPr="002926B4">
        <w:rPr>
          <w:b/>
          <w:bCs/>
          <w:szCs w:val="26"/>
          <w:lang w:val="lv-LV"/>
        </w:rPr>
        <w:t>a</w:t>
      </w:r>
      <w:r w:rsidRPr="002926B4">
        <w:rPr>
          <w:b/>
          <w:bCs/>
          <w:szCs w:val="26"/>
          <w:lang w:val="lv-LV"/>
        </w:rPr>
        <w:t xml:space="preserve"> apjoma iepirkumiem, lai maksimāli veicinātu konkurenci.</w:t>
      </w:r>
    </w:p>
    <w:p w14:paraId="6EE18BE5" w14:textId="36389EC3" w:rsidR="00BD548B" w:rsidRPr="002926B4" w:rsidRDefault="00B62537" w:rsidP="00BD548B">
      <w:pPr>
        <w:pStyle w:val="ListParagraph"/>
        <w:widowControl/>
        <w:numPr>
          <w:ilvl w:val="0"/>
          <w:numId w:val="11"/>
        </w:numPr>
        <w:spacing w:before="120" w:after="0" w:line="240" w:lineRule="auto"/>
        <w:rPr>
          <w:b/>
          <w:bCs/>
          <w:szCs w:val="26"/>
          <w:lang w:val="lv-LV"/>
        </w:rPr>
      </w:pPr>
      <w:r w:rsidRPr="00210898">
        <w:rPr>
          <w:b/>
          <w:bCs/>
          <w:szCs w:val="26"/>
          <w:lang w:val="lv-LV"/>
        </w:rPr>
        <w:t xml:space="preserve">Izskatīt iespēju veikt </w:t>
      </w:r>
      <w:r w:rsidR="00BD548B" w:rsidRPr="002926B4">
        <w:rPr>
          <w:b/>
          <w:bCs/>
          <w:szCs w:val="26"/>
          <w:lang w:val="lv-LV"/>
        </w:rPr>
        <w:t>iepirkuma dokumentācijas tulkošanu angļu valodā vai citā valodā (piemēram, pēc tirgus izpētes veikšanas secinot, ka konkrētā valstī ir augsti kvalificēti pretendenti)</w:t>
      </w:r>
      <w:r w:rsidR="00D03ACA" w:rsidRPr="002926B4">
        <w:rPr>
          <w:b/>
          <w:bCs/>
          <w:szCs w:val="26"/>
          <w:lang w:val="lv-LV"/>
        </w:rPr>
        <w:t xml:space="preserve"> esošā finansējuma ietvaros.</w:t>
      </w:r>
    </w:p>
    <w:p w14:paraId="5417F12C" w14:textId="47CBF238" w:rsidR="00BD548B" w:rsidRPr="002926B4" w:rsidRDefault="00BD548B" w:rsidP="00BD548B">
      <w:pPr>
        <w:pStyle w:val="ListParagraph"/>
        <w:widowControl/>
        <w:numPr>
          <w:ilvl w:val="0"/>
          <w:numId w:val="11"/>
        </w:numPr>
        <w:spacing w:before="120" w:after="0" w:line="240" w:lineRule="auto"/>
        <w:rPr>
          <w:b/>
          <w:bCs/>
          <w:szCs w:val="26"/>
          <w:lang w:val="lv-LV"/>
        </w:rPr>
      </w:pPr>
      <w:r w:rsidRPr="002926B4">
        <w:rPr>
          <w:b/>
          <w:bCs/>
          <w:szCs w:val="26"/>
          <w:lang w:val="lv-LV"/>
        </w:rPr>
        <w:t>Vienkāršot ārvalstu sertificēto speciālistu reģistrēšanas proces</w:t>
      </w:r>
      <w:r w:rsidR="00F866E7" w:rsidRPr="002926B4">
        <w:rPr>
          <w:b/>
          <w:bCs/>
          <w:szCs w:val="26"/>
          <w:lang w:val="lv-LV"/>
        </w:rPr>
        <w:t>u</w:t>
      </w:r>
      <w:r w:rsidRPr="002926B4">
        <w:rPr>
          <w:b/>
          <w:bCs/>
          <w:szCs w:val="26"/>
          <w:lang w:val="lv-LV"/>
        </w:rPr>
        <w:t xml:space="preserve"> (kvalifikācijas atzīšanas process).</w:t>
      </w:r>
    </w:p>
    <w:p w14:paraId="35DB4743" w14:textId="617E6314" w:rsidR="00BD548B" w:rsidRPr="002926B4" w:rsidRDefault="00BD548B" w:rsidP="00BD548B">
      <w:pPr>
        <w:widowControl/>
        <w:spacing w:before="120" w:after="0" w:line="240" w:lineRule="auto"/>
        <w:rPr>
          <w:b/>
          <w:bCs/>
          <w:szCs w:val="26"/>
          <w:lang w:val="lv-LV"/>
        </w:rPr>
      </w:pPr>
    </w:p>
    <w:p w14:paraId="55DA8BFB" w14:textId="64134412" w:rsidR="001C61B2" w:rsidRPr="004C048C" w:rsidRDefault="001C61B2" w:rsidP="001C61B2">
      <w:pPr>
        <w:pStyle w:val="ListParagraph"/>
        <w:numPr>
          <w:ilvl w:val="0"/>
          <w:numId w:val="9"/>
        </w:numPr>
        <w:rPr>
          <w:szCs w:val="26"/>
          <w:lang w:val="lv-LV"/>
        </w:rPr>
      </w:pPr>
      <w:r w:rsidRPr="004C048C">
        <w:rPr>
          <w:szCs w:val="26"/>
          <w:lang w:val="lv-LV"/>
        </w:rPr>
        <w:t xml:space="preserve">Konkurences padomes nepietiekama kapacitāte un pilnvaras izmeklēšanas procesā. </w:t>
      </w:r>
    </w:p>
    <w:p w14:paraId="3C38EFE1" w14:textId="61699EC0" w:rsidR="001C61B2" w:rsidRPr="00B643D9" w:rsidRDefault="001C61B2" w:rsidP="001C61B2">
      <w:pPr>
        <w:widowControl/>
        <w:spacing w:before="120" w:after="0" w:line="240" w:lineRule="auto"/>
        <w:rPr>
          <w:szCs w:val="26"/>
          <w:lang w:val="lv-LV"/>
        </w:rPr>
      </w:pPr>
      <w:r w:rsidRPr="00210898">
        <w:rPr>
          <w:szCs w:val="26"/>
          <w:lang w:val="lv-LV"/>
        </w:rPr>
        <w:t>K</w:t>
      </w:r>
      <w:r w:rsidR="007B4AA6" w:rsidRPr="00210898">
        <w:rPr>
          <w:szCs w:val="26"/>
          <w:lang w:val="lv-LV"/>
        </w:rPr>
        <w:t xml:space="preserve">onkurences </w:t>
      </w:r>
      <w:r w:rsidR="007B4AA6">
        <w:rPr>
          <w:szCs w:val="26"/>
          <w:lang w:val="lv-LV"/>
        </w:rPr>
        <w:t>padomes</w:t>
      </w:r>
      <w:r w:rsidR="0034670F">
        <w:rPr>
          <w:szCs w:val="26"/>
          <w:lang w:val="lv-LV"/>
        </w:rPr>
        <w:t xml:space="preserve"> </w:t>
      </w:r>
      <w:r w:rsidRPr="00B643D9">
        <w:rPr>
          <w:szCs w:val="26"/>
          <w:lang w:val="lv-LV"/>
        </w:rPr>
        <w:t xml:space="preserve">kapacitātes un pilnvaru stiprināšanas mērķis ir nodrošināt aizliegtu vienošanos pārkāpumu efektīvāku atklāšanu iepirkumos, jo vairāki būtiski apstākļi apgrūtina šī mērķa realizāciju. </w:t>
      </w:r>
    </w:p>
    <w:p w14:paraId="6F576074" w14:textId="3EDF8633" w:rsidR="001C61B2" w:rsidRDefault="001C61B2" w:rsidP="001C61B2">
      <w:pPr>
        <w:widowControl/>
        <w:spacing w:before="120" w:after="0" w:line="240" w:lineRule="auto"/>
        <w:rPr>
          <w:szCs w:val="26"/>
          <w:lang w:val="lv-LV"/>
        </w:rPr>
      </w:pPr>
      <w:r w:rsidRPr="00B643D9">
        <w:rPr>
          <w:szCs w:val="26"/>
          <w:lang w:val="lv-LV"/>
        </w:rPr>
        <w:t xml:space="preserve">Tas, pirmkārt, attiecas uz </w:t>
      </w:r>
      <w:r w:rsidRPr="00210898">
        <w:rPr>
          <w:szCs w:val="26"/>
          <w:lang w:val="lv-LV"/>
        </w:rPr>
        <w:t>K</w:t>
      </w:r>
      <w:r w:rsidR="007B4AA6" w:rsidRPr="00210898">
        <w:rPr>
          <w:szCs w:val="26"/>
          <w:lang w:val="lv-LV"/>
        </w:rPr>
        <w:t xml:space="preserve">onkurences </w:t>
      </w:r>
      <w:r w:rsidR="007B4AA6">
        <w:rPr>
          <w:szCs w:val="26"/>
          <w:lang w:val="lv-LV"/>
        </w:rPr>
        <w:t>padomes</w:t>
      </w:r>
      <w:r w:rsidR="0034670F">
        <w:rPr>
          <w:szCs w:val="26"/>
          <w:lang w:val="lv-LV"/>
        </w:rPr>
        <w:t xml:space="preserve"> </w:t>
      </w:r>
      <w:r>
        <w:rPr>
          <w:szCs w:val="26"/>
          <w:lang w:val="lv-LV"/>
        </w:rPr>
        <w:t xml:space="preserve">pieredzējušu </w:t>
      </w:r>
      <w:r w:rsidRPr="00B643D9">
        <w:rPr>
          <w:szCs w:val="26"/>
          <w:lang w:val="lv-LV"/>
        </w:rPr>
        <w:t>profesionālāko darbinieku nepietiekamību</w:t>
      </w:r>
      <w:r w:rsidRPr="00AA4D3B">
        <w:rPr>
          <w:szCs w:val="26"/>
          <w:lang w:val="lv-LV"/>
        </w:rPr>
        <w:t xml:space="preserve"> </w:t>
      </w:r>
      <w:r w:rsidRPr="00B643D9">
        <w:rPr>
          <w:szCs w:val="26"/>
          <w:lang w:val="lv-LV"/>
        </w:rPr>
        <w:t>neadekvāt</w:t>
      </w:r>
      <w:r>
        <w:rPr>
          <w:szCs w:val="26"/>
          <w:lang w:val="lv-LV"/>
        </w:rPr>
        <w:t>i zemā</w:t>
      </w:r>
      <w:r w:rsidRPr="00B643D9">
        <w:rPr>
          <w:szCs w:val="26"/>
          <w:lang w:val="lv-LV"/>
        </w:rPr>
        <w:t xml:space="preserve"> atalgojuma </w:t>
      </w:r>
      <w:r>
        <w:rPr>
          <w:szCs w:val="26"/>
          <w:lang w:val="lv-LV"/>
        </w:rPr>
        <w:t>un</w:t>
      </w:r>
      <w:r w:rsidRPr="00B643D9">
        <w:rPr>
          <w:szCs w:val="26"/>
          <w:lang w:val="lv-LV"/>
        </w:rPr>
        <w:t xml:space="preserve"> liel</w:t>
      </w:r>
      <w:r>
        <w:rPr>
          <w:szCs w:val="26"/>
          <w:lang w:val="lv-LV"/>
        </w:rPr>
        <w:t>ās</w:t>
      </w:r>
      <w:r w:rsidRPr="00B643D9">
        <w:rPr>
          <w:szCs w:val="26"/>
          <w:lang w:val="lv-LV"/>
        </w:rPr>
        <w:t xml:space="preserve"> personāla mainīb</w:t>
      </w:r>
      <w:r>
        <w:rPr>
          <w:szCs w:val="26"/>
          <w:lang w:val="lv-LV"/>
        </w:rPr>
        <w:t>as dēļ</w:t>
      </w:r>
      <w:r w:rsidRPr="00B643D9">
        <w:rPr>
          <w:szCs w:val="26"/>
          <w:lang w:val="lv-LV"/>
        </w:rPr>
        <w:t xml:space="preserve">, kas </w:t>
      </w:r>
      <w:r>
        <w:rPr>
          <w:szCs w:val="26"/>
          <w:lang w:val="lv-LV"/>
        </w:rPr>
        <w:t xml:space="preserve">būtiski samazina iespējas veikt </w:t>
      </w:r>
      <w:r w:rsidRPr="00B643D9">
        <w:rPr>
          <w:szCs w:val="26"/>
          <w:lang w:val="lv-LV"/>
        </w:rPr>
        <w:t>izmeklē</w:t>
      </w:r>
      <w:r>
        <w:rPr>
          <w:szCs w:val="26"/>
          <w:lang w:val="lv-LV"/>
        </w:rPr>
        <w:t>šanas</w:t>
      </w:r>
      <w:r w:rsidRPr="00B643D9">
        <w:rPr>
          <w:szCs w:val="26"/>
          <w:lang w:val="lv-LV"/>
        </w:rPr>
        <w:t xml:space="preserve"> un procesuālās darbības sarežģītākās karteļu lietās, kā arī uz modernas </w:t>
      </w:r>
      <w:r>
        <w:rPr>
          <w:szCs w:val="26"/>
          <w:lang w:val="lv-LV"/>
        </w:rPr>
        <w:t>elektronisku</w:t>
      </w:r>
      <w:r w:rsidRPr="00B643D9">
        <w:rPr>
          <w:szCs w:val="26"/>
          <w:lang w:val="lv-LV"/>
        </w:rPr>
        <w:t xml:space="preserve"> pierādījumu ieguves un analīzes </w:t>
      </w:r>
      <w:r>
        <w:rPr>
          <w:szCs w:val="26"/>
          <w:lang w:val="lv-LV"/>
        </w:rPr>
        <w:t xml:space="preserve">IKT </w:t>
      </w:r>
      <w:r w:rsidRPr="00B643D9">
        <w:rPr>
          <w:szCs w:val="26"/>
          <w:lang w:val="lv-LV"/>
        </w:rPr>
        <w:t xml:space="preserve">laboratorijas un citu izmeklēšanai svarīgu </w:t>
      </w:r>
      <w:r>
        <w:rPr>
          <w:szCs w:val="26"/>
          <w:lang w:val="lv-LV"/>
        </w:rPr>
        <w:t xml:space="preserve">atbalsta </w:t>
      </w:r>
      <w:r w:rsidRPr="00B643D9">
        <w:rPr>
          <w:szCs w:val="26"/>
          <w:lang w:val="lv-LV"/>
        </w:rPr>
        <w:t>rīku</w:t>
      </w:r>
      <w:r>
        <w:rPr>
          <w:szCs w:val="26"/>
          <w:lang w:val="lv-LV"/>
        </w:rPr>
        <w:t>, t.sk.,</w:t>
      </w:r>
      <w:r w:rsidRPr="00B643D9">
        <w:rPr>
          <w:szCs w:val="26"/>
          <w:lang w:val="lv-LV"/>
        </w:rPr>
        <w:t xml:space="preserve"> datu bāžu neesamību vai nepietiekamību. Lai gan </w:t>
      </w:r>
      <w:r w:rsidRPr="00210898">
        <w:rPr>
          <w:szCs w:val="26"/>
          <w:lang w:val="lv-LV"/>
        </w:rPr>
        <w:t>K</w:t>
      </w:r>
      <w:r w:rsidR="007B4AA6" w:rsidRPr="00210898">
        <w:rPr>
          <w:szCs w:val="26"/>
          <w:lang w:val="lv-LV"/>
        </w:rPr>
        <w:t>onkurences padome</w:t>
      </w:r>
      <w:r w:rsidRPr="00B643D9">
        <w:rPr>
          <w:szCs w:val="26"/>
          <w:lang w:val="lv-LV"/>
        </w:rPr>
        <w:t>, pateicoties darbinieku entuziasmam un iestādē vēl esošajai zinātībai, savas funkcijas pagaidām vēl veic atzīstamā kvalitātē un apjomā, tomēr pieredzējušo darbinieku noturēšanas un apgādes ar tehnisko aprīkojumu ziņā konstatējama būtiska atpalicība no pārējo ES un OECD attīstī</w:t>
      </w:r>
      <w:r>
        <w:rPr>
          <w:szCs w:val="26"/>
          <w:lang w:val="lv-LV"/>
        </w:rPr>
        <w:t>to</w:t>
      </w:r>
      <w:r w:rsidRPr="00B643D9">
        <w:rPr>
          <w:szCs w:val="26"/>
          <w:lang w:val="lv-LV"/>
        </w:rPr>
        <w:t xml:space="preserve"> valstu</w:t>
      </w:r>
      <w:r w:rsidR="0066641F" w:rsidRPr="00210898">
        <w:rPr>
          <w:szCs w:val="26"/>
          <w:lang w:val="lv-LV"/>
        </w:rPr>
        <w:t>, to vidū Igaunijas un Lietuvas,</w:t>
      </w:r>
      <w:r w:rsidRPr="00B643D9">
        <w:rPr>
          <w:szCs w:val="26"/>
          <w:lang w:val="lv-LV"/>
        </w:rPr>
        <w:t xml:space="preserve"> konkurences iestādēm, uz ko jau vairākus gadus norāda starptautiskās organizācijas un vērtētāji.</w:t>
      </w:r>
    </w:p>
    <w:p w14:paraId="061C3A8E" w14:textId="0C9EFBA4" w:rsidR="001C61B2" w:rsidRPr="0034670F" w:rsidRDefault="001C61B2" w:rsidP="001C61B2">
      <w:pPr>
        <w:widowControl/>
        <w:spacing w:before="120" w:after="0" w:line="240" w:lineRule="auto"/>
        <w:rPr>
          <w:rStyle w:val="spelle"/>
          <w:lang w:val="lv-LV"/>
        </w:rPr>
      </w:pPr>
      <w:r w:rsidRPr="00201BE7">
        <w:rPr>
          <w:color w:val="000000" w:themeColor="text1"/>
          <w:szCs w:val="26"/>
          <w:shd w:val="clear" w:color="auto" w:fill="FFFFFF"/>
          <w:lang w:val="lv-LV"/>
        </w:rPr>
        <w:lastRenderedPageBreak/>
        <w:t>Eiropas parlamenta un Padomes 2018.gada 11.decembra direktīvās (ES) 2019/1</w:t>
      </w:r>
      <w:r w:rsidRPr="00201BE7">
        <w:rPr>
          <w:rStyle w:val="FootnoteReference"/>
          <w:color w:val="000000" w:themeColor="text1"/>
          <w:szCs w:val="26"/>
          <w:shd w:val="clear" w:color="auto" w:fill="FFFFFF"/>
          <w:lang w:val="lv-LV"/>
        </w:rPr>
        <w:footnoteReference w:id="6"/>
      </w:r>
      <w:r w:rsidRPr="00201BE7">
        <w:rPr>
          <w:color w:val="000000" w:themeColor="text1"/>
          <w:szCs w:val="26"/>
          <w:shd w:val="clear" w:color="auto" w:fill="FFFFFF"/>
          <w:lang w:val="lv-LV"/>
        </w:rPr>
        <w:t xml:space="preserve"> 5.pantam </w:t>
      </w:r>
      <w:r w:rsidRPr="00201BE7">
        <w:rPr>
          <w:i/>
          <w:iCs/>
          <w:color w:val="000000" w:themeColor="text1"/>
          <w:szCs w:val="26"/>
          <w:shd w:val="clear" w:color="auto" w:fill="FFFFFF"/>
          <w:lang w:val="lv-LV"/>
        </w:rPr>
        <w:t>“dalībvalstis vismaz nodrošina, lai valsts konkurences iestāžu rīcībā būtu pietiekams skaits kvalificētu darbinieku un pietiekami finanšu, tehniskie un tehnoloģiskie resursi pienākumu efektīvai pildīšanai un efektīvai pilnvaru īstenošanai attiecībā uz LESD 101. un 102. panta piemērošanu, kā noteikts šā panta 2. punktā.</w:t>
      </w:r>
      <w:r w:rsidRPr="00201BE7">
        <w:rPr>
          <w:color w:val="000000" w:themeColor="text1"/>
          <w:szCs w:val="26"/>
          <w:lang w:val="lv-LV"/>
        </w:rPr>
        <w:t xml:space="preserve">” </w:t>
      </w:r>
      <w:r w:rsidRPr="0034670F">
        <w:rPr>
          <w:lang w:val="lv-LV"/>
        </w:rPr>
        <w:t>Informatīva</w:t>
      </w:r>
      <w:r w:rsidRPr="00C46593">
        <w:rPr>
          <w:color w:val="000000" w:themeColor="text1"/>
          <w:lang w:val="lv-LV"/>
        </w:rPr>
        <w:t>is</w:t>
      </w:r>
      <w:r w:rsidRPr="0034670F">
        <w:rPr>
          <w:lang w:val="lv-LV"/>
        </w:rPr>
        <w:t xml:space="preserve"> ziņojum</w:t>
      </w:r>
      <w:r w:rsidRPr="00C46593">
        <w:rPr>
          <w:color w:val="000000" w:themeColor="text1"/>
          <w:lang w:val="lv-LV"/>
        </w:rPr>
        <w:t>s</w:t>
      </w:r>
      <w:r w:rsidRPr="0034670F">
        <w:rPr>
          <w:lang w:val="lv-LV"/>
        </w:rPr>
        <w:t xml:space="preserve"> “Par vienotas konkurences un regulācijas iestādes izveides iespējām”</w:t>
      </w:r>
      <w:r w:rsidRPr="00C46593">
        <w:rPr>
          <w:color w:val="000000" w:themeColor="text1"/>
          <w:lang w:val="lv-LV"/>
        </w:rPr>
        <w:t xml:space="preserve"> un </w:t>
      </w:r>
      <w:proofErr w:type="spellStart"/>
      <w:r w:rsidRPr="00C46593">
        <w:rPr>
          <w:color w:val="000000" w:themeColor="text1"/>
          <w:lang w:val="lv-LV"/>
        </w:rPr>
        <w:t>protokolēmuma</w:t>
      </w:r>
      <w:proofErr w:type="spellEnd"/>
      <w:r w:rsidRPr="00C46593">
        <w:rPr>
          <w:color w:val="000000" w:themeColor="text1"/>
          <w:lang w:val="lv-LV"/>
        </w:rPr>
        <w:t xml:space="preserve"> projekts</w:t>
      </w:r>
      <w:r w:rsidRPr="0034670F">
        <w:rPr>
          <w:lang w:val="lv-LV"/>
        </w:rPr>
        <w:t>, kas 2019</w:t>
      </w:r>
      <w:r w:rsidR="00F9727B">
        <w:rPr>
          <w:color w:val="000000" w:themeColor="text1"/>
          <w:szCs w:val="26"/>
          <w:lang w:val="lv-LV"/>
        </w:rPr>
        <w:t>.gada 24.septembrī ir</w:t>
      </w:r>
      <w:r w:rsidRPr="0034670F">
        <w:rPr>
          <w:lang w:val="lv-LV"/>
        </w:rPr>
        <w:t xml:space="preserve"> izskatīts un apstiprināts MK</w:t>
      </w:r>
      <w:r w:rsidRPr="00C46593">
        <w:rPr>
          <w:color w:val="000000" w:themeColor="text1"/>
          <w:lang w:val="lv-LV"/>
        </w:rPr>
        <w:t xml:space="preserve"> sēdē</w:t>
      </w:r>
      <w:r w:rsidRPr="0034670F">
        <w:rPr>
          <w:lang w:val="lv-LV"/>
        </w:rPr>
        <w:t xml:space="preserve">, </w:t>
      </w:r>
      <w:r w:rsidRPr="00C46593">
        <w:rPr>
          <w:color w:val="000000" w:themeColor="text1"/>
          <w:lang w:val="lv-LV"/>
        </w:rPr>
        <w:t xml:space="preserve">t.sk. </w:t>
      </w:r>
      <w:r w:rsidRPr="0034670F">
        <w:rPr>
          <w:lang w:val="lv-LV"/>
        </w:rPr>
        <w:t>paredz, ka “</w:t>
      </w:r>
      <w:r w:rsidRPr="00C46593">
        <w:rPr>
          <w:rStyle w:val="spelle"/>
          <w:color w:val="000000" w:themeColor="text1"/>
          <w:lang w:val="lv-LV"/>
        </w:rPr>
        <w:t>j</w:t>
      </w:r>
      <w:r w:rsidRPr="0034670F">
        <w:rPr>
          <w:rStyle w:val="spelle"/>
          <w:lang w:val="lv-LV"/>
        </w:rPr>
        <w:t>autājums par papildus nepieciešamo finansējuma piešķiršanu Konkurences padomei ir izskatāms Ministru kabinetā vienlaikus ar visu ministriju un citu centrālo valsts iestāžu iesniegtajiem prioritārajiem pasākumiem likumprojekta “Par valsts budžetu 2021. gadam” un likumprojekta “Par vidēja termiņa budžeta ietvaru 2021., 2022. un 2023. gadam” sagatavošanas procesā.</w:t>
      </w:r>
      <w:r w:rsidRPr="0034670F">
        <w:rPr>
          <w:rStyle w:val="FootnoteReference"/>
          <w:lang w:val="lv-LV"/>
        </w:rPr>
        <w:footnoteReference w:id="7"/>
      </w:r>
    </w:p>
    <w:p w14:paraId="03FF092B" w14:textId="6A3117BC" w:rsidR="001C61B2" w:rsidRDefault="001C61B2" w:rsidP="001C61B2">
      <w:pPr>
        <w:spacing w:before="120" w:after="0" w:line="240" w:lineRule="auto"/>
        <w:ind w:right="85"/>
        <w:rPr>
          <w:szCs w:val="26"/>
          <w:lang w:val="lv-LV"/>
        </w:rPr>
      </w:pPr>
      <w:r w:rsidRPr="0034670F">
        <w:rPr>
          <w:lang w:val="lv-LV"/>
        </w:rPr>
        <w:t>Informatīva</w:t>
      </w:r>
      <w:r w:rsidRPr="00C46593">
        <w:rPr>
          <w:color w:val="000000" w:themeColor="text1"/>
          <w:lang w:val="lv-LV"/>
        </w:rPr>
        <w:t>is</w:t>
      </w:r>
      <w:r w:rsidRPr="0034670F">
        <w:rPr>
          <w:lang w:val="lv-LV"/>
        </w:rPr>
        <w:t xml:space="preserve"> ziņojum</w:t>
      </w:r>
      <w:r w:rsidRPr="00C46593">
        <w:rPr>
          <w:color w:val="000000" w:themeColor="text1"/>
          <w:lang w:val="lv-LV"/>
        </w:rPr>
        <w:t>s</w:t>
      </w:r>
      <w:r w:rsidRPr="0034670F">
        <w:rPr>
          <w:lang w:val="lv-LV"/>
        </w:rPr>
        <w:t xml:space="preserve"> “Par vienotas konkurences </w:t>
      </w:r>
      <w:r w:rsidRPr="008C3C34">
        <w:rPr>
          <w:szCs w:val="26"/>
          <w:lang w:val="lv-LV"/>
        </w:rPr>
        <w:t>un regulācijas iestādes izveides iespējām</w:t>
      </w:r>
      <w:r w:rsidRPr="00C55965">
        <w:rPr>
          <w:szCs w:val="26"/>
          <w:lang w:val="lv-LV"/>
        </w:rPr>
        <w:t>”</w:t>
      </w:r>
      <w:r w:rsidRPr="000476F4">
        <w:rPr>
          <w:szCs w:val="26"/>
          <w:lang w:val="lv-LV"/>
        </w:rPr>
        <w:t xml:space="preserve"> ziņojumā konstatēts, ka</w:t>
      </w:r>
      <w:r w:rsidRPr="008A2633">
        <w:rPr>
          <w:b/>
          <w:szCs w:val="26"/>
          <w:lang w:val="lv-LV"/>
        </w:rPr>
        <w:t xml:space="preserve"> “nepieciešamais papildu finansējums </w:t>
      </w:r>
      <w:r w:rsidRPr="00210898">
        <w:rPr>
          <w:b/>
          <w:szCs w:val="26"/>
          <w:lang w:val="lv-LV"/>
        </w:rPr>
        <w:t>K</w:t>
      </w:r>
      <w:r w:rsidR="007B4AA6" w:rsidRPr="00210898">
        <w:rPr>
          <w:b/>
          <w:szCs w:val="26"/>
          <w:lang w:val="lv-LV"/>
        </w:rPr>
        <w:t>onkurences padomes</w:t>
      </w:r>
      <w:r w:rsidR="00C84794" w:rsidRPr="00210898">
        <w:rPr>
          <w:b/>
          <w:szCs w:val="26"/>
          <w:lang w:val="lv-LV"/>
        </w:rPr>
        <w:t xml:space="preserve"> </w:t>
      </w:r>
      <w:r w:rsidRPr="007559EA">
        <w:rPr>
          <w:b/>
          <w:szCs w:val="26"/>
          <w:lang w:val="lv-LV"/>
        </w:rPr>
        <w:t xml:space="preserve">atlīdzību palielinājumam, </w:t>
      </w:r>
      <w:r w:rsidRPr="007559EA">
        <w:rPr>
          <w:szCs w:val="26"/>
          <w:lang w:val="lv-LV"/>
        </w:rPr>
        <w:t xml:space="preserve">ņemot vērā bāzes mēnešalgas pieaugumu un Likumā noteikto piemērojamo koeficientu 4,05, </w:t>
      </w:r>
      <w:r w:rsidRPr="008C3C34">
        <w:rPr>
          <w:b/>
          <w:szCs w:val="26"/>
          <w:lang w:val="lv-LV"/>
        </w:rPr>
        <w:t xml:space="preserve">salīdzinot ar 2019. gadu: 436 217 </w:t>
      </w:r>
      <w:proofErr w:type="spellStart"/>
      <w:r w:rsidRPr="008C3C34">
        <w:rPr>
          <w:b/>
          <w:i/>
          <w:szCs w:val="26"/>
          <w:lang w:val="lv-LV"/>
        </w:rPr>
        <w:t>euro</w:t>
      </w:r>
      <w:proofErr w:type="spellEnd"/>
      <w:r w:rsidRPr="008C3C34">
        <w:rPr>
          <w:b/>
          <w:szCs w:val="26"/>
          <w:lang w:val="lv-LV"/>
        </w:rPr>
        <w:t xml:space="preserve"> 2021. gadā, 592 865 </w:t>
      </w:r>
      <w:proofErr w:type="spellStart"/>
      <w:r w:rsidRPr="008C3C34">
        <w:rPr>
          <w:b/>
          <w:i/>
          <w:szCs w:val="26"/>
          <w:lang w:val="lv-LV"/>
        </w:rPr>
        <w:t>euro</w:t>
      </w:r>
      <w:proofErr w:type="spellEnd"/>
      <w:r w:rsidRPr="008C3C34">
        <w:rPr>
          <w:b/>
          <w:szCs w:val="26"/>
          <w:lang w:val="lv-LV"/>
        </w:rPr>
        <w:t xml:space="preserve"> 2022. gadā, 705 559 </w:t>
      </w:r>
      <w:proofErr w:type="spellStart"/>
      <w:r w:rsidRPr="008C3C34">
        <w:rPr>
          <w:b/>
          <w:i/>
          <w:szCs w:val="26"/>
          <w:lang w:val="lv-LV"/>
        </w:rPr>
        <w:t>euro</w:t>
      </w:r>
      <w:proofErr w:type="spellEnd"/>
      <w:r w:rsidRPr="008C3C34">
        <w:rPr>
          <w:b/>
          <w:szCs w:val="26"/>
          <w:lang w:val="lv-LV"/>
        </w:rPr>
        <w:t xml:space="preserve"> 2023.gadā</w:t>
      </w:r>
      <w:r w:rsidRPr="008A2633">
        <w:rPr>
          <w:rStyle w:val="FootnoteReference"/>
          <w:b/>
          <w:szCs w:val="26"/>
          <w:lang w:val="lv-LV"/>
        </w:rPr>
        <w:footnoteReference w:id="8"/>
      </w:r>
      <w:r w:rsidRPr="008A2633">
        <w:rPr>
          <w:b/>
          <w:szCs w:val="26"/>
          <w:lang w:val="lv-LV"/>
        </w:rPr>
        <w:t xml:space="preserve">. </w:t>
      </w:r>
      <w:r w:rsidRPr="008A2633">
        <w:rPr>
          <w:szCs w:val="26"/>
          <w:lang w:val="lv-LV"/>
        </w:rPr>
        <w:t xml:space="preserve">Papildus iepriekš minētajam 2021. – 2023. gadā nepieciešams palielināt arī </w:t>
      </w:r>
      <w:r w:rsidRPr="00210898">
        <w:rPr>
          <w:szCs w:val="26"/>
          <w:lang w:val="lv-LV"/>
        </w:rPr>
        <w:t>K</w:t>
      </w:r>
      <w:r w:rsidR="007B4AA6" w:rsidRPr="00210898">
        <w:rPr>
          <w:szCs w:val="26"/>
          <w:lang w:val="lv-LV"/>
        </w:rPr>
        <w:t xml:space="preserve">onkurences </w:t>
      </w:r>
      <w:r w:rsidR="007B4AA6">
        <w:rPr>
          <w:szCs w:val="26"/>
          <w:lang w:val="lv-LV"/>
        </w:rPr>
        <w:t>padomes</w:t>
      </w:r>
      <w:r w:rsidR="0034670F">
        <w:rPr>
          <w:szCs w:val="26"/>
          <w:lang w:val="lv-LV"/>
        </w:rPr>
        <w:t xml:space="preserve"> </w:t>
      </w:r>
      <w:r w:rsidRPr="008A2633">
        <w:rPr>
          <w:szCs w:val="26"/>
          <w:lang w:val="lv-LV"/>
        </w:rPr>
        <w:t xml:space="preserve">finansējumu preču un pakalpojumu iegādei 35 000 </w:t>
      </w:r>
      <w:proofErr w:type="spellStart"/>
      <w:r w:rsidRPr="008A2633">
        <w:rPr>
          <w:i/>
          <w:szCs w:val="26"/>
          <w:lang w:val="lv-LV"/>
        </w:rPr>
        <w:t>euro</w:t>
      </w:r>
      <w:proofErr w:type="spellEnd"/>
      <w:r w:rsidRPr="008A2633">
        <w:rPr>
          <w:szCs w:val="26"/>
          <w:lang w:val="lv-LV"/>
        </w:rPr>
        <w:t xml:space="preserve"> </w:t>
      </w:r>
      <w:r w:rsidRPr="008B2E50">
        <w:rPr>
          <w:szCs w:val="26"/>
          <w:lang w:val="lv-LV"/>
        </w:rPr>
        <w:t>apmērā ik gadu.”</w:t>
      </w:r>
    </w:p>
    <w:p w14:paraId="6A0F7735" w14:textId="418C99BB" w:rsidR="001C61B2" w:rsidRPr="008B2E50" w:rsidRDefault="0066641F" w:rsidP="001C61B2">
      <w:pPr>
        <w:spacing w:before="120" w:after="0" w:line="240" w:lineRule="auto"/>
        <w:ind w:right="85"/>
        <w:rPr>
          <w:szCs w:val="26"/>
          <w:lang w:val="lv-LV"/>
        </w:rPr>
      </w:pPr>
      <w:r w:rsidRPr="00210898">
        <w:rPr>
          <w:szCs w:val="26"/>
          <w:lang w:val="lv-LV"/>
        </w:rPr>
        <w:t>Iepirkuma k</w:t>
      </w:r>
      <w:r w:rsidR="001C61B2" w:rsidRPr="00210898">
        <w:rPr>
          <w:szCs w:val="26"/>
          <w:lang w:val="lv-LV"/>
        </w:rPr>
        <w:t xml:space="preserve">arteļu </w:t>
      </w:r>
      <w:r w:rsidRPr="00210898">
        <w:rPr>
          <w:szCs w:val="26"/>
          <w:lang w:val="lv-LV"/>
        </w:rPr>
        <w:t xml:space="preserve">atklāšanai un </w:t>
      </w:r>
      <w:r w:rsidR="001C61B2" w:rsidRPr="00210898">
        <w:rPr>
          <w:szCs w:val="26"/>
          <w:lang w:val="lv-LV"/>
        </w:rPr>
        <w:t>efektīv</w:t>
      </w:r>
      <w:r w:rsidRPr="00210898">
        <w:rPr>
          <w:szCs w:val="26"/>
          <w:lang w:val="lv-LV"/>
        </w:rPr>
        <w:t>ai</w:t>
      </w:r>
      <w:r w:rsidR="001C61B2" w:rsidRPr="00210898">
        <w:rPr>
          <w:szCs w:val="26"/>
          <w:lang w:val="lv-LV"/>
        </w:rPr>
        <w:t xml:space="preserve"> </w:t>
      </w:r>
      <w:r w:rsidR="001C61B2">
        <w:rPr>
          <w:szCs w:val="26"/>
          <w:lang w:val="lv-LV"/>
        </w:rPr>
        <w:t>izmeklēšan</w:t>
      </w:r>
      <w:r>
        <w:rPr>
          <w:szCs w:val="26"/>
          <w:lang w:val="lv-LV"/>
        </w:rPr>
        <w:t>ai</w:t>
      </w:r>
      <w:r w:rsidR="0034670F">
        <w:rPr>
          <w:szCs w:val="26"/>
          <w:lang w:val="lv-LV"/>
        </w:rPr>
        <w:t xml:space="preserve"> </w:t>
      </w:r>
      <w:r w:rsidR="001C61B2">
        <w:rPr>
          <w:szCs w:val="26"/>
          <w:lang w:val="lv-LV"/>
        </w:rPr>
        <w:t xml:space="preserve">būtiska ir </w:t>
      </w:r>
      <w:r w:rsidR="001C61B2" w:rsidRPr="00210898">
        <w:rPr>
          <w:szCs w:val="26"/>
          <w:lang w:val="lv-LV"/>
        </w:rPr>
        <w:t>K</w:t>
      </w:r>
      <w:r w:rsidR="007B4AA6" w:rsidRPr="00210898">
        <w:rPr>
          <w:szCs w:val="26"/>
          <w:lang w:val="lv-LV"/>
        </w:rPr>
        <w:t xml:space="preserve">onkurences </w:t>
      </w:r>
      <w:r w:rsidR="007B4AA6">
        <w:rPr>
          <w:szCs w:val="26"/>
          <w:lang w:val="lv-LV"/>
        </w:rPr>
        <w:t>padomes</w:t>
      </w:r>
      <w:r w:rsidR="0034670F">
        <w:rPr>
          <w:szCs w:val="26"/>
          <w:lang w:val="lv-LV"/>
        </w:rPr>
        <w:t xml:space="preserve"> </w:t>
      </w:r>
      <w:r w:rsidR="001C61B2" w:rsidRPr="00201BE7">
        <w:rPr>
          <w:szCs w:val="26"/>
          <w:lang w:val="lv-LV"/>
        </w:rPr>
        <w:t xml:space="preserve">digitālo pierādījumu izpētes un apstrādes laboratorijas </w:t>
      </w:r>
      <w:r w:rsidR="001C61B2" w:rsidRPr="00210898">
        <w:rPr>
          <w:szCs w:val="26"/>
          <w:lang w:val="lv-LV"/>
        </w:rPr>
        <w:t>izveidošana</w:t>
      </w:r>
      <w:r w:rsidRPr="00210898">
        <w:rPr>
          <w:szCs w:val="26"/>
          <w:lang w:val="lv-LV"/>
        </w:rPr>
        <w:t xml:space="preserve">. </w:t>
      </w:r>
      <w:r w:rsidR="001C61B2" w:rsidRPr="00201BE7">
        <w:rPr>
          <w:szCs w:val="26"/>
          <w:lang w:val="lv-LV"/>
        </w:rPr>
        <w:t xml:space="preserve">IT kapacitātes </w:t>
      </w:r>
      <w:r w:rsidRPr="00210898">
        <w:rPr>
          <w:szCs w:val="26"/>
          <w:lang w:val="lv-LV"/>
        </w:rPr>
        <w:t xml:space="preserve">stiprināšanas </w:t>
      </w:r>
      <w:r w:rsidR="001C61B2" w:rsidRPr="00201BE7">
        <w:rPr>
          <w:szCs w:val="26"/>
          <w:lang w:val="lv-LV"/>
        </w:rPr>
        <w:t>pasākumu provizoriskās izmaksas</w:t>
      </w:r>
      <w:r w:rsidR="001C61B2">
        <w:rPr>
          <w:szCs w:val="26"/>
          <w:lang w:val="lv-LV"/>
        </w:rPr>
        <w:t xml:space="preserve"> (2020.g. – 128 700 </w:t>
      </w:r>
      <w:proofErr w:type="spellStart"/>
      <w:r w:rsidR="001C61B2" w:rsidRPr="0034670F">
        <w:rPr>
          <w:i/>
          <w:lang w:val="lv-LV"/>
        </w:rPr>
        <w:t>euro</w:t>
      </w:r>
      <w:proofErr w:type="spellEnd"/>
      <w:r w:rsidR="001C61B2">
        <w:rPr>
          <w:szCs w:val="26"/>
          <w:lang w:val="lv-LV"/>
        </w:rPr>
        <w:t xml:space="preserve">, 2021.gadā – 78 700 </w:t>
      </w:r>
      <w:proofErr w:type="spellStart"/>
      <w:r w:rsidR="001C61B2" w:rsidRPr="0034670F">
        <w:rPr>
          <w:i/>
          <w:lang w:val="lv-LV"/>
        </w:rPr>
        <w:t>euro</w:t>
      </w:r>
      <w:proofErr w:type="spellEnd"/>
      <w:r w:rsidR="001C61B2">
        <w:rPr>
          <w:szCs w:val="26"/>
          <w:lang w:val="lv-LV"/>
        </w:rPr>
        <w:t>, 2022.gadā – 72</w:t>
      </w:r>
      <w:r w:rsidR="00F9727B">
        <w:rPr>
          <w:szCs w:val="26"/>
          <w:lang w:val="lv-LV"/>
        </w:rPr>
        <w:t> </w:t>
      </w:r>
      <w:r w:rsidR="001C61B2">
        <w:rPr>
          <w:szCs w:val="26"/>
          <w:lang w:val="lv-LV"/>
        </w:rPr>
        <w:t xml:space="preserve">400 </w:t>
      </w:r>
      <w:proofErr w:type="spellStart"/>
      <w:r w:rsidR="001C61B2" w:rsidRPr="0034670F">
        <w:rPr>
          <w:i/>
          <w:lang w:val="lv-LV"/>
        </w:rPr>
        <w:t>euro</w:t>
      </w:r>
      <w:proofErr w:type="spellEnd"/>
      <w:r w:rsidR="001C61B2">
        <w:rPr>
          <w:szCs w:val="26"/>
          <w:lang w:val="lv-LV"/>
        </w:rPr>
        <w:t xml:space="preserve">) veido nepieciešamie uzturēšanas izdevumi, kas saistīti ar digitālo pierādījumu apstrādei paredzētas IT laboratorijas izveidošanu, kādas ir citās ES dalībvalstīs, kā arī </w:t>
      </w:r>
      <w:r w:rsidRPr="00210898">
        <w:rPr>
          <w:szCs w:val="26"/>
          <w:lang w:val="lv-LV"/>
        </w:rPr>
        <w:t>regulārie izdevumi jaunveidojamai</w:t>
      </w:r>
      <w:r w:rsidR="001C61B2">
        <w:rPr>
          <w:szCs w:val="26"/>
          <w:lang w:val="lv-LV"/>
        </w:rPr>
        <w:t xml:space="preserve"> digitālo pierādījumu apstrādes </w:t>
      </w:r>
      <w:r w:rsidRPr="00210898">
        <w:rPr>
          <w:szCs w:val="26"/>
          <w:lang w:val="lv-LV"/>
        </w:rPr>
        <w:t xml:space="preserve">speciālista </w:t>
      </w:r>
      <w:r w:rsidR="001C61B2">
        <w:rPr>
          <w:szCs w:val="26"/>
          <w:lang w:val="lv-LV"/>
        </w:rPr>
        <w:t>amata vietai</w:t>
      </w:r>
      <w:r w:rsidRPr="00210898">
        <w:rPr>
          <w:szCs w:val="26"/>
          <w:lang w:val="lv-LV"/>
        </w:rPr>
        <w:t xml:space="preserve"> un </w:t>
      </w:r>
      <w:r w:rsidR="001C61B2">
        <w:rPr>
          <w:szCs w:val="26"/>
          <w:lang w:val="lv-LV"/>
        </w:rPr>
        <w:t xml:space="preserve">personāla </w:t>
      </w:r>
      <w:r w:rsidR="001C61B2" w:rsidRPr="00210898">
        <w:rPr>
          <w:szCs w:val="26"/>
          <w:lang w:val="lv-LV"/>
        </w:rPr>
        <w:t>patstāvīg</w:t>
      </w:r>
      <w:r w:rsidRPr="00210898">
        <w:rPr>
          <w:szCs w:val="26"/>
          <w:lang w:val="lv-LV"/>
        </w:rPr>
        <w:t>ām</w:t>
      </w:r>
      <w:r w:rsidR="001C61B2" w:rsidRPr="00210898">
        <w:rPr>
          <w:szCs w:val="26"/>
          <w:lang w:val="lv-LV"/>
        </w:rPr>
        <w:t xml:space="preserve"> </w:t>
      </w:r>
      <w:r w:rsidR="001C61B2">
        <w:rPr>
          <w:szCs w:val="26"/>
          <w:lang w:val="lv-LV"/>
        </w:rPr>
        <w:t>apmācīb</w:t>
      </w:r>
      <w:r>
        <w:rPr>
          <w:szCs w:val="26"/>
          <w:lang w:val="lv-LV"/>
        </w:rPr>
        <w:t>ām</w:t>
      </w:r>
      <w:r w:rsidR="0034670F">
        <w:rPr>
          <w:szCs w:val="26"/>
          <w:lang w:val="lv-LV"/>
        </w:rPr>
        <w:t xml:space="preserve"> </w:t>
      </w:r>
      <w:r w:rsidR="001C61B2">
        <w:rPr>
          <w:szCs w:val="26"/>
          <w:lang w:val="lv-LV"/>
        </w:rPr>
        <w:t xml:space="preserve">darbam ar speciālo programmatūru. Minētais </w:t>
      </w:r>
      <w:r w:rsidR="00F9727B">
        <w:rPr>
          <w:szCs w:val="26"/>
          <w:lang w:val="lv-LV"/>
        </w:rPr>
        <w:t xml:space="preserve">ir </w:t>
      </w:r>
      <w:r w:rsidR="001C61B2">
        <w:rPr>
          <w:szCs w:val="26"/>
          <w:lang w:val="lv-LV"/>
        </w:rPr>
        <w:t>būtisks</w:t>
      </w:r>
      <w:r w:rsidRPr="00F9727B">
        <w:rPr>
          <w:szCs w:val="26"/>
          <w:lang w:val="lv-LV"/>
        </w:rPr>
        <w:t>,</w:t>
      </w:r>
      <w:r w:rsidR="001C61B2">
        <w:rPr>
          <w:szCs w:val="26"/>
          <w:lang w:val="lv-LV"/>
        </w:rPr>
        <w:t xml:space="preserve"> nodrošinot Līguma par Eiropas Savienības darbību 101.panta un citu pārkāpumu </w:t>
      </w:r>
      <w:r w:rsidRPr="00210898">
        <w:rPr>
          <w:szCs w:val="26"/>
          <w:lang w:val="lv-LV"/>
        </w:rPr>
        <w:t xml:space="preserve">efektīvu </w:t>
      </w:r>
      <w:r w:rsidR="001C61B2">
        <w:rPr>
          <w:szCs w:val="26"/>
          <w:lang w:val="lv-LV"/>
        </w:rPr>
        <w:t xml:space="preserve">izmeklēšanu, Padomes Regulas 1/2003 izpildi un Padomes </w:t>
      </w:r>
      <w:r w:rsidR="001C61B2" w:rsidRPr="00201BE7">
        <w:rPr>
          <w:color w:val="000000" w:themeColor="text1"/>
          <w:szCs w:val="26"/>
          <w:shd w:val="clear" w:color="auto" w:fill="FFFFFF"/>
          <w:lang w:val="lv-LV"/>
        </w:rPr>
        <w:t xml:space="preserve">2018.gada 11.decembra </w:t>
      </w:r>
      <w:r w:rsidR="001C61B2" w:rsidRPr="00201BE7">
        <w:rPr>
          <w:color w:val="000000" w:themeColor="text1"/>
          <w:szCs w:val="26"/>
          <w:shd w:val="clear" w:color="auto" w:fill="FFFFFF"/>
          <w:lang w:val="lv-LV"/>
        </w:rPr>
        <w:t>direktīv</w:t>
      </w:r>
      <w:r>
        <w:rPr>
          <w:color w:val="000000" w:themeColor="text1"/>
          <w:szCs w:val="26"/>
          <w:shd w:val="clear" w:color="auto" w:fill="FFFFFF"/>
          <w:lang w:val="lv-LV"/>
        </w:rPr>
        <w:t>a</w:t>
      </w:r>
      <w:r w:rsidR="001C61B2" w:rsidRPr="00201BE7">
        <w:rPr>
          <w:color w:val="000000" w:themeColor="text1"/>
          <w:szCs w:val="26"/>
          <w:shd w:val="clear" w:color="auto" w:fill="FFFFFF"/>
          <w:lang w:val="lv-LV"/>
        </w:rPr>
        <w:t>s</w:t>
      </w:r>
      <w:r w:rsidR="0034670F">
        <w:rPr>
          <w:color w:val="000000" w:themeColor="text1"/>
          <w:szCs w:val="26"/>
          <w:shd w:val="clear" w:color="auto" w:fill="FFFFFF"/>
          <w:lang w:val="lv-LV"/>
        </w:rPr>
        <w:t xml:space="preserve"> </w:t>
      </w:r>
      <w:r w:rsidR="001C61B2" w:rsidRPr="00201BE7">
        <w:rPr>
          <w:color w:val="000000" w:themeColor="text1"/>
          <w:szCs w:val="26"/>
          <w:shd w:val="clear" w:color="auto" w:fill="FFFFFF"/>
          <w:lang w:val="lv-LV"/>
        </w:rPr>
        <w:t>(ES) 2019/1</w:t>
      </w:r>
      <w:r w:rsidR="001C61B2">
        <w:rPr>
          <w:color w:val="000000" w:themeColor="text1"/>
          <w:szCs w:val="26"/>
          <w:shd w:val="clear" w:color="auto" w:fill="FFFFFF"/>
          <w:lang w:val="lv-LV"/>
        </w:rPr>
        <w:t xml:space="preserve"> ieviešanu.</w:t>
      </w:r>
    </w:p>
    <w:p w14:paraId="6E5D1C1F" w14:textId="2834E11D" w:rsidR="001C61B2" w:rsidRPr="00B643D9" w:rsidRDefault="001C61B2" w:rsidP="001C61B2">
      <w:pPr>
        <w:widowControl/>
        <w:spacing w:before="120" w:after="0" w:line="240" w:lineRule="auto"/>
        <w:rPr>
          <w:szCs w:val="26"/>
          <w:lang w:val="lv-LV"/>
        </w:rPr>
      </w:pPr>
      <w:r w:rsidRPr="008B2E50">
        <w:rPr>
          <w:szCs w:val="26"/>
          <w:lang w:val="lv-LV"/>
        </w:rPr>
        <w:t xml:space="preserve">Otrkārt, tas skar </w:t>
      </w:r>
      <w:r>
        <w:rPr>
          <w:szCs w:val="26"/>
          <w:lang w:val="lv-LV"/>
        </w:rPr>
        <w:t xml:space="preserve">konkurences iestādes </w:t>
      </w:r>
      <w:r w:rsidRPr="008B2E50">
        <w:rPr>
          <w:szCs w:val="26"/>
          <w:lang w:val="lv-LV"/>
        </w:rPr>
        <w:t>pilnvaru jautājumu, kur izceļama</w:t>
      </w:r>
      <w:r w:rsidRPr="00222AC7">
        <w:rPr>
          <w:szCs w:val="26"/>
          <w:lang w:val="lv-LV"/>
        </w:rPr>
        <w:t xml:space="preserve"> ir </w:t>
      </w:r>
      <w:r w:rsidRPr="00210898">
        <w:rPr>
          <w:szCs w:val="26"/>
          <w:lang w:val="lv-LV"/>
        </w:rPr>
        <w:t>K</w:t>
      </w:r>
      <w:r w:rsidR="007B4AA6" w:rsidRPr="00210898">
        <w:rPr>
          <w:szCs w:val="26"/>
          <w:lang w:val="lv-LV"/>
        </w:rPr>
        <w:t>onkurences padomes</w:t>
      </w:r>
      <w:r w:rsidR="0034670F">
        <w:rPr>
          <w:szCs w:val="26"/>
          <w:lang w:val="lv-LV"/>
        </w:rPr>
        <w:t xml:space="preserve"> </w:t>
      </w:r>
      <w:r w:rsidRPr="00222AC7">
        <w:rPr>
          <w:szCs w:val="26"/>
          <w:lang w:val="lv-LV"/>
        </w:rPr>
        <w:t>iniciatīva par KL pārkāpumiem noteikt administratīvo atbildību arī uzņēmumu amatpersonām. KL paredz uzņēmuma atbildību par iesaistīšanos kartelī</w:t>
      </w:r>
      <w:r w:rsidR="0066641F" w:rsidRPr="00210898">
        <w:rPr>
          <w:szCs w:val="26"/>
          <w:lang w:val="lv-LV"/>
        </w:rPr>
        <w:t>, tomēr neparedz amatpersonu atbildību</w:t>
      </w:r>
      <w:r w:rsidRPr="00210898">
        <w:rPr>
          <w:szCs w:val="26"/>
          <w:lang w:val="lv-LV"/>
        </w:rPr>
        <w:t>. K</w:t>
      </w:r>
      <w:r w:rsidR="007B4AA6" w:rsidRPr="00210898">
        <w:rPr>
          <w:szCs w:val="26"/>
          <w:lang w:val="lv-LV"/>
        </w:rPr>
        <w:t xml:space="preserve">onkurences </w:t>
      </w:r>
      <w:r w:rsidR="007B4AA6" w:rsidRPr="00210898">
        <w:rPr>
          <w:szCs w:val="26"/>
          <w:lang w:val="lv-LV"/>
        </w:rPr>
        <w:lastRenderedPageBreak/>
        <w:t>padome</w:t>
      </w:r>
      <w:r w:rsidR="0034670F">
        <w:rPr>
          <w:szCs w:val="26"/>
          <w:lang w:val="lv-LV"/>
        </w:rPr>
        <w:t xml:space="preserve"> </w:t>
      </w:r>
      <w:r w:rsidRPr="00B643D9">
        <w:rPr>
          <w:szCs w:val="26"/>
          <w:lang w:val="lv-LV"/>
        </w:rPr>
        <w:t xml:space="preserve">izstrādāja priekšlikumu par uzņēmumu amatpersonu atbildību, paredzot sankcijas naudas soda un </w:t>
      </w:r>
      <w:r w:rsidR="0066641F" w:rsidRPr="00210898">
        <w:rPr>
          <w:szCs w:val="26"/>
          <w:lang w:val="lv-LV"/>
        </w:rPr>
        <w:t xml:space="preserve">ierobežojumus </w:t>
      </w:r>
      <w:r w:rsidRPr="00B643D9">
        <w:rPr>
          <w:szCs w:val="26"/>
          <w:lang w:val="lv-LV"/>
        </w:rPr>
        <w:t xml:space="preserve">personas </w:t>
      </w:r>
      <w:r w:rsidRPr="00210898">
        <w:rPr>
          <w:szCs w:val="26"/>
          <w:lang w:val="lv-LV"/>
        </w:rPr>
        <w:t>tiesīb</w:t>
      </w:r>
      <w:r w:rsidR="0066641F" w:rsidRPr="00210898">
        <w:rPr>
          <w:szCs w:val="26"/>
          <w:lang w:val="lv-LV"/>
        </w:rPr>
        <w:t xml:space="preserve">ām </w:t>
      </w:r>
      <w:r w:rsidRPr="00B643D9">
        <w:rPr>
          <w:szCs w:val="26"/>
          <w:lang w:val="lv-LV"/>
        </w:rPr>
        <w:t xml:space="preserve">veikt uzņēmējdarbību vai ieņemt noteiktu </w:t>
      </w:r>
      <w:r w:rsidR="0066641F" w:rsidRPr="00210898">
        <w:rPr>
          <w:szCs w:val="26"/>
          <w:lang w:val="lv-LV"/>
        </w:rPr>
        <w:t>amatu</w:t>
      </w:r>
      <w:r w:rsidRPr="00B643D9">
        <w:rPr>
          <w:szCs w:val="26"/>
          <w:lang w:val="lv-LV"/>
        </w:rPr>
        <w:t xml:space="preserve">. </w:t>
      </w:r>
      <w:r w:rsidR="0066641F" w:rsidRPr="00210898">
        <w:rPr>
          <w:szCs w:val="26"/>
          <w:lang w:val="lv-LV"/>
        </w:rPr>
        <w:t xml:space="preserve">Piedāvājamā </w:t>
      </w:r>
      <w:r>
        <w:rPr>
          <w:szCs w:val="26"/>
          <w:lang w:val="lv-LV"/>
        </w:rPr>
        <w:t xml:space="preserve">regulējuma mērķis ir paredzēt atbildību par šādu pārkāpumu uzņēmumu vadošajām amatpersonām, </w:t>
      </w:r>
      <w:r w:rsidR="00E7619B">
        <w:rPr>
          <w:szCs w:val="26"/>
          <w:lang w:val="lv-LV"/>
        </w:rPr>
        <w:t xml:space="preserve">efektīvāk </w:t>
      </w:r>
      <w:r>
        <w:rPr>
          <w:szCs w:val="26"/>
          <w:lang w:val="lv-LV"/>
        </w:rPr>
        <w:t>nodrošinot atturēšanu no pārkāpuma izdarīšanas nākotnē. Kā papildu administratīvās atbildības veids tas ir noteikts uzņēmumu amatpersonām arī citās Eiropas Savienības dalībvalstīs (piemēram, Lietuvā, Nīderlandē, Spānijā, Slovēnijā, Zviedrijā u.c.).</w:t>
      </w:r>
    </w:p>
    <w:p w14:paraId="050CB25F" w14:textId="411F57CE" w:rsidR="001C61B2" w:rsidRDefault="001C61B2" w:rsidP="001C61B2">
      <w:pPr>
        <w:widowControl/>
        <w:spacing w:before="120" w:after="0" w:line="240" w:lineRule="auto"/>
        <w:rPr>
          <w:szCs w:val="26"/>
          <w:lang w:val="lv-LV"/>
        </w:rPr>
      </w:pPr>
      <w:r w:rsidRPr="00210898">
        <w:rPr>
          <w:szCs w:val="26"/>
          <w:lang w:val="lv-LV"/>
        </w:rPr>
        <w:t>K</w:t>
      </w:r>
      <w:r w:rsidR="007B4AA6" w:rsidRPr="00210898">
        <w:rPr>
          <w:szCs w:val="26"/>
          <w:lang w:val="lv-LV"/>
        </w:rPr>
        <w:t>onkurences padome</w:t>
      </w:r>
      <w:r w:rsidRPr="00210898">
        <w:rPr>
          <w:szCs w:val="26"/>
          <w:lang w:val="lv-LV"/>
        </w:rPr>
        <w:t xml:space="preserve"> </w:t>
      </w:r>
      <w:r w:rsidR="0066641F">
        <w:rPr>
          <w:szCs w:val="26"/>
          <w:lang w:val="lv-LV"/>
        </w:rPr>
        <w:t>koncepciju</w:t>
      </w:r>
      <w:r w:rsidR="00E7619B">
        <w:rPr>
          <w:szCs w:val="26"/>
          <w:lang w:val="lv-LV"/>
        </w:rPr>
        <w:t xml:space="preserve"> </w:t>
      </w:r>
      <w:r>
        <w:rPr>
          <w:szCs w:val="26"/>
          <w:lang w:val="lv-LV"/>
        </w:rPr>
        <w:t xml:space="preserve">iespējamiem grozījumiem </w:t>
      </w:r>
      <w:r w:rsidR="00E7619B">
        <w:rPr>
          <w:szCs w:val="26"/>
          <w:lang w:val="lv-LV"/>
        </w:rPr>
        <w:t>normatīvajā</w:t>
      </w:r>
      <w:r w:rsidR="00E7619B" w:rsidRPr="00210898">
        <w:rPr>
          <w:szCs w:val="26"/>
          <w:lang w:val="lv-LV"/>
        </w:rPr>
        <w:t xml:space="preserve"> </w:t>
      </w:r>
      <w:r>
        <w:rPr>
          <w:szCs w:val="26"/>
          <w:lang w:val="lv-LV"/>
        </w:rPr>
        <w:t xml:space="preserve">regulējumā atbildības noteikšanai, t.sk. </w:t>
      </w:r>
      <w:proofErr w:type="spellStart"/>
      <w:r>
        <w:rPr>
          <w:szCs w:val="26"/>
          <w:lang w:val="lv-LV"/>
        </w:rPr>
        <w:t>izvērtējumu</w:t>
      </w:r>
      <w:proofErr w:type="spellEnd"/>
      <w:r w:rsidR="00E7619B">
        <w:rPr>
          <w:szCs w:val="26"/>
          <w:lang w:val="lv-LV"/>
        </w:rPr>
        <w:t xml:space="preserve"> </w:t>
      </w:r>
      <w:r w:rsidR="00665BDA" w:rsidRPr="00210898">
        <w:rPr>
          <w:szCs w:val="26"/>
          <w:lang w:val="lv-LV"/>
        </w:rPr>
        <w:t>par</w:t>
      </w:r>
      <w:r>
        <w:rPr>
          <w:szCs w:val="26"/>
          <w:lang w:val="lv-LV"/>
        </w:rPr>
        <w:t xml:space="preserve"> </w:t>
      </w:r>
      <w:r w:rsidRPr="00B643D9">
        <w:rPr>
          <w:szCs w:val="26"/>
          <w:lang w:val="lv-LV"/>
        </w:rPr>
        <w:t>citu valstu praksi</w:t>
      </w:r>
      <w:r>
        <w:rPr>
          <w:szCs w:val="26"/>
          <w:lang w:val="lv-LV"/>
        </w:rPr>
        <w:t xml:space="preserve">, kur tiek piemērota administratīvā atbildība </w:t>
      </w:r>
      <w:r w:rsidRPr="00B643D9">
        <w:rPr>
          <w:szCs w:val="26"/>
          <w:lang w:val="lv-LV"/>
        </w:rPr>
        <w:t>uzņēmuma amatpersonām</w:t>
      </w:r>
      <w:r>
        <w:rPr>
          <w:szCs w:val="26"/>
          <w:lang w:val="lv-LV"/>
        </w:rPr>
        <w:t xml:space="preserve">, </w:t>
      </w:r>
      <w:r w:rsidRPr="00B643D9">
        <w:rPr>
          <w:szCs w:val="26"/>
          <w:lang w:val="lv-LV"/>
        </w:rPr>
        <w:t>2019.</w:t>
      </w:r>
      <w:r w:rsidR="00F9727B">
        <w:rPr>
          <w:szCs w:val="26"/>
          <w:lang w:val="lv-LV"/>
        </w:rPr>
        <w:t>gada 21.maijā</w:t>
      </w:r>
      <w:r w:rsidRPr="00B643D9">
        <w:rPr>
          <w:szCs w:val="26"/>
          <w:lang w:val="lv-LV"/>
        </w:rPr>
        <w:t xml:space="preserve"> iesniedza konsultācijai Tieslietu ministrijai</w:t>
      </w:r>
      <w:r>
        <w:rPr>
          <w:szCs w:val="26"/>
          <w:lang w:val="lv-LV"/>
        </w:rPr>
        <w:t xml:space="preserve"> (TM)</w:t>
      </w:r>
      <w:r w:rsidRPr="00B643D9">
        <w:rPr>
          <w:szCs w:val="26"/>
          <w:lang w:val="lv-LV"/>
        </w:rPr>
        <w:t xml:space="preserve">. Pašlaik projekta tālāka virzība ir saistīta ar TM veiktu </w:t>
      </w:r>
      <w:proofErr w:type="spellStart"/>
      <w:r w:rsidRPr="00B643D9">
        <w:rPr>
          <w:szCs w:val="26"/>
          <w:lang w:val="lv-LV"/>
        </w:rPr>
        <w:t>izvērtējumu</w:t>
      </w:r>
      <w:proofErr w:type="spellEnd"/>
      <w:r w:rsidRPr="00B643D9">
        <w:rPr>
          <w:szCs w:val="26"/>
          <w:lang w:val="lv-LV"/>
        </w:rPr>
        <w:t xml:space="preserve"> attiecībā uz piespiedu ietekmēšanas līdzekļu nepieciešamību un to piemērošanas procesu  (Ministru kabineta 2019. gada 14. maija sēdes protokola Nr. 24 15. § 4. punkts), kuru plānots pabeigt līdz 2019.gada 31.decembrim.</w:t>
      </w:r>
    </w:p>
    <w:p w14:paraId="5323A992" w14:textId="77777777" w:rsidR="001C61B2" w:rsidRDefault="001C61B2" w:rsidP="001C61B2">
      <w:pPr>
        <w:widowControl/>
        <w:spacing w:before="120" w:after="0" w:line="240" w:lineRule="auto"/>
        <w:ind w:firstLine="0"/>
        <w:rPr>
          <w:b/>
          <w:bCs/>
          <w:szCs w:val="26"/>
          <w:lang w:val="lv-LV"/>
        </w:rPr>
      </w:pPr>
    </w:p>
    <w:p w14:paraId="1A2D35AF" w14:textId="77777777" w:rsidR="001C61B2" w:rsidRPr="00BF75D6" w:rsidRDefault="001C61B2" w:rsidP="001C61B2">
      <w:pPr>
        <w:widowControl/>
        <w:spacing w:before="120" w:after="0" w:line="240" w:lineRule="auto"/>
        <w:ind w:firstLine="0"/>
        <w:rPr>
          <w:b/>
          <w:bCs/>
          <w:szCs w:val="26"/>
          <w:lang w:val="lv-LV"/>
        </w:rPr>
      </w:pPr>
      <w:r w:rsidRPr="00BF75D6">
        <w:rPr>
          <w:b/>
          <w:bCs/>
          <w:szCs w:val="26"/>
          <w:lang w:val="lv-LV"/>
        </w:rPr>
        <w:t>Risinājumi:</w:t>
      </w:r>
    </w:p>
    <w:p w14:paraId="537146C7" w14:textId="68CBD239" w:rsidR="001C61B2" w:rsidRPr="00BF75D6" w:rsidRDefault="00E7619B" w:rsidP="001C61B2">
      <w:pPr>
        <w:pStyle w:val="ListParagraph"/>
        <w:widowControl/>
        <w:numPr>
          <w:ilvl w:val="0"/>
          <w:numId w:val="15"/>
        </w:numPr>
        <w:spacing w:before="120" w:after="0" w:line="240" w:lineRule="auto"/>
        <w:rPr>
          <w:b/>
          <w:bCs/>
          <w:szCs w:val="26"/>
          <w:lang w:val="lv-LV"/>
        </w:rPr>
      </w:pPr>
      <w:r>
        <w:rPr>
          <w:b/>
          <w:bCs/>
          <w:szCs w:val="26"/>
          <w:lang w:val="lv-LV"/>
        </w:rPr>
        <w:t>Vērtēt iespēju n</w:t>
      </w:r>
      <w:r w:rsidR="001C61B2" w:rsidRPr="00BF75D6">
        <w:rPr>
          <w:b/>
          <w:bCs/>
          <w:szCs w:val="26"/>
          <w:lang w:val="lv-LV"/>
        </w:rPr>
        <w:t xml:space="preserve">odrošināt </w:t>
      </w:r>
      <w:r w:rsidR="001C61B2" w:rsidRPr="00210898">
        <w:rPr>
          <w:b/>
          <w:bCs/>
          <w:szCs w:val="26"/>
          <w:lang w:val="lv-LV"/>
        </w:rPr>
        <w:t>K</w:t>
      </w:r>
      <w:r w:rsidR="007B4AA6" w:rsidRPr="00210898">
        <w:rPr>
          <w:b/>
          <w:bCs/>
          <w:szCs w:val="26"/>
          <w:lang w:val="lv-LV"/>
        </w:rPr>
        <w:t xml:space="preserve">onkurences </w:t>
      </w:r>
      <w:r>
        <w:rPr>
          <w:b/>
          <w:bCs/>
          <w:szCs w:val="26"/>
          <w:lang w:val="lv-LV"/>
        </w:rPr>
        <w:t>padomei</w:t>
      </w:r>
      <w:r w:rsidRPr="00210898">
        <w:rPr>
          <w:b/>
          <w:bCs/>
          <w:szCs w:val="26"/>
          <w:lang w:val="lv-LV"/>
        </w:rPr>
        <w:t xml:space="preserve"> </w:t>
      </w:r>
      <w:r w:rsidR="001C61B2" w:rsidRPr="00BF75D6">
        <w:rPr>
          <w:b/>
          <w:bCs/>
          <w:szCs w:val="26"/>
          <w:lang w:val="lv-LV"/>
        </w:rPr>
        <w:t xml:space="preserve">papildu finansējuma piešķiršanu, lai panāktu efektīvu </w:t>
      </w:r>
      <w:r w:rsidR="007B4AA6" w:rsidRPr="00861C72">
        <w:rPr>
          <w:b/>
          <w:bCs/>
          <w:szCs w:val="26"/>
          <w:lang w:val="lv-LV"/>
        </w:rPr>
        <w:t>KL</w:t>
      </w:r>
      <w:r w:rsidR="001C61B2">
        <w:rPr>
          <w:b/>
          <w:bCs/>
          <w:szCs w:val="26"/>
          <w:lang w:val="lv-LV"/>
        </w:rPr>
        <w:t xml:space="preserve"> un ES konkurenci regulējošajos tiesību aktos noteikto  </w:t>
      </w:r>
      <w:r w:rsidR="001C61B2" w:rsidRPr="00BF75D6">
        <w:rPr>
          <w:b/>
          <w:bCs/>
          <w:szCs w:val="26"/>
          <w:lang w:val="lv-LV"/>
        </w:rPr>
        <w:t xml:space="preserve">funkciju </w:t>
      </w:r>
      <w:r w:rsidR="001C61B2" w:rsidRPr="00BF75D6">
        <w:rPr>
          <w:b/>
          <w:bCs/>
          <w:szCs w:val="26"/>
          <w:lang w:val="lv-LV"/>
        </w:rPr>
        <w:t>izpild</w:t>
      </w:r>
      <w:r w:rsidR="00665BDA">
        <w:rPr>
          <w:b/>
          <w:bCs/>
          <w:szCs w:val="26"/>
          <w:lang w:val="lv-LV"/>
        </w:rPr>
        <w:t>i</w:t>
      </w:r>
      <w:r w:rsidR="001C61B2">
        <w:rPr>
          <w:b/>
          <w:bCs/>
          <w:szCs w:val="26"/>
          <w:lang w:val="lv-LV"/>
        </w:rPr>
        <w:t xml:space="preserve">, t.sk. </w:t>
      </w:r>
      <w:r w:rsidR="00665BDA" w:rsidRPr="00210898">
        <w:rPr>
          <w:b/>
          <w:bCs/>
          <w:szCs w:val="26"/>
          <w:lang w:val="lv-LV"/>
        </w:rPr>
        <w:t xml:space="preserve">iepirkuma </w:t>
      </w:r>
      <w:r w:rsidR="001C61B2">
        <w:rPr>
          <w:b/>
          <w:bCs/>
          <w:szCs w:val="26"/>
          <w:lang w:val="lv-LV"/>
        </w:rPr>
        <w:t xml:space="preserve">karteļu </w:t>
      </w:r>
      <w:r w:rsidR="00665BDA" w:rsidRPr="00210898">
        <w:rPr>
          <w:b/>
          <w:bCs/>
          <w:szCs w:val="26"/>
          <w:lang w:val="lv-LV"/>
        </w:rPr>
        <w:t xml:space="preserve">izmeklēšanai </w:t>
      </w:r>
      <w:r w:rsidR="001C61B2">
        <w:rPr>
          <w:b/>
          <w:bCs/>
          <w:szCs w:val="26"/>
          <w:lang w:val="lv-LV"/>
        </w:rPr>
        <w:t xml:space="preserve">un </w:t>
      </w:r>
      <w:r>
        <w:rPr>
          <w:b/>
          <w:bCs/>
          <w:szCs w:val="26"/>
          <w:lang w:val="lv-LV"/>
        </w:rPr>
        <w:t>atklāšanai.</w:t>
      </w:r>
    </w:p>
    <w:p w14:paraId="3BB50FB8" w14:textId="00EAE418" w:rsidR="001C61B2" w:rsidRPr="00BF75D6" w:rsidRDefault="001C61B2" w:rsidP="001C61B2">
      <w:pPr>
        <w:pStyle w:val="ListParagraph"/>
        <w:widowControl/>
        <w:numPr>
          <w:ilvl w:val="0"/>
          <w:numId w:val="15"/>
        </w:numPr>
        <w:spacing w:before="120" w:after="0" w:line="240" w:lineRule="auto"/>
        <w:rPr>
          <w:b/>
          <w:bCs/>
          <w:szCs w:val="26"/>
          <w:lang w:val="lv-LV"/>
        </w:rPr>
      </w:pPr>
      <w:r w:rsidRPr="00BF75D6">
        <w:rPr>
          <w:b/>
          <w:bCs/>
          <w:szCs w:val="26"/>
          <w:lang w:val="lv-LV"/>
        </w:rPr>
        <w:t xml:space="preserve">Pēc TM sniegtā </w:t>
      </w:r>
      <w:proofErr w:type="spellStart"/>
      <w:r w:rsidRPr="00BF75D6">
        <w:rPr>
          <w:b/>
          <w:bCs/>
          <w:szCs w:val="26"/>
          <w:lang w:val="lv-LV"/>
        </w:rPr>
        <w:t>izvērtējuma</w:t>
      </w:r>
      <w:proofErr w:type="spellEnd"/>
      <w:r w:rsidRPr="00BF75D6">
        <w:rPr>
          <w:b/>
          <w:bCs/>
          <w:szCs w:val="26"/>
          <w:lang w:val="lv-LV"/>
        </w:rPr>
        <w:t xml:space="preserve"> EM </w:t>
      </w:r>
      <w:r>
        <w:rPr>
          <w:b/>
          <w:bCs/>
          <w:szCs w:val="26"/>
          <w:lang w:val="lv-LV"/>
        </w:rPr>
        <w:t>l</w:t>
      </w:r>
      <w:r w:rsidR="00E2400D">
        <w:rPr>
          <w:b/>
          <w:bCs/>
          <w:szCs w:val="26"/>
          <w:lang w:val="lv-LV"/>
        </w:rPr>
        <w:t>ū</w:t>
      </w:r>
      <w:r>
        <w:rPr>
          <w:b/>
          <w:bCs/>
          <w:szCs w:val="26"/>
          <w:lang w:val="lv-LV"/>
        </w:rPr>
        <w:t>dz</w:t>
      </w:r>
      <w:r w:rsidR="00E7619B">
        <w:rPr>
          <w:b/>
          <w:bCs/>
          <w:szCs w:val="26"/>
          <w:lang w:val="lv-LV"/>
        </w:rPr>
        <w:t xml:space="preserve"> </w:t>
      </w:r>
      <w:r w:rsidRPr="00BF75D6">
        <w:rPr>
          <w:b/>
          <w:bCs/>
          <w:szCs w:val="26"/>
          <w:lang w:val="lv-LV"/>
        </w:rPr>
        <w:t xml:space="preserve">nodrošināt grozījumu virzību, </w:t>
      </w:r>
      <w:r>
        <w:rPr>
          <w:b/>
          <w:bCs/>
          <w:szCs w:val="26"/>
          <w:lang w:val="lv-LV"/>
        </w:rPr>
        <w:t xml:space="preserve">lai papildinātu </w:t>
      </w:r>
      <w:r w:rsidRPr="00210898">
        <w:rPr>
          <w:b/>
          <w:bCs/>
          <w:szCs w:val="26"/>
          <w:lang w:val="lv-LV"/>
        </w:rPr>
        <w:t>K</w:t>
      </w:r>
      <w:r w:rsidR="007B4AA6" w:rsidRPr="00210898">
        <w:rPr>
          <w:b/>
          <w:bCs/>
          <w:szCs w:val="26"/>
          <w:lang w:val="lv-LV"/>
        </w:rPr>
        <w:t xml:space="preserve">onkurences </w:t>
      </w:r>
      <w:r w:rsidR="007B4AA6">
        <w:rPr>
          <w:b/>
          <w:bCs/>
          <w:szCs w:val="26"/>
          <w:lang w:val="lv-LV"/>
        </w:rPr>
        <w:t>padomes</w:t>
      </w:r>
      <w:r w:rsidR="00E7619B">
        <w:rPr>
          <w:b/>
          <w:bCs/>
          <w:szCs w:val="26"/>
          <w:lang w:val="lv-LV"/>
        </w:rPr>
        <w:t xml:space="preserve"> </w:t>
      </w:r>
      <w:r w:rsidRPr="00BF75D6">
        <w:rPr>
          <w:b/>
          <w:bCs/>
          <w:szCs w:val="26"/>
          <w:lang w:val="lv-LV"/>
        </w:rPr>
        <w:t xml:space="preserve">pilnvaras </w:t>
      </w:r>
      <w:r>
        <w:rPr>
          <w:b/>
          <w:bCs/>
          <w:szCs w:val="26"/>
          <w:lang w:val="lv-LV"/>
        </w:rPr>
        <w:t>ar efektīvākiem atbildības piemērošanas rīkiem, t.sk. attiecībā uz uzņēmumu amatpersonām</w:t>
      </w:r>
      <w:r w:rsidRPr="00BF75D6">
        <w:rPr>
          <w:b/>
          <w:bCs/>
          <w:szCs w:val="26"/>
          <w:lang w:val="lv-LV"/>
        </w:rPr>
        <w:t>.</w:t>
      </w:r>
    </w:p>
    <w:p w14:paraId="632CC6C2" w14:textId="77777777" w:rsidR="003779C8" w:rsidRPr="002926B4" w:rsidRDefault="003779C8" w:rsidP="003779C8">
      <w:pPr>
        <w:widowControl/>
        <w:spacing w:before="120" w:after="0" w:line="240" w:lineRule="auto"/>
        <w:ind w:firstLine="0"/>
        <w:rPr>
          <w:szCs w:val="26"/>
          <w:lang w:val="lv-LV"/>
        </w:rPr>
      </w:pPr>
    </w:p>
    <w:p w14:paraId="490D1BF0" w14:textId="11A077F7" w:rsidR="00D44958" w:rsidRPr="002926B4" w:rsidRDefault="00B53A30" w:rsidP="00B53A30">
      <w:pPr>
        <w:pStyle w:val="ListParagraph"/>
        <w:widowControl/>
        <w:numPr>
          <w:ilvl w:val="0"/>
          <w:numId w:val="9"/>
        </w:numPr>
        <w:spacing w:before="120" w:after="0" w:line="240" w:lineRule="auto"/>
        <w:rPr>
          <w:szCs w:val="26"/>
          <w:lang w:val="lv-LV"/>
        </w:rPr>
      </w:pPr>
      <w:r w:rsidRPr="002926B4">
        <w:rPr>
          <w:szCs w:val="26"/>
          <w:lang w:val="lv-LV"/>
        </w:rPr>
        <w:t>Sarežģīts un neefektīvs zaudējumu piedziņas process</w:t>
      </w:r>
      <w:r w:rsidR="0015072A" w:rsidRPr="002926B4">
        <w:rPr>
          <w:szCs w:val="26"/>
          <w:lang w:val="lv-LV"/>
        </w:rPr>
        <w:t>.</w:t>
      </w:r>
    </w:p>
    <w:p w14:paraId="54270995" w14:textId="1E8B3FE4" w:rsidR="0015072A" w:rsidRPr="002926B4" w:rsidRDefault="0015072A" w:rsidP="0015072A">
      <w:pPr>
        <w:widowControl/>
        <w:spacing w:before="120" w:after="0" w:line="240" w:lineRule="auto"/>
        <w:rPr>
          <w:szCs w:val="26"/>
          <w:lang w:val="lv-LV"/>
        </w:rPr>
      </w:pPr>
    </w:p>
    <w:p w14:paraId="5F1EDE00" w14:textId="392AA818" w:rsidR="0015072A" w:rsidRPr="002926B4" w:rsidRDefault="0015072A" w:rsidP="0015072A">
      <w:pPr>
        <w:widowControl/>
        <w:spacing w:before="120" w:after="0" w:line="240" w:lineRule="auto"/>
        <w:rPr>
          <w:szCs w:val="26"/>
          <w:lang w:val="lv-LV"/>
        </w:rPr>
      </w:pPr>
      <w:r w:rsidRPr="002926B4">
        <w:rPr>
          <w:szCs w:val="26"/>
          <w:lang w:val="lv-LV"/>
        </w:rPr>
        <w:t xml:space="preserve">Saskaņā ar </w:t>
      </w:r>
      <w:r w:rsidR="001B6EAE">
        <w:rPr>
          <w:szCs w:val="26"/>
          <w:lang w:val="lv-LV"/>
        </w:rPr>
        <w:t>KL</w:t>
      </w:r>
      <w:r w:rsidRPr="002926B4">
        <w:rPr>
          <w:szCs w:val="26"/>
          <w:lang w:val="lv-LV"/>
        </w:rPr>
        <w:t xml:space="preserve"> 21.pantu persona, kura cietusi zaudējumus konkurences tiesību pārkāpuma dēļ, ir tiesīga prasīt un saņemt no pārkāpēja zaudējumu atlīdzību, tai skaitā atrauto peļņu un procentus no dienas, kad zaudējumi radušies, līdz dienai, kad samaksāta zaudējumu atlīdzība, lai nodrošinātu tādu stāvokli, kāds personai būtu bijis, ja konkurences tiesību pārkāpums nebūtu izdarīts. Ja konkurences tiesību pārkāpuma radīto zaudējumu apmēru praktiski nav iespējams noteikt vai ir pārmērīgi grūti precīzi noteikt, tiesa nosaka zaudējumu apmēru, pamatojoties uz lietā esošajiem pierādījumiem.</w:t>
      </w:r>
    </w:p>
    <w:p w14:paraId="004B8129" w14:textId="0692B437" w:rsidR="00C40067" w:rsidRPr="002926B4" w:rsidRDefault="00C40067" w:rsidP="0015072A">
      <w:pPr>
        <w:widowControl/>
        <w:spacing w:before="120" w:after="0" w:line="240" w:lineRule="auto"/>
        <w:rPr>
          <w:szCs w:val="26"/>
          <w:lang w:val="lv-LV"/>
        </w:rPr>
      </w:pPr>
      <w:r w:rsidRPr="002926B4">
        <w:rPr>
          <w:szCs w:val="26"/>
          <w:lang w:val="lv-LV"/>
        </w:rPr>
        <w:t xml:space="preserve">Lai gan ar </w:t>
      </w:r>
      <w:r w:rsidR="003779C8" w:rsidRPr="002926B4">
        <w:rPr>
          <w:szCs w:val="26"/>
          <w:lang w:val="lv-LV"/>
        </w:rPr>
        <w:t xml:space="preserve">KL 2017.gada 5.oktobrī grozījumiem (stājās spēkā 2017.gada 1.novembrī) </w:t>
      </w:r>
      <w:r w:rsidRPr="002926B4">
        <w:rPr>
          <w:szCs w:val="26"/>
          <w:lang w:val="lv-LV"/>
        </w:rPr>
        <w:t xml:space="preserve">ir atvieglots process zaudējumu piedziņai, tai skaitā karteļa vienošanās gadījumā, praksē joprojām pasūtītāji kūtri vēršas pret pārkāpējiem par zaudējumu atlīdzināšanu. Tam varētu būt 2 iemesli, proti, iestādei trūkst zināšanas un kompetence, lai aprēķinātu un pierādītu iestādei nodarītos zaudējumus un celtu prasību tiesā, vai arī iestādes amatpersonas ir iesaistītas </w:t>
      </w:r>
      <w:r w:rsidR="00645DCD" w:rsidRPr="002926B4">
        <w:rPr>
          <w:szCs w:val="26"/>
          <w:lang w:val="lv-LV"/>
        </w:rPr>
        <w:lastRenderedPageBreak/>
        <w:t>prettiesiskās</w:t>
      </w:r>
      <w:r w:rsidRPr="002926B4">
        <w:rPr>
          <w:szCs w:val="26"/>
          <w:lang w:val="lv-LV"/>
        </w:rPr>
        <w:t xml:space="preserve"> darbībā</w:t>
      </w:r>
      <w:r w:rsidR="00756B12" w:rsidRPr="002926B4">
        <w:rPr>
          <w:szCs w:val="26"/>
          <w:lang w:val="lv-LV"/>
        </w:rPr>
        <w:t>s</w:t>
      </w:r>
      <w:r w:rsidRPr="002926B4">
        <w:rPr>
          <w:szCs w:val="26"/>
          <w:lang w:val="lv-LV"/>
        </w:rPr>
        <w:t xml:space="preserve"> </w:t>
      </w:r>
      <w:r w:rsidR="00E902D2" w:rsidRPr="002926B4">
        <w:rPr>
          <w:szCs w:val="26"/>
          <w:lang w:val="lv-LV"/>
        </w:rPr>
        <w:t xml:space="preserve">un nav ieinteresētas (motivētas) vērsties pret uzņēmumu par zaudējumu atlīdzināšanu. </w:t>
      </w:r>
    </w:p>
    <w:p w14:paraId="212CE625" w14:textId="1E344448" w:rsidR="00E902D2" w:rsidRPr="002926B4" w:rsidRDefault="00E902D2" w:rsidP="0015072A">
      <w:pPr>
        <w:widowControl/>
        <w:spacing w:before="120" w:after="0" w:line="240" w:lineRule="auto"/>
        <w:rPr>
          <w:b/>
          <w:bCs/>
          <w:szCs w:val="26"/>
          <w:lang w:val="lv-LV"/>
        </w:rPr>
      </w:pPr>
      <w:r w:rsidRPr="002926B4">
        <w:rPr>
          <w:b/>
          <w:bCs/>
          <w:szCs w:val="26"/>
          <w:lang w:val="lv-LV"/>
        </w:rPr>
        <w:t>Priekšlikumi:</w:t>
      </w:r>
    </w:p>
    <w:p w14:paraId="2147FDE2" w14:textId="5643410B" w:rsidR="003779C8" w:rsidRPr="002926B4" w:rsidRDefault="00B62537" w:rsidP="003779C8">
      <w:pPr>
        <w:pStyle w:val="ListParagraph"/>
        <w:widowControl/>
        <w:numPr>
          <w:ilvl w:val="0"/>
          <w:numId w:val="12"/>
        </w:numPr>
        <w:spacing w:before="120" w:after="0" w:line="240" w:lineRule="auto"/>
        <w:rPr>
          <w:b/>
          <w:bCs/>
          <w:szCs w:val="26"/>
          <w:lang w:val="lv-LV"/>
        </w:rPr>
      </w:pPr>
      <w:r w:rsidRPr="00210898">
        <w:rPr>
          <w:b/>
          <w:bCs/>
          <w:szCs w:val="26"/>
          <w:lang w:val="lv-LV"/>
        </w:rPr>
        <w:t xml:space="preserve">Izvērtēt iespēju piešķirt </w:t>
      </w:r>
      <w:r w:rsidR="003779C8" w:rsidRPr="002926B4">
        <w:rPr>
          <w:b/>
          <w:bCs/>
          <w:szCs w:val="26"/>
          <w:lang w:val="lv-LV"/>
        </w:rPr>
        <w:t xml:space="preserve">kompetenci valsts iestādei centralizēti vērsties ar zaudējumu </w:t>
      </w:r>
      <w:r w:rsidR="007B4AA6" w:rsidRPr="00210898">
        <w:rPr>
          <w:b/>
          <w:bCs/>
          <w:szCs w:val="26"/>
          <w:lang w:val="lv-LV"/>
        </w:rPr>
        <w:t>atlīdzināšanas</w:t>
      </w:r>
      <w:r w:rsidR="003779C8" w:rsidRPr="00210898">
        <w:rPr>
          <w:b/>
          <w:bCs/>
          <w:szCs w:val="26"/>
          <w:lang w:val="lv-LV"/>
        </w:rPr>
        <w:t xml:space="preserve"> </w:t>
      </w:r>
      <w:r w:rsidR="003779C8" w:rsidRPr="002926B4">
        <w:rPr>
          <w:b/>
          <w:bCs/>
          <w:szCs w:val="26"/>
          <w:lang w:val="lv-LV"/>
        </w:rPr>
        <w:t>prasību tiesā pret uzņēmumiem, kas ir pārkāpuši KL regulējumu, gadījumā, ja attiecīgā valsts pārvaldes iestāde, tai skaitā pašvaldība</w:t>
      </w:r>
      <w:r w:rsidR="00665BDA" w:rsidRPr="00210898">
        <w:rPr>
          <w:b/>
          <w:bCs/>
          <w:szCs w:val="26"/>
          <w:lang w:val="lv-LV"/>
        </w:rPr>
        <w:t>,</w:t>
      </w:r>
      <w:r w:rsidR="003779C8" w:rsidRPr="002926B4">
        <w:rPr>
          <w:b/>
          <w:bCs/>
          <w:szCs w:val="26"/>
          <w:lang w:val="lv-LV"/>
        </w:rPr>
        <w:t xml:space="preserve"> noteiktajā termiņā neuzsāk zaudējumu piedziņas procesu.</w:t>
      </w:r>
    </w:p>
    <w:p w14:paraId="61E39267" w14:textId="5EECD527" w:rsidR="003779C8" w:rsidRPr="002926B4" w:rsidRDefault="00B62537" w:rsidP="003779C8">
      <w:pPr>
        <w:pStyle w:val="ListParagraph"/>
        <w:widowControl/>
        <w:numPr>
          <w:ilvl w:val="0"/>
          <w:numId w:val="12"/>
        </w:numPr>
        <w:spacing w:before="120" w:after="0" w:line="240" w:lineRule="auto"/>
        <w:rPr>
          <w:b/>
          <w:bCs/>
          <w:szCs w:val="26"/>
          <w:lang w:val="lv-LV"/>
        </w:rPr>
      </w:pPr>
      <w:r w:rsidRPr="00210898">
        <w:rPr>
          <w:b/>
          <w:bCs/>
          <w:szCs w:val="26"/>
          <w:lang w:val="lv-LV"/>
        </w:rPr>
        <w:t xml:space="preserve">Izvērtēt iespēju izveidot </w:t>
      </w:r>
      <w:r w:rsidR="003779C8" w:rsidRPr="002926B4">
        <w:rPr>
          <w:b/>
          <w:bCs/>
          <w:szCs w:val="26"/>
          <w:lang w:val="lv-LV"/>
        </w:rPr>
        <w:t>metodisku materiālu zaudējumu aprēķināšanai un zaudējumu piedziņai.</w:t>
      </w:r>
    </w:p>
    <w:p w14:paraId="034C737F" w14:textId="073A5DAA" w:rsidR="00E902D2" w:rsidRPr="002926B4" w:rsidRDefault="00B62537" w:rsidP="00E902D2">
      <w:pPr>
        <w:pStyle w:val="ListParagraph"/>
        <w:widowControl/>
        <w:numPr>
          <w:ilvl w:val="0"/>
          <w:numId w:val="12"/>
        </w:numPr>
        <w:spacing w:before="120" w:after="0" w:line="240" w:lineRule="auto"/>
        <w:rPr>
          <w:b/>
          <w:bCs/>
          <w:szCs w:val="26"/>
          <w:lang w:val="lv-LV"/>
        </w:rPr>
      </w:pPr>
      <w:r w:rsidRPr="00210898">
        <w:rPr>
          <w:b/>
          <w:bCs/>
          <w:szCs w:val="26"/>
          <w:lang w:val="lv-LV"/>
        </w:rPr>
        <w:t xml:space="preserve">Izvērtēt iespēju veidot </w:t>
      </w:r>
      <w:r w:rsidR="00E902D2" w:rsidRPr="002926B4">
        <w:rPr>
          <w:b/>
          <w:bCs/>
          <w:szCs w:val="26"/>
          <w:lang w:val="lv-LV"/>
        </w:rPr>
        <w:t>publisko reģistru publisko iepirkumu līgumiem, atspoguļojot sākotnējo līgumu cenu un faktiski samaksāto līguma cenu,</w:t>
      </w:r>
      <w:r w:rsidR="00E7619B">
        <w:rPr>
          <w:b/>
          <w:bCs/>
          <w:szCs w:val="26"/>
          <w:lang w:val="lv-LV"/>
        </w:rPr>
        <w:t xml:space="preserve"> </w:t>
      </w:r>
      <w:r w:rsidR="00E902D2" w:rsidRPr="00210898">
        <w:rPr>
          <w:b/>
          <w:bCs/>
          <w:szCs w:val="26"/>
          <w:lang w:val="lv-LV"/>
        </w:rPr>
        <w:t>sākotnējo</w:t>
      </w:r>
      <w:r w:rsidR="00E7619B">
        <w:rPr>
          <w:b/>
          <w:bCs/>
          <w:szCs w:val="26"/>
          <w:lang w:val="lv-LV"/>
        </w:rPr>
        <w:t xml:space="preserve">s </w:t>
      </w:r>
      <w:r w:rsidR="00E902D2" w:rsidRPr="002926B4">
        <w:rPr>
          <w:b/>
          <w:bCs/>
          <w:szCs w:val="26"/>
          <w:lang w:val="lv-LV"/>
        </w:rPr>
        <w:t>termiņus un to pagarinājumus</w:t>
      </w:r>
      <w:r w:rsidR="00E2400D">
        <w:rPr>
          <w:b/>
          <w:bCs/>
          <w:szCs w:val="26"/>
          <w:lang w:val="lv-LV"/>
        </w:rPr>
        <w:t>,</w:t>
      </w:r>
      <w:r w:rsidR="00ED6ADD" w:rsidRPr="002926B4">
        <w:rPr>
          <w:b/>
          <w:bCs/>
          <w:szCs w:val="26"/>
          <w:lang w:val="lv-LV"/>
        </w:rPr>
        <w:t xml:space="preserve"> kā arī </w:t>
      </w:r>
      <w:r w:rsidR="00A547A9" w:rsidRPr="002926B4">
        <w:rPr>
          <w:b/>
          <w:bCs/>
          <w:szCs w:val="26"/>
          <w:lang w:val="lv-LV"/>
        </w:rPr>
        <w:t>līguma laušanas iemeslus</w:t>
      </w:r>
      <w:r w:rsidR="00741C45" w:rsidRPr="002926B4">
        <w:rPr>
          <w:b/>
          <w:bCs/>
          <w:szCs w:val="26"/>
          <w:lang w:val="lv-LV"/>
        </w:rPr>
        <w:t>, ja tādi pastāv.</w:t>
      </w:r>
    </w:p>
    <w:p w14:paraId="586F4281" w14:textId="5C61B360" w:rsidR="00E902D2" w:rsidRPr="002926B4" w:rsidRDefault="00B62537" w:rsidP="00E902D2">
      <w:pPr>
        <w:pStyle w:val="ListParagraph"/>
        <w:widowControl/>
        <w:numPr>
          <w:ilvl w:val="0"/>
          <w:numId w:val="12"/>
        </w:numPr>
        <w:spacing w:before="120" w:after="0" w:line="240" w:lineRule="auto"/>
        <w:rPr>
          <w:b/>
          <w:bCs/>
          <w:szCs w:val="26"/>
          <w:lang w:val="lv-LV"/>
        </w:rPr>
      </w:pPr>
      <w:r w:rsidRPr="00210898">
        <w:rPr>
          <w:b/>
          <w:bCs/>
          <w:szCs w:val="26"/>
          <w:lang w:val="lv-LV"/>
        </w:rPr>
        <w:t>Izvērtēt</w:t>
      </w:r>
      <w:r w:rsidRPr="00861C72">
        <w:rPr>
          <w:b/>
          <w:bCs/>
          <w:szCs w:val="26"/>
          <w:lang w:val="lv-LV"/>
        </w:rPr>
        <w:t xml:space="preserve"> iespēju v</w:t>
      </w:r>
      <w:r w:rsidR="00E902D2" w:rsidRPr="002926B4">
        <w:rPr>
          <w:b/>
          <w:bCs/>
          <w:szCs w:val="26"/>
          <w:lang w:val="lv-LV"/>
        </w:rPr>
        <w:t>eidot iepirkumu monitoringu atbilstoši identifikatoriem (riska elementiem, kuri norāda uz neadekvātu cenu sadalījumu, dempingu, sadārdzinājumiem, nereāliem termiņiem, apakšuzņēmēju norēķiniem).</w:t>
      </w:r>
    </w:p>
    <w:p w14:paraId="6E6DBCB5" w14:textId="77777777" w:rsidR="0013693C" w:rsidRPr="002926B4" w:rsidRDefault="0013693C" w:rsidP="00E902D2">
      <w:pPr>
        <w:widowControl/>
        <w:spacing w:before="120" w:after="0" w:line="240" w:lineRule="auto"/>
        <w:ind w:firstLine="0"/>
        <w:rPr>
          <w:szCs w:val="26"/>
          <w:lang w:val="lv-LV"/>
        </w:rPr>
      </w:pPr>
    </w:p>
    <w:p w14:paraId="47BF4156" w14:textId="16473144" w:rsidR="0013693C" w:rsidRPr="002926B4" w:rsidRDefault="0013693C" w:rsidP="0013693C">
      <w:pPr>
        <w:pStyle w:val="ListParagraph"/>
        <w:widowControl/>
        <w:numPr>
          <w:ilvl w:val="0"/>
          <w:numId w:val="9"/>
        </w:numPr>
        <w:spacing w:before="120" w:after="0" w:line="240" w:lineRule="auto"/>
        <w:rPr>
          <w:b/>
          <w:bCs/>
          <w:szCs w:val="26"/>
          <w:lang w:val="lv-LV"/>
        </w:rPr>
      </w:pPr>
      <w:r w:rsidRPr="002926B4">
        <w:rPr>
          <w:szCs w:val="26"/>
          <w:lang w:val="lv-LV"/>
        </w:rPr>
        <w:t xml:space="preserve">Sabiedrības augsts tolerances līmenis un izpratnes trūkums par </w:t>
      </w:r>
      <w:r w:rsidR="003779C8" w:rsidRPr="002926B4">
        <w:rPr>
          <w:szCs w:val="26"/>
          <w:lang w:val="lv-LV"/>
        </w:rPr>
        <w:t>K</w:t>
      </w:r>
      <w:r w:rsidRPr="002926B4">
        <w:rPr>
          <w:szCs w:val="26"/>
          <w:lang w:val="lv-LV"/>
        </w:rPr>
        <w:t>onkurences likuma pārkāpumu bīstamību</w:t>
      </w:r>
    </w:p>
    <w:p w14:paraId="7755053F" w14:textId="77777777" w:rsidR="0013693C" w:rsidRPr="002926B4" w:rsidRDefault="0013693C" w:rsidP="0013693C">
      <w:pPr>
        <w:widowControl/>
        <w:spacing w:before="120" w:after="0" w:line="240" w:lineRule="auto"/>
        <w:rPr>
          <w:b/>
          <w:bCs/>
          <w:szCs w:val="26"/>
          <w:lang w:val="lv-LV"/>
        </w:rPr>
      </w:pPr>
    </w:p>
    <w:p w14:paraId="2EE3AE43" w14:textId="77777777" w:rsidR="00665BDA" w:rsidRPr="00210898" w:rsidRDefault="003779C8" w:rsidP="004C048C">
      <w:pPr>
        <w:widowControl/>
        <w:spacing w:before="120" w:after="0" w:line="240" w:lineRule="auto"/>
        <w:rPr>
          <w:szCs w:val="26"/>
          <w:lang w:val="lv-LV"/>
        </w:rPr>
      </w:pPr>
      <w:r w:rsidRPr="002926B4">
        <w:rPr>
          <w:szCs w:val="26"/>
          <w:lang w:val="lv-LV"/>
        </w:rPr>
        <w:t>Iesaistīšanos</w:t>
      </w:r>
      <w:r w:rsidRPr="00210898">
        <w:rPr>
          <w:szCs w:val="26"/>
          <w:lang w:val="lv-LV"/>
        </w:rPr>
        <w:t xml:space="preserve"> </w:t>
      </w:r>
      <w:r w:rsidR="00665BDA" w:rsidRPr="00210898">
        <w:rPr>
          <w:szCs w:val="26"/>
          <w:lang w:val="lv-LV"/>
        </w:rPr>
        <w:t>iepirkumu</w:t>
      </w:r>
      <w:r w:rsidRPr="002926B4">
        <w:rPr>
          <w:szCs w:val="26"/>
          <w:lang w:val="lv-LV"/>
        </w:rPr>
        <w:t xml:space="preserve"> kartelī lielā mērā nosaka personu kultūra un vērtības. Sabiedrībā aizvien ir liela tolerance pret karteļu pārkāpumiem. Patērētāji ne vienmēr izprot kaitējumu no šādiem pārkāpumiem, t.i., to, ka faktiski viņus apkrāpj, it īpaši gadījumos, kad kartelis īstenots publiskajos iepirkumos. Turklāt tirgus dalībniekiem ir raksturīga t.s. “korporatīva paritāte”, kad viens otru pazīst un cenšas “nekāpt otra dārziņā”. Tāpēc karteļu dalībnieki vairāk baidās no korporatīvā nosodījuma nekā no sabiedrības nosodījuma. </w:t>
      </w:r>
    </w:p>
    <w:p w14:paraId="76F9CEBE" w14:textId="5D925D18" w:rsidR="004C048C" w:rsidRPr="002926B4" w:rsidRDefault="003779C8" w:rsidP="004C048C">
      <w:pPr>
        <w:widowControl/>
        <w:spacing w:before="120" w:after="0" w:line="240" w:lineRule="auto"/>
        <w:rPr>
          <w:szCs w:val="26"/>
          <w:lang w:val="lv-LV"/>
        </w:rPr>
      </w:pPr>
      <w:r w:rsidRPr="002926B4">
        <w:rPr>
          <w:szCs w:val="26"/>
          <w:lang w:val="lv-LV"/>
        </w:rPr>
        <w:t xml:space="preserve">Lai šo situāciju mainītu, nepieciešams iedarboties uz sabiedrības apziņu. </w:t>
      </w:r>
      <w:r w:rsidRPr="00210898">
        <w:rPr>
          <w:szCs w:val="26"/>
          <w:lang w:val="lv-LV"/>
        </w:rPr>
        <w:t>K</w:t>
      </w:r>
      <w:r w:rsidR="007B4AA6" w:rsidRPr="00210898">
        <w:rPr>
          <w:szCs w:val="26"/>
          <w:lang w:val="lv-LV"/>
        </w:rPr>
        <w:t>onkurences padome</w:t>
      </w:r>
      <w:r w:rsidR="00D15BBF" w:rsidRPr="00210898">
        <w:rPr>
          <w:szCs w:val="26"/>
          <w:lang w:val="lv-LV"/>
        </w:rPr>
        <w:t xml:space="preserve"> </w:t>
      </w:r>
      <w:r w:rsidRPr="002926B4">
        <w:rPr>
          <w:szCs w:val="26"/>
          <w:lang w:val="lv-LV"/>
        </w:rPr>
        <w:t xml:space="preserve">jau vairākus gadus </w:t>
      </w:r>
      <w:r w:rsidR="00665BDA" w:rsidRPr="00210898">
        <w:rPr>
          <w:szCs w:val="26"/>
          <w:lang w:val="lv-LV"/>
        </w:rPr>
        <w:t xml:space="preserve">sabiedrību </w:t>
      </w:r>
      <w:proofErr w:type="spellStart"/>
      <w:r w:rsidRPr="002926B4">
        <w:rPr>
          <w:szCs w:val="26"/>
          <w:lang w:val="lv-LV"/>
        </w:rPr>
        <w:t>proaktīvi</w:t>
      </w:r>
      <w:proofErr w:type="spellEnd"/>
      <w:r w:rsidRPr="002926B4">
        <w:rPr>
          <w:szCs w:val="26"/>
          <w:lang w:val="lv-LV"/>
        </w:rPr>
        <w:t xml:space="preserve"> </w:t>
      </w:r>
      <w:r w:rsidR="00665BDA" w:rsidRPr="00210898">
        <w:rPr>
          <w:szCs w:val="26"/>
          <w:lang w:val="lv-LV"/>
        </w:rPr>
        <w:t xml:space="preserve">informē un izglīto par </w:t>
      </w:r>
      <w:r w:rsidRPr="002926B4">
        <w:rPr>
          <w:szCs w:val="26"/>
          <w:lang w:val="lv-LV"/>
        </w:rPr>
        <w:t xml:space="preserve">šo problēmu (raksti, intervijas, publikācijas, paziņojumi par </w:t>
      </w:r>
      <w:r w:rsidRPr="00210898">
        <w:rPr>
          <w:szCs w:val="26"/>
          <w:lang w:val="lv-LV"/>
        </w:rPr>
        <w:t>K</w:t>
      </w:r>
      <w:r w:rsidR="007B4AA6" w:rsidRPr="00210898">
        <w:rPr>
          <w:szCs w:val="26"/>
          <w:lang w:val="lv-LV"/>
        </w:rPr>
        <w:t>onkurences padomes</w:t>
      </w:r>
      <w:r w:rsidR="00C84794" w:rsidRPr="00210898">
        <w:rPr>
          <w:szCs w:val="26"/>
          <w:lang w:val="lv-LV"/>
        </w:rPr>
        <w:t xml:space="preserve"> </w:t>
      </w:r>
      <w:r w:rsidRPr="002926B4">
        <w:rPr>
          <w:szCs w:val="26"/>
          <w:lang w:val="lv-LV"/>
        </w:rPr>
        <w:t xml:space="preserve">aktivitātēm), </w:t>
      </w:r>
      <w:r w:rsidR="00665BDA" w:rsidRPr="00210898">
        <w:rPr>
          <w:szCs w:val="26"/>
          <w:lang w:val="lv-LV"/>
        </w:rPr>
        <w:t>t.sk. arī jauniešus - augstskolu studentus</w:t>
      </w:r>
      <w:r w:rsidRPr="002926B4">
        <w:rPr>
          <w:szCs w:val="26"/>
          <w:lang w:val="lv-LV"/>
        </w:rPr>
        <w:t xml:space="preserve"> </w:t>
      </w:r>
      <w:r w:rsidRPr="00210898">
        <w:rPr>
          <w:szCs w:val="26"/>
          <w:lang w:val="lv-LV"/>
        </w:rPr>
        <w:t>vieslekcij</w:t>
      </w:r>
      <w:r w:rsidR="00665BDA" w:rsidRPr="00210898">
        <w:rPr>
          <w:szCs w:val="26"/>
          <w:lang w:val="lv-LV"/>
        </w:rPr>
        <w:t xml:space="preserve">u </w:t>
      </w:r>
      <w:r w:rsidR="00665BDA">
        <w:rPr>
          <w:szCs w:val="26"/>
          <w:lang w:val="lv-LV"/>
        </w:rPr>
        <w:t>veidā</w:t>
      </w:r>
      <w:r w:rsidR="0007401C">
        <w:rPr>
          <w:szCs w:val="26"/>
          <w:lang w:val="lv-LV"/>
        </w:rPr>
        <w:t xml:space="preserve"> </w:t>
      </w:r>
      <w:r w:rsidRPr="002926B4">
        <w:rPr>
          <w:szCs w:val="26"/>
          <w:lang w:val="lv-LV"/>
        </w:rPr>
        <w:t>cit</w:t>
      </w:r>
      <w:r w:rsidR="00E2400D">
        <w:rPr>
          <w:szCs w:val="26"/>
          <w:lang w:val="lv-LV"/>
        </w:rPr>
        <w:t>a</w:t>
      </w:r>
      <w:r w:rsidRPr="002926B4">
        <w:rPr>
          <w:szCs w:val="26"/>
          <w:lang w:val="lv-LV"/>
        </w:rPr>
        <w:t xml:space="preserve">, </w:t>
      </w:r>
      <w:r w:rsidR="00665BDA" w:rsidRPr="00210898">
        <w:rPr>
          <w:szCs w:val="26"/>
          <w:lang w:val="lv-LV"/>
        </w:rPr>
        <w:t xml:space="preserve">piedaloties </w:t>
      </w:r>
      <w:r w:rsidRPr="002926B4">
        <w:rPr>
          <w:szCs w:val="26"/>
          <w:lang w:val="lv-LV"/>
        </w:rPr>
        <w:t xml:space="preserve">ikgadējā sarunu festivālā “LAMPA”, </w:t>
      </w:r>
      <w:r w:rsidR="00665BDA" w:rsidRPr="00210898">
        <w:rPr>
          <w:szCs w:val="26"/>
          <w:lang w:val="lv-LV"/>
        </w:rPr>
        <w:t xml:space="preserve">rīkojot </w:t>
      </w:r>
      <w:r w:rsidRPr="00210898">
        <w:rPr>
          <w:szCs w:val="26"/>
          <w:lang w:val="lv-LV"/>
        </w:rPr>
        <w:t>kampaņ</w:t>
      </w:r>
      <w:r w:rsidR="0007401C">
        <w:rPr>
          <w:szCs w:val="26"/>
          <w:lang w:val="lv-LV"/>
        </w:rPr>
        <w:t xml:space="preserve">as </w:t>
      </w:r>
      <w:r w:rsidRPr="002926B4">
        <w:rPr>
          <w:szCs w:val="26"/>
          <w:lang w:val="lv-LV"/>
        </w:rPr>
        <w:t xml:space="preserve">skolēniem. </w:t>
      </w:r>
      <w:r w:rsidR="00665BDA" w:rsidRPr="00210898">
        <w:rPr>
          <w:szCs w:val="26"/>
          <w:lang w:val="lv-LV"/>
        </w:rPr>
        <w:t>Tomēr š</w:t>
      </w:r>
      <w:r w:rsidRPr="002926B4">
        <w:rPr>
          <w:szCs w:val="26"/>
          <w:lang w:val="lv-LV"/>
        </w:rPr>
        <w:t>ie pasākumi ir fragmentāri un nespēj būtiski ietekmēt sabiedrības apziņu.</w:t>
      </w:r>
    </w:p>
    <w:p w14:paraId="04727865" w14:textId="12E7847F" w:rsidR="0013693C" w:rsidRPr="002926B4" w:rsidRDefault="00B62537" w:rsidP="0013693C">
      <w:pPr>
        <w:widowControl/>
        <w:spacing w:before="120" w:after="0" w:line="240" w:lineRule="auto"/>
        <w:rPr>
          <w:b/>
          <w:bCs/>
          <w:szCs w:val="26"/>
          <w:lang w:val="lv-LV"/>
        </w:rPr>
      </w:pPr>
      <w:r w:rsidRPr="00210898">
        <w:rPr>
          <w:b/>
          <w:bCs/>
          <w:szCs w:val="26"/>
          <w:lang w:val="lv-LV"/>
        </w:rPr>
        <w:t>Priekšlikumi</w:t>
      </w:r>
      <w:r w:rsidR="0013693C" w:rsidRPr="002926B4">
        <w:rPr>
          <w:b/>
          <w:bCs/>
          <w:szCs w:val="26"/>
          <w:lang w:val="lv-LV"/>
        </w:rPr>
        <w:t>:</w:t>
      </w:r>
    </w:p>
    <w:p w14:paraId="54A9B822" w14:textId="48CFC9E2" w:rsidR="003779C8" w:rsidRPr="002926B4" w:rsidRDefault="00B62537" w:rsidP="003779C8">
      <w:pPr>
        <w:pStyle w:val="ListParagraph"/>
        <w:widowControl/>
        <w:numPr>
          <w:ilvl w:val="0"/>
          <w:numId w:val="13"/>
        </w:numPr>
        <w:spacing w:before="120" w:after="0" w:line="240" w:lineRule="auto"/>
        <w:rPr>
          <w:b/>
          <w:bCs/>
          <w:szCs w:val="26"/>
          <w:lang w:val="lv-LV"/>
        </w:rPr>
      </w:pPr>
      <w:r w:rsidRPr="00210898">
        <w:rPr>
          <w:b/>
          <w:bCs/>
          <w:szCs w:val="26"/>
          <w:lang w:val="lv-LV"/>
        </w:rPr>
        <w:t xml:space="preserve">Izvērtēt iespēju regulāri </w:t>
      </w:r>
      <w:r w:rsidR="003779C8" w:rsidRPr="002926B4">
        <w:rPr>
          <w:b/>
          <w:bCs/>
          <w:szCs w:val="26"/>
          <w:lang w:val="lv-LV"/>
        </w:rPr>
        <w:t xml:space="preserve">veidot sabiedrības informēšanas kampaņas, izmantojot ne tikai  tradicionālās reklāmas un izglītošanas formas, bet atvēlot finansējumu arī radošāku risinājumu </w:t>
      </w:r>
      <w:r w:rsidR="00665BDA" w:rsidRPr="00210898">
        <w:rPr>
          <w:b/>
          <w:bCs/>
          <w:szCs w:val="26"/>
          <w:lang w:val="lv-LV"/>
        </w:rPr>
        <w:t xml:space="preserve">veidošanai </w:t>
      </w:r>
      <w:r w:rsidR="003779C8" w:rsidRPr="002926B4">
        <w:rPr>
          <w:b/>
          <w:bCs/>
          <w:szCs w:val="26"/>
          <w:lang w:val="lv-LV"/>
        </w:rPr>
        <w:t>un īstenošanai (piemēram, scenārijos, mākslas darbos utt.). Potenciālais temats –</w:t>
      </w:r>
      <w:r w:rsidR="00665BDA" w:rsidRPr="00210898">
        <w:rPr>
          <w:b/>
          <w:bCs/>
          <w:szCs w:val="26"/>
          <w:lang w:val="lv-LV"/>
        </w:rPr>
        <w:t xml:space="preserve"> </w:t>
      </w:r>
      <w:r w:rsidR="003779C8" w:rsidRPr="002926B4">
        <w:rPr>
          <w:b/>
          <w:bCs/>
          <w:szCs w:val="26"/>
          <w:lang w:val="lv-LV"/>
        </w:rPr>
        <w:t xml:space="preserve">karteļu problemātika un to ietekme uz sabiedrību. </w:t>
      </w:r>
    </w:p>
    <w:p w14:paraId="0E09C0D4" w14:textId="2FCA42DB" w:rsidR="003779C8" w:rsidRPr="002926B4" w:rsidRDefault="00B62537" w:rsidP="003779C8">
      <w:pPr>
        <w:pStyle w:val="ListParagraph"/>
        <w:widowControl/>
        <w:numPr>
          <w:ilvl w:val="0"/>
          <w:numId w:val="13"/>
        </w:numPr>
        <w:spacing w:before="120" w:after="0" w:line="240" w:lineRule="auto"/>
        <w:rPr>
          <w:b/>
          <w:bCs/>
          <w:szCs w:val="26"/>
          <w:lang w:val="lv-LV"/>
        </w:rPr>
      </w:pPr>
      <w:r w:rsidRPr="00210898">
        <w:rPr>
          <w:b/>
          <w:bCs/>
          <w:szCs w:val="26"/>
          <w:lang w:val="lv-LV"/>
        </w:rPr>
        <w:lastRenderedPageBreak/>
        <w:t xml:space="preserve">Izvērtēt iespēju papildināt </w:t>
      </w:r>
      <w:r w:rsidR="00665BDA" w:rsidRPr="00210898">
        <w:rPr>
          <w:b/>
          <w:bCs/>
          <w:szCs w:val="26"/>
          <w:lang w:val="lv-LV"/>
        </w:rPr>
        <w:t xml:space="preserve">gan augstākās </w:t>
      </w:r>
      <w:r w:rsidR="003779C8" w:rsidRPr="002926B4">
        <w:rPr>
          <w:b/>
          <w:bCs/>
          <w:szCs w:val="26"/>
          <w:lang w:val="lv-LV"/>
        </w:rPr>
        <w:t>izglītības</w:t>
      </w:r>
      <w:r w:rsidR="00665BDA" w:rsidRPr="00210898">
        <w:rPr>
          <w:b/>
          <w:bCs/>
          <w:szCs w:val="26"/>
          <w:lang w:val="lv-LV"/>
        </w:rPr>
        <w:t xml:space="preserve">, gan </w:t>
      </w:r>
      <w:r w:rsidR="001B6EAE">
        <w:rPr>
          <w:b/>
          <w:bCs/>
          <w:szCs w:val="26"/>
          <w:lang w:val="lv-LV"/>
        </w:rPr>
        <w:t>pamatizglītības un vidējās izglītības</w:t>
      </w:r>
      <w:r w:rsidR="003779C8" w:rsidRPr="002926B4">
        <w:rPr>
          <w:b/>
          <w:bCs/>
          <w:szCs w:val="26"/>
          <w:lang w:val="lv-LV"/>
        </w:rPr>
        <w:t xml:space="preserve"> </w:t>
      </w:r>
      <w:r w:rsidR="00665BDA" w:rsidRPr="00210898">
        <w:rPr>
          <w:b/>
          <w:bCs/>
          <w:szCs w:val="26"/>
          <w:lang w:val="lv-LV"/>
        </w:rPr>
        <w:t xml:space="preserve">programmas </w:t>
      </w:r>
      <w:r w:rsidR="003779C8" w:rsidRPr="002926B4">
        <w:rPr>
          <w:b/>
          <w:bCs/>
          <w:szCs w:val="26"/>
          <w:lang w:val="lv-LV"/>
        </w:rPr>
        <w:t xml:space="preserve">ar </w:t>
      </w:r>
      <w:r w:rsidR="00665BDA" w:rsidRPr="00210898">
        <w:rPr>
          <w:b/>
          <w:bCs/>
          <w:szCs w:val="26"/>
          <w:lang w:val="lv-LV"/>
        </w:rPr>
        <w:t xml:space="preserve">tādiem tematiem kā </w:t>
      </w:r>
      <w:r w:rsidR="003779C8" w:rsidRPr="002926B4">
        <w:rPr>
          <w:b/>
          <w:bCs/>
          <w:szCs w:val="26"/>
          <w:lang w:val="lv-LV"/>
        </w:rPr>
        <w:t xml:space="preserve">konkurences </w:t>
      </w:r>
      <w:r w:rsidR="003779C8" w:rsidRPr="00210898">
        <w:rPr>
          <w:b/>
          <w:bCs/>
          <w:szCs w:val="26"/>
          <w:lang w:val="lv-LV"/>
        </w:rPr>
        <w:t>tiesīb</w:t>
      </w:r>
      <w:r w:rsidR="00665BDA" w:rsidRPr="00210898">
        <w:rPr>
          <w:b/>
          <w:bCs/>
          <w:szCs w:val="26"/>
          <w:lang w:val="lv-LV"/>
        </w:rPr>
        <w:t>as,</w:t>
      </w:r>
      <w:r w:rsidR="003779C8" w:rsidRPr="002926B4">
        <w:rPr>
          <w:b/>
          <w:bCs/>
          <w:szCs w:val="26"/>
          <w:lang w:val="lv-LV"/>
        </w:rPr>
        <w:t xml:space="preserve"> konkurences tiesību pārkāpumu </w:t>
      </w:r>
      <w:r w:rsidR="003779C8" w:rsidRPr="00210898">
        <w:rPr>
          <w:b/>
          <w:bCs/>
          <w:szCs w:val="26"/>
          <w:lang w:val="lv-LV"/>
        </w:rPr>
        <w:t>bīstamīb</w:t>
      </w:r>
      <w:r w:rsidR="00665BDA" w:rsidRPr="00210898">
        <w:rPr>
          <w:b/>
          <w:bCs/>
          <w:szCs w:val="26"/>
          <w:lang w:val="lv-LV"/>
        </w:rPr>
        <w:t>a</w:t>
      </w:r>
      <w:r w:rsidR="00C53416" w:rsidRPr="00210898">
        <w:rPr>
          <w:b/>
          <w:bCs/>
          <w:szCs w:val="26"/>
          <w:lang w:val="lv-LV"/>
        </w:rPr>
        <w:t xml:space="preserve"> </w:t>
      </w:r>
      <w:r w:rsidR="00C53416">
        <w:rPr>
          <w:b/>
          <w:bCs/>
          <w:szCs w:val="26"/>
          <w:lang w:val="lv-LV"/>
        </w:rPr>
        <w:t>utt</w:t>
      </w:r>
      <w:r w:rsidR="0007401C">
        <w:rPr>
          <w:b/>
          <w:bCs/>
          <w:szCs w:val="26"/>
          <w:lang w:val="lv-LV"/>
        </w:rPr>
        <w:t xml:space="preserve">. </w:t>
      </w:r>
    </w:p>
    <w:p w14:paraId="115FCEF5" w14:textId="77777777" w:rsidR="0013693C" w:rsidRPr="002926B4" w:rsidRDefault="0013693C" w:rsidP="0013693C">
      <w:pPr>
        <w:widowControl/>
        <w:spacing w:before="120" w:after="0" w:line="240" w:lineRule="auto"/>
        <w:ind w:firstLine="0"/>
        <w:rPr>
          <w:b/>
          <w:bCs/>
          <w:szCs w:val="26"/>
          <w:lang w:val="lv-LV"/>
        </w:rPr>
      </w:pPr>
    </w:p>
    <w:p w14:paraId="6A00DF41" w14:textId="4DFFB89C" w:rsidR="00E902D2" w:rsidRPr="002926B4" w:rsidRDefault="00E902D2" w:rsidP="0013693C">
      <w:pPr>
        <w:pStyle w:val="ListParagraph"/>
        <w:widowControl/>
        <w:numPr>
          <w:ilvl w:val="0"/>
          <w:numId w:val="9"/>
        </w:numPr>
        <w:spacing w:before="120" w:after="0" w:line="240" w:lineRule="auto"/>
        <w:rPr>
          <w:szCs w:val="26"/>
          <w:lang w:val="lv-LV"/>
        </w:rPr>
      </w:pPr>
      <w:r w:rsidRPr="002926B4">
        <w:rPr>
          <w:b/>
          <w:bCs/>
          <w:szCs w:val="26"/>
          <w:lang w:val="lv-LV"/>
        </w:rPr>
        <w:t xml:space="preserve"> </w:t>
      </w:r>
      <w:r w:rsidR="0013693C" w:rsidRPr="002926B4">
        <w:rPr>
          <w:szCs w:val="26"/>
          <w:lang w:val="lv-LV"/>
        </w:rPr>
        <w:t>Citi horizontālie iepirkumu sistēmas uzlabošanas pasākumi</w:t>
      </w:r>
    </w:p>
    <w:p w14:paraId="665A24F1" w14:textId="21A8ED0A" w:rsidR="0013693C" w:rsidRPr="002926B4" w:rsidRDefault="0013693C" w:rsidP="0013693C">
      <w:pPr>
        <w:widowControl/>
        <w:spacing w:before="120" w:after="0" w:line="240" w:lineRule="auto"/>
        <w:rPr>
          <w:szCs w:val="26"/>
          <w:lang w:val="lv-LV"/>
        </w:rPr>
      </w:pPr>
    </w:p>
    <w:p w14:paraId="689A4A3C" w14:textId="4163EB64" w:rsidR="0013693C" w:rsidRPr="002926B4" w:rsidRDefault="0013693C" w:rsidP="0013693C">
      <w:pPr>
        <w:widowControl/>
        <w:spacing w:before="120" w:after="0" w:line="240" w:lineRule="auto"/>
        <w:rPr>
          <w:szCs w:val="26"/>
          <w:lang w:val="lv-LV"/>
        </w:rPr>
      </w:pPr>
      <w:r w:rsidRPr="002926B4">
        <w:rPr>
          <w:szCs w:val="26"/>
          <w:lang w:val="lv-LV"/>
        </w:rPr>
        <w:t>Papildus identificētajām problēmām, sanāksmes dalībnieki ir izteikuši citus priekšlikumus iepirkumu sistēmas uzlabojumiem, kas nodrošinās kopējo pozitīvo ietekmi uz publiskiem iepirkumiem Latvijā.</w:t>
      </w:r>
    </w:p>
    <w:p w14:paraId="1CFF17B4" w14:textId="58F7CE73" w:rsidR="00050429" w:rsidRPr="00210898" w:rsidRDefault="00050429" w:rsidP="0013693C">
      <w:pPr>
        <w:widowControl/>
        <w:spacing w:before="120" w:after="0" w:line="240" w:lineRule="auto"/>
        <w:rPr>
          <w:szCs w:val="26"/>
          <w:lang w:val="lv-LV"/>
        </w:rPr>
      </w:pPr>
      <w:r w:rsidRPr="00210898">
        <w:rPr>
          <w:szCs w:val="26"/>
          <w:lang w:val="lv-LV"/>
        </w:rPr>
        <w:t>Būtiskākā daļa priekšlikumu sk</w:t>
      </w:r>
      <w:r w:rsidR="00B16EF4" w:rsidRPr="00210898">
        <w:rPr>
          <w:szCs w:val="26"/>
          <w:lang w:val="lv-LV"/>
        </w:rPr>
        <w:t>āra</w:t>
      </w:r>
      <w:r w:rsidRPr="00210898">
        <w:rPr>
          <w:szCs w:val="26"/>
          <w:lang w:val="lv-LV"/>
        </w:rPr>
        <w:t xml:space="preserve"> P</w:t>
      </w:r>
      <w:r w:rsidR="00B16EF4" w:rsidRPr="00210898">
        <w:rPr>
          <w:szCs w:val="26"/>
          <w:lang w:val="lv-LV"/>
        </w:rPr>
        <w:t>IL</w:t>
      </w:r>
      <w:r w:rsidR="0028101C" w:rsidRPr="00210898">
        <w:rPr>
          <w:szCs w:val="26"/>
          <w:lang w:val="lv-LV"/>
        </w:rPr>
        <w:t xml:space="preserve">, t.sk. tā </w:t>
      </w:r>
      <w:r w:rsidRPr="00210898">
        <w:rPr>
          <w:szCs w:val="26"/>
          <w:lang w:val="lv-LV"/>
        </w:rPr>
        <w:t>42.panta normas, kas paredz kandidātu un pretendentu izslēgšan</w:t>
      </w:r>
      <w:r w:rsidR="00B16EF4" w:rsidRPr="00210898">
        <w:rPr>
          <w:szCs w:val="26"/>
          <w:lang w:val="lv-LV"/>
        </w:rPr>
        <w:t>as</w:t>
      </w:r>
      <w:r w:rsidRPr="00210898">
        <w:rPr>
          <w:szCs w:val="26"/>
          <w:lang w:val="lv-LV"/>
        </w:rPr>
        <w:t xml:space="preserve"> noteikumu</w:t>
      </w:r>
      <w:r w:rsidR="00B16EF4" w:rsidRPr="00210898">
        <w:rPr>
          <w:szCs w:val="26"/>
          <w:lang w:val="lv-LV"/>
        </w:rPr>
        <w:t>s</w:t>
      </w:r>
      <w:r w:rsidRPr="00210898">
        <w:rPr>
          <w:szCs w:val="26"/>
          <w:lang w:val="lv-LV"/>
        </w:rPr>
        <w:t xml:space="preserve"> no iepirkumiem par</w:t>
      </w:r>
      <w:r w:rsidR="001D1771" w:rsidRPr="00210898">
        <w:rPr>
          <w:szCs w:val="26"/>
          <w:lang w:val="lv-LV"/>
        </w:rPr>
        <w:t xml:space="preserve"> </w:t>
      </w:r>
      <w:r w:rsidR="0028101C" w:rsidRPr="00210898">
        <w:rPr>
          <w:szCs w:val="26"/>
          <w:lang w:val="lv-LV"/>
        </w:rPr>
        <w:t xml:space="preserve">konkurences tiesību un citiem </w:t>
      </w:r>
      <w:r w:rsidR="001D1771" w:rsidRPr="00210898">
        <w:rPr>
          <w:szCs w:val="26"/>
          <w:lang w:val="lv-LV"/>
        </w:rPr>
        <w:t>pārkāpumiem  iepirkumos</w:t>
      </w:r>
      <w:r w:rsidR="00D15BBF" w:rsidRPr="00210898">
        <w:rPr>
          <w:szCs w:val="26"/>
          <w:lang w:val="lv-LV"/>
        </w:rPr>
        <w:t xml:space="preserve">, kur PIL 42.panta pirmā daļa paredz gadījumus, kad pasūtītājam ir pienākums izslēgt pretendentus no iepirkumiem, PIL 42.panta otrā daļa gadījumus, kad pasūtītājam ir tiesības izslēgt kandidātus un pretendentus no iepirkuma, bet 42.panta trešā </w:t>
      </w:r>
      <w:r w:rsidR="00B16EF4" w:rsidRPr="00210898">
        <w:rPr>
          <w:szCs w:val="26"/>
          <w:lang w:val="lv-LV"/>
        </w:rPr>
        <w:t xml:space="preserve">maksimālos termiņu </w:t>
      </w:r>
      <w:r w:rsidR="00D15BBF" w:rsidRPr="00210898">
        <w:rPr>
          <w:szCs w:val="26"/>
          <w:lang w:val="lv-LV"/>
        </w:rPr>
        <w:t>kandidāta vai pretendenta izslēgšanai no iepirkumiem.</w:t>
      </w:r>
    </w:p>
    <w:p w14:paraId="5F3471DD" w14:textId="11605822" w:rsidR="00196E05" w:rsidRPr="00210898" w:rsidRDefault="00196E05" w:rsidP="002349B0">
      <w:pPr>
        <w:widowControl/>
        <w:spacing w:before="120" w:after="0" w:line="240" w:lineRule="auto"/>
        <w:rPr>
          <w:szCs w:val="26"/>
          <w:lang w:val="lv-LV"/>
        </w:rPr>
      </w:pPr>
      <w:r w:rsidRPr="00861C72">
        <w:rPr>
          <w:szCs w:val="26"/>
          <w:u w:val="single"/>
          <w:lang w:val="lv-LV"/>
        </w:rPr>
        <w:t>Konkurences padome aicināja izvērtēt to, ka</w:t>
      </w:r>
      <w:r w:rsidRPr="00F9727B">
        <w:rPr>
          <w:szCs w:val="26"/>
          <w:u w:val="single"/>
          <w:lang w:val="lv-LV"/>
        </w:rPr>
        <w:t xml:space="preserve"> regulējumā tiek </w:t>
      </w:r>
      <w:r w:rsidRPr="00751593">
        <w:rPr>
          <w:szCs w:val="26"/>
          <w:u w:val="single"/>
          <w:lang w:val="lv-LV"/>
        </w:rPr>
        <w:t>noteikts</w:t>
      </w:r>
      <w:r w:rsidRPr="000B68B0">
        <w:rPr>
          <w:szCs w:val="26"/>
          <w:u w:val="single"/>
          <w:lang w:val="lv-LV"/>
        </w:rPr>
        <w:t xml:space="preserve"> pienākums</w:t>
      </w:r>
      <w:r w:rsidRPr="00210898">
        <w:rPr>
          <w:szCs w:val="26"/>
          <w:u w:val="single"/>
          <w:lang w:val="lv-LV"/>
        </w:rPr>
        <w:t xml:space="preserve"> pasūtītājam iegūt pretendenta apliecinājumu par to, ka piedāvājums ir ticis sagatavots neatkarīgi. </w:t>
      </w:r>
      <w:r w:rsidR="00A45463" w:rsidRPr="00210898">
        <w:rPr>
          <w:szCs w:val="26"/>
          <w:u w:val="single"/>
          <w:lang w:val="lv-LV"/>
        </w:rPr>
        <w:t>Būtiski tas ir iepirkumos, kur notiek biežas apakšuzņēmēju un sadarbības partneru maiņa</w:t>
      </w:r>
      <w:r w:rsidR="002349B0" w:rsidRPr="00210898">
        <w:rPr>
          <w:szCs w:val="26"/>
          <w:u w:val="single"/>
          <w:lang w:val="lv-LV"/>
        </w:rPr>
        <w:t xml:space="preserve"> gan pirms iepirkuma, gan tā izpildes gaitā. </w:t>
      </w:r>
      <w:r w:rsidRPr="00210898">
        <w:rPr>
          <w:szCs w:val="26"/>
          <w:u w:val="single"/>
          <w:lang w:val="lv-LV"/>
        </w:rPr>
        <w:t>Apakšuzņēmēja piesaiste būtiskā apmērā no ģenerāluzņēmēja puses pret iepirkuma vērtību</w:t>
      </w:r>
      <w:r w:rsidRPr="00210898">
        <w:rPr>
          <w:szCs w:val="26"/>
          <w:lang w:val="lv-LV"/>
        </w:rPr>
        <w:t xml:space="preserve"> var saturēt noteiktus riskus, kas saistīti iespējami ar aizliegtām vienošanām. Gadījumos, kad tiek piesaistīto apakšuzņēmēj</w:t>
      </w:r>
      <w:r w:rsidR="00116DE7" w:rsidRPr="00210898">
        <w:rPr>
          <w:szCs w:val="26"/>
          <w:lang w:val="lv-LV"/>
        </w:rPr>
        <w:t>s tiek piesaistīts vismaz</w:t>
      </w:r>
      <w:r w:rsidRPr="00210898">
        <w:rPr>
          <w:szCs w:val="26"/>
          <w:lang w:val="lv-LV"/>
        </w:rPr>
        <w:t xml:space="preserve"> 10%</w:t>
      </w:r>
      <w:r w:rsidR="00116DE7" w:rsidRPr="00210898">
        <w:rPr>
          <w:szCs w:val="26"/>
          <w:lang w:val="lv-LV"/>
        </w:rPr>
        <w:t xml:space="preserve"> apmērā no līguma summas</w:t>
      </w:r>
      <w:r w:rsidRPr="00210898">
        <w:rPr>
          <w:szCs w:val="26"/>
          <w:lang w:val="lv-LV"/>
        </w:rPr>
        <w:t xml:space="preserve">, </w:t>
      </w:r>
      <w:r w:rsidR="002349B0" w:rsidRPr="00210898">
        <w:rPr>
          <w:szCs w:val="26"/>
          <w:lang w:val="lv-LV"/>
        </w:rPr>
        <w:t>būtu izvērtējams noteikt pasūtītājam pienākumu pieprasīt  neatkarības apliecinājuma</w:t>
      </w:r>
      <w:r w:rsidRPr="00210898">
        <w:rPr>
          <w:szCs w:val="26"/>
          <w:lang w:val="lv-LV"/>
        </w:rPr>
        <w:t>.</w:t>
      </w:r>
      <w:r w:rsidRPr="00210898">
        <w:rPr>
          <w:rStyle w:val="FootnoteReference"/>
          <w:szCs w:val="26"/>
          <w:lang w:val="lv-LV"/>
        </w:rPr>
        <w:footnoteReference w:id="9"/>
      </w:r>
    </w:p>
    <w:p w14:paraId="70A8A072" w14:textId="77777777" w:rsidR="00050429" w:rsidRPr="00210898" w:rsidRDefault="00050429" w:rsidP="0007401C">
      <w:pPr>
        <w:widowControl/>
        <w:spacing w:before="120" w:after="0" w:line="240" w:lineRule="auto"/>
        <w:ind w:firstLine="0"/>
        <w:rPr>
          <w:szCs w:val="26"/>
          <w:lang w:val="lv-LV"/>
        </w:rPr>
      </w:pPr>
    </w:p>
    <w:p w14:paraId="755360AA" w14:textId="24B80DB8" w:rsidR="0013693C" w:rsidRPr="002926B4" w:rsidRDefault="00D90FB7" w:rsidP="0013693C">
      <w:pPr>
        <w:widowControl/>
        <w:spacing w:before="120" w:after="0" w:line="240" w:lineRule="auto"/>
        <w:rPr>
          <w:b/>
          <w:bCs/>
          <w:szCs w:val="26"/>
          <w:lang w:val="lv-LV"/>
        </w:rPr>
      </w:pPr>
      <w:r w:rsidRPr="00861C72">
        <w:rPr>
          <w:b/>
          <w:bCs/>
          <w:szCs w:val="26"/>
          <w:lang w:val="lv-LV"/>
        </w:rPr>
        <w:t>Priekšlikumi</w:t>
      </w:r>
      <w:r w:rsidR="0013693C" w:rsidRPr="00861C72">
        <w:rPr>
          <w:b/>
          <w:bCs/>
          <w:szCs w:val="26"/>
          <w:lang w:val="lv-LV"/>
        </w:rPr>
        <w:t>:</w:t>
      </w:r>
    </w:p>
    <w:p w14:paraId="1F8A902C" w14:textId="314A31CC" w:rsidR="003779C8" w:rsidRPr="002926B4" w:rsidRDefault="0013693C" w:rsidP="003779C8">
      <w:pPr>
        <w:pStyle w:val="ListParagraph"/>
        <w:widowControl/>
        <w:numPr>
          <w:ilvl w:val="0"/>
          <w:numId w:val="14"/>
        </w:numPr>
        <w:spacing w:before="120" w:after="0" w:line="240" w:lineRule="auto"/>
        <w:rPr>
          <w:b/>
          <w:bCs/>
          <w:szCs w:val="26"/>
          <w:lang w:val="lv-LV"/>
        </w:rPr>
      </w:pPr>
      <w:r w:rsidRPr="002926B4">
        <w:rPr>
          <w:b/>
          <w:bCs/>
          <w:szCs w:val="26"/>
          <w:lang w:val="lv-LV"/>
        </w:rPr>
        <w:t xml:space="preserve">Izvērtēt nepieciešamību grozīt </w:t>
      </w:r>
      <w:r w:rsidR="00B62537" w:rsidRPr="00210898">
        <w:rPr>
          <w:b/>
          <w:bCs/>
          <w:szCs w:val="26"/>
          <w:lang w:val="lv-LV"/>
        </w:rPr>
        <w:t>iepirkumu regulējumu</w:t>
      </w:r>
      <w:r w:rsidRPr="002926B4">
        <w:rPr>
          <w:b/>
          <w:bCs/>
          <w:szCs w:val="26"/>
          <w:lang w:val="lv-LV"/>
        </w:rPr>
        <w:t>, papildinot</w:t>
      </w:r>
      <w:r w:rsidRPr="002926B4">
        <w:rPr>
          <w:b/>
          <w:bCs/>
          <w:szCs w:val="26"/>
          <w:lang w:val="lv-LV"/>
        </w:rPr>
        <w:t xml:space="preserve"> </w:t>
      </w:r>
      <w:r w:rsidR="00B62537" w:rsidRPr="00210898">
        <w:rPr>
          <w:b/>
          <w:bCs/>
          <w:szCs w:val="26"/>
          <w:lang w:val="lv-LV"/>
        </w:rPr>
        <w:t xml:space="preserve">to </w:t>
      </w:r>
      <w:r w:rsidRPr="002926B4">
        <w:rPr>
          <w:b/>
          <w:bCs/>
          <w:szCs w:val="26"/>
          <w:lang w:val="lv-LV"/>
        </w:rPr>
        <w:t>ar tiesībām izslēgt pretendentu no dalības publiskajā iepirkumā</w:t>
      </w:r>
      <w:r w:rsidR="00195DE5" w:rsidRPr="002926B4">
        <w:rPr>
          <w:b/>
          <w:bCs/>
          <w:szCs w:val="26"/>
          <w:lang w:val="lv-LV"/>
        </w:rPr>
        <w:t xml:space="preserve">, </w:t>
      </w:r>
      <w:r w:rsidR="002926B4">
        <w:rPr>
          <w:b/>
          <w:bCs/>
          <w:szCs w:val="26"/>
          <w:lang w:val="lv-LV"/>
        </w:rPr>
        <w:t>ja piegādātāji ir vienojušies ar mērķi izkropļot konkurenci un pasūtītāja rīcībā ir pietiekami pārliecinošas norādes par šādām darbībām</w:t>
      </w:r>
      <w:r w:rsidR="0028101C" w:rsidRPr="00210898">
        <w:rPr>
          <w:b/>
          <w:bCs/>
          <w:szCs w:val="26"/>
          <w:lang w:val="lv-LV"/>
        </w:rPr>
        <w:t xml:space="preserve">, kā arī PIL 42.panta </w:t>
      </w:r>
      <w:r w:rsidR="002349B0" w:rsidRPr="00210898">
        <w:rPr>
          <w:b/>
          <w:bCs/>
          <w:szCs w:val="26"/>
          <w:lang w:val="lv-LV"/>
        </w:rPr>
        <w:t xml:space="preserve">trešās daļas 1.punktā paredzēt arī 3 gadu diskvalifikācijas termiņu par </w:t>
      </w:r>
      <w:r w:rsidR="00B55021" w:rsidRPr="00210898">
        <w:rPr>
          <w:b/>
          <w:bCs/>
          <w:szCs w:val="26"/>
          <w:lang w:val="lv-LV"/>
        </w:rPr>
        <w:t xml:space="preserve">smagākajiem </w:t>
      </w:r>
      <w:r w:rsidR="002349B0" w:rsidRPr="00210898">
        <w:rPr>
          <w:b/>
          <w:bCs/>
          <w:szCs w:val="26"/>
          <w:lang w:val="lv-LV"/>
        </w:rPr>
        <w:t>konkurences tiesību pārkāpumiem</w:t>
      </w:r>
      <w:r w:rsidR="00B55021" w:rsidRPr="00210898">
        <w:rPr>
          <w:b/>
          <w:bCs/>
          <w:szCs w:val="26"/>
          <w:lang w:val="lv-LV"/>
        </w:rPr>
        <w:t xml:space="preserve"> – karteļu vienošanām</w:t>
      </w:r>
      <w:r w:rsidR="002349B0">
        <w:rPr>
          <w:b/>
          <w:bCs/>
          <w:szCs w:val="26"/>
          <w:lang w:val="lv-LV"/>
        </w:rPr>
        <w:t>.</w:t>
      </w:r>
    </w:p>
    <w:p w14:paraId="05E9AEA4" w14:textId="411927F4" w:rsidR="00637F1A" w:rsidRPr="002926B4" w:rsidRDefault="00B62537" w:rsidP="00637F1A">
      <w:pPr>
        <w:pStyle w:val="ListParagraph"/>
        <w:widowControl/>
        <w:numPr>
          <w:ilvl w:val="0"/>
          <w:numId w:val="14"/>
        </w:numPr>
        <w:spacing w:before="120" w:after="0" w:line="240" w:lineRule="auto"/>
        <w:rPr>
          <w:b/>
          <w:bCs/>
          <w:szCs w:val="26"/>
          <w:lang w:val="lv-LV"/>
        </w:rPr>
      </w:pPr>
      <w:r w:rsidRPr="00210898">
        <w:rPr>
          <w:b/>
          <w:bCs/>
          <w:szCs w:val="26"/>
          <w:lang w:val="lv-LV"/>
        </w:rPr>
        <w:t>Izvērtēt</w:t>
      </w:r>
      <w:r w:rsidRPr="00861C72">
        <w:rPr>
          <w:b/>
          <w:bCs/>
          <w:szCs w:val="26"/>
          <w:lang w:val="lv-LV"/>
        </w:rPr>
        <w:t xml:space="preserve"> iespēju n</w:t>
      </w:r>
      <w:r w:rsidRPr="00F9727B">
        <w:rPr>
          <w:b/>
          <w:bCs/>
          <w:szCs w:val="26"/>
          <w:lang w:val="lv-LV"/>
        </w:rPr>
        <w:t>oteikt</w:t>
      </w:r>
      <w:r w:rsidR="00637F1A" w:rsidRPr="002926B4">
        <w:rPr>
          <w:b/>
          <w:bCs/>
          <w:szCs w:val="26"/>
          <w:lang w:val="lv-LV"/>
        </w:rPr>
        <w:t xml:space="preserve"> pasūtītājam pienākumu pieprasīt pretendentiem aizpildīt neatkarības deklarāciju gadījumos, kad persona ir piesaistījusi </w:t>
      </w:r>
      <w:r w:rsidR="00C9231D" w:rsidRPr="002926B4">
        <w:rPr>
          <w:b/>
          <w:bCs/>
          <w:szCs w:val="26"/>
          <w:lang w:val="lv-LV"/>
        </w:rPr>
        <w:t>vairākus apakšuzņēmējus</w:t>
      </w:r>
      <w:r w:rsidR="00637F1A" w:rsidRPr="002926B4">
        <w:rPr>
          <w:b/>
          <w:bCs/>
          <w:szCs w:val="26"/>
          <w:lang w:val="lv-LV"/>
        </w:rPr>
        <w:t xml:space="preserve"> vai kad </w:t>
      </w:r>
      <w:r w:rsidR="00C9231D" w:rsidRPr="002926B4">
        <w:rPr>
          <w:b/>
          <w:bCs/>
          <w:szCs w:val="26"/>
          <w:lang w:val="lv-LV"/>
        </w:rPr>
        <w:t>apakšuzņēmējs</w:t>
      </w:r>
      <w:r w:rsidR="00637F1A" w:rsidRPr="002926B4">
        <w:rPr>
          <w:b/>
          <w:bCs/>
          <w:szCs w:val="26"/>
          <w:lang w:val="lv-LV"/>
        </w:rPr>
        <w:t xml:space="preserve"> tiek mainīts iepirkuma izpildes laikā, paredzot </w:t>
      </w:r>
      <w:r w:rsidR="00637F1A" w:rsidRPr="002926B4">
        <w:rPr>
          <w:b/>
          <w:bCs/>
          <w:szCs w:val="26"/>
          <w:lang w:val="lv-LV"/>
        </w:rPr>
        <w:lastRenderedPageBreak/>
        <w:t xml:space="preserve">sankciju (iespējami </w:t>
      </w:r>
      <w:r w:rsidR="00A26ADD">
        <w:rPr>
          <w:b/>
          <w:bCs/>
          <w:szCs w:val="26"/>
          <w:lang w:val="lv-LV"/>
        </w:rPr>
        <w:t>izslēgšanu no publiskā iepirkuma</w:t>
      </w:r>
      <w:r w:rsidR="00637F1A" w:rsidRPr="002926B4">
        <w:rPr>
          <w:b/>
          <w:bCs/>
          <w:szCs w:val="26"/>
          <w:lang w:val="lv-LV"/>
        </w:rPr>
        <w:t>) arī par nepatiesas informācijas norādīšanu apliecinājumā.</w:t>
      </w:r>
    </w:p>
    <w:p w14:paraId="301FACEF" w14:textId="6C7CCF07" w:rsidR="00BB5E24" w:rsidRPr="002926B4" w:rsidRDefault="00B62537" w:rsidP="00D9383E">
      <w:pPr>
        <w:pStyle w:val="ListParagraph"/>
        <w:widowControl/>
        <w:numPr>
          <w:ilvl w:val="0"/>
          <w:numId w:val="14"/>
        </w:numPr>
        <w:spacing w:before="120" w:after="0" w:line="240" w:lineRule="auto"/>
        <w:rPr>
          <w:b/>
          <w:bCs/>
          <w:szCs w:val="26"/>
          <w:lang w:val="lv-LV"/>
        </w:rPr>
      </w:pPr>
      <w:r w:rsidRPr="00210898">
        <w:rPr>
          <w:b/>
          <w:bCs/>
          <w:szCs w:val="26"/>
          <w:lang w:val="lv-LV"/>
        </w:rPr>
        <w:t xml:space="preserve">Apsvērt iespēju veikt </w:t>
      </w:r>
      <w:r w:rsidR="00502ABC" w:rsidRPr="002926B4">
        <w:rPr>
          <w:b/>
          <w:bCs/>
          <w:szCs w:val="26"/>
          <w:lang w:val="lv-LV"/>
        </w:rPr>
        <w:t xml:space="preserve">grozījumus </w:t>
      </w:r>
      <w:r w:rsidRPr="00210898">
        <w:rPr>
          <w:b/>
          <w:bCs/>
          <w:szCs w:val="26"/>
          <w:lang w:val="lv-LV"/>
        </w:rPr>
        <w:t>iepirkumu regulējumā</w:t>
      </w:r>
      <w:r w:rsidR="00667B1F" w:rsidRPr="002926B4">
        <w:rPr>
          <w:b/>
          <w:bCs/>
          <w:szCs w:val="26"/>
          <w:lang w:val="lv-LV"/>
        </w:rPr>
        <w:t xml:space="preserve">, </w:t>
      </w:r>
      <w:r w:rsidR="004154F0" w:rsidRPr="002926B4">
        <w:rPr>
          <w:b/>
          <w:bCs/>
          <w:szCs w:val="26"/>
          <w:lang w:val="lv-LV"/>
        </w:rPr>
        <w:t xml:space="preserve">izņemot </w:t>
      </w:r>
      <w:r w:rsidR="00CD180C" w:rsidRPr="002926B4">
        <w:rPr>
          <w:b/>
          <w:bCs/>
          <w:szCs w:val="26"/>
          <w:lang w:val="lv-LV"/>
        </w:rPr>
        <w:t>uzstādījumu, ka</w:t>
      </w:r>
      <w:r w:rsidR="00192E2D" w:rsidRPr="002926B4">
        <w:rPr>
          <w:b/>
          <w:bCs/>
          <w:szCs w:val="26"/>
          <w:lang w:val="lv-LV"/>
        </w:rPr>
        <w:t xml:space="preserve"> par līguma laušanas faktu ir jābūt saņemtam kompetentas institūcijas l</w:t>
      </w:r>
      <w:r w:rsidR="00131D4B" w:rsidRPr="002926B4">
        <w:rPr>
          <w:b/>
          <w:bCs/>
          <w:szCs w:val="26"/>
          <w:lang w:val="lv-LV"/>
        </w:rPr>
        <w:t>ēmumam, tiesas spriedumam</w:t>
      </w:r>
      <w:r w:rsidR="007B6105" w:rsidRPr="002926B4">
        <w:rPr>
          <w:b/>
          <w:bCs/>
          <w:szCs w:val="26"/>
          <w:lang w:val="lv-LV"/>
        </w:rPr>
        <w:t xml:space="preserve"> vai prokurora priekšrakstam par sodu, kas stājies spēkā un kļuvis neapstrīdams un nepārsūdzams.</w:t>
      </w:r>
    </w:p>
    <w:p w14:paraId="60D87E0C" w14:textId="23D683E2" w:rsidR="00795B60" w:rsidRPr="002926B4" w:rsidRDefault="00795B60" w:rsidP="00D9383E">
      <w:pPr>
        <w:pStyle w:val="ListParagraph"/>
        <w:widowControl/>
        <w:numPr>
          <w:ilvl w:val="0"/>
          <w:numId w:val="14"/>
        </w:numPr>
        <w:spacing w:before="120" w:after="0" w:line="240" w:lineRule="auto"/>
        <w:rPr>
          <w:b/>
          <w:bCs/>
          <w:szCs w:val="26"/>
          <w:lang w:val="lv-LV"/>
        </w:rPr>
      </w:pPr>
      <w:r w:rsidRPr="002926B4">
        <w:rPr>
          <w:b/>
          <w:bCs/>
          <w:szCs w:val="26"/>
          <w:lang w:val="lv-LV"/>
        </w:rPr>
        <w:t xml:space="preserve">Apsvērt iespēju </w:t>
      </w:r>
      <w:r w:rsidR="009B32E1" w:rsidRPr="002926B4">
        <w:rPr>
          <w:b/>
          <w:bCs/>
          <w:szCs w:val="26"/>
          <w:lang w:val="lv-LV"/>
        </w:rPr>
        <w:t>pārskatīt</w:t>
      </w:r>
      <w:r w:rsidRPr="002926B4">
        <w:rPr>
          <w:b/>
          <w:bCs/>
          <w:szCs w:val="26"/>
          <w:lang w:val="lv-LV"/>
        </w:rPr>
        <w:t xml:space="preserve"> </w:t>
      </w:r>
      <w:r w:rsidR="00B62537" w:rsidRPr="00210898">
        <w:rPr>
          <w:b/>
          <w:bCs/>
          <w:szCs w:val="26"/>
          <w:lang w:val="lv-LV"/>
        </w:rPr>
        <w:t xml:space="preserve">iepirkumu regulējumu </w:t>
      </w:r>
      <w:r w:rsidR="002202A2" w:rsidRPr="002926B4">
        <w:rPr>
          <w:b/>
          <w:bCs/>
          <w:szCs w:val="26"/>
          <w:lang w:val="lv-LV"/>
        </w:rPr>
        <w:t>un pagarināt termiņu tiesībai izslēgt pretendentu no dalības publis</w:t>
      </w:r>
      <w:r w:rsidR="00444CFF" w:rsidRPr="002926B4">
        <w:rPr>
          <w:b/>
          <w:bCs/>
          <w:szCs w:val="26"/>
          <w:lang w:val="lv-LV"/>
        </w:rPr>
        <w:t>kajā iepirkumā iepriekš noslēgtā līguma laušanas gadījumā</w:t>
      </w:r>
      <w:r w:rsidR="003E0718" w:rsidRPr="002926B4">
        <w:rPr>
          <w:b/>
          <w:bCs/>
          <w:szCs w:val="26"/>
          <w:lang w:val="lv-LV"/>
        </w:rPr>
        <w:t>.</w:t>
      </w:r>
    </w:p>
    <w:p w14:paraId="1F756F36" w14:textId="122C4008" w:rsidR="00195DE5" w:rsidRPr="002926B4" w:rsidRDefault="00A73ECE" w:rsidP="0013693C">
      <w:pPr>
        <w:pStyle w:val="ListParagraph"/>
        <w:widowControl/>
        <w:numPr>
          <w:ilvl w:val="0"/>
          <w:numId w:val="14"/>
        </w:numPr>
        <w:spacing w:before="120" w:after="0" w:line="240" w:lineRule="auto"/>
        <w:rPr>
          <w:b/>
          <w:bCs/>
          <w:szCs w:val="26"/>
          <w:lang w:val="lv-LV"/>
        </w:rPr>
      </w:pPr>
      <w:r w:rsidRPr="002926B4">
        <w:rPr>
          <w:b/>
          <w:bCs/>
          <w:szCs w:val="26"/>
          <w:lang w:val="lv-LV"/>
        </w:rPr>
        <w:t>Izvērtēt iespēju</w:t>
      </w:r>
      <w:r w:rsidR="00EE63FA" w:rsidRPr="002926B4">
        <w:rPr>
          <w:b/>
          <w:bCs/>
          <w:szCs w:val="26"/>
          <w:lang w:val="lv-LV"/>
        </w:rPr>
        <w:t>, ka</w:t>
      </w:r>
      <w:r w:rsidRPr="002926B4">
        <w:rPr>
          <w:b/>
          <w:bCs/>
          <w:szCs w:val="26"/>
          <w:lang w:val="lv-LV"/>
        </w:rPr>
        <w:t xml:space="preserve"> i</w:t>
      </w:r>
      <w:r w:rsidR="00195DE5" w:rsidRPr="002926B4">
        <w:rPr>
          <w:b/>
          <w:bCs/>
          <w:szCs w:val="26"/>
          <w:lang w:val="lv-LV"/>
        </w:rPr>
        <w:t xml:space="preserve">zslēgšana no publiskajiem iepirkumiem varētu tikt piesaistīta </w:t>
      </w:r>
      <w:r w:rsidR="00324CDC" w:rsidRPr="002926B4">
        <w:rPr>
          <w:b/>
          <w:bCs/>
          <w:szCs w:val="26"/>
          <w:lang w:val="lv-LV"/>
        </w:rPr>
        <w:t>patiesā labuma guvējiem</w:t>
      </w:r>
      <w:r w:rsidR="00195DE5" w:rsidRPr="002926B4">
        <w:rPr>
          <w:b/>
          <w:bCs/>
          <w:szCs w:val="26"/>
          <w:lang w:val="lv-LV"/>
        </w:rPr>
        <w:t>, lai izskaustu jaunu uzņēmumu veidošanu ar mērķi apiet ierobežojumu</w:t>
      </w:r>
      <w:r w:rsidR="00324CDC" w:rsidRPr="002926B4">
        <w:rPr>
          <w:b/>
          <w:bCs/>
          <w:szCs w:val="26"/>
          <w:lang w:val="lv-LV"/>
        </w:rPr>
        <w:t>s</w:t>
      </w:r>
      <w:r w:rsidR="00F1001E" w:rsidRPr="002926B4">
        <w:rPr>
          <w:b/>
          <w:bCs/>
          <w:szCs w:val="26"/>
          <w:lang w:val="lv-LV"/>
        </w:rPr>
        <w:t>.</w:t>
      </w:r>
    </w:p>
    <w:p w14:paraId="50E01A78" w14:textId="1DF262EA" w:rsidR="00195DE5" w:rsidRPr="002926B4" w:rsidRDefault="00195DE5" w:rsidP="0013693C">
      <w:pPr>
        <w:pStyle w:val="ListParagraph"/>
        <w:widowControl/>
        <w:numPr>
          <w:ilvl w:val="0"/>
          <w:numId w:val="14"/>
        </w:numPr>
        <w:spacing w:before="120" w:after="0" w:line="240" w:lineRule="auto"/>
        <w:rPr>
          <w:b/>
          <w:bCs/>
          <w:szCs w:val="26"/>
          <w:lang w:val="lv-LV"/>
        </w:rPr>
      </w:pPr>
      <w:r w:rsidRPr="002926B4">
        <w:rPr>
          <w:b/>
          <w:bCs/>
          <w:szCs w:val="26"/>
          <w:lang w:val="lv-LV"/>
        </w:rPr>
        <w:t xml:space="preserve">Izvērtēt nepieciešamību papildināt </w:t>
      </w:r>
      <w:r w:rsidR="00B62537" w:rsidRPr="00210898">
        <w:rPr>
          <w:b/>
          <w:bCs/>
          <w:szCs w:val="26"/>
          <w:lang w:val="lv-LV"/>
        </w:rPr>
        <w:t xml:space="preserve">publisko iepirkumu </w:t>
      </w:r>
      <w:r w:rsidRPr="002926B4">
        <w:rPr>
          <w:b/>
          <w:bCs/>
          <w:szCs w:val="26"/>
          <w:lang w:val="lv-LV"/>
        </w:rPr>
        <w:t>regulējumu, nosakot</w:t>
      </w:r>
      <w:r w:rsidRPr="002926B4">
        <w:rPr>
          <w:b/>
          <w:bCs/>
          <w:szCs w:val="26"/>
          <w:lang w:val="lv-LV"/>
        </w:rPr>
        <w:t xml:space="preserve"> </w:t>
      </w:r>
      <w:r w:rsidR="00B62537" w:rsidRPr="00F9727B">
        <w:rPr>
          <w:b/>
          <w:bCs/>
          <w:szCs w:val="26"/>
          <w:lang w:val="lv-LV"/>
        </w:rPr>
        <w:t>ierobežojum</w:t>
      </w:r>
      <w:r w:rsidR="006405D7">
        <w:rPr>
          <w:b/>
          <w:bCs/>
          <w:szCs w:val="26"/>
          <w:lang w:val="lv-LV"/>
        </w:rPr>
        <w:t xml:space="preserve">u </w:t>
      </w:r>
      <w:r w:rsidRPr="002926B4">
        <w:rPr>
          <w:b/>
          <w:bCs/>
          <w:szCs w:val="26"/>
          <w:lang w:val="lv-LV"/>
        </w:rPr>
        <w:t>piedalīties iepirkumos arī tad, ja Valsts ieņēmumu dienestam</w:t>
      </w:r>
      <w:r w:rsidR="00FC2C29" w:rsidRPr="002926B4">
        <w:rPr>
          <w:b/>
          <w:bCs/>
          <w:szCs w:val="26"/>
          <w:lang w:val="lv-LV"/>
        </w:rPr>
        <w:t xml:space="preserve"> nav iesniegtas normatīvajos aktos noteiktās </w:t>
      </w:r>
      <w:r w:rsidR="00B62537" w:rsidRPr="00210898">
        <w:rPr>
          <w:b/>
          <w:bCs/>
          <w:szCs w:val="26"/>
          <w:lang w:val="lv-LV"/>
        </w:rPr>
        <w:t xml:space="preserve">nodokļu  </w:t>
      </w:r>
      <w:r w:rsidR="00FC2C29" w:rsidRPr="002926B4">
        <w:rPr>
          <w:b/>
          <w:bCs/>
          <w:szCs w:val="26"/>
          <w:lang w:val="lv-LV"/>
        </w:rPr>
        <w:t>deklarācijas.</w:t>
      </w:r>
    </w:p>
    <w:p w14:paraId="757E99F4" w14:textId="614F2108" w:rsidR="00195DE5" w:rsidRPr="002926B4" w:rsidRDefault="00195DE5" w:rsidP="0013693C">
      <w:pPr>
        <w:pStyle w:val="ListParagraph"/>
        <w:widowControl/>
        <w:numPr>
          <w:ilvl w:val="0"/>
          <w:numId w:val="14"/>
        </w:numPr>
        <w:spacing w:before="120" w:after="0" w:line="240" w:lineRule="auto"/>
        <w:rPr>
          <w:b/>
          <w:bCs/>
          <w:szCs w:val="26"/>
          <w:lang w:val="lv-LV"/>
        </w:rPr>
      </w:pPr>
      <w:r w:rsidRPr="002926B4">
        <w:rPr>
          <w:b/>
          <w:bCs/>
          <w:szCs w:val="26"/>
          <w:lang w:val="lv-LV"/>
        </w:rPr>
        <w:t xml:space="preserve">Izvērtēt nepieciešamību papildināt </w:t>
      </w:r>
      <w:r w:rsidR="00EF339B" w:rsidRPr="00861C72">
        <w:rPr>
          <w:b/>
          <w:bCs/>
          <w:szCs w:val="26"/>
          <w:lang w:val="lv-LV"/>
        </w:rPr>
        <w:t xml:space="preserve">iepirkumu regulējumu </w:t>
      </w:r>
      <w:r w:rsidRPr="002926B4">
        <w:rPr>
          <w:b/>
          <w:bCs/>
          <w:szCs w:val="26"/>
          <w:lang w:val="lv-LV"/>
        </w:rPr>
        <w:t xml:space="preserve">ar </w:t>
      </w:r>
      <w:r w:rsidRPr="002926B4">
        <w:rPr>
          <w:b/>
          <w:bCs/>
          <w:szCs w:val="26"/>
          <w:lang w:val="lv-LV"/>
        </w:rPr>
        <w:t>tiesīb</w:t>
      </w:r>
      <w:r w:rsidR="00E2400D">
        <w:rPr>
          <w:b/>
          <w:bCs/>
          <w:szCs w:val="26"/>
          <w:lang w:val="lv-LV"/>
        </w:rPr>
        <w:t>ām</w:t>
      </w:r>
      <w:r w:rsidR="006405D7">
        <w:rPr>
          <w:b/>
          <w:bCs/>
          <w:szCs w:val="26"/>
          <w:lang w:val="lv-LV"/>
        </w:rPr>
        <w:t xml:space="preserve"> </w:t>
      </w:r>
      <w:r w:rsidRPr="002926B4">
        <w:rPr>
          <w:b/>
          <w:bCs/>
          <w:szCs w:val="26"/>
          <w:lang w:val="lv-LV"/>
        </w:rPr>
        <w:t>norai</w:t>
      </w:r>
      <w:r w:rsidR="004F208F" w:rsidRPr="002926B4">
        <w:rPr>
          <w:b/>
          <w:bCs/>
          <w:szCs w:val="26"/>
          <w:lang w:val="lv-LV"/>
        </w:rPr>
        <w:t>d</w:t>
      </w:r>
      <w:r w:rsidRPr="002926B4">
        <w:rPr>
          <w:b/>
          <w:bCs/>
          <w:szCs w:val="26"/>
          <w:lang w:val="lv-LV"/>
        </w:rPr>
        <w:t xml:space="preserve">īt </w:t>
      </w:r>
      <w:r w:rsidRPr="002926B4">
        <w:rPr>
          <w:b/>
          <w:bCs/>
          <w:i/>
          <w:iCs/>
          <w:szCs w:val="26"/>
          <w:lang w:val="lv-LV"/>
        </w:rPr>
        <w:t xml:space="preserve">nepamatoti dārgu </w:t>
      </w:r>
      <w:r w:rsidRPr="002926B4">
        <w:rPr>
          <w:b/>
          <w:bCs/>
          <w:szCs w:val="26"/>
          <w:lang w:val="lv-LV"/>
        </w:rPr>
        <w:t>piedāvājumu.</w:t>
      </w:r>
    </w:p>
    <w:p w14:paraId="240600ED" w14:textId="38BC905A" w:rsidR="000C0CDD" w:rsidRPr="002926B4" w:rsidRDefault="00195DE5" w:rsidP="000C0CDD">
      <w:pPr>
        <w:pStyle w:val="ListParagraph"/>
        <w:widowControl/>
        <w:numPr>
          <w:ilvl w:val="0"/>
          <w:numId w:val="14"/>
        </w:numPr>
        <w:spacing w:before="120" w:after="0" w:line="240" w:lineRule="auto"/>
        <w:rPr>
          <w:b/>
          <w:bCs/>
          <w:szCs w:val="26"/>
          <w:lang w:val="lv-LV"/>
        </w:rPr>
      </w:pPr>
      <w:r w:rsidRPr="002926B4">
        <w:rPr>
          <w:b/>
          <w:bCs/>
          <w:szCs w:val="26"/>
          <w:lang w:val="lv-LV"/>
        </w:rPr>
        <w:t xml:space="preserve">Izvērtēt </w:t>
      </w:r>
      <w:r w:rsidR="0078042A" w:rsidRPr="002926B4">
        <w:rPr>
          <w:b/>
          <w:bCs/>
          <w:szCs w:val="26"/>
          <w:lang w:val="lv-LV"/>
        </w:rPr>
        <w:t>iespēju</w:t>
      </w:r>
      <w:r w:rsidRPr="002926B4">
        <w:rPr>
          <w:b/>
          <w:bCs/>
          <w:szCs w:val="26"/>
          <w:lang w:val="lv-LV"/>
        </w:rPr>
        <w:t xml:space="preserve"> papildināt </w:t>
      </w:r>
      <w:r w:rsidR="00EF339B" w:rsidRPr="00035FA7">
        <w:rPr>
          <w:b/>
          <w:bCs/>
          <w:szCs w:val="26"/>
          <w:lang w:val="lv-LV"/>
        </w:rPr>
        <w:t>būvniecības jomas regulējošos normatīvos aktu ar regulējumu, kas ļautu</w:t>
      </w:r>
      <w:r w:rsidR="00EF339B" w:rsidRPr="00210898">
        <w:rPr>
          <w:b/>
          <w:bCs/>
          <w:szCs w:val="26"/>
          <w:lang w:val="lv-LV"/>
        </w:rPr>
        <w:t xml:space="preserve"> </w:t>
      </w:r>
      <w:r w:rsidRPr="002926B4">
        <w:rPr>
          <w:b/>
          <w:bCs/>
          <w:szCs w:val="26"/>
          <w:lang w:val="lv-LV"/>
        </w:rPr>
        <w:t xml:space="preserve">pārliecināties par norēķiniem ar apakšuzņēmējiem, veidojot datu bāzi (reģistru) par savstarpējiem norēķiniem. </w:t>
      </w:r>
    </w:p>
    <w:p w14:paraId="17724BF4" w14:textId="02855098" w:rsidR="00FE57C4" w:rsidRPr="002926B4" w:rsidRDefault="00FE57C4" w:rsidP="0013693C">
      <w:pPr>
        <w:pStyle w:val="ListParagraph"/>
        <w:widowControl/>
        <w:numPr>
          <w:ilvl w:val="0"/>
          <w:numId w:val="14"/>
        </w:numPr>
        <w:spacing w:before="120" w:after="0" w:line="240" w:lineRule="auto"/>
        <w:rPr>
          <w:b/>
          <w:bCs/>
          <w:szCs w:val="26"/>
          <w:lang w:val="lv-LV"/>
        </w:rPr>
      </w:pPr>
      <w:r w:rsidRPr="002926B4">
        <w:rPr>
          <w:b/>
          <w:bCs/>
          <w:szCs w:val="26"/>
          <w:lang w:val="lv-LV"/>
        </w:rPr>
        <w:t>Izvērtēt nepieciešamību izstrādāt grozījumus</w:t>
      </w:r>
      <w:r w:rsidR="006405D7">
        <w:rPr>
          <w:b/>
          <w:bCs/>
          <w:szCs w:val="26"/>
          <w:lang w:val="lv-LV"/>
        </w:rPr>
        <w:t xml:space="preserve"> publisko iepirkumu regulējumā</w:t>
      </w:r>
      <w:r w:rsidRPr="002926B4">
        <w:rPr>
          <w:b/>
          <w:bCs/>
          <w:szCs w:val="26"/>
          <w:lang w:val="lv-LV"/>
        </w:rPr>
        <w:t>, lai novērstu situācijas, kurās, izpildot līgumus, pastāv piegādātājam iespējamība nenorēķināties ar apakšuzņēmējiem.</w:t>
      </w:r>
    </w:p>
    <w:p w14:paraId="1AB08136" w14:textId="38CEDEB6" w:rsidR="000C0CDD" w:rsidRPr="002926B4" w:rsidRDefault="000C0CDD" w:rsidP="000C0CDD">
      <w:pPr>
        <w:pStyle w:val="ListParagraph"/>
        <w:widowControl/>
        <w:numPr>
          <w:ilvl w:val="0"/>
          <w:numId w:val="14"/>
        </w:numPr>
        <w:spacing w:before="120" w:after="0" w:line="240" w:lineRule="auto"/>
        <w:rPr>
          <w:b/>
          <w:bCs/>
          <w:szCs w:val="26"/>
          <w:lang w:val="lv-LV"/>
        </w:rPr>
      </w:pPr>
      <w:r w:rsidRPr="002926B4">
        <w:rPr>
          <w:b/>
          <w:bCs/>
          <w:szCs w:val="26"/>
          <w:lang w:val="lv-LV"/>
        </w:rPr>
        <w:t>Apsvērt iespēju noteikt sabiedrisko pakalpojumu</w:t>
      </w:r>
      <w:r w:rsidR="00BB59DB" w:rsidRPr="002926B4">
        <w:rPr>
          <w:b/>
          <w:bCs/>
          <w:szCs w:val="26"/>
          <w:lang w:val="lv-LV"/>
        </w:rPr>
        <w:t xml:space="preserve"> sniedzēju</w:t>
      </w:r>
      <w:r w:rsidRPr="002926B4">
        <w:rPr>
          <w:b/>
          <w:bCs/>
          <w:szCs w:val="26"/>
          <w:lang w:val="lv-LV"/>
        </w:rPr>
        <w:t xml:space="preserve"> iepirkuma komisijas locekļiem valsts amatpersonas statusu.</w:t>
      </w:r>
    </w:p>
    <w:p w14:paraId="6EA713D3" w14:textId="77777777" w:rsidR="000C0CDD" w:rsidRPr="002926B4" w:rsidRDefault="000C0CDD" w:rsidP="000C0CDD">
      <w:pPr>
        <w:widowControl/>
        <w:spacing w:before="120" w:after="0" w:line="240" w:lineRule="auto"/>
        <w:rPr>
          <w:b/>
          <w:bCs/>
          <w:szCs w:val="26"/>
          <w:lang w:val="lv-LV"/>
        </w:rPr>
      </w:pPr>
    </w:p>
    <w:p w14:paraId="2066A789" w14:textId="6CFDCDE4" w:rsidR="00180FE5" w:rsidRPr="002926B4" w:rsidRDefault="00180FE5" w:rsidP="00180FE5">
      <w:pPr>
        <w:pStyle w:val="Footer"/>
        <w:numPr>
          <w:ilvl w:val="0"/>
          <w:numId w:val="9"/>
        </w:numPr>
        <w:rPr>
          <w:sz w:val="26"/>
          <w:szCs w:val="26"/>
        </w:rPr>
      </w:pPr>
      <w:r w:rsidRPr="002926B4">
        <w:rPr>
          <w:sz w:val="26"/>
          <w:szCs w:val="26"/>
        </w:rPr>
        <w:t>Priekšlikumi turpmākai rīcībai.</w:t>
      </w:r>
    </w:p>
    <w:p w14:paraId="1D35FC5A" w14:textId="77777777" w:rsidR="00180FE5" w:rsidRPr="002926B4" w:rsidRDefault="00180FE5" w:rsidP="00180FE5">
      <w:pPr>
        <w:pStyle w:val="Footer"/>
        <w:rPr>
          <w:sz w:val="26"/>
          <w:szCs w:val="26"/>
        </w:rPr>
      </w:pPr>
    </w:p>
    <w:p w14:paraId="3B1ECA68" w14:textId="391DA40D" w:rsidR="00180FE5" w:rsidRPr="002926B4" w:rsidRDefault="00A26ADD" w:rsidP="00A26ADD">
      <w:pPr>
        <w:pStyle w:val="Footer"/>
        <w:tabs>
          <w:tab w:val="clear" w:pos="4153"/>
          <w:tab w:val="center" w:pos="709"/>
        </w:tabs>
        <w:jc w:val="both"/>
        <w:rPr>
          <w:sz w:val="26"/>
          <w:szCs w:val="26"/>
        </w:rPr>
      </w:pPr>
      <w:r>
        <w:rPr>
          <w:sz w:val="26"/>
          <w:szCs w:val="26"/>
        </w:rPr>
        <w:tab/>
      </w:r>
      <w:r>
        <w:rPr>
          <w:sz w:val="26"/>
          <w:szCs w:val="26"/>
        </w:rPr>
        <w:tab/>
      </w:r>
      <w:r w:rsidR="00180FE5" w:rsidRPr="002926B4">
        <w:rPr>
          <w:sz w:val="26"/>
          <w:szCs w:val="26"/>
        </w:rPr>
        <w:t xml:space="preserve">Ekonomikas ministrija šajā informatīvajā ziņojumā ir apkopojusi valsts pārvaldes institūciju iesniegtos priekšlikumus, taču darba grupā laika trūkuma dēļ netika veikta šo priekšlikumu </w:t>
      </w:r>
      <w:r w:rsidR="00EF339B" w:rsidRPr="00210898">
        <w:rPr>
          <w:sz w:val="26"/>
          <w:szCs w:val="26"/>
        </w:rPr>
        <w:t>vispusīga</w:t>
      </w:r>
      <w:r w:rsidR="00F76C0A">
        <w:rPr>
          <w:sz w:val="26"/>
          <w:szCs w:val="26"/>
        </w:rPr>
        <w:t xml:space="preserve"> </w:t>
      </w:r>
      <w:r w:rsidR="00180FE5" w:rsidRPr="002926B4">
        <w:rPr>
          <w:sz w:val="26"/>
          <w:szCs w:val="26"/>
        </w:rPr>
        <w:t xml:space="preserve">analīze, kā arī šie priekšlikumi nav skaņoti ar citām ieinteresētām iestādēm. Jāatzīst, ka atsevišķi priekšlikumi ir formulēti precīzi, savukārt liela daļa priekšlikumu ir formulēta vispārīgi. Lai izvērtētu priekšlikumus, pārliecinātos par to kompleksumu un piemērotību </w:t>
      </w:r>
      <w:r w:rsidR="00180FE5" w:rsidRPr="002926B4">
        <w:rPr>
          <w:sz w:val="26"/>
          <w:szCs w:val="26"/>
        </w:rPr>
        <w:t>nospraust</w:t>
      </w:r>
      <w:r w:rsidR="00030C8E">
        <w:rPr>
          <w:sz w:val="26"/>
          <w:szCs w:val="26"/>
        </w:rPr>
        <w:t>ā</w:t>
      </w:r>
      <w:r w:rsidR="00F76C0A">
        <w:rPr>
          <w:sz w:val="26"/>
          <w:szCs w:val="26"/>
        </w:rPr>
        <w:t xml:space="preserve"> </w:t>
      </w:r>
      <w:r w:rsidR="00180FE5" w:rsidRPr="002926B4">
        <w:rPr>
          <w:sz w:val="26"/>
          <w:szCs w:val="26"/>
        </w:rPr>
        <w:t>mērķa sasniegšanai</w:t>
      </w:r>
      <w:r w:rsidR="00030C8E">
        <w:rPr>
          <w:sz w:val="26"/>
          <w:szCs w:val="26"/>
        </w:rPr>
        <w:t>,</w:t>
      </w:r>
      <w:r w:rsidR="00180FE5" w:rsidRPr="002926B4">
        <w:rPr>
          <w:sz w:val="26"/>
          <w:szCs w:val="26"/>
        </w:rPr>
        <w:t xml:space="preserve"> ir nepieciešams papildu darbs. </w:t>
      </w:r>
    </w:p>
    <w:p w14:paraId="651A4A68" w14:textId="35E10DFA" w:rsidR="004C1D76" w:rsidRPr="002926B4" w:rsidRDefault="00180FE5" w:rsidP="00A26ADD">
      <w:pPr>
        <w:pStyle w:val="Footer"/>
        <w:tabs>
          <w:tab w:val="clear" w:pos="4153"/>
          <w:tab w:val="clear" w:pos="8306"/>
        </w:tabs>
        <w:ind w:firstLine="720"/>
        <w:jc w:val="both"/>
        <w:rPr>
          <w:sz w:val="26"/>
          <w:szCs w:val="26"/>
        </w:rPr>
      </w:pPr>
      <w:r w:rsidRPr="002926B4">
        <w:rPr>
          <w:sz w:val="26"/>
          <w:szCs w:val="26"/>
        </w:rPr>
        <w:t xml:space="preserve">Ekonomikas ministrija ierosina izveidot darba grupu Ekonomikas ministra vadībā, iekļaujot pārstāvjus no Finanšu ministrijas, Iepirkumu uzraudzības biroja, VAS “Valsts nekustamie īpašumi”, Būvniecības valsts kontroles biroja, Konkurences padomes, Tieslietu ministrijas un Korupcijas novēršanas un apkarošanas biroja. Darba grupas uzdevums ir izstrādāt rīcības plānu ar konkrētiem pasākumiem publisko iepirkumu sistēmas uzlabošanai, norādot par katra priekšlikuma ieviešanu atbildīgo institūciju un priekšlikuma </w:t>
      </w:r>
      <w:r w:rsidRPr="002926B4">
        <w:rPr>
          <w:sz w:val="26"/>
          <w:szCs w:val="26"/>
        </w:rPr>
        <w:lastRenderedPageBreak/>
        <w:t xml:space="preserve">ieviešanas termiņu. Piedāvājam rīcības plāna izstrādei un iesniegšanai izskatīšanai Ministru kabinetā </w:t>
      </w:r>
      <w:r w:rsidR="00C53416" w:rsidRPr="00210898">
        <w:rPr>
          <w:sz w:val="26"/>
          <w:szCs w:val="26"/>
        </w:rPr>
        <w:t xml:space="preserve">noteikt termiņu </w:t>
      </w:r>
      <w:r w:rsidRPr="002926B4">
        <w:rPr>
          <w:sz w:val="26"/>
          <w:szCs w:val="26"/>
        </w:rPr>
        <w:t xml:space="preserve">– 2020. gada 1.janvāris.  </w:t>
      </w:r>
    </w:p>
    <w:p w14:paraId="625F9695" w14:textId="77777777" w:rsidR="00180FE5" w:rsidRPr="002926B4" w:rsidRDefault="00180FE5" w:rsidP="004C1D76">
      <w:pPr>
        <w:ind w:firstLine="0"/>
        <w:rPr>
          <w:szCs w:val="26"/>
          <w:lang w:val="lv-LV"/>
        </w:rPr>
      </w:pPr>
    </w:p>
    <w:p w14:paraId="30C56991" w14:textId="5FD0A53A" w:rsidR="004C1D76" w:rsidRPr="00F76C0A" w:rsidRDefault="004C1D76" w:rsidP="004C1D76">
      <w:pPr>
        <w:ind w:firstLine="0"/>
        <w:rPr>
          <w:lang w:val="lv-LV"/>
        </w:rPr>
      </w:pPr>
      <w:r w:rsidRPr="00F76C0A">
        <w:rPr>
          <w:lang w:val="lv-LV"/>
        </w:rPr>
        <w:t>Ekonomikas ministrs</w:t>
      </w:r>
      <w:r w:rsidRPr="00F76C0A">
        <w:rPr>
          <w:lang w:val="lv-LV"/>
        </w:rPr>
        <w:tab/>
      </w:r>
      <w:r w:rsidRPr="00F76C0A">
        <w:rPr>
          <w:lang w:val="lv-LV"/>
        </w:rPr>
        <w:tab/>
      </w:r>
      <w:r w:rsidRPr="00F76C0A">
        <w:rPr>
          <w:lang w:val="lv-LV"/>
        </w:rPr>
        <w:tab/>
      </w:r>
      <w:r w:rsidRPr="00F76C0A">
        <w:rPr>
          <w:lang w:val="lv-LV"/>
        </w:rPr>
        <w:tab/>
      </w:r>
      <w:r w:rsidRPr="00F76C0A">
        <w:rPr>
          <w:lang w:val="lv-LV"/>
        </w:rPr>
        <w:tab/>
      </w:r>
      <w:r w:rsidRPr="00F76C0A">
        <w:rPr>
          <w:lang w:val="lv-LV"/>
        </w:rPr>
        <w:tab/>
        <w:t>R. </w:t>
      </w:r>
      <w:proofErr w:type="spellStart"/>
      <w:r w:rsidRPr="00F76C0A">
        <w:rPr>
          <w:lang w:val="lv-LV"/>
        </w:rPr>
        <w:t>Nemiro</w:t>
      </w:r>
      <w:proofErr w:type="spellEnd"/>
    </w:p>
    <w:p w14:paraId="206FBB2A" w14:textId="77777777" w:rsidR="004C1D76" w:rsidRPr="00F76C0A" w:rsidRDefault="004C1D76" w:rsidP="004C1D76">
      <w:pPr>
        <w:rPr>
          <w:lang w:val="lv-LV"/>
        </w:rPr>
      </w:pPr>
    </w:p>
    <w:p w14:paraId="796C0BC7" w14:textId="77777777" w:rsidR="004C1D76" w:rsidRPr="00F76C0A" w:rsidRDefault="004C1D76" w:rsidP="004C1D76">
      <w:pPr>
        <w:spacing w:after="0" w:line="240" w:lineRule="auto"/>
        <w:ind w:firstLine="0"/>
        <w:rPr>
          <w:lang w:val="lv-LV"/>
        </w:rPr>
      </w:pPr>
      <w:r w:rsidRPr="00F76C0A">
        <w:rPr>
          <w:lang w:val="lv-LV"/>
        </w:rPr>
        <w:t xml:space="preserve">Vīza: </w:t>
      </w:r>
    </w:p>
    <w:p w14:paraId="410CC31C" w14:textId="23685E77" w:rsidR="004C1D76" w:rsidRPr="00F76C0A" w:rsidRDefault="004C1D76" w:rsidP="004C1D76">
      <w:pPr>
        <w:ind w:firstLine="0"/>
        <w:rPr>
          <w:lang w:val="lv-LV"/>
        </w:rPr>
      </w:pPr>
      <w:r w:rsidRPr="00F76C0A">
        <w:rPr>
          <w:lang w:val="lv-LV"/>
        </w:rPr>
        <w:t>Valsts sekretārs</w:t>
      </w:r>
      <w:r w:rsidRPr="00F76C0A">
        <w:rPr>
          <w:lang w:val="lv-LV"/>
        </w:rPr>
        <w:tab/>
      </w:r>
      <w:r w:rsidRPr="00F76C0A">
        <w:rPr>
          <w:lang w:val="lv-LV"/>
        </w:rPr>
        <w:tab/>
      </w:r>
      <w:r w:rsidRPr="00F76C0A">
        <w:rPr>
          <w:lang w:val="lv-LV"/>
        </w:rPr>
        <w:tab/>
      </w:r>
      <w:r w:rsidRPr="00F76C0A">
        <w:rPr>
          <w:lang w:val="lv-LV"/>
        </w:rPr>
        <w:tab/>
      </w:r>
      <w:r w:rsidRPr="00F76C0A">
        <w:rPr>
          <w:lang w:val="lv-LV"/>
        </w:rPr>
        <w:tab/>
      </w:r>
      <w:r w:rsidRPr="00F76C0A">
        <w:rPr>
          <w:lang w:val="lv-LV"/>
        </w:rPr>
        <w:tab/>
      </w:r>
      <w:r w:rsidRPr="00F76C0A">
        <w:rPr>
          <w:lang w:val="lv-LV"/>
        </w:rPr>
        <w:tab/>
        <w:t>Ē. Eglītis</w:t>
      </w:r>
    </w:p>
    <w:p w14:paraId="21A5DFB7" w14:textId="77777777" w:rsidR="004C1D76" w:rsidRPr="002926B4" w:rsidRDefault="004C1D76" w:rsidP="004C1D76">
      <w:pPr>
        <w:pStyle w:val="BodyTextIndent"/>
        <w:suppressAutoHyphens/>
        <w:ind w:left="0" w:right="-341"/>
        <w:jc w:val="both"/>
        <w:rPr>
          <w:sz w:val="26"/>
          <w:szCs w:val="26"/>
          <w:lang w:val="lv-LV"/>
        </w:rPr>
      </w:pPr>
    </w:p>
    <w:p w14:paraId="73844173" w14:textId="77777777" w:rsidR="004C1D76" w:rsidRPr="002926B4" w:rsidRDefault="004C1D76" w:rsidP="004C1D76">
      <w:pPr>
        <w:pStyle w:val="BodyTextIndent"/>
        <w:suppressAutoHyphens/>
        <w:ind w:left="0" w:right="-341"/>
        <w:jc w:val="both"/>
        <w:rPr>
          <w:sz w:val="26"/>
          <w:szCs w:val="26"/>
          <w:lang w:val="lv-LV"/>
        </w:rPr>
      </w:pPr>
    </w:p>
    <w:p w14:paraId="33CFCE0B" w14:textId="77777777" w:rsidR="004C1D76" w:rsidRPr="00F76C0A" w:rsidRDefault="004C1D76" w:rsidP="004C1D76">
      <w:pPr>
        <w:spacing w:before="0" w:after="0" w:line="240" w:lineRule="auto"/>
        <w:rPr>
          <w:sz w:val="20"/>
          <w:lang w:val="lv-LV"/>
        </w:rPr>
      </w:pPr>
    </w:p>
    <w:p w14:paraId="462039D0" w14:textId="65B51E28" w:rsidR="004C1D76" w:rsidRPr="00F76C0A" w:rsidRDefault="00B53A30" w:rsidP="004C1D76">
      <w:pPr>
        <w:spacing w:before="0" w:after="0" w:line="240" w:lineRule="auto"/>
        <w:ind w:firstLine="0"/>
        <w:rPr>
          <w:sz w:val="20"/>
          <w:lang w:val="lv-LV"/>
        </w:rPr>
      </w:pPr>
      <w:proofErr w:type="spellStart"/>
      <w:r w:rsidRPr="00F76C0A">
        <w:rPr>
          <w:sz w:val="20"/>
          <w:lang w:val="lv-LV"/>
        </w:rPr>
        <w:t>O.Feldmane</w:t>
      </w:r>
      <w:proofErr w:type="spellEnd"/>
    </w:p>
    <w:p w14:paraId="5D56B4C8" w14:textId="6CAF8C98" w:rsidR="004C1D76" w:rsidRPr="00C46593" w:rsidRDefault="004C1D76" w:rsidP="004C1D76">
      <w:pPr>
        <w:spacing w:before="0" w:after="0" w:line="240" w:lineRule="auto"/>
        <w:ind w:firstLine="0"/>
        <w:rPr>
          <w:sz w:val="20"/>
        </w:rPr>
      </w:pPr>
      <w:r w:rsidRPr="00F76C0A">
        <w:rPr>
          <w:sz w:val="20"/>
          <w:lang w:val="lv-LV"/>
        </w:rPr>
        <w:t>670132</w:t>
      </w:r>
      <w:r w:rsidR="00B53A30" w:rsidRPr="00F76C0A">
        <w:rPr>
          <w:sz w:val="20"/>
          <w:lang w:val="lv-LV"/>
        </w:rPr>
        <w:t>57</w:t>
      </w:r>
      <w:r w:rsidRPr="00F76C0A">
        <w:rPr>
          <w:sz w:val="20"/>
          <w:lang w:val="lv-LV"/>
        </w:rPr>
        <w:t xml:space="preserve">, </w:t>
      </w:r>
      <w:r w:rsidR="00B53A30" w:rsidRPr="00F76C0A">
        <w:rPr>
          <w:sz w:val="20"/>
          <w:lang w:val="lv-LV"/>
        </w:rPr>
        <w:t>Olga.Feldmane</w:t>
      </w:r>
      <w:r w:rsidRPr="00F76C0A">
        <w:rPr>
          <w:sz w:val="20"/>
          <w:lang w:val="lv-LV"/>
        </w:rPr>
        <w:t>@em.gov.lv</w:t>
      </w:r>
      <w:bookmarkStart w:id="3" w:name="_1383384029"/>
      <w:bookmarkEnd w:id="3"/>
    </w:p>
    <w:p w14:paraId="6AC8C12C" w14:textId="77777777" w:rsidR="004C1D76" w:rsidRPr="00D6345F" w:rsidRDefault="004C1D76" w:rsidP="004C1D76">
      <w:pPr>
        <w:spacing w:before="0" w:after="0" w:line="240" w:lineRule="auto"/>
        <w:rPr>
          <w:szCs w:val="26"/>
          <w:lang w:val="lv-LV"/>
        </w:rPr>
      </w:pPr>
    </w:p>
    <w:sectPr w:rsidR="004C1D76" w:rsidRPr="00D6345F">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5B8F4" w14:textId="77777777" w:rsidR="00D26009" w:rsidRDefault="00D26009" w:rsidP="00D65D8F">
      <w:pPr>
        <w:spacing w:before="0" w:after="0" w:line="240" w:lineRule="auto"/>
      </w:pPr>
      <w:r>
        <w:separator/>
      </w:r>
    </w:p>
  </w:endnote>
  <w:endnote w:type="continuationSeparator" w:id="0">
    <w:p w14:paraId="016BD0A9" w14:textId="77777777" w:rsidR="00D26009" w:rsidRDefault="00D26009" w:rsidP="00D65D8F">
      <w:pPr>
        <w:spacing w:before="0" w:after="0" w:line="240" w:lineRule="auto"/>
      </w:pPr>
      <w:r>
        <w:continuationSeparator/>
      </w:r>
    </w:p>
  </w:endnote>
  <w:endnote w:type="continuationNotice" w:id="1">
    <w:p w14:paraId="02B41F37" w14:textId="77777777" w:rsidR="00D26009" w:rsidRDefault="00D260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241238"/>
      <w:docPartObj>
        <w:docPartGallery w:val="Page Numbers (Bottom of Page)"/>
        <w:docPartUnique/>
      </w:docPartObj>
    </w:sdtPr>
    <w:sdtEndPr>
      <w:rPr>
        <w:noProof/>
      </w:rPr>
    </w:sdtEndPr>
    <w:sdtContent>
      <w:p w14:paraId="28A84444" w14:textId="3F95B472" w:rsidR="00D71E69" w:rsidRDefault="00D71E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9CC0C" w14:textId="79756B74" w:rsidR="00BF3009" w:rsidRDefault="00BF3009" w:rsidP="00BF3009">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CA75" w14:textId="77777777" w:rsidR="00D26009" w:rsidRDefault="00D26009" w:rsidP="00D65D8F">
      <w:pPr>
        <w:spacing w:before="0" w:after="0" w:line="240" w:lineRule="auto"/>
      </w:pPr>
      <w:r>
        <w:separator/>
      </w:r>
    </w:p>
  </w:footnote>
  <w:footnote w:type="continuationSeparator" w:id="0">
    <w:p w14:paraId="0ADC75CA" w14:textId="77777777" w:rsidR="00D26009" w:rsidRDefault="00D26009" w:rsidP="00D65D8F">
      <w:pPr>
        <w:spacing w:before="0" w:after="0" w:line="240" w:lineRule="auto"/>
      </w:pPr>
      <w:r>
        <w:continuationSeparator/>
      </w:r>
    </w:p>
  </w:footnote>
  <w:footnote w:type="continuationNotice" w:id="1">
    <w:p w14:paraId="709F6CBE" w14:textId="77777777" w:rsidR="00D26009" w:rsidRDefault="00D26009">
      <w:pPr>
        <w:spacing w:before="0" w:after="0" w:line="240" w:lineRule="auto"/>
      </w:pPr>
    </w:p>
  </w:footnote>
  <w:footnote w:id="2">
    <w:p w14:paraId="301D3954" w14:textId="77777777" w:rsidR="0076779A" w:rsidRPr="00F76C0A" w:rsidRDefault="0076779A" w:rsidP="0076779A">
      <w:pPr>
        <w:pStyle w:val="FootnoteText"/>
        <w:ind w:firstLine="0"/>
        <w:rPr>
          <w:lang w:val="lv-LV"/>
        </w:rPr>
      </w:pPr>
      <w:r>
        <w:rPr>
          <w:rStyle w:val="FootnoteReference"/>
        </w:rPr>
        <w:footnoteRef/>
      </w:r>
      <w:r>
        <w:t xml:space="preserve"> </w:t>
      </w:r>
      <w:r w:rsidRPr="00F76C0A">
        <w:rPr>
          <w:lang w:val="lv-LV"/>
        </w:rPr>
        <w:t>“</w:t>
      </w:r>
      <w:r w:rsidRPr="00C46593">
        <w:rPr>
          <w:color w:val="000000" w:themeColor="text1"/>
          <w:lang w:val="lv-LV"/>
        </w:rPr>
        <w:t xml:space="preserve">KL 1.panta </w:t>
      </w:r>
      <w:r w:rsidRPr="00F76C0A">
        <w:rPr>
          <w:color w:val="414142"/>
          <w:shd w:val="clear" w:color="auto" w:fill="FFFFFF"/>
          <w:lang w:val="lv-LV"/>
        </w:rPr>
        <w:t>2</w:t>
      </w:r>
      <w:r w:rsidRPr="00C46593">
        <w:rPr>
          <w:color w:val="000000" w:themeColor="text1"/>
          <w:shd w:val="clear" w:color="auto" w:fill="FFFFFF"/>
          <w:lang w:val="lv-LV"/>
        </w:rPr>
        <w:t>.</w:t>
      </w:r>
      <w:r w:rsidRPr="00F76C0A">
        <w:rPr>
          <w:color w:val="414142"/>
          <w:shd w:val="clear" w:color="auto" w:fill="FFFFFF"/>
          <w:vertAlign w:val="superscript"/>
          <w:lang w:val="lv-LV"/>
        </w:rPr>
        <w:t>1</w:t>
      </w:r>
      <w:r w:rsidRPr="00C46593">
        <w:rPr>
          <w:color w:val="000000" w:themeColor="text1"/>
          <w:shd w:val="clear" w:color="auto" w:fill="FFFFFF"/>
          <w:lang w:val="lv-LV"/>
        </w:rPr>
        <w:t xml:space="preserve"> punkts: “</w:t>
      </w:r>
      <w:r w:rsidRPr="00F76C0A">
        <w:rPr>
          <w:b/>
          <w:color w:val="414142"/>
          <w:shd w:val="clear" w:color="auto" w:fill="FFFFFF"/>
          <w:lang w:val="lv-LV"/>
        </w:rPr>
        <w:t>karteļa vienošanās</w:t>
      </w:r>
      <w:r w:rsidRPr="00F76C0A">
        <w:rPr>
          <w:color w:val="414142"/>
          <w:shd w:val="clear" w:color="auto" w:fill="FFFFFF"/>
          <w:lang w:val="lv-LV"/>
        </w:rPr>
        <w:t>  — konkurentu vienošanās, kuras mērķis ir kavēt, ierobežot vai deformēt konkurenci [iepirkuma vai pārdošanas cenu vai citu tirdzniecības nosacījumu, tai skaitā saistībā ar intelektuālā īpašuma tiesībām, noteikšana vai koordinēšana, ražošanas vai pārdošanas kvotu sadale, tirgu un klientu sadale, tai skaitā piedalīšanās vai nepiedalīšanās konkursos vai izsolēs vai vienošanās par šīs darbības (bezdarbības) noteikumiem, importa vai eksporta ierobežošana vai pret konkurenci vērstas darbības attiecībā uz citiem konkurentiem]”</w:t>
      </w:r>
    </w:p>
  </w:footnote>
  <w:footnote w:id="3">
    <w:p w14:paraId="6C2D24C1" w14:textId="77777777" w:rsidR="0076779A" w:rsidRPr="00F76C0A" w:rsidRDefault="0076779A" w:rsidP="0076779A">
      <w:pPr>
        <w:pStyle w:val="NormalWeb"/>
        <w:shd w:val="clear" w:color="auto" w:fill="FFFFFF"/>
        <w:spacing w:before="0" w:beforeAutospacing="0" w:after="75" w:afterAutospacing="0"/>
        <w:jc w:val="both"/>
        <w:rPr>
          <w:color w:val="444444"/>
          <w:sz w:val="20"/>
        </w:rPr>
      </w:pPr>
      <w:r w:rsidRPr="00F76C0A">
        <w:rPr>
          <w:rStyle w:val="FootnoteReference"/>
          <w:sz w:val="20"/>
        </w:rPr>
        <w:footnoteRef/>
      </w:r>
      <w:r w:rsidRPr="00F76C0A">
        <w:rPr>
          <w:sz w:val="20"/>
        </w:rPr>
        <w:t xml:space="preserve"> </w:t>
      </w:r>
      <w:r w:rsidRPr="00F76C0A">
        <w:rPr>
          <w:color w:val="444444"/>
          <w:sz w:val="20"/>
        </w:rPr>
        <w:t>Padomes Regula (EK) Nr. 1/2003 (2002. gada 16. decembris) par to konkurences noteikumu īstenošanu, kas noteikti Līguma 81. un 82. pantā (Dokuments attiecas uz EEZ). Dokuments attiecas uz EEZ, ELI: </w:t>
      </w:r>
      <w:hyperlink r:id="rId1" w:tooltip="Nodrošina piekļuvi šim dokumentam pēc tā ELI URI." w:history="1">
        <w:r w:rsidRPr="00F76C0A">
          <w:rPr>
            <w:rStyle w:val="Hyperlink"/>
            <w:color w:val="800080"/>
          </w:rPr>
          <w:t>http://data.europa.eu/eli/reg/2003/1/2009-07-01</w:t>
        </w:r>
      </w:hyperlink>
    </w:p>
  </w:footnote>
  <w:footnote w:id="4">
    <w:p w14:paraId="1AE7E6C5" w14:textId="77777777" w:rsidR="0076779A" w:rsidRPr="00F76C0A" w:rsidRDefault="0076779A" w:rsidP="0076779A">
      <w:pPr>
        <w:pStyle w:val="NormalWeb"/>
        <w:shd w:val="clear" w:color="auto" w:fill="FFFFFF"/>
        <w:spacing w:before="0" w:beforeAutospacing="0" w:after="75" w:afterAutospacing="0"/>
        <w:rPr>
          <w:color w:val="444444"/>
          <w:sz w:val="20"/>
        </w:rPr>
      </w:pPr>
      <w:r w:rsidRPr="00F76C0A">
        <w:rPr>
          <w:rStyle w:val="FootnoteReference"/>
          <w:sz w:val="20"/>
        </w:rPr>
        <w:footnoteRef/>
      </w:r>
      <w:r w:rsidRPr="00F76C0A">
        <w:rPr>
          <w:sz w:val="20"/>
        </w:rPr>
        <w:t xml:space="preserve"> </w:t>
      </w:r>
      <w:r w:rsidRPr="00F76C0A">
        <w:rPr>
          <w:color w:val="444444"/>
          <w:sz w:val="20"/>
        </w:rPr>
        <w:t xml:space="preserve">Līguma par Eiropas Savienības darbību konsolidētā versija, </w:t>
      </w:r>
      <w:r w:rsidRPr="00F76C0A">
        <w:rPr>
          <w:rStyle w:val="Emphasis"/>
          <w:color w:val="444444"/>
          <w:sz w:val="20"/>
        </w:rPr>
        <w:t xml:space="preserve">OV C 326, 26.10.2012., 47./390. lpp., </w:t>
      </w:r>
      <w:r w:rsidRPr="00F76C0A">
        <w:rPr>
          <w:color w:val="444444"/>
          <w:sz w:val="20"/>
          <w:shd w:val="clear" w:color="auto" w:fill="FFFFFF"/>
        </w:rPr>
        <w:t> </w:t>
      </w:r>
      <w:hyperlink r:id="rId2" w:tooltip="Nodrošina piekļuvi šim dokumentam pēc tā ELI URI." w:history="1">
        <w:r w:rsidRPr="00F76C0A">
          <w:rPr>
            <w:rStyle w:val="Hyperlink"/>
            <w:color w:val="800080"/>
            <w:shd w:val="clear" w:color="auto" w:fill="FFFFFF"/>
          </w:rPr>
          <w:t>http://data.europa.eu/eli/treaty/tfeu_2012/oj</w:t>
        </w:r>
      </w:hyperlink>
      <w:r w:rsidRPr="00F76C0A">
        <w:rPr>
          <w:sz w:val="20"/>
        </w:rPr>
        <w:t>.</w:t>
      </w:r>
    </w:p>
  </w:footnote>
  <w:footnote w:id="5">
    <w:p w14:paraId="4D8CC159" w14:textId="77777777" w:rsidR="0076779A" w:rsidRPr="00F76C0A" w:rsidRDefault="0076779A" w:rsidP="0076779A">
      <w:pPr>
        <w:pStyle w:val="FootnoteText"/>
        <w:ind w:firstLine="0"/>
        <w:rPr>
          <w:lang w:val="lv-LV"/>
        </w:rPr>
      </w:pPr>
      <w:r w:rsidRPr="00F76C0A">
        <w:rPr>
          <w:rStyle w:val="FootnoteReference"/>
          <w:lang w:val="lv-LV"/>
        </w:rPr>
        <w:footnoteRef/>
      </w:r>
      <w:r w:rsidRPr="00F76C0A">
        <w:rPr>
          <w:lang w:val="lv-LV"/>
        </w:rPr>
        <w:t xml:space="preserve"> </w:t>
      </w:r>
      <w:r w:rsidRPr="00F76C0A">
        <w:rPr>
          <w:lang w:val="lv-LV"/>
        </w:rPr>
        <w:t xml:space="preserve">KL 20.pants līdz </w:t>
      </w:r>
      <w:r w:rsidRPr="00F76C0A">
        <w:rPr>
          <w:color w:val="414142"/>
          <w:shd w:val="clear" w:color="auto" w:fill="FFFFFF"/>
          <w:lang w:val="lv-LV"/>
        </w:rPr>
        <w:t>21.</w:t>
      </w:r>
      <w:r w:rsidRPr="00F76C0A">
        <w:rPr>
          <w:color w:val="414142"/>
          <w:shd w:val="clear" w:color="auto" w:fill="FFFFFF"/>
          <w:vertAlign w:val="superscript"/>
          <w:lang w:val="lv-LV"/>
        </w:rPr>
        <w:t>5 </w:t>
      </w:r>
      <w:r w:rsidRPr="00F76C0A">
        <w:rPr>
          <w:color w:val="414142"/>
          <w:shd w:val="clear" w:color="auto" w:fill="FFFFFF"/>
          <w:lang w:val="lv-LV"/>
        </w:rPr>
        <w:t>pants.</w:t>
      </w:r>
    </w:p>
  </w:footnote>
  <w:footnote w:id="6">
    <w:p w14:paraId="2C28CE00" w14:textId="77777777" w:rsidR="001C61B2" w:rsidRPr="00201BE7" w:rsidRDefault="001C61B2" w:rsidP="001C61B2">
      <w:pPr>
        <w:pStyle w:val="FootnoteText"/>
        <w:ind w:firstLine="0"/>
        <w:rPr>
          <w:color w:val="000000" w:themeColor="text1"/>
          <w:lang w:val="lv-LV"/>
        </w:rPr>
      </w:pPr>
      <w:r w:rsidRPr="00201BE7">
        <w:rPr>
          <w:rStyle w:val="FootnoteReference"/>
          <w:color w:val="000000" w:themeColor="text1"/>
          <w:lang w:val="lv-LV"/>
        </w:rPr>
        <w:footnoteRef/>
      </w:r>
      <w:r w:rsidRPr="00201BE7">
        <w:rPr>
          <w:color w:val="000000" w:themeColor="text1"/>
          <w:lang w:val="lv-LV"/>
        </w:rPr>
        <w:t xml:space="preserve"> </w:t>
      </w:r>
      <w:r w:rsidRPr="00201BE7">
        <w:rPr>
          <w:color w:val="000000" w:themeColor="text1"/>
          <w:shd w:val="clear" w:color="auto" w:fill="FFFFFF"/>
          <w:lang w:val="lv-LV"/>
        </w:rPr>
        <w:t>Eiropas Parlamenta un Padomes Direktīva (ES) 2019/1 (2018. gada 11. decembris) par apstākļu nodrošināšanu nolūkā dot dalībvalstu konkurences iestādēm iespēju efektīvāk izpildīt konkurences noteikumus un par iekšējā tirgus pienācīgas darbības nodrošināšanu, ELI: </w:t>
      </w:r>
      <w:hyperlink r:id="rId3" w:tooltip="Gives access to this document through its ELI URI." w:history="1">
        <w:r w:rsidRPr="00201BE7">
          <w:rPr>
            <w:rStyle w:val="Hyperlink"/>
            <w:color w:val="000000" w:themeColor="text1"/>
            <w:shd w:val="clear" w:color="auto" w:fill="FFFFFF"/>
            <w:lang w:val="lv-LV"/>
          </w:rPr>
          <w:t>http://data.europa.eu/eli/dir/2019/1/oj</w:t>
        </w:r>
      </w:hyperlink>
      <w:r w:rsidRPr="00201BE7">
        <w:rPr>
          <w:color w:val="000000" w:themeColor="text1"/>
          <w:lang w:val="lv-LV"/>
        </w:rPr>
        <w:t xml:space="preserve"> </w:t>
      </w:r>
      <w:r w:rsidRPr="00201BE7">
        <w:rPr>
          <w:color w:val="000000" w:themeColor="text1"/>
          <w:shd w:val="clear" w:color="auto" w:fill="FFFFFF"/>
          <w:lang w:val="lv-LV"/>
        </w:rPr>
        <w:t xml:space="preserve"> </w:t>
      </w:r>
    </w:p>
  </w:footnote>
  <w:footnote w:id="7">
    <w:p w14:paraId="3473ACC5" w14:textId="77777777" w:rsidR="001C61B2" w:rsidRPr="008C3C34" w:rsidRDefault="001C61B2" w:rsidP="001C61B2">
      <w:pPr>
        <w:pStyle w:val="FootnoteText"/>
        <w:ind w:firstLine="0"/>
        <w:rPr>
          <w:lang w:val="lv-LV"/>
        </w:rPr>
      </w:pPr>
      <w:r w:rsidRPr="008C3C34">
        <w:rPr>
          <w:rStyle w:val="FootnoteReference"/>
          <w:lang w:val="lv-LV"/>
        </w:rPr>
        <w:footnoteRef/>
      </w:r>
      <w:r w:rsidRPr="008C3C34">
        <w:rPr>
          <w:lang w:val="lv-LV"/>
        </w:rPr>
        <w:t xml:space="preserve"> </w:t>
      </w:r>
      <w:hyperlink r:id="rId4" w:history="1">
        <w:r w:rsidRPr="008C3C34">
          <w:rPr>
            <w:rStyle w:val="Hyperlink"/>
            <w:lang w:val="lv-LV"/>
          </w:rPr>
          <w:t>https://mk.gov.lv/lv/aktualitates/konkurences-padomi-un-regulatoru-neapvienos</w:t>
        </w:r>
      </w:hyperlink>
      <w:r w:rsidRPr="008C3C34">
        <w:rPr>
          <w:lang w:val="lv-LV"/>
        </w:rPr>
        <w:t xml:space="preserve"> </w:t>
      </w:r>
    </w:p>
  </w:footnote>
  <w:footnote w:id="8">
    <w:p w14:paraId="54B7C214" w14:textId="77777777" w:rsidR="001C61B2" w:rsidRPr="008C3C34" w:rsidRDefault="001C61B2" w:rsidP="001C61B2">
      <w:pPr>
        <w:widowControl/>
        <w:spacing w:before="0" w:after="0" w:line="240" w:lineRule="auto"/>
        <w:ind w:firstLine="0"/>
        <w:rPr>
          <w:lang w:val="lv-LV"/>
        </w:rPr>
      </w:pPr>
      <w:r w:rsidRPr="008C3C34">
        <w:rPr>
          <w:rStyle w:val="FootnoteReference"/>
          <w:lang w:val="lv-LV"/>
        </w:rPr>
        <w:footnoteRef/>
      </w:r>
      <w:r w:rsidRPr="007559EA">
        <w:rPr>
          <w:lang w:val="lv-LV"/>
        </w:rPr>
        <w:t xml:space="preserve"> </w:t>
      </w:r>
      <w:r w:rsidRPr="007559EA">
        <w:rPr>
          <w:sz w:val="20"/>
          <w:lang w:val="lv-LV"/>
        </w:rPr>
        <w:t>Nepieciešamais papildu finansējums uz turpmākajiem trim gadiem aprēķināts, ņemot vērā Likumā noteikto uz atalgojuma noteikšanu attiecināmā bāzes gada vidējo darba samaksu</w:t>
      </w:r>
      <w:r w:rsidRPr="008C3C34">
        <w:rPr>
          <w:sz w:val="20"/>
          <w:lang w:val="lv-LV"/>
        </w:rPr>
        <w:t xml:space="preserve"> (2020.gadam – 982 </w:t>
      </w:r>
      <w:proofErr w:type="spellStart"/>
      <w:r w:rsidRPr="008C3C34">
        <w:rPr>
          <w:sz w:val="20"/>
          <w:lang w:val="lv-LV"/>
        </w:rPr>
        <w:t>euro</w:t>
      </w:r>
      <w:proofErr w:type="spellEnd"/>
      <w:r w:rsidRPr="008C3C34">
        <w:rPr>
          <w:sz w:val="20"/>
          <w:lang w:val="lv-LV"/>
        </w:rPr>
        <w:t xml:space="preserve">, 2021.gadam - 1040 </w:t>
      </w:r>
      <w:proofErr w:type="spellStart"/>
      <w:r w:rsidRPr="008C3C34">
        <w:rPr>
          <w:sz w:val="20"/>
          <w:lang w:val="lv-LV"/>
        </w:rPr>
        <w:t>euro</w:t>
      </w:r>
      <w:proofErr w:type="spellEnd"/>
      <w:r w:rsidRPr="008C3C34">
        <w:rPr>
          <w:sz w:val="20"/>
          <w:lang w:val="lv-LV"/>
        </w:rPr>
        <w:t xml:space="preserve">, 2022.gadam – 1103 </w:t>
      </w:r>
      <w:proofErr w:type="spellStart"/>
      <w:r w:rsidRPr="008C3C34">
        <w:rPr>
          <w:sz w:val="20"/>
          <w:lang w:val="lv-LV"/>
        </w:rPr>
        <w:t>euro</w:t>
      </w:r>
      <w:proofErr w:type="spellEnd"/>
      <w:r w:rsidRPr="008C3C34">
        <w:rPr>
          <w:sz w:val="20"/>
          <w:lang w:val="lv-LV"/>
        </w:rPr>
        <w:t>) un tam piemērojamo koeficientu 4,05.</w:t>
      </w:r>
    </w:p>
    <w:p w14:paraId="289D622B" w14:textId="77777777" w:rsidR="001C61B2" w:rsidRPr="008C3C34" w:rsidRDefault="001C61B2" w:rsidP="001C61B2">
      <w:pPr>
        <w:pStyle w:val="FootnoteText"/>
        <w:rPr>
          <w:lang w:val="lv-LV"/>
        </w:rPr>
      </w:pPr>
    </w:p>
  </w:footnote>
  <w:footnote w:id="9">
    <w:p w14:paraId="17088D73" w14:textId="77777777" w:rsidR="00196E05" w:rsidRPr="006A2650" w:rsidRDefault="00196E05" w:rsidP="00F76C0A">
      <w:pPr>
        <w:pStyle w:val="FootnoteText"/>
        <w:ind w:firstLine="0"/>
        <w:rPr>
          <w:lang w:val="lv-LV"/>
        </w:rPr>
      </w:pPr>
      <w:r>
        <w:rPr>
          <w:rStyle w:val="FootnoteReference"/>
        </w:rPr>
        <w:footnoteRef/>
      </w:r>
      <w:r w:rsidRPr="00A232D7">
        <w:rPr>
          <w:lang w:val="lv-LV"/>
        </w:rPr>
        <w:t xml:space="preserve"> </w:t>
      </w:r>
      <w:hyperlink r:id="rId5" w:history="1">
        <w:r w:rsidRPr="00A232D7">
          <w:rPr>
            <w:rStyle w:val="Hyperlink"/>
            <w:lang w:val="lv-LV"/>
          </w:rPr>
          <w:t>https://www.kp.gov.lv/posts/konkurences-padome-aicina-iepirkumu-pretendentus-apliecinat-savu-neatkaribu-397</w:t>
        </w:r>
      </w:hyperlink>
      <w:r w:rsidRPr="00A232D7">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7C99" w14:textId="77777777" w:rsidR="00A0209B" w:rsidRDefault="00A0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C67"/>
    <w:multiLevelType w:val="hybridMultilevel"/>
    <w:tmpl w:val="8F064A98"/>
    <w:lvl w:ilvl="0" w:tplc="144028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46D3D7D"/>
    <w:multiLevelType w:val="hybridMultilevel"/>
    <w:tmpl w:val="30B4E7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6586FE5"/>
    <w:multiLevelType w:val="hybridMultilevel"/>
    <w:tmpl w:val="E9CCCA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7A23D6"/>
    <w:multiLevelType w:val="hybridMultilevel"/>
    <w:tmpl w:val="CBBED4D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A544087"/>
    <w:multiLevelType w:val="hybridMultilevel"/>
    <w:tmpl w:val="1EEA55D0"/>
    <w:lvl w:ilvl="0" w:tplc="CCF0D0B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CA106DD"/>
    <w:multiLevelType w:val="hybridMultilevel"/>
    <w:tmpl w:val="E5A0B4D8"/>
    <w:lvl w:ilvl="0" w:tplc="E9CCD08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2EF5B91"/>
    <w:multiLevelType w:val="hybridMultilevel"/>
    <w:tmpl w:val="BD922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15338A"/>
    <w:multiLevelType w:val="hybridMultilevel"/>
    <w:tmpl w:val="EFB24432"/>
    <w:lvl w:ilvl="0" w:tplc="D676E76A">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55358B"/>
    <w:multiLevelType w:val="hybridMultilevel"/>
    <w:tmpl w:val="A906E4C6"/>
    <w:lvl w:ilvl="0" w:tplc="0F5C8D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57E5DA9"/>
    <w:multiLevelType w:val="hybridMultilevel"/>
    <w:tmpl w:val="95021A94"/>
    <w:lvl w:ilvl="0" w:tplc="7270C2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0EA2021"/>
    <w:multiLevelType w:val="hybridMultilevel"/>
    <w:tmpl w:val="42201450"/>
    <w:lvl w:ilvl="0" w:tplc="60E22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9A21F93"/>
    <w:multiLevelType w:val="hybridMultilevel"/>
    <w:tmpl w:val="A68E48A6"/>
    <w:lvl w:ilvl="0" w:tplc="34EEE0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DC23E15"/>
    <w:multiLevelType w:val="hybridMultilevel"/>
    <w:tmpl w:val="F960A220"/>
    <w:lvl w:ilvl="0" w:tplc="04260005">
      <w:start w:val="1"/>
      <w:numFmt w:val="bullet"/>
      <w:lvlText w:val=""/>
      <w:lvlJc w:val="left"/>
      <w:pPr>
        <w:ind w:left="360" w:hanging="360"/>
      </w:pPr>
      <w:rPr>
        <w:rFonts w:ascii="Wingdings" w:hAnsi="Wingdings" w:cs="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69A8173B"/>
    <w:multiLevelType w:val="hybridMultilevel"/>
    <w:tmpl w:val="ECF2AB54"/>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AD95822"/>
    <w:multiLevelType w:val="hybridMultilevel"/>
    <w:tmpl w:val="72A21D2C"/>
    <w:lvl w:ilvl="0" w:tplc="AA203D7E">
      <w:start w:val="1"/>
      <w:numFmt w:val="upperRoman"/>
      <w:lvlText w:val="%1."/>
      <w:lvlJc w:val="left"/>
      <w:pPr>
        <w:ind w:left="1440" w:hanging="72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5"/>
  </w:num>
  <w:num w:numId="3">
    <w:abstractNumId w:val="2"/>
  </w:num>
  <w:num w:numId="4">
    <w:abstractNumId w:val="1"/>
  </w:num>
  <w:num w:numId="5">
    <w:abstractNumId w:val="3"/>
  </w:num>
  <w:num w:numId="6">
    <w:abstractNumId w:val="4"/>
  </w:num>
  <w:num w:numId="7">
    <w:abstractNumId w:val="12"/>
  </w:num>
  <w:num w:numId="8">
    <w:abstractNumId w:val="7"/>
  </w:num>
  <w:num w:numId="9">
    <w:abstractNumId w:val="14"/>
  </w:num>
  <w:num w:numId="10">
    <w:abstractNumId w:val="0"/>
  </w:num>
  <w:num w:numId="11">
    <w:abstractNumId w:val="10"/>
  </w:num>
  <w:num w:numId="12">
    <w:abstractNumId w:val="11"/>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46"/>
    <w:rsid w:val="00005A78"/>
    <w:rsid w:val="00010308"/>
    <w:rsid w:val="00021FAC"/>
    <w:rsid w:val="000230AA"/>
    <w:rsid w:val="000263A5"/>
    <w:rsid w:val="00030C8E"/>
    <w:rsid w:val="00035FA7"/>
    <w:rsid w:val="00050429"/>
    <w:rsid w:val="00057542"/>
    <w:rsid w:val="00061448"/>
    <w:rsid w:val="0007401C"/>
    <w:rsid w:val="000747D5"/>
    <w:rsid w:val="00074D0B"/>
    <w:rsid w:val="00094676"/>
    <w:rsid w:val="0009512F"/>
    <w:rsid w:val="000B361F"/>
    <w:rsid w:val="000B406E"/>
    <w:rsid w:val="000B68B0"/>
    <w:rsid w:val="000C0CDD"/>
    <w:rsid w:val="000C3246"/>
    <w:rsid w:val="000D01AA"/>
    <w:rsid w:val="000D201E"/>
    <w:rsid w:val="000E5FEA"/>
    <w:rsid w:val="000F7F24"/>
    <w:rsid w:val="001046E9"/>
    <w:rsid w:val="001139B8"/>
    <w:rsid w:val="00116DE7"/>
    <w:rsid w:val="00120C11"/>
    <w:rsid w:val="00122BA6"/>
    <w:rsid w:val="00124A0F"/>
    <w:rsid w:val="0012659E"/>
    <w:rsid w:val="00126AEB"/>
    <w:rsid w:val="00131D4B"/>
    <w:rsid w:val="0013693C"/>
    <w:rsid w:val="00136DEC"/>
    <w:rsid w:val="0015072A"/>
    <w:rsid w:val="00156AF6"/>
    <w:rsid w:val="00157375"/>
    <w:rsid w:val="00166368"/>
    <w:rsid w:val="00180FE5"/>
    <w:rsid w:val="00181B32"/>
    <w:rsid w:val="00187C3A"/>
    <w:rsid w:val="00192E2D"/>
    <w:rsid w:val="00195DE5"/>
    <w:rsid w:val="00196E05"/>
    <w:rsid w:val="001A4EE4"/>
    <w:rsid w:val="001B6EAE"/>
    <w:rsid w:val="001C22ED"/>
    <w:rsid w:val="001C61B2"/>
    <w:rsid w:val="001D1771"/>
    <w:rsid w:val="001D6B8C"/>
    <w:rsid w:val="001D76A5"/>
    <w:rsid w:val="00202FFE"/>
    <w:rsid w:val="00203582"/>
    <w:rsid w:val="00210898"/>
    <w:rsid w:val="00211454"/>
    <w:rsid w:val="00211A86"/>
    <w:rsid w:val="00212628"/>
    <w:rsid w:val="00217C01"/>
    <w:rsid w:val="002202A2"/>
    <w:rsid w:val="00231E5C"/>
    <w:rsid w:val="00232709"/>
    <w:rsid w:val="002349B0"/>
    <w:rsid w:val="002439A1"/>
    <w:rsid w:val="00247BA9"/>
    <w:rsid w:val="00252374"/>
    <w:rsid w:val="0025428F"/>
    <w:rsid w:val="002647A9"/>
    <w:rsid w:val="00273CED"/>
    <w:rsid w:val="0028101C"/>
    <w:rsid w:val="002926B4"/>
    <w:rsid w:val="002A7B57"/>
    <w:rsid w:val="002B6160"/>
    <w:rsid w:val="002C23B0"/>
    <w:rsid w:val="002C4D31"/>
    <w:rsid w:val="002C731C"/>
    <w:rsid w:val="002E47C3"/>
    <w:rsid w:val="002F19C7"/>
    <w:rsid w:val="0030476A"/>
    <w:rsid w:val="00307629"/>
    <w:rsid w:val="00312904"/>
    <w:rsid w:val="0031694D"/>
    <w:rsid w:val="00320510"/>
    <w:rsid w:val="00324CDC"/>
    <w:rsid w:val="00331A6F"/>
    <w:rsid w:val="00332C76"/>
    <w:rsid w:val="003367C5"/>
    <w:rsid w:val="0034670F"/>
    <w:rsid w:val="00354342"/>
    <w:rsid w:val="0037622A"/>
    <w:rsid w:val="00377846"/>
    <w:rsid w:val="003779C8"/>
    <w:rsid w:val="003946F0"/>
    <w:rsid w:val="00394D4C"/>
    <w:rsid w:val="003B4B56"/>
    <w:rsid w:val="003B5ABE"/>
    <w:rsid w:val="003C0E6D"/>
    <w:rsid w:val="003C3DD5"/>
    <w:rsid w:val="003C6099"/>
    <w:rsid w:val="003E0718"/>
    <w:rsid w:val="003F53BC"/>
    <w:rsid w:val="003F6350"/>
    <w:rsid w:val="00413D20"/>
    <w:rsid w:val="004154F0"/>
    <w:rsid w:val="00426D51"/>
    <w:rsid w:val="004357F2"/>
    <w:rsid w:val="00444CFF"/>
    <w:rsid w:val="004522FA"/>
    <w:rsid w:val="00460BFA"/>
    <w:rsid w:val="00471802"/>
    <w:rsid w:val="00472D6A"/>
    <w:rsid w:val="00476A6C"/>
    <w:rsid w:val="0047716A"/>
    <w:rsid w:val="004800F6"/>
    <w:rsid w:val="004A4254"/>
    <w:rsid w:val="004A50BB"/>
    <w:rsid w:val="004A5805"/>
    <w:rsid w:val="004B4972"/>
    <w:rsid w:val="004C048C"/>
    <w:rsid w:val="004C1D76"/>
    <w:rsid w:val="004C59B9"/>
    <w:rsid w:val="004C7D86"/>
    <w:rsid w:val="004D7C99"/>
    <w:rsid w:val="004E19F2"/>
    <w:rsid w:val="004E28DE"/>
    <w:rsid w:val="004F1AEA"/>
    <w:rsid w:val="004F208F"/>
    <w:rsid w:val="004F48EA"/>
    <w:rsid w:val="004F63A6"/>
    <w:rsid w:val="00502ABC"/>
    <w:rsid w:val="00511F77"/>
    <w:rsid w:val="005457A9"/>
    <w:rsid w:val="00560806"/>
    <w:rsid w:val="00570122"/>
    <w:rsid w:val="00576CC3"/>
    <w:rsid w:val="0058504C"/>
    <w:rsid w:val="0059458D"/>
    <w:rsid w:val="00595AD6"/>
    <w:rsid w:val="00596626"/>
    <w:rsid w:val="005A2DA1"/>
    <w:rsid w:val="005A397D"/>
    <w:rsid w:val="005B6E16"/>
    <w:rsid w:val="005C70B2"/>
    <w:rsid w:val="005D395E"/>
    <w:rsid w:val="005D3B87"/>
    <w:rsid w:val="005D65A8"/>
    <w:rsid w:val="005E13B2"/>
    <w:rsid w:val="005E44FA"/>
    <w:rsid w:val="005F4C87"/>
    <w:rsid w:val="00602A47"/>
    <w:rsid w:val="0060366C"/>
    <w:rsid w:val="00615407"/>
    <w:rsid w:val="00622730"/>
    <w:rsid w:val="006255D5"/>
    <w:rsid w:val="006277B6"/>
    <w:rsid w:val="00637516"/>
    <w:rsid w:val="00637F1A"/>
    <w:rsid w:val="006405D7"/>
    <w:rsid w:val="00642947"/>
    <w:rsid w:val="00644195"/>
    <w:rsid w:val="00645DCD"/>
    <w:rsid w:val="0064642E"/>
    <w:rsid w:val="00665BDA"/>
    <w:rsid w:val="0066641F"/>
    <w:rsid w:val="00667B1F"/>
    <w:rsid w:val="00676AEE"/>
    <w:rsid w:val="00680142"/>
    <w:rsid w:val="006C1AA1"/>
    <w:rsid w:val="006D4F7C"/>
    <w:rsid w:val="006E5590"/>
    <w:rsid w:val="00703CDB"/>
    <w:rsid w:val="00716274"/>
    <w:rsid w:val="00720E1C"/>
    <w:rsid w:val="007242D3"/>
    <w:rsid w:val="0073620B"/>
    <w:rsid w:val="00741C45"/>
    <w:rsid w:val="00741FAD"/>
    <w:rsid w:val="00742755"/>
    <w:rsid w:val="00745900"/>
    <w:rsid w:val="00750C69"/>
    <w:rsid w:val="00751593"/>
    <w:rsid w:val="00753D88"/>
    <w:rsid w:val="00756B12"/>
    <w:rsid w:val="007601D7"/>
    <w:rsid w:val="0076076D"/>
    <w:rsid w:val="0076779A"/>
    <w:rsid w:val="00774493"/>
    <w:rsid w:val="0078042A"/>
    <w:rsid w:val="00783FBD"/>
    <w:rsid w:val="00795B60"/>
    <w:rsid w:val="007A01DE"/>
    <w:rsid w:val="007B4AA6"/>
    <w:rsid w:val="007B5C29"/>
    <w:rsid w:val="007B6105"/>
    <w:rsid w:val="007B6848"/>
    <w:rsid w:val="007C3944"/>
    <w:rsid w:val="007D7F07"/>
    <w:rsid w:val="007F3846"/>
    <w:rsid w:val="007F458A"/>
    <w:rsid w:val="007F4B6A"/>
    <w:rsid w:val="00803238"/>
    <w:rsid w:val="008042D2"/>
    <w:rsid w:val="00834756"/>
    <w:rsid w:val="008437C7"/>
    <w:rsid w:val="00844481"/>
    <w:rsid w:val="00844C7E"/>
    <w:rsid w:val="00861C72"/>
    <w:rsid w:val="008670DB"/>
    <w:rsid w:val="008716C4"/>
    <w:rsid w:val="00875751"/>
    <w:rsid w:val="00882778"/>
    <w:rsid w:val="00882A5F"/>
    <w:rsid w:val="008A0A1E"/>
    <w:rsid w:val="008B2C26"/>
    <w:rsid w:val="008B2C9B"/>
    <w:rsid w:val="008B32CB"/>
    <w:rsid w:val="008B5ED6"/>
    <w:rsid w:val="008C3699"/>
    <w:rsid w:val="008C46C7"/>
    <w:rsid w:val="008C4776"/>
    <w:rsid w:val="008C4D55"/>
    <w:rsid w:val="008D7418"/>
    <w:rsid w:val="008D7726"/>
    <w:rsid w:val="008E495C"/>
    <w:rsid w:val="008F403C"/>
    <w:rsid w:val="009042EF"/>
    <w:rsid w:val="00910CEA"/>
    <w:rsid w:val="009132E8"/>
    <w:rsid w:val="00913D3A"/>
    <w:rsid w:val="00917E2E"/>
    <w:rsid w:val="00923ED6"/>
    <w:rsid w:val="00924EC9"/>
    <w:rsid w:val="00930954"/>
    <w:rsid w:val="009360D1"/>
    <w:rsid w:val="00940D06"/>
    <w:rsid w:val="0094552D"/>
    <w:rsid w:val="009455A3"/>
    <w:rsid w:val="00971CC4"/>
    <w:rsid w:val="00972C8C"/>
    <w:rsid w:val="0097516B"/>
    <w:rsid w:val="009871C1"/>
    <w:rsid w:val="00995A47"/>
    <w:rsid w:val="009A2573"/>
    <w:rsid w:val="009B32E1"/>
    <w:rsid w:val="009C1615"/>
    <w:rsid w:val="009D089F"/>
    <w:rsid w:val="009D71C7"/>
    <w:rsid w:val="009E04CB"/>
    <w:rsid w:val="00A0209B"/>
    <w:rsid w:val="00A07B95"/>
    <w:rsid w:val="00A15BCA"/>
    <w:rsid w:val="00A26ADD"/>
    <w:rsid w:val="00A33F41"/>
    <w:rsid w:val="00A33FD2"/>
    <w:rsid w:val="00A4079B"/>
    <w:rsid w:val="00A445E3"/>
    <w:rsid w:val="00A45463"/>
    <w:rsid w:val="00A52BCF"/>
    <w:rsid w:val="00A547A9"/>
    <w:rsid w:val="00A726DB"/>
    <w:rsid w:val="00A73ECE"/>
    <w:rsid w:val="00A81889"/>
    <w:rsid w:val="00A944BF"/>
    <w:rsid w:val="00AB0F1E"/>
    <w:rsid w:val="00AC605E"/>
    <w:rsid w:val="00AD2A79"/>
    <w:rsid w:val="00AE2C04"/>
    <w:rsid w:val="00AF7C59"/>
    <w:rsid w:val="00B00F94"/>
    <w:rsid w:val="00B11AC0"/>
    <w:rsid w:val="00B13DEF"/>
    <w:rsid w:val="00B16EF4"/>
    <w:rsid w:val="00B17530"/>
    <w:rsid w:val="00B307A7"/>
    <w:rsid w:val="00B4787A"/>
    <w:rsid w:val="00B53852"/>
    <w:rsid w:val="00B53A30"/>
    <w:rsid w:val="00B55021"/>
    <w:rsid w:val="00B62537"/>
    <w:rsid w:val="00B643D9"/>
    <w:rsid w:val="00B665AC"/>
    <w:rsid w:val="00B73A86"/>
    <w:rsid w:val="00B764A9"/>
    <w:rsid w:val="00B82AAA"/>
    <w:rsid w:val="00B8649F"/>
    <w:rsid w:val="00B87C13"/>
    <w:rsid w:val="00B90307"/>
    <w:rsid w:val="00BA6E66"/>
    <w:rsid w:val="00BB59DB"/>
    <w:rsid w:val="00BB5E24"/>
    <w:rsid w:val="00BD548B"/>
    <w:rsid w:val="00BE588B"/>
    <w:rsid w:val="00BE6544"/>
    <w:rsid w:val="00BE7894"/>
    <w:rsid w:val="00BF3009"/>
    <w:rsid w:val="00BF5536"/>
    <w:rsid w:val="00C04DB0"/>
    <w:rsid w:val="00C125FD"/>
    <w:rsid w:val="00C1471F"/>
    <w:rsid w:val="00C149D5"/>
    <w:rsid w:val="00C176DF"/>
    <w:rsid w:val="00C21773"/>
    <w:rsid w:val="00C262B5"/>
    <w:rsid w:val="00C3274D"/>
    <w:rsid w:val="00C40067"/>
    <w:rsid w:val="00C45E41"/>
    <w:rsid w:val="00C46593"/>
    <w:rsid w:val="00C52A6D"/>
    <w:rsid w:val="00C53416"/>
    <w:rsid w:val="00C6197C"/>
    <w:rsid w:val="00C816C4"/>
    <w:rsid w:val="00C84794"/>
    <w:rsid w:val="00C84E7F"/>
    <w:rsid w:val="00C9231D"/>
    <w:rsid w:val="00C95A88"/>
    <w:rsid w:val="00CA5A99"/>
    <w:rsid w:val="00CC16BB"/>
    <w:rsid w:val="00CD180C"/>
    <w:rsid w:val="00CE067E"/>
    <w:rsid w:val="00CF02DD"/>
    <w:rsid w:val="00CF698B"/>
    <w:rsid w:val="00D0133E"/>
    <w:rsid w:val="00D03ACA"/>
    <w:rsid w:val="00D15BBF"/>
    <w:rsid w:val="00D21C5C"/>
    <w:rsid w:val="00D25706"/>
    <w:rsid w:val="00D26009"/>
    <w:rsid w:val="00D2692F"/>
    <w:rsid w:val="00D33973"/>
    <w:rsid w:val="00D3525D"/>
    <w:rsid w:val="00D44958"/>
    <w:rsid w:val="00D4757C"/>
    <w:rsid w:val="00D6223A"/>
    <w:rsid w:val="00D6345F"/>
    <w:rsid w:val="00D65D8F"/>
    <w:rsid w:val="00D667EC"/>
    <w:rsid w:val="00D6691D"/>
    <w:rsid w:val="00D713A3"/>
    <w:rsid w:val="00D71C6E"/>
    <w:rsid w:val="00D71E69"/>
    <w:rsid w:val="00D72835"/>
    <w:rsid w:val="00D90FB7"/>
    <w:rsid w:val="00D9383E"/>
    <w:rsid w:val="00DA1589"/>
    <w:rsid w:val="00DA2059"/>
    <w:rsid w:val="00DA3A39"/>
    <w:rsid w:val="00DC5D7A"/>
    <w:rsid w:val="00DD2F0A"/>
    <w:rsid w:val="00DD739D"/>
    <w:rsid w:val="00DD7747"/>
    <w:rsid w:val="00DE6668"/>
    <w:rsid w:val="00DE69B1"/>
    <w:rsid w:val="00DF7558"/>
    <w:rsid w:val="00E0547D"/>
    <w:rsid w:val="00E1656D"/>
    <w:rsid w:val="00E16FE8"/>
    <w:rsid w:val="00E2400D"/>
    <w:rsid w:val="00E60ABD"/>
    <w:rsid w:val="00E66605"/>
    <w:rsid w:val="00E7114A"/>
    <w:rsid w:val="00E7619B"/>
    <w:rsid w:val="00E900DC"/>
    <w:rsid w:val="00E902D2"/>
    <w:rsid w:val="00E90F5A"/>
    <w:rsid w:val="00E92804"/>
    <w:rsid w:val="00E95C9A"/>
    <w:rsid w:val="00EA48D9"/>
    <w:rsid w:val="00EC7458"/>
    <w:rsid w:val="00ED09EE"/>
    <w:rsid w:val="00ED3213"/>
    <w:rsid w:val="00ED6ADD"/>
    <w:rsid w:val="00EE0945"/>
    <w:rsid w:val="00EE63FA"/>
    <w:rsid w:val="00EF339B"/>
    <w:rsid w:val="00EF7347"/>
    <w:rsid w:val="00F012E4"/>
    <w:rsid w:val="00F1001E"/>
    <w:rsid w:val="00F161EF"/>
    <w:rsid w:val="00F24889"/>
    <w:rsid w:val="00F25364"/>
    <w:rsid w:val="00F27940"/>
    <w:rsid w:val="00F41C3C"/>
    <w:rsid w:val="00F52CCA"/>
    <w:rsid w:val="00F56FC5"/>
    <w:rsid w:val="00F63A1D"/>
    <w:rsid w:val="00F64CEF"/>
    <w:rsid w:val="00F76C0A"/>
    <w:rsid w:val="00F80725"/>
    <w:rsid w:val="00F85849"/>
    <w:rsid w:val="00F866E7"/>
    <w:rsid w:val="00F9727B"/>
    <w:rsid w:val="00FA1D8E"/>
    <w:rsid w:val="00FC2C29"/>
    <w:rsid w:val="00FC594E"/>
    <w:rsid w:val="00FC5B8D"/>
    <w:rsid w:val="00FD3406"/>
    <w:rsid w:val="00FD6958"/>
    <w:rsid w:val="00FE57C4"/>
    <w:rsid w:val="00FE76F0"/>
    <w:rsid w:val="00FF2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9314"/>
  <w15:chartTrackingRefBased/>
  <w15:docId w15:val="{F631F014-AA66-4498-BC88-7DD3D12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46"/>
    <w:pPr>
      <w:widowControl w:val="0"/>
      <w:spacing w:before="60" w:after="60" w:line="360" w:lineRule="auto"/>
      <w:ind w:firstLine="720"/>
      <w:jc w:val="both"/>
    </w:pPr>
    <w:rPr>
      <w:rFonts w:ascii="Times New Roman" w:eastAsia="Times New Roman" w:hAnsi="Times New Roman" w:cs="Times New Roman"/>
      <w:sz w:val="26"/>
      <w:szCs w:val="20"/>
      <w:lang w:val="en-AU"/>
    </w:rPr>
  </w:style>
  <w:style w:type="paragraph" w:styleId="Heading1">
    <w:name w:val="heading 1"/>
    <w:basedOn w:val="Normal"/>
    <w:next w:val="Normal"/>
    <w:link w:val="Heading1Char"/>
    <w:uiPriority w:val="9"/>
    <w:qFormat/>
    <w:rsid w:val="00BF3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73C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846"/>
    <w:pPr>
      <w:widowControl/>
      <w:spacing w:before="100" w:beforeAutospacing="1" w:after="100" w:afterAutospacing="1" w:line="240" w:lineRule="auto"/>
      <w:ind w:firstLine="0"/>
      <w:jc w:val="left"/>
    </w:pPr>
    <w:rPr>
      <w:sz w:val="24"/>
      <w:szCs w:val="24"/>
      <w:lang w:val="lv-LV" w:eastAsia="lv-LV"/>
    </w:rPr>
  </w:style>
  <w:style w:type="character" w:customStyle="1" w:styleId="apple-style-span">
    <w:name w:val="apple-style-span"/>
    <w:basedOn w:val="DefaultParagraphFont"/>
    <w:uiPriority w:val="99"/>
    <w:rsid w:val="008C46C7"/>
    <w:rPr>
      <w:rFonts w:cs="Times New Roman"/>
    </w:rPr>
  </w:style>
  <w:style w:type="table" w:styleId="TableGridLight">
    <w:name w:val="Grid Table Light"/>
    <w:basedOn w:val="TableNormal"/>
    <w:uiPriority w:val="40"/>
    <w:rsid w:val="00D65D8F"/>
    <w:pPr>
      <w:spacing w:after="0" w:line="240" w:lineRule="auto"/>
    </w:pPr>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65D8F"/>
    <w:pPr>
      <w:spacing w:before="0" w:after="0" w:line="240" w:lineRule="auto"/>
    </w:pPr>
    <w:rPr>
      <w:sz w:val="20"/>
    </w:rPr>
  </w:style>
  <w:style w:type="character" w:customStyle="1" w:styleId="FootnoteTextChar">
    <w:name w:val="Footnote Text Char"/>
    <w:basedOn w:val="DefaultParagraphFont"/>
    <w:link w:val="FootnoteText"/>
    <w:uiPriority w:val="99"/>
    <w:rsid w:val="00D65D8F"/>
    <w:rPr>
      <w:rFonts w:ascii="Times New Roman" w:eastAsia="Times New Roman" w:hAnsi="Times New Roman" w:cs="Times New Roman"/>
      <w:sz w:val="20"/>
      <w:szCs w:val="20"/>
      <w:lang w:val="en-AU"/>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basedOn w:val="DefaultParagraphFont"/>
    <w:uiPriority w:val="99"/>
    <w:unhideWhenUsed/>
    <w:rsid w:val="00D65D8F"/>
    <w:rPr>
      <w:vertAlign w:val="superscript"/>
    </w:rPr>
  </w:style>
  <w:style w:type="paragraph" w:styleId="Title">
    <w:name w:val="Title"/>
    <w:basedOn w:val="Normal"/>
    <w:link w:val="TitleChar"/>
    <w:qFormat/>
    <w:rsid w:val="00742755"/>
    <w:pPr>
      <w:widowControl/>
      <w:spacing w:before="0" w:after="0" w:line="240" w:lineRule="auto"/>
      <w:ind w:firstLine="0"/>
      <w:jc w:val="center"/>
    </w:pPr>
    <w:rPr>
      <w:b/>
      <w:bCs/>
      <w:sz w:val="28"/>
      <w:szCs w:val="24"/>
      <w:lang w:val="lv-LV"/>
    </w:rPr>
  </w:style>
  <w:style w:type="character" w:customStyle="1" w:styleId="TitleChar">
    <w:name w:val="Title Char"/>
    <w:basedOn w:val="DefaultParagraphFont"/>
    <w:link w:val="Title"/>
    <w:rsid w:val="00742755"/>
    <w:rPr>
      <w:rFonts w:ascii="Times New Roman" w:eastAsia="Times New Roman" w:hAnsi="Times New Roman" w:cs="Times New Roman"/>
      <w:b/>
      <w:bCs/>
      <w:sz w:val="28"/>
      <w:szCs w:val="24"/>
    </w:rPr>
  </w:style>
  <w:style w:type="paragraph" w:styleId="ListParagraph">
    <w:name w:val="List Paragraph"/>
    <w:basedOn w:val="Normal"/>
    <w:uiPriority w:val="34"/>
    <w:qFormat/>
    <w:rsid w:val="00D667EC"/>
    <w:pPr>
      <w:ind w:left="720"/>
      <w:contextualSpacing/>
    </w:pPr>
  </w:style>
  <w:style w:type="character" w:styleId="Hyperlink">
    <w:name w:val="Hyperlink"/>
    <w:basedOn w:val="DefaultParagraphFont"/>
    <w:uiPriority w:val="99"/>
    <w:unhideWhenUsed/>
    <w:rsid w:val="00930954"/>
    <w:rPr>
      <w:color w:val="0000FF"/>
      <w:u w:val="single"/>
    </w:rPr>
  </w:style>
  <w:style w:type="character" w:styleId="FollowedHyperlink">
    <w:name w:val="FollowedHyperlink"/>
    <w:basedOn w:val="DefaultParagraphFont"/>
    <w:uiPriority w:val="99"/>
    <w:semiHidden/>
    <w:unhideWhenUsed/>
    <w:rsid w:val="00D6345F"/>
    <w:rPr>
      <w:color w:val="954F72" w:themeColor="followedHyperlink"/>
      <w:u w:val="single"/>
    </w:rPr>
  </w:style>
  <w:style w:type="paragraph" w:customStyle="1" w:styleId="doc-ti">
    <w:name w:val="doc-ti"/>
    <w:basedOn w:val="Normal"/>
    <w:rsid w:val="00D6345F"/>
    <w:pPr>
      <w:widowControl/>
      <w:spacing w:before="100" w:beforeAutospacing="1" w:after="100" w:afterAutospacing="1" w:line="240" w:lineRule="auto"/>
      <w:ind w:firstLine="0"/>
      <w:jc w:val="left"/>
    </w:pPr>
    <w:rPr>
      <w:sz w:val="24"/>
      <w:szCs w:val="24"/>
      <w:lang w:val="lv-LV" w:eastAsia="lv-LV"/>
    </w:rPr>
  </w:style>
  <w:style w:type="paragraph" w:styleId="Footer">
    <w:name w:val="footer"/>
    <w:basedOn w:val="Normal"/>
    <w:link w:val="FooterChar"/>
    <w:uiPriority w:val="99"/>
    <w:rsid w:val="004C1D76"/>
    <w:pPr>
      <w:widowControl/>
      <w:tabs>
        <w:tab w:val="center" w:pos="4153"/>
        <w:tab w:val="right" w:pos="8306"/>
      </w:tabs>
      <w:spacing w:before="0" w:after="0" w:line="240" w:lineRule="auto"/>
      <w:ind w:firstLine="0"/>
      <w:jc w:val="left"/>
    </w:pPr>
    <w:rPr>
      <w:rFonts w:eastAsia="Calibri"/>
      <w:sz w:val="24"/>
      <w:szCs w:val="24"/>
      <w:lang w:val="lv-LV" w:eastAsia="lv-LV"/>
    </w:rPr>
  </w:style>
  <w:style w:type="character" w:customStyle="1" w:styleId="FooterChar">
    <w:name w:val="Footer Char"/>
    <w:basedOn w:val="DefaultParagraphFont"/>
    <w:link w:val="Footer"/>
    <w:uiPriority w:val="99"/>
    <w:rsid w:val="004C1D76"/>
    <w:rPr>
      <w:rFonts w:ascii="Times New Roman" w:eastAsia="Calibri" w:hAnsi="Times New Roman" w:cs="Times New Roman"/>
      <w:sz w:val="24"/>
      <w:szCs w:val="24"/>
      <w:lang w:eastAsia="lv-LV"/>
    </w:rPr>
  </w:style>
  <w:style w:type="paragraph" w:styleId="BodyTextIndent">
    <w:name w:val="Body Text Indent"/>
    <w:basedOn w:val="Normal"/>
    <w:link w:val="BodyTextIndentChar"/>
    <w:uiPriority w:val="99"/>
    <w:rsid w:val="004C1D76"/>
    <w:pPr>
      <w:widowControl/>
      <w:spacing w:before="0" w:after="0" w:line="240" w:lineRule="auto"/>
      <w:ind w:left="5760" w:firstLine="0"/>
      <w:jc w:val="left"/>
    </w:pPr>
    <w:rPr>
      <w:sz w:val="24"/>
      <w:lang w:val="x-none" w:eastAsia="lv-LV"/>
    </w:rPr>
  </w:style>
  <w:style w:type="character" w:customStyle="1" w:styleId="BodyTextIndentChar">
    <w:name w:val="Body Text Indent Char"/>
    <w:basedOn w:val="DefaultParagraphFont"/>
    <w:link w:val="BodyTextIndent"/>
    <w:uiPriority w:val="99"/>
    <w:rsid w:val="004C1D76"/>
    <w:rPr>
      <w:rFonts w:ascii="Times New Roman" w:eastAsia="Times New Roman" w:hAnsi="Times New Roman" w:cs="Times New Roman"/>
      <w:sz w:val="24"/>
      <w:szCs w:val="20"/>
      <w:lang w:val="x-none" w:eastAsia="lv-LV"/>
    </w:rPr>
  </w:style>
  <w:style w:type="paragraph" w:styleId="Header">
    <w:name w:val="header"/>
    <w:basedOn w:val="Normal"/>
    <w:link w:val="HeaderChar"/>
    <w:uiPriority w:val="99"/>
    <w:unhideWhenUsed/>
    <w:rsid w:val="00BF3009"/>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BF3009"/>
    <w:rPr>
      <w:rFonts w:ascii="Times New Roman" w:eastAsia="Times New Roman" w:hAnsi="Times New Roman" w:cs="Times New Roman"/>
      <w:sz w:val="26"/>
      <w:szCs w:val="20"/>
      <w:lang w:val="en-AU"/>
    </w:rPr>
  </w:style>
  <w:style w:type="character" w:customStyle="1" w:styleId="Heading1Char">
    <w:name w:val="Heading 1 Char"/>
    <w:basedOn w:val="DefaultParagraphFont"/>
    <w:link w:val="Heading1"/>
    <w:uiPriority w:val="9"/>
    <w:rsid w:val="00BF3009"/>
    <w:rPr>
      <w:rFonts w:asciiTheme="majorHAnsi" w:eastAsiaTheme="majorEastAsia" w:hAnsiTheme="majorHAnsi" w:cstheme="majorBidi"/>
      <w:color w:val="2F5496" w:themeColor="accent1" w:themeShade="BF"/>
      <w:sz w:val="32"/>
      <w:szCs w:val="32"/>
      <w:lang w:val="en-AU"/>
    </w:rPr>
  </w:style>
  <w:style w:type="table" w:styleId="ListTable3-Accent5">
    <w:name w:val="List Table 3 Accent 5"/>
    <w:basedOn w:val="TableNormal"/>
    <w:uiPriority w:val="48"/>
    <w:rsid w:val="00DD774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tv2131">
    <w:name w:val="tv2131"/>
    <w:basedOn w:val="Normal"/>
    <w:rsid w:val="00F41C3C"/>
    <w:pPr>
      <w:widowControl/>
      <w:spacing w:before="0" w:after="0"/>
      <w:ind w:firstLine="300"/>
      <w:jc w:val="left"/>
    </w:pPr>
    <w:rPr>
      <w:color w:val="414142"/>
      <w:sz w:val="20"/>
      <w:lang w:val="lv-LV" w:eastAsia="lv-LV"/>
    </w:rPr>
  </w:style>
  <w:style w:type="paragraph" w:styleId="BalloonText">
    <w:name w:val="Balloon Text"/>
    <w:basedOn w:val="Normal"/>
    <w:link w:val="BalloonTextChar"/>
    <w:uiPriority w:val="99"/>
    <w:semiHidden/>
    <w:unhideWhenUsed/>
    <w:rsid w:val="00394D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4C"/>
    <w:rPr>
      <w:rFonts w:ascii="Segoe UI" w:eastAsia="Times New Roman" w:hAnsi="Segoe UI" w:cs="Segoe UI"/>
      <w:sz w:val="18"/>
      <w:szCs w:val="18"/>
      <w:lang w:val="en-AU"/>
    </w:rPr>
  </w:style>
  <w:style w:type="character" w:styleId="CommentReference">
    <w:name w:val="annotation reference"/>
    <w:basedOn w:val="DefaultParagraphFont"/>
    <w:semiHidden/>
    <w:unhideWhenUsed/>
    <w:rsid w:val="00B8649F"/>
    <w:rPr>
      <w:sz w:val="16"/>
      <w:szCs w:val="16"/>
    </w:rPr>
  </w:style>
  <w:style w:type="paragraph" w:styleId="CommentText">
    <w:name w:val="annotation text"/>
    <w:basedOn w:val="Normal"/>
    <w:link w:val="CommentTextChar"/>
    <w:unhideWhenUsed/>
    <w:rsid w:val="00B8649F"/>
    <w:pPr>
      <w:spacing w:line="240" w:lineRule="auto"/>
    </w:pPr>
    <w:rPr>
      <w:sz w:val="20"/>
    </w:rPr>
  </w:style>
  <w:style w:type="character" w:customStyle="1" w:styleId="CommentTextChar">
    <w:name w:val="Comment Text Char"/>
    <w:basedOn w:val="DefaultParagraphFont"/>
    <w:link w:val="CommentText"/>
    <w:rsid w:val="00B8649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8649F"/>
    <w:rPr>
      <w:b/>
      <w:bCs/>
    </w:rPr>
  </w:style>
  <w:style w:type="character" w:customStyle="1" w:styleId="CommentSubjectChar">
    <w:name w:val="Comment Subject Char"/>
    <w:basedOn w:val="CommentTextChar"/>
    <w:link w:val="CommentSubject"/>
    <w:uiPriority w:val="99"/>
    <w:semiHidden/>
    <w:rsid w:val="00B8649F"/>
    <w:rPr>
      <w:rFonts w:ascii="Times New Roman" w:eastAsia="Times New Roman" w:hAnsi="Times New Roman" w:cs="Times New Roman"/>
      <w:b/>
      <w:bCs/>
      <w:sz w:val="20"/>
      <w:szCs w:val="20"/>
      <w:lang w:val="en-AU"/>
    </w:rPr>
  </w:style>
  <w:style w:type="character" w:customStyle="1" w:styleId="Heading3Char">
    <w:name w:val="Heading 3 Char"/>
    <w:basedOn w:val="DefaultParagraphFont"/>
    <w:link w:val="Heading3"/>
    <w:uiPriority w:val="9"/>
    <w:semiHidden/>
    <w:rsid w:val="00273CED"/>
    <w:rPr>
      <w:rFonts w:asciiTheme="majorHAnsi" w:eastAsiaTheme="majorEastAsia" w:hAnsiTheme="majorHAnsi" w:cstheme="majorBidi"/>
      <w:color w:val="1F3763" w:themeColor="accent1" w:themeShade="7F"/>
      <w:sz w:val="24"/>
      <w:szCs w:val="24"/>
      <w:lang w:val="en-AU"/>
    </w:rPr>
  </w:style>
  <w:style w:type="character" w:styleId="Strong">
    <w:name w:val="Strong"/>
    <w:basedOn w:val="DefaultParagraphFont"/>
    <w:uiPriority w:val="22"/>
    <w:qFormat/>
    <w:rsid w:val="00273CED"/>
    <w:rPr>
      <w:b/>
      <w:bCs/>
    </w:rPr>
  </w:style>
  <w:style w:type="character" w:customStyle="1" w:styleId="spelle">
    <w:name w:val="spelle"/>
    <w:basedOn w:val="DefaultParagraphFont"/>
    <w:rsid w:val="00615407"/>
  </w:style>
  <w:style w:type="character" w:styleId="Emphasis">
    <w:name w:val="Emphasis"/>
    <w:basedOn w:val="DefaultParagraphFont"/>
    <w:uiPriority w:val="20"/>
    <w:qFormat/>
    <w:rsid w:val="0076779A"/>
    <w:rPr>
      <w:i/>
      <w:iCs/>
    </w:rPr>
  </w:style>
  <w:style w:type="character" w:styleId="UnresolvedMention">
    <w:name w:val="Unresolved Mention"/>
    <w:basedOn w:val="DefaultParagraphFont"/>
    <w:uiPriority w:val="99"/>
    <w:semiHidden/>
    <w:unhideWhenUsed/>
    <w:rsid w:val="0076779A"/>
    <w:rPr>
      <w:color w:val="605E5C"/>
      <w:shd w:val="clear" w:color="auto" w:fill="E1DFDD"/>
    </w:rPr>
  </w:style>
  <w:style w:type="paragraph" w:styleId="Revision">
    <w:name w:val="Revision"/>
    <w:hidden/>
    <w:uiPriority w:val="99"/>
    <w:semiHidden/>
    <w:rsid w:val="00A0209B"/>
    <w:pPr>
      <w:spacing w:after="0" w:line="240" w:lineRule="auto"/>
    </w:pPr>
    <w:rPr>
      <w:rFonts w:ascii="Times New Roman" w:eastAsia="Times New Roman" w:hAnsi="Times New Roman" w:cs="Times New Roman"/>
      <w:sz w:val="26"/>
      <w:szCs w:val="20"/>
      <w:lang w:val="en-AU"/>
    </w:rPr>
  </w:style>
  <w:style w:type="character" w:customStyle="1" w:styleId="UnresolvedMention1">
    <w:name w:val="Unresolved Mention1"/>
    <w:basedOn w:val="DefaultParagraphFont"/>
    <w:uiPriority w:val="99"/>
    <w:semiHidden/>
    <w:unhideWhenUsed/>
    <w:rsid w:val="002F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2706">
      <w:bodyDiv w:val="1"/>
      <w:marLeft w:val="0"/>
      <w:marRight w:val="0"/>
      <w:marTop w:val="0"/>
      <w:marBottom w:val="0"/>
      <w:divBdr>
        <w:top w:val="none" w:sz="0" w:space="0" w:color="auto"/>
        <w:left w:val="none" w:sz="0" w:space="0" w:color="auto"/>
        <w:bottom w:val="none" w:sz="0" w:space="0" w:color="auto"/>
        <w:right w:val="none" w:sz="0" w:space="0" w:color="auto"/>
      </w:divBdr>
    </w:div>
    <w:div w:id="555967177">
      <w:bodyDiv w:val="1"/>
      <w:marLeft w:val="0"/>
      <w:marRight w:val="0"/>
      <w:marTop w:val="0"/>
      <w:marBottom w:val="0"/>
      <w:divBdr>
        <w:top w:val="none" w:sz="0" w:space="0" w:color="auto"/>
        <w:left w:val="none" w:sz="0" w:space="0" w:color="auto"/>
        <w:bottom w:val="none" w:sz="0" w:space="0" w:color="auto"/>
        <w:right w:val="none" w:sz="0" w:space="0" w:color="auto"/>
      </w:divBdr>
    </w:div>
    <w:div w:id="603535061">
      <w:bodyDiv w:val="1"/>
      <w:marLeft w:val="0"/>
      <w:marRight w:val="0"/>
      <w:marTop w:val="0"/>
      <w:marBottom w:val="0"/>
      <w:divBdr>
        <w:top w:val="none" w:sz="0" w:space="0" w:color="auto"/>
        <w:left w:val="none" w:sz="0" w:space="0" w:color="auto"/>
        <w:bottom w:val="none" w:sz="0" w:space="0" w:color="auto"/>
        <w:right w:val="none" w:sz="0" w:space="0" w:color="auto"/>
      </w:divBdr>
    </w:div>
    <w:div w:id="939995516">
      <w:bodyDiv w:val="1"/>
      <w:marLeft w:val="0"/>
      <w:marRight w:val="0"/>
      <w:marTop w:val="0"/>
      <w:marBottom w:val="0"/>
      <w:divBdr>
        <w:top w:val="none" w:sz="0" w:space="0" w:color="auto"/>
        <w:left w:val="none" w:sz="0" w:space="0" w:color="auto"/>
        <w:bottom w:val="none" w:sz="0" w:space="0" w:color="auto"/>
        <w:right w:val="none" w:sz="0" w:space="0" w:color="auto"/>
      </w:divBdr>
    </w:div>
    <w:div w:id="1066758966">
      <w:bodyDiv w:val="1"/>
      <w:marLeft w:val="0"/>
      <w:marRight w:val="0"/>
      <w:marTop w:val="0"/>
      <w:marBottom w:val="0"/>
      <w:divBdr>
        <w:top w:val="none" w:sz="0" w:space="0" w:color="auto"/>
        <w:left w:val="none" w:sz="0" w:space="0" w:color="auto"/>
        <w:bottom w:val="none" w:sz="0" w:space="0" w:color="auto"/>
        <w:right w:val="none" w:sz="0" w:space="0" w:color="auto"/>
      </w:divBdr>
      <w:divsChild>
        <w:div w:id="665547522">
          <w:marLeft w:val="0"/>
          <w:marRight w:val="0"/>
          <w:marTop w:val="0"/>
          <w:marBottom w:val="0"/>
          <w:divBdr>
            <w:top w:val="none" w:sz="0" w:space="0" w:color="auto"/>
            <w:left w:val="none" w:sz="0" w:space="0" w:color="auto"/>
            <w:bottom w:val="none" w:sz="0" w:space="0" w:color="auto"/>
            <w:right w:val="none" w:sz="0" w:space="0" w:color="auto"/>
          </w:divBdr>
        </w:div>
      </w:divsChild>
    </w:div>
    <w:div w:id="1923953186">
      <w:bodyDiv w:val="1"/>
      <w:marLeft w:val="0"/>
      <w:marRight w:val="0"/>
      <w:marTop w:val="0"/>
      <w:marBottom w:val="0"/>
      <w:divBdr>
        <w:top w:val="none" w:sz="0" w:space="0" w:color="auto"/>
        <w:left w:val="none" w:sz="0" w:space="0" w:color="auto"/>
        <w:bottom w:val="none" w:sz="0" w:space="0" w:color="auto"/>
        <w:right w:val="none" w:sz="0" w:space="0" w:color="auto"/>
      </w:divBdr>
    </w:div>
    <w:div w:id="19864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ta.europa.eu/eli/dir/2019/1/oj" TargetMode="External"/><Relationship Id="rId2" Type="http://schemas.openxmlformats.org/officeDocument/2006/relationships/hyperlink" Target="http://data.europa.eu/eli/treaty/tfeu_2012/oj" TargetMode="External"/><Relationship Id="rId1" Type="http://schemas.openxmlformats.org/officeDocument/2006/relationships/hyperlink" Target="http://data.europa.eu/eli/reg/2003/1/2009-07-01" TargetMode="External"/><Relationship Id="rId5" Type="http://schemas.openxmlformats.org/officeDocument/2006/relationships/hyperlink" Target="https://www.kp.gov.lv/posts/konkurences-padome-aicina-iepirkumu-pretendentus-apliecinat-savu-neatkaribu-397" TargetMode="External"/><Relationship Id="rId4" Type="http://schemas.openxmlformats.org/officeDocument/2006/relationships/hyperlink" Target="https://mk.gov.lv/lv/aktualitates/konkurences-padomi-un-regulatoru-neapvie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0D04DFFC3B044A87EEDE472EA3FA5" ma:contentTypeVersion="0" ma:contentTypeDescription="Create a new document." ma:contentTypeScope="" ma:versionID="01918a3000bd36ed117d20431b8c46f3">
  <xsd:schema xmlns:xsd="http://www.w3.org/2001/XMLSchema" xmlns:xs="http://www.w3.org/2001/XMLSchema" xmlns:p="http://schemas.microsoft.com/office/2006/metadata/properties" targetNamespace="http://schemas.microsoft.com/office/2006/metadata/properties" ma:root="true" ma:fieldsID="6ce6af224015586e674cec2ea585a4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E1BF-D24D-4E93-9AD4-304A0C3B9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271383-80AA-4BE3-BFE3-70528B770107}">
  <ds:schemaRefs>
    <ds:schemaRef ds:uri="http://schemas.microsoft.com/sharepoint/v3/contenttype/forms"/>
  </ds:schemaRefs>
</ds:datastoreItem>
</file>

<file path=customXml/itemProps3.xml><?xml version="1.0" encoding="utf-8"?>
<ds:datastoreItem xmlns:ds="http://schemas.openxmlformats.org/officeDocument/2006/customXml" ds:itemID="{84C3A8F0-65E9-4052-924A-9796DF9C8E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F1469-9366-4FF5-92BF-718AF5DA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16079</Words>
  <Characters>9166</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vienotas konkurences un regulācijas iestādes izveides iespējām</vt:lpstr>
      <vt:lpstr>Par vienotas konkurences un regulācijas iestādes izveides iespējām</vt:lpstr>
    </vt:vector>
  </TitlesOfParts>
  <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vienotas konkurences un regulācijas iestādes izveides iespējām</dc:title>
  <dc:subject/>
  <dc:creator>Intars Eglītis</dc:creator>
  <cp:keywords>Informativais ziņojums</cp:keywords>
  <dc:description/>
  <cp:lastModifiedBy>Olga Feldmane</cp:lastModifiedBy>
  <cp:revision>4</cp:revision>
  <cp:lastPrinted>2019-10-03T09:12:00Z</cp:lastPrinted>
  <dcterms:created xsi:type="dcterms:W3CDTF">2019-10-10T08:47:00Z</dcterms:created>
  <dcterms:modified xsi:type="dcterms:W3CDTF">2019-10-10T08:54:00Z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0x01010046D0D04DFFC3B044A87EEDE472EA3FA5</vt:lpwstr>
  </property>
</Properties>
</file>