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9FC8D" w14:textId="251B1AA1" w:rsidR="00C630D2" w:rsidRPr="007B441F" w:rsidRDefault="009D2BBB" w:rsidP="00C630D2">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13DD71434E5F458EAC25B5E42676CD18"/>
          </w:placeholder>
        </w:sdtPr>
        <w:sdtEndPr/>
        <w:sdtContent>
          <w:r w:rsidR="00C630D2" w:rsidRPr="007B441F">
            <w:rPr>
              <w:rFonts w:ascii="Times New Roman" w:eastAsia="Times New Roman" w:hAnsi="Times New Roman" w:cs="Times New Roman"/>
              <w:b/>
              <w:bCs/>
              <w:sz w:val="24"/>
              <w:szCs w:val="24"/>
              <w:lang w:eastAsia="lv-LV"/>
            </w:rPr>
            <w:t>Ministru kabineta noteikumu “Grozījumi Ministru kabineta 2008.</w:t>
          </w:r>
          <w:r w:rsidR="00312E35" w:rsidRPr="007B441F">
            <w:rPr>
              <w:sz w:val="24"/>
              <w:szCs w:val="24"/>
            </w:rPr>
            <w:t> </w:t>
          </w:r>
          <w:r w:rsidR="00C630D2" w:rsidRPr="007B441F">
            <w:rPr>
              <w:rFonts w:ascii="Times New Roman" w:eastAsia="Times New Roman" w:hAnsi="Times New Roman" w:cs="Times New Roman"/>
              <w:b/>
              <w:bCs/>
              <w:sz w:val="24"/>
              <w:szCs w:val="24"/>
              <w:lang w:eastAsia="lv-LV"/>
            </w:rPr>
            <w:t>gada 26.</w:t>
          </w:r>
          <w:r w:rsidR="00312E35" w:rsidRPr="007B441F">
            <w:rPr>
              <w:rFonts w:ascii="Times New Roman" w:eastAsia="Times New Roman" w:hAnsi="Times New Roman" w:cs="Times New Roman"/>
              <w:b/>
              <w:bCs/>
              <w:sz w:val="24"/>
              <w:szCs w:val="24"/>
              <w:lang w:eastAsia="lv-LV"/>
            </w:rPr>
            <w:t> </w:t>
          </w:r>
          <w:r w:rsidR="00C630D2" w:rsidRPr="007B441F">
            <w:rPr>
              <w:rFonts w:ascii="Times New Roman" w:eastAsia="Times New Roman" w:hAnsi="Times New Roman" w:cs="Times New Roman"/>
              <w:b/>
              <w:bCs/>
              <w:sz w:val="24"/>
              <w:szCs w:val="24"/>
              <w:lang w:eastAsia="lv-LV"/>
            </w:rPr>
            <w:t xml:space="preserve">februāra noteikumos Nr. 126 “Eiropas Ekonomikas zonas finanšu instrumenta un Norvēģijas valdības divpusējā finanšu instrumenta īstenošanas, uzraudzības, novērtēšanas un auditu veikšanas kārtība”” </w:t>
          </w:r>
          <w:r w:rsidR="00312E35" w:rsidRPr="007B441F">
            <w:rPr>
              <w:rFonts w:ascii="Times New Roman" w:eastAsia="Times New Roman" w:hAnsi="Times New Roman" w:cs="Times New Roman"/>
              <w:b/>
              <w:bCs/>
              <w:sz w:val="24"/>
              <w:szCs w:val="24"/>
              <w:lang w:eastAsia="lv-LV"/>
            </w:rPr>
            <w:t>projekta sākotnējās ietekmes novērtējuma ziņojums (anotācija)</w:t>
          </w:r>
        </w:sdtContent>
      </w:sdt>
      <w:r w:rsidR="00C630D2" w:rsidRPr="007B441F">
        <w:rPr>
          <w:rFonts w:ascii="Times New Roman" w:eastAsia="Times New Roman" w:hAnsi="Times New Roman" w:cs="Times New Roman"/>
          <w:b/>
          <w:bCs/>
          <w:sz w:val="24"/>
          <w:szCs w:val="24"/>
          <w:lang w:eastAsia="lv-LV"/>
        </w:rPr>
        <w:br/>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C630D2" w:rsidRPr="007B441F" w14:paraId="7E88659A" w14:textId="77777777" w:rsidTr="00984625">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43A602C" w14:textId="77777777" w:rsidR="00C630D2" w:rsidRPr="007B441F" w:rsidRDefault="00C630D2" w:rsidP="00AC7F93">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Tiesību akta projekta anotācijas kopsavilkums</w:t>
            </w:r>
          </w:p>
        </w:tc>
      </w:tr>
      <w:tr w:rsidR="00C630D2" w:rsidRPr="007B441F" w14:paraId="3A2EF8A5" w14:textId="77777777" w:rsidTr="009D2BBB">
        <w:trPr>
          <w:trHeight w:val="2671"/>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1AEC6CC" w14:textId="77777777" w:rsidR="00C630D2" w:rsidRPr="007B441F" w:rsidRDefault="00C630D2" w:rsidP="005876A7">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Mērķis, risinājums un projekta spēkā stāšanās laiks (500 zīmes bez atstarpēm)</w:t>
            </w:r>
          </w:p>
          <w:p w14:paraId="390D51B5" w14:textId="77777777" w:rsidR="00C630D2" w:rsidRPr="007B441F" w:rsidRDefault="00C630D2" w:rsidP="00984625">
            <w:pPr>
              <w:rPr>
                <w:rFonts w:ascii="Times New Roman" w:eastAsia="Times New Roman" w:hAnsi="Times New Roman" w:cs="Times New Roman"/>
                <w:sz w:val="24"/>
                <w:szCs w:val="24"/>
                <w:lang w:eastAsia="lv-LV"/>
              </w:rPr>
            </w:pPr>
          </w:p>
          <w:p w14:paraId="4F045F2D" w14:textId="77777777" w:rsidR="00C630D2" w:rsidRPr="007B441F" w:rsidRDefault="00C630D2" w:rsidP="00984625">
            <w:pPr>
              <w:jc w:val="right"/>
              <w:rPr>
                <w:rFonts w:ascii="Times New Roman" w:eastAsia="Times New Roman" w:hAnsi="Times New Roman" w:cs="Times New Roman"/>
                <w:sz w:val="24"/>
                <w:szCs w:val="24"/>
                <w:lang w:eastAsia="lv-LV"/>
              </w:rPr>
            </w:pPr>
          </w:p>
        </w:tc>
        <w:tc>
          <w:tcPr>
            <w:tcW w:w="2971" w:type="pct"/>
            <w:tcBorders>
              <w:top w:val="outset" w:sz="6" w:space="0" w:color="auto"/>
              <w:left w:val="outset" w:sz="6" w:space="0" w:color="auto"/>
              <w:bottom w:val="outset" w:sz="6" w:space="0" w:color="auto"/>
              <w:right w:val="outset" w:sz="6" w:space="0" w:color="auto"/>
            </w:tcBorders>
            <w:hideMark/>
          </w:tcPr>
          <w:p w14:paraId="22659305" w14:textId="7DFCFB58" w:rsidR="007B441F"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noteikumu projekts paredz vienkāršot</w:t>
            </w:r>
            <w:r w:rsidRPr="007B441F">
              <w:rPr>
                <w:sz w:val="24"/>
                <w:szCs w:val="24"/>
              </w:rPr>
              <w:t xml:space="preserve"> </w:t>
            </w:r>
            <w:r w:rsidRPr="007B441F">
              <w:rPr>
                <w:rFonts w:ascii="Times New Roman" w:eastAsia="Times New Roman" w:hAnsi="Times New Roman" w:cs="Times New Roman"/>
                <w:iCs/>
                <w:sz w:val="24"/>
                <w:szCs w:val="24"/>
                <w:lang w:eastAsia="lv-LV"/>
              </w:rPr>
              <w:t>finanšu instrumentu 2004.</w:t>
            </w:r>
            <w:r w:rsidR="00312E35"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w:t>
            </w:r>
            <w:r w:rsidR="00312E35"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2009.</w:t>
            </w:r>
            <w:r w:rsidR="00312E35"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gada perioda pēcuzraudzības nosacījumu</w:t>
            </w:r>
            <w:r w:rsidR="005300AF" w:rsidRPr="007B441F">
              <w:rPr>
                <w:rFonts w:ascii="Times New Roman" w:eastAsia="Times New Roman" w:hAnsi="Times New Roman" w:cs="Times New Roman"/>
                <w:iCs/>
                <w:sz w:val="24"/>
                <w:szCs w:val="24"/>
                <w:lang w:eastAsia="lv-LV"/>
              </w:rPr>
              <w:t xml:space="preserve"> izpildes kontroli</w:t>
            </w:r>
            <w:r w:rsidRPr="007B441F">
              <w:rPr>
                <w:rFonts w:ascii="Times New Roman" w:eastAsia="Times New Roman" w:hAnsi="Times New Roman" w:cs="Times New Roman"/>
                <w:iCs/>
                <w:sz w:val="24"/>
                <w:szCs w:val="24"/>
                <w:lang w:eastAsia="lv-LV"/>
              </w:rPr>
              <w:t xml:space="preserve">, svītrojot aģentūras ikgadējās pēcuzraudzības nosacījumu izpildes kontroles funkcijas un atstājot minētās funkcijas starpniekinstitūciju atbildībā, nosakot pienākumu starpniekinstitūcijām </w:t>
            </w:r>
            <w:r w:rsidR="008C7497" w:rsidRPr="007B441F">
              <w:rPr>
                <w:rFonts w:ascii="Times New Roman" w:eastAsia="Times New Roman" w:hAnsi="Times New Roman" w:cs="Times New Roman"/>
                <w:iCs/>
                <w:sz w:val="24"/>
                <w:szCs w:val="24"/>
                <w:lang w:eastAsia="lv-LV"/>
              </w:rPr>
              <w:t>informēt vadošo iestādi par pēcuzraudzības nosacījumu izpildes kontroles rezultātā konstatētu neatbilstību</w:t>
            </w:r>
            <w:r w:rsidRPr="007B441F">
              <w:rPr>
                <w:rFonts w:ascii="Times New Roman" w:eastAsia="Times New Roman" w:hAnsi="Times New Roman" w:cs="Times New Roman"/>
                <w:iCs/>
                <w:sz w:val="24"/>
                <w:szCs w:val="24"/>
                <w:lang w:eastAsia="lv-LV"/>
              </w:rPr>
              <w:t>.</w:t>
            </w:r>
          </w:p>
          <w:p w14:paraId="7E345F0A" w14:textId="4A713C89" w:rsidR="00C630D2" w:rsidRPr="007B441F" w:rsidRDefault="00C630D2" w:rsidP="00025E98">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Tiesību akts stāsies spēkā </w:t>
            </w:r>
            <w:r w:rsidR="00025E98" w:rsidRPr="007B441F">
              <w:rPr>
                <w:rFonts w:ascii="Times New Roman" w:eastAsia="Times New Roman" w:hAnsi="Times New Roman" w:cs="Times New Roman"/>
                <w:iCs/>
                <w:sz w:val="24"/>
                <w:szCs w:val="24"/>
                <w:lang w:eastAsia="lv-LV"/>
              </w:rPr>
              <w:t>vispārējā kārtībā.</w:t>
            </w:r>
          </w:p>
        </w:tc>
      </w:tr>
    </w:tbl>
    <w:p w14:paraId="3705AF14" w14:textId="77777777" w:rsidR="00C630D2" w:rsidRPr="007B441F" w:rsidRDefault="00C630D2" w:rsidP="00C630D2">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C630D2" w:rsidRPr="007B441F" w14:paraId="3F6D4818"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01A63A3" w14:textId="77777777" w:rsidR="00C630D2" w:rsidRPr="007B441F" w:rsidRDefault="00C630D2" w:rsidP="00B975D7">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I. Tiesību akta projekta izstrādes nepieciešamība</w:t>
            </w:r>
          </w:p>
        </w:tc>
      </w:tr>
      <w:tr w:rsidR="00C630D2" w:rsidRPr="007B441F" w14:paraId="76BC8CCB"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739F80"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4BAE917"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70B8A5C6" w14:textId="0EB9D1F3" w:rsidR="00C630D2" w:rsidRPr="005353AE" w:rsidRDefault="00EB67F3" w:rsidP="00DC57B9">
            <w:pPr>
              <w:spacing w:after="0" w:line="240" w:lineRule="auto"/>
              <w:rPr>
                <w:rFonts w:ascii="Times New Roman" w:hAnsi="Times New Roman" w:cs="Times New Roman"/>
                <w:bCs/>
                <w:sz w:val="24"/>
                <w:szCs w:val="24"/>
              </w:rPr>
            </w:pPr>
            <w:r w:rsidRPr="005353AE">
              <w:rPr>
                <w:rFonts w:ascii="Times New Roman" w:hAnsi="Times New Roman" w:cs="Times New Roman"/>
                <w:bCs/>
                <w:sz w:val="24"/>
                <w:szCs w:val="24"/>
              </w:rPr>
              <w:t>Finanšu ministrijas iniciatīva</w:t>
            </w:r>
          </w:p>
        </w:tc>
      </w:tr>
      <w:tr w:rsidR="00C630D2" w:rsidRPr="007B441F" w14:paraId="070A2918"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724F4B"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E58BA5A" w14:textId="6E0A10B3" w:rsidR="007E5CE6"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3223F66" w14:textId="77777777" w:rsidR="007E5CE6" w:rsidRPr="007B441F" w:rsidRDefault="007E5CE6" w:rsidP="007E5CE6">
            <w:pPr>
              <w:rPr>
                <w:rFonts w:ascii="Times New Roman" w:eastAsia="Times New Roman" w:hAnsi="Times New Roman" w:cs="Times New Roman"/>
                <w:sz w:val="24"/>
                <w:szCs w:val="24"/>
                <w:lang w:eastAsia="lv-LV"/>
              </w:rPr>
            </w:pPr>
          </w:p>
          <w:p w14:paraId="10A63632" w14:textId="77777777" w:rsidR="007E5CE6" w:rsidRPr="007B441F" w:rsidRDefault="007E5CE6" w:rsidP="007E5CE6">
            <w:pPr>
              <w:rPr>
                <w:rFonts w:ascii="Times New Roman" w:eastAsia="Times New Roman" w:hAnsi="Times New Roman" w:cs="Times New Roman"/>
                <w:sz w:val="24"/>
                <w:szCs w:val="24"/>
                <w:lang w:eastAsia="lv-LV"/>
              </w:rPr>
            </w:pPr>
          </w:p>
          <w:p w14:paraId="02AC9D6D" w14:textId="77777777" w:rsidR="007E5CE6" w:rsidRPr="007B441F" w:rsidRDefault="007E5CE6" w:rsidP="007E5CE6">
            <w:pPr>
              <w:rPr>
                <w:rFonts w:ascii="Times New Roman" w:eastAsia="Times New Roman" w:hAnsi="Times New Roman" w:cs="Times New Roman"/>
                <w:sz w:val="24"/>
                <w:szCs w:val="24"/>
                <w:lang w:eastAsia="lv-LV"/>
              </w:rPr>
            </w:pPr>
          </w:p>
          <w:p w14:paraId="7205E1B1" w14:textId="77777777" w:rsidR="007E5CE6" w:rsidRPr="007B441F" w:rsidRDefault="007E5CE6" w:rsidP="007E5CE6">
            <w:pPr>
              <w:rPr>
                <w:rFonts w:ascii="Times New Roman" w:eastAsia="Times New Roman" w:hAnsi="Times New Roman" w:cs="Times New Roman"/>
                <w:sz w:val="24"/>
                <w:szCs w:val="24"/>
                <w:lang w:eastAsia="lv-LV"/>
              </w:rPr>
            </w:pPr>
          </w:p>
          <w:p w14:paraId="128DA406" w14:textId="77777777" w:rsidR="007E5CE6" w:rsidRPr="007B441F" w:rsidRDefault="007E5CE6" w:rsidP="007E5CE6">
            <w:pPr>
              <w:rPr>
                <w:rFonts w:ascii="Times New Roman" w:eastAsia="Times New Roman" w:hAnsi="Times New Roman" w:cs="Times New Roman"/>
                <w:sz w:val="24"/>
                <w:szCs w:val="24"/>
                <w:lang w:eastAsia="lv-LV"/>
              </w:rPr>
            </w:pPr>
          </w:p>
          <w:p w14:paraId="769FCEF6" w14:textId="77777777" w:rsidR="007E5CE6" w:rsidRPr="007B441F" w:rsidRDefault="007E5CE6" w:rsidP="007E5CE6">
            <w:pPr>
              <w:rPr>
                <w:rFonts w:ascii="Times New Roman" w:eastAsia="Times New Roman" w:hAnsi="Times New Roman" w:cs="Times New Roman"/>
                <w:sz w:val="24"/>
                <w:szCs w:val="24"/>
                <w:lang w:eastAsia="lv-LV"/>
              </w:rPr>
            </w:pPr>
          </w:p>
          <w:p w14:paraId="347A0FC1" w14:textId="77777777" w:rsidR="007E5CE6" w:rsidRPr="007B441F" w:rsidRDefault="007E5CE6" w:rsidP="007E5CE6">
            <w:pPr>
              <w:rPr>
                <w:rFonts w:ascii="Times New Roman" w:eastAsia="Times New Roman" w:hAnsi="Times New Roman" w:cs="Times New Roman"/>
                <w:sz w:val="24"/>
                <w:szCs w:val="24"/>
                <w:lang w:eastAsia="lv-LV"/>
              </w:rPr>
            </w:pPr>
          </w:p>
          <w:p w14:paraId="2CE6CCF0" w14:textId="77777777" w:rsidR="007E5CE6" w:rsidRPr="007B441F" w:rsidRDefault="007E5CE6" w:rsidP="007E5CE6">
            <w:pPr>
              <w:rPr>
                <w:rFonts w:ascii="Times New Roman" w:eastAsia="Times New Roman" w:hAnsi="Times New Roman" w:cs="Times New Roman"/>
                <w:sz w:val="24"/>
                <w:szCs w:val="24"/>
                <w:lang w:eastAsia="lv-LV"/>
              </w:rPr>
            </w:pPr>
          </w:p>
          <w:p w14:paraId="1182DB2C" w14:textId="77777777" w:rsidR="007E5CE6" w:rsidRPr="007B441F" w:rsidRDefault="007E5CE6" w:rsidP="007E5CE6">
            <w:pPr>
              <w:rPr>
                <w:rFonts w:ascii="Times New Roman" w:eastAsia="Times New Roman" w:hAnsi="Times New Roman" w:cs="Times New Roman"/>
                <w:sz w:val="24"/>
                <w:szCs w:val="24"/>
                <w:lang w:eastAsia="lv-LV"/>
              </w:rPr>
            </w:pPr>
          </w:p>
          <w:p w14:paraId="0DD53C5F" w14:textId="77777777" w:rsidR="007E5CE6" w:rsidRPr="007B441F" w:rsidRDefault="007E5CE6" w:rsidP="007E5CE6">
            <w:pPr>
              <w:rPr>
                <w:rFonts w:ascii="Times New Roman" w:eastAsia="Times New Roman" w:hAnsi="Times New Roman" w:cs="Times New Roman"/>
                <w:sz w:val="24"/>
                <w:szCs w:val="24"/>
                <w:lang w:eastAsia="lv-LV"/>
              </w:rPr>
            </w:pPr>
          </w:p>
          <w:p w14:paraId="020DE080" w14:textId="77777777" w:rsidR="007E5CE6" w:rsidRPr="007B441F" w:rsidRDefault="007E5CE6" w:rsidP="007E5CE6">
            <w:pPr>
              <w:rPr>
                <w:rFonts w:ascii="Times New Roman" w:eastAsia="Times New Roman" w:hAnsi="Times New Roman" w:cs="Times New Roman"/>
                <w:sz w:val="24"/>
                <w:szCs w:val="24"/>
                <w:lang w:eastAsia="lv-LV"/>
              </w:rPr>
            </w:pPr>
          </w:p>
          <w:p w14:paraId="2A32FF5C" w14:textId="77777777" w:rsidR="007E5CE6" w:rsidRPr="007B441F" w:rsidRDefault="007E5CE6" w:rsidP="007E5CE6">
            <w:pPr>
              <w:rPr>
                <w:rFonts w:ascii="Times New Roman" w:eastAsia="Times New Roman" w:hAnsi="Times New Roman" w:cs="Times New Roman"/>
                <w:sz w:val="24"/>
                <w:szCs w:val="24"/>
                <w:lang w:eastAsia="lv-LV"/>
              </w:rPr>
            </w:pPr>
          </w:p>
          <w:p w14:paraId="132F9D9D" w14:textId="696A32FD" w:rsidR="00C630D2" w:rsidRPr="007B441F" w:rsidRDefault="00C630D2" w:rsidP="007E5CE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3CF1DAD3" w14:textId="5EC7AB8A" w:rsidR="00C630D2" w:rsidRPr="007B441F" w:rsidRDefault="00C630D2" w:rsidP="00984625">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 xml:space="preserve">Spēkā esošais </w:t>
            </w:r>
            <w:r w:rsidR="00312E35" w:rsidRPr="007B441F">
              <w:rPr>
                <w:rFonts w:ascii="Times New Roman" w:hAnsi="Times New Roman" w:cs="Times New Roman"/>
                <w:sz w:val="24"/>
                <w:szCs w:val="24"/>
              </w:rPr>
              <w:t>Ministr</w:t>
            </w:r>
            <w:r w:rsidR="00D86C98" w:rsidRPr="007B441F">
              <w:rPr>
                <w:rFonts w:ascii="Times New Roman" w:hAnsi="Times New Roman" w:cs="Times New Roman"/>
                <w:sz w:val="24"/>
                <w:szCs w:val="24"/>
              </w:rPr>
              <w:t>u</w:t>
            </w:r>
            <w:r w:rsidR="00312E35" w:rsidRPr="007B441F">
              <w:rPr>
                <w:rFonts w:ascii="Times New Roman" w:hAnsi="Times New Roman" w:cs="Times New Roman"/>
                <w:sz w:val="24"/>
                <w:szCs w:val="24"/>
              </w:rPr>
              <w:t xml:space="preserve"> kabineta </w:t>
            </w:r>
            <w:r w:rsidRPr="007B441F">
              <w:rPr>
                <w:rFonts w:ascii="Times New Roman" w:hAnsi="Times New Roman" w:cs="Times New Roman"/>
                <w:sz w:val="24"/>
                <w:szCs w:val="24"/>
              </w:rPr>
              <w:t>2008.</w:t>
            </w:r>
            <w:r w:rsidR="00312E35" w:rsidRPr="007B441F">
              <w:rPr>
                <w:rFonts w:ascii="Times New Roman" w:hAnsi="Times New Roman" w:cs="Times New Roman"/>
                <w:sz w:val="24"/>
                <w:szCs w:val="24"/>
              </w:rPr>
              <w:t> </w:t>
            </w:r>
            <w:r w:rsidRPr="007B441F">
              <w:rPr>
                <w:rFonts w:ascii="Times New Roman" w:hAnsi="Times New Roman" w:cs="Times New Roman"/>
                <w:sz w:val="24"/>
                <w:szCs w:val="24"/>
              </w:rPr>
              <w:t>gada 26.</w:t>
            </w:r>
            <w:r w:rsidR="00312E35" w:rsidRPr="007B441F">
              <w:rPr>
                <w:rFonts w:ascii="Times New Roman" w:hAnsi="Times New Roman" w:cs="Times New Roman"/>
                <w:sz w:val="24"/>
                <w:szCs w:val="24"/>
              </w:rPr>
              <w:t> </w:t>
            </w:r>
            <w:r w:rsidRPr="007B441F">
              <w:rPr>
                <w:rFonts w:ascii="Times New Roman" w:hAnsi="Times New Roman" w:cs="Times New Roman"/>
                <w:sz w:val="24"/>
                <w:szCs w:val="24"/>
              </w:rPr>
              <w:t xml:space="preserve">februāra noteikumu Nr. 126 “Eiropas Ekonomikas zonas finanšu instrumenta un Norvēģijas valdības divpusējā finanšu instrumenta īstenošanas, uzraudzības, novērtēšanas un auditu veikšanas kārtība” (turpmāk – MK noteikumi Nr.126) regulējums paredz sekojošu Eiropas Ekonomikas zonas finanšu instrumenta un Norvēģijas valdības divpusējā finanšu instrumenta </w:t>
            </w:r>
            <w:r w:rsidR="006857B8" w:rsidRPr="007B441F">
              <w:rPr>
                <w:rFonts w:ascii="Times New Roman" w:hAnsi="Times New Roman" w:cs="Times New Roman"/>
                <w:sz w:val="24"/>
                <w:szCs w:val="24"/>
              </w:rPr>
              <w:t>2004. -</w:t>
            </w:r>
            <w:r w:rsidR="00C55A27" w:rsidRPr="007B441F">
              <w:rPr>
                <w:rFonts w:ascii="Times New Roman" w:hAnsi="Times New Roman" w:cs="Times New Roman"/>
                <w:sz w:val="24"/>
                <w:szCs w:val="24"/>
              </w:rPr>
              <w:t xml:space="preserve"> </w:t>
            </w:r>
            <w:r w:rsidR="006857B8" w:rsidRPr="007B441F">
              <w:rPr>
                <w:rFonts w:ascii="Times New Roman" w:hAnsi="Times New Roman" w:cs="Times New Roman"/>
                <w:sz w:val="24"/>
                <w:szCs w:val="24"/>
              </w:rPr>
              <w:t xml:space="preserve">2009. gada perioda </w:t>
            </w:r>
            <w:r w:rsidRPr="007B441F">
              <w:rPr>
                <w:rFonts w:ascii="Times New Roman" w:hAnsi="Times New Roman" w:cs="Times New Roman"/>
                <w:sz w:val="24"/>
                <w:szCs w:val="24"/>
              </w:rPr>
              <w:t xml:space="preserve">(turpmāk – finanšu instrumenti) pēcuzraudzības nosacījumu izpildes nodrošināšanu un uzraudzību pēc individuālā projekta, programmas vai </w:t>
            </w:r>
            <w:proofErr w:type="spellStart"/>
            <w:r w:rsidRPr="007B441F">
              <w:rPr>
                <w:rFonts w:ascii="Times New Roman" w:hAnsi="Times New Roman" w:cs="Times New Roman"/>
                <w:sz w:val="24"/>
                <w:szCs w:val="24"/>
              </w:rPr>
              <w:t>grantu</w:t>
            </w:r>
            <w:proofErr w:type="spellEnd"/>
            <w:r w:rsidRPr="007B441F">
              <w:rPr>
                <w:rFonts w:ascii="Times New Roman" w:hAnsi="Times New Roman" w:cs="Times New Roman"/>
                <w:sz w:val="24"/>
                <w:szCs w:val="24"/>
              </w:rPr>
              <w:t xml:space="preserve"> shēmas noslēguma pārskata apstiprināšanas:</w:t>
            </w:r>
          </w:p>
          <w:p w14:paraId="2564991C" w14:textId="06709D04" w:rsidR="00C630D2" w:rsidRPr="007B441F" w:rsidRDefault="00C630D2" w:rsidP="00984625">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1. Individuālā projekta līdzfinansējuma saņēmējs vai apsaimniekotājs ir atbildīgs par noteikto pēcuzraudzības nosacījumu ievērošanu un īstenošanu atbilstoši sadarbības līguma par</w:t>
            </w:r>
            <w:r w:rsidR="00855BDF" w:rsidRPr="007B441F">
              <w:rPr>
                <w:sz w:val="24"/>
                <w:szCs w:val="24"/>
              </w:rPr>
              <w:t xml:space="preserve"> </w:t>
            </w:r>
            <w:r w:rsidR="00855BDF" w:rsidRPr="007B441F">
              <w:rPr>
                <w:rFonts w:ascii="Times New Roman" w:hAnsi="Times New Roman" w:cs="Times New Roman"/>
                <w:sz w:val="24"/>
                <w:szCs w:val="24"/>
              </w:rPr>
              <w:t>individuālā projekta,</w:t>
            </w:r>
            <w:r w:rsidRPr="007B441F">
              <w:rPr>
                <w:rFonts w:ascii="Times New Roman" w:hAnsi="Times New Roman" w:cs="Times New Roman"/>
                <w:sz w:val="24"/>
                <w:szCs w:val="24"/>
              </w:rPr>
              <w:t xml:space="preserve"> programmas vai </w:t>
            </w:r>
            <w:proofErr w:type="spellStart"/>
            <w:r w:rsidRPr="007B441F">
              <w:rPr>
                <w:rFonts w:ascii="Times New Roman" w:hAnsi="Times New Roman" w:cs="Times New Roman"/>
                <w:sz w:val="24"/>
                <w:szCs w:val="24"/>
              </w:rPr>
              <w:t>grantu</w:t>
            </w:r>
            <w:proofErr w:type="spellEnd"/>
            <w:r w:rsidRPr="007B441F">
              <w:rPr>
                <w:rFonts w:ascii="Times New Roman" w:hAnsi="Times New Roman" w:cs="Times New Roman"/>
                <w:sz w:val="24"/>
                <w:szCs w:val="24"/>
              </w:rPr>
              <w:t xml:space="preserve"> </w:t>
            </w:r>
            <w:r w:rsidR="00C55A27" w:rsidRPr="007B441F">
              <w:rPr>
                <w:rFonts w:ascii="Times New Roman" w:hAnsi="Times New Roman" w:cs="Times New Roman"/>
                <w:sz w:val="24"/>
                <w:szCs w:val="24"/>
              </w:rPr>
              <w:t>shēmas īstenošanu nosacījumiem.</w:t>
            </w:r>
          </w:p>
          <w:p w14:paraId="1F529374" w14:textId="170DCE29" w:rsidR="00C630D2" w:rsidRPr="007B441F" w:rsidRDefault="00C630D2" w:rsidP="00984625">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2.</w:t>
            </w:r>
            <w:r w:rsidRPr="007B441F">
              <w:rPr>
                <w:rFonts w:ascii="Times New Roman" w:hAnsi="Times New Roman" w:cs="Times New Roman"/>
                <w:sz w:val="24"/>
                <w:szCs w:val="24"/>
              </w:rPr>
              <w:tab/>
              <w:t>Starpniekinstitūcija ir atbildīga par pēcuzraudzības nosacījumu izpildes kontroli</w:t>
            </w:r>
            <w:r w:rsidR="00312E35" w:rsidRPr="007B441F">
              <w:rPr>
                <w:rFonts w:ascii="Times New Roman" w:hAnsi="Times New Roman" w:cs="Times New Roman"/>
                <w:sz w:val="24"/>
                <w:szCs w:val="24"/>
              </w:rPr>
              <w:t>,</w:t>
            </w:r>
            <w:r w:rsidRPr="007B441F">
              <w:rPr>
                <w:rFonts w:ascii="Times New Roman" w:hAnsi="Times New Roman" w:cs="Times New Roman"/>
                <w:sz w:val="24"/>
                <w:szCs w:val="24"/>
              </w:rPr>
              <w:t xml:space="preserve"> izskatot tās noteiktajos termiņos vai pēc pieprasījuma saņemto informāciju/apliecinājumu no </w:t>
            </w:r>
            <w:r w:rsidR="0078658C" w:rsidRPr="007B441F">
              <w:rPr>
                <w:rFonts w:ascii="Times New Roman" w:hAnsi="Times New Roman" w:cs="Times New Roman"/>
                <w:sz w:val="24"/>
                <w:szCs w:val="24"/>
              </w:rPr>
              <w:t xml:space="preserve">individuālā projekta </w:t>
            </w:r>
            <w:r w:rsidRPr="007B441F">
              <w:rPr>
                <w:rFonts w:ascii="Times New Roman" w:hAnsi="Times New Roman" w:cs="Times New Roman"/>
                <w:sz w:val="24"/>
                <w:szCs w:val="24"/>
              </w:rPr>
              <w:t xml:space="preserve">līdzfinansējuma saņēmēja vai apsaimniekotāja par nosacījumu izpildi, iesniedzot </w:t>
            </w:r>
            <w:r w:rsidR="0078658C" w:rsidRPr="007B441F">
              <w:rPr>
                <w:rFonts w:ascii="Times New Roman" w:hAnsi="Times New Roman" w:cs="Times New Roman"/>
                <w:sz w:val="24"/>
                <w:szCs w:val="24"/>
              </w:rPr>
              <w:t xml:space="preserve">Centrālā finanšu un līgumu </w:t>
            </w:r>
            <w:r w:rsidRPr="007B441F">
              <w:rPr>
                <w:rFonts w:ascii="Times New Roman" w:hAnsi="Times New Roman" w:cs="Times New Roman"/>
                <w:sz w:val="24"/>
                <w:szCs w:val="24"/>
              </w:rPr>
              <w:t>aģentūrā</w:t>
            </w:r>
            <w:r w:rsidR="0078658C" w:rsidRPr="007B441F">
              <w:rPr>
                <w:rFonts w:ascii="Times New Roman" w:hAnsi="Times New Roman" w:cs="Times New Roman"/>
                <w:sz w:val="24"/>
                <w:szCs w:val="24"/>
              </w:rPr>
              <w:t xml:space="preserve"> (turpmāk – aģentūra)</w:t>
            </w:r>
            <w:r w:rsidRPr="007B441F">
              <w:rPr>
                <w:rFonts w:ascii="Times New Roman" w:hAnsi="Times New Roman" w:cs="Times New Roman"/>
                <w:sz w:val="24"/>
                <w:szCs w:val="24"/>
              </w:rPr>
              <w:t xml:space="preserve"> ikgadēju pārskatu. </w:t>
            </w:r>
          </w:p>
          <w:p w14:paraId="3DEF792C" w14:textId="3E5899CE" w:rsidR="00C630D2" w:rsidRPr="007B441F" w:rsidRDefault="00C630D2" w:rsidP="00984625">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lastRenderedPageBreak/>
              <w:t>3.</w:t>
            </w:r>
            <w:r w:rsidRPr="007B441F">
              <w:rPr>
                <w:rFonts w:ascii="Times New Roman" w:hAnsi="Times New Roman" w:cs="Times New Roman"/>
                <w:sz w:val="24"/>
                <w:szCs w:val="24"/>
              </w:rPr>
              <w:tab/>
            </w:r>
            <w:r w:rsidR="0078658C" w:rsidRPr="007B441F">
              <w:rPr>
                <w:rFonts w:ascii="Times New Roman" w:hAnsi="Times New Roman" w:cs="Times New Roman"/>
                <w:sz w:val="24"/>
                <w:szCs w:val="24"/>
              </w:rPr>
              <w:t>A</w:t>
            </w:r>
            <w:r w:rsidR="002E35EC" w:rsidRPr="007B441F">
              <w:rPr>
                <w:rFonts w:ascii="Times New Roman" w:hAnsi="Times New Roman" w:cs="Times New Roman"/>
                <w:sz w:val="24"/>
                <w:szCs w:val="24"/>
              </w:rPr>
              <w:t xml:space="preserve">ģentūra </w:t>
            </w:r>
            <w:r w:rsidRPr="007B441F">
              <w:rPr>
                <w:rFonts w:ascii="Times New Roman" w:hAnsi="Times New Roman" w:cs="Times New Roman"/>
                <w:sz w:val="24"/>
                <w:szCs w:val="24"/>
              </w:rPr>
              <w:t xml:space="preserve">veic pēcuzraudzības nosacījumu izpildes kontroli reizi gadā saskaņā ar </w:t>
            </w:r>
            <w:proofErr w:type="spellStart"/>
            <w:r w:rsidRPr="007B441F">
              <w:rPr>
                <w:rFonts w:ascii="Times New Roman" w:hAnsi="Times New Roman" w:cs="Times New Roman"/>
                <w:sz w:val="24"/>
                <w:szCs w:val="24"/>
              </w:rPr>
              <w:t>granta</w:t>
            </w:r>
            <w:proofErr w:type="spellEnd"/>
            <w:r w:rsidRPr="007B441F">
              <w:rPr>
                <w:rFonts w:ascii="Times New Roman" w:hAnsi="Times New Roman" w:cs="Times New Roman"/>
                <w:sz w:val="24"/>
                <w:szCs w:val="24"/>
              </w:rPr>
              <w:t xml:space="preserve"> līgumā noteiktajiem termiņiem, izskatot no starpniekinstitūcijas saņemto pārskatu un apliecinājumu par kontroles rezultātiem nosūta vadošai iestādei. </w:t>
            </w:r>
          </w:p>
          <w:p w14:paraId="27085105" w14:textId="77777777" w:rsidR="00C630D2" w:rsidRPr="007B441F" w:rsidRDefault="00C630D2" w:rsidP="00984625">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 xml:space="preserve">Ņemot vērā to, ka gala atbalsta saņēmēji individuālajos projektos, programmās vai </w:t>
            </w:r>
            <w:proofErr w:type="spellStart"/>
            <w:r w:rsidRPr="007B441F">
              <w:rPr>
                <w:rFonts w:ascii="Times New Roman" w:hAnsi="Times New Roman" w:cs="Times New Roman"/>
                <w:sz w:val="24"/>
                <w:szCs w:val="24"/>
              </w:rPr>
              <w:t>grantu</w:t>
            </w:r>
            <w:proofErr w:type="spellEnd"/>
            <w:r w:rsidRPr="007B441F">
              <w:rPr>
                <w:rFonts w:ascii="Times New Roman" w:hAnsi="Times New Roman" w:cs="Times New Roman"/>
                <w:sz w:val="24"/>
                <w:szCs w:val="24"/>
              </w:rPr>
              <w:t xml:space="preserve"> shēmās ir citas institūcijas, tad jau šobrīd starpniekinstitūcija nodrošina zemāka līmeņa projektu pēcuzraudzības nosacījumu izpildes kontroli.</w:t>
            </w:r>
          </w:p>
          <w:p w14:paraId="051903F6" w14:textId="6582C615" w:rsidR="00C630D2" w:rsidRPr="007B441F" w:rsidRDefault="00C630D2" w:rsidP="00EB67F3">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 xml:space="preserve"> Finanšu instrumentu ietvaros 2019.</w:t>
            </w:r>
            <w:r w:rsidR="00312E35" w:rsidRPr="007B441F">
              <w:rPr>
                <w:rFonts w:ascii="Times New Roman" w:hAnsi="Times New Roman" w:cs="Times New Roman"/>
                <w:sz w:val="24"/>
                <w:szCs w:val="24"/>
              </w:rPr>
              <w:t> </w:t>
            </w:r>
            <w:r w:rsidRPr="007B441F">
              <w:rPr>
                <w:rFonts w:ascii="Times New Roman" w:hAnsi="Times New Roman" w:cs="Times New Roman"/>
                <w:sz w:val="24"/>
                <w:szCs w:val="24"/>
              </w:rPr>
              <w:t>gada jūnijā pēcuzraudzības pasākumi lielākai daļai projektu ir noslēgu</w:t>
            </w:r>
            <w:r w:rsidR="00312E35" w:rsidRPr="007B441F">
              <w:rPr>
                <w:rFonts w:ascii="Times New Roman" w:hAnsi="Times New Roman" w:cs="Times New Roman"/>
                <w:sz w:val="24"/>
                <w:szCs w:val="24"/>
              </w:rPr>
              <w:t>š</w:t>
            </w:r>
            <w:r w:rsidRPr="007B441F">
              <w:rPr>
                <w:rFonts w:ascii="Times New Roman" w:hAnsi="Times New Roman" w:cs="Times New Roman"/>
                <w:sz w:val="24"/>
                <w:szCs w:val="24"/>
              </w:rPr>
              <w:t>ies, savukārt 19 projektiem jāturpina līdz 2022.</w:t>
            </w:r>
            <w:r w:rsidR="00312E35" w:rsidRPr="007B441F">
              <w:rPr>
                <w:rFonts w:ascii="Times New Roman" w:hAnsi="Times New Roman" w:cs="Times New Roman"/>
                <w:sz w:val="24"/>
                <w:szCs w:val="24"/>
              </w:rPr>
              <w:t> </w:t>
            </w:r>
            <w:r w:rsidRPr="007B441F">
              <w:rPr>
                <w:rFonts w:ascii="Times New Roman" w:hAnsi="Times New Roman" w:cs="Times New Roman"/>
                <w:sz w:val="24"/>
                <w:szCs w:val="24"/>
              </w:rPr>
              <w:t>gadam (ieskaitot)</w:t>
            </w:r>
            <w:r w:rsidR="0078658C" w:rsidRPr="007B441F">
              <w:rPr>
                <w:rFonts w:ascii="Times New Roman" w:hAnsi="Times New Roman" w:cs="Times New Roman"/>
                <w:sz w:val="24"/>
                <w:szCs w:val="24"/>
              </w:rPr>
              <w:t>.</w:t>
            </w:r>
            <w:r w:rsidRPr="007B441F">
              <w:rPr>
                <w:rFonts w:ascii="Times New Roman" w:hAnsi="Times New Roman" w:cs="Times New Roman"/>
                <w:sz w:val="24"/>
                <w:szCs w:val="24"/>
              </w:rPr>
              <w:t xml:space="preserve"> </w:t>
            </w:r>
            <w:r w:rsidR="0078658C" w:rsidRPr="007B441F">
              <w:rPr>
                <w:rFonts w:ascii="Times New Roman" w:hAnsi="Times New Roman" w:cs="Times New Roman"/>
                <w:sz w:val="24"/>
                <w:szCs w:val="24"/>
              </w:rPr>
              <w:t>V</w:t>
            </w:r>
            <w:r w:rsidRPr="007B441F">
              <w:rPr>
                <w:rFonts w:ascii="Times New Roman" w:hAnsi="Times New Roman" w:cs="Times New Roman"/>
                <w:sz w:val="24"/>
                <w:szCs w:val="24"/>
              </w:rPr>
              <w:t>ēl trīs projektiem, ņemot vērā to, ka tajos nav specifisko pēc</w:t>
            </w:r>
            <w:r w:rsidR="0085275D" w:rsidRPr="007B441F">
              <w:rPr>
                <w:rFonts w:ascii="Times New Roman" w:hAnsi="Times New Roman" w:cs="Times New Roman"/>
                <w:sz w:val="24"/>
                <w:szCs w:val="24"/>
              </w:rPr>
              <w:t>uzraudzības</w:t>
            </w:r>
            <w:r w:rsidRPr="007B441F">
              <w:rPr>
                <w:rFonts w:ascii="Times New Roman" w:hAnsi="Times New Roman" w:cs="Times New Roman"/>
                <w:sz w:val="24"/>
                <w:szCs w:val="24"/>
              </w:rPr>
              <w:t xml:space="preserve"> nosacījumu, jānodrošina vien ar projektu ieviešan</w:t>
            </w:r>
            <w:r w:rsidR="0078658C" w:rsidRPr="007B441F">
              <w:rPr>
                <w:rFonts w:ascii="Times New Roman" w:hAnsi="Times New Roman" w:cs="Times New Roman"/>
                <w:sz w:val="24"/>
                <w:szCs w:val="24"/>
              </w:rPr>
              <w:t>u</w:t>
            </w:r>
            <w:r w:rsidRPr="007B441F">
              <w:rPr>
                <w:rFonts w:ascii="Times New Roman" w:hAnsi="Times New Roman" w:cs="Times New Roman"/>
                <w:sz w:val="24"/>
                <w:szCs w:val="24"/>
              </w:rPr>
              <w:t xml:space="preserve"> saistītās dokumentācijas uzglabāšana. Pēcuzraudzības </w:t>
            </w:r>
            <w:r w:rsidR="0078658C" w:rsidRPr="007B441F">
              <w:rPr>
                <w:rFonts w:ascii="Times New Roman" w:hAnsi="Times New Roman" w:cs="Times New Roman"/>
                <w:sz w:val="24"/>
                <w:szCs w:val="24"/>
              </w:rPr>
              <w:t xml:space="preserve">nosacījumu izpildes kontroli </w:t>
            </w:r>
            <w:r w:rsidRPr="007B441F">
              <w:rPr>
                <w:rFonts w:ascii="Times New Roman" w:hAnsi="Times New Roman" w:cs="Times New Roman"/>
                <w:sz w:val="24"/>
                <w:szCs w:val="24"/>
              </w:rPr>
              <w:t>aģentūra uzsāka 2012.</w:t>
            </w:r>
            <w:r w:rsidR="00312E35" w:rsidRPr="007B441F">
              <w:rPr>
                <w:rFonts w:ascii="Times New Roman" w:hAnsi="Times New Roman" w:cs="Times New Roman"/>
                <w:sz w:val="24"/>
                <w:szCs w:val="24"/>
              </w:rPr>
              <w:t> </w:t>
            </w:r>
            <w:r w:rsidRPr="007B441F">
              <w:rPr>
                <w:rFonts w:ascii="Times New Roman" w:hAnsi="Times New Roman" w:cs="Times New Roman"/>
                <w:sz w:val="24"/>
                <w:szCs w:val="24"/>
              </w:rPr>
              <w:t>gadā, kopumā 75 projektiem</w:t>
            </w:r>
            <w:r w:rsidR="00EB67F3" w:rsidRPr="007B441F">
              <w:rPr>
                <w:rFonts w:ascii="Times New Roman" w:hAnsi="Times New Roman" w:cs="Times New Roman"/>
                <w:b/>
                <w:sz w:val="24"/>
                <w:szCs w:val="24"/>
              </w:rPr>
              <w:t xml:space="preserve">, </w:t>
            </w:r>
            <w:r w:rsidR="00EB67F3" w:rsidRPr="002B45E7">
              <w:rPr>
                <w:rFonts w:ascii="Times New Roman" w:hAnsi="Times New Roman" w:cs="Times New Roman"/>
                <w:sz w:val="24"/>
                <w:szCs w:val="24"/>
              </w:rPr>
              <w:t>ievērojot Eiropas Ekonomikas zonas finanšu instrumenta un Norvēģijas valdības divpusējā finanšu instrumenta vadības likuma</w:t>
            </w:r>
            <w:r w:rsidR="0091357D" w:rsidRPr="002B45E7">
              <w:rPr>
                <w:rFonts w:ascii="Times New Roman" w:hAnsi="Times New Roman" w:cs="Times New Roman"/>
                <w:sz w:val="24"/>
                <w:szCs w:val="24"/>
              </w:rPr>
              <w:t xml:space="preserve"> (turpmāk –</w:t>
            </w:r>
            <w:r w:rsidR="00AF7869" w:rsidRPr="002B45E7">
              <w:rPr>
                <w:rFonts w:ascii="Times New Roman" w:hAnsi="Times New Roman" w:cs="Times New Roman"/>
                <w:sz w:val="24"/>
                <w:szCs w:val="24"/>
              </w:rPr>
              <w:t xml:space="preserve"> L</w:t>
            </w:r>
            <w:r w:rsidR="0091357D" w:rsidRPr="002B45E7">
              <w:rPr>
                <w:rFonts w:ascii="Times New Roman" w:hAnsi="Times New Roman" w:cs="Times New Roman"/>
                <w:sz w:val="24"/>
                <w:szCs w:val="24"/>
              </w:rPr>
              <w:t>ikums)</w:t>
            </w:r>
            <w:r w:rsidR="00EB67F3" w:rsidRPr="002B45E7">
              <w:rPr>
                <w:rFonts w:ascii="Times New Roman" w:hAnsi="Times New Roman" w:cs="Times New Roman"/>
                <w:sz w:val="24"/>
                <w:szCs w:val="24"/>
              </w:rPr>
              <w:t xml:space="preserve"> 8. panta pirmās daļas 3.punkt</w:t>
            </w:r>
            <w:r w:rsidR="00C43B07" w:rsidRPr="002B45E7">
              <w:rPr>
                <w:rFonts w:ascii="Times New Roman" w:hAnsi="Times New Roman" w:cs="Times New Roman"/>
                <w:sz w:val="24"/>
                <w:szCs w:val="24"/>
              </w:rPr>
              <w:t>u</w:t>
            </w:r>
            <w:r w:rsidRPr="002B45E7">
              <w:rPr>
                <w:rFonts w:ascii="Times New Roman" w:hAnsi="Times New Roman" w:cs="Times New Roman"/>
                <w:sz w:val="24"/>
                <w:szCs w:val="24"/>
              </w:rPr>
              <w:t>.</w:t>
            </w:r>
            <w:r w:rsidRPr="007B441F">
              <w:rPr>
                <w:rFonts w:ascii="Times New Roman" w:hAnsi="Times New Roman" w:cs="Times New Roman"/>
                <w:sz w:val="24"/>
                <w:szCs w:val="24"/>
              </w:rPr>
              <w:t xml:space="preserve"> Atsevišķos </w:t>
            </w:r>
            <w:r w:rsidR="0078658C" w:rsidRPr="007B441F">
              <w:rPr>
                <w:rFonts w:ascii="Times New Roman" w:hAnsi="Times New Roman" w:cs="Times New Roman"/>
                <w:sz w:val="24"/>
                <w:szCs w:val="24"/>
              </w:rPr>
              <w:t>starpniekinstitūciju</w:t>
            </w:r>
            <w:r w:rsidRPr="007B441F">
              <w:rPr>
                <w:rFonts w:ascii="Times New Roman" w:hAnsi="Times New Roman" w:cs="Times New Roman"/>
                <w:sz w:val="24"/>
                <w:szCs w:val="24"/>
              </w:rPr>
              <w:t xml:space="preserve"> iesniegtajos pārskatos bija konstatētas nebūtiskas vai tehniska rakstura kļūdas, nebija pilnīgi aizpildīti pārskati vai kavēti pārskatu iesniegšanas termiņi, kas vērtējami kā maznozīmīgi  un novēršami trūkumi. Pēc komunikācijas ar </w:t>
            </w:r>
            <w:r w:rsidR="00E57260" w:rsidRPr="007B441F">
              <w:rPr>
                <w:rFonts w:ascii="Times New Roman" w:hAnsi="Times New Roman" w:cs="Times New Roman"/>
                <w:sz w:val="24"/>
                <w:szCs w:val="24"/>
              </w:rPr>
              <w:t>starpniekinstitūcijām</w:t>
            </w:r>
            <w:r w:rsidR="00E57260" w:rsidRPr="007B441F">
              <w:rPr>
                <w:rFonts w:ascii="Times New Roman" w:hAnsi="Times New Roman" w:cs="Times New Roman"/>
                <w:b/>
                <w:sz w:val="24"/>
                <w:szCs w:val="24"/>
              </w:rPr>
              <w:t xml:space="preserve"> </w:t>
            </w:r>
            <w:r w:rsidRPr="007B441F">
              <w:rPr>
                <w:rFonts w:ascii="Times New Roman" w:hAnsi="Times New Roman" w:cs="Times New Roman"/>
                <w:sz w:val="24"/>
                <w:szCs w:val="24"/>
              </w:rPr>
              <w:t>trūkstošā informācija tika iesniegta un kļūdas aprēķinos novērstas. Kopumā vērtējot septiņu gadu ilgā period</w:t>
            </w:r>
            <w:r w:rsidR="0085275D" w:rsidRPr="007B441F">
              <w:rPr>
                <w:rFonts w:ascii="Times New Roman" w:hAnsi="Times New Roman" w:cs="Times New Roman"/>
                <w:sz w:val="24"/>
                <w:szCs w:val="24"/>
              </w:rPr>
              <w:t>ā saņemto informāciju par pēc</w:t>
            </w:r>
            <w:r w:rsidRPr="007B441F">
              <w:rPr>
                <w:rFonts w:ascii="Times New Roman" w:hAnsi="Times New Roman" w:cs="Times New Roman"/>
                <w:sz w:val="24"/>
                <w:szCs w:val="24"/>
              </w:rPr>
              <w:t>uzraudzības nosacījumu ievērošanu, aģentūra nav konstatējusi riskus pēcuzraudzības nosacījumu ievērošanā un secina, ka tā tiek nodrošināta atb</w:t>
            </w:r>
            <w:r w:rsidR="0085275D" w:rsidRPr="007B441F">
              <w:rPr>
                <w:rFonts w:ascii="Times New Roman" w:hAnsi="Times New Roman" w:cs="Times New Roman"/>
                <w:sz w:val="24"/>
                <w:szCs w:val="24"/>
              </w:rPr>
              <w:t>ilstoši prasībām un pēc</w:t>
            </w:r>
            <w:r w:rsidRPr="007B441F">
              <w:rPr>
                <w:rFonts w:ascii="Times New Roman" w:hAnsi="Times New Roman" w:cs="Times New Roman"/>
                <w:sz w:val="24"/>
                <w:szCs w:val="24"/>
              </w:rPr>
              <w:t xml:space="preserve">uzraudzības pasākumu procesa riska līmenis ir zems. Aģentūras līdz šim veiktās pēcuzraudzības nosacījumu izpildes kontroles norāda uz zemiem riskiem šo nosacījumu neizpildei, kā arī līdz šim aģentūra ir </w:t>
            </w:r>
            <w:r w:rsidR="00312E35" w:rsidRPr="007B441F">
              <w:rPr>
                <w:rFonts w:ascii="Times New Roman" w:hAnsi="Times New Roman" w:cs="Times New Roman"/>
                <w:sz w:val="24"/>
                <w:szCs w:val="24"/>
              </w:rPr>
              <w:t xml:space="preserve">vadošajai iestādei </w:t>
            </w:r>
            <w:r w:rsidRPr="007B441F">
              <w:rPr>
                <w:rFonts w:ascii="Times New Roman" w:hAnsi="Times New Roman" w:cs="Times New Roman"/>
                <w:sz w:val="24"/>
                <w:szCs w:val="24"/>
              </w:rPr>
              <w:t xml:space="preserve">ziņojusi tikai par atsevišķiem iespējamiem riskiem pēcuzraudzības nosacījumu izpildē. </w:t>
            </w:r>
          </w:p>
          <w:p w14:paraId="2BB9B15C" w14:textId="5436E977" w:rsidR="00C630D2" w:rsidRPr="007B441F" w:rsidRDefault="00C630D2" w:rsidP="00483D46">
            <w:pPr>
              <w:pStyle w:val="ListParagraph"/>
              <w:shd w:val="clear" w:color="auto" w:fill="FFFFFF"/>
              <w:spacing w:after="0" w:line="240" w:lineRule="auto"/>
              <w:ind w:left="249" w:right="57"/>
              <w:jc w:val="both"/>
              <w:rPr>
                <w:rFonts w:ascii="Times New Roman" w:hAnsi="Times New Roman" w:cs="Times New Roman"/>
                <w:sz w:val="24"/>
                <w:szCs w:val="24"/>
              </w:rPr>
            </w:pPr>
            <w:r w:rsidRPr="007B441F">
              <w:rPr>
                <w:rFonts w:ascii="Times New Roman" w:hAnsi="Times New Roman" w:cs="Times New Roman"/>
                <w:sz w:val="24"/>
                <w:szCs w:val="24"/>
              </w:rPr>
              <w:t xml:space="preserve">Līdz ar to, lai samazinātu administratīvo slogu visām </w:t>
            </w:r>
            <w:proofErr w:type="spellStart"/>
            <w:r w:rsidRPr="007B441F">
              <w:rPr>
                <w:rFonts w:ascii="Times New Roman" w:hAnsi="Times New Roman" w:cs="Times New Roman"/>
                <w:sz w:val="24"/>
                <w:szCs w:val="24"/>
              </w:rPr>
              <w:t>pēcuzraudzībā</w:t>
            </w:r>
            <w:proofErr w:type="spellEnd"/>
            <w:r w:rsidRPr="007B441F">
              <w:rPr>
                <w:rFonts w:ascii="Times New Roman" w:hAnsi="Times New Roman" w:cs="Times New Roman"/>
                <w:sz w:val="24"/>
                <w:szCs w:val="24"/>
              </w:rPr>
              <w:t xml:space="preserve"> iesaistītajām pusēm, balstoties uz </w:t>
            </w:r>
            <w:proofErr w:type="spellStart"/>
            <w:r w:rsidRPr="007B441F">
              <w:rPr>
                <w:rFonts w:ascii="Times New Roman" w:hAnsi="Times New Roman" w:cs="Times New Roman"/>
                <w:sz w:val="24"/>
                <w:szCs w:val="24"/>
              </w:rPr>
              <w:t>pēcuzraudzībā</w:t>
            </w:r>
            <w:proofErr w:type="spellEnd"/>
            <w:r w:rsidRPr="007B441F">
              <w:rPr>
                <w:rFonts w:ascii="Times New Roman" w:hAnsi="Times New Roman" w:cs="Times New Roman"/>
                <w:sz w:val="24"/>
                <w:szCs w:val="24"/>
              </w:rPr>
              <w:t xml:space="preserve"> samazināto riska līmeni, būtu lietderīgi pēcuzraudzības nosacījumu izpildes kontroles funkcijas novirzīt starpniekinstitūciju atbildībā, neradot papildus kontroles līme</w:t>
            </w:r>
            <w:r w:rsidR="00AB6D67" w:rsidRPr="007B441F">
              <w:rPr>
                <w:rFonts w:ascii="Times New Roman" w:hAnsi="Times New Roman" w:cs="Times New Roman"/>
                <w:sz w:val="24"/>
                <w:szCs w:val="24"/>
              </w:rPr>
              <w:t>n</w:t>
            </w:r>
            <w:r w:rsidRPr="007B441F">
              <w:rPr>
                <w:rFonts w:ascii="Times New Roman" w:hAnsi="Times New Roman" w:cs="Times New Roman"/>
                <w:sz w:val="24"/>
                <w:szCs w:val="24"/>
              </w:rPr>
              <w:t xml:space="preserve">i </w:t>
            </w:r>
            <w:r w:rsidRPr="007B441F">
              <w:rPr>
                <w:rFonts w:ascii="Times New Roman" w:hAnsi="Times New Roman" w:cs="Times New Roman"/>
                <w:sz w:val="24"/>
                <w:szCs w:val="24"/>
              </w:rPr>
              <w:lastRenderedPageBreak/>
              <w:t>aģentūrā</w:t>
            </w:r>
            <w:r w:rsidR="00D536C8" w:rsidRPr="007B441F">
              <w:rPr>
                <w:rFonts w:ascii="Times New Roman" w:hAnsi="Times New Roman" w:cs="Times New Roman"/>
                <w:sz w:val="24"/>
                <w:szCs w:val="24"/>
              </w:rPr>
              <w:t>. Vienlaikus</w:t>
            </w:r>
            <w:r w:rsidRPr="007B441F">
              <w:rPr>
                <w:rFonts w:ascii="Times New Roman" w:hAnsi="Times New Roman" w:cs="Times New Roman"/>
                <w:sz w:val="24"/>
                <w:szCs w:val="24"/>
              </w:rPr>
              <w:t xml:space="preserve"> paredzot, ka turpmāk starpniekinstitūcijas informē vadošo iestādi </w:t>
            </w:r>
            <w:r w:rsidR="00A268C3" w:rsidRPr="007B441F">
              <w:rPr>
                <w:rFonts w:ascii="Times New Roman" w:hAnsi="Times New Roman" w:cs="Times New Roman"/>
                <w:sz w:val="24"/>
                <w:szCs w:val="24"/>
              </w:rPr>
              <w:t xml:space="preserve">tikai </w:t>
            </w:r>
            <w:r w:rsidRPr="007B441F">
              <w:rPr>
                <w:rFonts w:ascii="Times New Roman" w:hAnsi="Times New Roman" w:cs="Times New Roman"/>
                <w:sz w:val="24"/>
                <w:szCs w:val="24"/>
              </w:rPr>
              <w:t>gadījumos, ja pēcuzraudzības periodā projektos konstatē</w:t>
            </w:r>
            <w:r w:rsidR="007810BC" w:rsidRPr="007B441F">
              <w:rPr>
                <w:rFonts w:ascii="Times New Roman" w:hAnsi="Times New Roman" w:cs="Times New Roman"/>
                <w:sz w:val="24"/>
                <w:szCs w:val="24"/>
              </w:rPr>
              <w:t xml:space="preserve"> neatbilstības</w:t>
            </w:r>
            <w:r w:rsidR="00483D46" w:rsidRPr="007B441F">
              <w:rPr>
                <w:rFonts w:ascii="Times New Roman" w:hAnsi="Times New Roman" w:cs="Times New Roman"/>
                <w:sz w:val="24"/>
                <w:szCs w:val="24"/>
              </w:rPr>
              <w:t xml:space="preserve">. Gadījumā, ja starpniekinstitūcija </w:t>
            </w:r>
            <w:r w:rsidR="00AE4836" w:rsidRPr="007B441F">
              <w:rPr>
                <w:rFonts w:ascii="Times New Roman" w:hAnsi="Times New Roman" w:cs="Times New Roman"/>
                <w:sz w:val="24"/>
                <w:szCs w:val="24"/>
              </w:rPr>
              <w:t xml:space="preserve">projekta  pēcuzraudzības periodā </w:t>
            </w:r>
            <w:r w:rsidR="00483D46" w:rsidRPr="007B441F">
              <w:rPr>
                <w:rFonts w:ascii="Times New Roman" w:hAnsi="Times New Roman" w:cs="Times New Roman"/>
                <w:sz w:val="24"/>
                <w:szCs w:val="24"/>
              </w:rPr>
              <w:t>konstatēs neatbilstību</w:t>
            </w:r>
            <w:r w:rsidR="00AE4836" w:rsidRPr="007B441F">
              <w:rPr>
                <w:rFonts w:ascii="Times New Roman" w:hAnsi="Times New Roman" w:cs="Times New Roman"/>
                <w:sz w:val="24"/>
                <w:szCs w:val="24"/>
              </w:rPr>
              <w:t>,</w:t>
            </w:r>
            <w:r w:rsidR="00483D46" w:rsidRPr="007B441F">
              <w:rPr>
                <w:rFonts w:ascii="Times New Roman" w:hAnsi="Times New Roman" w:cs="Times New Roman"/>
                <w:sz w:val="24"/>
                <w:szCs w:val="24"/>
              </w:rPr>
              <w:t xml:space="preserve"> tā atbilstoši Ministru kabineta 2008.</w:t>
            </w:r>
            <w:r w:rsidR="00F53B61" w:rsidRPr="007B441F">
              <w:rPr>
                <w:rFonts w:ascii="Times New Roman" w:hAnsi="Times New Roman" w:cs="Times New Roman"/>
                <w:sz w:val="24"/>
                <w:szCs w:val="24"/>
              </w:rPr>
              <w:t xml:space="preserve"> </w:t>
            </w:r>
            <w:r w:rsidR="00483D46" w:rsidRPr="007B441F">
              <w:rPr>
                <w:rFonts w:ascii="Times New Roman" w:hAnsi="Times New Roman" w:cs="Times New Roman"/>
                <w:sz w:val="24"/>
                <w:szCs w:val="24"/>
              </w:rPr>
              <w:t>gada 26.</w:t>
            </w:r>
            <w:r w:rsidR="00F53B61" w:rsidRPr="007B441F">
              <w:rPr>
                <w:rFonts w:ascii="Times New Roman" w:hAnsi="Times New Roman" w:cs="Times New Roman"/>
                <w:sz w:val="24"/>
                <w:szCs w:val="24"/>
              </w:rPr>
              <w:t xml:space="preserve"> </w:t>
            </w:r>
            <w:r w:rsidR="00483D46" w:rsidRPr="007B441F">
              <w:rPr>
                <w:rFonts w:ascii="Times New Roman" w:hAnsi="Times New Roman" w:cs="Times New Roman"/>
                <w:sz w:val="24"/>
                <w:szCs w:val="24"/>
              </w:rPr>
              <w:t>februāra noteikumos Nr.132 “Kārtība, kādā sniedzami ziņojumi par Eiropas Ekonomikas zonas finanšu instrumenta un Norvēģijas valdības divpusējā finanšu instrumenta vadībā konstatētajām neatbilstībām un atgūstami neatbilstoši veiktie izdevumi” noteiktai kārtībai sagatavos tūlītējo ziņojumu par neatbilstībām un iesniegs to vadošajā iestādē</w:t>
            </w:r>
            <w:r w:rsidRPr="007B441F">
              <w:rPr>
                <w:rFonts w:ascii="Times New Roman" w:hAnsi="Times New Roman" w:cs="Times New Roman"/>
                <w:sz w:val="24"/>
                <w:szCs w:val="24"/>
              </w:rPr>
              <w:t>.</w:t>
            </w:r>
          </w:p>
          <w:p w14:paraId="56077F08" w14:textId="6C639EF8" w:rsidR="001E6D2B" w:rsidRPr="002B45E7" w:rsidRDefault="0053313D" w:rsidP="00483D46">
            <w:pPr>
              <w:pStyle w:val="ListParagraph"/>
              <w:shd w:val="clear" w:color="auto" w:fill="FFFFFF"/>
              <w:spacing w:after="0" w:line="240" w:lineRule="auto"/>
              <w:ind w:left="249" w:right="57"/>
              <w:jc w:val="both"/>
              <w:rPr>
                <w:rFonts w:ascii="Times New Roman" w:hAnsi="Times New Roman" w:cs="Times New Roman"/>
                <w:sz w:val="24"/>
                <w:szCs w:val="24"/>
              </w:rPr>
            </w:pPr>
            <w:r w:rsidRPr="002B45E7">
              <w:rPr>
                <w:rFonts w:ascii="Times New Roman" w:hAnsi="Times New Roman" w:cs="Times New Roman"/>
                <w:sz w:val="24"/>
                <w:szCs w:val="24"/>
              </w:rPr>
              <w:t>Attiecīgi, ņ</w:t>
            </w:r>
            <w:r w:rsidR="001E6D2B" w:rsidRPr="002B45E7">
              <w:rPr>
                <w:rFonts w:ascii="Times New Roman" w:hAnsi="Times New Roman" w:cs="Times New Roman"/>
                <w:sz w:val="24"/>
                <w:szCs w:val="24"/>
              </w:rPr>
              <w:t>emot vēr</w:t>
            </w:r>
            <w:r w:rsidR="00E8286A" w:rsidRPr="002B45E7">
              <w:rPr>
                <w:rFonts w:ascii="Times New Roman" w:hAnsi="Times New Roman" w:cs="Times New Roman"/>
                <w:sz w:val="24"/>
                <w:szCs w:val="24"/>
              </w:rPr>
              <w:t xml:space="preserve">ā </w:t>
            </w:r>
            <w:r w:rsidR="00060300" w:rsidRPr="002B45E7">
              <w:rPr>
                <w:rFonts w:ascii="Times New Roman" w:hAnsi="Times New Roman" w:cs="Times New Roman"/>
                <w:sz w:val="24"/>
                <w:szCs w:val="24"/>
              </w:rPr>
              <w:t>aģentūras veiktajā</w:t>
            </w:r>
            <w:r w:rsidR="001E6D2B" w:rsidRPr="002B45E7">
              <w:rPr>
                <w:rFonts w:ascii="Times New Roman" w:hAnsi="Times New Roman" w:cs="Times New Roman"/>
                <w:sz w:val="24"/>
                <w:szCs w:val="24"/>
              </w:rPr>
              <w:t xml:space="preserve"> risku </w:t>
            </w:r>
            <w:proofErr w:type="spellStart"/>
            <w:r w:rsidR="00BA1886" w:rsidRPr="002B45E7">
              <w:rPr>
                <w:rFonts w:ascii="Times New Roman" w:hAnsi="Times New Roman" w:cs="Times New Roman"/>
                <w:sz w:val="24"/>
                <w:szCs w:val="24"/>
              </w:rPr>
              <w:t>izvērtējumā</w:t>
            </w:r>
            <w:proofErr w:type="spellEnd"/>
            <w:r w:rsidR="00BA1886" w:rsidRPr="002B45E7">
              <w:rPr>
                <w:rFonts w:ascii="Times New Roman" w:hAnsi="Times New Roman" w:cs="Times New Roman"/>
                <w:sz w:val="24"/>
                <w:szCs w:val="24"/>
              </w:rPr>
              <w:t xml:space="preserve"> </w:t>
            </w:r>
            <w:r w:rsidR="00060300" w:rsidRPr="002B45E7">
              <w:rPr>
                <w:rFonts w:ascii="Times New Roman" w:hAnsi="Times New Roman" w:cs="Times New Roman"/>
                <w:sz w:val="24"/>
                <w:szCs w:val="24"/>
              </w:rPr>
              <w:t xml:space="preserve"> konstatēto</w:t>
            </w:r>
            <w:r w:rsidR="001E6D2B" w:rsidRPr="002B45E7">
              <w:rPr>
                <w:rFonts w:ascii="Times New Roman" w:hAnsi="Times New Roman" w:cs="Times New Roman"/>
                <w:sz w:val="24"/>
                <w:szCs w:val="24"/>
              </w:rPr>
              <w:t xml:space="preserve"> </w:t>
            </w:r>
            <w:r w:rsidR="00060300" w:rsidRPr="002B45E7">
              <w:rPr>
                <w:rFonts w:ascii="Times New Roman" w:hAnsi="Times New Roman" w:cs="Times New Roman"/>
                <w:sz w:val="24"/>
                <w:szCs w:val="24"/>
              </w:rPr>
              <w:t>zemu</w:t>
            </w:r>
            <w:r w:rsidR="001E6D2B" w:rsidRPr="002B45E7">
              <w:rPr>
                <w:rFonts w:ascii="Times New Roman" w:hAnsi="Times New Roman" w:cs="Times New Roman"/>
                <w:sz w:val="24"/>
                <w:szCs w:val="24"/>
              </w:rPr>
              <w:t xml:space="preserve"> risk</w:t>
            </w:r>
            <w:r w:rsidR="00E8286A" w:rsidRPr="002B45E7">
              <w:rPr>
                <w:rFonts w:ascii="Times New Roman" w:hAnsi="Times New Roman" w:cs="Times New Roman"/>
                <w:sz w:val="24"/>
                <w:szCs w:val="24"/>
              </w:rPr>
              <w:t>a</w:t>
            </w:r>
            <w:r w:rsidR="001E6D2B" w:rsidRPr="002B45E7">
              <w:rPr>
                <w:rFonts w:ascii="Times New Roman" w:hAnsi="Times New Roman" w:cs="Times New Roman"/>
                <w:sz w:val="24"/>
                <w:szCs w:val="24"/>
              </w:rPr>
              <w:t xml:space="preserve"> līmeni,</w:t>
            </w:r>
            <w:r w:rsidR="0091357D" w:rsidRPr="002B45E7">
              <w:rPr>
                <w:rFonts w:ascii="Times New Roman" w:hAnsi="Times New Roman" w:cs="Times New Roman"/>
                <w:sz w:val="24"/>
                <w:szCs w:val="24"/>
              </w:rPr>
              <w:t xml:space="preserve"> </w:t>
            </w:r>
            <w:r w:rsidR="00E8286A" w:rsidRPr="002B45E7">
              <w:rPr>
                <w:rFonts w:ascii="Times New Roman" w:hAnsi="Times New Roman" w:cs="Times New Roman"/>
                <w:sz w:val="24"/>
                <w:szCs w:val="24"/>
              </w:rPr>
              <w:t>salīdzinoši maz</w:t>
            </w:r>
            <w:r w:rsidRPr="002B45E7">
              <w:rPr>
                <w:rFonts w:ascii="Times New Roman" w:hAnsi="Times New Roman" w:cs="Times New Roman"/>
                <w:sz w:val="24"/>
                <w:szCs w:val="24"/>
              </w:rPr>
              <w:t>o</w:t>
            </w:r>
            <w:r w:rsidR="00E8286A" w:rsidRPr="002B45E7">
              <w:rPr>
                <w:rFonts w:ascii="Times New Roman" w:hAnsi="Times New Roman" w:cs="Times New Roman"/>
                <w:sz w:val="24"/>
                <w:szCs w:val="24"/>
              </w:rPr>
              <w:t xml:space="preserve"> projektu skaitu, kur notiek</w:t>
            </w:r>
            <w:r w:rsidR="0091357D" w:rsidRPr="002B45E7">
              <w:rPr>
                <w:rFonts w:ascii="Times New Roman" w:hAnsi="Times New Roman" w:cs="Times New Roman"/>
                <w:sz w:val="24"/>
                <w:szCs w:val="24"/>
              </w:rPr>
              <w:t xml:space="preserve"> </w:t>
            </w:r>
            <w:proofErr w:type="spellStart"/>
            <w:r w:rsidR="0091357D" w:rsidRPr="002B45E7">
              <w:rPr>
                <w:rFonts w:ascii="Times New Roman" w:hAnsi="Times New Roman" w:cs="Times New Roman"/>
                <w:sz w:val="24"/>
                <w:szCs w:val="24"/>
              </w:rPr>
              <w:t>pēcuzraudz</w:t>
            </w:r>
            <w:r w:rsidR="00E8286A" w:rsidRPr="002B45E7">
              <w:rPr>
                <w:rFonts w:ascii="Times New Roman" w:hAnsi="Times New Roman" w:cs="Times New Roman"/>
                <w:sz w:val="24"/>
                <w:szCs w:val="24"/>
              </w:rPr>
              <w:t>ība</w:t>
            </w:r>
            <w:proofErr w:type="spellEnd"/>
            <w:r w:rsidR="0091357D" w:rsidRPr="002B45E7">
              <w:rPr>
                <w:rFonts w:ascii="Times New Roman" w:hAnsi="Times New Roman" w:cs="Times New Roman"/>
                <w:sz w:val="24"/>
                <w:szCs w:val="24"/>
              </w:rPr>
              <w:t>, kā arī to, ka</w:t>
            </w:r>
            <w:r w:rsidR="001E6D2B" w:rsidRPr="002B45E7">
              <w:rPr>
                <w:rFonts w:ascii="Times New Roman" w:hAnsi="Times New Roman" w:cs="Times New Roman"/>
                <w:sz w:val="24"/>
                <w:szCs w:val="24"/>
              </w:rPr>
              <w:t xml:space="preserve"> pēcuzraudzības nosacījumu izpildes kontroles funkcijas </w:t>
            </w:r>
            <w:r w:rsidR="0091357D" w:rsidRPr="002B45E7">
              <w:rPr>
                <w:rFonts w:ascii="Times New Roman" w:hAnsi="Times New Roman" w:cs="Times New Roman"/>
                <w:sz w:val="24"/>
                <w:szCs w:val="24"/>
              </w:rPr>
              <w:t xml:space="preserve">ar MK noteikumu projektu </w:t>
            </w:r>
            <w:r w:rsidRPr="002B45E7">
              <w:rPr>
                <w:rFonts w:ascii="Times New Roman" w:hAnsi="Times New Roman" w:cs="Times New Roman"/>
                <w:sz w:val="24"/>
                <w:szCs w:val="24"/>
              </w:rPr>
              <w:t xml:space="preserve">pēc būtības saglabātas, </w:t>
            </w:r>
            <w:r w:rsidR="0091357D" w:rsidRPr="002B45E7">
              <w:rPr>
                <w:rFonts w:ascii="Times New Roman" w:hAnsi="Times New Roman" w:cs="Times New Roman"/>
                <w:sz w:val="24"/>
                <w:szCs w:val="24"/>
              </w:rPr>
              <w:t>t</w:t>
            </w:r>
            <w:r w:rsidRPr="002B45E7">
              <w:rPr>
                <w:rFonts w:ascii="Times New Roman" w:hAnsi="Times New Roman" w:cs="Times New Roman"/>
                <w:sz w:val="24"/>
                <w:szCs w:val="24"/>
              </w:rPr>
              <w:t>aču</w:t>
            </w:r>
            <w:r w:rsidR="0091357D" w:rsidRPr="002B45E7">
              <w:rPr>
                <w:rFonts w:ascii="Times New Roman" w:hAnsi="Times New Roman" w:cs="Times New Roman"/>
                <w:sz w:val="24"/>
                <w:szCs w:val="24"/>
              </w:rPr>
              <w:t xml:space="preserve"> </w:t>
            </w:r>
            <w:r w:rsidR="001E6D2B" w:rsidRPr="002B45E7">
              <w:rPr>
                <w:rFonts w:ascii="Times New Roman" w:hAnsi="Times New Roman" w:cs="Times New Roman"/>
                <w:sz w:val="24"/>
                <w:szCs w:val="24"/>
              </w:rPr>
              <w:t>novirzīt</w:t>
            </w:r>
            <w:r w:rsidR="0091357D" w:rsidRPr="002B45E7">
              <w:rPr>
                <w:rFonts w:ascii="Times New Roman" w:hAnsi="Times New Roman" w:cs="Times New Roman"/>
                <w:sz w:val="24"/>
                <w:szCs w:val="24"/>
              </w:rPr>
              <w:t>as</w:t>
            </w:r>
            <w:r w:rsidR="001E6D2B" w:rsidRPr="002B45E7">
              <w:rPr>
                <w:rFonts w:ascii="Times New Roman" w:hAnsi="Times New Roman" w:cs="Times New Roman"/>
                <w:sz w:val="24"/>
                <w:szCs w:val="24"/>
              </w:rPr>
              <w:t xml:space="preserve"> starpniekinstitūciju </w:t>
            </w:r>
            <w:r w:rsidR="0091357D" w:rsidRPr="002B45E7">
              <w:rPr>
                <w:rFonts w:ascii="Times New Roman" w:hAnsi="Times New Roman" w:cs="Times New Roman"/>
                <w:sz w:val="24"/>
                <w:szCs w:val="24"/>
              </w:rPr>
              <w:t xml:space="preserve">un vadošās iestādes </w:t>
            </w:r>
            <w:r w:rsidR="001E6D2B" w:rsidRPr="002B45E7">
              <w:rPr>
                <w:rFonts w:ascii="Times New Roman" w:hAnsi="Times New Roman" w:cs="Times New Roman"/>
                <w:sz w:val="24"/>
                <w:szCs w:val="24"/>
              </w:rPr>
              <w:t>atbildībā</w:t>
            </w:r>
            <w:r w:rsidR="0091357D" w:rsidRPr="002B45E7">
              <w:rPr>
                <w:rFonts w:ascii="Times New Roman" w:hAnsi="Times New Roman" w:cs="Times New Roman"/>
                <w:sz w:val="24"/>
                <w:szCs w:val="24"/>
              </w:rPr>
              <w:t>, ar MK noteikumu projekt</w:t>
            </w:r>
            <w:r w:rsidR="00E8286A" w:rsidRPr="002B45E7">
              <w:rPr>
                <w:rFonts w:ascii="Times New Roman" w:hAnsi="Times New Roman" w:cs="Times New Roman"/>
                <w:sz w:val="24"/>
                <w:szCs w:val="24"/>
              </w:rPr>
              <w:t>ā ietvertaji</w:t>
            </w:r>
            <w:r w:rsidR="0091357D" w:rsidRPr="002B45E7">
              <w:rPr>
                <w:rFonts w:ascii="Times New Roman" w:hAnsi="Times New Roman" w:cs="Times New Roman"/>
                <w:sz w:val="24"/>
                <w:szCs w:val="24"/>
              </w:rPr>
              <w:t xml:space="preserve">em grozījumiem </w:t>
            </w:r>
            <w:r w:rsidR="004C607B" w:rsidRPr="002B45E7">
              <w:rPr>
                <w:rFonts w:ascii="Times New Roman" w:hAnsi="Times New Roman" w:cs="Times New Roman"/>
                <w:sz w:val="24"/>
                <w:szCs w:val="24"/>
              </w:rPr>
              <w:t>tiks</w:t>
            </w:r>
            <w:r w:rsidR="0091357D" w:rsidRPr="002B45E7">
              <w:rPr>
                <w:rFonts w:ascii="Times New Roman" w:hAnsi="Times New Roman" w:cs="Times New Roman"/>
                <w:sz w:val="24"/>
                <w:szCs w:val="24"/>
              </w:rPr>
              <w:t xml:space="preserve"> nodrošināts normatīvajiem aktiem, risk</w:t>
            </w:r>
            <w:r w:rsidR="00E8286A" w:rsidRPr="002B45E7">
              <w:rPr>
                <w:rFonts w:ascii="Times New Roman" w:hAnsi="Times New Roman" w:cs="Times New Roman"/>
                <w:sz w:val="24"/>
                <w:szCs w:val="24"/>
              </w:rPr>
              <w:t>u</w:t>
            </w:r>
            <w:r w:rsidR="0091357D" w:rsidRPr="002B45E7">
              <w:rPr>
                <w:rFonts w:ascii="Times New Roman" w:hAnsi="Times New Roman" w:cs="Times New Roman"/>
                <w:sz w:val="24"/>
                <w:szCs w:val="24"/>
              </w:rPr>
              <w:t xml:space="preserve"> </w:t>
            </w:r>
            <w:r w:rsidR="004C607B" w:rsidRPr="002B45E7">
              <w:rPr>
                <w:rFonts w:ascii="Times New Roman" w:hAnsi="Times New Roman" w:cs="Times New Roman"/>
                <w:sz w:val="24"/>
                <w:szCs w:val="24"/>
              </w:rPr>
              <w:t>izvērtējamam</w:t>
            </w:r>
            <w:r w:rsidR="0091357D" w:rsidRPr="002B45E7">
              <w:rPr>
                <w:rFonts w:ascii="Times New Roman" w:hAnsi="Times New Roman" w:cs="Times New Roman"/>
                <w:sz w:val="24"/>
                <w:szCs w:val="24"/>
              </w:rPr>
              <w:t xml:space="preserve"> un faktiskajai situācijai atbilstošs pēcuzraudzības process, vienlaikus samazinot institūciju administratīvo slogu</w:t>
            </w:r>
            <w:r w:rsidR="00B12A08" w:rsidRPr="002B45E7">
              <w:rPr>
                <w:rFonts w:ascii="Times New Roman" w:hAnsi="Times New Roman" w:cs="Times New Roman"/>
                <w:sz w:val="24"/>
                <w:szCs w:val="24"/>
              </w:rPr>
              <w:t xml:space="preserve"> aģentūrai un starpniekinstitūcijām</w:t>
            </w:r>
            <w:r w:rsidR="0091357D" w:rsidRPr="002B45E7">
              <w:rPr>
                <w:rFonts w:ascii="Times New Roman" w:hAnsi="Times New Roman" w:cs="Times New Roman"/>
                <w:sz w:val="24"/>
                <w:szCs w:val="24"/>
              </w:rPr>
              <w:t>.</w:t>
            </w:r>
          </w:p>
          <w:p w14:paraId="44D68129" w14:textId="77777777" w:rsidR="007B441F" w:rsidRPr="002B45E7" w:rsidRDefault="007B441F" w:rsidP="00483D46">
            <w:pPr>
              <w:pStyle w:val="ListParagraph"/>
              <w:shd w:val="clear" w:color="auto" w:fill="FFFFFF"/>
              <w:spacing w:after="0" w:line="240" w:lineRule="auto"/>
              <w:ind w:left="249" w:right="57"/>
              <w:jc w:val="both"/>
              <w:rPr>
                <w:rFonts w:ascii="Times New Roman" w:hAnsi="Times New Roman" w:cs="Times New Roman"/>
                <w:sz w:val="24"/>
                <w:szCs w:val="24"/>
              </w:rPr>
            </w:pPr>
          </w:p>
          <w:p w14:paraId="0DD5EAB8" w14:textId="70017055" w:rsidR="00C630D2" w:rsidRPr="007B441F" w:rsidRDefault="00AB6D67" w:rsidP="00984625">
            <w:pPr>
              <w:pStyle w:val="ListParagraph"/>
              <w:shd w:val="clear" w:color="auto" w:fill="FFFFFF"/>
              <w:spacing w:after="0" w:line="240" w:lineRule="auto"/>
              <w:ind w:left="249" w:right="57"/>
              <w:contextualSpacing w:val="0"/>
              <w:jc w:val="both"/>
              <w:rPr>
                <w:rFonts w:ascii="Times New Roman" w:hAnsi="Times New Roman" w:cs="Times New Roman"/>
                <w:sz w:val="24"/>
                <w:szCs w:val="24"/>
              </w:rPr>
            </w:pPr>
            <w:r w:rsidRPr="007B441F">
              <w:rPr>
                <w:rFonts w:ascii="Times New Roman" w:hAnsi="Times New Roman" w:cs="Times New Roman"/>
                <w:sz w:val="24"/>
                <w:szCs w:val="24"/>
              </w:rPr>
              <w:t>Ņemot vērā minēto,</w:t>
            </w:r>
            <w:r w:rsidR="00C630D2" w:rsidRPr="007B441F">
              <w:rPr>
                <w:rFonts w:ascii="Times New Roman" w:hAnsi="Times New Roman" w:cs="Times New Roman"/>
                <w:sz w:val="24"/>
                <w:szCs w:val="24"/>
              </w:rPr>
              <w:t xml:space="preserve"> MK noteikumu projekts paredz:</w:t>
            </w:r>
          </w:p>
          <w:p w14:paraId="629A5594" w14:textId="77777777" w:rsidR="00C630D2" w:rsidRPr="007B441F" w:rsidRDefault="00C630D2" w:rsidP="00C630D2">
            <w:pPr>
              <w:pStyle w:val="ListParagraph"/>
              <w:numPr>
                <w:ilvl w:val="0"/>
                <w:numId w:val="1"/>
              </w:numPr>
              <w:shd w:val="clear" w:color="auto" w:fill="FFFFFF"/>
              <w:spacing w:after="0" w:line="240" w:lineRule="auto"/>
              <w:ind w:right="57"/>
              <w:contextualSpacing w:val="0"/>
              <w:jc w:val="both"/>
              <w:rPr>
                <w:rFonts w:ascii="Times New Roman" w:hAnsi="Times New Roman" w:cs="Times New Roman"/>
                <w:sz w:val="24"/>
                <w:szCs w:val="24"/>
              </w:rPr>
            </w:pPr>
            <w:r w:rsidRPr="007B441F">
              <w:rPr>
                <w:rFonts w:ascii="Times New Roman" w:hAnsi="Times New Roman" w:cs="Times New Roman"/>
                <w:sz w:val="24"/>
                <w:szCs w:val="24"/>
              </w:rPr>
              <w:t xml:space="preserve">svītrot aģentūras ikgadējās pēcuzraudzības nosacījumu izpildes kontroles funkcijas, kā arī aģentūras pienākumu izstrādāt kārtību par individuālo projektu, programmu un </w:t>
            </w:r>
            <w:proofErr w:type="spellStart"/>
            <w:r w:rsidRPr="007B441F">
              <w:rPr>
                <w:rFonts w:ascii="Times New Roman" w:hAnsi="Times New Roman" w:cs="Times New Roman"/>
                <w:sz w:val="24"/>
                <w:szCs w:val="24"/>
              </w:rPr>
              <w:t>grantu</w:t>
            </w:r>
            <w:proofErr w:type="spellEnd"/>
            <w:r w:rsidRPr="007B441F">
              <w:rPr>
                <w:rFonts w:ascii="Times New Roman" w:hAnsi="Times New Roman" w:cs="Times New Roman"/>
                <w:sz w:val="24"/>
                <w:szCs w:val="24"/>
              </w:rPr>
              <w:t xml:space="preserve"> shēmu uzraudzību pēc projekta pabeigšanas;</w:t>
            </w:r>
          </w:p>
          <w:p w14:paraId="55D20C92" w14:textId="77777777" w:rsidR="00C630D2" w:rsidRPr="007B441F" w:rsidRDefault="00C630D2" w:rsidP="00C630D2">
            <w:pPr>
              <w:pStyle w:val="ListParagraph"/>
              <w:numPr>
                <w:ilvl w:val="0"/>
                <w:numId w:val="1"/>
              </w:numPr>
              <w:shd w:val="clear" w:color="auto" w:fill="FFFFFF"/>
              <w:spacing w:after="0" w:line="240" w:lineRule="auto"/>
              <w:ind w:right="57"/>
              <w:contextualSpacing w:val="0"/>
              <w:jc w:val="both"/>
              <w:rPr>
                <w:rFonts w:ascii="Times New Roman" w:hAnsi="Times New Roman" w:cs="Times New Roman"/>
                <w:sz w:val="24"/>
                <w:szCs w:val="24"/>
              </w:rPr>
            </w:pPr>
            <w:r w:rsidRPr="007B441F">
              <w:rPr>
                <w:rFonts w:ascii="Times New Roman" w:hAnsi="Times New Roman" w:cs="Times New Roman"/>
                <w:sz w:val="24"/>
                <w:szCs w:val="24"/>
              </w:rPr>
              <w:t>svītrot starpniekinstitūciju pienākumu iesniegt aģentūrā pēcuzraudzības pārskatus;</w:t>
            </w:r>
          </w:p>
          <w:p w14:paraId="734548A3" w14:textId="29D799C4" w:rsidR="00C630D2" w:rsidRPr="007B441F" w:rsidRDefault="00C630D2" w:rsidP="00F52493">
            <w:pPr>
              <w:pStyle w:val="ListParagraph"/>
              <w:numPr>
                <w:ilvl w:val="0"/>
                <w:numId w:val="1"/>
              </w:numPr>
              <w:shd w:val="clear" w:color="auto" w:fill="FFFFFF"/>
              <w:spacing w:after="0" w:line="240" w:lineRule="auto"/>
              <w:ind w:right="57"/>
              <w:contextualSpacing w:val="0"/>
              <w:jc w:val="both"/>
              <w:rPr>
                <w:rFonts w:ascii="Times New Roman" w:hAnsi="Times New Roman" w:cs="Times New Roman"/>
                <w:sz w:val="24"/>
                <w:szCs w:val="24"/>
              </w:rPr>
            </w:pPr>
            <w:r w:rsidRPr="007B441F">
              <w:rPr>
                <w:rFonts w:ascii="Times New Roman" w:hAnsi="Times New Roman" w:cs="Times New Roman"/>
                <w:sz w:val="24"/>
                <w:szCs w:val="24"/>
              </w:rPr>
              <w:t xml:space="preserve">noteikt pienākumu   starpniekinstitūcijām </w:t>
            </w:r>
            <w:r w:rsidR="00D86B4D" w:rsidRPr="007B441F">
              <w:rPr>
                <w:rFonts w:ascii="Times New Roman" w:hAnsi="Times New Roman" w:cs="Times New Roman"/>
                <w:sz w:val="24"/>
                <w:szCs w:val="24"/>
              </w:rPr>
              <w:t xml:space="preserve">ziņot </w:t>
            </w:r>
            <w:r w:rsidRPr="007B441F">
              <w:rPr>
                <w:rFonts w:ascii="Times New Roman" w:hAnsi="Times New Roman" w:cs="Times New Roman"/>
                <w:sz w:val="24"/>
                <w:szCs w:val="24"/>
              </w:rPr>
              <w:t xml:space="preserve"> vadošajā iestādē tikai tajā gadījumā, ja </w:t>
            </w:r>
            <w:r w:rsidR="00F52493" w:rsidRPr="007B441F">
              <w:rPr>
                <w:rFonts w:ascii="Times New Roman" w:hAnsi="Times New Roman" w:cs="Times New Roman"/>
                <w:sz w:val="24"/>
                <w:szCs w:val="24"/>
              </w:rPr>
              <w:t>uz starpniekinstitūcijas veiktu risku izvērtējumu balstītajās</w:t>
            </w:r>
            <w:r w:rsidR="00F52493" w:rsidRPr="007B441F" w:rsidDel="00F52493">
              <w:rPr>
                <w:rFonts w:ascii="Times New Roman" w:hAnsi="Times New Roman" w:cs="Times New Roman"/>
                <w:sz w:val="24"/>
                <w:szCs w:val="24"/>
              </w:rPr>
              <w:t xml:space="preserve"> </w:t>
            </w:r>
            <w:r w:rsidRPr="007B441F">
              <w:rPr>
                <w:rFonts w:ascii="Times New Roman" w:hAnsi="Times New Roman" w:cs="Times New Roman"/>
                <w:sz w:val="24"/>
                <w:szCs w:val="24"/>
              </w:rPr>
              <w:t xml:space="preserve">pārbaudēs </w:t>
            </w:r>
            <w:r w:rsidR="00F52493" w:rsidRPr="007B441F">
              <w:rPr>
                <w:rFonts w:ascii="Times New Roman" w:hAnsi="Times New Roman" w:cs="Times New Roman"/>
                <w:sz w:val="24"/>
                <w:szCs w:val="24"/>
              </w:rPr>
              <w:t xml:space="preserve">tā </w:t>
            </w:r>
            <w:r w:rsidRPr="007B441F">
              <w:rPr>
                <w:rFonts w:ascii="Times New Roman" w:hAnsi="Times New Roman" w:cs="Times New Roman"/>
                <w:sz w:val="24"/>
                <w:szCs w:val="24"/>
              </w:rPr>
              <w:t>konstatē</w:t>
            </w:r>
            <w:r w:rsidR="00DB6933" w:rsidRPr="007B441F">
              <w:rPr>
                <w:rFonts w:ascii="Times New Roman" w:hAnsi="Times New Roman" w:cs="Times New Roman"/>
                <w:sz w:val="24"/>
                <w:szCs w:val="24"/>
              </w:rPr>
              <w:t xml:space="preserve"> neatbilstības</w:t>
            </w:r>
            <w:r w:rsidR="0010243C" w:rsidRPr="007B441F">
              <w:rPr>
                <w:rFonts w:ascii="Times New Roman" w:hAnsi="Times New Roman" w:cs="Times New Roman"/>
                <w:sz w:val="24"/>
                <w:szCs w:val="24"/>
              </w:rPr>
              <w:t>;</w:t>
            </w:r>
          </w:p>
          <w:p w14:paraId="763915E7" w14:textId="6CC25701" w:rsidR="00F562C7" w:rsidRPr="007B441F" w:rsidRDefault="00F562C7" w:rsidP="000D038F">
            <w:pPr>
              <w:pStyle w:val="ListParagraph"/>
              <w:numPr>
                <w:ilvl w:val="0"/>
                <w:numId w:val="1"/>
              </w:numPr>
              <w:shd w:val="clear" w:color="auto" w:fill="FFFFFF"/>
              <w:spacing w:after="0" w:line="240" w:lineRule="auto"/>
              <w:ind w:right="57"/>
              <w:contextualSpacing w:val="0"/>
              <w:jc w:val="both"/>
              <w:rPr>
                <w:rFonts w:ascii="Times New Roman" w:hAnsi="Times New Roman" w:cs="Times New Roman"/>
                <w:sz w:val="24"/>
                <w:szCs w:val="24"/>
              </w:rPr>
            </w:pPr>
            <w:r w:rsidRPr="007B441F">
              <w:rPr>
                <w:rFonts w:ascii="Times New Roman" w:hAnsi="Times New Roman" w:cs="Times New Roman"/>
                <w:sz w:val="24"/>
                <w:szCs w:val="24"/>
              </w:rPr>
              <w:t>veikt redakcionālu precizējumu MK noteikumu Nr. 126</w:t>
            </w:r>
            <w:r w:rsidR="0095766C" w:rsidRPr="007B441F">
              <w:rPr>
                <w:rFonts w:ascii="Times New Roman" w:hAnsi="Times New Roman" w:cs="Times New Roman"/>
                <w:sz w:val="24"/>
                <w:szCs w:val="24"/>
              </w:rPr>
              <w:t> 105.</w:t>
            </w:r>
            <w:r w:rsidRPr="007B441F">
              <w:rPr>
                <w:rFonts w:ascii="Times New Roman" w:hAnsi="Times New Roman" w:cs="Times New Roman"/>
                <w:sz w:val="24"/>
                <w:szCs w:val="24"/>
              </w:rPr>
              <w:t xml:space="preserve"> punktā, nodrošinot to skaidru un nepārprotamu uztveri, sadalot informāciju, kas attiecināma uz izlases veida pārbaudi projekta īstenošanas vietā</w:t>
            </w:r>
            <w:r w:rsidR="005870F4" w:rsidRPr="007B441F">
              <w:rPr>
                <w:rFonts w:ascii="Times New Roman" w:hAnsi="Times New Roman" w:cs="Times New Roman"/>
                <w:sz w:val="24"/>
                <w:szCs w:val="24"/>
              </w:rPr>
              <w:t>, kura veicama līdz projekta pab</w:t>
            </w:r>
            <w:r w:rsidR="009F1766" w:rsidRPr="007B441F">
              <w:rPr>
                <w:rFonts w:ascii="Times New Roman" w:hAnsi="Times New Roman" w:cs="Times New Roman"/>
                <w:sz w:val="24"/>
                <w:szCs w:val="24"/>
              </w:rPr>
              <w:t>e</w:t>
            </w:r>
            <w:r w:rsidR="005870F4" w:rsidRPr="007B441F">
              <w:rPr>
                <w:rFonts w:ascii="Times New Roman" w:hAnsi="Times New Roman" w:cs="Times New Roman"/>
                <w:sz w:val="24"/>
                <w:szCs w:val="24"/>
              </w:rPr>
              <w:t xml:space="preserve">igšanai </w:t>
            </w:r>
            <w:r w:rsidR="00EF05EE" w:rsidRPr="007B441F">
              <w:rPr>
                <w:rFonts w:ascii="Times New Roman" w:hAnsi="Times New Roman" w:cs="Times New Roman"/>
                <w:sz w:val="24"/>
                <w:szCs w:val="24"/>
              </w:rPr>
              <w:t>(</w:t>
            </w:r>
            <w:r w:rsidR="005130BE" w:rsidRPr="007B441F">
              <w:rPr>
                <w:rFonts w:ascii="Times New Roman" w:hAnsi="Times New Roman" w:cs="Times New Roman"/>
                <w:sz w:val="24"/>
                <w:szCs w:val="24"/>
              </w:rPr>
              <w:t xml:space="preserve">MK noteikumu projekta </w:t>
            </w:r>
            <w:r w:rsidR="00EF05EE" w:rsidRPr="007B441F">
              <w:rPr>
                <w:rFonts w:ascii="Times New Roman" w:hAnsi="Times New Roman" w:cs="Times New Roman"/>
                <w:sz w:val="24"/>
                <w:szCs w:val="24"/>
              </w:rPr>
              <w:t>1.punkt</w:t>
            </w:r>
            <w:r w:rsidR="0010243C" w:rsidRPr="007B441F">
              <w:rPr>
                <w:rFonts w:ascii="Times New Roman" w:hAnsi="Times New Roman" w:cs="Times New Roman"/>
                <w:sz w:val="24"/>
                <w:szCs w:val="24"/>
              </w:rPr>
              <w:t>s</w:t>
            </w:r>
            <w:r w:rsidR="00EF05EE" w:rsidRPr="007B441F">
              <w:rPr>
                <w:rFonts w:ascii="Times New Roman" w:hAnsi="Times New Roman" w:cs="Times New Roman"/>
                <w:sz w:val="24"/>
                <w:szCs w:val="24"/>
              </w:rPr>
              <w:t xml:space="preserve">) </w:t>
            </w:r>
            <w:r w:rsidRPr="007B441F">
              <w:rPr>
                <w:rFonts w:ascii="Times New Roman" w:hAnsi="Times New Roman" w:cs="Times New Roman"/>
                <w:sz w:val="24"/>
                <w:szCs w:val="24"/>
              </w:rPr>
              <w:t xml:space="preserve">un informāciju par individuālā projekta, </w:t>
            </w:r>
            <w:proofErr w:type="spellStart"/>
            <w:r w:rsidRPr="007B441F">
              <w:rPr>
                <w:rFonts w:ascii="Times New Roman" w:hAnsi="Times New Roman" w:cs="Times New Roman"/>
                <w:sz w:val="24"/>
                <w:szCs w:val="24"/>
              </w:rPr>
              <w:t>grantu</w:t>
            </w:r>
            <w:proofErr w:type="spellEnd"/>
            <w:r w:rsidRPr="007B441F">
              <w:rPr>
                <w:rFonts w:ascii="Times New Roman" w:hAnsi="Times New Roman" w:cs="Times New Roman"/>
                <w:sz w:val="24"/>
                <w:szCs w:val="24"/>
              </w:rPr>
              <w:t xml:space="preserve"> shēmas vai programmas specifisko vai vispārīgo nosacījumu un to saistību izpildes kontroli, </w:t>
            </w:r>
            <w:r w:rsidRPr="007B441F">
              <w:rPr>
                <w:rFonts w:ascii="Times New Roman" w:hAnsi="Times New Roman" w:cs="Times New Roman"/>
                <w:sz w:val="24"/>
                <w:szCs w:val="24"/>
              </w:rPr>
              <w:lastRenderedPageBreak/>
              <w:t>kuras jāievēro pēc projekta pabeigšanas</w:t>
            </w:r>
            <w:r w:rsidR="00EF05EE" w:rsidRPr="007B441F">
              <w:rPr>
                <w:rFonts w:ascii="Times New Roman" w:hAnsi="Times New Roman" w:cs="Times New Roman"/>
                <w:sz w:val="24"/>
                <w:szCs w:val="24"/>
              </w:rPr>
              <w:t xml:space="preserve"> (</w:t>
            </w:r>
            <w:r w:rsidR="005130BE" w:rsidRPr="007B441F">
              <w:rPr>
                <w:rFonts w:ascii="Times New Roman" w:hAnsi="Times New Roman" w:cs="Times New Roman"/>
                <w:sz w:val="24"/>
                <w:szCs w:val="24"/>
              </w:rPr>
              <w:t xml:space="preserve">MK noteikumu projekta </w:t>
            </w:r>
            <w:r w:rsidR="000D038F" w:rsidRPr="007B441F">
              <w:rPr>
                <w:rFonts w:ascii="Times New Roman" w:hAnsi="Times New Roman" w:cs="Times New Roman"/>
                <w:sz w:val="24"/>
                <w:szCs w:val="24"/>
              </w:rPr>
              <w:t>2.</w:t>
            </w:r>
            <w:r w:rsidR="00EF05EE" w:rsidRPr="007B441F">
              <w:rPr>
                <w:rFonts w:ascii="Times New Roman" w:hAnsi="Times New Roman" w:cs="Times New Roman"/>
                <w:sz w:val="24"/>
                <w:szCs w:val="24"/>
              </w:rPr>
              <w:t>punkt</w:t>
            </w:r>
            <w:r w:rsidR="0010243C" w:rsidRPr="007B441F">
              <w:rPr>
                <w:rFonts w:ascii="Times New Roman" w:hAnsi="Times New Roman" w:cs="Times New Roman"/>
                <w:sz w:val="24"/>
                <w:szCs w:val="24"/>
              </w:rPr>
              <w:t>s</w:t>
            </w:r>
            <w:r w:rsidR="00EF05EE" w:rsidRPr="007B441F">
              <w:rPr>
                <w:rFonts w:ascii="Times New Roman" w:hAnsi="Times New Roman" w:cs="Times New Roman"/>
                <w:sz w:val="24"/>
                <w:szCs w:val="24"/>
              </w:rPr>
              <w:t>)</w:t>
            </w:r>
            <w:r w:rsidRPr="007B441F">
              <w:rPr>
                <w:rFonts w:ascii="Times New Roman" w:hAnsi="Times New Roman" w:cs="Times New Roman"/>
                <w:sz w:val="24"/>
                <w:szCs w:val="24"/>
              </w:rPr>
              <w:t>.</w:t>
            </w:r>
          </w:p>
        </w:tc>
      </w:tr>
      <w:tr w:rsidR="00C630D2" w:rsidRPr="007B441F" w14:paraId="410C49CD"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D74008"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BC0433A"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Projekta izstrādē iesaistītās institūcijas un publiskas personas kapitālsabiedrības</w:t>
            </w:r>
          </w:p>
        </w:tc>
        <w:sdt>
          <w:sdtPr>
            <w:rPr>
              <w:rFonts w:ascii="Times New Roman" w:eastAsia="Times New Roman" w:hAnsi="Times New Roman" w:cs="Times New Roman"/>
              <w:sz w:val="24"/>
              <w:szCs w:val="24"/>
              <w:lang w:eastAsia="lv-LV"/>
            </w:rPr>
            <w:id w:val="281316415"/>
            <w:placeholder>
              <w:docPart w:val="1C6CBC30CD6F4FDBA1AC8A9CDE21E30C"/>
            </w:placeholder>
            <w:text/>
          </w:sdtPr>
          <w:sdtEndPr/>
          <w:sdtContent>
            <w:tc>
              <w:tcPr>
                <w:tcW w:w="2960" w:type="pct"/>
                <w:tcBorders>
                  <w:top w:val="outset" w:sz="6" w:space="0" w:color="auto"/>
                  <w:left w:val="outset" w:sz="6" w:space="0" w:color="auto"/>
                  <w:bottom w:val="outset" w:sz="6" w:space="0" w:color="auto"/>
                  <w:right w:val="outset" w:sz="6" w:space="0" w:color="auto"/>
                </w:tcBorders>
                <w:hideMark/>
              </w:tcPr>
              <w:p w14:paraId="19DFFD7C"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sz w:val="24"/>
                    <w:szCs w:val="24"/>
                    <w:lang w:eastAsia="lv-LV"/>
                  </w:rPr>
                  <w:t>Finanšu ministrija, Centrālā finanšu un līgumu aģentūra, Valsts kase.</w:t>
                </w:r>
              </w:p>
            </w:tc>
          </w:sdtContent>
        </w:sdt>
      </w:tr>
      <w:tr w:rsidR="00C630D2" w:rsidRPr="007B441F" w14:paraId="0A863AA8"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F780974"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B0F61AA"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682264E9" w14:textId="77777777" w:rsidR="00C630D2" w:rsidRPr="007B441F" w:rsidRDefault="00C630D2" w:rsidP="00984625">
            <w:pPr>
              <w:rPr>
                <w:rFonts w:ascii="Times New Roman" w:hAnsi="Times New Roman" w:cs="Times New Roman"/>
                <w:sz w:val="24"/>
                <w:szCs w:val="24"/>
                <w:lang w:eastAsia="lv-LV"/>
              </w:rPr>
            </w:pPr>
            <w:r w:rsidRPr="007B441F">
              <w:rPr>
                <w:rFonts w:ascii="Times New Roman" w:hAnsi="Times New Roman" w:cs="Times New Roman"/>
                <w:sz w:val="24"/>
                <w:szCs w:val="24"/>
                <w:lang w:eastAsia="lv-LV"/>
              </w:rPr>
              <w:t>Nav</w:t>
            </w:r>
          </w:p>
        </w:tc>
      </w:tr>
      <w:tr w:rsidR="00C630D2" w:rsidRPr="007B441F" w14:paraId="2C0F727C"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721F060" w14:textId="77777777" w:rsidR="00C630D2" w:rsidRPr="007B441F" w:rsidRDefault="00C630D2" w:rsidP="00B975D7">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630D2" w:rsidRPr="007B441F" w14:paraId="1D9E1E39"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7A7D031"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2BEADD24"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Sabiedrības </w:t>
            </w:r>
            <w:proofErr w:type="spellStart"/>
            <w:r w:rsidRPr="007B441F">
              <w:rPr>
                <w:rFonts w:ascii="Times New Roman" w:eastAsia="Times New Roman" w:hAnsi="Times New Roman" w:cs="Times New Roman"/>
                <w:iCs/>
                <w:sz w:val="24"/>
                <w:szCs w:val="24"/>
                <w:lang w:eastAsia="lv-LV"/>
              </w:rPr>
              <w:t>mērķgrupas</w:t>
            </w:r>
            <w:proofErr w:type="spellEnd"/>
            <w:r w:rsidRPr="007B441F">
              <w:rPr>
                <w:rFonts w:ascii="Times New Roman" w:eastAsia="Times New Roman" w:hAnsi="Times New Roman" w:cs="Times New Roman"/>
                <w:iCs/>
                <w:sz w:val="24"/>
                <w:szCs w:val="24"/>
                <w:lang w:eastAsia="lv-LV"/>
              </w:rPr>
              <w:t>, kuras tiesiskais regulējums ietekmē vai varētu ietekmēt</w:t>
            </w:r>
          </w:p>
        </w:tc>
        <w:tc>
          <w:tcPr>
            <w:tcW w:w="2960" w:type="pct"/>
            <w:tcBorders>
              <w:top w:val="outset" w:sz="6" w:space="0" w:color="auto"/>
              <w:left w:val="outset" w:sz="6" w:space="0" w:color="auto"/>
              <w:bottom w:val="outset" w:sz="6" w:space="0" w:color="auto"/>
              <w:right w:val="outset" w:sz="6" w:space="0" w:color="auto"/>
            </w:tcBorders>
            <w:hideMark/>
          </w:tcPr>
          <w:p w14:paraId="666A7883" w14:textId="49B9252F" w:rsidR="00C630D2" w:rsidRPr="007B441F" w:rsidRDefault="00C630D2" w:rsidP="00C20E85">
            <w:pPr>
              <w:pStyle w:val="ListParagraph"/>
              <w:spacing w:after="0" w:line="240" w:lineRule="auto"/>
              <w:ind w:left="110"/>
              <w:jc w:val="both"/>
              <w:rPr>
                <w:rFonts w:ascii="Times New Roman" w:eastAsia="Times New Roman" w:hAnsi="Times New Roman" w:cs="Times New Roman"/>
                <w:color w:val="414142"/>
                <w:sz w:val="24"/>
                <w:szCs w:val="24"/>
                <w:lang w:eastAsia="lv-LV"/>
              </w:rPr>
            </w:pPr>
            <w:r w:rsidRPr="007B441F">
              <w:rPr>
                <w:rFonts w:ascii="Times New Roman" w:eastAsia="Times New Roman" w:hAnsi="Times New Roman" w:cs="Times New Roman"/>
                <w:iCs/>
                <w:sz w:val="24"/>
                <w:szCs w:val="24"/>
                <w:lang w:eastAsia="lv-LV"/>
              </w:rPr>
              <w:t xml:space="preserve">Finanšu ministrija kā vadošā iestāde, Centrālā finanšu un līgumu aģentūra kā aģentūra, </w:t>
            </w:r>
            <w:r w:rsidR="00C20E85" w:rsidRPr="007B441F">
              <w:rPr>
                <w:rFonts w:ascii="Times New Roman" w:hAnsi="Times New Roman" w:cs="Times New Roman"/>
                <w:sz w:val="24"/>
                <w:szCs w:val="24"/>
                <w:lang w:eastAsia="lv-LV"/>
              </w:rPr>
              <w:t xml:space="preserve">Vides aizsardzības un reģionālās attīstības ministrija, </w:t>
            </w:r>
            <w:r w:rsidR="00C20E85" w:rsidRPr="007B441F">
              <w:rPr>
                <w:rFonts w:ascii="Times New Roman" w:eastAsia="Times New Roman" w:hAnsi="Times New Roman" w:cs="Times New Roman"/>
                <w:sz w:val="24"/>
                <w:szCs w:val="24"/>
                <w:lang w:eastAsia="lv-LV"/>
              </w:rPr>
              <w:t>Kultūras ministrija, Veselības ministrija, Labklājības ministrija, Izglītības un zinātnes ministrija, Iekšlietu ministrija, Tieslietu ministrija kā starpniekinstitūcijas.</w:t>
            </w:r>
          </w:p>
        </w:tc>
      </w:tr>
      <w:tr w:rsidR="00C630D2" w:rsidRPr="007B441F" w14:paraId="176C92A4"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FA2202"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7F7947E"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Tiesiskā regulējuma ietekme uz tautsaimniecību un administratīvo slogu</w:t>
            </w:r>
          </w:p>
        </w:tc>
        <w:tc>
          <w:tcPr>
            <w:tcW w:w="2960" w:type="pct"/>
            <w:tcBorders>
              <w:top w:val="outset" w:sz="6" w:space="0" w:color="auto"/>
              <w:left w:val="outset" w:sz="6" w:space="0" w:color="auto"/>
              <w:bottom w:val="outset" w:sz="6" w:space="0" w:color="auto"/>
              <w:right w:val="outset" w:sz="6" w:space="0" w:color="auto"/>
            </w:tcBorders>
            <w:hideMark/>
          </w:tcPr>
          <w:p w14:paraId="7008A9F2" w14:textId="6E605529"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Ar MK noteikumu projektu paredzēts samazināt administratīvo slogu aģentūrai</w:t>
            </w:r>
            <w:r w:rsidR="00025E98" w:rsidRPr="007B441F">
              <w:rPr>
                <w:rFonts w:ascii="Times New Roman" w:eastAsia="Times New Roman" w:hAnsi="Times New Roman" w:cs="Times New Roman"/>
                <w:iCs/>
                <w:sz w:val="24"/>
                <w:szCs w:val="24"/>
                <w:lang w:eastAsia="lv-LV"/>
              </w:rPr>
              <w:t>,</w:t>
            </w:r>
            <w:r w:rsidRPr="007B441F">
              <w:rPr>
                <w:rFonts w:ascii="Times New Roman" w:hAnsi="Times New Roman" w:cs="Times New Roman"/>
                <w:sz w:val="24"/>
                <w:szCs w:val="24"/>
              </w:rPr>
              <w:t xml:space="preserve"> svītrojot tās</w:t>
            </w:r>
            <w:r w:rsidRPr="007B441F">
              <w:rPr>
                <w:sz w:val="24"/>
                <w:szCs w:val="24"/>
              </w:rPr>
              <w:t xml:space="preserve"> </w:t>
            </w:r>
            <w:r w:rsidRPr="007B441F">
              <w:rPr>
                <w:rFonts w:ascii="Times New Roman" w:eastAsia="Times New Roman" w:hAnsi="Times New Roman" w:cs="Times New Roman"/>
                <w:iCs/>
                <w:sz w:val="24"/>
                <w:szCs w:val="24"/>
                <w:lang w:eastAsia="lv-LV"/>
              </w:rPr>
              <w:t xml:space="preserve">ikgadējās pēcuzraudzības nosacījumu izpildes kontroles funkcijas, tajā skaitā pienākumu iesniegt minēto informāciju vadošajā iestādē, kā arī svītrojot  starpniekinstitūciju pienākumu iesniegt aģentūrā pēcuzraudzības pārskatus, kā arī nosakot, ka starpniekinstitūcijām pēcuzraudzības pārskats jāiesniedz vadošajā iestādē tikai tajā gadījumā, ja ikgadējās pārbaudēs starpniekinstitūcija konstatē nosacījumu pārkāpumus, kuri būtiski ietekmē </w:t>
            </w:r>
            <w:proofErr w:type="spellStart"/>
            <w:r w:rsidRPr="007B441F">
              <w:rPr>
                <w:rFonts w:ascii="Times New Roman" w:eastAsia="Times New Roman" w:hAnsi="Times New Roman" w:cs="Times New Roman"/>
                <w:iCs/>
                <w:sz w:val="24"/>
                <w:szCs w:val="24"/>
                <w:lang w:eastAsia="lv-LV"/>
              </w:rPr>
              <w:t>pēcuzraudzību</w:t>
            </w:r>
            <w:proofErr w:type="spellEnd"/>
            <w:r w:rsidRPr="007B441F">
              <w:rPr>
                <w:rFonts w:ascii="Times New Roman" w:eastAsia="Times New Roman" w:hAnsi="Times New Roman" w:cs="Times New Roman"/>
                <w:iCs/>
                <w:sz w:val="24"/>
                <w:szCs w:val="24"/>
                <w:lang w:eastAsia="lv-LV"/>
              </w:rPr>
              <w:t xml:space="preserve"> un par kuru </w:t>
            </w:r>
            <w:r w:rsidR="0077205C" w:rsidRPr="007B441F">
              <w:rPr>
                <w:rFonts w:ascii="Times New Roman" w:eastAsia="Times New Roman" w:hAnsi="Times New Roman" w:cs="Times New Roman"/>
                <w:iCs/>
                <w:sz w:val="24"/>
                <w:szCs w:val="24"/>
                <w:lang w:eastAsia="lv-LV"/>
              </w:rPr>
              <w:t>novēršanu nevar vienoties ar lī</w:t>
            </w:r>
            <w:r w:rsidRPr="007B441F">
              <w:rPr>
                <w:rFonts w:ascii="Times New Roman" w:eastAsia="Times New Roman" w:hAnsi="Times New Roman" w:cs="Times New Roman"/>
                <w:iCs/>
                <w:sz w:val="24"/>
                <w:szCs w:val="24"/>
                <w:lang w:eastAsia="lv-LV"/>
              </w:rPr>
              <w:t>dzfinansējuma saņēmēju.</w:t>
            </w:r>
          </w:p>
        </w:tc>
      </w:tr>
      <w:tr w:rsidR="00C630D2" w:rsidRPr="007B441F" w14:paraId="3D380A1A"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25C72"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BE14419"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Administratīvo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0BFE6640" w14:textId="5AE92770" w:rsidR="00C630D2"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Administratīvo izmaksu monetārs novērtējums rēķināms pēc formulas:</w:t>
            </w:r>
          </w:p>
          <w:p w14:paraId="3D9AD7B8" w14:textId="77777777" w:rsidR="007B441F" w:rsidRPr="007B441F" w:rsidRDefault="007B441F" w:rsidP="00984625">
            <w:pPr>
              <w:spacing w:after="0" w:line="240" w:lineRule="auto"/>
              <w:jc w:val="both"/>
              <w:rPr>
                <w:rFonts w:ascii="Times New Roman" w:eastAsia="Times New Roman" w:hAnsi="Times New Roman" w:cs="Times New Roman"/>
                <w:iCs/>
                <w:sz w:val="24"/>
                <w:szCs w:val="24"/>
                <w:lang w:eastAsia="lv-LV"/>
              </w:rPr>
            </w:pPr>
          </w:p>
          <w:p w14:paraId="39A55FC5"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C = (f x l) x (n x b), </w:t>
            </w:r>
          </w:p>
          <w:p w14:paraId="1857DD17"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kur</w:t>
            </w:r>
          </w:p>
          <w:p w14:paraId="7DC96AA2"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 – informācijas sniegšanas pienākuma radītās izmaksas jeb administratīvās izmaksas;</w:t>
            </w:r>
          </w:p>
          <w:p w14:paraId="330CBA4B"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f – finanšu līdzekļu apjoms, kas nepieciešams, lai nodrošinātu projektā paredzētā informācijas sniegšanas pienākuma izpildi (stundas samaksas likme, ieskaitot virsstundas vai stundas limitu ārējo pakalpojumu sniedzējiem, ja tādi ir);</w:t>
            </w:r>
          </w:p>
          <w:p w14:paraId="0A53A963"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l – laika patēriņš, kas nepieciešams, lai sagatavotu informāciju, kuras sniegšanu paredz projekts;</w:t>
            </w:r>
          </w:p>
          <w:p w14:paraId="46960226"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n – subjektu skaits, uz ko attiecas projektā paredzētās informācijas sniegšanas prasības;</w:t>
            </w:r>
          </w:p>
          <w:p w14:paraId="03DD34B7"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b – cik bieži gada laikā projekts paredz informācijas sniegšanu.</w:t>
            </w:r>
          </w:p>
          <w:p w14:paraId="0188B200" w14:textId="77777777"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p>
          <w:p w14:paraId="74216C02" w14:textId="53A071B3"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lastRenderedPageBreak/>
              <w:t>Aģentūras funkcija informēt vadošo iestādi par kontroles rezultātiem, 10 darbdienu laikā pēc ikgadējās kontroles pabeigšanas nosūtot vadošajai iestādei informāciju par ikgadējās kontroles rezultātiem.</w:t>
            </w:r>
          </w:p>
          <w:p w14:paraId="11998939" w14:textId="57EDCB64" w:rsidR="009F6E17" w:rsidRPr="007B441F" w:rsidRDefault="009F6E17" w:rsidP="00984625">
            <w:pPr>
              <w:spacing w:after="0" w:line="240" w:lineRule="auto"/>
              <w:jc w:val="both"/>
              <w:rPr>
                <w:rFonts w:ascii="Times New Roman" w:eastAsia="Times New Roman" w:hAnsi="Times New Roman" w:cs="Times New Roman"/>
                <w:b/>
                <w:iCs/>
                <w:sz w:val="24"/>
                <w:szCs w:val="24"/>
                <w:lang w:eastAsia="lv-LV"/>
              </w:rPr>
            </w:pPr>
          </w:p>
          <w:p w14:paraId="6F1B96E6" w14:textId="7501099F" w:rsidR="00995619" w:rsidRPr="007B441F" w:rsidRDefault="00995619" w:rsidP="0099561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Aprēķins attiecināms uz 2019., 2020. un 2021.gadu: </w:t>
            </w:r>
          </w:p>
          <w:p w14:paraId="088D86DA" w14:textId="15947ECE" w:rsidR="00995619" w:rsidRPr="007B441F" w:rsidRDefault="00995619" w:rsidP="0099561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C = (7,38 x 25 (viena stunda katram no 25 projektiem)) x (1 x 1) = 184,50 </w:t>
            </w:r>
            <w:proofErr w:type="spellStart"/>
            <w:r w:rsidRPr="007B441F">
              <w:rPr>
                <w:rFonts w:ascii="Times New Roman" w:eastAsia="Times New Roman" w:hAnsi="Times New Roman" w:cs="Times New Roman"/>
                <w:i/>
                <w:iCs/>
                <w:sz w:val="24"/>
                <w:szCs w:val="24"/>
                <w:lang w:eastAsia="lv-LV"/>
              </w:rPr>
              <w:t>euro</w:t>
            </w:r>
            <w:proofErr w:type="spellEnd"/>
          </w:p>
          <w:p w14:paraId="64348D8F" w14:textId="25800AC6" w:rsidR="00995619" w:rsidRPr="007B441F" w:rsidRDefault="00995619" w:rsidP="0099561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Par trīs gadiem:  184,50 x 3 = 553,50 </w:t>
            </w:r>
            <w:proofErr w:type="spellStart"/>
            <w:r w:rsidRPr="007B441F">
              <w:rPr>
                <w:rFonts w:ascii="Times New Roman" w:eastAsia="Times New Roman" w:hAnsi="Times New Roman" w:cs="Times New Roman"/>
                <w:i/>
                <w:iCs/>
                <w:sz w:val="24"/>
                <w:szCs w:val="24"/>
                <w:lang w:eastAsia="lv-LV"/>
              </w:rPr>
              <w:t>euro</w:t>
            </w:r>
            <w:proofErr w:type="spellEnd"/>
          </w:p>
          <w:p w14:paraId="3C72D54D" w14:textId="778FB86B" w:rsidR="00995619" w:rsidRPr="007B441F" w:rsidRDefault="00995619" w:rsidP="0099561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Aprēķins par 2022.</w:t>
            </w:r>
            <w:r w:rsidR="00D62B7D" w:rsidRPr="007B441F">
              <w:rPr>
                <w:rFonts w:ascii="Times New Roman" w:eastAsia="Times New Roman" w:hAnsi="Times New Roman" w:cs="Times New Roman"/>
                <w:iCs/>
                <w:sz w:val="24"/>
                <w:szCs w:val="24"/>
                <w:lang w:eastAsia="lv-LV"/>
              </w:rPr>
              <w:t xml:space="preserve"> </w:t>
            </w:r>
            <w:r w:rsidRPr="007B441F">
              <w:rPr>
                <w:rFonts w:ascii="Times New Roman" w:eastAsia="Times New Roman" w:hAnsi="Times New Roman" w:cs="Times New Roman"/>
                <w:iCs/>
                <w:sz w:val="24"/>
                <w:szCs w:val="24"/>
                <w:lang w:eastAsia="lv-LV"/>
              </w:rPr>
              <w:t>gadu:</w:t>
            </w:r>
          </w:p>
          <w:p w14:paraId="39DC5478" w14:textId="309318A5" w:rsidR="00995619" w:rsidRPr="007B441F" w:rsidRDefault="00995619" w:rsidP="0099561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C=(7,38 x 19 (viena stunda katram no 19 projektiem)) x</w:t>
            </w:r>
            <w:r w:rsidR="00D62B7D" w:rsidRPr="007B441F">
              <w:rPr>
                <w:rFonts w:ascii="Times New Roman" w:eastAsia="Times New Roman" w:hAnsi="Times New Roman" w:cs="Times New Roman"/>
                <w:iCs/>
                <w:sz w:val="24"/>
                <w:szCs w:val="24"/>
                <w:lang w:eastAsia="lv-LV"/>
              </w:rPr>
              <w:t xml:space="preserve"> (1 x 1) = 140,</w:t>
            </w:r>
            <w:r w:rsidRPr="007B441F">
              <w:rPr>
                <w:rFonts w:ascii="Times New Roman" w:eastAsia="Times New Roman" w:hAnsi="Times New Roman" w:cs="Times New Roman"/>
                <w:iCs/>
                <w:sz w:val="24"/>
                <w:szCs w:val="24"/>
                <w:lang w:eastAsia="lv-LV"/>
              </w:rPr>
              <w:t xml:space="preserve">22 </w:t>
            </w:r>
            <w:proofErr w:type="spellStart"/>
            <w:r w:rsidRPr="007B441F">
              <w:rPr>
                <w:rFonts w:ascii="Times New Roman" w:eastAsia="Times New Roman" w:hAnsi="Times New Roman" w:cs="Times New Roman"/>
                <w:i/>
                <w:iCs/>
                <w:sz w:val="24"/>
                <w:szCs w:val="24"/>
                <w:lang w:eastAsia="lv-LV"/>
              </w:rPr>
              <w:t>euro</w:t>
            </w:r>
            <w:proofErr w:type="spellEnd"/>
          </w:p>
          <w:p w14:paraId="14AC9E0D" w14:textId="6A4523B0" w:rsidR="00596ADE" w:rsidRPr="007B441F" w:rsidRDefault="00995619" w:rsidP="000B228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Kopā par četriem pēcuzraudzības g</w:t>
            </w:r>
            <w:r w:rsidR="00D62B7D" w:rsidRPr="007B441F">
              <w:rPr>
                <w:rFonts w:ascii="Times New Roman" w:eastAsia="Times New Roman" w:hAnsi="Times New Roman" w:cs="Times New Roman"/>
                <w:iCs/>
                <w:sz w:val="24"/>
                <w:szCs w:val="24"/>
                <w:lang w:eastAsia="lv-LV"/>
              </w:rPr>
              <w:t>adiem: 184,5 x 3 + 140.22 = 693,</w:t>
            </w:r>
            <w:r w:rsidRPr="007B441F">
              <w:rPr>
                <w:rFonts w:ascii="Times New Roman" w:eastAsia="Times New Roman" w:hAnsi="Times New Roman" w:cs="Times New Roman"/>
                <w:iCs/>
                <w:sz w:val="24"/>
                <w:szCs w:val="24"/>
                <w:lang w:eastAsia="lv-LV"/>
              </w:rPr>
              <w:t xml:space="preserve">72 </w:t>
            </w:r>
            <w:proofErr w:type="spellStart"/>
            <w:r w:rsidRPr="007B441F">
              <w:rPr>
                <w:rFonts w:ascii="Times New Roman" w:eastAsia="Times New Roman" w:hAnsi="Times New Roman" w:cs="Times New Roman"/>
                <w:i/>
                <w:iCs/>
                <w:sz w:val="24"/>
                <w:szCs w:val="24"/>
                <w:lang w:eastAsia="lv-LV"/>
              </w:rPr>
              <w:t>euro</w:t>
            </w:r>
            <w:proofErr w:type="spellEnd"/>
          </w:p>
        </w:tc>
      </w:tr>
      <w:tr w:rsidR="00C630D2" w:rsidRPr="007B441F" w14:paraId="56473B00"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9E855D2"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lastRenderedPageBreak/>
              <w:t>4.</w:t>
            </w:r>
          </w:p>
        </w:tc>
        <w:tc>
          <w:tcPr>
            <w:tcW w:w="1678" w:type="pct"/>
            <w:tcBorders>
              <w:top w:val="outset" w:sz="6" w:space="0" w:color="auto"/>
              <w:left w:val="outset" w:sz="6" w:space="0" w:color="auto"/>
              <w:bottom w:val="outset" w:sz="6" w:space="0" w:color="auto"/>
              <w:right w:val="outset" w:sz="6" w:space="0" w:color="auto"/>
            </w:tcBorders>
            <w:hideMark/>
          </w:tcPr>
          <w:p w14:paraId="513132FA"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Atbilstības izmaksu monetārs novērtējums</w:t>
            </w:r>
          </w:p>
        </w:tc>
        <w:tc>
          <w:tcPr>
            <w:tcW w:w="2960" w:type="pct"/>
            <w:tcBorders>
              <w:top w:val="outset" w:sz="6" w:space="0" w:color="auto"/>
              <w:left w:val="outset" w:sz="6" w:space="0" w:color="auto"/>
              <w:bottom w:val="outset" w:sz="6" w:space="0" w:color="auto"/>
              <w:right w:val="outset" w:sz="6" w:space="0" w:color="auto"/>
            </w:tcBorders>
            <w:hideMark/>
          </w:tcPr>
          <w:p w14:paraId="677D8AEB" w14:textId="106B4926"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w:t>
            </w:r>
            <w:r w:rsidR="00E41DA9" w:rsidRPr="007B441F">
              <w:rPr>
                <w:rFonts w:ascii="Times New Roman" w:eastAsia="Times New Roman" w:hAnsi="Times New Roman" w:cs="Times New Roman"/>
                <w:iCs/>
                <w:sz w:val="24"/>
                <w:szCs w:val="24"/>
                <w:lang w:eastAsia="lv-LV"/>
              </w:rPr>
              <w:t>ikumu projekts šo jomu nesakar</w:t>
            </w:r>
          </w:p>
        </w:tc>
      </w:tr>
      <w:tr w:rsidR="00C630D2" w:rsidRPr="007B441F" w14:paraId="79275628" w14:textId="77777777" w:rsidTr="00C41D2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5AF62D8"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346FA4E7"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A1600BE"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Nav</w:t>
            </w:r>
          </w:p>
        </w:tc>
      </w:tr>
      <w:tr w:rsidR="00C630D2" w:rsidRPr="007B441F" w14:paraId="25F90AA8"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5DEF8BC" w14:textId="77777777" w:rsidR="00C630D2" w:rsidRPr="007B441F" w:rsidRDefault="00C630D2" w:rsidP="00B975D7">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III. Tiesību akta projekta ietekme uz valsts budžetu un pašvaldību budžetiem</w:t>
            </w:r>
          </w:p>
        </w:tc>
      </w:tr>
      <w:tr w:rsidR="00C630D2" w:rsidRPr="007B441F" w14:paraId="3D4681C8"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E1A9803" w14:textId="77777777" w:rsidR="00C630D2" w:rsidRPr="007B441F" w:rsidRDefault="00C630D2" w:rsidP="00984625">
            <w:pPr>
              <w:spacing w:after="0" w:line="240" w:lineRule="auto"/>
              <w:jc w:val="center"/>
              <w:rPr>
                <w:rFonts w:ascii="Times New Roman" w:eastAsia="Times New Roman" w:hAnsi="Times New Roman" w:cs="Times New Roman"/>
                <w:bCs/>
                <w:iCs/>
                <w:sz w:val="24"/>
                <w:szCs w:val="24"/>
                <w:lang w:eastAsia="lv-LV"/>
              </w:rPr>
            </w:pPr>
            <w:r w:rsidRPr="007B441F">
              <w:rPr>
                <w:rFonts w:ascii="Times New Roman" w:eastAsia="Times New Roman" w:hAnsi="Times New Roman" w:cs="Times New Roman"/>
                <w:bCs/>
                <w:iCs/>
                <w:sz w:val="24"/>
                <w:szCs w:val="24"/>
                <w:lang w:eastAsia="lv-LV"/>
              </w:rPr>
              <w:t>Projekts šo jomu neskar</w:t>
            </w:r>
          </w:p>
        </w:tc>
      </w:tr>
      <w:tr w:rsidR="00C630D2" w:rsidRPr="007B441F" w14:paraId="4E0C9BBB"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E5B4255" w14:textId="0B2E4CA6" w:rsidR="00C630D2" w:rsidRPr="007B441F" w:rsidRDefault="00C630D2" w:rsidP="00B975D7">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b/>
                <w:bCs/>
                <w:iCs/>
                <w:sz w:val="24"/>
                <w:szCs w:val="24"/>
                <w:lang w:eastAsia="lv-LV"/>
              </w:rPr>
              <w:t>IV. Tiesību akta projekta ietekme uz spēkā esošo tiesību normu sistēmu</w:t>
            </w:r>
          </w:p>
        </w:tc>
      </w:tr>
      <w:tr w:rsidR="00C630D2" w:rsidRPr="007B441F" w14:paraId="4840D345" w14:textId="77777777" w:rsidTr="00984625">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14:paraId="54BF4181" w14:textId="77777777" w:rsidR="00C630D2" w:rsidRPr="007B441F" w:rsidRDefault="00C630D2" w:rsidP="00984625">
            <w:pPr>
              <w:spacing w:after="0" w:line="240" w:lineRule="auto"/>
              <w:jc w:val="center"/>
              <w:rPr>
                <w:rFonts w:ascii="Times New Roman" w:eastAsia="Times New Roman" w:hAnsi="Times New Roman" w:cs="Times New Roman"/>
                <w:bCs/>
                <w:iCs/>
                <w:sz w:val="24"/>
                <w:szCs w:val="24"/>
                <w:lang w:eastAsia="lv-LV"/>
              </w:rPr>
            </w:pPr>
            <w:r w:rsidRPr="007B441F">
              <w:rPr>
                <w:rFonts w:ascii="Times New Roman" w:eastAsia="Times New Roman" w:hAnsi="Times New Roman" w:cs="Times New Roman"/>
                <w:bCs/>
                <w:iCs/>
                <w:sz w:val="24"/>
                <w:szCs w:val="24"/>
                <w:lang w:eastAsia="lv-LV"/>
              </w:rPr>
              <w:t>Projekts šo jomu neskar</w:t>
            </w:r>
          </w:p>
        </w:tc>
      </w:tr>
    </w:tbl>
    <w:p w14:paraId="4B683C87" w14:textId="77777777" w:rsidR="00E73E44" w:rsidRPr="007B441F" w:rsidRDefault="00C630D2" w:rsidP="00C630D2">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  </w:t>
      </w:r>
    </w:p>
    <w:tbl>
      <w:tblPr>
        <w:tblW w:w="5012" w:type="pct"/>
        <w:tblCellSpacing w:w="15" w:type="dxa"/>
        <w:tblInd w:w="-1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
        <w:gridCol w:w="40"/>
        <w:gridCol w:w="367"/>
        <w:gridCol w:w="198"/>
        <w:gridCol w:w="44"/>
        <w:gridCol w:w="1626"/>
        <w:gridCol w:w="781"/>
        <w:gridCol w:w="528"/>
        <w:gridCol w:w="69"/>
        <w:gridCol w:w="1800"/>
        <w:gridCol w:w="3426"/>
        <w:gridCol w:w="98"/>
        <w:gridCol w:w="50"/>
      </w:tblGrid>
      <w:tr w:rsidR="00E73E44" w:rsidRPr="007B441F" w14:paraId="4B317C94" w14:textId="77777777" w:rsidTr="00C41D25">
        <w:trPr>
          <w:gridBefore w:val="1"/>
          <w:gridAfter w:val="1"/>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hideMark/>
          </w:tcPr>
          <w:p w14:paraId="78E6D976" w14:textId="77777777" w:rsidR="00E73E44" w:rsidRPr="007B441F" w:rsidRDefault="00E73E44" w:rsidP="004F60EE">
            <w:pPr>
              <w:spacing w:after="0" w:line="240" w:lineRule="auto"/>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E73E44" w:rsidRPr="007B441F" w14:paraId="179C8EB3" w14:textId="77777777" w:rsidTr="00C41D25">
        <w:trPr>
          <w:gridBefore w:val="1"/>
          <w:gridAfter w:val="1"/>
          <w:tblCellSpacing w:w="15" w:type="dxa"/>
        </w:trPr>
        <w:tc>
          <w:tcPr>
            <w:tcW w:w="295" w:type="pct"/>
            <w:gridSpan w:val="3"/>
            <w:tcBorders>
              <w:top w:val="outset" w:sz="6" w:space="0" w:color="auto"/>
              <w:left w:val="outset" w:sz="6" w:space="0" w:color="auto"/>
              <w:bottom w:val="outset" w:sz="6" w:space="0" w:color="auto"/>
              <w:right w:val="outset" w:sz="6" w:space="0" w:color="auto"/>
            </w:tcBorders>
            <w:hideMark/>
          </w:tcPr>
          <w:p w14:paraId="44850538"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p>
        </w:tc>
        <w:tc>
          <w:tcPr>
            <w:tcW w:w="1645" w:type="pct"/>
            <w:gridSpan w:val="4"/>
            <w:tcBorders>
              <w:top w:val="outset" w:sz="6" w:space="0" w:color="auto"/>
              <w:left w:val="outset" w:sz="6" w:space="0" w:color="auto"/>
              <w:bottom w:val="outset" w:sz="6" w:space="0" w:color="auto"/>
              <w:right w:val="outset" w:sz="6" w:space="0" w:color="auto"/>
            </w:tcBorders>
            <w:hideMark/>
          </w:tcPr>
          <w:p w14:paraId="3E260BD0"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Saistības pret Eiropas Savienību</w:t>
            </w:r>
          </w:p>
        </w:tc>
        <w:tc>
          <w:tcPr>
            <w:tcW w:w="2999" w:type="pct"/>
            <w:gridSpan w:val="4"/>
            <w:tcBorders>
              <w:top w:val="outset" w:sz="6" w:space="0" w:color="auto"/>
              <w:left w:val="outset" w:sz="6" w:space="0" w:color="auto"/>
              <w:bottom w:val="outset" w:sz="6" w:space="0" w:color="auto"/>
              <w:right w:val="outset" w:sz="6" w:space="0" w:color="auto"/>
            </w:tcBorders>
            <w:hideMark/>
          </w:tcPr>
          <w:p w14:paraId="549FF591" w14:textId="1033F97D"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noteikumu projekts šo jomu neskar.</w:t>
            </w:r>
          </w:p>
        </w:tc>
      </w:tr>
      <w:tr w:rsidR="00E73E44" w:rsidRPr="007B441F" w14:paraId="5EABACA0" w14:textId="77777777" w:rsidTr="00C41D25">
        <w:trPr>
          <w:gridBefore w:val="1"/>
          <w:gridAfter w:val="1"/>
          <w:tblCellSpacing w:w="15" w:type="dxa"/>
        </w:trPr>
        <w:tc>
          <w:tcPr>
            <w:tcW w:w="295" w:type="pct"/>
            <w:gridSpan w:val="3"/>
            <w:tcBorders>
              <w:top w:val="outset" w:sz="6" w:space="0" w:color="auto"/>
              <w:left w:val="outset" w:sz="6" w:space="0" w:color="auto"/>
              <w:bottom w:val="outset" w:sz="6" w:space="0" w:color="auto"/>
              <w:right w:val="outset" w:sz="6" w:space="0" w:color="auto"/>
            </w:tcBorders>
            <w:hideMark/>
          </w:tcPr>
          <w:p w14:paraId="6C1B2664"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2.</w:t>
            </w:r>
          </w:p>
        </w:tc>
        <w:tc>
          <w:tcPr>
            <w:tcW w:w="1645" w:type="pct"/>
            <w:gridSpan w:val="4"/>
            <w:tcBorders>
              <w:top w:val="outset" w:sz="6" w:space="0" w:color="auto"/>
              <w:left w:val="outset" w:sz="6" w:space="0" w:color="auto"/>
              <w:bottom w:val="outset" w:sz="6" w:space="0" w:color="auto"/>
              <w:right w:val="outset" w:sz="6" w:space="0" w:color="auto"/>
            </w:tcBorders>
            <w:hideMark/>
          </w:tcPr>
          <w:p w14:paraId="689CC176"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Citas starptautiskās saistības</w:t>
            </w:r>
          </w:p>
        </w:tc>
        <w:tc>
          <w:tcPr>
            <w:tcW w:w="2999" w:type="pct"/>
            <w:gridSpan w:val="4"/>
            <w:tcBorders>
              <w:top w:val="outset" w:sz="6" w:space="0" w:color="auto"/>
              <w:left w:val="outset" w:sz="6" w:space="0" w:color="auto"/>
              <w:bottom w:val="outset" w:sz="6" w:space="0" w:color="auto"/>
              <w:right w:val="outset" w:sz="6" w:space="0" w:color="auto"/>
            </w:tcBorders>
            <w:hideMark/>
          </w:tcPr>
          <w:p w14:paraId="60B6C4E0" w14:textId="1E89B6C5" w:rsidR="00E73E44" w:rsidRPr="002B45E7" w:rsidRDefault="00042F49" w:rsidP="004B3517">
            <w:pPr>
              <w:spacing w:after="0" w:line="240" w:lineRule="auto"/>
              <w:jc w:val="both"/>
              <w:rPr>
                <w:rFonts w:ascii="Times New Roman" w:eastAsia="Times New Roman" w:hAnsi="Times New Roman" w:cs="Times New Roman"/>
                <w:iCs/>
                <w:sz w:val="24"/>
                <w:szCs w:val="24"/>
                <w:lang w:eastAsia="lv-LV"/>
              </w:rPr>
            </w:pPr>
            <w:r w:rsidRPr="002B45E7">
              <w:rPr>
                <w:rFonts w:ascii="Times New Roman" w:eastAsia="Times New Roman" w:hAnsi="Times New Roman" w:cs="Times New Roman"/>
                <w:iCs/>
                <w:sz w:val="24"/>
                <w:szCs w:val="24"/>
                <w:lang w:eastAsia="lv-LV"/>
              </w:rPr>
              <w:t>2004. gada 2. decembra Saprašanās memoranda par Eiropas Ekonomikas zonas finanšu instrumenta ieviešanu 2004.-2009.gadā</w:t>
            </w:r>
            <w:r w:rsidR="004B3517" w:rsidRPr="002B45E7">
              <w:rPr>
                <w:rFonts w:ascii="Times New Roman" w:eastAsia="Times New Roman" w:hAnsi="Times New Roman" w:cs="Times New Roman"/>
                <w:iCs/>
                <w:sz w:val="24"/>
                <w:szCs w:val="24"/>
                <w:lang w:eastAsia="lv-LV"/>
              </w:rPr>
              <w:t xml:space="preserve"> </w:t>
            </w:r>
            <w:r w:rsidRPr="002B45E7">
              <w:rPr>
                <w:rFonts w:ascii="Times New Roman" w:eastAsia="Times New Roman" w:hAnsi="Times New Roman" w:cs="Times New Roman"/>
                <w:iCs/>
                <w:sz w:val="24"/>
                <w:szCs w:val="24"/>
                <w:lang w:eastAsia="lv-LV"/>
              </w:rPr>
              <w:t>starp Islandes Republiku, Lihtenšteinas Firstisti, Norvēģijas Karalisti un Latvijas Republiku un 2004. gada 16.novembra Saprašanās memoranda par Norvēģijas valdības divpusējā finanšu instrumenta ieviešanu 2004.-2009.gadā, kurš izveidots saskaņā ar 2003.gada 14.oktobra līgumu starp Norvēģijas Karalisti un Eiropas Kopienu par Norvēģijas valdības divpusējo finanšu instrumentu 2004.–2009.gadā, starp Norvēģijas Karalisti un Latvijas Republiku,</w:t>
            </w:r>
            <w:r w:rsidRPr="002B45E7">
              <w:rPr>
                <w:sz w:val="24"/>
                <w:szCs w:val="24"/>
              </w:rPr>
              <w:t xml:space="preserve"> </w:t>
            </w:r>
            <w:r w:rsidRPr="002B45E7">
              <w:rPr>
                <w:rFonts w:ascii="Times New Roman" w:eastAsia="Times New Roman" w:hAnsi="Times New Roman" w:cs="Times New Roman"/>
                <w:iCs/>
                <w:sz w:val="24"/>
                <w:szCs w:val="24"/>
                <w:lang w:eastAsia="lv-LV"/>
              </w:rPr>
              <w:t>(turpmāk – saprašanās memorandi)  A pielikuma A daļa.</w:t>
            </w:r>
          </w:p>
        </w:tc>
      </w:tr>
      <w:tr w:rsidR="00E73E44" w:rsidRPr="007B441F" w14:paraId="445702A7" w14:textId="77777777" w:rsidTr="00C41D25">
        <w:trPr>
          <w:gridBefore w:val="1"/>
          <w:gridAfter w:val="1"/>
          <w:tblCellSpacing w:w="15" w:type="dxa"/>
        </w:trPr>
        <w:tc>
          <w:tcPr>
            <w:tcW w:w="295" w:type="pct"/>
            <w:gridSpan w:val="3"/>
            <w:tcBorders>
              <w:top w:val="outset" w:sz="6" w:space="0" w:color="auto"/>
              <w:left w:val="outset" w:sz="6" w:space="0" w:color="auto"/>
              <w:bottom w:val="outset" w:sz="6" w:space="0" w:color="auto"/>
              <w:right w:val="outset" w:sz="6" w:space="0" w:color="auto"/>
            </w:tcBorders>
            <w:hideMark/>
          </w:tcPr>
          <w:p w14:paraId="7B0A5B80"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3.</w:t>
            </w:r>
          </w:p>
        </w:tc>
        <w:tc>
          <w:tcPr>
            <w:tcW w:w="1645" w:type="pct"/>
            <w:gridSpan w:val="4"/>
            <w:tcBorders>
              <w:top w:val="outset" w:sz="6" w:space="0" w:color="auto"/>
              <w:left w:val="outset" w:sz="6" w:space="0" w:color="auto"/>
              <w:bottom w:val="outset" w:sz="6" w:space="0" w:color="auto"/>
              <w:right w:val="outset" w:sz="6" w:space="0" w:color="auto"/>
            </w:tcBorders>
            <w:hideMark/>
          </w:tcPr>
          <w:p w14:paraId="5765347C" w14:textId="77777777" w:rsidR="00E73E44" w:rsidRPr="007B441F" w:rsidRDefault="00E73E44"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 informācija</w:t>
            </w:r>
          </w:p>
        </w:tc>
        <w:tc>
          <w:tcPr>
            <w:tcW w:w="2999" w:type="pct"/>
            <w:gridSpan w:val="4"/>
            <w:tcBorders>
              <w:top w:val="outset" w:sz="6" w:space="0" w:color="auto"/>
              <w:left w:val="outset" w:sz="6" w:space="0" w:color="auto"/>
              <w:bottom w:val="outset" w:sz="6" w:space="0" w:color="auto"/>
              <w:right w:val="outset" w:sz="6" w:space="0" w:color="auto"/>
            </w:tcBorders>
            <w:hideMark/>
          </w:tcPr>
          <w:p w14:paraId="609B63F8" w14:textId="0136CF17" w:rsidR="00E73E44" w:rsidRPr="007B441F" w:rsidRDefault="00825620" w:rsidP="004F60EE">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Nav</w:t>
            </w:r>
          </w:p>
        </w:tc>
      </w:tr>
      <w:tr w:rsidR="00E73E44" w:rsidRPr="007B441F" w14:paraId="7A9C1F26" w14:textId="77777777" w:rsidTr="00C41D25">
        <w:trPr>
          <w:gridBefore w:val="1"/>
          <w:gridAfter w:val="1"/>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hideMark/>
          </w:tcPr>
          <w:p w14:paraId="7707A043" w14:textId="55132C9D" w:rsidR="00E73E44" w:rsidRPr="007B441F" w:rsidRDefault="00C41D25" w:rsidP="00E73E4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w:t>
            </w:r>
            <w:r w:rsidR="00E73E44" w:rsidRPr="007B441F">
              <w:rPr>
                <w:rFonts w:ascii="Times New Roman" w:eastAsia="Times New Roman" w:hAnsi="Times New Roman" w:cs="Times New Roman"/>
                <w:b/>
                <w:bCs/>
                <w:iCs/>
                <w:sz w:val="24"/>
                <w:szCs w:val="24"/>
                <w:lang w:eastAsia="lv-LV"/>
              </w:rPr>
              <w:t>1. tabula</w:t>
            </w:r>
            <w:r w:rsidR="00E73E44" w:rsidRPr="007B441F">
              <w:rPr>
                <w:rFonts w:ascii="Times New Roman" w:eastAsia="Times New Roman" w:hAnsi="Times New Roman" w:cs="Times New Roman"/>
                <w:b/>
                <w:bCs/>
                <w:iCs/>
                <w:sz w:val="24"/>
                <w:szCs w:val="24"/>
                <w:lang w:eastAsia="lv-LV"/>
              </w:rPr>
              <w:br/>
              <w:t>Tiesību akta projekta atbilstība ES tiesību aktiem</w:t>
            </w:r>
          </w:p>
        </w:tc>
      </w:tr>
      <w:tr w:rsidR="002437C6" w:rsidRPr="007B441F" w14:paraId="3C0EBD7E" w14:textId="77777777" w:rsidTr="00C41D25">
        <w:trPr>
          <w:gridBefore w:val="1"/>
          <w:gridAfter w:val="1"/>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tcPr>
          <w:p w14:paraId="7FDC289B" w14:textId="481619CA" w:rsidR="002437C6" w:rsidRPr="007B441F" w:rsidRDefault="002437C6" w:rsidP="00E73E44">
            <w:pPr>
              <w:spacing w:after="0" w:line="240" w:lineRule="auto"/>
              <w:jc w:val="center"/>
              <w:rPr>
                <w:rFonts w:ascii="Times New Roman" w:eastAsia="Times New Roman" w:hAnsi="Times New Roman" w:cs="Times New Roman"/>
                <w:bCs/>
                <w:iCs/>
                <w:sz w:val="24"/>
                <w:szCs w:val="24"/>
                <w:lang w:eastAsia="lv-LV"/>
              </w:rPr>
            </w:pPr>
            <w:r w:rsidRPr="007B441F">
              <w:rPr>
                <w:rFonts w:ascii="Times New Roman" w:eastAsia="Times New Roman" w:hAnsi="Times New Roman" w:cs="Times New Roman"/>
                <w:bCs/>
                <w:iCs/>
                <w:sz w:val="24"/>
                <w:szCs w:val="24"/>
                <w:lang w:eastAsia="lv-LV"/>
              </w:rPr>
              <w:t>Noteikumu projekts šo jomu neskar</w:t>
            </w:r>
          </w:p>
        </w:tc>
      </w:tr>
      <w:tr w:rsidR="00E73E44" w:rsidRPr="007B441F" w14:paraId="09E46EF9" w14:textId="77777777" w:rsidTr="00C41D25">
        <w:trPr>
          <w:gridBefore w:val="1"/>
          <w:gridAfter w:val="1"/>
          <w:tblCellSpacing w:w="15" w:type="dxa"/>
        </w:trPr>
        <w:tc>
          <w:tcPr>
            <w:tcW w:w="4971" w:type="pct"/>
            <w:gridSpan w:val="11"/>
            <w:tcBorders>
              <w:top w:val="outset" w:sz="6" w:space="0" w:color="auto"/>
              <w:left w:val="outset" w:sz="6" w:space="0" w:color="auto"/>
              <w:bottom w:val="outset" w:sz="6" w:space="0" w:color="auto"/>
              <w:right w:val="outset" w:sz="6" w:space="0" w:color="auto"/>
            </w:tcBorders>
            <w:vAlign w:val="center"/>
            <w:hideMark/>
          </w:tcPr>
          <w:p w14:paraId="27808E6B" w14:textId="77777777" w:rsidR="00E73E44" w:rsidRPr="007B441F" w:rsidRDefault="00E73E44" w:rsidP="002437C6">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2. tabula</w:t>
            </w:r>
            <w:r w:rsidRPr="007B441F">
              <w:rPr>
                <w:rFonts w:ascii="Times New Roman" w:eastAsia="Times New Roman" w:hAnsi="Times New Roman" w:cs="Times New Roman"/>
                <w:b/>
                <w:bCs/>
                <w:iCs/>
                <w:sz w:val="24"/>
                <w:szCs w:val="24"/>
                <w:lang w:eastAsia="lv-LV"/>
              </w:rPr>
              <w:br/>
              <w:t xml:space="preserve">Ar tiesību akta projektu izpildītās vai uzņemtās saistības, kas izriet no starptautiskajiem tiesību aktiem vai starptautiskas institūcijas vai organizācijas </w:t>
            </w:r>
            <w:r w:rsidRPr="007B441F">
              <w:rPr>
                <w:rFonts w:ascii="Times New Roman" w:eastAsia="Times New Roman" w:hAnsi="Times New Roman" w:cs="Times New Roman"/>
                <w:b/>
                <w:bCs/>
                <w:iCs/>
                <w:sz w:val="24"/>
                <w:szCs w:val="24"/>
                <w:lang w:eastAsia="lv-LV"/>
              </w:rPr>
              <w:lastRenderedPageBreak/>
              <w:t>dokumentiem.</w:t>
            </w:r>
            <w:r w:rsidRPr="007B441F">
              <w:rPr>
                <w:rFonts w:ascii="Times New Roman" w:eastAsia="Times New Roman" w:hAnsi="Times New Roman" w:cs="Times New Roman"/>
                <w:b/>
                <w:bCs/>
                <w:iCs/>
                <w:sz w:val="24"/>
                <w:szCs w:val="24"/>
                <w:lang w:eastAsia="lv-LV"/>
              </w:rPr>
              <w:br/>
              <w:t>Pasākumi šo saistību izpildei</w:t>
            </w:r>
          </w:p>
        </w:tc>
      </w:tr>
      <w:tr w:rsidR="00E73E44" w:rsidRPr="007B441F" w14:paraId="5F330CCB"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hideMark/>
          </w:tcPr>
          <w:p w14:paraId="1B82009B"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lastRenderedPageBreak/>
              <w:t>Attiecīgā starptautiskā tiesību akta vai starptautiskas institūcijas vai organizācijas dokumenta (turpmāk – starptautiskais dokuments) datums, numurs un nosaukums</w:t>
            </w:r>
          </w:p>
        </w:tc>
        <w:tc>
          <w:tcPr>
            <w:tcW w:w="3733" w:type="pct"/>
            <w:gridSpan w:val="6"/>
            <w:tcBorders>
              <w:top w:val="outset" w:sz="6" w:space="0" w:color="auto"/>
              <w:left w:val="outset" w:sz="6" w:space="0" w:color="auto"/>
              <w:bottom w:val="outset" w:sz="6" w:space="0" w:color="auto"/>
              <w:right w:val="outset" w:sz="6" w:space="0" w:color="auto"/>
            </w:tcBorders>
            <w:hideMark/>
          </w:tcPr>
          <w:p w14:paraId="655DEBFC" w14:textId="143E68BA" w:rsidR="0095657B" w:rsidRPr="007B441F" w:rsidRDefault="00042F49" w:rsidP="006E32B6">
            <w:pPr>
              <w:spacing w:after="0" w:line="240" w:lineRule="auto"/>
              <w:jc w:val="both"/>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Saprašanās memoran</w:t>
            </w:r>
            <w:r w:rsidR="006E32B6" w:rsidRPr="007B441F">
              <w:rPr>
                <w:rFonts w:ascii="Times New Roman" w:eastAsia="Times New Roman" w:hAnsi="Times New Roman" w:cs="Times New Roman"/>
                <w:b/>
                <w:iCs/>
                <w:sz w:val="24"/>
                <w:szCs w:val="24"/>
                <w:lang w:eastAsia="lv-LV"/>
              </w:rPr>
              <w:t>d</w:t>
            </w:r>
            <w:r w:rsidRPr="007B441F">
              <w:rPr>
                <w:rFonts w:ascii="Times New Roman" w:eastAsia="Times New Roman" w:hAnsi="Times New Roman" w:cs="Times New Roman"/>
                <w:b/>
                <w:iCs/>
                <w:sz w:val="24"/>
                <w:szCs w:val="24"/>
                <w:lang w:eastAsia="lv-LV"/>
              </w:rPr>
              <w:t>u</w:t>
            </w:r>
            <w:r w:rsidR="0065312A" w:rsidRPr="007B441F">
              <w:rPr>
                <w:rFonts w:ascii="Times New Roman" w:eastAsia="Times New Roman" w:hAnsi="Times New Roman" w:cs="Times New Roman"/>
                <w:b/>
                <w:iCs/>
                <w:sz w:val="24"/>
                <w:szCs w:val="24"/>
                <w:lang w:eastAsia="lv-LV"/>
              </w:rPr>
              <w:t xml:space="preserve"> </w:t>
            </w:r>
            <w:r w:rsidR="0095657B" w:rsidRPr="007B441F">
              <w:rPr>
                <w:rFonts w:ascii="Times New Roman" w:eastAsia="Times New Roman" w:hAnsi="Times New Roman" w:cs="Times New Roman"/>
                <w:b/>
                <w:iCs/>
                <w:sz w:val="24"/>
                <w:szCs w:val="24"/>
                <w:lang w:eastAsia="lv-LV"/>
              </w:rPr>
              <w:t xml:space="preserve">A </w:t>
            </w:r>
            <w:r w:rsidRPr="007B441F">
              <w:rPr>
                <w:rFonts w:ascii="Times New Roman" w:eastAsia="Times New Roman" w:hAnsi="Times New Roman" w:cs="Times New Roman"/>
                <w:b/>
                <w:iCs/>
                <w:sz w:val="24"/>
                <w:szCs w:val="24"/>
                <w:lang w:eastAsia="lv-LV"/>
              </w:rPr>
              <w:t>pielikuma A daļa.</w:t>
            </w:r>
          </w:p>
        </w:tc>
      </w:tr>
      <w:tr w:rsidR="00E73E44" w:rsidRPr="007B441F" w14:paraId="0DF86E56"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vAlign w:val="center"/>
            <w:hideMark/>
          </w:tcPr>
          <w:p w14:paraId="447EB750"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A</w:t>
            </w:r>
          </w:p>
        </w:tc>
        <w:tc>
          <w:tcPr>
            <w:tcW w:w="1758" w:type="pct"/>
            <w:gridSpan w:val="4"/>
            <w:tcBorders>
              <w:top w:val="outset" w:sz="6" w:space="0" w:color="auto"/>
              <w:left w:val="outset" w:sz="6" w:space="0" w:color="auto"/>
              <w:bottom w:val="outset" w:sz="6" w:space="0" w:color="auto"/>
              <w:right w:val="outset" w:sz="6" w:space="0" w:color="auto"/>
            </w:tcBorders>
            <w:vAlign w:val="center"/>
            <w:hideMark/>
          </w:tcPr>
          <w:p w14:paraId="4C4B63A9"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B</w:t>
            </w:r>
          </w:p>
        </w:tc>
        <w:tc>
          <w:tcPr>
            <w:tcW w:w="1959" w:type="pct"/>
            <w:gridSpan w:val="2"/>
            <w:tcBorders>
              <w:top w:val="outset" w:sz="6" w:space="0" w:color="auto"/>
              <w:left w:val="outset" w:sz="6" w:space="0" w:color="auto"/>
              <w:bottom w:val="outset" w:sz="6" w:space="0" w:color="auto"/>
              <w:right w:val="outset" w:sz="6" w:space="0" w:color="auto"/>
            </w:tcBorders>
            <w:vAlign w:val="center"/>
            <w:hideMark/>
          </w:tcPr>
          <w:p w14:paraId="033B1DF2"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C</w:t>
            </w:r>
          </w:p>
        </w:tc>
      </w:tr>
      <w:tr w:rsidR="00E73E44" w:rsidRPr="007B441F" w14:paraId="236398D9"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hideMark/>
          </w:tcPr>
          <w:p w14:paraId="0EAD8D2C"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Starptautiskās saistības (pēc būtības), kas izriet no norādītā starptautiskā dokumenta.</w:t>
            </w:r>
            <w:r w:rsidRPr="007B441F">
              <w:rPr>
                <w:rFonts w:ascii="Times New Roman" w:eastAsia="Times New Roman" w:hAnsi="Times New Roman" w:cs="Times New Roman"/>
                <w:b/>
                <w:iCs/>
                <w:sz w:val="24"/>
                <w:szCs w:val="24"/>
                <w:lang w:eastAsia="lv-LV"/>
              </w:rPr>
              <w:br/>
              <w:t>Konkrēti veicamie pasākumi vai uzdevumi, kas nepieciešami šo starptautisko saistību izpildei</w:t>
            </w:r>
          </w:p>
        </w:tc>
        <w:tc>
          <w:tcPr>
            <w:tcW w:w="1758" w:type="pct"/>
            <w:gridSpan w:val="4"/>
            <w:tcBorders>
              <w:top w:val="outset" w:sz="6" w:space="0" w:color="auto"/>
              <w:left w:val="outset" w:sz="6" w:space="0" w:color="auto"/>
              <w:bottom w:val="outset" w:sz="6" w:space="0" w:color="auto"/>
              <w:right w:val="outset" w:sz="6" w:space="0" w:color="auto"/>
            </w:tcBorders>
            <w:hideMark/>
          </w:tcPr>
          <w:p w14:paraId="330D96BE"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1959" w:type="pct"/>
            <w:gridSpan w:val="2"/>
            <w:tcBorders>
              <w:top w:val="outset" w:sz="6" w:space="0" w:color="auto"/>
              <w:left w:val="outset" w:sz="6" w:space="0" w:color="auto"/>
              <w:bottom w:val="outset" w:sz="6" w:space="0" w:color="auto"/>
              <w:right w:val="outset" w:sz="6" w:space="0" w:color="auto"/>
            </w:tcBorders>
            <w:hideMark/>
          </w:tcPr>
          <w:p w14:paraId="2B5CD4FC"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Informācija par to, vai starptautiskās saistības, kas minētas šīs tabulas A ailē, tiek izpildītas pilnībā vai daļēji.</w:t>
            </w:r>
            <w:r w:rsidRPr="007B441F">
              <w:rPr>
                <w:rFonts w:ascii="Times New Roman" w:eastAsia="Times New Roman" w:hAnsi="Times New Roman" w:cs="Times New Roman"/>
                <w:b/>
                <w:iCs/>
                <w:sz w:val="24"/>
                <w:szCs w:val="24"/>
                <w:lang w:eastAsia="lv-LV"/>
              </w:rPr>
              <w:br/>
              <w:t>Ja attiecīgās starptautiskās saistības tiek izpildītas daļēji, sniedz skaidrojumu, kā arī precīzi norāda, kad un kādā veidā starptautiskās saistības tiks izpildītas pilnībā.</w:t>
            </w:r>
            <w:r w:rsidRPr="007B441F">
              <w:rPr>
                <w:rFonts w:ascii="Times New Roman" w:eastAsia="Times New Roman" w:hAnsi="Times New Roman" w:cs="Times New Roman"/>
                <w:b/>
                <w:iCs/>
                <w:sz w:val="24"/>
                <w:szCs w:val="24"/>
                <w:lang w:eastAsia="lv-LV"/>
              </w:rPr>
              <w:br/>
              <w:t>Norāda institūciju, kas ir atbildīga par šo saistību izpildi pilnībā</w:t>
            </w:r>
          </w:p>
        </w:tc>
      </w:tr>
      <w:tr w:rsidR="00E73E44" w:rsidRPr="007B441F" w14:paraId="4CD9FD75"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hideMark/>
          </w:tcPr>
          <w:p w14:paraId="3EEB7361"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Iekļauj informāciju atbilstoši instrukcijas 58.1. apakšpunktam</w:t>
            </w:r>
          </w:p>
        </w:tc>
        <w:tc>
          <w:tcPr>
            <w:tcW w:w="1758" w:type="pct"/>
            <w:gridSpan w:val="4"/>
            <w:tcBorders>
              <w:top w:val="outset" w:sz="6" w:space="0" w:color="auto"/>
              <w:left w:val="outset" w:sz="6" w:space="0" w:color="auto"/>
              <w:bottom w:val="outset" w:sz="6" w:space="0" w:color="auto"/>
              <w:right w:val="outset" w:sz="6" w:space="0" w:color="auto"/>
            </w:tcBorders>
            <w:hideMark/>
          </w:tcPr>
          <w:p w14:paraId="69B63311" w14:textId="1CF47D58" w:rsidR="00E73E44" w:rsidRPr="002B45E7" w:rsidRDefault="002437C6" w:rsidP="004F60EE">
            <w:pPr>
              <w:spacing w:after="0" w:line="240" w:lineRule="auto"/>
              <w:rPr>
                <w:rFonts w:ascii="Times New Roman" w:eastAsia="Times New Roman" w:hAnsi="Times New Roman" w:cs="Times New Roman"/>
                <w:iCs/>
                <w:sz w:val="24"/>
                <w:szCs w:val="24"/>
                <w:lang w:eastAsia="lv-LV"/>
              </w:rPr>
            </w:pPr>
            <w:r w:rsidRPr="002B45E7">
              <w:rPr>
                <w:rFonts w:ascii="Times New Roman" w:eastAsia="Times New Roman" w:hAnsi="Times New Roman" w:cs="Times New Roman"/>
                <w:iCs/>
                <w:sz w:val="24"/>
                <w:szCs w:val="24"/>
                <w:lang w:eastAsia="lv-LV"/>
              </w:rPr>
              <w:t>MK noteikumu projekts</w:t>
            </w:r>
          </w:p>
        </w:tc>
        <w:tc>
          <w:tcPr>
            <w:tcW w:w="1959" w:type="pct"/>
            <w:gridSpan w:val="2"/>
            <w:tcBorders>
              <w:top w:val="outset" w:sz="6" w:space="0" w:color="auto"/>
              <w:left w:val="outset" w:sz="6" w:space="0" w:color="auto"/>
              <w:bottom w:val="outset" w:sz="6" w:space="0" w:color="auto"/>
              <w:right w:val="outset" w:sz="6" w:space="0" w:color="auto"/>
            </w:tcBorders>
            <w:hideMark/>
          </w:tcPr>
          <w:p w14:paraId="0DD2036C" w14:textId="3B4E4B78" w:rsidR="002437C6" w:rsidRPr="002B45E7" w:rsidRDefault="002437C6" w:rsidP="004F60EE">
            <w:pPr>
              <w:spacing w:after="0" w:line="240" w:lineRule="auto"/>
              <w:rPr>
                <w:rFonts w:ascii="Times New Roman" w:eastAsia="Times New Roman" w:hAnsi="Times New Roman" w:cs="Times New Roman"/>
                <w:iCs/>
                <w:sz w:val="24"/>
                <w:szCs w:val="24"/>
                <w:lang w:eastAsia="lv-LV"/>
              </w:rPr>
            </w:pPr>
            <w:r w:rsidRPr="002B45E7">
              <w:rPr>
                <w:rFonts w:ascii="Times New Roman" w:eastAsia="Times New Roman" w:hAnsi="Times New Roman" w:cs="Times New Roman"/>
                <w:iCs/>
                <w:sz w:val="24"/>
                <w:szCs w:val="24"/>
                <w:lang w:eastAsia="lv-LV"/>
              </w:rPr>
              <w:t>Saprašanās memorandos noteiktās saistībās tiek izpildītas pilnībā</w:t>
            </w:r>
          </w:p>
        </w:tc>
      </w:tr>
      <w:tr w:rsidR="00E73E44" w:rsidRPr="007B441F" w14:paraId="1F6EF64C"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hideMark/>
          </w:tcPr>
          <w:p w14:paraId="61DD4652"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Vai starptautiskajā dokumentā paredzētās saistības nav pretrunā ar jau esošajām Latvijas Republikas starptautiskajām saistībām</w:t>
            </w:r>
          </w:p>
        </w:tc>
        <w:tc>
          <w:tcPr>
            <w:tcW w:w="3733" w:type="pct"/>
            <w:gridSpan w:val="6"/>
            <w:tcBorders>
              <w:top w:val="outset" w:sz="6" w:space="0" w:color="auto"/>
              <w:left w:val="outset" w:sz="6" w:space="0" w:color="auto"/>
              <w:bottom w:val="outset" w:sz="6" w:space="0" w:color="auto"/>
              <w:right w:val="outset" w:sz="6" w:space="0" w:color="auto"/>
            </w:tcBorders>
            <w:hideMark/>
          </w:tcPr>
          <w:p w14:paraId="00DFA94F" w14:textId="27E6277C" w:rsidR="00E73E44" w:rsidRPr="002B45E7" w:rsidRDefault="002437C6" w:rsidP="004F60EE">
            <w:pPr>
              <w:spacing w:after="0" w:line="240" w:lineRule="auto"/>
              <w:rPr>
                <w:rFonts w:ascii="Times New Roman" w:eastAsia="Times New Roman" w:hAnsi="Times New Roman" w:cs="Times New Roman"/>
                <w:iCs/>
                <w:sz w:val="24"/>
                <w:szCs w:val="24"/>
                <w:lang w:eastAsia="lv-LV"/>
              </w:rPr>
            </w:pPr>
            <w:r w:rsidRPr="002B45E7">
              <w:rPr>
                <w:rFonts w:ascii="Times New Roman" w:eastAsia="Times New Roman" w:hAnsi="Times New Roman" w:cs="Times New Roman"/>
                <w:iCs/>
                <w:sz w:val="24"/>
                <w:szCs w:val="24"/>
                <w:lang w:eastAsia="lv-LV"/>
              </w:rPr>
              <w:t>Saprašanās memorandos paredzētās saistības nav pretrunā ar jau esošajām Latvijas Republikas starptautiskajām saistībām.</w:t>
            </w:r>
          </w:p>
        </w:tc>
      </w:tr>
      <w:tr w:rsidR="00E73E44" w:rsidRPr="007B441F" w14:paraId="17550EEE" w14:textId="77777777" w:rsidTr="00C41D25">
        <w:trPr>
          <w:gridBefore w:val="1"/>
          <w:gridAfter w:val="1"/>
          <w:tblCellSpacing w:w="15" w:type="dxa"/>
        </w:trPr>
        <w:tc>
          <w:tcPr>
            <w:tcW w:w="1222" w:type="pct"/>
            <w:gridSpan w:val="5"/>
            <w:tcBorders>
              <w:top w:val="outset" w:sz="6" w:space="0" w:color="auto"/>
              <w:left w:val="outset" w:sz="6" w:space="0" w:color="auto"/>
              <w:bottom w:val="outset" w:sz="6" w:space="0" w:color="auto"/>
              <w:right w:val="outset" w:sz="6" w:space="0" w:color="auto"/>
            </w:tcBorders>
            <w:hideMark/>
          </w:tcPr>
          <w:p w14:paraId="7EEB76BB" w14:textId="77777777" w:rsidR="00E73E44" w:rsidRPr="007B441F" w:rsidRDefault="00E73E44"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Cita informācija</w:t>
            </w:r>
          </w:p>
        </w:tc>
        <w:tc>
          <w:tcPr>
            <w:tcW w:w="3733" w:type="pct"/>
            <w:gridSpan w:val="6"/>
            <w:tcBorders>
              <w:top w:val="outset" w:sz="6" w:space="0" w:color="auto"/>
              <w:left w:val="outset" w:sz="6" w:space="0" w:color="auto"/>
              <w:bottom w:val="outset" w:sz="6" w:space="0" w:color="auto"/>
              <w:right w:val="outset" w:sz="6" w:space="0" w:color="auto"/>
            </w:tcBorders>
            <w:hideMark/>
          </w:tcPr>
          <w:p w14:paraId="2A36E752" w14:textId="4CEBF6C8" w:rsidR="00E73E44" w:rsidRPr="007B441F" w:rsidRDefault="0095657B" w:rsidP="004F60EE">
            <w:pPr>
              <w:spacing w:after="0" w:line="240" w:lineRule="auto"/>
              <w:rPr>
                <w:rFonts w:ascii="Times New Roman" w:eastAsia="Times New Roman" w:hAnsi="Times New Roman" w:cs="Times New Roman"/>
                <w:b/>
                <w:iCs/>
                <w:sz w:val="24"/>
                <w:szCs w:val="24"/>
                <w:lang w:eastAsia="lv-LV"/>
              </w:rPr>
            </w:pPr>
            <w:r w:rsidRPr="007B441F">
              <w:rPr>
                <w:rFonts w:ascii="Times New Roman" w:eastAsia="Times New Roman" w:hAnsi="Times New Roman" w:cs="Times New Roman"/>
                <w:b/>
                <w:iCs/>
                <w:sz w:val="24"/>
                <w:szCs w:val="24"/>
                <w:lang w:eastAsia="lv-LV"/>
              </w:rPr>
              <w:t>Nav</w:t>
            </w:r>
          </w:p>
        </w:tc>
      </w:tr>
      <w:tr w:rsidR="00C630D2" w:rsidRPr="007B441F" w14:paraId="204BE32D" w14:textId="77777777" w:rsidTr="00C41D25">
        <w:trPr>
          <w:tblCellSpacing w:w="15" w:type="dxa"/>
        </w:trPr>
        <w:tc>
          <w:tcPr>
            <w:tcW w:w="4967" w:type="pct"/>
            <w:gridSpan w:val="13"/>
            <w:tcBorders>
              <w:top w:val="outset" w:sz="6" w:space="0" w:color="auto"/>
              <w:left w:val="outset" w:sz="6" w:space="0" w:color="auto"/>
              <w:bottom w:val="outset" w:sz="6" w:space="0" w:color="auto"/>
              <w:right w:val="outset" w:sz="6" w:space="0" w:color="auto"/>
            </w:tcBorders>
            <w:vAlign w:val="center"/>
            <w:hideMark/>
          </w:tcPr>
          <w:p w14:paraId="39F5A872" w14:textId="77777777" w:rsidR="00C630D2" w:rsidRPr="007B441F" w:rsidRDefault="00C630D2" w:rsidP="00984625">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b/>
                <w:bCs/>
                <w:iCs/>
                <w:sz w:val="24"/>
                <w:szCs w:val="24"/>
                <w:lang w:eastAsia="lv-LV"/>
              </w:rPr>
              <w:t>VI. Sabiedrības līdzdalība un komunikācijas aktivitātes</w:t>
            </w:r>
          </w:p>
        </w:tc>
      </w:tr>
      <w:tr w:rsidR="00C630D2" w:rsidRPr="007B441F" w14:paraId="29C88A7D" w14:textId="77777777" w:rsidTr="00C41D25">
        <w:trPr>
          <w:tblCellSpacing w:w="15" w:type="dxa"/>
        </w:trPr>
        <w:tc>
          <w:tcPr>
            <w:tcW w:w="198" w:type="pct"/>
            <w:gridSpan w:val="3"/>
            <w:tcBorders>
              <w:top w:val="outset" w:sz="6" w:space="0" w:color="auto"/>
              <w:left w:val="outset" w:sz="6" w:space="0" w:color="auto"/>
              <w:bottom w:val="outset" w:sz="6" w:space="0" w:color="auto"/>
              <w:right w:val="outset" w:sz="6" w:space="0" w:color="auto"/>
            </w:tcBorders>
            <w:hideMark/>
          </w:tcPr>
          <w:p w14:paraId="1A56ECF2"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p>
        </w:tc>
        <w:tc>
          <w:tcPr>
            <w:tcW w:w="1456" w:type="pct"/>
            <w:gridSpan w:val="4"/>
            <w:tcBorders>
              <w:top w:val="outset" w:sz="6" w:space="0" w:color="auto"/>
              <w:left w:val="outset" w:sz="6" w:space="0" w:color="auto"/>
              <w:bottom w:val="outset" w:sz="6" w:space="0" w:color="auto"/>
              <w:right w:val="outset" w:sz="6" w:space="0" w:color="auto"/>
            </w:tcBorders>
            <w:hideMark/>
          </w:tcPr>
          <w:p w14:paraId="13CCD137" w14:textId="77777777" w:rsidR="00C630D2" w:rsidRPr="007B441F" w:rsidRDefault="00C630D2" w:rsidP="00DC57B9">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280" w:type="pct"/>
            <w:gridSpan w:val="6"/>
            <w:tcBorders>
              <w:top w:val="outset" w:sz="6" w:space="0" w:color="auto"/>
              <w:left w:val="outset" w:sz="6" w:space="0" w:color="auto"/>
              <w:bottom w:val="outset" w:sz="6" w:space="0" w:color="auto"/>
              <w:right w:val="outset" w:sz="6" w:space="0" w:color="auto"/>
            </w:tcBorders>
            <w:hideMark/>
          </w:tcPr>
          <w:p w14:paraId="668F7D58" w14:textId="531EB6F5" w:rsidR="00C630D2" w:rsidRPr="007B441F" w:rsidRDefault="00C008B8" w:rsidP="00277EC5">
            <w:pPr>
              <w:pStyle w:val="NormalWeb"/>
              <w:jc w:val="both"/>
              <w:rPr>
                <w:rFonts w:eastAsia="Times New Roman"/>
                <w:iCs/>
              </w:rPr>
            </w:pPr>
            <w:r w:rsidRPr="007B441F">
              <w:rPr>
                <w:iCs/>
              </w:rPr>
              <w:t>Informācija par projekta izstrādi ir publicēta Finanšu ministrijas tīmekļvietnē sadaļā “Sabiedrības līdzdalība” – “Tiesību aktu projekti” – “</w:t>
            </w:r>
            <w:r w:rsidR="00754E03" w:rsidRPr="007B441F">
              <w:rPr>
                <w:iCs/>
              </w:rPr>
              <w:t>ES un ārvalstu finanšu palīdzības politika</w:t>
            </w:r>
            <w:r w:rsidRPr="007B441F">
              <w:rPr>
                <w:iCs/>
              </w:rPr>
              <w:t xml:space="preserve">” un </w:t>
            </w:r>
            <w:r w:rsidR="001407D0" w:rsidRPr="007B441F">
              <w:rPr>
                <w:iCs/>
              </w:rPr>
              <w:t xml:space="preserve">finanšu instrumentu tīmekļa vietnē </w:t>
            </w:r>
            <w:hyperlink r:id="rId8" w:history="1">
              <w:r w:rsidR="00AD20B1" w:rsidRPr="007B441F">
                <w:rPr>
                  <w:rStyle w:val="Hyperlink"/>
                  <w:iCs/>
                </w:rPr>
                <w:t>www.eeagrants.lv</w:t>
              </w:r>
            </w:hyperlink>
            <w:r w:rsidR="00AD20B1" w:rsidRPr="007B441F">
              <w:rPr>
                <w:iCs/>
              </w:rPr>
              <w:t xml:space="preserve"> </w:t>
            </w:r>
            <w:r w:rsidRPr="007B441F">
              <w:rPr>
                <w:iCs/>
              </w:rPr>
              <w:t>. L</w:t>
            </w:r>
            <w:r w:rsidRPr="007B441F">
              <w:rPr>
                <w:iCs/>
                <w:spacing w:val="-2"/>
              </w:rPr>
              <w:t xml:space="preserve">īdz ar to sabiedrības pārstāvji varēja </w:t>
            </w:r>
            <w:r w:rsidRPr="007B441F">
              <w:rPr>
                <w:iCs/>
                <w:spacing w:val="-2"/>
              </w:rPr>
              <w:lastRenderedPageBreak/>
              <w:t xml:space="preserve">līdzdarboties projekta izstrādē, </w:t>
            </w:r>
            <w:proofErr w:type="spellStart"/>
            <w:r w:rsidRPr="007B441F">
              <w:rPr>
                <w:iCs/>
                <w:spacing w:val="-2"/>
              </w:rPr>
              <w:t>rakstveidā</w:t>
            </w:r>
            <w:proofErr w:type="spellEnd"/>
            <w:r w:rsidRPr="007B441F">
              <w:rPr>
                <w:iCs/>
                <w:spacing w:val="-2"/>
              </w:rPr>
              <w:t xml:space="preserve"> sniedzot viedokļus par projektu.</w:t>
            </w:r>
            <w:r w:rsidRPr="007B441F">
              <w:rPr>
                <w:iCs/>
              </w:rPr>
              <w:t xml:space="preserve"> </w:t>
            </w:r>
            <w:r w:rsidRPr="007B441F">
              <w:rPr>
                <w:iCs/>
                <w:spacing w:val="-2"/>
              </w:rPr>
              <w:t>Tāpat sabiedrības pārstāvji varēs sniegt viedokļus par projektu pēc tā izsludināšanas Valsts sekretāru sanāksmē.</w:t>
            </w:r>
          </w:p>
        </w:tc>
      </w:tr>
      <w:tr w:rsidR="00C630D2" w:rsidRPr="007B441F" w14:paraId="3B152B4C" w14:textId="77777777" w:rsidTr="00C41D25">
        <w:trPr>
          <w:tblCellSpacing w:w="15" w:type="dxa"/>
        </w:trPr>
        <w:tc>
          <w:tcPr>
            <w:tcW w:w="198" w:type="pct"/>
            <w:gridSpan w:val="3"/>
            <w:tcBorders>
              <w:top w:val="outset" w:sz="6" w:space="0" w:color="auto"/>
              <w:left w:val="outset" w:sz="6" w:space="0" w:color="auto"/>
              <w:bottom w:val="outset" w:sz="6" w:space="0" w:color="auto"/>
              <w:right w:val="outset" w:sz="6" w:space="0" w:color="auto"/>
            </w:tcBorders>
            <w:hideMark/>
          </w:tcPr>
          <w:p w14:paraId="0D759802"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lastRenderedPageBreak/>
              <w:t>2.</w:t>
            </w:r>
          </w:p>
        </w:tc>
        <w:tc>
          <w:tcPr>
            <w:tcW w:w="1456" w:type="pct"/>
            <w:gridSpan w:val="4"/>
            <w:tcBorders>
              <w:top w:val="outset" w:sz="6" w:space="0" w:color="auto"/>
              <w:left w:val="outset" w:sz="6" w:space="0" w:color="auto"/>
              <w:bottom w:val="outset" w:sz="6" w:space="0" w:color="auto"/>
              <w:right w:val="outset" w:sz="6" w:space="0" w:color="auto"/>
            </w:tcBorders>
            <w:hideMark/>
          </w:tcPr>
          <w:p w14:paraId="735539D9" w14:textId="77777777" w:rsidR="00C630D2" w:rsidRPr="007B441F" w:rsidRDefault="00C630D2" w:rsidP="00277EC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Sabiedrības līdzdalība projekta izstrādē</w:t>
            </w:r>
          </w:p>
        </w:tc>
        <w:tc>
          <w:tcPr>
            <w:tcW w:w="3280" w:type="pct"/>
            <w:gridSpan w:val="6"/>
            <w:tcBorders>
              <w:top w:val="outset" w:sz="6" w:space="0" w:color="auto"/>
              <w:left w:val="outset" w:sz="6" w:space="0" w:color="auto"/>
              <w:bottom w:val="outset" w:sz="6" w:space="0" w:color="auto"/>
              <w:right w:val="outset" w:sz="6" w:space="0" w:color="auto"/>
            </w:tcBorders>
            <w:hideMark/>
          </w:tcPr>
          <w:p w14:paraId="2A0404F6" w14:textId="72D5A8BE" w:rsidR="00A14352" w:rsidRPr="007B441F" w:rsidRDefault="00C008B8">
            <w:pPr>
              <w:pStyle w:val="NormalWeb"/>
              <w:spacing w:line="252" w:lineRule="auto"/>
              <w:jc w:val="both"/>
            </w:pPr>
            <w:r w:rsidRPr="007B441F">
              <w:rPr>
                <w:iCs/>
                <w:spacing w:val="-2"/>
              </w:rPr>
              <w:t xml:space="preserve">Sabiedrības pārstāvji varēja līdzdarboties projekta izstrādē, </w:t>
            </w:r>
            <w:proofErr w:type="spellStart"/>
            <w:r w:rsidRPr="007B441F">
              <w:rPr>
                <w:iCs/>
                <w:spacing w:val="-2"/>
              </w:rPr>
              <w:t>rakstveidā</w:t>
            </w:r>
            <w:proofErr w:type="spellEnd"/>
            <w:r w:rsidRPr="007B441F">
              <w:rPr>
                <w:iCs/>
                <w:spacing w:val="-2"/>
              </w:rPr>
              <w:t xml:space="preserve"> sniedzot viedokļus par projektu, kas </w:t>
            </w:r>
            <w:r w:rsidR="00DA75BC" w:rsidRPr="007B441F">
              <w:rPr>
                <w:iCs/>
              </w:rPr>
              <w:t xml:space="preserve">2019. </w:t>
            </w:r>
            <w:r w:rsidRPr="007B441F">
              <w:rPr>
                <w:iCs/>
              </w:rPr>
              <w:t xml:space="preserve">gada </w:t>
            </w:r>
            <w:r w:rsidR="00F26404" w:rsidRPr="007B441F">
              <w:rPr>
                <w:iCs/>
              </w:rPr>
              <w:t>21.jūnijā</w:t>
            </w:r>
            <w:r w:rsidR="00DA75BC" w:rsidRPr="007B441F">
              <w:rPr>
                <w:iCs/>
              </w:rPr>
              <w:t xml:space="preserve"> </w:t>
            </w:r>
            <w:r w:rsidRPr="007B441F">
              <w:rPr>
                <w:iCs/>
              </w:rPr>
              <w:t>publicēts Finanšu ministrijas tīmekļvietnē sadaļā “Sabiedrības līdzdalība” – “Tiesību aktu projekti” – “</w:t>
            </w:r>
            <w:r w:rsidR="00754E03" w:rsidRPr="007B441F">
              <w:rPr>
                <w:iCs/>
              </w:rPr>
              <w:t>ES un ārvalstu finanšu palīdzības politika</w:t>
            </w:r>
            <w:r w:rsidRPr="007B441F">
              <w:rPr>
                <w:iCs/>
              </w:rPr>
              <w:t>”, adrese:</w:t>
            </w:r>
            <w:r w:rsidRPr="007B441F">
              <w:t xml:space="preserve"> </w:t>
            </w:r>
          </w:p>
          <w:p w14:paraId="729100A6" w14:textId="5D17E205" w:rsidR="00CB0F9B" w:rsidRPr="007B441F" w:rsidRDefault="009D2BBB">
            <w:pPr>
              <w:pStyle w:val="NormalWeb"/>
              <w:spacing w:line="252" w:lineRule="auto"/>
              <w:jc w:val="both"/>
            </w:pPr>
            <w:hyperlink r:id="rId9" w:history="1">
              <w:r w:rsidR="00CB0F9B" w:rsidRPr="007B441F">
                <w:rPr>
                  <w:rStyle w:val="Hyperlink"/>
                </w:rPr>
                <w:t>https://www.fm.gov.lv/lv/sabiedribas_lidzdaliba</w:t>
              </w:r>
            </w:hyperlink>
          </w:p>
          <w:p w14:paraId="279931B8" w14:textId="55B17F5D" w:rsidR="00C630D2" w:rsidRPr="007B441F" w:rsidRDefault="00C008B8" w:rsidP="00277EC5">
            <w:pPr>
              <w:pStyle w:val="NormalWeb"/>
              <w:spacing w:line="252" w:lineRule="auto"/>
              <w:jc w:val="both"/>
              <w:rPr>
                <w:rFonts w:eastAsia="Times New Roman"/>
                <w:iCs/>
                <w:highlight w:val="yellow"/>
              </w:rPr>
            </w:pPr>
            <w:r w:rsidRPr="007B441F">
              <w:rPr>
                <w:iCs/>
              </w:rPr>
              <w:t>un Ministru kabineta tīmekļvietnē sadaļā “Valsts kanceleja” – “Sabiedrības līdzdalība</w:t>
            </w:r>
            <w:r w:rsidRPr="007B441F">
              <w:t xml:space="preserve">”, </w:t>
            </w:r>
            <w:r w:rsidRPr="007B441F">
              <w:rPr>
                <w:iCs/>
              </w:rPr>
              <w:t>adrese:</w:t>
            </w:r>
            <w:r w:rsidRPr="007B441F">
              <w:t xml:space="preserve"> </w:t>
            </w:r>
            <w:hyperlink r:id="rId10" w:history="1">
              <w:r w:rsidR="00496921" w:rsidRPr="007B441F">
                <w:rPr>
                  <w:rStyle w:val="Hyperlink"/>
                </w:rPr>
                <w:t>https://mk.gov.lv/content/ministru-kabineta-diskusiju-dokumenti</w:t>
              </w:r>
            </w:hyperlink>
            <w:r w:rsidR="00496921" w:rsidRPr="007B441F">
              <w:rPr>
                <w:rFonts w:eastAsia="Times New Roman"/>
                <w:iCs/>
              </w:rPr>
              <w:t xml:space="preserve"> </w:t>
            </w:r>
            <w:r w:rsidRPr="007B441F">
              <w:rPr>
                <w:rFonts w:eastAsia="Times New Roman"/>
                <w:iCs/>
              </w:rPr>
              <w:t xml:space="preserve">un </w:t>
            </w:r>
            <w:r w:rsidR="001407D0" w:rsidRPr="007B441F">
              <w:rPr>
                <w:rFonts w:eastAsia="Times New Roman"/>
                <w:iCs/>
              </w:rPr>
              <w:t xml:space="preserve">finanšu instrumentu </w:t>
            </w:r>
            <w:r w:rsidRPr="007B441F">
              <w:rPr>
                <w:rFonts w:eastAsia="Times New Roman"/>
                <w:iCs/>
              </w:rPr>
              <w:t xml:space="preserve">tīmekļa vietnē </w:t>
            </w:r>
            <w:hyperlink r:id="rId11" w:history="1">
              <w:r w:rsidR="00CA3D0D" w:rsidRPr="007B441F">
                <w:rPr>
                  <w:rStyle w:val="Hyperlink"/>
                </w:rPr>
                <w:t>https://www.eeagrants.lv/?id=4</w:t>
              </w:r>
            </w:hyperlink>
            <w:r w:rsidR="00CA3D0D" w:rsidRPr="007B441F">
              <w:t xml:space="preserve"> </w:t>
            </w:r>
            <w:r w:rsidRPr="007B441F">
              <w:rPr>
                <w:rFonts w:eastAsia="Times New Roman"/>
                <w:iCs/>
              </w:rPr>
              <w:t>.</w:t>
            </w:r>
          </w:p>
        </w:tc>
      </w:tr>
      <w:tr w:rsidR="00C630D2" w:rsidRPr="007B441F" w14:paraId="639C48B8" w14:textId="77777777" w:rsidTr="00C41D25">
        <w:trPr>
          <w:tblCellSpacing w:w="15" w:type="dxa"/>
        </w:trPr>
        <w:tc>
          <w:tcPr>
            <w:tcW w:w="198" w:type="pct"/>
            <w:gridSpan w:val="3"/>
            <w:tcBorders>
              <w:top w:val="outset" w:sz="6" w:space="0" w:color="auto"/>
              <w:left w:val="outset" w:sz="6" w:space="0" w:color="auto"/>
              <w:bottom w:val="outset" w:sz="6" w:space="0" w:color="auto"/>
              <w:right w:val="outset" w:sz="6" w:space="0" w:color="auto"/>
            </w:tcBorders>
            <w:hideMark/>
          </w:tcPr>
          <w:p w14:paraId="362AD914"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3.</w:t>
            </w:r>
          </w:p>
        </w:tc>
        <w:tc>
          <w:tcPr>
            <w:tcW w:w="1456" w:type="pct"/>
            <w:gridSpan w:val="4"/>
            <w:tcBorders>
              <w:top w:val="outset" w:sz="6" w:space="0" w:color="auto"/>
              <w:left w:val="outset" w:sz="6" w:space="0" w:color="auto"/>
              <w:bottom w:val="outset" w:sz="6" w:space="0" w:color="auto"/>
              <w:right w:val="outset" w:sz="6" w:space="0" w:color="auto"/>
            </w:tcBorders>
            <w:hideMark/>
          </w:tcPr>
          <w:p w14:paraId="24D69F45" w14:textId="77777777" w:rsidR="00C630D2" w:rsidRPr="007B441F" w:rsidRDefault="00C630D2" w:rsidP="00277EC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Sabiedrības līdzdalības rezultāti</w:t>
            </w:r>
          </w:p>
        </w:tc>
        <w:tc>
          <w:tcPr>
            <w:tcW w:w="3280" w:type="pct"/>
            <w:gridSpan w:val="6"/>
            <w:tcBorders>
              <w:top w:val="outset" w:sz="6" w:space="0" w:color="auto"/>
              <w:left w:val="outset" w:sz="6" w:space="0" w:color="auto"/>
              <w:bottom w:val="outset" w:sz="6" w:space="0" w:color="auto"/>
              <w:right w:val="outset" w:sz="6" w:space="0" w:color="auto"/>
            </w:tcBorders>
            <w:hideMark/>
          </w:tcPr>
          <w:p w14:paraId="58A8ED16" w14:textId="5F25A460" w:rsidR="00C630D2" w:rsidRPr="007B441F" w:rsidRDefault="00ED0510"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noteikumu projekta izstrādes laikā nav saņemti sabiedrības pārstāvju ieteikumi vai iebildumi.</w:t>
            </w:r>
          </w:p>
        </w:tc>
      </w:tr>
      <w:tr w:rsidR="00C630D2" w:rsidRPr="007B441F" w14:paraId="783D3A2B" w14:textId="77777777" w:rsidTr="00C41D25">
        <w:trPr>
          <w:tblCellSpacing w:w="15" w:type="dxa"/>
        </w:trPr>
        <w:tc>
          <w:tcPr>
            <w:tcW w:w="198" w:type="pct"/>
            <w:gridSpan w:val="3"/>
            <w:tcBorders>
              <w:top w:val="outset" w:sz="6" w:space="0" w:color="auto"/>
              <w:left w:val="outset" w:sz="6" w:space="0" w:color="auto"/>
              <w:bottom w:val="outset" w:sz="6" w:space="0" w:color="auto"/>
              <w:right w:val="outset" w:sz="6" w:space="0" w:color="auto"/>
            </w:tcBorders>
            <w:hideMark/>
          </w:tcPr>
          <w:p w14:paraId="7D9EB1FA"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4.</w:t>
            </w:r>
          </w:p>
        </w:tc>
        <w:tc>
          <w:tcPr>
            <w:tcW w:w="1456" w:type="pct"/>
            <w:gridSpan w:val="4"/>
            <w:tcBorders>
              <w:top w:val="outset" w:sz="6" w:space="0" w:color="auto"/>
              <w:left w:val="outset" w:sz="6" w:space="0" w:color="auto"/>
              <w:bottom w:val="outset" w:sz="6" w:space="0" w:color="auto"/>
              <w:right w:val="outset" w:sz="6" w:space="0" w:color="auto"/>
            </w:tcBorders>
            <w:hideMark/>
          </w:tcPr>
          <w:p w14:paraId="4C1EBCAE" w14:textId="77777777" w:rsidR="00C630D2" w:rsidRPr="007B441F" w:rsidRDefault="00C630D2" w:rsidP="00277EC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 informācija</w:t>
            </w:r>
          </w:p>
        </w:tc>
        <w:tc>
          <w:tcPr>
            <w:tcW w:w="3280" w:type="pct"/>
            <w:gridSpan w:val="6"/>
            <w:tcBorders>
              <w:top w:val="outset" w:sz="6" w:space="0" w:color="auto"/>
              <w:left w:val="outset" w:sz="6" w:space="0" w:color="auto"/>
              <w:bottom w:val="outset" w:sz="6" w:space="0" w:color="auto"/>
              <w:right w:val="outset" w:sz="6" w:space="0" w:color="auto"/>
            </w:tcBorders>
            <w:hideMark/>
          </w:tcPr>
          <w:p w14:paraId="52393899"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Nav</w:t>
            </w:r>
          </w:p>
        </w:tc>
      </w:tr>
      <w:tr w:rsidR="00C630D2" w:rsidRPr="007B441F" w14:paraId="7F5DF0F7" w14:textId="77777777" w:rsidTr="00C41D25">
        <w:trPr>
          <w:gridBefore w:val="2"/>
          <w:gridAfter w:val="2"/>
          <w:wBefore w:w="3" w:type="pct"/>
          <w:wAfter w:w="3" w:type="pct"/>
          <w:tblCellSpacing w:w="15" w:type="dxa"/>
        </w:trPr>
        <w:tc>
          <w:tcPr>
            <w:tcW w:w="4928" w:type="pct"/>
            <w:gridSpan w:val="9"/>
            <w:tcBorders>
              <w:top w:val="outset" w:sz="6" w:space="0" w:color="auto"/>
              <w:left w:val="outset" w:sz="6" w:space="0" w:color="auto"/>
              <w:bottom w:val="outset" w:sz="6" w:space="0" w:color="auto"/>
              <w:right w:val="outset" w:sz="6" w:space="0" w:color="auto"/>
            </w:tcBorders>
            <w:vAlign w:val="center"/>
            <w:hideMark/>
          </w:tcPr>
          <w:p w14:paraId="33CA9FB7" w14:textId="516741CC" w:rsidR="00C630D2" w:rsidRPr="007B441F" w:rsidRDefault="00C630D2" w:rsidP="00B975D7">
            <w:pPr>
              <w:spacing w:after="0" w:line="240" w:lineRule="auto"/>
              <w:jc w:val="center"/>
              <w:rPr>
                <w:rFonts w:ascii="Times New Roman" w:eastAsia="Times New Roman" w:hAnsi="Times New Roman" w:cs="Times New Roman"/>
                <w:b/>
                <w:bCs/>
                <w:iCs/>
                <w:sz w:val="24"/>
                <w:szCs w:val="24"/>
                <w:lang w:eastAsia="lv-LV"/>
              </w:rPr>
            </w:pPr>
            <w:r w:rsidRPr="007B441F">
              <w:rPr>
                <w:rFonts w:ascii="Times New Roman" w:eastAsia="Times New Roman" w:hAnsi="Times New Roman" w:cs="Times New Roman"/>
                <w:iCs/>
                <w:sz w:val="24"/>
                <w:szCs w:val="24"/>
                <w:lang w:eastAsia="lv-LV"/>
              </w:rPr>
              <w:t xml:space="preserve"> </w:t>
            </w:r>
            <w:r w:rsidRPr="007B44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630D2" w:rsidRPr="007B441F" w14:paraId="1A0CB9C6" w14:textId="77777777" w:rsidTr="00C41D25">
        <w:trPr>
          <w:gridBefore w:val="2"/>
          <w:gridAfter w:val="2"/>
          <w:wBefore w:w="3" w:type="pct"/>
          <w:wAfter w:w="3" w:type="pct"/>
          <w:tblCellSpacing w:w="15" w:type="dxa"/>
        </w:trPr>
        <w:tc>
          <w:tcPr>
            <w:tcW w:w="301" w:type="pct"/>
            <w:gridSpan w:val="3"/>
            <w:tcBorders>
              <w:top w:val="outset" w:sz="6" w:space="0" w:color="auto"/>
              <w:left w:val="outset" w:sz="6" w:space="0" w:color="auto"/>
              <w:bottom w:val="outset" w:sz="6" w:space="0" w:color="auto"/>
              <w:right w:val="outset" w:sz="6" w:space="0" w:color="auto"/>
            </w:tcBorders>
            <w:hideMark/>
          </w:tcPr>
          <w:p w14:paraId="51F22A7E"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p>
        </w:tc>
        <w:tc>
          <w:tcPr>
            <w:tcW w:w="1659" w:type="pct"/>
            <w:gridSpan w:val="4"/>
            <w:tcBorders>
              <w:top w:val="outset" w:sz="6" w:space="0" w:color="auto"/>
              <w:left w:val="outset" w:sz="6" w:space="0" w:color="auto"/>
              <w:bottom w:val="outset" w:sz="6" w:space="0" w:color="auto"/>
              <w:right w:val="outset" w:sz="6" w:space="0" w:color="auto"/>
            </w:tcBorders>
            <w:hideMark/>
          </w:tcPr>
          <w:p w14:paraId="5254F9DE" w14:textId="77777777" w:rsidR="00C630D2" w:rsidRPr="007B441F" w:rsidRDefault="00C630D2" w:rsidP="00277EC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Projekta izpildē iesaistītās institūcijas</w:t>
            </w:r>
          </w:p>
        </w:tc>
        <w:tc>
          <w:tcPr>
            <w:tcW w:w="2935" w:type="pct"/>
            <w:gridSpan w:val="2"/>
            <w:tcBorders>
              <w:top w:val="outset" w:sz="6" w:space="0" w:color="auto"/>
              <w:left w:val="outset" w:sz="6" w:space="0" w:color="auto"/>
              <w:bottom w:val="outset" w:sz="6" w:space="0" w:color="auto"/>
              <w:right w:val="outset" w:sz="6" w:space="0" w:color="auto"/>
            </w:tcBorders>
            <w:hideMark/>
          </w:tcPr>
          <w:p w14:paraId="1BF057AF" w14:textId="4585B0F8" w:rsidR="007B441F"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noteikumu projekta izpildi nodrošinās šādas institūcijas:</w:t>
            </w:r>
          </w:p>
          <w:p w14:paraId="792EE79B" w14:textId="507A2A2F"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1)</w:t>
            </w:r>
            <w:r w:rsidR="00025E98"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 xml:space="preserve">Finanšu ministrija kā vadošā iestāde, </w:t>
            </w:r>
          </w:p>
          <w:p w14:paraId="17782D88" w14:textId="77C7B13E" w:rsidR="00C630D2"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2)</w:t>
            </w:r>
            <w:r w:rsidR="00025E98"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Centrālā finanšu un līgumu aģentūra kā aģentūra,</w:t>
            </w:r>
          </w:p>
          <w:p w14:paraId="78777692" w14:textId="6BEB49EA" w:rsidR="00C630D2" w:rsidRPr="007B441F" w:rsidRDefault="00C630D2" w:rsidP="00C008B8">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3)</w:t>
            </w:r>
            <w:r w:rsidR="00025E98" w:rsidRPr="007B441F">
              <w:rPr>
                <w:rFonts w:ascii="Times New Roman" w:eastAsia="Times New Roman" w:hAnsi="Times New Roman" w:cs="Times New Roman"/>
                <w:iCs/>
                <w:sz w:val="24"/>
                <w:szCs w:val="24"/>
                <w:lang w:eastAsia="lv-LV"/>
              </w:rPr>
              <w:t> </w:t>
            </w:r>
            <w:r w:rsidRPr="007B441F">
              <w:rPr>
                <w:rFonts w:ascii="Times New Roman" w:eastAsia="Times New Roman" w:hAnsi="Times New Roman" w:cs="Times New Roman"/>
                <w:iCs/>
                <w:sz w:val="24"/>
                <w:szCs w:val="24"/>
                <w:lang w:eastAsia="lv-LV"/>
              </w:rPr>
              <w:t>starpniekinstitūcijas (nozaru ministrijas).</w:t>
            </w:r>
          </w:p>
        </w:tc>
      </w:tr>
      <w:tr w:rsidR="00C630D2" w:rsidRPr="007B441F" w14:paraId="7F2F5886" w14:textId="77777777" w:rsidTr="00C41D25">
        <w:trPr>
          <w:gridBefore w:val="2"/>
          <w:gridAfter w:val="2"/>
          <w:wBefore w:w="3" w:type="pct"/>
          <w:wAfter w:w="3" w:type="pct"/>
          <w:tblCellSpacing w:w="15" w:type="dxa"/>
        </w:trPr>
        <w:tc>
          <w:tcPr>
            <w:tcW w:w="301" w:type="pct"/>
            <w:gridSpan w:val="3"/>
            <w:tcBorders>
              <w:top w:val="outset" w:sz="6" w:space="0" w:color="auto"/>
              <w:left w:val="outset" w:sz="6" w:space="0" w:color="auto"/>
              <w:bottom w:val="outset" w:sz="6" w:space="0" w:color="auto"/>
              <w:right w:val="outset" w:sz="6" w:space="0" w:color="auto"/>
            </w:tcBorders>
            <w:hideMark/>
          </w:tcPr>
          <w:p w14:paraId="753FA8C8"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2.</w:t>
            </w:r>
          </w:p>
        </w:tc>
        <w:tc>
          <w:tcPr>
            <w:tcW w:w="1659" w:type="pct"/>
            <w:gridSpan w:val="4"/>
            <w:tcBorders>
              <w:top w:val="outset" w:sz="6" w:space="0" w:color="auto"/>
              <w:left w:val="outset" w:sz="6" w:space="0" w:color="auto"/>
              <w:bottom w:val="outset" w:sz="6" w:space="0" w:color="auto"/>
              <w:right w:val="outset" w:sz="6" w:space="0" w:color="auto"/>
            </w:tcBorders>
            <w:hideMark/>
          </w:tcPr>
          <w:p w14:paraId="263B0847" w14:textId="77777777" w:rsidR="00C630D2" w:rsidRPr="007B441F" w:rsidRDefault="00C630D2" w:rsidP="00277EC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Projekta izpildes ietekme uz pārvaldes funkcijām un institucionālo struktūru.</w:t>
            </w:r>
            <w:r w:rsidRPr="007B441F">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35" w:type="pct"/>
            <w:gridSpan w:val="2"/>
            <w:tcBorders>
              <w:top w:val="outset" w:sz="6" w:space="0" w:color="auto"/>
              <w:left w:val="outset" w:sz="6" w:space="0" w:color="auto"/>
              <w:bottom w:val="outset" w:sz="6" w:space="0" w:color="auto"/>
              <w:right w:val="outset" w:sz="6" w:space="0" w:color="auto"/>
            </w:tcBorders>
            <w:hideMark/>
          </w:tcPr>
          <w:p w14:paraId="1A49EFF1" w14:textId="3A492BC8" w:rsidR="00025E98" w:rsidRPr="007B441F" w:rsidRDefault="00C630D2"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MK noteikumu projekta izpildei nav nepieciešams paplašināt iepriekšējā punktā minēto institūciju funkcijas un uzdevumus</w:t>
            </w:r>
            <w:r w:rsidR="00025E98" w:rsidRPr="007B441F">
              <w:rPr>
                <w:rFonts w:ascii="Times New Roman" w:eastAsia="Times New Roman" w:hAnsi="Times New Roman" w:cs="Times New Roman"/>
                <w:iCs/>
                <w:sz w:val="24"/>
                <w:szCs w:val="24"/>
                <w:lang w:eastAsia="lv-LV"/>
              </w:rPr>
              <w:t xml:space="preserve">, veidot jaunas institūcijas, tās likvidēt vai reorganizēt. </w:t>
            </w:r>
          </w:p>
          <w:p w14:paraId="41B95CF1" w14:textId="6D59786D" w:rsidR="00C630D2" w:rsidRPr="007B441F" w:rsidRDefault="00025E98" w:rsidP="00984625">
            <w:pPr>
              <w:spacing w:after="0" w:line="240" w:lineRule="auto"/>
              <w:jc w:val="both"/>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 xml:space="preserve">Projekta </w:t>
            </w:r>
            <w:r w:rsidR="00C008B8" w:rsidRPr="007B441F">
              <w:rPr>
                <w:rFonts w:ascii="Times New Roman" w:eastAsia="Times New Roman" w:hAnsi="Times New Roman" w:cs="Times New Roman"/>
                <w:iCs/>
                <w:sz w:val="24"/>
                <w:szCs w:val="24"/>
                <w:lang w:eastAsia="lv-LV"/>
              </w:rPr>
              <w:t xml:space="preserve">izpilde tiks nodrošināta esošā finansējuma un cilvēkresursu ietvaros. </w:t>
            </w:r>
          </w:p>
        </w:tc>
      </w:tr>
      <w:tr w:rsidR="00C630D2" w:rsidRPr="007B441F" w14:paraId="32AE1CBA" w14:textId="77777777" w:rsidTr="00C41D25">
        <w:trPr>
          <w:gridBefore w:val="2"/>
          <w:gridAfter w:val="2"/>
          <w:wBefore w:w="3" w:type="pct"/>
          <w:wAfter w:w="3" w:type="pct"/>
          <w:tblCellSpacing w:w="15" w:type="dxa"/>
        </w:trPr>
        <w:tc>
          <w:tcPr>
            <w:tcW w:w="301" w:type="pct"/>
            <w:gridSpan w:val="3"/>
            <w:tcBorders>
              <w:top w:val="outset" w:sz="6" w:space="0" w:color="auto"/>
              <w:left w:val="outset" w:sz="6" w:space="0" w:color="auto"/>
              <w:bottom w:val="outset" w:sz="6" w:space="0" w:color="auto"/>
              <w:right w:val="outset" w:sz="6" w:space="0" w:color="auto"/>
            </w:tcBorders>
            <w:hideMark/>
          </w:tcPr>
          <w:p w14:paraId="5663F7C0"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3.</w:t>
            </w:r>
          </w:p>
        </w:tc>
        <w:tc>
          <w:tcPr>
            <w:tcW w:w="1659" w:type="pct"/>
            <w:gridSpan w:val="4"/>
            <w:tcBorders>
              <w:top w:val="outset" w:sz="6" w:space="0" w:color="auto"/>
              <w:left w:val="outset" w:sz="6" w:space="0" w:color="auto"/>
              <w:bottom w:val="outset" w:sz="6" w:space="0" w:color="auto"/>
              <w:right w:val="outset" w:sz="6" w:space="0" w:color="auto"/>
            </w:tcBorders>
            <w:hideMark/>
          </w:tcPr>
          <w:p w14:paraId="54247051"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Cita informācija</w:t>
            </w:r>
          </w:p>
        </w:tc>
        <w:tc>
          <w:tcPr>
            <w:tcW w:w="2935" w:type="pct"/>
            <w:gridSpan w:val="2"/>
            <w:tcBorders>
              <w:top w:val="outset" w:sz="6" w:space="0" w:color="auto"/>
              <w:left w:val="outset" w:sz="6" w:space="0" w:color="auto"/>
              <w:bottom w:val="outset" w:sz="6" w:space="0" w:color="auto"/>
              <w:right w:val="outset" w:sz="6" w:space="0" w:color="auto"/>
            </w:tcBorders>
            <w:hideMark/>
          </w:tcPr>
          <w:p w14:paraId="14F5BF07" w14:textId="77777777" w:rsidR="00C630D2" w:rsidRPr="007B441F" w:rsidRDefault="00C630D2" w:rsidP="00984625">
            <w:pPr>
              <w:spacing w:after="0" w:line="240" w:lineRule="auto"/>
              <w:rPr>
                <w:rFonts w:ascii="Times New Roman" w:eastAsia="Times New Roman" w:hAnsi="Times New Roman" w:cs="Times New Roman"/>
                <w:iCs/>
                <w:sz w:val="24"/>
                <w:szCs w:val="24"/>
                <w:lang w:eastAsia="lv-LV"/>
              </w:rPr>
            </w:pPr>
            <w:r w:rsidRPr="007B441F">
              <w:rPr>
                <w:rFonts w:ascii="Times New Roman" w:eastAsia="Times New Roman" w:hAnsi="Times New Roman" w:cs="Times New Roman"/>
                <w:iCs/>
                <w:sz w:val="24"/>
                <w:szCs w:val="24"/>
                <w:lang w:eastAsia="lv-LV"/>
              </w:rPr>
              <w:t>Nav</w:t>
            </w:r>
          </w:p>
        </w:tc>
      </w:tr>
    </w:tbl>
    <w:p w14:paraId="6743519F" w14:textId="6F73A894" w:rsidR="001D3765" w:rsidRPr="007B441F" w:rsidRDefault="001D3765" w:rsidP="00C630D2">
      <w:pPr>
        <w:spacing w:after="0" w:line="240" w:lineRule="auto"/>
        <w:ind w:hanging="142"/>
        <w:rPr>
          <w:rFonts w:ascii="Times New Roman" w:hAnsi="Times New Roman" w:cs="Times New Roman"/>
          <w:sz w:val="24"/>
          <w:szCs w:val="24"/>
        </w:rPr>
      </w:pPr>
    </w:p>
    <w:p w14:paraId="6206B930" w14:textId="77777777" w:rsidR="00C41D25" w:rsidRDefault="00C41D25" w:rsidP="00C41D25">
      <w:pPr>
        <w:tabs>
          <w:tab w:val="left" w:pos="6237"/>
        </w:tabs>
        <w:spacing w:after="0" w:line="240" w:lineRule="auto"/>
        <w:ind w:firstLine="720"/>
        <w:rPr>
          <w:rFonts w:ascii="Times New Roman" w:hAnsi="Times New Roman" w:cs="Times New Roman"/>
          <w:sz w:val="24"/>
          <w:szCs w:val="24"/>
        </w:rPr>
      </w:pPr>
    </w:p>
    <w:p w14:paraId="1BB8791A" w14:textId="77777777" w:rsidR="00C41D25" w:rsidRDefault="00C41D25" w:rsidP="00C41D25">
      <w:pPr>
        <w:tabs>
          <w:tab w:val="left" w:pos="6237"/>
        </w:tabs>
        <w:spacing w:after="0" w:line="240" w:lineRule="auto"/>
        <w:ind w:firstLine="720"/>
        <w:rPr>
          <w:rFonts w:ascii="Times New Roman" w:hAnsi="Times New Roman" w:cs="Times New Roman"/>
          <w:sz w:val="24"/>
          <w:szCs w:val="24"/>
        </w:rPr>
      </w:pPr>
    </w:p>
    <w:p w14:paraId="2DB676FD" w14:textId="77777777" w:rsidR="009D2BBB" w:rsidRDefault="009D2BBB" w:rsidP="00C41D25">
      <w:pPr>
        <w:tabs>
          <w:tab w:val="left" w:pos="6237"/>
        </w:tabs>
        <w:spacing w:after="0" w:line="240" w:lineRule="auto"/>
        <w:ind w:firstLine="720"/>
        <w:rPr>
          <w:rFonts w:ascii="Times New Roman" w:hAnsi="Times New Roman" w:cs="Times New Roman"/>
          <w:sz w:val="24"/>
          <w:szCs w:val="24"/>
        </w:rPr>
      </w:pPr>
    </w:p>
    <w:p w14:paraId="0FD39C85" w14:textId="77777777" w:rsidR="009D2BBB" w:rsidRDefault="009D2BBB" w:rsidP="00C41D25">
      <w:pPr>
        <w:tabs>
          <w:tab w:val="left" w:pos="6237"/>
        </w:tabs>
        <w:spacing w:after="0" w:line="240" w:lineRule="auto"/>
        <w:ind w:firstLine="720"/>
        <w:rPr>
          <w:rFonts w:ascii="Times New Roman" w:hAnsi="Times New Roman" w:cs="Times New Roman"/>
          <w:sz w:val="24"/>
          <w:szCs w:val="24"/>
        </w:rPr>
      </w:pPr>
    </w:p>
    <w:p w14:paraId="751EC205" w14:textId="77777777" w:rsidR="009D2BBB" w:rsidRDefault="009D2BBB" w:rsidP="00C41D25">
      <w:pPr>
        <w:tabs>
          <w:tab w:val="left" w:pos="6237"/>
        </w:tabs>
        <w:spacing w:after="0" w:line="240" w:lineRule="auto"/>
        <w:ind w:firstLine="720"/>
        <w:rPr>
          <w:rFonts w:ascii="Times New Roman" w:hAnsi="Times New Roman" w:cs="Times New Roman"/>
          <w:sz w:val="24"/>
          <w:szCs w:val="24"/>
        </w:rPr>
      </w:pPr>
    </w:p>
    <w:p w14:paraId="47EEAC0C" w14:textId="6201AB8A" w:rsidR="00C630D2" w:rsidRPr="007B441F" w:rsidRDefault="00C630D2" w:rsidP="00C41D25">
      <w:pPr>
        <w:tabs>
          <w:tab w:val="left" w:pos="6237"/>
        </w:tabs>
        <w:spacing w:after="0" w:line="240" w:lineRule="auto"/>
        <w:ind w:firstLine="720"/>
        <w:rPr>
          <w:rFonts w:ascii="Times New Roman" w:hAnsi="Times New Roman" w:cs="Times New Roman"/>
          <w:sz w:val="24"/>
          <w:szCs w:val="24"/>
        </w:rPr>
      </w:pPr>
      <w:r w:rsidRPr="007B441F">
        <w:rPr>
          <w:rFonts w:ascii="Times New Roman" w:hAnsi="Times New Roman" w:cs="Times New Roman"/>
          <w:sz w:val="24"/>
          <w:szCs w:val="24"/>
        </w:rPr>
        <w:t>Finanšu ministrs</w:t>
      </w:r>
      <w:r w:rsidRPr="007B441F">
        <w:rPr>
          <w:rFonts w:ascii="Times New Roman" w:hAnsi="Times New Roman" w:cs="Times New Roman"/>
          <w:sz w:val="24"/>
          <w:szCs w:val="24"/>
        </w:rPr>
        <w:tab/>
        <w:t>J. Reirs</w:t>
      </w:r>
    </w:p>
    <w:p w14:paraId="1370765D" w14:textId="7487B82B" w:rsidR="00C41D25" w:rsidRDefault="00C41D25" w:rsidP="00C630D2">
      <w:pPr>
        <w:tabs>
          <w:tab w:val="left" w:pos="6237"/>
        </w:tabs>
        <w:spacing w:after="0" w:line="240" w:lineRule="auto"/>
        <w:rPr>
          <w:rFonts w:ascii="Times New Roman" w:hAnsi="Times New Roman" w:cs="Times New Roman"/>
          <w:sz w:val="24"/>
          <w:szCs w:val="24"/>
        </w:rPr>
      </w:pPr>
    </w:p>
    <w:p w14:paraId="15B145A1" w14:textId="77777777" w:rsidR="00C41D25" w:rsidRDefault="00C41D25" w:rsidP="00C630D2">
      <w:pPr>
        <w:tabs>
          <w:tab w:val="left" w:pos="6237"/>
        </w:tabs>
        <w:spacing w:after="0" w:line="240" w:lineRule="auto"/>
        <w:rPr>
          <w:rFonts w:ascii="Times New Roman" w:hAnsi="Times New Roman" w:cs="Times New Roman"/>
          <w:sz w:val="24"/>
          <w:szCs w:val="24"/>
        </w:rPr>
      </w:pPr>
    </w:p>
    <w:p w14:paraId="762F1179" w14:textId="2F70B4A7" w:rsidR="00C41D25" w:rsidRDefault="00C41D25" w:rsidP="00C630D2">
      <w:pPr>
        <w:tabs>
          <w:tab w:val="left" w:pos="6237"/>
        </w:tabs>
        <w:spacing w:after="0" w:line="240" w:lineRule="auto"/>
        <w:rPr>
          <w:rFonts w:ascii="Times New Roman" w:hAnsi="Times New Roman" w:cs="Times New Roman"/>
          <w:sz w:val="24"/>
          <w:szCs w:val="24"/>
        </w:rPr>
      </w:pPr>
    </w:p>
    <w:p w14:paraId="11CF2CD5" w14:textId="04213464" w:rsidR="00C41D25" w:rsidRDefault="00C41D25" w:rsidP="00C630D2">
      <w:pPr>
        <w:tabs>
          <w:tab w:val="left" w:pos="6237"/>
        </w:tabs>
        <w:spacing w:after="0" w:line="240" w:lineRule="auto"/>
        <w:rPr>
          <w:rFonts w:ascii="Times New Roman" w:hAnsi="Times New Roman" w:cs="Times New Roman"/>
          <w:sz w:val="24"/>
          <w:szCs w:val="24"/>
        </w:rPr>
      </w:pPr>
    </w:p>
    <w:p w14:paraId="08E38B7E" w14:textId="61932482" w:rsidR="009D2BBB" w:rsidRDefault="009D2BBB" w:rsidP="00C630D2">
      <w:pPr>
        <w:tabs>
          <w:tab w:val="left" w:pos="6237"/>
        </w:tabs>
        <w:spacing w:after="0" w:line="240" w:lineRule="auto"/>
        <w:rPr>
          <w:rFonts w:ascii="Times New Roman" w:hAnsi="Times New Roman" w:cs="Times New Roman"/>
          <w:sz w:val="24"/>
          <w:szCs w:val="24"/>
        </w:rPr>
      </w:pPr>
    </w:p>
    <w:p w14:paraId="64EC7B6C" w14:textId="5D7B2415" w:rsidR="009D2BBB" w:rsidRDefault="009D2BBB" w:rsidP="00C630D2">
      <w:pPr>
        <w:tabs>
          <w:tab w:val="left" w:pos="6237"/>
        </w:tabs>
        <w:spacing w:after="0" w:line="240" w:lineRule="auto"/>
        <w:rPr>
          <w:rFonts w:ascii="Times New Roman" w:hAnsi="Times New Roman" w:cs="Times New Roman"/>
          <w:sz w:val="24"/>
          <w:szCs w:val="24"/>
        </w:rPr>
      </w:pPr>
    </w:p>
    <w:p w14:paraId="58241B1C" w14:textId="77777777" w:rsidR="009D2BBB" w:rsidRDefault="009D2BBB" w:rsidP="00C630D2">
      <w:pPr>
        <w:tabs>
          <w:tab w:val="left" w:pos="6237"/>
        </w:tabs>
        <w:spacing w:after="0" w:line="240" w:lineRule="auto"/>
        <w:rPr>
          <w:rFonts w:ascii="Times New Roman" w:hAnsi="Times New Roman" w:cs="Times New Roman"/>
          <w:sz w:val="24"/>
          <w:szCs w:val="24"/>
        </w:rPr>
      </w:pPr>
      <w:bookmarkStart w:id="0" w:name="_GoBack"/>
      <w:bookmarkEnd w:id="0"/>
    </w:p>
    <w:p w14:paraId="149DD348" w14:textId="22D8E753" w:rsidR="00C630D2" w:rsidRPr="008E713C" w:rsidRDefault="00C630D2" w:rsidP="00C630D2">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Kapilova 67083936</w:t>
      </w:r>
    </w:p>
    <w:p w14:paraId="798A2D7A" w14:textId="48E8BC39" w:rsidR="004557ED" w:rsidRPr="00A21183" w:rsidRDefault="00C630D2" w:rsidP="00A21183">
      <w:pPr>
        <w:tabs>
          <w:tab w:val="left" w:pos="6237"/>
        </w:tabs>
        <w:spacing w:after="0" w:line="240" w:lineRule="auto"/>
        <w:rPr>
          <w:rFonts w:ascii="Times New Roman" w:hAnsi="Times New Roman" w:cs="Times New Roman"/>
          <w:sz w:val="20"/>
          <w:szCs w:val="20"/>
        </w:rPr>
      </w:pPr>
      <w:r w:rsidRPr="008E713C">
        <w:rPr>
          <w:rFonts w:ascii="Times New Roman" w:hAnsi="Times New Roman" w:cs="Times New Roman"/>
          <w:sz w:val="20"/>
          <w:szCs w:val="20"/>
        </w:rPr>
        <w:t>Jekaterina.Kapilova@fm.gov.lv</w:t>
      </w:r>
    </w:p>
    <w:sectPr w:rsidR="004557ED" w:rsidRPr="00A21183" w:rsidSect="009A2654">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EB82E" w14:textId="77777777" w:rsidR="000B2F31" w:rsidRDefault="00ED0510">
      <w:pPr>
        <w:spacing w:after="0" w:line="240" w:lineRule="auto"/>
      </w:pPr>
      <w:r>
        <w:separator/>
      </w:r>
    </w:p>
  </w:endnote>
  <w:endnote w:type="continuationSeparator" w:id="0">
    <w:p w14:paraId="621AF494" w14:textId="77777777" w:rsidR="000B2F31" w:rsidRDefault="00ED0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3C822" w14:textId="115D923F" w:rsidR="00596AE0" w:rsidRPr="009A2654" w:rsidRDefault="00496921" w:rsidP="00596AE0">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F0928">
      <w:rPr>
        <w:rFonts w:ascii="Times New Roman" w:hAnsi="Times New Roman" w:cs="Times New Roman"/>
        <w:sz w:val="20"/>
        <w:szCs w:val="20"/>
      </w:rPr>
      <w:t>04</w:t>
    </w:r>
    <w:r w:rsidR="00BA43E2">
      <w:rPr>
        <w:rFonts w:ascii="Times New Roman" w:hAnsi="Times New Roman" w:cs="Times New Roman"/>
        <w:sz w:val="20"/>
        <w:szCs w:val="20"/>
      </w:rPr>
      <w:t>09</w:t>
    </w:r>
    <w:r w:rsidR="00596AE0">
      <w:rPr>
        <w:rFonts w:ascii="Times New Roman" w:hAnsi="Times New Roman" w:cs="Times New Roman"/>
        <w:sz w:val="20"/>
        <w:szCs w:val="20"/>
      </w:rPr>
      <w:t>19_126</w:t>
    </w:r>
  </w:p>
  <w:p w14:paraId="305F4FC7" w14:textId="77777777" w:rsidR="00E3385D" w:rsidRPr="00682D13" w:rsidRDefault="009D2BBB" w:rsidP="00682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F71B2" w14:textId="7D9A1AA3" w:rsidR="00E3385D" w:rsidRPr="009A2654" w:rsidRDefault="00C630D2" w:rsidP="00FD2970">
    <w:pPr>
      <w:pStyle w:val="Footer"/>
      <w:jc w:val="both"/>
      <w:rPr>
        <w:rFonts w:ascii="Times New Roman" w:hAnsi="Times New Roman" w:cs="Times New Roman"/>
        <w:sz w:val="20"/>
        <w:szCs w:val="20"/>
      </w:rPr>
    </w:pPr>
    <w:r>
      <w:rPr>
        <w:rFonts w:ascii="Times New Roman" w:hAnsi="Times New Roman" w:cs="Times New Roman"/>
        <w:sz w:val="20"/>
        <w:szCs w:val="20"/>
      </w:rPr>
      <w:t>FManot_</w:t>
    </w:r>
    <w:r w:rsidR="004F0928">
      <w:rPr>
        <w:rFonts w:ascii="Times New Roman" w:hAnsi="Times New Roman" w:cs="Times New Roman"/>
        <w:sz w:val="20"/>
        <w:szCs w:val="20"/>
      </w:rPr>
      <w:t>04</w:t>
    </w:r>
    <w:r w:rsidR="00BA43E2">
      <w:rPr>
        <w:rFonts w:ascii="Times New Roman" w:hAnsi="Times New Roman" w:cs="Times New Roman"/>
        <w:sz w:val="20"/>
        <w:szCs w:val="20"/>
      </w:rPr>
      <w:t>0919</w:t>
    </w:r>
    <w:r w:rsidR="00596AE0">
      <w:rPr>
        <w:rFonts w:ascii="Times New Roman" w:hAnsi="Times New Roman" w:cs="Times New Roman"/>
        <w:sz w:val="20"/>
        <w:szCs w:val="20"/>
      </w:rPr>
      <w:t>_126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247506" w14:textId="77777777" w:rsidR="000B2F31" w:rsidRDefault="00ED0510">
      <w:pPr>
        <w:spacing w:after="0" w:line="240" w:lineRule="auto"/>
      </w:pPr>
      <w:r>
        <w:separator/>
      </w:r>
    </w:p>
  </w:footnote>
  <w:footnote w:type="continuationSeparator" w:id="0">
    <w:p w14:paraId="1B3A54C5" w14:textId="77777777" w:rsidR="000B2F31" w:rsidRDefault="00ED05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1DEF42CB" w14:textId="212F8023" w:rsidR="00E3385D" w:rsidRPr="00C25B49" w:rsidRDefault="00C630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9D2BBB">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34020"/>
    <w:multiLevelType w:val="hybridMultilevel"/>
    <w:tmpl w:val="0E76386C"/>
    <w:lvl w:ilvl="0" w:tplc="DAA453DC">
      <w:start w:val="1"/>
      <w:numFmt w:val="decimal"/>
      <w:lvlText w:val="%1)"/>
      <w:lvlJc w:val="left"/>
      <w:pPr>
        <w:ind w:left="609" w:hanging="360"/>
      </w:pPr>
      <w:rPr>
        <w:rFonts w:ascii="Times New Roman" w:eastAsiaTheme="minorHAnsi" w:hAnsi="Times New Roman" w:cs="Times New Roman"/>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B4"/>
    <w:rsid w:val="000145BF"/>
    <w:rsid w:val="000229D1"/>
    <w:rsid w:val="00025E98"/>
    <w:rsid w:val="00040DAC"/>
    <w:rsid w:val="00042F49"/>
    <w:rsid w:val="00060300"/>
    <w:rsid w:val="00064319"/>
    <w:rsid w:val="000725E8"/>
    <w:rsid w:val="00073CFD"/>
    <w:rsid w:val="000914EB"/>
    <w:rsid w:val="00096DD2"/>
    <w:rsid w:val="000B228E"/>
    <w:rsid w:val="000B2F31"/>
    <w:rsid w:val="000D038F"/>
    <w:rsid w:val="000E5D8E"/>
    <w:rsid w:val="000F0AC5"/>
    <w:rsid w:val="0010243C"/>
    <w:rsid w:val="00117640"/>
    <w:rsid w:val="001407D0"/>
    <w:rsid w:val="0018105B"/>
    <w:rsid w:val="0019625F"/>
    <w:rsid w:val="001D3765"/>
    <w:rsid w:val="001D6693"/>
    <w:rsid w:val="001E0270"/>
    <w:rsid w:val="001E6D2B"/>
    <w:rsid w:val="002377B5"/>
    <w:rsid w:val="002437C6"/>
    <w:rsid w:val="00257A80"/>
    <w:rsid w:val="002614E1"/>
    <w:rsid w:val="00277EC5"/>
    <w:rsid w:val="00277ED5"/>
    <w:rsid w:val="002B45E7"/>
    <w:rsid w:val="002E35EC"/>
    <w:rsid w:val="002F0FB4"/>
    <w:rsid w:val="002F767F"/>
    <w:rsid w:val="00312E35"/>
    <w:rsid w:val="00317092"/>
    <w:rsid w:val="00337347"/>
    <w:rsid w:val="00344D01"/>
    <w:rsid w:val="00355145"/>
    <w:rsid w:val="00361E87"/>
    <w:rsid w:val="00364605"/>
    <w:rsid w:val="00382DEF"/>
    <w:rsid w:val="003B5713"/>
    <w:rsid w:val="003D2F16"/>
    <w:rsid w:val="00413410"/>
    <w:rsid w:val="0041437D"/>
    <w:rsid w:val="004557ED"/>
    <w:rsid w:val="00473130"/>
    <w:rsid w:val="00483D46"/>
    <w:rsid w:val="004934BE"/>
    <w:rsid w:val="00496921"/>
    <w:rsid w:val="004A2C88"/>
    <w:rsid w:val="004B3517"/>
    <w:rsid w:val="004C3178"/>
    <w:rsid w:val="004C607B"/>
    <w:rsid w:val="004D0D12"/>
    <w:rsid w:val="004D2E61"/>
    <w:rsid w:val="004F0928"/>
    <w:rsid w:val="004F2512"/>
    <w:rsid w:val="00505968"/>
    <w:rsid w:val="005130BE"/>
    <w:rsid w:val="005300AF"/>
    <w:rsid w:val="0053313D"/>
    <w:rsid w:val="005353AE"/>
    <w:rsid w:val="00556AA0"/>
    <w:rsid w:val="005870F4"/>
    <w:rsid w:val="005876A7"/>
    <w:rsid w:val="005901EC"/>
    <w:rsid w:val="00596ADE"/>
    <w:rsid w:val="00596AE0"/>
    <w:rsid w:val="00616FF1"/>
    <w:rsid w:val="00625F3C"/>
    <w:rsid w:val="0065312A"/>
    <w:rsid w:val="00675EF3"/>
    <w:rsid w:val="006857B8"/>
    <w:rsid w:val="00687135"/>
    <w:rsid w:val="006A57E9"/>
    <w:rsid w:val="006C560B"/>
    <w:rsid w:val="006D0049"/>
    <w:rsid w:val="006E32B6"/>
    <w:rsid w:val="00754E03"/>
    <w:rsid w:val="0077205C"/>
    <w:rsid w:val="007810BC"/>
    <w:rsid w:val="0078658C"/>
    <w:rsid w:val="0079605C"/>
    <w:rsid w:val="007B1D3F"/>
    <w:rsid w:val="007B441F"/>
    <w:rsid w:val="007E5CE6"/>
    <w:rsid w:val="007F1C7A"/>
    <w:rsid w:val="00825620"/>
    <w:rsid w:val="008410D7"/>
    <w:rsid w:val="0085275D"/>
    <w:rsid w:val="00855BDF"/>
    <w:rsid w:val="0085662D"/>
    <w:rsid w:val="008A422F"/>
    <w:rsid w:val="008C3F9D"/>
    <w:rsid w:val="008C7497"/>
    <w:rsid w:val="008D1239"/>
    <w:rsid w:val="008F50EA"/>
    <w:rsid w:val="0091357D"/>
    <w:rsid w:val="0091452E"/>
    <w:rsid w:val="009411BD"/>
    <w:rsid w:val="0095657B"/>
    <w:rsid w:val="0095766C"/>
    <w:rsid w:val="00972482"/>
    <w:rsid w:val="00984F55"/>
    <w:rsid w:val="00992F89"/>
    <w:rsid w:val="00995510"/>
    <w:rsid w:val="00995619"/>
    <w:rsid w:val="00996C1F"/>
    <w:rsid w:val="009D2BBB"/>
    <w:rsid w:val="009F1766"/>
    <w:rsid w:val="009F6E17"/>
    <w:rsid w:val="00A14352"/>
    <w:rsid w:val="00A21183"/>
    <w:rsid w:val="00A268C3"/>
    <w:rsid w:val="00A31AAE"/>
    <w:rsid w:val="00A32114"/>
    <w:rsid w:val="00A53559"/>
    <w:rsid w:val="00A61008"/>
    <w:rsid w:val="00AA41ED"/>
    <w:rsid w:val="00AB6D67"/>
    <w:rsid w:val="00AB754E"/>
    <w:rsid w:val="00AC7F93"/>
    <w:rsid w:val="00AD20B1"/>
    <w:rsid w:val="00AE4836"/>
    <w:rsid w:val="00AF15F5"/>
    <w:rsid w:val="00AF7869"/>
    <w:rsid w:val="00B12A08"/>
    <w:rsid w:val="00B340F3"/>
    <w:rsid w:val="00B60EFA"/>
    <w:rsid w:val="00B66046"/>
    <w:rsid w:val="00B67501"/>
    <w:rsid w:val="00B81633"/>
    <w:rsid w:val="00B87682"/>
    <w:rsid w:val="00B975D7"/>
    <w:rsid w:val="00BA1886"/>
    <w:rsid w:val="00BA1E02"/>
    <w:rsid w:val="00BA43E2"/>
    <w:rsid w:val="00BF1E17"/>
    <w:rsid w:val="00C008B8"/>
    <w:rsid w:val="00C13042"/>
    <w:rsid w:val="00C20E85"/>
    <w:rsid w:val="00C41D25"/>
    <w:rsid w:val="00C43B07"/>
    <w:rsid w:val="00C55A27"/>
    <w:rsid w:val="00C630D2"/>
    <w:rsid w:val="00C862D8"/>
    <w:rsid w:val="00CA3D0D"/>
    <w:rsid w:val="00CB0F9B"/>
    <w:rsid w:val="00CE6D9B"/>
    <w:rsid w:val="00CF4CB1"/>
    <w:rsid w:val="00D06DB0"/>
    <w:rsid w:val="00D1787C"/>
    <w:rsid w:val="00D536C8"/>
    <w:rsid w:val="00D62B7D"/>
    <w:rsid w:val="00D65D62"/>
    <w:rsid w:val="00D86B4D"/>
    <w:rsid w:val="00D86C98"/>
    <w:rsid w:val="00DA609D"/>
    <w:rsid w:val="00DA75BC"/>
    <w:rsid w:val="00DB6933"/>
    <w:rsid w:val="00DC57B9"/>
    <w:rsid w:val="00E41DA9"/>
    <w:rsid w:val="00E5184D"/>
    <w:rsid w:val="00E57260"/>
    <w:rsid w:val="00E73E44"/>
    <w:rsid w:val="00E8286A"/>
    <w:rsid w:val="00EB67F3"/>
    <w:rsid w:val="00ED0510"/>
    <w:rsid w:val="00EF05EE"/>
    <w:rsid w:val="00F02D5F"/>
    <w:rsid w:val="00F26404"/>
    <w:rsid w:val="00F473B4"/>
    <w:rsid w:val="00F4753E"/>
    <w:rsid w:val="00F52493"/>
    <w:rsid w:val="00F53B61"/>
    <w:rsid w:val="00F562C7"/>
    <w:rsid w:val="00F820FF"/>
    <w:rsid w:val="00F8469D"/>
    <w:rsid w:val="00FC0A46"/>
    <w:rsid w:val="00FC4FA3"/>
    <w:rsid w:val="00FD11BE"/>
    <w:rsid w:val="00FE61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44D7"/>
  <w15:chartTrackingRefBased/>
  <w15:docId w15:val="{8BDE8290-5D52-4279-8A2E-FAB700034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30D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0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C630D2"/>
  </w:style>
  <w:style w:type="paragraph" w:styleId="Footer">
    <w:name w:val="footer"/>
    <w:basedOn w:val="Normal"/>
    <w:link w:val="FooterChar"/>
    <w:uiPriority w:val="99"/>
    <w:unhideWhenUsed/>
    <w:rsid w:val="00C630D2"/>
    <w:pPr>
      <w:tabs>
        <w:tab w:val="center" w:pos="4153"/>
        <w:tab w:val="right" w:pos="8306"/>
      </w:tabs>
      <w:spacing w:after="0" w:line="240" w:lineRule="auto"/>
    </w:pPr>
  </w:style>
  <w:style w:type="character" w:customStyle="1" w:styleId="FooterChar">
    <w:name w:val="Footer Char"/>
    <w:basedOn w:val="DefaultParagraphFont"/>
    <w:link w:val="Footer"/>
    <w:uiPriority w:val="99"/>
    <w:rsid w:val="00C630D2"/>
  </w:style>
  <w:style w:type="paragraph" w:styleId="ListParagraph">
    <w:name w:val="List Paragraph"/>
    <w:basedOn w:val="Normal"/>
    <w:uiPriority w:val="34"/>
    <w:qFormat/>
    <w:rsid w:val="00C630D2"/>
    <w:pPr>
      <w:ind w:left="720"/>
      <w:contextualSpacing/>
    </w:pPr>
  </w:style>
  <w:style w:type="character" w:styleId="CommentReference">
    <w:name w:val="annotation reference"/>
    <w:basedOn w:val="DefaultParagraphFont"/>
    <w:uiPriority w:val="99"/>
    <w:semiHidden/>
    <w:unhideWhenUsed/>
    <w:rsid w:val="00312E35"/>
    <w:rPr>
      <w:sz w:val="16"/>
      <w:szCs w:val="16"/>
    </w:rPr>
  </w:style>
  <w:style w:type="paragraph" w:styleId="CommentText">
    <w:name w:val="annotation text"/>
    <w:basedOn w:val="Normal"/>
    <w:link w:val="CommentTextChar"/>
    <w:uiPriority w:val="99"/>
    <w:semiHidden/>
    <w:unhideWhenUsed/>
    <w:rsid w:val="00312E35"/>
    <w:pPr>
      <w:spacing w:line="240" w:lineRule="auto"/>
    </w:pPr>
    <w:rPr>
      <w:sz w:val="20"/>
      <w:szCs w:val="20"/>
    </w:rPr>
  </w:style>
  <w:style w:type="character" w:customStyle="1" w:styleId="CommentTextChar">
    <w:name w:val="Comment Text Char"/>
    <w:basedOn w:val="DefaultParagraphFont"/>
    <w:link w:val="CommentText"/>
    <w:uiPriority w:val="99"/>
    <w:semiHidden/>
    <w:rsid w:val="00312E35"/>
    <w:rPr>
      <w:sz w:val="20"/>
      <w:szCs w:val="20"/>
    </w:rPr>
  </w:style>
  <w:style w:type="paragraph" w:styleId="CommentSubject">
    <w:name w:val="annotation subject"/>
    <w:basedOn w:val="CommentText"/>
    <w:next w:val="CommentText"/>
    <w:link w:val="CommentSubjectChar"/>
    <w:uiPriority w:val="99"/>
    <w:semiHidden/>
    <w:unhideWhenUsed/>
    <w:rsid w:val="00312E35"/>
    <w:rPr>
      <w:b/>
      <w:bCs/>
    </w:rPr>
  </w:style>
  <w:style w:type="character" w:customStyle="1" w:styleId="CommentSubjectChar">
    <w:name w:val="Comment Subject Char"/>
    <w:basedOn w:val="CommentTextChar"/>
    <w:link w:val="CommentSubject"/>
    <w:uiPriority w:val="99"/>
    <w:semiHidden/>
    <w:rsid w:val="00312E35"/>
    <w:rPr>
      <w:b/>
      <w:bCs/>
      <w:sz w:val="20"/>
      <w:szCs w:val="20"/>
    </w:rPr>
  </w:style>
  <w:style w:type="paragraph" w:styleId="BalloonText">
    <w:name w:val="Balloon Text"/>
    <w:basedOn w:val="Normal"/>
    <w:link w:val="BalloonTextChar"/>
    <w:uiPriority w:val="99"/>
    <w:semiHidden/>
    <w:unhideWhenUsed/>
    <w:rsid w:val="00312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E35"/>
    <w:rPr>
      <w:rFonts w:ascii="Segoe UI" w:hAnsi="Segoe UI" w:cs="Segoe UI"/>
      <w:sz w:val="18"/>
      <w:szCs w:val="18"/>
    </w:rPr>
  </w:style>
  <w:style w:type="character" w:styleId="Hyperlink">
    <w:name w:val="Hyperlink"/>
    <w:basedOn w:val="DefaultParagraphFont"/>
    <w:uiPriority w:val="99"/>
    <w:unhideWhenUsed/>
    <w:rsid w:val="00364605"/>
    <w:rPr>
      <w:color w:val="0563C1" w:themeColor="hyperlink"/>
      <w:u w:val="single"/>
    </w:rPr>
  </w:style>
  <w:style w:type="paragraph" w:customStyle="1" w:styleId="tv2132">
    <w:name w:val="tv2132"/>
    <w:basedOn w:val="Normal"/>
    <w:rsid w:val="00C20E85"/>
    <w:pPr>
      <w:spacing w:after="0" w:line="360" w:lineRule="auto"/>
      <w:ind w:firstLine="300"/>
    </w:pPr>
    <w:rPr>
      <w:rFonts w:ascii="Times New Roman" w:eastAsia="Times New Roman" w:hAnsi="Times New Roman" w:cs="Times New Roman"/>
      <w:color w:val="414142"/>
      <w:sz w:val="20"/>
      <w:szCs w:val="20"/>
      <w:lang w:eastAsia="lv-LV"/>
    </w:rPr>
  </w:style>
  <w:style w:type="paragraph" w:styleId="NormalWeb">
    <w:name w:val="Normal (Web)"/>
    <w:basedOn w:val="Normal"/>
    <w:uiPriority w:val="99"/>
    <w:unhideWhenUsed/>
    <w:rsid w:val="00C008B8"/>
    <w:pPr>
      <w:spacing w:after="0" w:line="240" w:lineRule="auto"/>
    </w:pPr>
    <w:rPr>
      <w:rFonts w:ascii="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C008B8"/>
    <w:rPr>
      <w:color w:val="954F72" w:themeColor="followedHyperlink"/>
      <w:u w:val="single"/>
    </w:rPr>
  </w:style>
  <w:style w:type="paragraph" w:styleId="Revision">
    <w:name w:val="Revision"/>
    <w:hidden/>
    <w:uiPriority w:val="99"/>
    <w:semiHidden/>
    <w:rsid w:val="00DC57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54659">
      <w:bodyDiv w:val="1"/>
      <w:marLeft w:val="0"/>
      <w:marRight w:val="0"/>
      <w:marTop w:val="0"/>
      <w:marBottom w:val="0"/>
      <w:divBdr>
        <w:top w:val="none" w:sz="0" w:space="0" w:color="auto"/>
        <w:left w:val="none" w:sz="0" w:space="0" w:color="auto"/>
        <w:bottom w:val="none" w:sz="0" w:space="0" w:color="auto"/>
        <w:right w:val="none" w:sz="0" w:space="0" w:color="auto"/>
      </w:divBdr>
      <w:divsChild>
        <w:div w:id="1817062334">
          <w:marLeft w:val="0"/>
          <w:marRight w:val="0"/>
          <w:marTop w:val="0"/>
          <w:marBottom w:val="0"/>
          <w:divBdr>
            <w:top w:val="none" w:sz="0" w:space="0" w:color="auto"/>
            <w:left w:val="none" w:sz="0" w:space="0" w:color="auto"/>
            <w:bottom w:val="none" w:sz="0" w:space="0" w:color="auto"/>
            <w:right w:val="none" w:sz="0" w:space="0" w:color="auto"/>
          </w:divBdr>
          <w:divsChild>
            <w:div w:id="805899071">
              <w:marLeft w:val="0"/>
              <w:marRight w:val="0"/>
              <w:marTop w:val="0"/>
              <w:marBottom w:val="0"/>
              <w:divBdr>
                <w:top w:val="none" w:sz="0" w:space="0" w:color="auto"/>
                <w:left w:val="none" w:sz="0" w:space="0" w:color="auto"/>
                <w:bottom w:val="none" w:sz="0" w:space="0" w:color="auto"/>
                <w:right w:val="none" w:sz="0" w:space="0" w:color="auto"/>
              </w:divBdr>
              <w:divsChild>
                <w:div w:id="1545560762">
                  <w:marLeft w:val="0"/>
                  <w:marRight w:val="0"/>
                  <w:marTop w:val="0"/>
                  <w:marBottom w:val="0"/>
                  <w:divBdr>
                    <w:top w:val="none" w:sz="0" w:space="0" w:color="auto"/>
                    <w:left w:val="none" w:sz="0" w:space="0" w:color="auto"/>
                    <w:bottom w:val="none" w:sz="0" w:space="0" w:color="auto"/>
                    <w:right w:val="none" w:sz="0" w:space="0" w:color="auto"/>
                  </w:divBdr>
                  <w:divsChild>
                    <w:div w:id="933172631">
                      <w:marLeft w:val="0"/>
                      <w:marRight w:val="0"/>
                      <w:marTop w:val="0"/>
                      <w:marBottom w:val="0"/>
                      <w:divBdr>
                        <w:top w:val="none" w:sz="0" w:space="0" w:color="auto"/>
                        <w:left w:val="none" w:sz="0" w:space="0" w:color="auto"/>
                        <w:bottom w:val="none" w:sz="0" w:space="0" w:color="auto"/>
                        <w:right w:val="none" w:sz="0" w:space="0" w:color="auto"/>
                      </w:divBdr>
                      <w:divsChild>
                        <w:div w:id="588274826">
                          <w:marLeft w:val="0"/>
                          <w:marRight w:val="0"/>
                          <w:marTop w:val="0"/>
                          <w:marBottom w:val="0"/>
                          <w:divBdr>
                            <w:top w:val="none" w:sz="0" w:space="0" w:color="auto"/>
                            <w:left w:val="none" w:sz="0" w:space="0" w:color="auto"/>
                            <w:bottom w:val="none" w:sz="0" w:space="0" w:color="auto"/>
                            <w:right w:val="none" w:sz="0" w:space="0" w:color="auto"/>
                          </w:divBdr>
                          <w:divsChild>
                            <w:div w:id="16806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9963824">
      <w:bodyDiv w:val="1"/>
      <w:marLeft w:val="0"/>
      <w:marRight w:val="0"/>
      <w:marTop w:val="0"/>
      <w:marBottom w:val="0"/>
      <w:divBdr>
        <w:top w:val="none" w:sz="0" w:space="0" w:color="auto"/>
        <w:left w:val="none" w:sz="0" w:space="0" w:color="auto"/>
        <w:bottom w:val="none" w:sz="0" w:space="0" w:color="auto"/>
        <w:right w:val="none" w:sz="0" w:space="0" w:color="auto"/>
      </w:divBdr>
      <w:divsChild>
        <w:div w:id="1028799680">
          <w:marLeft w:val="0"/>
          <w:marRight w:val="0"/>
          <w:marTop w:val="0"/>
          <w:marBottom w:val="0"/>
          <w:divBdr>
            <w:top w:val="none" w:sz="0" w:space="0" w:color="auto"/>
            <w:left w:val="none" w:sz="0" w:space="0" w:color="auto"/>
            <w:bottom w:val="none" w:sz="0" w:space="0" w:color="auto"/>
            <w:right w:val="none" w:sz="0" w:space="0" w:color="auto"/>
          </w:divBdr>
          <w:divsChild>
            <w:div w:id="487476251">
              <w:marLeft w:val="0"/>
              <w:marRight w:val="0"/>
              <w:marTop w:val="0"/>
              <w:marBottom w:val="0"/>
              <w:divBdr>
                <w:top w:val="none" w:sz="0" w:space="0" w:color="auto"/>
                <w:left w:val="none" w:sz="0" w:space="0" w:color="auto"/>
                <w:bottom w:val="none" w:sz="0" w:space="0" w:color="auto"/>
                <w:right w:val="none" w:sz="0" w:space="0" w:color="auto"/>
              </w:divBdr>
              <w:divsChild>
                <w:div w:id="45111646">
                  <w:marLeft w:val="0"/>
                  <w:marRight w:val="0"/>
                  <w:marTop w:val="0"/>
                  <w:marBottom w:val="0"/>
                  <w:divBdr>
                    <w:top w:val="none" w:sz="0" w:space="0" w:color="auto"/>
                    <w:left w:val="none" w:sz="0" w:space="0" w:color="auto"/>
                    <w:bottom w:val="none" w:sz="0" w:space="0" w:color="auto"/>
                    <w:right w:val="none" w:sz="0" w:space="0" w:color="auto"/>
                  </w:divBdr>
                  <w:divsChild>
                    <w:div w:id="491483804">
                      <w:marLeft w:val="0"/>
                      <w:marRight w:val="0"/>
                      <w:marTop w:val="0"/>
                      <w:marBottom w:val="0"/>
                      <w:divBdr>
                        <w:top w:val="none" w:sz="0" w:space="0" w:color="auto"/>
                        <w:left w:val="none" w:sz="0" w:space="0" w:color="auto"/>
                        <w:bottom w:val="none" w:sz="0" w:space="0" w:color="auto"/>
                        <w:right w:val="none" w:sz="0" w:space="0" w:color="auto"/>
                      </w:divBdr>
                      <w:divsChild>
                        <w:div w:id="776871120">
                          <w:marLeft w:val="0"/>
                          <w:marRight w:val="0"/>
                          <w:marTop w:val="0"/>
                          <w:marBottom w:val="0"/>
                          <w:divBdr>
                            <w:top w:val="none" w:sz="0" w:space="0" w:color="auto"/>
                            <w:left w:val="none" w:sz="0" w:space="0" w:color="auto"/>
                            <w:bottom w:val="none" w:sz="0" w:space="0" w:color="auto"/>
                            <w:right w:val="none" w:sz="0" w:space="0" w:color="auto"/>
                          </w:divBdr>
                          <w:divsChild>
                            <w:div w:id="76480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8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agrants.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eagrants.lv/?id=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k.gov.lv/content/ministru-kabineta-diskusiju-dokumenti" TargetMode="External"/><Relationship Id="rId4" Type="http://schemas.openxmlformats.org/officeDocument/2006/relationships/settings" Target="settings.xml"/><Relationship Id="rId9" Type="http://schemas.openxmlformats.org/officeDocument/2006/relationships/hyperlink" Target="https://www.fm.gov.lv/lv/sabiedribas_lidzdaliba/tiesibu_aktu_projekti/es_un_arvalstu_finansu_palidzibas_politika"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DD71434E5F458EAC25B5E42676CD18"/>
        <w:category>
          <w:name w:val="General"/>
          <w:gallery w:val="placeholder"/>
        </w:category>
        <w:types>
          <w:type w:val="bbPlcHdr"/>
        </w:types>
        <w:behaviors>
          <w:behavior w:val="content"/>
        </w:behaviors>
        <w:guid w:val="{12FADDD6-DB5D-4C31-8619-2C1BFDAA08F4}"/>
      </w:docPartPr>
      <w:docPartBody>
        <w:p w:rsidR="00C03E71" w:rsidRDefault="00D67D0E" w:rsidP="00D67D0E">
          <w:pPr>
            <w:pStyle w:val="13DD71434E5F458EAC25B5E42676CD18"/>
          </w:pPr>
          <w:r w:rsidRPr="00E90C01">
            <w:rPr>
              <w:rStyle w:val="PlaceholderText"/>
              <w:rFonts w:ascii="Times New Roman" w:hAnsi="Times New Roman" w:cs="Times New Roman"/>
              <w:sz w:val="28"/>
              <w:szCs w:val="28"/>
            </w:rPr>
            <w:t>Tiesību akta</w:t>
          </w:r>
        </w:p>
      </w:docPartBody>
    </w:docPart>
    <w:docPart>
      <w:docPartPr>
        <w:name w:val="1C6CBC30CD6F4FDBA1AC8A9CDE21E30C"/>
        <w:category>
          <w:name w:val="General"/>
          <w:gallery w:val="placeholder"/>
        </w:category>
        <w:types>
          <w:type w:val="bbPlcHdr"/>
        </w:types>
        <w:behaviors>
          <w:behavior w:val="content"/>
        </w:behaviors>
        <w:guid w:val="{5C1B657B-7378-46F0-A4F9-E5FDD5A198E8}"/>
      </w:docPartPr>
      <w:docPartBody>
        <w:p w:rsidR="00C03E71" w:rsidRDefault="00D67D0E" w:rsidP="00D67D0E">
          <w:pPr>
            <w:pStyle w:val="1C6CBC30CD6F4FDBA1AC8A9CDE21E30C"/>
          </w:pPr>
          <w:r w:rsidRPr="00894C55">
            <w:rPr>
              <w:rFonts w:ascii="Times New Roman" w:eastAsia="Times New Roman" w:hAnsi="Times New Roman" w:cs="Times New Roman"/>
              <w:color w:val="A6A6A6" w:themeColor="background1" w:themeShade="A6"/>
              <w:sz w:val="24"/>
              <w:szCs w:val="24"/>
            </w:rPr>
            <w:t>Iekļauj informāciju atbilstoši instrukcijas 17.</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E"/>
    <w:rsid w:val="00C03E71"/>
    <w:rsid w:val="00D67D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7D0E"/>
    <w:rPr>
      <w:color w:val="808080"/>
    </w:rPr>
  </w:style>
  <w:style w:type="paragraph" w:customStyle="1" w:styleId="13DD71434E5F458EAC25B5E42676CD18">
    <w:name w:val="13DD71434E5F458EAC25B5E42676CD18"/>
    <w:rsid w:val="00D67D0E"/>
  </w:style>
  <w:style w:type="paragraph" w:customStyle="1" w:styleId="1C6CBC30CD6F4FDBA1AC8A9CDE21E30C">
    <w:name w:val="1C6CBC30CD6F4FDBA1AC8A9CDE21E30C"/>
    <w:rsid w:val="00D67D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1045ED-8301-469F-8842-8C180DC37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355</TotalTime>
  <Pages>7</Pages>
  <Words>9572</Words>
  <Characters>5457</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Ministru kabineta noteikumu “Grozījumi Ministru kabineta 2008. gada 26. februāra noteikumos Nr. 126 “Eiropas Ekonomikas zonas finanšu instrumenta un Norvēģijas valdības divpusējā finanšu instrumenta īstenošanas, uzraudzības, novērtēšanas un auditu veikšan</vt:lpstr>
    </vt:vector>
  </TitlesOfParts>
  <Company>FM</Company>
  <LinksUpToDate>false</LinksUpToDate>
  <CharactersWithSpaces>15000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“Grozījumi Ministru kabineta 2008. gada 26. februāra noteikumos Nr. 126 “Eiropas Ekonomikas zonas finanšu instrumenta un Norvēģijas valdības divpusējā finanšu instrumenta īstenošanas, uzraudzības, novērtēšanas un auditu veikšanas kārtība”” projekta sākotnējās ietekmes novērtējuma ziņojums (anotācija)</dc:title>
  <dc:subject>Anotācija</dc:subject>
  <dc:creator>Jekaterina Kapilova</dc:creator>
  <cp:keywords/>
  <dc:description>Tālr.: 67083936_x000d_
E-pasts: jekaterina.kapilova@fm.gov.lv</dc:description>
  <cp:lastModifiedBy>Jekaterina Kapilova</cp:lastModifiedBy>
  <cp:revision>72</cp:revision>
  <cp:lastPrinted>2019-09-03T06:37:00Z</cp:lastPrinted>
  <dcterms:created xsi:type="dcterms:W3CDTF">2019-07-17T08:34:00Z</dcterms:created>
  <dcterms:modified xsi:type="dcterms:W3CDTF">2019-10-01T08:24:00Z</dcterms:modified>
</cp:coreProperties>
</file>