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69C69E84" w:rsidR="000D01B5" w:rsidRDefault="00DC689C" w:rsidP="00914B17">
      <w:pPr>
        <w:pStyle w:val="naislab"/>
        <w:spacing w:before="0" w:after="0"/>
        <w:ind w:left="-284" w:right="-284"/>
        <w:jc w:val="center"/>
        <w:outlineLvl w:val="0"/>
        <w:rPr>
          <w:b/>
        </w:rPr>
      </w:pPr>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p w14:paraId="26027E95" w14:textId="7B25479A" w:rsidR="000A79C2" w:rsidRDefault="000A79C2" w:rsidP="00914B17">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75"/>
      </w:tblGrid>
      <w:tr w:rsidR="000A79C2" w:rsidRPr="006A0BE1" w14:paraId="789900F6" w14:textId="77777777" w:rsidTr="000A79C2">
        <w:trPr>
          <w:trHeight w:val="416"/>
        </w:trPr>
        <w:tc>
          <w:tcPr>
            <w:tcW w:w="9797" w:type="dxa"/>
            <w:gridSpan w:val="2"/>
          </w:tcPr>
          <w:p w14:paraId="0D2FA9FD" w14:textId="6E13EFE3" w:rsidR="000A79C2" w:rsidRPr="006A0BE1" w:rsidRDefault="000A79C2" w:rsidP="00914B17">
            <w:pPr>
              <w:pStyle w:val="naiskr"/>
              <w:spacing w:before="0" w:after="0"/>
              <w:ind w:left="91" w:right="79" w:firstLine="425"/>
              <w:jc w:val="center"/>
              <w:rPr>
                <w:b/>
              </w:rPr>
            </w:pPr>
            <w:r w:rsidRPr="006A0BE1">
              <w:rPr>
                <w:b/>
              </w:rPr>
              <w:t>Tiesību akta projekta anotācijas kopsavilkums</w:t>
            </w:r>
          </w:p>
        </w:tc>
      </w:tr>
      <w:tr w:rsidR="000A79C2" w:rsidRPr="006A0BE1" w14:paraId="69E6ABE5" w14:textId="77777777" w:rsidTr="007469B4">
        <w:trPr>
          <w:trHeight w:val="1130"/>
        </w:trPr>
        <w:tc>
          <w:tcPr>
            <w:tcW w:w="2122" w:type="dxa"/>
          </w:tcPr>
          <w:p w14:paraId="5DF095C9" w14:textId="7BDE9BCB" w:rsidR="000A79C2" w:rsidRPr="006A0BE1" w:rsidRDefault="000A79C2" w:rsidP="00914B17">
            <w:pPr>
              <w:pStyle w:val="naiskr"/>
              <w:spacing w:before="0" w:after="0"/>
              <w:ind w:hanging="10"/>
            </w:pPr>
            <w:r w:rsidRPr="006A0BE1">
              <w:t>Mērķis, risinājums un projekta spēkā stāšanās laiks</w:t>
            </w:r>
          </w:p>
        </w:tc>
        <w:tc>
          <w:tcPr>
            <w:tcW w:w="7675" w:type="dxa"/>
          </w:tcPr>
          <w:p w14:paraId="494C9F2B" w14:textId="4FD171FC" w:rsidR="00F8435F" w:rsidRPr="00F8435F" w:rsidRDefault="00745CB2" w:rsidP="00914B17">
            <w:pPr>
              <w:ind w:left="141" w:right="161"/>
              <w:jc w:val="both"/>
            </w:pPr>
            <w:r w:rsidRPr="006A0BE1">
              <w:t xml:space="preserve">Ministru kabineta noteikumu projekta  </w:t>
            </w:r>
            <w:r w:rsidR="000A79C2" w:rsidRPr="006A0BE1">
              <w:t xml:space="preserve">mērķis ir </w:t>
            </w:r>
            <w:r w:rsidR="00E27AFC">
              <w:t xml:space="preserve">pilnveidot budžetu izdevumu klasifikāciju un </w:t>
            </w:r>
            <w:r w:rsidR="00F8435F" w:rsidRPr="004329F3">
              <w:t>nodrošināt, ka pēc ekonomiskās būtības līdzvērtīgi izdevumi tiktu attiecināti uz vienu kodu, tādējādi samazinot administratīvo slogu un novēršot interpretācijas iespējas un atvieglojot klasifikācijas piemērošanu</w:t>
            </w:r>
            <w:r w:rsidR="004329F3">
              <w:t>.</w:t>
            </w:r>
            <w:r w:rsidR="00F8435F" w:rsidRPr="004329F3">
              <w:t xml:space="preserve"> </w:t>
            </w:r>
          </w:p>
          <w:p w14:paraId="71AF373A" w14:textId="44C3543F" w:rsidR="000A79C2" w:rsidRPr="006A0BE1" w:rsidRDefault="001E10DE" w:rsidP="00914B17">
            <w:pPr>
              <w:pStyle w:val="naiskr"/>
              <w:spacing w:before="0" w:after="0"/>
              <w:ind w:left="142" w:right="79"/>
              <w:jc w:val="both"/>
            </w:pPr>
            <w:r w:rsidRPr="006A0BE1">
              <w:t xml:space="preserve">Ministru kabineta noteikumi stājas spēkā </w:t>
            </w:r>
            <w:r>
              <w:t>2020</w:t>
            </w:r>
            <w:r w:rsidRPr="006A0BE1">
              <w:t>.gada 1.janvārī</w:t>
            </w:r>
            <w:r>
              <w:t>.</w:t>
            </w:r>
          </w:p>
        </w:tc>
      </w:tr>
    </w:tbl>
    <w:p w14:paraId="350BED48" w14:textId="77777777" w:rsidR="000A79C2" w:rsidRPr="0035239E" w:rsidRDefault="000A79C2" w:rsidP="00914B17">
      <w:pPr>
        <w:pStyle w:val="naislab"/>
        <w:spacing w:before="0" w:after="0"/>
        <w:ind w:left="-284" w:right="-284"/>
        <w:jc w:val="center"/>
        <w:outlineLvl w:val="0"/>
        <w:rPr>
          <w:sz w:val="16"/>
          <w:szCs w:val="16"/>
        </w:rPr>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813"/>
        <w:gridCol w:w="7675"/>
      </w:tblGrid>
      <w:tr w:rsidR="00FC2DC8" w:rsidRPr="006A0BE1" w14:paraId="16243E9D" w14:textId="77777777" w:rsidTr="00880E32">
        <w:tc>
          <w:tcPr>
            <w:tcW w:w="9797" w:type="dxa"/>
            <w:gridSpan w:val="3"/>
            <w:vAlign w:val="center"/>
          </w:tcPr>
          <w:p w14:paraId="16243E9C" w14:textId="77777777" w:rsidR="00DC689C" w:rsidRPr="006A0BE1" w:rsidRDefault="00DC689C" w:rsidP="00914B17">
            <w:pPr>
              <w:pStyle w:val="naisnod"/>
              <w:spacing w:before="0" w:after="0"/>
            </w:pPr>
            <w:r w:rsidRPr="006A0BE1">
              <w:t>I. Tiesību akta projekta izstrādes nepieciešamība</w:t>
            </w:r>
          </w:p>
        </w:tc>
      </w:tr>
      <w:tr w:rsidR="00FC2DC8" w:rsidRPr="006A0BE1" w14:paraId="16243EA1" w14:textId="77777777" w:rsidTr="00AC2522">
        <w:trPr>
          <w:trHeight w:val="1130"/>
        </w:trPr>
        <w:tc>
          <w:tcPr>
            <w:tcW w:w="309" w:type="dxa"/>
          </w:tcPr>
          <w:p w14:paraId="16243E9E" w14:textId="77777777" w:rsidR="00DC689C" w:rsidRPr="006A0BE1" w:rsidRDefault="00DC689C" w:rsidP="00914B17">
            <w:pPr>
              <w:pStyle w:val="naiskr"/>
              <w:spacing w:before="0" w:after="0"/>
            </w:pPr>
            <w:r w:rsidRPr="006A0BE1">
              <w:t>1.</w:t>
            </w:r>
          </w:p>
        </w:tc>
        <w:tc>
          <w:tcPr>
            <w:tcW w:w="1813" w:type="dxa"/>
          </w:tcPr>
          <w:p w14:paraId="16243E9F" w14:textId="77777777" w:rsidR="00DC689C" w:rsidRPr="006A0BE1" w:rsidRDefault="00DC689C" w:rsidP="00914B17">
            <w:pPr>
              <w:pStyle w:val="naiskr"/>
              <w:spacing w:before="0" w:after="0"/>
              <w:ind w:hanging="10"/>
            </w:pPr>
            <w:r w:rsidRPr="006A0BE1">
              <w:t>Pamatojums</w:t>
            </w:r>
          </w:p>
        </w:tc>
        <w:tc>
          <w:tcPr>
            <w:tcW w:w="7675" w:type="dxa"/>
          </w:tcPr>
          <w:p w14:paraId="60BA742B" w14:textId="77777777" w:rsidR="00F8435F" w:rsidRDefault="00745CB2" w:rsidP="00914B17">
            <w:pPr>
              <w:ind w:left="136" w:right="159"/>
              <w:jc w:val="both"/>
            </w:pPr>
            <w:r w:rsidRPr="006A0BE1">
              <w:t>N</w:t>
            </w:r>
            <w:r w:rsidR="00870FC5" w:rsidRPr="006A0BE1">
              <w:t xml:space="preserve">oteikumu projekts sagatavots pēc </w:t>
            </w:r>
            <w:r w:rsidR="00F1446B" w:rsidRPr="006A0BE1">
              <w:t xml:space="preserve">Finanšu ministrijas iniciatīvas, </w:t>
            </w:r>
            <w:r w:rsidR="00F8435F">
              <w:t xml:space="preserve">un turpinot 2018.gadā iesākto, kad tika nolemts, ka ievērojamu daļu būtisku izmaiņu jāatliek diskusijām uz 2019.gadu. </w:t>
            </w:r>
          </w:p>
          <w:p w14:paraId="16243EA0" w14:textId="5B9DDF99" w:rsidR="00BA7031" w:rsidRPr="006A0BE1" w:rsidRDefault="00F8435F" w:rsidP="00914B17">
            <w:pPr>
              <w:ind w:left="136" w:right="159"/>
              <w:jc w:val="both"/>
            </w:pPr>
            <w:r>
              <w:t xml:space="preserve">Projekts tiek izstrādāts, </w:t>
            </w:r>
            <w:r w:rsidR="00F1446B" w:rsidRPr="006A0BE1">
              <w:t xml:space="preserve">lai </w:t>
            </w:r>
            <w:r>
              <w:t>atvieglot</w:t>
            </w:r>
            <w:r w:rsidR="0061761D">
              <w:t>u</w:t>
            </w:r>
            <w:r>
              <w:t xml:space="preserve"> klasifikācijas piemērošanu. </w:t>
            </w:r>
          </w:p>
        </w:tc>
      </w:tr>
      <w:tr w:rsidR="00FC2DC8" w:rsidRPr="006A0BE1" w14:paraId="16243ED9" w14:textId="77777777" w:rsidTr="00AC2522">
        <w:trPr>
          <w:trHeight w:val="557"/>
        </w:trPr>
        <w:tc>
          <w:tcPr>
            <w:tcW w:w="309" w:type="dxa"/>
          </w:tcPr>
          <w:p w14:paraId="16243EA2" w14:textId="77777777" w:rsidR="00DC689C" w:rsidRPr="006A0BE1" w:rsidRDefault="00DC689C" w:rsidP="00914B17">
            <w:pPr>
              <w:pStyle w:val="naiskr"/>
              <w:spacing w:before="0" w:after="0"/>
            </w:pPr>
            <w:r w:rsidRPr="006A0BE1">
              <w:t>2.</w:t>
            </w:r>
          </w:p>
        </w:tc>
        <w:tc>
          <w:tcPr>
            <w:tcW w:w="1813" w:type="dxa"/>
          </w:tcPr>
          <w:p w14:paraId="16243EA3" w14:textId="77777777" w:rsidR="00DC689C" w:rsidRPr="006A0BE1" w:rsidRDefault="00DC689C" w:rsidP="00914B17">
            <w:pPr>
              <w:pStyle w:val="naiskr"/>
              <w:tabs>
                <w:tab w:val="left" w:pos="170"/>
              </w:tabs>
              <w:spacing w:before="0" w:after="0"/>
            </w:pPr>
            <w:r w:rsidRPr="006A0BE1">
              <w:t>Pašreizējā situācija un problēmas</w:t>
            </w:r>
            <w:r w:rsidR="00C90FFC" w:rsidRPr="006A0BE1">
              <w:t>, kuru risināšanai tiesību akta projekts izstrādāts, tiesiskā regulējuma mērķis un būtība</w:t>
            </w:r>
          </w:p>
        </w:tc>
        <w:tc>
          <w:tcPr>
            <w:tcW w:w="7675" w:type="dxa"/>
          </w:tcPr>
          <w:p w14:paraId="4D5225CB" w14:textId="10CD1660" w:rsidR="00866ED8" w:rsidRDefault="00A40966" w:rsidP="00914B17">
            <w:pPr>
              <w:ind w:left="136" w:right="159"/>
              <w:jc w:val="both"/>
            </w:pPr>
            <w:r w:rsidRPr="009C2B5B">
              <w:rPr>
                <w:b/>
              </w:rPr>
              <w:t>Not</w:t>
            </w:r>
            <w:r w:rsidR="00866ED8" w:rsidRPr="009C2B5B">
              <w:rPr>
                <w:b/>
              </w:rPr>
              <w:t>eikumu projekts tika sagatavots ar mērķi</w:t>
            </w:r>
            <w:r w:rsidR="00866ED8" w:rsidRPr="009C2B5B">
              <w:t>:</w:t>
            </w:r>
          </w:p>
          <w:p w14:paraId="0648BA7B" w14:textId="49004934" w:rsidR="00F8435F" w:rsidRDefault="00F8435F" w:rsidP="00914B17">
            <w:pPr>
              <w:numPr>
                <w:ilvl w:val="0"/>
                <w:numId w:val="12"/>
              </w:numPr>
              <w:ind w:right="157"/>
              <w:jc w:val="both"/>
            </w:pPr>
            <w:r>
              <w:t>nodrošināt, ka pēc ekonomiskās būtības līdzvērtīgi izdevumi tiktu attiecināti uz vienu kodu, tādējādi samazinot administratīvo slogu un novēršot interpretācijas iespējas un atvieglojot klasifikācijas piemērošanu;</w:t>
            </w:r>
          </w:p>
          <w:p w14:paraId="2B051B6C" w14:textId="4E3C4DE3" w:rsidR="00F8435F" w:rsidRDefault="00F8435F" w:rsidP="00914B17">
            <w:pPr>
              <w:numPr>
                <w:ilvl w:val="0"/>
                <w:numId w:val="12"/>
              </w:numPr>
              <w:ind w:right="157"/>
              <w:jc w:val="both"/>
            </w:pPr>
            <w:r>
              <w:t>nodrošināt starptautiskās finanšu statistikas prasībām atbilstošus datu griezumus;</w:t>
            </w:r>
          </w:p>
          <w:p w14:paraId="15F19443" w14:textId="77777777" w:rsidR="00F8435F" w:rsidRPr="00F8435F" w:rsidRDefault="00F8435F" w:rsidP="00914B17">
            <w:pPr>
              <w:pStyle w:val="ListParagraph"/>
              <w:numPr>
                <w:ilvl w:val="0"/>
                <w:numId w:val="12"/>
              </w:numPr>
              <w:spacing w:line="240" w:lineRule="auto"/>
              <w:ind w:right="161"/>
              <w:rPr>
                <w:rFonts w:eastAsia="Times New Roman" w:cs="Times New Roman"/>
                <w:szCs w:val="24"/>
                <w:lang w:eastAsia="lv-LV"/>
              </w:rPr>
            </w:pPr>
            <w:r w:rsidRPr="00F8435F">
              <w:rPr>
                <w:rFonts w:eastAsia="Times New Roman" w:cs="Times New Roman"/>
                <w:szCs w:val="24"/>
                <w:lang w:eastAsia="lv-LV"/>
              </w:rPr>
              <w:t>nodrošināt viendabīgas un salīdzināmas informācijas pieejamību nacionālajām izdevumu analīzes vajadzībām;</w:t>
            </w:r>
          </w:p>
          <w:p w14:paraId="22FFC943" w14:textId="6736213A" w:rsidR="003402E1" w:rsidRPr="003402E1" w:rsidRDefault="003402E1" w:rsidP="00914B17">
            <w:pPr>
              <w:numPr>
                <w:ilvl w:val="0"/>
                <w:numId w:val="12"/>
              </w:numPr>
              <w:ind w:right="157"/>
              <w:jc w:val="both"/>
            </w:pPr>
            <w:r>
              <w:t>Ministru kabineta</w:t>
            </w:r>
            <w:r w:rsidRPr="003402E1">
              <w:t xml:space="preserve"> noteikumu līmenī nostiprinot iespējami universālas izdevumu pozīcijas (ņemot vērā budžeta iestāžu darbības specifikas daudzveidību), savukārt iestāžu līmenī,  ja iestādēm tas ir nepieciešams, izmantojot iespēju veikt detalizētāku analītisko uzskaiti, piemēram, ieviešot </w:t>
            </w:r>
            <w:r w:rsidR="00E27AFC">
              <w:t>klasifikācijas</w:t>
            </w:r>
            <w:r w:rsidR="00E27AFC" w:rsidRPr="003402E1">
              <w:t xml:space="preserve"> </w:t>
            </w:r>
            <w:r w:rsidRPr="003402E1">
              <w:t>piekto zīmi vai citus iestādē esošos analītiskos rīkus;</w:t>
            </w:r>
          </w:p>
          <w:p w14:paraId="4ADA8B88" w14:textId="2FDF4250" w:rsidR="00C76226" w:rsidRPr="009C2B5B" w:rsidRDefault="00C76226" w:rsidP="00914B17">
            <w:pPr>
              <w:numPr>
                <w:ilvl w:val="0"/>
                <w:numId w:val="12"/>
              </w:numPr>
              <w:ind w:right="157"/>
              <w:jc w:val="both"/>
            </w:pPr>
            <w:r w:rsidRPr="009C2B5B">
              <w:t xml:space="preserve">samazināt izdevumu klasifikācijas kodu skaitu (apvienojot </w:t>
            </w:r>
            <w:proofErr w:type="spellStart"/>
            <w:r w:rsidRPr="009C2B5B">
              <w:t>apakškodus</w:t>
            </w:r>
            <w:proofErr w:type="spellEnd"/>
            <w:r w:rsidRPr="009C2B5B">
              <w:t>), tādējādi  novēršot interpretācijas iespējas un atvieglojot klasifikācijas piemērošanu;</w:t>
            </w:r>
          </w:p>
          <w:p w14:paraId="4FDBF2DF" w14:textId="177CF91E" w:rsidR="00866ED8" w:rsidRPr="009C2B5B" w:rsidRDefault="00866ED8" w:rsidP="00914B17">
            <w:pPr>
              <w:numPr>
                <w:ilvl w:val="0"/>
                <w:numId w:val="12"/>
              </w:numPr>
              <w:ind w:right="157"/>
              <w:jc w:val="both"/>
            </w:pPr>
            <w:r w:rsidRPr="009C2B5B">
              <w:t>precizēt klasifikācijas kodu nosaukumus un skaidrojumus, ņemot vērā dažā</w:t>
            </w:r>
            <w:r w:rsidR="00F8435F">
              <w:t>das izmaiņas normatīvajos aktos;</w:t>
            </w:r>
          </w:p>
          <w:p w14:paraId="2EECDE56" w14:textId="62810C73" w:rsidR="00594B8D" w:rsidRPr="009C2B5B" w:rsidRDefault="00866ED8" w:rsidP="00914B17">
            <w:pPr>
              <w:numPr>
                <w:ilvl w:val="0"/>
                <w:numId w:val="12"/>
              </w:numPr>
              <w:ind w:left="714" w:right="159" w:hanging="357"/>
              <w:jc w:val="both"/>
            </w:pPr>
            <w:r w:rsidRPr="009C2B5B">
              <w:t xml:space="preserve">veikt citus precizējošā un skaidrojošā rakstura pilnveidojumus, lai  </w:t>
            </w:r>
            <w:r w:rsidR="00A40966" w:rsidRPr="009C2B5B">
              <w:t>izdevumu klasifikācijas piemērošanu padarītu ērtāku tās lietotājiem.</w:t>
            </w:r>
            <w:r w:rsidR="00594B8D" w:rsidRPr="009C2B5B">
              <w:t xml:space="preserve"> </w:t>
            </w:r>
          </w:p>
          <w:p w14:paraId="0BC78600" w14:textId="77777777" w:rsidR="00866ED8" w:rsidRPr="009C2B5B" w:rsidRDefault="00866ED8" w:rsidP="00914B17">
            <w:pPr>
              <w:ind w:left="277" w:right="157"/>
              <w:jc w:val="both"/>
            </w:pPr>
          </w:p>
          <w:p w14:paraId="46F8E435" w14:textId="13A9AB8E" w:rsidR="000B2E2F" w:rsidRPr="001B7DA5" w:rsidRDefault="001B7DA5" w:rsidP="00914B17">
            <w:pPr>
              <w:pStyle w:val="ListParagraph"/>
              <w:numPr>
                <w:ilvl w:val="0"/>
                <w:numId w:val="16"/>
              </w:numPr>
              <w:spacing w:line="240" w:lineRule="auto"/>
              <w:ind w:left="918" w:right="164" w:hanging="357"/>
              <w:rPr>
                <w:rFonts w:eastAsia="Calibri"/>
                <w:b/>
              </w:rPr>
            </w:pPr>
            <w:r w:rsidRPr="001B7DA5">
              <w:rPr>
                <w:rFonts w:eastAsia="Calibri"/>
                <w:b/>
              </w:rPr>
              <w:t>“Administratīvie” izdevumi</w:t>
            </w:r>
          </w:p>
          <w:p w14:paraId="19381B31" w14:textId="17961F60" w:rsidR="001B7DA5" w:rsidRDefault="001B7DA5" w:rsidP="00914B17">
            <w:pPr>
              <w:ind w:left="141" w:right="163" w:firstLine="421"/>
              <w:jc w:val="both"/>
            </w:pPr>
            <w:r w:rsidRPr="001B7DA5">
              <w:t>Izdevumu ekonomiskās klasifikācijas kodos, kuros šobrīd ir atsauce uz administratīvajiem izdevumiem,  uzskaitītie izdevumi pēc būtības ir daudz šaurāki nekā administratīvo izdevumu jēdziens kopumā. Administratīvajos izdevumos, atkarībā no analīzes konteksta un tvēruma, var ietilpt izdevumi no dažādām 2000, 1000 un pat 5000 koda ekonomiskajām kategorijām. Tāpēc turpmāk izdevumu ekonomiskajā klasifikācijā netiks atsevišķi nodalīta "administratīvo izdevumu" pozīcija. Tādējādi tiek veiktas attiecīgas izmaiņas kodu struktūrā, nosaukumos un skaidrojumos</w:t>
            </w:r>
            <w:r>
              <w:t xml:space="preserve">: </w:t>
            </w:r>
          </w:p>
          <w:p w14:paraId="6A870C29" w14:textId="2FC82A0F" w:rsidR="001B7DA5" w:rsidRDefault="00037C6E"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 xml:space="preserve">Kodam </w:t>
            </w:r>
            <w:r w:rsidR="001B7DA5" w:rsidRPr="001B7DA5">
              <w:rPr>
                <w:rFonts w:eastAsia="Times New Roman" w:cs="Times New Roman"/>
                <w:szCs w:val="24"/>
                <w:lang w:eastAsia="lv-LV"/>
              </w:rPr>
              <w:t xml:space="preserve">2200 “Pakalpojumi” </w:t>
            </w:r>
            <w:r>
              <w:rPr>
                <w:rFonts w:eastAsia="Times New Roman" w:cs="Times New Roman"/>
                <w:szCs w:val="24"/>
                <w:lang w:eastAsia="lv-LV"/>
              </w:rPr>
              <w:t xml:space="preserve">precizēts </w:t>
            </w:r>
            <w:r w:rsidR="001B7DA5" w:rsidRPr="001B7DA5">
              <w:rPr>
                <w:rFonts w:eastAsia="Times New Roman" w:cs="Times New Roman"/>
                <w:szCs w:val="24"/>
                <w:lang w:eastAsia="lv-LV"/>
              </w:rPr>
              <w:t>skaidrojums;</w:t>
            </w:r>
          </w:p>
          <w:p w14:paraId="0F8D004E" w14:textId="3DD32A4F" w:rsidR="00037C6E" w:rsidRPr="001B7DA5" w:rsidRDefault="00037C6E"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Kodam 2230 “</w:t>
            </w:r>
            <w:r w:rsidRPr="00037C6E">
              <w:rPr>
                <w:rFonts w:eastAsia="Times New Roman" w:cs="Times New Roman"/>
                <w:szCs w:val="24"/>
                <w:lang w:eastAsia="lv-LV"/>
              </w:rPr>
              <w:t>Iestādes administratīvie izdevumi un ar iestādes darbības nodrošināšanu saistītie izdevumi</w:t>
            </w:r>
            <w:r>
              <w:rPr>
                <w:rFonts w:eastAsia="Times New Roman" w:cs="Times New Roman"/>
                <w:szCs w:val="24"/>
                <w:lang w:eastAsia="lv-LV"/>
              </w:rPr>
              <w:t>” precizēts nosaukums un skaidrojums</w:t>
            </w:r>
          </w:p>
          <w:p w14:paraId="2513DD27" w14:textId="26FB85C2" w:rsidR="001B7DA5" w:rsidRDefault="00037C6E"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lastRenderedPageBreak/>
              <w:t xml:space="preserve">Kodam </w:t>
            </w:r>
            <w:r w:rsidR="001B7DA5" w:rsidRPr="001B7DA5">
              <w:rPr>
                <w:rFonts w:eastAsia="Times New Roman" w:cs="Times New Roman"/>
                <w:szCs w:val="24"/>
                <w:lang w:eastAsia="lv-LV"/>
              </w:rPr>
              <w:t>2231 “Administratīvie izdevumi un sabiedriskās attiecības”</w:t>
            </w:r>
            <w:r>
              <w:rPr>
                <w:rFonts w:eastAsia="Times New Roman" w:cs="Times New Roman"/>
                <w:szCs w:val="24"/>
                <w:lang w:eastAsia="lv-LV"/>
              </w:rPr>
              <w:t xml:space="preserve"> precizēts</w:t>
            </w:r>
            <w:r w:rsidR="001B7DA5" w:rsidRPr="001B7DA5">
              <w:rPr>
                <w:rFonts w:eastAsia="Times New Roman" w:cs="Times New Roman"/>
                <w:szCs w:val="24"/>
                <w:lang w:eastAsia="lv-LV"/>
              </w:rPr>
              <w:t xml:space="preserve"> nosaukums un skaidrojums</w:t>
            </w:r>
            <w:r w:rsidR="0061761D">
              <w:rPr>
                <w:rFonts w:eastAsia="Times New Roman" w:cs="Times New Roman"/>
                <w:szCs w:val="24"/>
                <w:lang w:eastAsia="lv-LV"/>
              </w:rPr>
              <w:t xml:space="preserve"> (turpmāk uz šo kodu attiecinās izdevumus par pakalpojumiem sabiedrisko attiecību</w:t>
            </w:r>
            <w:r w:rsidR="006B038A">
              <w:rPr>
                <w:rFonts w:eastAsia="Times New Roman" w:cs="Times New Roman"/>
                <w:szCs w:val="24"/>
                <w:lang w:eastAsia="lv-LV"/>
              </w:rPr>
              <w:t xml:space="preserve"> un </w:t>
            </w:r>
            <w:r w:rsidR="00BE731E">
              <w:rPr>
                <w:rFonts w:eastAsia="Times New Roman" w:cs="Times New Roman"/>
                <w:szCs w:val="24"/>
                <w:lang w:eastAsia="lv-LV"/>
              </w:rPr>
              <w:t xml:space="preserve">sabiedrisko </w:t>
            </w:r>
            <w:r w:rsidR="006B038A">
              <w:rPr>
                <w:rFonts w:eastAsia="Times New Roman" w:cs="Times New Roman"/>
                <w:szCs w:val="24"/>
                <w:lang w:eastAsia="lv-LV"/>
              </w:rPr>
              <w:t>aktivitāšu</w:t>
            </w:r>
            <w:r w:rsidR="0061761D">
              <w:rPr>
                <w:rFonts w:eastAsia="Times New Roman" w:cs="Times New Roman"/>
                <w:szCs w:val="24"/>
                <w:lang w:eastAsia="lv-LV"/>
              </w:rPr>
              <w:t xml:space="preserve"> īstenošanai)</w:t>
            </w:r>
            <w:r>
              <w:rPr>
                <w:rFonts w:eastAsia="Times New Roman" w:cs="Times New Roman"/>
                <w:szCs w:val="24"/>
                <w:lang w:eastAsia="lv-LV"/>
              </w:rPr>
              <w:t>,</w:t>
            </w:r>
            <w:r w:rsidR="001B7DA5">
              <w:t xml:space="preserve"> p</w:t>
            </w:r>
            <w:r w:rsidR="001B7DA5" w:rsidRPr="001B7DA5">
              <w:rPr>
                <w:rFonts w:eastAsia="Times New Roman" w:cs="Times New Roman"/>
                <w:szCs w:val="24"/>
                <w:lang w:eastAsia="lv-LV"/>
              </w:rPr>
              <w:t>lašāk paskaidrojot, kādi izdevumi uz šo kodu ir jāattiecina (tai skaitā ievērojot pašvaldību darbības specifiku, kas organizē dažādus izklaidējošā rakstura un sadraudzības pasākumus iedzīv</w:t>
            </w:r>
            <w:r w:rsidR="001B7DA5">
              <w:rPr>
                <w:rFonts w:eastAsia="Times New Roman" w:cs="Times New Roman"/>
                <w:szCs w:val="24"/>
                <w:lang w:eastAsia="lv-LV"/>
              </w:rPr>
              <w:t xml:space="preserve">otājiem, skolu audzēkņiem utt.). Tā kā tiek svītrots kods </w:t>
            </w:r>
            <w:r>
              <w:rPr>
                <w:rFonts w:eastAsia="Times New Roman" w:cs="Times New Roman"/>
                <w:szCs w:val="24"/>
                <w:lang w:eastAsia="lv-LV"/>
              </w:rPr>
              <w:t xml:space="preserve">2279 “Pārējie iepriekš neklasificētie pakalpojumu veidi”, tad kodam 2231 tiek pievienotas maksas </w:t>
            </w:r>
            <w:r>
              <w:t xml:space="preserve"> </w:t>
            </w:r>
            <w:r w:rsidRPr="00037C6E">
              <w:rPr>
                <w:rFonts w:eastAsia="Times New Roman" w:cs="Times New Roman"/>
                <w:szCs w:val="24"/>
                <w:lang w:eastAsia="lv-LV"/>
              </w:rPr>
              <w:t>par dalību iekšzemes un ārvalstu organizāciju pasākumos saistībā ar iestādes pārstāvēšanu (izņemot starptautisko sadarb</w:t>
            </w:r>
            <w:r>
              <w:rPr>
                <w:rFonts w:eastAsia="Times New Roman" w:cs="Times New Roman"/>
                <w:szCs w:val="24"/>
                <w:lang w:eastAsia="lv-LV"/>
              </w:rPr>
              <w:t>ību, ko attiecina uz kodu 7700)</w:t>
            </w:r>
            <w:r w:rsidR="001B7DA5">
              <w:rPr>
                <w:rFonts w:eastAsia="Times New Roman" w:cs="Times New Roman"/>
                <w:szCs w:val="24"/>
                <w:lang w:eastAsia="lv-LV"/>
              </w:rPr>
              <w:t>;</w:t>
            </w:r>
          </w:p>
          <w:p w14:paraId="62AEE8D6" w14:textId="1EEB0BB0" w:rsidR="00037C6E" w:rsidRDefault="00037C6E"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Kodam 2239 “</w:t>
            </w:r>
            <w:r w:rsidRPr="00037C6E">
              <w:rPr>
                <w:rFonts w:eastAsia="Times New Roman" w:cs="Times New Roman"/>
                <w:szCs w:val="24"/>
                <w:lang w:eastAsia="lv-LV"/>
              </w:rPr>
              <w:t>Pārējie iestādes administratīvie izdevumi</w:t>
            </w:r>
            <w:r>
              <w:rPr>
                <w:rFonts w:eastAsia="Times New Roman" w:cs="Times New Roman"/>
                <w:szCs w:val="24"/>
                <w:lang w:eastAsia="lv-LV"/>
              </w:rPr>
              <w:t>” precizēts nosaukums un skaidrojums atbilstoši izmaiņām kodos 2230 “</w:t>
            </w:r>
            <w:r w:rsidRPr="00037C6E">
              <w:rPr>
                <w:rFonts w:eastAsia="Times New Roman" w:cs="Times New Roman"/>
                <w:szCs w:val="24"/>
                <w:lang w:eastAsia="lv-LV"/>
              </w:rPr>
              <w:t xml:space="preserve"> Iestādes administratīvie izdevumi un ar iestādes darbības nodrošināšanu saistītie izdevumi</w:t>
            </w:r>
            <w:r>
              <w:rPr>
                <w:rFonts w:eastAsia="Times New Roman" w:cs="Times New Roman"/>
                <w:szCs w:val="24"/>
                <w:lang w:eastAsia="lv-LV"/>
              </w:rPr>
              <w:t>” un 2270 “</w:t>
            </w:r>
            <w:r w:rsidRPr="00037C6E">
              <w:rPr>
                <w:rFonts w:eastAsia="Times New Roman" w:cs="Times New Roman"/>
                <w:szCs w:val="24"/>
                <w:lang w:eastAsia="lv-LV"/>
              </w:rPr>
              <w:t>Citi pakalpojumi</w:t>
            </w:r>
            <w:r>
              <w:rPr>
                <w:rFonts w:eastAsia="Times New Roman" w:cs="Times New Roman"/>
                <w:szCs w:val="24"/>
                <w:lang w:eastAsia="lv-LV"/>
              </w:rPr>
              <w:t>”.</w:t>
            </w:r>
            <w:r w:rsidR="002D6166">
              <w:rPr>
                <w:rFonts w:eastAsia="Times New Roman" w:cs="Times New Roman"/>
                <w:szCs w:val="24"/>
                <w:lang w:eastAsia="lv-LV"/>
              </w:rPr>
              <w:t xml:space="preserve"> Tāpat uz šo kodu attiecina izdevumus no </w:t>
            </w:r>
            <w:r w:rsidR="00232E0C">
              <w:rPr>
                <w:rFonts w:eastAsia="Times New Roman" w:cs="Times New Roman"/>
                <w:szCs w:val="24"/>
                <w:lang w:eastAsia="lv-LV"/>
              </w:rPr>
              <w:t xml:space="preserve">koda </w:t>
            </w:r>
            <w:r w:rsidR="002D6166">
              <w:rPr>
                <w:rFonts w:eastAsia="Times New Roman" w:cs="Times New Roman"/>
                <w:szCs w:val="24"/>
                <w:lang w:eastAsia="lv-LV"/>
              </w:rPr>
              <w:t>2279</w:t>
            </w:r>
            <w:r w:rsidR="00232E0C">
              <w:rPr>
                <w:rFonts w:eastAsia="Times New Roman" w:cs="Times New Roman"/>
                <w:szCs w:val="24"/>
                <w:lang w:eastAsia="lv-LV"/>
              </w:rPr>
              <w:t xml:space="preserve"> “Pārējie iepriekš neklasificētie pakalpojumu veidi”, izņemot izdevumus par dalību maksām (uz kodu 2231),</w:t>
            </w:r>
            <w:r w:rsidR="00232E0C">
              <w:t xml:space="preserve"> </w:t>
            </w:r>
            <w:r w:rsidR="00232E0C" w:rsidRPr="00232E0C">
              <w:rPr>
                <w:rFonts w:eastAsia="Times New Roman" w:cs="Times New Roman"/>
                <w:szCs w:val="24"/>
                <w:lang w:eastAsia="lv-LV"/>
              </w:rPr>
              <w:t>profesionālās izglītības iestāžu izglītojamo prakses or</w:t>
            </w:r>
            <w:r w:rsidR="00232E0C">
              <w:rPr>
                <w:rFonts w:eastAsia="Times New Roman" w:cs="Times New Roman"/>
                <w:szCs w:val="24"/>
                <w:lang w:eastAsia="lv-LV"/>
              </w:rPr>
              <w:t>ganizēšanas izdevumus</w:t>
            </w:r>
            <w:r w:rsidR="00232E0C" w:rsidRPr="00232E0C">
              <w:rPr>
                <w:rFonts w:eastAsia="Times New Roman" w:cs="Times New Roman"/>
                <w:szCs w:val="24"/>
                <w:lang w:eastAsia="lv-LV"/>
              </w:rPr>
              <w:t xml:space="preserve"> </w:t>
            </w:r>
            <w:r w:rsidR="00232E0C">
              <w:rPr>
                <w:rFonts w:eastAsia="Times New Roman" w:cs="Times New Roman"/>
                <w:szCs w:val="24"/>
                <w:lang w:eastAsia="lv-LV"/>
              </w:rPr>
              <w:t>(</w:t>
            </w:r>
            <w:r w:rsidR="00232E0C" w:rsidRPr="00232E0C">
              <w:rPr>
                <w:rFonts w:eastAsia="Times New Roman" w:cs="Times New Roman"/>
                <w:szCs w:val="24"/>
                <w:lang w:eastAsia="lv-LV"/>
              </w:rPr>
              <w:t>pievienoti kodam 2235</w:t>
            </w:r>
            <w:r w:rsidR="00232E0C">
              <w:rPr>
                <w:rFonts w:eastAsia="Times New Roman" w:cs="Times New Roman"/>
                <w:szCs w:val="24"/>
                <w:lang w:eastAsia="lv-LV"/>
              </w:rPr>
              <w:t xml:space="preserve"> “</w:t>
            </w:r>
            <w:r w:rsidR="00232E0C" w:rsidRPr="00232E0C">
              <w:rPr>
                <w:rFonts w:eastAsia="Times New Roman" w:cs="Times New Roman"/>
                <w:szCs w:val="24"/>
                <w:lang w:eastAsia="lv-LV"/>
              </w:rPr>
              <w:t>Izdevumi par saņemtajiem mācību pakalpojumiem</w:t>
            </w:r>
            <w:r w:rsidR="00232E0C">
              <w:rPr>
                <w:rFonts w:eastAsia="Times New Roman" w:cs="Times New Roman"/>
                <w:szCs w:val="24"/>
                <w:lang w:eastAsia="lv-LV"/>
              </w:rPr>
              <w:t>”), akcīzes nodokļu marku izdevumus</w:t>
            </w:r>
            <w:r w:rsidR="00232E0C" w:rsidRPr="00232E0C">
              <w:rPr>
                <w:rFonts w:eastAsia="Times New Roman" w:cs="Times New Roman"/>
                <w:szCs w:val="24"/>
                <w:lang w:eastAsia="lv-LV"/>
              </w:rPr>
              <w:t xml:space="preserve"> </w:t>
            </w:r>
            <w:r w:rsidR="00232E0C">
              <w:rPr>
                <w:rFonts w:eastAsia="Times New Roman" w:cs="Times New Roman"/>
                <w:szCs w:val="24"/>
                <w:lang w:eastAsia="lv-LV"/>
              </w:rPr>
              <w:t>(pievienoti kodam 2390 “</w:t>
            </w:r>
            <w:r w:rsidR="00232E0C" w:rsidRPr="00232E0C">
              <w:rPr>
                <w:rFonts w:eastAsia="Times New Roman" w:cs="Times New Roman"/>
                <w:szCs w:val="24"/>
                <w:lang w:eastAsia="lv-LV"/>
              </w:rPr>
              <w:t>Pārējās preces</w:t>
            </w:r>
            <w:r w:rsidR="00232E0C">
              <w:rPr>
                <w:rFonts w:eastAsia="Times New Roman" w:cs="Times New Roman"/>
                <w:szCs w:val="24"/>
                <w:lang w:eastAsia="lv-LV"/>
              </w:rPr>
              <w:t xml:space="preserve">”, precizējot tā skaidrojumu, </w:t>
            </w:r>
            <w:r w:rsidR="00232E0C" w:rsidRPr="00232E0C">
              <w:rPr>
                <w:rFonts w:eastAsia="Times New Roman" w:cs="Times New Roman"/>
                <w:szCs w:val="24"/>
                <w:lang w:eastAsia="lv-LV"/>
              </w:rPr>
              <w:t xml:space="preserve"> svītrojot specifiskās pozīcijas, jo visas na</w:t>
            </w:r>
            <w:r w:rsidR="00232E0C">
              <w:rPr>
                <w:rFonts w:eastAsia="Times New Roman" w:cs="Times New Roman"/>
                <w:szCs w:val="24"/>
                <w:lang w:eastAsia="lv-LV"/>
              </w:rPr>
              <w:t>v iespējams skaidrojumā ietvert), un izdevumus, kurus pārklasificējot un iestādēm</w:t>
            </w:r>
            <w:r w:rsidR="00232E0C" w:rsidRPr="00037C6E">
              <w:rPr>
                <w:rFonts w:eastAsia="Times New Roman" w:cs="Times New Roman"/>
                <w:szCs w:val="24"/>
                <w:lang w:eastAsia="lv-LV"/>
              </w:rPr>
              <w:t xml:space="preserve"> veic</w:t>
            </w:r>
            <w:r w:rsidR="00232E0C">
              <w:rPr>
                <w:rFonts w:eastAsia="Times New Roman" w:cs="Times New Roman"/>
                <w:szCs w:val="24"/>
                <w:lang w:eastAsia="lv-LV"/>
              </w:rPr>
              <w:t>ot</w:t>
            </w:r>
            <w:r w:rsidR="00232E0C" w:rsidRPr="00037C6E">
              <w:rPr>
                <w:rFonts w:eastAsia="Times New Roman" w:cs="Times New Roman"/>
                <w:szCs w:val="24"/>
                <w:lang w:eastAsia="lv-LV"/>
              </w:rPr>
              <w:t xml:space="preserve"> izdevumu</w:t>
            </w:r>
            <w:r w:rsidR="00232E0C">
              <w:rPr>
                <w:rFonts w:eastAsia="Times New Roman" w:cs="Times New Roman"/>
                <w:szCs w:val="24"/>
                <w:lang w:eastAsia="lv-LV"/>
              </w:rPr>
              <w:t xml:space="preserve"> ekonomiskās būtības izvērtēšanu</w:t>
            </w:r>
            <w:r w:rsidR="00232E0C" w:rsidRPr="00037C6E">
              <w:rPr>
                <w:rFonts w:eastAsia="Times New Roman" w:cs="Times New Roman"/>
                <w:szCs w:val="24"/>
                <w:lang w:eastAsia="lv-LV"/>
              </w:rPr>
              <w:t xml:space="preserve"> </w:t>
            </w:r>
            <w:r w:rsidR="00232E0C">
              <w:rPr>
                <w:rFonts w:eastAsia="Times New Roman" w:cs="Times New Roman"/>
                <w:szCs w:val="24"/>
                <w:lang w:eastAsia="lv-LV"/>
              </w:rPr>
              <w:t xml:space="preserve">var attiecināt </w:t>
            </w:r>
            <w:r w:rsidR="00232E0C" w:rsidRPr="00037C6E">
              <w:rPr>
                <w:rFonts w:eastAsia="Times New Roman" w:cs="Times New Roman"/>
                <w:szCs w:val="24"/>
                <w:lang w:eastAsia="lv-LV"/>
              </w:rPr>
              <w:t>uz atbilstoša</w:t>
            </w:r>
            <w:r w:rsidR="00232E0C">
              <w:rPr>
                <w:rFonts w:eastAsia="Times New Roman" w:cs="Times New Roman"/>
                <w:szCs w:val="24"/>
                <w:lang w:eastAsia="lv-LV"/>
              </w:rPr>
              <w:t>jiem izdevumu kodiem</w:t>
            </w:r>
            <w:r w:rsidR="006928C8">
              <w:rPr>
                <w:rFonts w:eastAsia="Times New Roman" w:cs="Times New Roman"/>
                <w:szCs w:val="24"/>
                <w:lang w:eastAsia="lv-LV"/>
              </w:rPr>
              <w:t>;</w:t>
            </w:r>
          </w:p>
          <w:p w14:paraId="3A2C2838" w14:textId="55E51A19" w:rsidR="006928C8" w:rsidRDefault="006928C8"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Kodam 2235 “</w:t>
            </w:r>
            <w:r w:rsidRPr="006928C8">
              <w:rPr>
                <w:rFonts w:eastAsia="Times New Roman" w:cs="Times New Roman"/>
                <w:szCs w:val="24"/>
                <w:lang w:eastAsia="lv-LV"/>
              </w:rPr>
              <w:t>Izdevumi par saņemtajiem mācību pakalpojumiem</w:t>
            </w:r>
            <w:r>
              <w:rPr>
                <w:rFonts w:eastAsia="Times New Roman" w:cs="Times New Roman"/>
                <w:szCs w:val="24"/>
                <w:lang w:eastAsia="lv-LV"/>
              </w:rPr>
              <w:t xml:space="preserve">” tiek precizēts skaidrojums. </w:t>
            </w:r>
            <w:r>
              <w:t xml:space="preserve"> </w:t>
            </w:r>
            <w:r w:rsidRPr="006928C8">
              <w:rPr>
                <w:rFonts w:eastAsia="Times New Roman" w:cs="Times New Roman"/>
                <w:szCs w:val="24"/>
                <w:lang w:eastAsia="lv-LV"/>
              </w:rPr>
              <w:t>Ņemot vērā jauno pieeju administratīvajiem izdevumiem, nav vairs pamatoti izdevumus par mācību pakalpojumiem sadalīt pēc saņēmēju loka. Tāpēc turpmāk visus izdevumus par mācību ārpakalpojum</w:t>
            </w:r>
            <w:r>
              <w:rPr>
                <w:rFonts w:eastAsia="Times New Roman" w:cs="Times New Roman"/>
                <w:szCs w:val="24"/>
                <w:lang w:eastAsia="lv-LV"/>
              </w:rPr>
              <w:t>iem (gan darbiniekiem, gan izglī</w:t>
            </w:r>
            <w:r w:rsidRPr="006928C8">
              <w:rPr>
                <w:rFonts w:eastAsia="Times New Roman" w:cs="Times New Roman"/>
                <w:szCs w:val="24"/>
                <w:lang w:eastAsia="lv-LV"/>
              </w:rPr>
              <w:t>tojamiem, gan bezdarbniekiem utt.) attiecina uz kodu 2235</w:t>
            </w:r>
            <w:r>
              <w:rPr>
                <w:rFonts w:eastAsia="Times New Roman" w:cs="Times New Roman"/>
                <w:szCs w:val="24"/>
                <w:lang w:eastAsia="lv-LV"/>
              </w:rPr>
              <w:t xml:space="preserve">. Tāpat uz kodu 2235 tiek attiecināti izdevumi </w:t>
            </w:r>
            <w:r w:rsidRPr="00232E0C">
              <w:rPr>
                <w:rFonts w:eastAsia="Times New Roman" w:cs="Times New Roman"/>
                <w:szCs w:val="24"/>
                <w:lang w:eastAsia="lv-LV"/>
              </w:rPr>
              <w:t xml:space="preserve"> </w:t>
            </w:r>
            <w:r>
              <w:rPr>
                <w:rFonts w:eastAsia="Times New Roman" w:cs="Times New Roman"/>
                <w:szCs w:val="24"/>
                <w:lang w:eastAsia="lv-LV"/>
              </w:rPr>
              <w:t xml:space="preserve">par </w:t>
            </w:r>
            <w:r w:rsidRPr="00232E0C">
              <w:rPr>
                <w:rFonts w:eastAsia="Times New Roman" w:cs="Times New Roman"/>
                <w:szCs w:val="24"/>
                <w:lang w:eastAsia="lv-LV"/>
              </w:rPr>
              <w:t>profesionālās izglītības iestāžu izglītojamo prakses or</w:t>
            </w:r>
            <w:r>
              <w:rPr>
                <w:rFonts w:eastAsia="Times New Roman" w:cs="Times New Roman"/>
                <w:szCs w:val="24"/>
                <w:lang w:eastAsia="lv-LV"/>
              </w:rPr>
              <w:t>ganizēšanu;</w:t>
            </w:r>
          </w:p>
          <w:p w14:paraId="762A0444" w14:textId="5962E083" w:rsidR="006928C8" w:rsidRDefault="006928C8"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Kodam 2270 “Citi pakalpojumi” precizēts nosaukums;</w:t>
            </w:r>
          </w:p>
          <w:p w14:paraId="414BEB04" w14:textId="03A13A72" w:rsidR="006928C8" w:rsidRDefault="006928C8"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Kodam 2310 “</w:t>
            </w:r>
            <w:r w:rsidRPr="006928C8">
              <w:rPr>
                <w:rFonts w:eastAsia="Times New Roman" w:cs="Times New Roman"/>
                <w:szCs w:val="24"/>
                <w:lang w:eastAsia="lv-LV"/>
              </w:rPr>
              <w:t>Izdevumi par precēm iestādes darbības nodrošināšanai</w:t>
            </w:r>
            <w:r>
              <w:rPr>
                <w:rFonts w:eastAsia="Times New Roman" w:cs="Times New Roman"/>
                <w:szCs w:val="24"/>
                <w:lang w:eastAsia="lv-LV"/>
              </w:rPr>
              <w:t>” precizēts nosaukums</w:t>
            </w:r>
            <w:r w:rsidR="0061761D">
              <w:rPr>
                <w:rFonts w:eastAsia="Times New Roman" w:cs="Times New Roman"/>
                <w:szCs w:val="24"/>
                <w:lang w:eastAsia="lv-LV"/>
              </w:rPr>
              <w:t>, precīzā</w:t>
            </w:r>
            <w:r w:rsidR="00F67A42">
              <w:rPr>
                <w:rFonts w:eastAsia="Times New Roman" w:cs="Times New Roman"/>
                <w:szCs w:val="24"/>
                <w:lang w:eastAsia="lv-LV"/>
              </w:rPr>
              <w:t>k</w:t>
            </w:r>
            <w:r w:rsidR="0061761D">
              <w:rPr>
                <w:rFonts w:eastAsia="Times New Roman" w:cs="Times New Roman"/>
                <w:szCs w:val="24"/>
                <w:lang w:eastAsia="lv-LV"/>
              </w:rPr>
              <w:t xml:space="preserve"> atspoguļojot tā apakškodos klasificējamo pozīciju būtību</w:t>
            </w:r>
            <w:r>
              <w:rPr>
                <w:rFonts w:eastAsia="Times New Roman" w:cs="Times New Roman"/>
                <w:szCs w:val="24"/>
                <w:lang w:eastAsia="lv-LV"/>
              </w:rPr>
              <w:t>;</w:t>
            </w:r>
          </w:p>
          <w:p w14:paraId="39931623" w14:textId="2A9CD31A" w:rsidR="006928C8" w:rsidRPr="003402E1" w:rsidRDefault="006928C8" w:rsidP="00914B17">
            <w:pPr>
              <w:pStyle w:val="ListParagraph"/>
              <w:numPr>
                <w:ilvl w:val="0"/>
                <w:numId w:val="17"/>
              </w:numPr>
              <w:spacing w:line="240" w:lineRule="auto"/>
              <w:ind w:left="279" w:right="164" w:hanging="279"/>
              <w:rPr>
                <w:rFonts w:eastAsia="Times New Roman" w:cs="Times New Roman"/>
                <w:szCs w:val="24"/>
              </w:rPr>
            </w:pPr>
            <w:r w:rsidRPr="003402E1">
              <w:rPr>
                <w:rFonts w:eastAsia="Times New Roman" w:cs="Times New Roman"/>
                <w:szCs w:val="24"/>
                <w:lang w:eastAsia="lv-LV"/>
              </w:rPr>
              <w:t xml:space="preserve">Kodam 2314 “Izdevumi par precēm iestādes administratīvās darbības nodrošināšanai un sabiedrisko attiecību īstenošanai” tiek precizēts nosaukums un skaidrojums, </w:t>
            </w:r>
            <w:r w:rsidRPr="003402E1">
              <w:t xml:space="preserve"> </w:t>
            </w:r>
            <w:r w:rsidRPr="003402E1">
              <w:rPr>
                <w:rFonts w:eastAsia="Times New Roman" w:cs="Times New Roman"/>
                <w:szCs w:val="24"/>
                <w:lang w:eastAsia="lv-LV"/>
              </w:rPr>
              <w:t>norādot, ka uz šo kodu attiecina preces iestādes sabiedrisko attiecību</w:t>
            </w:r>
            <w:r w:rsidR="006B038A" w:rsidRPr="003402E1">
              <w:rPr>
                <w:rFonts w:eastAsia="Times New Roman" w:cs="Times New Roman"/>
                <w:szCs w:val="24"/>
                <w:lang w:eastAsia="lv-LV"/>
              </w:rPr>
              <w:t xml:space="preserve"> un </w:t>
            </w:r>
            <w:r w:rsidR="00E27AFC">
              <w:rPr>
                <w:rFonts w:eastAsia="Times New Roman" w:cs="Times New Roman"/>
                <w:szCs w:val="24"/>
                <w:lang w:eastAsia="lv-LV"/>
              </w:rPr>
              <w:t xml:space="preserve">citu </w:t>
            </w:r>
            <w:r w:rsidR="00BE731E">
              <w:rPr>
                <w:rFonts w:eastAsia="Times New Roman" w:cs="Times New Roman"/>
                <w:szCs w:val="24"/>
                <w:lang w:eastAsia="lv-LV"/>
              </w:rPr>
              <w:t xml:space="preserve">sabiedrisko </w:t>
            </w:r>
            <w:r w:rsidR="006B038A" w:rsidRPr="003402E1">
              <w:rPr>
                <w:rFonts w:eastAsia="Times New Roman" w:cs="Times New Roman"/>
                <w:szCs w:val="24"/>
                <w:lang w:eastAsia="lv-LV"/>
              </w:rPr>
              <w:t>aktivitāšu</w:t>
            </w:r>
            <w:r w:rsidRPr="003402E1">
              <w:rPr>
                <w:rFonts w:eastAsia="Times New Roman" w:cs="Times New Roman"/>
                <w:szCs w:val="24"/>
                <w:lang w:eastAsia="lv-LV"/>
              </w:rPr>
              <w:t xml:space="preserve"> īstenošanai</w:t>
            </w:r>
            <w:r w:rsidR="000E1C45" w:rsidRPr="003402E1">
              <w:rPr>
                <w:rFonts w:eastAsia="Times New Roman" w:cs="Times New Roman"/>
                <w:szCs w:val="24"/>
                <w:lang w:eastAsia="lv-LV"/>
              </w:rPr>
              <w:t>;</w:t>
            </w:r>
          </w:p>
          <w:p w14:paraId="34999784" w14:textId="565E0728" w:rsidR="006928C8" w:rsidRDefault="006928C8" w:rsidP="00914B17">
            <w:pPr>
              <w:pStyle w:val="ListParagraph"/>
              <w:numPr>
                <w:ilvl w:val="0"/>
                <w:numId w:val="17"/>
              </w:numPr>
              <w:spacing w:line="240" w:lineRule="auto"/>
              <w:ind w:left="279" w:right="164" w:hanging="279"/>
              <w:rPr>
                <w:rFonts w:eastAsia="Times New Roman" w:cs="Times New Roman"/>
                <w:szCs w:val="24"/>
                <w:lang w:eastAsia="lv-LV"/>
              </w:rPr>
            </w:pPr>
            <w:r>
              <w:rPr>
                <w:rFonts w:eastAsia="Times New Roman" w:cs="Times New Roman"/>
                <w:szCs w:val="24"/>
                <w:lang w:eastAsia="lv-LV"/>
              </w:rPr>
              <w:t>Svītrots kods 2800 “</w:t>
            </w:r>
            <w:r w:rsidRPr="006928C8">
              <w:rPr>
                <w:rFonts w:eastAsia="Times New Roman" w:cs="Times New Roman"/>
                <w:szCs w:val="24"/>
                <w:lang w:eastAsia="lv-LV"/>
              </w:rPr>
              <w:t>Pakalpojumi, kurus budžeta iestādes apmaksā noteikto funkciju ietvaros, kas nav iestādes administratīvie izdevumi</w:t>
            </w:r>
            <w:r>
              <w:rPr>
                <w:rFonts w:eastAsia="Times New Roman" w:cs="Times New Roman"/>
                <w:szCs w:val="24"/>
                <w:lang w:eastAsia="lv-LV"/>
              </w:rPr>
              <w:t xml:space="preserve">”, jo </w:t>
            </w:r>
            <w:r w:rsidR="00B54E47">
              <w:rPr>
                <w:rFonts w:eastAsia="Times New Roman" w:cs="Times New Roman"/>
                <w:szCs w:val="24"/>
                <w:lang w:eastAsia="lv-LV"/>
              </w:rPr>
              <w:t>i</w:t>
            </w:r>
            <w:r w:rsidRPr="006928C8">
              <w:rPr>
                <w:rFonts w:eastAsia="Times New Roman" w:cs="Times New Roman"/>
                <w:szCs w:val="24"/>
                <w:lang w:eastAsia="lv-LV"/>
              </w:rPr>
              <w:t xml:space="preserve">zdevumu ekonomiskajā klasifikācijā turpmāk netiks atsevišķi nodalīti "administratīvie" izdevumi un "ne-administratīvie" izdevumi. </w:t>
            </w:r>
            <w:r w:rsidRPr="00B54E47">
              <w:rPr>
                <w:rFonts w:eastAsia="Times New Roman" w:cs="Times New Roman"/>
                <w:szCs w:val="24"/>
                <w:lang w:eastAsia="lv-LV"/>
              </w:rPr>
              <w:t>Pārklasificējot līdz šim uz 2800 kodu attiecinātos izdevumus, iestādes veic izdevumu ekonomiskās būtības izvērtēšanu un attiecina izdevumus uz atbilstošajiem izdevumu kodiem.</w:t>
            </w:r>
          </w:p>
          <w:p w14:paraId="704577C0" w14:textId="77777777" w:rsidR="00914B17" w:rsidRPr="00B54E47" w:rsidRDefault="00914B17" w:rsidP="00914B17">
            <w:pPr>
              <w:pStyle w:val="ListParagraph"/>
              <w:spacing w:line="240" w:lineRule="auto"/>
              <w:ind w:left="707" w:right="164" w:firstLine="0"/>
              <w:rPr>
                <w:rFonts w:eastAsia="Times New Roman" w:cs="Times New Roman"/>
                <w:szCs w:val="24"/>
                <w:lang w:eastAsia="lv-LV"/>
              </w:rPr>
            </w:pPr>
          </w:p>
          <w:p w14:paraId="6259727C" w14:textId="0DF0367C" w:rsidR="000C693F" w:rsidRPr="0047772A" w:rsidRDefault="00B42F7A" w:rsidP="00914B17">
            <w:pPr>
              <w:pStyle w:val="ListParagraph"/>
              <w:numPr>
                <w:ilvl w:val="0"/>
                <w:numId w:val="16"/>
              </w:numPr>
              <w:spacing w:line="240" w:lineRule="auto"/>
              <w:ind w:left="918" w:right="164" w:hanging="357"/>
              <w:contextualSpacing w:val="0"/>
              <w:rPr>
                <w:rFonts w:eastAsia="Calibri"/>
                <w:b/>
              </w:rPr>
            </w:pPr>
            <w:r w:rsidRPr="001B7DA5">
              <w:rPr>
                <w:rFonts w:eastAsia="Calibri"/>
                <w:b/>
              </w:rPr>
              <w:t xml:space="preserve"> </w:t>
            </w:r>
            <w:r w:rsidR="00B54E47">
              <w:t xml:space="preserve"> </w:t>
            </w:r>
            <w:r w:rsidR="0047772A" w:rsidRPr="006F72C6">
              <w:rPr>
                <w:rFonts w:eastAsia="Calibri"/>
              </w:rPr>
              <w:t xml:space="preserve"> </w:t>
            </w:r>
            <w:r w:rsidR="0047772A" w:rsidRPr="0047772A">
              <w:rPr>
                <w:rFonts w:eastAsia="Calibri"/>
                <w:b/>
              </w:rPr>
              <w:t>Ārvalstīs nodarbināto amatpersonu (darbinieku) kompensācijas</w:t>
            </w:r>
          </w:p>
          <w:p w14:paraId="4E5C320F" w14:textId="68F38728" w:rsidR="00B54E47" w:rsidRDefault="00162A8A" w:rsidP="00914B17">
            <w:pPr>
              <w:pStyle w:val="ListParagraph"/>
              <w:spacing w:line="240" w:lineRule="auto"/>
              <w:ind w:left="142" w:right="164"/>
              <w:contextualSpacing w:val="0"/>
              <w:rPr>
                <w:rFonts w:eastAsia="Calibri" w:cs="Times New Roman"/>
                <w:szCs w:val="24"/>
              </w:rPr>
            </w:pPr>
            <w:r w:rsidRPr="00162A8A">
              <w:rPr>
                <w:rFonts w:eastAsia="Calibri" w:cs="Times New Roman"/>
                <w:szCs w:val="24"/>
              </w:rPr>
              <w:t>Kodā 2238</w:t>
            </w:r>
            <w:r>
              <w:rPr>
                <w:rFonts w:eastAsia="Calibri" w:cs="Times New Roman"/>
                <w:szCs w:val="24"/>
              </w:rPr>
              <w:t xml:space="preserve"> “</w:t>
            </w:r>
            <w:r w:rsidRPr="00162A8A">
              <w:rPr>
                <w:rFonts w:eastAsia="Calibri" w:cs="Times New Roman"/>
                <w:szCs w:val="24"/>
              </w:rPr>
              <w:t>Ārvalstīs strādājošo darbinieku dzīvokļa īres un komunālo izdevumu kompensācija</w:t>
            </w:r>
            <w:r>
              <w:rPr>
                <w:rFonts w:eastAsia="Calibri" w:cs="Times New Roman"/>
                <w:szCs w:val="24"/>
              </w:rPr>
              <w:t>”</w:t>
            </w:r>
            <w:r w:rsidRPr="00162A8A">
              <w:rPr>
                <w:rFonts w:eastAsia="Calibri" w:cs="Times New Roman"/>
                <w:szCs w:val="24"/>
              </w:rPr>
              <w:t xml:space="preserve"> apvienotas kompensācijas ārvalstīs strādājošajiem, novēršot to sadrumstalotību pa kodiem.</w:t>
            </w:r>
          </w:p>
          <w:p w14:paraId="1F7ACC3B" w14:textId="3F540C3C" w:rsidR="00162A8A" w:rsidRDefault="00162A8A" w:rsidP="00914B17">
            <w:pPr>
              <w:pStyle w:val="ListParagraph"/>
              <w:spacing w:line="240" w:lineRule="auto"/>
              <w:ind w:left="142" w:right="164"/>
              <w:contextualSpacing w:val="0"/>
              <w:rPr>
                <w:rFonts w:eastAsia="Calibri" w:cs="Times New Roman"/>
                <w:szCs w:val="24"/>
              </w:rPr>
            </w:pPr>
            <w:r w:rsidRPr="00162A8A">
              <w:rPr>
                <w:rFonts w:eastAsia="Calibri" w:cs="Times New Roman"/>
                <w:szCs w:val="24"/>
              </w:rPr>
              <w:lastRenderedPageBreak/>
              <w:t xml:space="preserve">No koda 1224 </w:t>
            </w:r>
            <w:r>
              <w:rPr>
                <w:rFonts w:eastAsia="Calibri" w:cs="Times New Roman"/>
                <w:szCs w:val="24"/>
              </w:rPr>
              <w:t>“</w:t>
            </w:r>
            <w:r w:rsidRPr="00162A8A">
              <w:rPr>
                <w:rFonts w:eastAsia="Calibri" w:cs="Times New Roman"/>
                <w:szCs w:val="24"/>
              </w:rPr>
              <w:t>Ārvalstīs nodarbināto amatpersonu (darbinieku) pabalsti un kompensācijas</w:t>
            </w:r>
            <w:r>
              <w:rPr>
                <w:rFonts w:eastAsia="Calibri" w:cs="Times New Roman"/>
                <w:szCs w:val="24"/>
              </w:rPr>
              <w:t xml:space="preserve">” </w:t>
            </w:r>
            <w:r w:rsidRPr="00162A8A">
              <w:rPr>
                <w:rFonts w:eastAsia="Calibri" w:cs="Times New Roman"/>
                <w:szCs w:val="24"/>
              </w:rPr>
              <w:t>tiek svītrots vārds "kompensācijas", jo tās tiek uzskaitītas kodā 2238, un kodā 1224 pēc būtības tiek uzskaitīti tikai pabalsti</w:t>
            </w:r>
            <w:r>
              <w:rPr>
                <w:rFonts w:eastAsia="Calibri" w:cs="Times New Roman"/>
                <w:szCs w:val="24"/>
              </w:rPr>
              <w:t>.</w:t>
            </w:r>
          </w:p>
          <w:p w14:paraId="21829E9C" w14:textId="29471810" w:rsidR="00162A8A" w:rsidRDefault="00162A8A" w:rsidP="00914B17">
            <w:pPr>
              <w:pStyle w:val="ListParagraph"/>
              <w:spacing w:line="240" w:lineRule="auto"/>
              <w:ind w:left="142" w:right="164"/>
              <w:contextualSpacing w:val="0"/>
              <w:rPr>
                <w:rFonts w:eastAsia="Calibri" w:cs="Times New Roman"/>
                <w:szCs w:val="24"/>
              </w:rPr>
            </w:pPr>
            <w:r>
              <w:rPr>
                <w:rFonts w:eastAsia="Calibri" w:cs="Times New Roman"/>
                <w:szCs w:val="24"/>
              </w:rPr>
              <w:t>Koda 2122 “</w:t>
            </w:r>
            <w:r w:rsidRPr="00162A8A">
              <w:rPr>
                <w:rFonts w:eastAsia="Calibri" w:cs="Times New Roman"/>
                <w:szCs w:val="24"/>
              </w:rPr>
              <w:t>Pārējie komandējumu un darba braucienu izdevumi</w:t>
            </w:r>
            <w:r>
              <w:rPr>
                <w:rFonts w:eastAsia="Calibri" w:cs="Times New Roman"/>
                <w:szCs w:val="24"/>
              </w:rPr>
              <w:t xml:space="preserve">” </w:t>
            </w:r>
            <w:r>
              <w:t xml:space="preserve"> </w:t>
            </w:r>
            <w:r w:rsidRPr="00162A8A">
              <w:rPr>
                <w:rFonts w:eastAsia="Calibri" w:cs="Times New Roman"/>
                <w:szCs w:val="24"/>
              </w:rPr>
              <w:t xml:space="preserve">sadaļa par kompensācijām par dienestu </w:t>
            </w:r>
            <w:r>
              <w:rPr>
                <w:rFonts w:eastAsia="Calibri" w:cs="Times New Roman"/>
                <w:szCs w:val="24"/>
              </w:rPr>
              <w:t>ārvalstīs pievienota kodam 2238, kā arī papildināts koda 2122 skaidrojums</w:t>
            </w:r>
            <w:r w:rsidRPr="00162A8A">
              <w:rPr>
                <w:rFonts w:eastAsia="Calibri" w:cs="Times New Roman"/>
                <w:szCs w:val="24"/>
              </w:rPr>
              <w:t xml:space="preserve"> ar izdevumiem par pilsētu, tūristu nodokli un citiem līdzvērtīgiem maksājumiem, kas radušies komandējuma laikā. </w:t>
            </w:r>
          </w:p>
          <w:p w14:paraId="166623D4" w14:textId="5443CEF3" w:rsidR="00162A8A" w:rsidRDefault="00162A8A" w:rsidP="00914B17">
            <w:pPr>
              <w:pStyle w:val="ListParagraph"/>
              <w:spacing w:line="240" w:lineRule="auto"/>
              <w:ind w:left="142" w:right="164"/>
              <w:contextualSpacing w:val="0"/>
              <w:rPr>
                <w:rFonts w:eastAsia="Calibri" w:cs="Times New Roman"/>
                <w:szCs w:val="24"/>
              </w:rPr>
            </w:pPr>
            <w:r>
              <w:rPr>
                <w:rFonts w:eastAsia="Calibri" w:cs="Times New Roman"/>
                <w:szCs w:val="24"/>
              </w:rPr>
              <w:t>Koda 2233 “</w:t>
            </w:r>
            <w:r w:rsidRPr="00162A8A">
              <w:rPr>
                <w:rFonts w:eastAsia="Calibri" w:cs="Times New Roman"/>
                <w:szCs w:val="24"/>
              </w:rPr>
              <w:t>Izdevumi par transporta pakalpojumiem</w:t>
            </w:r>
            <w:r>
              <w:rPr>
                <w:rFonts w:eastAsia="Calibri" w:cs="Times New Roman"/>
                <w:szCs w:val="24"/>
              </w:rPr>
              <w:t>”</w:t>
            </w:r>
            <w:r w:rsidRPr="00162A8A">
              <w:rPr>
                <w:rFonts w:eastAsia="Calibri" w:cs="Times New Roman"/>
                <w:szCs w:val="24"/>
              </w:rPr>
              <w:t xml:space="preserve"> </w:t>
            </w:r>
            <w:r w:rsidR="000451BB">
              <w:rPr>
                <w:rFonts w:eastAsia="Calibri" w:cs="Times New Roman"/>
                <w:szCs w:val="24"/>
              </w:rPr>
              <w:t xml:space="preserve"> skaidrojuma daļa par </w:t>
            </w:r>
            <w:r w:rsidR="000451BB">
              <w:t xml:space="preserve"> </w:t>
            </w:r>
            <w:r w:rsidR="000451BB" w:rsidRPr="000451BB">
              <w:rPr>
                <w:rFonts w:eastAsia="Calibri" w:cs="Times New Roman"/>
                <w:szCs w:val="24"/>
              </w:rPr>
              <w:t>transporta izdevumiem pārcelšanās gadījumā u</w:t>
            </w:r>
            <w:r w:rsidR="000451BB">
              <w:rPr>
                <w:rFonts w:eastAsia="Calibri" w:cs="Times New Roman"/>
                <w:szCs w:val="24"/>
              </w:rPr>
              <w:t>z/no darbu ārvalstīs, pievienota</w:t>
            </w:r>
            <w:r w:rsidR="000451BB" w:rsidRPr="000451BB">
              <w:rPr>
                <w:rFonts w:eastAsia="Calibri" w:cs="Times New Roman"/>
                <w:szCs w:val="24"/>
              </w:rPr>
              <w:t xml:space="preserve"> kodam 2238.</w:t>
            </w:r>
            <w:r w:rsidRPr="00162A8A">
              <w:rPr>
                <w:rFonts w:eastAsia="Calibri" w:cs="Times New Roman"/>
                <w:szCs w:val="24"/>
              </w:rPr>
              <w:t xml:space="preserve"> </w:t>
            </w:r>
            <w:r w:rsidR="000451BB">
              <w:rPr>
                <w:rFonts w:eastAsia="Calibri" w:cs="Times New Roman"/>
                <w:szCs w:val="24"/>
              </w:rPr>
              <w:t xml:space="preserve"> Tāpat tiek precizēts koda 2233 skaidrojums, uzsverot, ka </w:t>
            </w:r>
            <w:r w:rsidR="000451BB" w:rsidRPr="000451BB">
              <w:rPr>
                <w:rFonts w:eastAsia="Calibri" w:cs="Times New Roman"/>
                <w:szCs w:val="24"/>
              </w:rPr>
              <w:t>šajā kodā uzskaita izdevumus par sabiedrisko transportu (biļetes, e-taloni) un iestādei sniegtos taksometra pakalpojumus.</w:t>
            </w:r>
          </w:p>
          <w:p w14:paraId="48672D26" w14:textId="210F937B" w:rsidR="000451BB" w:rsidRDefault="000451BB" w:rsidP="00914B17">
            <w:pPr>
              <w:pStyle w:val="ListParagraph"/>
              <w:spacing w:line="240" w:lineRule="auto"/>
              <w:ind w:left="142" w:right="164"/>
              <w:contextualSpacing w:val="0"/>
              <w:rPr>
                <w:rFonts w:eastAsia="Calibri" w:cs="Times New Roman"/>
                <w:szCs w:val="24"/>
              </w:rPr>
            </w:pPr>
            <w:r>
              <w:rPr>
                <w:rFonts w:eastAsia="Calibri" w:cs="Times New Roman"/>
                <w:szCs w:val="24"/>
              </w:rPr>
              <w:t>Kods 2237 “</w:t>
            </w:r>
            <w:r w:rsidRPr="000451BB">
              <w:rPr>
                <w:rFonts w:eastAsia="Calibri" w:cs="Times New Roman"/>
                <w:szCs w:val="24"/>
              </w:rPr>
              <w:t>Ārvalstīs strādājošo darbinieku bērna pirmsskolas un skolas izdevumu kompensācija</w:t>
            </w:r>
            <w:r>
              <w:rPr>
                <w:rFonts w:eastAsia="Calibri" w:cs="Times New Roman"/>
                <w:szCs w:val="24"/>
              </w:rPr>
              <w:t>” tiek svītrots un pilnībā pievienots kodam 2238.</w:t>
            </w:r>
          </w:p>
          <w:p w14:paraId="6D99942C" w14:textId="48916858" w:rsidR="000451BB" w:rsidRDefault="000451BB" w:rsidP="00914B17">
            <w:pPr>
              <w:pStyle w:val="ListParagraph"/>
              <w:spacing w:line="240" w:lineRule="auto"/>
              <w:ind w:left="142" w:right="164"/>
              <w:contextualSpacing w:val="0"/>
              <w:rPr>
                <w:rFonts w:eastAsia="Calibri" w:cs="Times New Roman"/>
                <w:szCs w:val="24"/>
              </w:rPr>
            </w:pPr>
            <w:r>
              <w:rPr>
                <w:rFonts w:eastAsia="Calibri" w:cs="Times New Roman"/>
                <w:szCs w:val="24"/>
              </w:rPr>
              <w:t xml:space="preserve">Ņemot vērā augstāk minēto, tiek precizēts koda 2238 nosaukums un skaidrojums. </w:t>
            </w:r>
          </w:p>
          <w:p w14:paraId="1C38D3BB" w14:textId="77777777" w:rsidR="00162A8A" w:rsidRPr="00B54E47" w:rsidRDefault="00162A8A" w:rsidP="00914B17">
            <w:pPr>
              <w:pStyle w:val="ListParagraph"/>
              <w:spacing w:line="240" w:lineRule="auto"/>
              <w:ind w:left="924" w:right="164" w:firstLine="0"/>
              <w:rPr>
                <w:rFonts w:eastAsia="Calibri" w:cs="Times New Roman"/>
                <w:szCs w:val="24"/>
              </w:rPr>
            </w:pPr>
          </w:p>
          <w:p w14:paraId="762B2551" w14:textId="720C2F8A" w:rsidR="00B54E47" w:rsidRDefault="00AD0F38" w:rsidP="00914B17">
            <w:pPr>
              <w:pStyle w:val="ListParagraph"/>
              <w:numPr>
                <w:ilvl w:val="0"/>
                <w:numId w:val="16"/>
              </w:numPr>
              <w:spacing w:line="240" w:lineRule="auto"/>
              <w:ind w:left="918" w:right="164" w:hanging="357"/>
              <w:rPr>
                <w:rFonts w:eastAsia="Calibri"/>
                <w:b/>
              </w:rPr>
            </w:pPr>
            <w:r>
              <w:rPr>
                <w:rFonts w:eastAsia="Calibri"/>
                <w:b/>
              </w:rPr>
              <w:t>K</w:t>
            </w:r>
            <w:r w:rsidR="008C3202">
              <w:rPr>
                <w:rFonts w:eastAsia="Calibri"/>
                <w:b/>
              </w:rPr>
              <w:t>omunālie</w:t>
            </w:r>
            <w:r w:rsidR="00B4406D">
              <w:rPr>
                <w:rFonts w:eastAsia="Calibri"/>
                <w:b/>
              </w:rPr>
              <w:t xml:space="preserve"> pakalpojumi</w:t>
            </w:r>
            <w:r w:rsidR="008C3202">
              <w:rPr>
                <w:rFonts w:eastAsia="Calibri"/>
                <w:b/>
              </w:rPr>
              <w:t>, kurināmais un nodoklis</w:t>
            </w:r>
          </w:p>
          <w:p w14:paraId="109ED3AF" w14:textId="3326448C" w:rsidR="00006039" w:rsidRDefault="008C3202" w:rsidP="00914B17">
            <w:pPr>
              <w:pStyle w:val="ListParagraph"/>
              <w:spacing w:line="240" w:lineRule="auto"/>
              <w:ind w:left="140" w:right="164"/>
              <w:contextualSpacing w:val="0"/>
              <w:rPr>
                <w:rFonts w:eastAsia="Calibri" w:cs="Times New Roman"/>
                <w:szCs w:val="24"/>
              </w:rPr>
            </w:pPr>
            <w:r w:rsidRPr="008C3202">
              <w:rPr>
                <w:rFonts w:eastAsia="Calibri" w:cs="Times New Roman"/>
                <w:szCs w:val="24"/>
              </w:rPr>
              <w:t>Tiek precizēts koda 2220 “Izdevumi par komunālajiem pakalpojumiem”</w:t>
            </w:r>
            <w:r>
              <w:t xml:space="preserve"> </w:t>
            </w:r>
            <w:r w:rsidRPr="008C3202">
              <w:rPr>
                <w:rFonts w:eastAsia="Calibri" w:cs="Times New Roman"/>
                <w:szCs w:val="24"/>
              </w:rPr>
              <w:t xml:space="preserve">skaidrojums, norādot, ka šos kodus piemēro arī īrnieks, kas veic komunālo pakalpojumu apmaksu ar </w:t>
            </w:r>
            <w:proofErr w:type="spellStart"/>
            <w:r w:rsidRPr="008C3202">
              <w:rPr>
                <w:rFonts w:eastAsia="Calibri" w:cs="Times New Roman"/>
                <w:szCs w:val="24"/>
              </w:rPr>
              <w:t>apsaimniekotā</w:t>
            </w:r>
            <w:r>
              <w:rPr>
                <w:rFonts w:eastAsia="Calibri" w:cs="Times New Roman"/>
                <w:szCs w:val="24"/>
              </w:rPr>
              <w:t>ja</w:t>
            </w:r>
            <w:proofErr w:type="spellEnd"/>
            <w:r>
              <w:rPr>
                <w:rFonts w:eastAsia="Calibri" w:cs="Times New Roman"/>
                <w:szCs w:val="24"/>
              </w:rPr>
              <w:t xml:space="preserve"> vai izīrētāja starpniecību (s</w:t>
            </w:r>
            <w:r w:rsidRPr="008C3202">
              <w:rPr>
                <w:rFonts w:eastAsia="Calibri" w:cs="Times New Roman"/>
                <w:szCs w:val="24"/>
              </w:rPr>
              <w:t xml:space="preserve">askaņā ar </w:t>
            </w:r>
            <w:r w:rsidR="003678A3">
              <w:rPr>
                <w:rFonts w:eastAsia="Calibri" w:cs="Times New Roman"/>
                <w:szCs w:val="24"/>
              </w:rPr>
              <w:t xml:space="preserve">2018.gada 20.februāra </w:t>
            </w:r>
            <w:r w:rsidRPr="008C3202">
              <w:rPr>
                <w:rFonts w:eastAsia="Calibri" w:cs="Times New Roman"/>
                <w:szCs w:val="24"/>
              </w:rPr>
              <w:t>M</w:t>
            </w:r>
            <w:r w:rsidR="003678A3">
              <w:rPr>
                <w:rFonts w:eastAsia="Calibri" w:cs="Times New Roman"/>
                <w:szCs w:val="24"/>
              </w:rPr>
              <w:t>inistru kabineta noteikumu</w:t>
            </w:r>
            <w:r w:rsidRPr="008C3202">
              <w:rPr>
                <w:rFonts w:eastAsia="Calibri" w:cs="Times New Roman"/>
                <w:szCs w:val="24"/>
              </w:rPr>
              <w:t xml:space="preserve"> Nr.97 </w:t>
            </w:r>
            <w:r w:rsidR="003678A3">
              <w:rPr>
                <w:rFonts w:eastAsia="Calibri" w:cs="Times New Roman"/>
                <w:szCs w:val="24"/>
              </w:rPr>
              <w:t xml:space="preserve">“Publiskas personas mantas iznomāšanas noteikumi” </w:t>
            </w:r>
            <w:r w:rsidRPr="008C3202">
              <w:rPr>
                <w:rFonts w:eastAsia="Calibri" w:cs="Times New Roman"/>
                <w:szCs w:val="24"/>
              </w:rPr>
              <w:t>70.punktu</w:t>
            </w:r>
            <w:r w:rsidR="00B4406D">
              <w:rPr>
                <w:rFonts w:eastAsia="Calibri" w:cs="Times New Roman"/>
                <w:szCs w:val="24"/>
              </w:rPr>
              <w:t>,</w:t>
            </w:r>
            <w:r w:rsidR="003678A3">
              <w:rPr>
                <w:rFonts w:eastAsia="Calibri" w:cs="Times New Roman"/>
                <w:szCs w:val="24"/>
              </w:rPr>
              <w:t>)</w:t>
            </w:r>
            <w:r w:rsidRPr="008C3202">
              <w:rPr>
                <w:rFonts w:eastAsia="Calibri" w:cs="Times New Roman"/>
                <w:szCs w:val="24"/>
              </w:rPr>
              <w:t xml:space="preserve"> nomas objekta apdrošināšanas izmaksas, nekustamā īpašuma nodoklis vai tā kompensācija,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nomnieks</w:t>
            </w:r>
            <w:r w:rsidR="003678A3">
              <w:rPr>
                <w:rFonts w:eastAsia="Calibri" w:cs="Times New Roman"/>
                <w:szCs w:val="24"/>
              </w:rPr>
              <w:t xml:space="preserve"> sedz faktisko izmaksu apmērā</w:t>
            </w:r>
            <w:r w:rsidRPr="008C3202">
              <w:rPr>
                <w:rFonts w:eastAsia="Calibri" w:cs="Times New Roman"/>
                <w:szCs w:val="24"/>
              </w:rPr>
              <w:t>.</w:t>
            </w:r>
            <w:r w:rsidR="00B4406D">
              <w:rPr>
                <w:rFonts w:eastAsia="Calibri" w:cs="Times New Roman"/>
                <w:szCs w:val="24"/>
              </w:rPr>
              <w:t>)</w:t>
            </w:r>
            <w:r w:rsidR="00F210C4">
              <w:rPr>
                <w:rFonts w:eastAsia="Calibri" w:cs="Times New Roman"/>
                <w:szCs w:val="24"/>
              </w:rPr>
              <w:t xml:space="preserve"> Attiecīgi izīrētājs, kas ir budžeta iestāde, no īrnieka saņemtos maksājumus uzskaita ieņēmumos.</w:t>
            </w:r>
            <w:r w:rsidRPr="008C3202">
              <w:rPr>
                <w:rFonts w:eastAsia="Calibri" w:cs="Times New Roman"/>
                <w:szCs w:val="24"/>
              </w:rPr>
              <w:t xml:space="preserve"> Redakcionāli precizēts skaidrojums, ievērojot koda apakškodos</w:t>
            </w:r>
            <w:r>
              <w:rPr>
                <w:rFonts w:eastAsia="Calibri" w:cs="Times New Roman"/>
                <w:szCs w:val="24"/>
              </w:rPr>
              <w:t xml:space="preserve"> veiktās redakcionālās izmaiņas – kodā 2221</w:t>
            </w:r>
            <w:r>
              <w:t xml:space="preserve"> “</w:t>
            </w:r>
            <w:r w:rsidRPr="008C3202">
              <w:rPr>
                <w:rFonts w:eastAsia="Calibri" w:cs="Times New Roman"/>
                <w:szCs w:val="24"/>
              </w:rPr>
              <w:t>Izdevumi par siltumenerģiju, tai skaitā apkuri</w:t>
            </w:r>
            <w:r>
              <w:rPr>
                <w:rFonts w:eastAsia="Calibri" w:cs="Times New Roman"/>
                <w:szCs w:val="24"/>
              </w:rPr>
              <w:t xml:space="preserve">” </w:t>
            </w:r>
            <w:r>
              <w:t>p</w:t>
            </w:r>
            <w:r w:rsidRPr="008C3202">
              <w:rPr>
                <w:rFonts w:eastAsia="Calibri" w:cs="Times New Roman"/>
                <w:szCs w:val="24"/>
              </w:rPr>
              <w:t>recizēts nosaukums, jo papildinājums "tai skaitā" jau ir noformulēts koda 2220 skaidrojumā</w:t>
            </w:r>
            <w:r>
              <w:rPr>
                <w:rFonts w:eastAsia="Calibri" w:cs="Times New Roman"/>
                <w:szCs w:val="24"/>
              </w:rPr>
              <w:t>. Arī kodam 2222 “</w:t>
            </w:r>
            <w:r>
              <w:t xml:space="preserve"> </w:t>
            </w:r>
            <w:r w:rsidRPr="008C3202">
              <w:rPr>
                <w:rFonts w:eastAsia="Calibri" w:cs="Times New Roman"/>
                <w:szCs w:val="24"/>
              </w:rPr>
              <w:t>Izdevumi par ūdeni un kanalizāciju</w:t>
            </w:r>
            <w:r>
              <w:rPr>
                <w:rFonts w:eastAsia="Calibri" w:cs="Times New Roman"/>
                <w:szCs w:val="24"/>
              </w:rPr>
              <w:t>” precizēts nosaukums.</w:t>
            </w:r>
          </w:p>
          <w:p w14:paraId="39FA2081" w14:textId="2E36022F" w:rsidR="008C3202" w:rsidRDefault="008C3202" w:rsidP="00914B17">
            <w:pPr>
              <w:pStyle w:val="ListParagraph"/>
              <w:spacing w:line="240" w:lineRule="auto"/>
              <w:ind w:left="142" w:right="164"/>
              <w:contextualSpacing w:val="0"/>
              <w:rPr>
                <w:rFonts w:eastAsia="Calibri" w:cs="Times New Roman"/>
                <w:szCs w:val="24"/>
              </w:rPr>
            </w:pPr>
            <w:r>
              <w:rPr>
                <w:rFonts w:eastAsia="Calibri" w:cs="Times New Roman"/>
                <w:szCs w:val="24"/>
              </w:rPr>
              <w:t>Ir papildināts koda 2320 “</w:t>
            </w:r>
            <w:r w:rsidRPr="008C3202">
              <w:rPr>
                <w:rFonts w:eastAsia="Calibri" w:cs="Times New Roman"/>
                <w:szCs w:val="24"/>
              </w:rPr>
              <w:t>Kurināmais un enerģētiskie materiāli</w:t>
            </w:r>
            <w:r>
              <w:rPr>
                <w:rFonts w:eastAsia="Calibri" w:cs="Times New Roman"/>
                <w:szCs w:val="24"/>
              </w:rPr>
              <w:t>”</w:t>
            </w:r>
            <w:r w:rsidRPr="008C3202">
              <w:rPr>
                <w:rFonts w:eastAsia="Calibri" w:cs="Times New Roman"/>
                <w:szCs w:val="24"/>
              </w:rPr>
              <w:t xml:space="preserve"> skaidrojums, norādot, ka kodā netiek uzskaitīti izdevumi par elektrību automašīnu uzlādei (uzskaita 2223</w:t>
            </w:r>
            <w:r>
              <w:rPr>
                <w:rFonts w:eastAsia="Calibri" w:cs="Times New Roman"/>
                <w:szCs w:val="24"/>
              </w:rPr>
              <w:t xml:space="preserve"> “</w:t>
            </w:r>
            <w:r w:rsidRPr="008C3202">
              <w:rPr>
                <w:rFonts w:eastAsia="Calibri" w:cs="Times New Roman"/>
                <w:szCs w:val="24"/>
              </w:rPr>
              <w:t>Izdevumi par elektroenerģiju”)</w:t>
            </w:r>
            <w:r>
              <w:rPr>
                <w:rFonts w:eastAsia="Calibri" w:cs="Times New Roman"/>
                <w:szCs w:val="24"/>
              </w:rPr>
              <w:t>.</w:t>
            </w:r>
          </w:p>
          <w:p w14:paraId="68FE94CC" w14:textId="3282B8EB" w:rsidR="008C3202" w:rsidRDefault="008C3202" w:rsidP="00914B17">
            <w:pPr>
              <w:pStyle w:val="ListParagraph"/>
              <w:spacing w:line="240" w:lineRule="auto"/>
              <w:ind w:left="142" w:right="164"/>
              <w:contextualSpacing w:val="0"/>
              <w:rPr>
                <w:rFonts w:eastAsia="Calibri" w:cs="Times New Roman"/>
                <w:szCs w:val="24"/>
              </w:rPr>
            </w:pPr>
            <w:r>
              <w:rPr>
                <w:rFonts w:eastAsia="Calibri" w:cs="Times New Roman"/>
                <w:szCs w:val="24"/>
              </w:rPr>
              <w:t>Koda 2513 “</w:t>
            </w:r>
            <w:r w:rsidRPr="008C3202">
              <w:rPr>
                <w:rFonts w:eastAsia="Calibri" w:cs="Times New Roman"/>
                <w:szCs w:val="24"/>
              </w:rPr>
              <w:t>Budžeta iestāžu nekustamā īpašuma nodokļa (t.sk. zemes nodokļa parāda) maksājumi budžetā</w:t>
            </w:r>
            <w:r>
              <w:rPr>
                <w:rFonts w:eastAsia="Calibri" w:cs="Times New Roman"/>
                <w:szCs w:val="24"/>
              </w:rPr>
              <w:t>” v</w:t>
            </w:r>
            <w:r w:rsidRPr="008C3202">
              <w:rPr>
                <w:rFonts w:eastAsia="Calibri" w:cs="Times New Roman"/>
                <w:szCs w:val="24"/>
              </w:rPr>
              <w:t xml:space="preserve">ieglākai izpratnei, precizēts koda nosaukums un pievienots koda skaidrojums. Skaidrots, ka kodā uzskaita arī īrnieka veiktos nodokļu maksājumus, kurus tas maksā </w:t>
            </w:r>
            <w:r w:rsidR="00B4406D">
              <w:rPr>
                <w:rFonts w:eastAsia="Calibri" w:cs="Times New Roman"/>
                <w:szCs w:val="24"/>
              </w:rPr>
              <w:t xml:space="preserve">ar </w:t>
            </w:r>
            <w:r w:rsidRPr="008C3202">
              <w:rPr>
                <w:rFonts w:eastAsia="Calibri" w:cs="Times New Roman"/>
                <w:szCs w:val="24"/>
              </w:rPr>
              <w:t>nekustāmā īpašuma izīrētāja</w:t>
            </w:r>
            <w:r w:rsidR="00B4406D">
              <w:rPr>
                <w:rFonts w:eastAsia="Calibri" w:cs="Times New Roman"/>
                <w:szCs w:val="24"/>
              </w:rPr>
              <w:t xml:space="preserve"> starpniecību</w:t>
            </w:r>
            <w:r w:rsidRPr="008C3202">
              <w:rPr>
                <w:rFonts w:eastAsia="Calibri" w:cs="Times New Roman"/>
                <w:szCs w:val="24"/>
              </w:rPr>
              <w:t>.</w:t>
            </w:r>
          </w:p>
          <w:p w14:paraId="3DAE43B8" w14:textId="77777777" w:rsidR="008C3202" w:rsidRPr="008C3202" w:rsidRDefault="008C3202" w:rsidP="00914B17">
            <w:pPr>
              <w:pStyle w:val="ListParagraph"/>
              <w:spacing w:line="240" w:lineRule="auto"/>
              <w:ind w:left="924" w:right="164" w:firstLine="0"/>
              <w:rPr>
                <w:rFonts w:eastAsia="Calibri" w:cs="Times New Roman"/>
                <w:szCs w:val="24"/>
              </w:rPr>
            </w:pPr>
          </w:p>
          <w:p w14:paraId="3820789C" w14:textId="5C5AC914" w:rsidR="00B54E47" w:rsidRDefault="004E4BFF" w:rsidP="00914B17">
            <w:pPr>
              <w:pStyle w:val="ListParagraph"/>
              <w:numPr>
                <w:ilvl w:val="0"/>
                <w:numId w:val="16"/>
              </w:numPr>
              <w:spacing w:line="240" w:lineRule="auto"/>
              <w:ind w:left="918" w:right="164" w:hanging="357"/>
              <w:rPr>
                <w:rFonts w:eastAsia="Calibri"/>
                <w:b/>
              </w:rPr>
            </w:pPr>
            <w:r>
              <w:rPr>
                <w:rFonts w:eastAsia="Calibri"/>
                <w:b/>
              </w:rPr>
              <w:t>Citu normatīvo aktu ietekme</w:t>
            </w:r>
            <w:r w:rsidR="00B4406D">
              <w:rPr>
                <w:rFonts w:eastAsia="Calibri"/>
                <w:b/>
              </w:rPr>
              <w:t xml:space="preserve"> uz terminoloģiju un izdevumu veidiem</w:t>
            </w:r>
          </w:p>
          <w:p w14:paraId="1B547B3C" w14:textId="6116D7F7" w:rsidR="00673660" w:rsidRDefault="00201B14" w:rsidP="00914B17">
            <w:pPr>
              <w:ind w:left="140" w:right="163" w:firstLine="567"/>
              <w:jc w:val="both"/>
              <w:rPr>
                <w:rFonts w:eastAsia="Calibri"/>
                <w:lang w:eastAsia="en-US"/>
              </w:rPr>
            </w:pPr>
            <w:r w:rsidRPr="00201B14">
              <w:rPr>
                <w:rFonts w:eastAsia="Calibri"/>
                <w:lang w:eastAsia="en-US"/>
              </w:rPr>
              <w:t>Atbilstoši Būvniecības likuma</w:t>
            </w:r>
            <w:r w:rsidR="00B4406D">
              <w:rPr>
                <w:rFonts w:eastAsia="Calibri"/>
                <w:lang w:eastAsia="en-US"/>
              </w:rPr>
              <w:t xml:space="preserve"> terminoloģijai,</w:t>
            </w:r>
            <w:r>
              <w:rPr>
                <w:rFonts w:eastAsia="Calibri"/>
                <w:lang w:eastAsia="en-US"/>
              </w:rPr>
              <w:t xml:space="preserve"> kodos 2241 “</w:t>
            </w:r>
            <w:r w:rsidRPr="00201B14">
              <w:rPr>
                <w:rFonts w:eastAsia="Calibri"/>
                <w:lang w:eastAsia="en-US"/>
              </w:rPr>
              <w:t>Ēku, būvju un telpu kārtējais remonts</w:t>
            </w:r>
            <w:r>
              <w:rPr>
                <w:rFonts w:eastAsia="Calibri"/>
                <w:lang w:eastAsia="en-US"/>
              </w:rPr>
              <w:t>”</w:t>
            </w:r>
            <w:r w:rsidR="00673660">
              <w:rPr>
                <w:rFonts w:eastAsia="Calibri"/>
                <w:lang w:eastAsia="en-US"/>
              </w:rPr>
              <w:t>,</w:t>
            </w:r>
            <w:r>
              <w:rPr>
                <w:rFonts w:eastAsia="Calibri"/>
                <w:lang w:eastAsia="en-US"/>
              </w:rPr>
              <w:t xml:space="preserve"> 2350 “</w:t>
            </w:r>
            <w:r w:rsidRPr="00201B14">
              <w:rPr>
                <w:rFonts w:eastAsia="Calibri"/>
                <w:lang w:eastAsia="en-US"/>
              </w:rPr>
              <w:t>Kārtējā remonta un iestāžu uzturēšanas materiāli</w:t>
            </w:r>
            <w:r>
              <w:rPr>
                <w:rFonts w:eastAsia="Calibri"/>
                <w:lang w:eastAsia="en-US"/>
              </w:rPr>
              <w:t xml:space="preserve">” </w:t>
            </w:r>
            <w:r w:rsidR="00673660">
              <w:rPr>
                <w:rFonts w:eastAsia="Calibri"/>
                <w:lang w:eastAsia="en-US"/>
              </w:rPr>
              <w:t>un 2240 “</w:t>
            </w:r>
            <w:r w:rsidR="00673660" w:rsidRPr="00673660">
              <w:rPr>
                <w:rFonts w:eastAsia="Calibri"/>
                <w:lang w:eastAsia="en-US"/>
              </w:rPr>
              <w:t>Remontdarbi un iestāžu uzturēšanas pakalpojumi (izņemot kapitālo remontu)</w:t>
            </w:r>
            <w:r w:rsidR="00673660">
              <w:rPr>
                <w:rFonts w:eastAsia="Calibri"/>
                <w:lang w:eastAsia="en-US"/>
              </w:rPr>
              <w:t>” ir precizēts</w:t>
            </w:r>
            <w:r w:rsidRPr="00201B14">
              <w:rPr>
                <w:rFonts w:eastAsia="Calibri"/>
                <w:lang w:eastAsia="en-US"/>
              </w:rPr>
              <w:t xml:space="preserve"> termins "kārtējie remonti" un </w:t>
            </w:r>
            <w:r>
              <w:rPr>
                <w:rFonts w:eastAsia="Calibri"/>
                <w:lang w:eastAsia="en-US"/>
              </w:rPr>
              <w:lastRenderedPageBreak/>
              <w:t>precizēti skaidrojumi</w:t>
            </w:r>
            <w:r w:rsidRPr="00201B14">
              <w:rPr>
                <w:rFonts w:eastAsia="Calibri"/>
                <w:lang w:eastAsia="en-US"/>
              </w:rPr>
              <w:t>.</w:t>
            </w:r>
            <w:r>
              <w:rPr>
                <w:rFonts w:eastAsia="Calibri"/>
                <w:lang w:eastAsia="en-US"/>
              </w:rPr>
              <w:t xml:space="preserve"> </w:t>
            </w:r>
            <w:r w:rsidR="002727C6">
              <w:rPr>
                <w:rFonts w:eastAsia="Calibri"/>
                <w:lang w:eastAsia="en-US"/>
              </w:rPr>
              <w:t xml:space="preserve">Koda 2350 esošais skaidrojums aptver arī to, kas līdz šim bija saprotams kā “kārtējais remonts”. </w:t>
            </w:r>
            <w:r w:rsidR="00673660">
              <w:rPr>
                <w:rFonts w:eastAsia="Calibri"/>
                <w:lang w:eastAsia="en-US"/>
              </w:rPr>
              <w:t>Ir p</w:t>
            </w:r>
            <w:r w:rsidR="00673660" w:rsidRPr="00673660">
              <w:rPr>
                <w:rFonts w:eastAsia="Calibri"/>
                <w:lang w:eastAsia="en-US"/>
              </w:rPr>
              <w:t>apildināts</w:t>
            </w:r>
            <w:r w:rsidR="00673660">
              <w:rPr>
                <w:rFonts w:eastAsia="Calibri"/>
                <w:lang w:eastAsia="en-US"/>
              </w:rPr>
              <w:t xml:space="preserve"> arī</w:t>
            </w:r>
            <w:r w:rsidR="00673660" w:rsidRPr="00673660">
              <w:rPr>
                <w:rFonts w:eastAsia="Calibri"/>
                <w:lang w:eastAsia="en-US"/>
              </w:rPr>
              <w:t xml:space="preserve"> koda</w:t>
            </w:r>
            <w:r w:rsidR="00673660">
              <w:rPr>
                <w:rFonts w:eastAsia="Calibri"/>
                <w:lang w:eastAsia="en-US"/>
              </w:rPr>
              <w:t xml:space="preserve"> 2240</w:t>
            </w:r>
            <w:r w:rsidR="00673660" w:rsidRPr="00673660">
              <w:rPr>
                <w:rFonts w:eastAsia="Calibri"/>
                <w:lang w:eastAsia="en-US"/>
              </w:rPr>
              <w:t xml:space="preserve"> skaidrojums, norādot, ka kodā uzskaitāmi izdevumi zaļās zonas, parku, pludmales tīrīšanai un labiekārtošanai. </w:t>
            </w:r>
            <w:r w:rsidR="00E056D9">
              <w:rPr>
                <w:rFonts w:eastAsia="Calibri"/>
                <w:lang w:eastAsia="en-US"/>
              </w:rPr>
              <w:t xml:space="preserve">Koda 2241 skaidrojums </w:t>
            </w:r>
            <w:r w:rsidR="00E056D9" w:rsidRPr="00E056D9">
              <w:rPr>
                <w:rFonts w:eastAsia="Calibri"/>
                <w:lang w:eastAsia="en-US"/>
              </w:rPr>
              <w:t>saskaņot</w:t>
            </w:r>
            <w:r w:rsidR="00E056D9">
              <w:rPr>
                <w:rFonts w:eastAsia="Calibri"/>
                <w:lang w:eastAsia="en-US"/>
              </w:rPr>
              <w:t>s</w:t>
            </w:r>
            <w:r w:rsidR="00E056D9" w:rsidRPr="00E056D9">
              <w:rPr>
                <w:rFonts w:eastAsia="Calibri"/>
                <w:lang w:eastAsia="en-US"/>
              </w:rPr>
              <w:t xml:space="preserve"> ar </w:t>
            </w:r>
            <w:r w:rsidR="00E056D9">
              <w:rPr>
                <w:rFonts w:eastAsia="Calibri"/>
                <w:lang w:eastAsia="en-US"/>
              </w:rPr>
              <w:t xml:space="preserve"> </w:t>
            </w:r>
            <w:r w:rsidR="00424BDE">
              <w:rPr>
                <w:rFonts w:eastAsia="Calibri"/>
                <w:lang w:eastAsia="en-US"/>
              </w:rPr>
              <w:t xml:space="preserve">2018.gada 13.februāra </w:t>
            </w:r>
            <w:r w:rsidR="00E056D9">
              <w:rPr>
                <w:rFonts w:eastAsia="Calibri"/>
                <w:lang w:eastAsia="en-US"/>
              </w:rPr>
              <w:t>M</w:t>
            </w:r>
            <w:r w:rsidR="00424BDE">
              <w:rPr>
                <w:rFonts w:eastAsia="Calibri"/>
                <w:lang w:eastAsia="en-US"/>
              </w:rPr>
              <w:t>inistru kabineta</w:t>
            </w:r>
            <w:r w:rsidR="00E056D9">
              <w:rPr>
                <w:rFonts w:eastAsia="Calibri"/>
                <w:lang w:eastAsia="en-US"/>
              </w:rPr>
              <w:t xml:space="preserve"> noteikumiem</w:t>
            </w:r>
            <w:r w:rsidR="00E056D9" w:rsidRPr="00201B14">
              <w:rPr>
                <w:rFonts w:eastAsia="Calibri"/>
                <w:lang w:eastAsia="en-US"/>
              </w:rPr>
              <w:t xml:space="preserve"> Nr.87 “Grāmatvedības uzskaites kārtība budžeta iestādēs”</w:t>
            </w:r>
            <w:r w:rsidR="00E056D9">
              <w:rPr>
                <w:rFonts w:eastAsia="Calibri"/>
                <w:lang w:eastAsia="en-US"/>
              </w:rPr>
              <w:t xml:space="preserve"> (turpmāk tekstā MK not. Nr.87)</w:t>
            </w:r>
            <w:r w:rsidR="00B4406D">
              <w:rPr>
                <w:rFonts w:eastAsia="Calibri"/>
                <w:lang w:eastAsia="en-US"/>
              </w:rPr>
              <w:t>,</w:t>
            </w:r>
            <w:r w:rsidR="00E056D9">
              <w:rPr>
                <w:rFonts w:eastAsia="Calibri"/>
                <w:lang w:eastAsia="en-US"/>
              </w:rPr>
              <w:t xml:space="preserve">  </w:t>
            </w:r>
            <w:r w:rsidR="00E056D9" w:rsidRPr="00E056D9">
              <w:rPr>
                <w:rFonts w:eastAsia="Calibri"/>
                <w:lang w:eastAsia="en-US"/>
              </w:rPr>
              <w:t>i</w:t>
            </w:r>
            <w:r w:rsidR="00E056D9">
              <w:rPr>
                <w:rFonts w:eastAsia="Calibri"/>
                <w:lang w:eastAsia="en-US"/>
              </w:rPr>
              <w:t xml:space="preserve">etverot </w:t>
            </w:r>
            <w:r w:rsidR="00B4406D">
              <w:rPr>
                <w:rFonts w:eastAsia="Calibri"/>
                <w:lang w:eastAsia="en-US"/>
              </w:rPr>
              <w:t xml:space="preserve">atsauci uz </w:t>
            </w:r>
            <w:r w:rsidR="00E056D9">
              <w:rPr>
                <w:rFonts w:eastAsia="Calibri"/>
                <w:lang w:eastAsia="en-US"/>
              </w:rPr>
              <w:t xml:space="preserve">izmaksu kapitalizāciju - </w:t>
            </w:r>
            <w:r w:rsidR="00E056D9" w:rsidRPr="00E056D9">
              <w:rPr>
                <w:rFonts w:eastAsia="Calibri"/>
                <w:lang w:eastAsia="en-US"/>
              </w:rPr>
              <w:t>68.</w:t>
            </w:r>
            <w:r w:rsidR="00E056D9">
              <w:rPr>
                <w:rFonts w:eastAsia="Calibri"/>
                <w:lang w:eastAsia="en-US"/>
              </w:rPr>
              <w:t>p</w:t>
            </w:r>
            <w:r w:rsidR="00B4406D">
              <w:rPr>
                <w:rFonts w:eastAsia="Calibri"/>
                <w:lang w:eastAsia="en-US"/>
              </w:rPr>
              <w:t>unkts</w:t>
            </w:r>
            <w:r w:rsidR="00E056D9" w:rsidRPr="00E056D9">
              <w:rPr>
                <w:rFonts w:eastAsia="Calibri"/>
                <w:lang w:eastAsia="en-US"/>
              </w:rPr>
              <w:t xml:space="preserve"> </w:t>
            </w:r>
            <w:r w:rsidR="00E056D9">
              <w:rPr>
                <w:rFonts w:eastAsia="Calibri"/>
                <w:lang w:eastAsia="en-US"/>
              </w:rPr>
              <w:t>“</w:t>
            </w:r>
            <w:r w:rsidR="00E056D9" w:rsidRPr="00E056D9">
              <w:rPr>
                <w:rFonts w:eastAsia="Calibri"/>
                <w:lang w:eastAsia="en-US"/>
              </w:rPr>
              <w:t>Izmaksas,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iekļauj pamatlīdzekļa, ieguldījuma īpašuma vai nemateriālā ieguldījuma vērtībā (kapitalizē)."</w:t>
            </w:r>
          </w:p>
          <w:p w14:paraId="07679B10" w14:textId="20C9AB25" w:rsidR="00201B14" w:rsidRDefault="00E056D9" w:rsidP="00914B17">
            <w:pPr>
              <w:ind w:left="142" w:right="164" w:firstLine="567"/>
              <w:jc w:val="both"/>
              <w:rPr>
                <w:rFonts w:eastAsia="Calibri"/>
                <w:lang w:eastAsia="en-US"/>
              </w:rPr>
            </w:pPr>
            <w:r>
              <w:rPr>
                <w:rFonts w:eastAsia="Calibri"/>
                <w:lang w:eastAsia="en-US"/>
              </w:rPr>
              <w:t>Saskaņā ar MK not. Nr.87</w:t>
            </w:r>
            <w:r w:rsidR="0053039F">
              <w:rPr>
                <w:rFonts w:eastAsia="Calibri"/>
                <w:lang w:eastAsia="en-US"/>
              </w:rPr>
              <w:t xml:space="preserve"> tiek precizēti vairāki kodi. Koda 2262 “</w:t>
            </w:r>
            <w:r w:rsidR="0053039F" w:rsidRPr="0053039F">
              <w:rPr>
                <w:rFonts w:eastAsia="Calibri"/>
                <w:lang w:eastAsia="en-US"/>
              </w:rPr>
              <w:t>Transportlīdzekļu noma</w:t>
            </w:r>
            <w:r w:rsidR="0053039F">
              <w:rPr>
                <w:rFonts w:eastAsia="Calibri"/>
                <w:lang w:eastAsia="en-US"/>
              </w:rPr>
              <w:t xml:space="preserve">” skaidrojums tiek precizēts saskaņā ar  MK not. Nr.87 </w:t>
            </w:r>
            <w:r w:rsidR="00201B14" w:rsidRPr="00201B14">
              <w:rPr>
                <w:rFonts w:eastAsia="Calibri"/>
                <w:lang w:eastAsia="en-US"/>
              </w:rPr>
              <w:t>298.punktu (nomu klasificē kā finanšu nomu (līzingu) vai operatīvo nomu).</w:t>
            </w:r>
            <w:r w:rsidR="0053039F">
              <w:rPr>
                <w:rFonts w:eastAsia="Calibri"/>
                <w:lang w:eastAsia="en-US"/>
              </w:rPr>
              <w:t xml:space="preserve"> Kodam 5100 “</w:t>
            </w:r>
            <w:r w:rsidR="0053039F" w:rsidRPr="0053039F">
              <w:rPr>
                <w:rFonts w:eastAsia="Calibri"/>
                <w:lang w:eastAsia="en-US"/>
              </w:rPr>
              <w:t>Nemateriālie ieguldījumi</w:t>
            </w:r>
            <w:r w:rsidR="0053039F">
              <w:rPr>
                <w:rFonts w:eastAsia="Calibri"/>
                <w:lang w:eastAsia="en-US"/>
              </w:rPr>
              <w:t xml:space="preserve">” </w:t>
            </w:r>
            <w:r w:rsidR="0053039F">
              <w:t xml:space="preserve"> </w:t>
            </w:r>
            <w:r w:rsidR="0053039F" w:rsidRPr="0053039F">
              <w:rPr>
                <w:rFonts w:eastAsia="Calibri"/>
                <w:lang w:eastAsia="en-US"/>
              </w:rPr>
              <w:t>svītrot</w:t>
            </w:r>
            <w:r w:rsidR="0053039F">
              <w:rPr>
                <w:rFonts w:eastAsia="Calibri"/>
                <w:lang w:eastAsia="en-US"/>
              </w:rPr>
              <w:t>s skaidrojums, jo MK not. Nr.</w:t>
            </w:r>
            <w:r w:rsidR="0053039F" w:rsidRPr="0053039F">
              <w:rPr>
                <w:rFonts w:eastAsia="Calibri"/>
                <w:lang w:eastAsia="en-US"/>
              </w:rPr>
              <w:t xml:space="preserve">87 jau ir pateikts, kas ir nemateriālie ieguldījumi, un 5000 </w:t>
            </w:r>
            <w:r w:rsidR="0053039F">
              <w:rPr>
                <w:rFonts w:eastAsia="Calibri"/>
                <w:lang w:eastAsia="en-US"/>
              </w:rPr>
              <w:t xml:space="preserve">“Pamatkapitāla veidošana” </w:t>
            </w:r>
            <w:r w:rsidR="0053039F" w:rsidRPr="0053039F">
              <w:rPr>
                <w:rFonts w:eastAsia="Calibri"/>
                <w:lang w:eastAsia="en-US"/>
              </w:rPr>
              <w:t>koda skaidrojumā ir pateikts par vērtības samazinājumu</w:t>
            </w:r>
            <w:r w:rsidR="0053039F">
              <w:rPr>
                <w:rFonts w:eastAsia="Calibri"/>
                <w:lang w:eastAsia="en-US"/>
              </w:rPr>
              <w:t>. Arī kodam 5200 “</w:t>
            </w:r>
            <w:r w:rsidR="0053039F" w:rsidRPr="0053039F">
              <w:rPr>
                <w:rFonts w:eastAsia="Calibri"/>
                <w:lang w:eastAsia="en-US"/>
              </w:rPr>
              <w:t>Pamatlīdzekļi</w:t>
            </w:r>
            <w:r w:rsidR="0053039F">
              <w:rPr>
                <w:rFonts w:eastAsia="Calibri"/>
                <w:lang w:eastAsia="en-US"/>
              </w:rPr>
              <w:t xml:space="preserve">” svītrots skaidrojums, kā arī precizēts nosaukums, jo </w:t>
            </w:r>
            <w:r w:rsidR="0053039F">
              <w:t xml:space="preserve"> </w:t>
            </w:r>
            <w:r w:rsidR="0053039F">
              <w:rPr>
                <w:rFonts w:eastAsia="Calibri"/>
                <w:lang w:eastAsia="en-US"/>
              </w:rPr>
              <w:t>MK not.</w:t>
            </w:r>
            <w:r w:rsidR="0053039F" w:rsidRPr="0053039F">
              <w:rPr>
                <w:rFonts w:eastAsia="Calibri"/>
                <w:lang w:eastAsia="en-US"/>
              </w:rPr>
              <w:t xml:space="preserve"> Nr.87 jau ir skaidrota pamatlīdzekļu būtība un uzskaites principi</w:t>
            </w:r>
            <w:r w:rsidR="0053039F">
              <w:rPr>
                <w:rFonts w:eastAsia="Calibri"/>
                <w:lang w:eastAsia="en-US"/>
              </w:rPr>
              <w:t>. Koda 5240 “</w:t>
            </w:r>
            <w:r w:rsidR="0053039F" w:rsidRPr="0053039F">
              <w:rPr>
                <w:rFonts w:eastAsia="Calibri"/>
                <w:lang w:eastAsia="en-US"/>
              </w:rPr>
              <w:t>Pamatlīdzekļu izveidošana un nepabeigtā būvniecība</w:t>
            </w:r>
            <w:r w:rsidR="0053039F">
              <w:rPr>
                <w:rFonts w:eastAsia="Calibri"/>
                <w:lang w:eastAsia="en-US"/>
              </w:rPr>
              <w:t xml:space="preserve">” </w:t>
            </w:r>
            <w:r w:rsidR="0053039F" w:rsidRPr="0053039F">
              <w:rPr>
                <w:rFonts w:eastAsia="Calibri"/>
                <w:lang w:eastAsia="en-US"/>
              </w:rPr>
              <w:t>nosaukums un skaidrojums precizēts, harmonizējot to ar MK not</w:t>
            </w:r>
            <w:r w:rsidR="0053039F">
              <w:rPr>
                <w:rFonts w:eastAsia="Calibri"/>
                <w:lang w:eastAsia="en-US"/>
              </w:rPr>
              <w:t>.</w:t>
            </w:r>
            <w:r w:rsidR="0053039F" w:rsidRPr="0053039F">
              <w:rPr>
                <w:rFonts w:eastAsia="Calibri"/>
                <w:lang w:eastAsia="en-US"/>
              </w:rPr>
              <w:t xml:space="preserve"> Nr.87 lietoto terminoloģiju</w:t>
            </w:r>
            <w:r w:rsidR="0053039F">
              <w:rPr>
                <w:rFonts w:eastAsia="Calibri"/>
                <w:lang w:eastAsia="en-US"/>
              </w:rPr>
              <w:t>. Arī kodu 5260 “</w:t>
            </w:r>
            <w:r w:rsidR="0053039F" w:rsidRPr="0053039F">
              <w:rPr>
                <w:rFonts w:eastAsia="Calibri"/>
                <w:lang w:eastAsia="en-US"/>
              </w:rPr>
              <w:t>Bioloģiskie un pazemes aktīvi</w:t>
            </w:r>
            <w:r w:rsidR="0053039F">
              <w:rPr>
                <w:rFonts w:eastAsia="Calibri"/>
                <w:lang w:eastAsia="en-US"/>
              </w:rPr>
              <w:t>” un 5270 “</w:t>
            </w:r>
            <w:r w:rsidR="0053039F" w:rsidRPr="0053039F">
              <w:rPr>
                <w:rFonts w:eastAsia="Calibri"/>
                <w:lang w:eastAsia="en-US"/>
              </w:rPr>
              <w:t>Ilgtermiņa ieguldījumi nomātajos pamatlīdzekļos</w:t>
            </w:r>
            <w:r w:rsidR="0053039F">
              <w:rPr>
                <w:rFonts w:eastAsia="Calibri"/>
                <w:lang w:eastAsia="en-US"/>
              </w:rPr>
              <w:t xml:space="preserve">” skaidrojumi </w:t>
            </w:r>
            <w:r w:rsidR="0053039F">
              <w:t xml:space="preserve"> </w:t>
            </w:r>
            <w:r w:rsidR="0053039F">
              <w:rPr>
                <w:rFonts w:eastAsia="Calibri"/>
                <w:lang w:eastAsia="en-US"/>
              </w:rPr>
              <w:t>precizēti</w:t>
            </w:r>
            <w:r w:rsidR="0053039F" w:rsidRPr="0053039F">
              <w:rPr>
                <w:rFonts w:eastAsia="Calibri"/>
                <w:lang w:eastAsia="en-US"/>
              </w:rPr>
              <w:t>, harmonizējot to</w:t>
            </w:r>
            <w:r w:rsidR="0053039F">
              <w:rPr>
                <w:rFonts w:eastAsia="Calibri"/>
                <w:lang w:eastAsia="en-US"/>
              </w:rPr>
              <w:t>s ar MK not.</w:t>
            </w:r>
            <w:r w:rsidR="0053039F" w:rsidRPr="0053039F">
              <w:rPr>
                <w:rFonts w:eastAsia="Calibri"/>
                <w:lang w:eastAsia="en-US"/>
              </w:rPr>
              <w:t xml:space="preserve"> Nr.87 lietoto terminoloģiju</w:t>
            </w:r>
            <w:r w:rsidR="0053039F">
              <w:rPr>
                <w:rFonts w:eastAsia="Calibri"/>
                <w:lang w:eastAsia="en-US"/>
              </w:rPr>
              <w:t>.</w:t>
            </w:r>
          </w:p>
          <w:p w14:paraId="22919106" w14:textId="7CF2E2C6" w:rsidR="0053039F" w:rsidRDefault="0053039F" w:rsidP="00914B17">
            <w:pPr>
              <w:ind w:left="142" w:right="164" w:firstLine="567"/>
              <w:jc w:val="both"/>
              <w:rPr>
                <w:rFonts w:eastAsia="Calibri"/>
                <w:lang w:eastAsia="en-US"/>
              </w:rPr>
            </w:pPr>
            <w:r>
              <w:rPr>
                <w:rFonts w:eastAsia="Calibri"/>
                <w:lang w:eastAsia="en-US"/>
              </w:rPr>
              <w:t>Tā kā s</w:t>
            </w:r>
            <w:r w:rsidRPr="0053039F">
              <w:rPr>
                <w:rFonts w:eastAsia="Calibri"/>
                <w:lang w:eastAsia="en-US"/>
              </w:rPr>
              <w:t>pectērpi kā termins normatīva</w:t>
            </w:r>
            <w:r w:rsidR="00A4406C">
              <w:rPr>
                <w:rFonts w:eastAsia="Calibri"/>
                <w:lang w:eastAsia="en-US"/>
              </w:rPr>
              <w:t xml:space="preserve">jos aktos netiek lietots, </w:t>
            </w:r>
            <w:r w:rsidRPr="0053039F">
              <w:rPr>
                <w:rFonts w:eastAsia="Calibri"/>
                <w:lang w:eastAsia="en-US"/>
              </w:rPr>
              <w:t xml:space="preserve">tiek precizēts koda </w:t>
            </w:r>
            <w:r w:rsidR="00A4406C">
              <w:rPr>
                <w:rFonts w:eastAsia="Calibri"/>
                <w:lang w:eastAsia="en-US"/>
              </w:rPr>
              <w:t xml:space="preserve">2313 “Spectērpi” </w:t>
            </w:r>
            <w:r w:rsidRPr="0053039F">
              <w:rPr>
                <w:rFonts w:eastAsia="Calibri"/>
                <w:lang w:eastAsia="en-US"/>
              </w:rPr>
              <w:t>nosaukums un papildināts koda skaidrojums</w:t>
            </w:r>
            <w:r w:rsidR="00A4406C">
              <w:rPr>
                <w:rFonts w:eastAsia="Calibri"/>
                <w:lang w:eastAsia="en-US"/>
              </w:rPr>
              <w:t>, norādot kādus izdevumus uzskaita un kādus neuzskaita kodā 2313.</w:t>
            </w:r>
          </w:p>
          <w:p w14:paraId="6B0ED769" w14:textId="32B8B57F" w:rsidR="00A4406C" w:rsidRDefault="00A4406C" w:rsidP="00914B17">
            <w:pPr>
              <w:ind w:left="142" w:right="164" w:firstLine="567"/>
              <w:jc w:val="both"/>
              <w:rPr>
                <w:rFonts w:eastAsia="Calibri"/>
                <w:lang w:eastAsia="en-US"/>
              </w:rPr>
            </w:pPr>
            <w:r>
              <w:rPr>
                <w:rFonts w:eastAsia="Calibri"/>
                <w:lang w:eastAsia="en-US"/>
              </w:rPr>
              <w:t>Saskaņā ar  2018.gada 1.jūlija grozījumiem Maksātnespējas likumā, tiek precizēts koda 2514 “</w:t>
            </w:r>
            <w:r w:rsidRPr="00A4406C">
              <w:rPr>
                <w:rFonts w:eastAsia="Calibri"/>
                <w:lang w:eastAsia="en-US"/>
              </w:rPr>
              <w:t>Iedzīvotāju ienākuma nodoklis (no maksātnespējīgā darba devēja darbinieku prasījumu summām)</w:t>
            </w:r>
            <w:r>
              <w:rPr>
                <w:rFonts w:eastAsia="Calibri"/>
                <w:lang w:eastAsia="en-US"/>
              </w:rPr>
              <w:t xml:space="preserve">” skaidrojums, </w:t>
            </w:r>
            <w:r>
              <w:t xml:space="preserve"> </w:t>
            </w:r>
            <w:r w:rsidRPr="00A4406C">
              <w:rPr>
                <w:rFonts w:eastAsia="Calibri"/>
                <w:lang w:eastAsia="en-US"/>
              </w:rPr>
              <w:t>Maksātne</w:t>
            </w:r>
            <w:r>
              <w:rPr>
                <w:rFonts w:eastAsia="Calibri"/>
                <w:lang w:eastAsia="en-US"/>
              </w:rPr>
              <w:t>spējas administrācijas nosaukumu mainot</w:t>
            </w:r>
            <w:r w:rsidRPr="00A4406C">
              <w:rPr>
                <w:rFonts w:eastAsia="Calibri"/>
                <w:lang w:eastAsia="en-US"/>
              </w:rPr>
              <w:t xml:space="preserve"> uz Maksātnespējas kontroles dienests</w:t>
            </w:r>
            <w:r>
              <w:rPr>
                <w:rFonts w:eastAsia="Calibri"/>
                <w:lang w:eastAsia="en-US"/>
              </w:rPr>
              <w:t>.</w:t>
            </w:r>
          </w:p>
          <w:p w14:paraId="73178DFE" w14:textId="72220A01" w:rsidR="003402E1" w:rsidRDefault="003402E1" w:rsidP="00914B17">
            <w:pPr>
              <w:ind w:left="137" w:right="37" w:firstLine="567"/>
              <w:jc w:val="both"/>
              <w:rPr>
                <w:rFonts w:eastAsia="Calibri"/>
                <w:lang w:eastAsia="en-US"/>
              </w:rPr>
            </w:pPr>
            <w:r w:rsidRPr="003402E1">
              <w:rPr>
                <w:rFonts w:eastAsia="Calibri"/>
                <w:lang w:eastAsia="en-US"/>
              </w:rPr>
              <w:t>Saskaņā ar Ārstniecības likumu un 2017.gada 28.novembra Ministru kabineta noteikumiem Nr.689 “Medicīnisko ierīču reģistrācijas, atbilstības novērtēšanas, izplatīšanas, ekspluatācijas un tehniskās uzraudzības kārtība” tiek precizēts koda 2340 “Zāles, ķimikālijas, laboratorijas preces, medicīniskās ierīces, medicīniskie instrumenti, laboratorijas dzīvnieki un to uzturēšana” nosaukums – svītrojot vārdus “medicīniskie instrumenti”, jo pamatojoties uz Ārstniecības likumu, medicīniskās ierīces ietver sevī arī medicīniskos instrumentus.</w:t>
            </w:r>
            <w:r w:rsidR="00E27AFC">
              <w:rPr>
                <w:rFonts w:eastAsia="Calibri"/>
                <w:lang w:eastAsia="en-US"/>
              </w:rPr>
              <w:t xml:space="preserve"> </w:t>
            </w:r>
            <w:r w:rsidRPr="003402E1">
              <w:rPr>
                <w:rFonts w:eastAsia="Calibri"/>
                <w:lang w:eastAsia="en-US"/>
              </w:rPr>
              <w:t xml:space="preserve">Precizēts </w:t>
            </w:r>
            <w:r w:rsidR="00E27AFC">
              <w:rPr>
                <w:rFonts w:eastAsia="Calibri"/>
                <w:lang w:eastAsia="en-US"/>
              </w:rPr>
              <w:t xml:space="preserve">arī </w:t>
            </w:r>
            <w:r w:rsidRPr="003402E1">
              <w:rPr>
                <w:rFonts w:eastAsia="Calibri"/>
                <w:lang w:eastAsia="en-US"/>
              </w:rPr>
              <w:t xml:space="preserve">koda 2340 skaidrojums, uzsverot, ka kodā uzskaita izdevumus par zālēm un pārsienamajiem līdzekļiem, kas paredzēti ārstniecības nodrošināšanai, ja to sniedz ārstniecības personas (Ārstniecības likumā - personas, kam ir medicīniskā izglītība un kas nodarbojas ar ārstniecību). Saskaņā ar Ārstniecības likumā definēto, ārstniecība ir profesionāla un individuāla slimību profilakse, diagnostika un ārstēšana, medicīniskā rehabilitācija un pacientu aprūpe. Citos gadījumos šādus materiālus </w:t>
            </w:r>
            <w:r w:rsidR="00E27AFC">
              <w:rPr>
                <w:rFonts w:eastAsia="Calibri"/>
                <w:lang w:eastAsia="en-US"/>
              </w:rPr>
              <w:t xml:space="preserve">(pārsienamie līdzekļi) </w:t>
            </w:r>
            <w:r w:rsidRPr="003402E1">
              <w:rPr>
                <w:rFonts w:eastAsia="Calibri"/>
                <w:lang w:eastAsia="en-US"/>
              </w:rPr>
              <w:t>attiecina uz 2390 "Pārējās preces", arī pirmās palīdzības gadījumā.</w:t>
            </w:r>
          </w:p>
          <w:p w14:paraId="258DD7DA" w14:textId="6CD9CE88" w:rsidR="00416D86" w:rsidRDefault="00775E74" w:rsidP="00914B17">
            <w:pPr>
              <w:ind w:left="142" w:right="164" w:firstLine="567"/>
              <w:jc w:val="both"/>
              <w:rPr>
                <w:rFonts w:eastAsia="Calibri"/>
                <w:lang w:eastAsia="en-US"/>
              </w:rPr>
            </w:pPr>
            <w:r>
              <w:rPr>
                <w:rFonts w:eastAsia="Calibri"/>
                <w:lang w:eastAsia="en-US"/>
              </w:rPr>
              <w:t>N</w:t>
            </w:r>
            <w:r w:rsidR="00A4406C" w:rsidRPr="00A4406C">
              <w:rPr>
                <w:rFonts w:eastAsia="Calibri"/>
                <w:lang w:eastAsia="en-US"/>
              </w:rPr>
              <w:t>o koda</w:t>
            </w:r>
            <w:r w:rsidR="00A4406C">
              <w:rPr>
                <w:rFonts w:eastAsia="Calibri"/>
                <w:lang w:eastAsia="en-US"/>
              </w:rPr>
              <w:t xml:space="preserve"> 6239 “</w:t>
            </w:r>
            <w:r w:rsidR="00A4406C" w:rsidRPr="00A4406C">
              <w:rPr>
                <w:rFonts w:eastAsia="Calibri"/>
                <w:lang w:eastAsia="en-US"/>
              </w:rPr>
              <w:t>Pārējie valsts pabalsti un kompensācijas</w:t>
            </w:r>
            <w:r w:rsidR="00A4406C">
              <w:rPr>
                <w:rFonts w:eastAsia="Calibri"/>
                <w:lang w:eastAsia="en-US"/>
              </w:rPr>
              <w:t>”</w:t>
            </w:r>
            <w:r w:rsidR="00A4406C" w:rsidRPr="00A4406C">
              <w:rPr>
                <w:rFonts w:eastAsia="Calibri"/>
                <w:lang w:eastAsia="en-US"/>
              </w:rPr>
              <w:t xml:space="preserve"> skaidrojuma </w:t>
            </w:r>
            <w:r>
              <w:rPr>
                <w:rFonts w:eastAsia="Calibri"/>
                <w:lang w:eastAsia="en-US"/>
              </w:rPr>
              <w:t xml:space="preserve">svītrots </w:t>
            </w:r>
            <w:r w:rsidR="00A4406C" w:rsidRPr="00A4406C">
              <w:rPr>
                <w:rFonts w:eastAsia="Calibri"/>
                <w:lang w:eastAsia="en-US"/>
              </w:rPr>
              <w:t xml:space="preserve">valsts speciālais pabalsts Latvijas neatkarības atgūšanas procesā </w:t>
            </w:r>
            <w:r w:rsidR="00A4406C" w:rsidRPr="00A4406C">
              <w:rPr>
                <w:rFonts w:eastAsia="Calibri"/>
                <w:lang w:eastAsia="en-US"/>
              </w:rPr>
              <w:lastRenderedPageBreak/>
              <w:t xml:space="preserve">bojāgājušo personu bērniem, jo minētie bērni visi ir sasnieguši 24 gadu vecumu, līdz kuram attiecīgo pabalstu ir tiesības saņemt. Šāds </w:t>
            </w:r>
            <w:r w:rsidR="00A4406C">
              <w:rPr>
                <w:rFonts w:eastAsia="Calibri"/>
                <w:lang w:eastAsia="en-US"/>
              </w:rPr>
              <w:t>pabalsts vairs netiek izmaksāts.</w:t>
            </w:r>
            <w:r w:rsidR="00A4406C" w:rsidRPr="00A4406C">
              <w:rPr>
                <w:rFonts w:eastAsia="Calibri"/>
                <w:lang w:eastAsia="en-US"/>
              </w:rPr>
              <w:t xml:space="preserve"> </w:t>
            </w:r>
            <w:r w:rsidR="00A4406C">
              <w:rPr>
                <w:rFonts w:eastAsia="Calibri"/>
                <w:lang w:eastAsia="en-US"/>
              </w:rPr>
              <w:t>Koda 6239 skaidrojums papildināts</w:t>
            </w:r>
            <w:r w:rsidR="00A4406C" w:rsidRPr="00A4406C">
              <w:rPr>
                <w:rFonts w:eastAsia="Calibri"/>
                <w:lang w:eastAsia="en-US"/>
              </w:rPr>
              <w:t xml:space="preserve"> ar Atbalstu adoptētājiem, pamatojoties uz jaunu valsts sociālo pabalstu (bērna adopcijas </w:t>
            </w:r>
            <w:r w:rsidR="00A4406C">
              <w:rPr>
                <w:rFonts w:eastAsia="Calibri"/>
                <w:lang w:eastAsia="en-US"/>
              </w:rPr>
              <w:t>pabalsts), kuru piešķir saskaņā</w:t>
            </w:r>
            <w:r w:rsidR="00A4406C" w:rsidRPr="00A4406C">
              <w:rPr>
                <w:rFonts w:eastAsia="Calibri"/>
                <w:lang w:eastAsia="en-US"/>
              </w:rPr>
              <w:t xml:space="preserve"> ar izmaiņām Valsts sociālo pabalstu likuma </w:t>
            </w:r>
            <w:r w:rsidR="00B34C12">
              <w:rPr>
                <w:rFonts w:eastAsia="Calibri"/>
                <w:lang w:eastAsia="en-US"/>
              </w:rPr>
              <w:t>8.</w:t>
            </w:r>
            <w:r w:rsidR="00B34C12">
              <w:rPr>
                <w:rFonts w:eastAsia="Calibri"/>
                <w:vertAlign w:val="superscript"/>
                <w:lang w:eastAsia="en-US"/>
              </w:rPr>
              <w:t>2</w:t>
            </w:r>
            <w:r w:rsidR="00A4406C" w:rsidRPr="00A4406C">
              <w:rPr>
                <w:rFonts w:eastAsia="Calibri"/>
                <w:lang w:eastAsia="en-US"/>
              </w:rPr>
              <w:t xml:space="preserve"> pantā un </w:t>
            </w:r>
            <w:r w:rsidR="00A4406C">
              <w:rPr>
                <w:rFonts w:eastAsia="Calibri"/>
                <w:lang w:eastAsia="en-US"/>
              </w:rPr>
              <w:t>2019.gada 23.aprīļa</w:t>
            </w:r>
            <w:r w:rsidR="00A4406C" w:rsidRPr="00A4406C">
              <w:rPr>
                <w:rFonts w:eastAsia="Calibri"/>
                <w:lang w:eastAsia="en-US"/>
              </w:rPr>
              <w:t xml:space="preserve"> Ministru kabineta noteikumiem Nr.177</w:t>
            </w:r>
            <w:r w:rsidR="00A4406C">
              <w:rPr>
                <w:rFonts w:eastAsia="Calibri"/>
                <w:lang w:eastAsia="en-US"/>
              </w:rPr>
              <w:t xml:space="preserve"> “</w:t>
            </w:r>
            <w:r w:rsidR="00A4406C" w:rsidRPr="00A4406C">
              <w:rPr>
                <w:rFonts w:eastAsia="Calibri"/>
                <w:lang w:eastAsia="en-US"/>
              </w:rPr>
              <w:t xml:space="preserve">Kārtība, kādā piešķir un izmaksā bērna adopcijas pabalstu”  (stājas spēkā </w:t>
            </w:r>
            <w:r w:rsidR="00A4406C">
              <w:rPr>
                <w:rFonts w:eastAsia="Calibri"/>
                <w:lang w:eastAsia="en-US"/>
              </w:rPr>
              <w:t>2019.gada 1.jūlijā)</w:t>
            </w:r>
            <w:r w:rsidR="00A4406C" w:rsidRPr="00A4406C">
              <w:rPr>
                <w:rFonts w:eastAsia="Calibri"/>
                <w:lang w:eastAsia="en-US"/>
              </w:rPr>
              <w:t>.</w:t>
            </w:r>
          </w:p>
          <w:p w14:paraId="3EB17172" w14:textId="1273D3FC" w:rsidR="002D427F" w:rsidRDefault="002D427F" w:rsidP="00914B17">
            <w:pPr>
              <w:ind w:left="142" w:right="164" w:firstLine="567"/>
              <w:jc w:val="both"/>
              <w:rPr>
                <w:rFonts w:eastAsia="Calibri"/>
                <w:lang w:eastAsia="en-US"/>
              </w:rPr>
            </w:pPr>
            <w:r>
              <w:rPr>
                <w:rFonts w:eastAsia="Calibri"/>
                <w:lang w:eastAsia="en-US"/>
              </w:rPr>
              <w:t xml:space="preserve">Visā noteikumu tekstā redakcionāli harmonizētas vārdu “finansētu atvasinātu </w:t>
            </w:r>
            <w:r w:rsidR="00EB7517">
              <w:rPr>
                <w:rFonts w:eastAsia="Calibri"/>
                <w:lang w:eastAsia="en-US"/>
              </w:rPr>
              <w:t>publisku” un “nefinansētu” lietojums (ievērojot locījumus), lietojot nenoteikto galotni.</w:t>
            </w:r>
          </w:p>
          <w:p w14:paraId="009815DC" w14:textId="02E66C61" w:rsidR="00EB7517" w:rsidRDefault="00EB7517" w:rsidP="00914B17">
            <w:pPr>
              <w:ind w:left="142" w:right="164" w:firstLine="567"/>
              <w:jc w:val="both"/>
              <w:rPr>
                <w:rFonts w:eastAsia="Calibri"/>
                <w:lang w:eastAsia="en-US"/>
              </w:rPr>
            </w:pPr>
            <w:r>
              <w:rPr>
                <w:rFonts w:eastAsia="Calibri"/>
                <w:lang w:eastAsia="en-US"/>
              </w:rPr>
              <w:t>Tiek precizēts noteikumu pielikuma trešās kolonnas nosaukums, jo attiecīgajā kolonnā norādīts ne tikai kods, bet arī tā skaidrojums.</w:t>
            </w:r>
          </w:p>
          <w:p w14:paraId="702B89B6" w14:textId="7F34BEEF" w:rsidR="00A4406C" w:rsidRPr="00201B14" w:rsidRDefault="00A4406C" w:rsidP="00914B17">
            <w:pPr>
              <w:ind w:left="140" w:right="163" w:firstLine="567"/>
              <w:jc w:val="both"/>
              <w:rPr>
                <w:rFonts w:eastAsia="Calibri"/>
                <w:lang w:eastAsia="en-US"/>
              </w:rPr>
            </w:pPr>
            <w:r w:rsidRPr="00A4406C">
              <w:rPr>
                <w:rFonts w:eastAsia="Calibri"/>
                <w:lang w:eastAsia="en-US"/>
              </w:rPr>
              <w:t xml:space="preserve">                                                                                                                                                                                                                                                                                         </w:t>
            </w:r>
            <w:r>
              <w:rPr>
                <w:rFonts w:eastAsia="Calibri"/>
                <w:lang w:eastAsia="en-US"/>
              </w:rPr>
              <w:t xml:space="preserve">                 </w:t>
            </w:r>
          </w:p>
          <w:p w14:paraId="06A4753D" w14:textId="0FACCA9A" w:rsidR="00405F68" w:rsidRPr="008C3202" w:rsidRDefault="00405F68" w:rsidP="00914B17">
            <w:pPr>
              <w:pStyle w:val="ListParagraph"/>
              <w:numPr>
                <w:ilvl w:val="0"/>
                <w:numId w:val="16"/>
              </w:numPr>
              <w:spacing w:line="240" w:lineRule="auto"/>
              <w:ind w:left="918" w:right="164" w:hanging="357"/>
              <w:rPr>
                <w:rFonts w:eastAsia="Calibri"/>
                <w:b/>
              </w:rPr>
            </w:pPr>
            <w:r w:rsidRPr="008C3202">
              <w:rPr>
                <w:rFonts w:eastAsia="Calibri"/>
                <w:b/>
              </w:rPr>
              <w:t>Subsīdijas un dotācijas</w:t>
            </w:r>
          </w:p>
          <w:p w14:paraId="20366A2B" w14:textId="3CB22F5A" w:rsidR="000451BB" w:rsidRPr="000451BB" w:rsidRDefault="000451BB" w:rsidP="00914B17">
            <w:pPr>
              <w:ind w:left="142" w:right="164" w:firstLine="425"/>
              <w:jc w:val="both"/>
              <w:rPr>
                <w:rFonts w:eastAsia="Calibri"/>
                <w:lang w:eastAsia="en-US"/>
              </w:rPr>
            </w:pPr>
            <w:r>
              <w:rPr>
                <w:rFonts w:eastAsia="Calibri"/>
                <w:lang w:eastAsia="en-US"/>
              </w:rPr>
              <w:t>Tiek pr</w:t>
            </w:r>
            <w:r w:rsidRPr="000451BB">
              <w:rPr>
                <w:rFonts w:eastAsia="Calibri"/>
                <w:lang w:eastAsia="en-US"/>
              </w:rPr>
              <w:t xml:space="preserve">ecizēts koda </w:t>
            </w:r>
            <w:r>
              <w:rPr>
                <w:rFonts w:eastAsia="Calibri"/>
                <w:lang w:eastAsia="en-US"/>
              </w:rPr>
              <w:t>3000</w:t>
            </w:r>
            <w:r>
              <w:t xml:space="preserve"> “</w:t>
            </w:r>
            <w:r w:rsidRPr="000451BB">
              <w:rPr>
                <w:rFonts w:eastAsia="Calibri"/>
                <w:lang w:eastAsia="en-US"/>
              </w:rPr>
              <w:t>Subsīdijas un dotācijas</w:t>
            </w:r>
            <w:r>
              <w:rPr>
                <w:rFonts w:eastAsia="Calibri"/>
                <w:lang w:eastAsia="en-US"/>
              </w:rPr>
              <w:t xml:space="preserve">” </w:t>
            </w:r>
            <w:r w:rsidRPr="000451BB">
              <w:rPr>
                <w:rFonts w:eastAsia="Calibri"/>
                <w:lang w:eastAsia="en-US"/>
              </w:rPr>
              <w:t>skaidrojums</w:t>
            </w:r>
            <w:r w:rsidR="00B4406D">
              <w:rPr>
                <w:rFonts w:eastAsia="Calibri"/>
                <w:lang w:eastAsia="en-US"/>
              </w:rPr>
              <w:t xml:space="preserve"> un koda 3200 “</w:t>
            </w:r>
            <w:r w:rsidR="00B4406D" w:rsidRPr="000451BB">
              <w:rPr>
                <w:rFonts w:eastAsia="Calibri"/>
                <w:lang w:eastAsia="en-US"/>
              </w:rPr>
              <w:t>Subsīdijas un dotācijas komersantiem, biedrībām un nodibinājumiem</w:t>
            </w:r>
            <w:r w:rsidR="00B4406D">
              <w:rPr>
                <w:rFonts w:eastAsia="Calibri"/>
                <w:lang w:eastAsia="en-US"/>
              </w:rPr>
              <w:t>” nosaukums un skaidrojums</w:t>
            </w:r>
            <w:r w:rsidRPr="000451BB">
              <w:rPr>
                <w:rFonts w:eastAsia="Calibri"/>
                <w:lang w:eastAsia="en-US"/>
              </w:rPr>
              <w:t>, papildinot to</w:t>
            </w:r>
            <w:r>
              <w:rPr>
                <w:rFonts w:eastAsia="Calibri"/>
                <w:lang w:eastAsia="en-US"/>
              </w:rPr>
              <w:t xml:space="preserve"> ar </w:t>
            </w:r>
            <w:r w:rsidRPr="007D3209">
              <w:rPr>
                <w:rFonts w:eastAsia="Calibri"/>
                <w:lang w:eastAsia="en-US"/>
              </w:rPr>
              <w:t>dotācijām fizisk</w:t>
            </w:r>
            <w:r w:rsidR="00E5614F" w:rsidRPr="007D3209">
              <w:rPr>
                <w:rFonts w:eastAsia="Calibri"/>
                <w:lang w:eastAsia="en-US"/>
              </w:rPr>
              <w:t>aj</w:t>
            </w:r>
            <w:r w:rsidRPr="007D3209">
              <w:rPr>
                <w:rFonts w:eastAsia="Calibri"/>
                <w:lang w:eastAsia="en-US"/>
              </w:rPr>
              <w:t>ām personām Izmaiņas kodos 3000 un 3200 veiktas, jo ir precizēts kods 3264 “Valsts Kultūrkapitāla fonda pārskaitījumi fizisk</w:t>
            </w:r>
            <w:r w:rsidR="00E5614F" w:rsidRPr="007D3209">
              <w:rPr>
                <w:rFonts w:eastAsia="Calibri"/>
                <w:lang w:eastAsia="en-US"/>
              </w:rPr>
              <w:t>aj</w:t>
            </w:r>
            <w:r w:rsidRPr="007D3209">
              <w:rPr>
                <w:rFonts w:eastAsia="Calibri"/>
                <w:lang w:eastAsia="en-US"/>
              </w:rPr>
              <w:t>ām personām kultūras projektu īstenošanai” (gan mainot nosaukumu, gan pievienojot skaidrojumu).</w:t>
            </w:r>
            <w:r w:rsidRPr="007D3209">
              <w:rPr>
                <w:rFonts w:eastAsiaTheme="minorEastAsia" w:cs="Arial"/>
                <w:b/>
                <w:caps/>
                <w:color w:val="000000" w:themeColor="text1"/>
                <w:kern w:val="24"/>
              </w:rPr>
              <w:t xml:space="preserve"> </w:t>
            </w:r>
            <w:r w:rsidRPr="007D3209">
              <w:rPr>
                <w:rFonts w:eastAsia="Calibri"/>
                <w:lang w:eastAsia="en-US"/>
              </w:rPr>
              <w:t xml:space="preserve">Vēsturiski kods 3264 veidots priekš </w:t>
            </w:r>
            <w:r w:rsidR="004843DB" w:rsidRPr="007D3209">
              <w:rPr>
                <w:rFonts w:eastAsia="Calibri"/>
                <w:lang w:eastAsia="en-US"/>
              </w:rPr>
              <w:t xml:space="preserve">Valsts Kultūrkapitāla fonda </w:t>
            </w:r>
            <w:r w:rsidRPr="007D3209">
              <w:rPr>
                <w:rFonts w:eastAsia="Calibri"/>
                <w:lang w:eastAsia="en-US"/>
              </w:rPr>
              <w:t xml:space="preserve"> paskaitījumiem kultūras projektu īstenošanai, ja saņēmējs ir fiziskā persona</w:t>
            </w:r>
            <w:r w:rsidR="004843DB" w:rsidRPr="007D3209">
              <w:rPr>
                <w:rFonts w:eastAsia="Calibri"/>
                <w:lang w:eastAsia="en-US"/>
              </w:rPr>
              <w:t xml:space="preserve">. </w:t>
            </w:r>
            <w:r w:rsidR="004843DB" w:rsidRPr="007D3209">
              <w:rPr>
                <w:rFonts w:eastAsiaTheme="minorEastAsia" w:cs="Arial"/>
                <w:b/>
                <w:caps/>
                <w:color w:val="000000" w:themeColor="text1"/>
                <w:kern w:val="24"/>
              </w:rPr>
              <w:t xml:space="preserve"> </w:t>
            </w:r>
            <w:r w:rsidR="004843DB" w:rsidRPr="007D3209">
              <w:rPr>
                <w:rFonts w:eastAsia="Calibri"/>
                <w:lang w:eastAsia="en-US"/>
              </w:rPr>
              <w:t xml:space="preserve">Laika gaitā ir attīstījusies dažādu projektu īstenošana, kur finansējuma saņēmējam ir fiziskās personas statuss (un kas nav reģistrējusies kā saimnieciskās darbības veicējs). </w:t>
            </w:r>
            <w:r w:rsidR="004843DB" w:rsidRPr="007D3209">
              <w:rPr>
                <w:rFonts w:eastAsiaTheme="minorEastAsia" w:cs="Arial"/>
                <w:color w:val="000000" w:themeColor="text1"/>
                <w:kern w:val="24"/>
              </w:rPr>
              <w:t xml:space="preserve"> Līdz ar to tiek p</w:t>
            </w:r>
            <w:r w:rsidR="004843DB" w:rsidRPr="007D3209">
              <w:rPr>
                <w:rFonts w:eastAsia="Calibri"/>
                <w:lang w:eastAsia="en-US"/>
              </w:rPr>
              <w:t>aplašināts koda 3264 lietotāju loks – valsts un pašvaldību iestāžu izdevumi projektu īstenošanai, ja finansējuma saņēmējs ir fizisk</w:t>
            </w:r>
            <w:r w:rsidR="00E5614F" w:rsidRPr="007D3209">
              <w:rPr>
                <w:rFonts w:eastAsia="Calibri"/>
                <w:lang w:eastAsia="en-US"/>
              </w:rPr>
              <w:t>ā</w:t>
            </w:r>
            <w:r w:rsidR="004843DB" w:rsidRPr="007D3209">
              <w:rPr>
                <w:rFonts w:eastAsia="Calibri"/>
                <w:lang w:eastAsia="en-US"/>
              </w:rPr>
              <w:t xml:space="preserve"> persona</w:t>
            </w:r>
            <w:r w:rsidR="00AE3E7F">
              <w:rPr>
                <w:rFonts w:eastAsia="Calibri"/>
                <w:lang w:eastAsia="en-US"/>
              </w:rPr>
              <w:t>.</w:t>
            </w:r>
          </w:p>
          <w:p w14:paraId="3C465A9F" w14:textId="69345C35" w:rsidR="000451BB" w:rsidRDefault="000451BB" w:rsidP="00914B17">
            <w:pPr>
              <w:ind w:left="141" w:right="164" w:firstLine="427"/>
              <w:jc w:val="both"/>
              <w:rPr>
                <w:rFonts w:eastAsia="Calibri"/>
                <w:lang w:eastAsia="en-US"/>
              </w:rPr>
            </w:pPr>
            <w:r w:rsidRPr="000451BB">
              <w:rPr>
                <w:rFonts w:eastAsia="Calibri"/>
                <w:lang w:eastAsia="en-US"/>
              </w:rPr>
              <w:t xml:space="preserve"> </w:t>
            </w:r>
          </w:p>
          <w:p w14:paraId="6848A820" w14:textId="4DE5B553" w:rsidR="00405F68" w:rsidRPr="008C3202" w:rsidRDefault="00B54E47" w:rsidP="00914B17">
            <w:pPr>
              <w:pStyle w:val="ListParagraph"/>
              <w:numPr>
                <w:ilvl w:val="0"/>
                <w:numId w:val="16"/>
              </w:numPr>
              <w:spacing w:line="240" w:lineRule="auto"/>
              <w:ind w:left="918" w:right="164" w:hanging="357"/>
              <w:rPr>
                <w:b/>
              </w:rPr>
            </w:pPr>
            <w:r w:rsidRPr="008C3202">
              <w:rPr>
                <w:b/>
              </w:rPr>
              <w:t>Sociālā rakstura maksājumi un kompensācijas</w:t>
            </w:r>
          </w:p>
          <w:p w14:paraId="2E9A6494" w14:textId="4D0980E4" w:rsidR="00CC4BD6" w:rsidRPr="007D3209" w:rsidRDefault="004843DB" w:rsidP="00914B17">
            <w:pPr>
              <w:ind w:left="142" w:right="164" w:firstLine="425"/>
              <w:jc w:val="both"/>
            </w:pPr>
            <w:r>
              <w:t>Tiek precizēts koda 6000 “</w:t>
            </w:r>
            <w:r w:rsidRPr="004843DB">
              <w:t>Sociālie pabalsti</w:t>
            </w:r>
            <w:r>
              <w:t xml:space="preserve">” nosaukums un skaidrojums,  </w:t>
            </w:r>
            <w:r w:rsidRPr="004843DB">
              <w:t xml:space="preserve">norādot, ka koda 6000 </w:t>
            </w:r>
            <w:r w:rsidRPr="007D3209">
              <w:t>apakškodos tiek uzskaitītas arī kompensācijas (ne tikai pabalsti), kā arī izdevumi gan juridisk</w:t>
            </w:r>
            <w:r w:rsidR="00707D6C" w:rsidRPr="007D3209">
              <w:t>aj</w:t>
            </w:r>
            <w:r w:rsidRPr="007D3209">
              <w:t>ām, gan fizisk</w:t>
            </w:r>
            <w:r w:rsidR="00707D6C" w:rsidRPr="007D3209">
              <w:t>aj</w:t>
            </w:r>
            <w:r w:rsidRPr="007D3209">
              <w:t>ām personām.</w:t>
            </w:r>
          </w:p>
          <w:p w14:paraId="586C446E" w14:textId="1F84FA54" w:rsidR="004843DB" w:rsidRDefault="004843DB" w:rsidP="00914B17">
            <w:pPr>
              <w:ind w:left="142" w:right="164" w:firstLine="425"/>
              <w:jc w:val="both"/>
            </w:pPr>
            <w:r w:rsidRPr="007D3209">
              <w:t>Tiek papildināts skaidrojums kodam 6422 “Naudas balvas”, uzsverot, ka  naudas balvu, piemēram, uzvarot pašvaldības rīkotajā konkursā, var saņemt gan fizisk</w:t>
            </w:r>
            <w:r w:rsidR="00707D6C" w:rsidRPr="007D3209">
              <w:t>ā</w:t>
            </w:r>
            <w:r w:rsidRPr="007D3209">
              <w:t>, gan juridisk</w:t>
            </w:r>
            <w:r w:rsidR="00707D6C" w:rsidRPr="007D3209">
              <w:t>ā</w:t>
            </w:r>
            <w:r w:rsidRPr="007D3209">
              <w:t xml:space="preserve"> persona. Līdzīgi ir arī ar kodu 6510 “Kompensācijas, kuras izmaksā personām, pamatojoties uz Latvijas tiesu nolēmumiem” un 6520 “Kompensācijas, kuras izmaksā personām, pamatojoties uz Eiropas Savienības Tiesas, Eiropas Cilvēktiesību tiesas nolēmumiem”. Kodiem 6510 un 6520 tiek precizēts gan nosaukums, gan skaidrojums, uzsverot, ka  kompensācijas var tikt izmaksātas gan fizisk</w:t>
            </w:r>
            <w:r w:rsidR="00707D6C" w:rsidRPr="007D3209">
              <w:t>aj</w:t>
            </w:r>
            <w:r w:rsidRPr="007D3209">
              <w:t>ām, gan juridisk</w:t>
            </w:r>
            <w:r w:rsidR="00707D6C" w:rsidRPr="007D3209">
              <w:t>aj</w:t>
            </w:r>
            <w:r w:rsidRPr="007D3209">
              <w:t xml:space="preserve">ām personām, un pamatojoties gan uz tiesu, gan </w:t>
            </w:r>
            <w:proofErr w:type="spellStart"/>
            <w:r w:rsidRPr="007D3209">
              <w:t>lēmējiestāžu</w:t>
            </w:r>
            <w:proofErr w:type="spellEnd"/>
            <w:r w:rsidRPr="007D3209">
              <w:t xml:space="preserve">   </w:t>
            </w:r>
            <w:r w:rsidR="00403F55" w:rsidRPr="007D3209">
              <w:t xml:space="preserve">gan </w:t>
            </w:r>
            <w:r w:rsidRPr="007D3209">
              <w:t>Eiropas Savienības Tiesas, Eiropas Cilvēktiesību</w:t>
            </w:r>
            <w:r w:rsidRPr="004843DB">
              <w:t xml:space="preserve"> tiesas nolēmumiem</w:t>
            </w:r>
            <w:r w:rsidR="0000795B">
              <w:t>.</w:t>
            </w:r>
          </w:p>
          <w:p w14:paraId="68AF2086" w14:textId="77777777" w:rsidR="00914B17" w:rsidRPr="009C2B5B" w:rsidRDefault="00914B17" w:rsidP="00914B17">
            <w:pPr>
              <w:ind w:left="142" w:right="164" w:firstLine="425"/>
              <w:jc w:val="both"/>
            </w:pPr>
          </w:p>
          <w:p w14:paraId="6E50562F" w14:textId="52125FB5" w:rsidR="00403DC5" w:rsidRPr="008C3202" w:rsidRDefault="004E4BFF" w:rsidP="00914B17">
            <w:pPr>
              <w:pStyle w:val="ListParagraph"/>
              <w:numPr>
                <w:ilvl w:val="0"/>
                <w:numId w:val="16"/>
              </w:numPr>
              <w:spacing w:line="240" w:lineRule="auto"/>
              <w:ind w:left="918" w:right="164" w:hanging="357"/>
              <w:rPr>
                <w:b/>
              </w:rPr>
            </w:pPr>
            <w:r w:rsidRPr="008C3202">
              <w:rPr>
                <w:b/>
              </w:rPr>
              <w:t xml:space="preserve">Citi </w:t>
            </w:r>
            <w:r w:rsidR="008901D6" w:rsidRPr="008C3202">
              <w:rPr>
                <w:b/>
              </w:rPr>
              <w:t>precizējumi un skaidrojumi</w:t>
            </w:r>
          </w:p>
          <w:p w14:paraId="3BFD8854" w14:textId="3293484F" w:rsidR="00403DC5" w:rsidRDefault="00403DC5" w:rsidP="00914B17">
            <w:pPr>
              <w:ind w:left="142" w:right="164" w:firstLine="561"/>
              <w:jc w:val="both"/>
              <w:rPr>
                <w:rStyle w:val="tvhtml"/>
              </w:rPr>
            </w:pPr>
            <w:r w:rsidRPr="009C2B5B">
              <w:rPr>
                <w:rStyle w:val="tvhtml"/>
              </w:rPr>
              <w:t>K</w:t>
            </w:r>
            <w:r w:rsidR="009B75EA">
              <w:rPr>
                <w:rStyle w:val="tvhtml"/>
              </w:rPr>
              <w:t>odu</w:t>
            </w:r>
            <w:r w:rsidRPr="009C2B5B">
              <w:rPr>
                <w:rStyle w:val="tvhtml"/>
              </w:rPr>
              <w:t xml:space="preserve"> </w:t>
            </w:r>
            <w:r w:rsidR="009B75EA">
              <w:rPr>
                <w:rStyle w:val="tvhtml"/>
              </w:rPr>
              <w:t>1150 “</w:t>
            </w:r>
            <w:r w:rsidR="009B75EA" w:rsidRPr="009B75EA">
              <w:rPr>
                <w:rStyle w:val="tvhtml"/>
              </w:rPr>
              <w:t>Atalgojums fiziskajām personām uz tiesiskās attiecības regulējošu dokumentu pamata</w:t>
            </w:r>
            <w:r w:rsidR="009B75EA">
              <w:rPr>
                <w:rStyle w:val="tvhtml"/>
              </w:rPr>
              <w:t>” un 2200 “</w:t>
            </w:r>
            <w:r w:rsidR="00F67A42">
              <w:rPr>
                <w:rStyle w:val="tvhtml"/>
              </w:rPr>
              <w:t>Pakalpojumi</w:t>
            </w:r>
            <w:r w:rsidR="009B75EA">
              <w:rPr>
                <w:rStyle w:val="tvhtml"/>
              </w:rPr>
              <w:t xml:space="preserve">” </w:t>
            </w:r>
            <w:r w:rsidR="009B75EA">
              <w:t xml:space="preserve"> </w:t>
            </w:r>
            <w:r w:rsidR="009B75EA" w:rsidRPr="009B75EA">
              <w:rPr>
                <w:rStyle w:val="tvhtml"/>
              </w:rPr>
              <w:t>skaidrojum</w:t>
            </w:r>
            <w:r w:rsidR="009B75EA">
              <w:rPr>
                <w:rStyle w:val="tvhtml"/>
              </w:rPr>
              <w:t>i tiek papildināti</w:t>
            </w:r>
            <w:r w:rsidR="009B75EA" w:rsidRPr="009B75EA">
              <w:rPr>
                <w:rStyle w:val="tvhtml"/>
              </w:rPr>
              <w:t>, n</w:t>
            </w:r>
            <w:r w:rsidR="009B75EA">
              <w:rPr>
                <w:rStyle w:val="tvhtml"/>
              </w:rPr>
              <w:t>orādot, ka šajos kodos</w:t>
            </w:r>
            <w:r w:rsidR="009B75EA" w:rsidRPr="009B75EA">
              <w:rPr>
                <w:rStyle w:val="tvhtml"/>
              </w:rPr>
              <w:t xml:space="preserve"> </w:t>
            </w:r>
            <w:r w:rsidR="007D1D90">
              <w:rPr>
                <w:rStyle w:val="tvhtml"/>
              </w:rPr>
              <w:t>neuzskaita</w:t>
            </w:r>
            <w:r w:rsidR="009B75EA" w:rsidRPr="009B75EA">
              <w:rPr>
                <w:rStyle w:val="tvhtml"/>
              </w:rPr>
              <w:t xml:space="preserve"> valsts sociālās apdrošināšanas obligātās iemaksas pensiju apdrošināšanai, </w:t>
            </w:r>
            <w:r w:rsidR="002D427F">
              <w:rPr>
                <w:rStyle w:val="tvhtml"/>
              </w:rPr>
              <w:t>k</w:t>
            </w:r>
            <w:r w:rsidR="00F67A42">
              <w:rPr>
                <w:rStyle w:val="tvhtml"/>
              </w:rPr>
              <w:t>a</w:t>
            </w:r>
            <w:r w:rsidR="009B75EA">
              <w:rPr>
                <w:rStyle w:val="tvhtml"/>
              </w:rPr>
              <w:t>s</w:t>
            </w:r>
            <w:r w:rsidR="009B75EA" w:rsidRPr="009B75EA">
              <w:rPr>
                <w:rStyle w:val="tvhtml"/>
              </w:rPr>
              <w:t xml:space="preserve"> attiecas uz autoratlīdzības saņēmējiem.</w:t>
            </w:r>
            <w:r w:rsidR="007D1D90">
              <w:rPr>
                <w:rStyle w:val="tvhtml"/>
              </w:rPr>
              <w:t xml:space="preserve"> Tās, ievērojot vienotu pieeju, un to, ka </w:t>
            </w:r>
            <w:r w:rsidR="007D1D90" w:rsidRPr="007D1D90">
              <w:rPr>
                <w:rStyle w:val="tvhtml"/>
              </w:rPr>
              <w:t xml:space="preserve"> iemaksas pensiju apdrošināšanai visos gadījumos tiek veiktas no autoratlīdzības izmaksātāja līdzekļiem (gan tad, ja autors ir saimnieciskās darbības veicējs, gan arī kad </w:t>
            </w:r>
            <w:r w:rsidR="007D1D90" w:rsidRPr="007D1D90">
              <w:rPr>
                <w:rStyle w:val="tvhtml"/>
              </w:rPr>
              <w:lastRenderedPageBreak/>
              <w:t>nav),</w:t>
            </w:r>
            <w:r w:rsidR="007D1D90">
              <w:rPr>
                <w:rStyle w:val="tvhtml"/>
              </w:rPr>
              <w:t xml:space="preserve"> tiek uzskaitītas kodā 1210 “Darba devēja valsts sociālās apdrošināšanas obligātās iemaksas”.</w:t>
            </w:r>
          </w:p>
          <w:p w14:paraId="0696F449" w14:textId="77777777" w:rsidR="009B75EA" w:rsidRDefault="009B75EA" w:rsidP="00914B17">
            <w:pPr>
              <w:ind w:left="142" w:right="164" w:firstLine="561"/>
              <w:jc w:val="both"/>
              <w:rPr>
                <w:rStyle w:val="tvhtml"/>
              </w:rPr>
            </w:pPr>
            <w:r>
              <w:rPr>
                <w:rStyle w:val="tvhtml"/>
              </w:rPr>
              <w:t>Kodam 2210 “</w:t>
            </w:r>
            <w:r>
              <w:t xml:space="preserve"> </w:t>
            </w:r>
            <w:r w:rsidRPr="009B75EA">
              <w:rPr>
                <w:rStyle w:val="tvhtml"/>
              </w:rPr>
              <w:t>Izdevumi par sakaru pakalpojumiem</w:t>
            </w:r>
            <w:r>
              <w:rPr>
                <w:rStyle w:val="tvhtml"/>
              </w:rPr>
              <w:t xml:space="preserve">” </w:t>
            </w:r>
            <w:r>
              <w:t xml:space="preserve"> </w:t>
            </w:r>
            <w:r>
              <w:rPr>
                <w:rStyle w:val="tvhtml"/>
              </w:rPr>
              <w:t>t</w:t>
            </w:r>
            <w:r w:rsidRPr="009B75EA">
              <w:rPr>
                <w:rStyle w:val="tvhtml"/>
              </w:rPr>
              <w:t>iek precizēts skaidrojums, svītrojot no tā uzskaitītās pozīcijas, jo tās, ņemot vērā tehnoloģiju attīstību, var mainīties vai izzust pavisam.</w:t>
            </w:r>
          </w:p>
          <w:p w14:paraId="3AF62DC7" w14:textId="0C7FF9F0" w:rsidR="00025B58" w:rsidRDefault="003402E1" w:rsidP="00914B17">
            <w:pPr>
              <w:ind w:left="142" w:right="164" w:firstLine="561"/>
              <w:jc w:val="both"/>
              <w:rPr>
                <w:rStyle w:val="tvhtml"/>
              </w:rPr>
            </w:pPr>
            <w:r w:rsidRPr="003402E1">
              <w:rPr>
                <w:rStyle w:val="tvhtml"/>
              </w:rPr>
              <w:t xml:space="preserve">Pašreizējais koda 2232 “Auditoru, tulku pakalpojumi, izdevumi par iestāžu pasūtītajiem pētījumiem” nosaukums aptver ļoti šauru ekspertu loku. Tāpēc ir precizēts koda nosaukums un pievienots skaidrojums, norādot, ka kodā uzrāda visus izdevumus par dažāda veida ekspertīzēm (tai skaitā laboratoriskajiem pakalpojumiem) un slēdzieniem (pakalpojuma sniedzējs var būt gan juridiskā persona, gan fiziskā persona, kas reģistrējusies kā saimnieciskās darbības veicējs). </w:t>
            </w:r>
            <w:r w:rsidR="00025B58" w:rsidRPr="00025B58">
              <w:rPr>
                <w:rStyle w:val="tvhtml"/>
              </w:rPr>
              <w:t>Ja eksperta pakalpojums var tikt attiecināts uz konkrētu atsevišķi klasificētu pakalpojumu, piemēram, nekustamo īpašumu (nekustamā īpašuma vērtējums), tad tas ir jāat</w:t>
            </w:r>
            <w:r w:rsidR="00025B58">
              <w:rPr>
                <w:rStyle w:val="tvhtml"/>
              </w:rPr>
              <w:t>t</w:t>
            </w:r>
            <w:r w:rsidR="00025B58" w:rsidRPr="00025B58">
              <w:rPr>
                <w:rStyle w:val="tvhtml"/>
              </w:rPr>
              <w:t>iecina uz atti</w:t>
            </w:r>
            <w:r w:rsidR="00025B58">
              <w:rPr>
                <w:rStyle w:val="tvhtml"/>
              </w:rPr>
              <w:t>ecīgo kodu, piemēram, kodu 2244 “</w:t>
            </w:r>
            <w:r w:rsidR="00025B58" w:rsidRPr="00025B58">
              <w:rPr>
                <w:rStyle w:val="tvhtml"/>
              </w:rPr>
              <w:t>Nekustamā īpašuma uzturēšana</w:t>
            </w:r>
            <w:r w:rsidR="00025B58">
              <w:rPr>
                <w:rStyle w:val="tvhtml"/>
              </w:rPr>
              <w:t>”. Kodam 2232 tiek pievienoti ekspertu pakalpojumi no kodiem 2239 “</w:t>
            </w:r>
            <w:r w:rsidR="00025B58" w:rsidRPr="00025B58">
              <w:rPr>
                <w:rStyle w:val="tvhtml"/>
              </w:rPr>
              <w:t>Pārējie iestādes administratīvie izdevumi</w:t>
            </w:r>
            <w:r w:rsidR="00025B58">
              <w:rPr>
                <w:rStyle w:val="tvhtml"/>
              </w:rPr>
              <w:t>” un 2276 “</w:t>
            </w:r>
            <w:r w:rsidR="00025B58" w:rsidRPr="00025B58">
              <w:rPr>
                <w:rStyle w:val="tvhtml"/>
              </w:rPr>
              <w:t>Izdevumi juridiskās palīdzības sniedzējiem un zvērinātiem tiesu izpildītājiem”, l</w:t>
            </w:r>
            <w:r w:rsidR="00025B58">
              <w:rPr>
                <w:rStyle w:val="tvhtml"/>
              </w:rPr>
              <w:t xml:space="preserve">īdz ar to </w:t>
            </w:r>
            <w:r w:rsidR="00025B58" w:rsidRPr="00025B58">
              <w:rPr>
                <w:rStyle w:val="tvhtml"/>
              </w:rPr>
              <w:t>precizējot arī koda 2276 skaidrojumu.</w:t>
            </w:r>
          </w:p>
          <w:p w14:paraId="61579BE3" w14:textId="241E56D7" w:rsidR="00673660" w:rsidRDefault="00673660" w:rsidP="00914B17">
            <w:pPr>
              <w:ind w:left="142" w:right="164" w:firstLine="561"/>
              <w:jc w:val="both"/>
            </w:pPr>
            <w:r w:rsidRPr="00673660">
              <w:t>Pašreizējā redakcijā kods 2234</w:t>
            </w:r>
            <w:r>
              <w:t xml:space="preserve"> “</w:t>
            </w:r>
            <w:r w:rsidRPr="00673660">
              <w:t>Normatīvajos aktos noteiktie darba devēja veselības izdevumi darba ņēmējiem</w:t>
            </w:r>
            <w:r>
              <w:t>”</w:t>
            </w:r>
            <w:r w:rsidRPr="00673660">
              <w:t xml:space="preserve">  aptver šauru izdevumu grupu. Lai turpmāk pēc būtības līdzīgi izdevumi būtu apvienoti vienā kodā - visus normatīvajos aktos noteiktos veselības un fiziskās sagatavotības izdevumus būs jāattiecina uz kodu 2234. Uz kodu attiecina arī transporta izdevumus par došanos uz veselības pārbaudes vietu un atpakaļ, ja to paredz normatīvie akti. Koda skaidrojumā minētas fiziskās sagatavotības pārbaudes attiecas gan uz </w:t>
            </w:r>
            <w:proofErr w:type="spellStart"/>
            <w:r w:rsidRPr="00673660">
              <w:t>iekš</w:t>
            </w:r>
            <w:r>
              <w:t>l</w:t>
            </w:r>
            <w:r w:rsidRPr="00673660">
              <w:t>ietu</w:t>
            </w:r>
            <w:proofErr w:type="spellEnd"/>
            <w:r w:rsidRPr="00673660">
              <w:t xml:space="preserve"> un tieslietu jomā strādājošiem, gan arī uz sporta skolu organizētajām pārbaudēm saviem audzēkņiem, ja normatīvajos aktos tādas ir noteiktas.</w:t>
            </w:r>
            <w:r>
              <w:t xml:space="preserve"> Tāpēc kodam 2234 pievienots arī kods 2277 “</w:t>
            </w:r>
            <w:r w:rsidRPr="00673660">
              <w:t>Izdevumi normatīvajos aktos noteikto fiziskās sagatavotības pārbaužu, sacensību un citu sporta pasākumu īstenošanai</w:t>
            </w:r>
            <w:r>
              <w:t>”.</w:t>
            </w:r>
          </w:p>
          <w:p w14:paraId="1119DBD3" w14:textId="3E64DA1B" w:rsidR="00673660" w:rsidRDefault="00673660" w:rsidP="00914B17">
            <w:pPr>
              <w:ind w:left="142" w:right="164" w:firstLine="561"/>
              <w:jc w:val="both"/>
            </w:pPr>
            <w:r w:rsidRPr="00673660">
              <w:t>Lai radītu skaidrāku izpratni un atšķirību starp kodiem 2236</w:t>
            </w:r>
            <w:r>
              <w:t xml:space="preserve"> “</w:t>
            </w:r>
            <w:r w:rsidRPr="00673660">
              <w:t>Maksājumu pakalpojumi un komisijas</w:t>
            </w:r>
            <w:r>
              <w:t>”</w:t>
            </w:r>
            <w:r w:rsidRPr="00673660">
              <w:t xml:space="preserve"> un 2280</w:t>
            </w:r>
            <w:r>
              <w:t xml:space="preserve"> “</w:t>
            </w:r>
            <w:r w:rsidRPr="00673660">
              <w:t>Maksājumi par parāda apkalpošanu un komisijas maksas par izmantotajiem atvasinātajiem finanšu instrumentiem”, tiek papildināts koda 2236 skaidrojums</w:t>
            </w:r>
            <w:r>
              <w:t>.</w:t>
            </w:r>
          </w:p>
          <w:p w14:paraId="3E100DFB" w14:textId="410FAD06" w:rsidR="00673660" w:rsidRDefault="00673660" w:rsidP="00914B17">
            <w:pPr>
              <w:ind w:left="142" w:right="164" w:firstLine="561"/>
              <w:jc w:val="both"/>
            </w:pPr>
            <w:r w:rsidRPr="00673660">
              <w:t>Koda</w:t>
            </w:r>
            <w:r>
              <w:t xml:space="preserve"> 2242 “</w:t>
            </w:r>
            <w:r w:rsidRPr="00673660">
              <w:t>Transportlīdzekļu uzturēšana un remonts</w:t>
            </w:r>
            <w:r>
              <w:t>”</w:t>
            </w:r>
            <w:r w:rsidRPr="00673660">
              <w:t xml:space="preserve"> skaidrojums papildināts ar maksas stāvvietu izmantošanas izdevumiem.</w:t>
            </w:r>
          </w:p>
          <w:p w14:paraId="7EA77E98" w14:textId="77777777" w:rsidR="00673660" w:rsidRDefault="00673660" w:rsidP="00914B17">
            <w:pPr>
              <w:ind w:left="142" w:right="164" w:firstLine="561"/>
              <w:jc w:val="both"/>
            </w:pPr>
            <w:r>
              <w:t>Koda 2243 “</w:t>
            </w:r>
            <w:r w:rsidRPr="00673660">
              <w:t>Iekārtas, inventāra un aparatūras remonts, tehniskā apkalpošana</w:t>
            </w:r>
            <w:r>
              <w:t>” s</w:t>
            </w:r>
            <w:r w:rsidRPr="00673660">
              <w:t>kaidrojums papildināts ar iekārtu sistēmām.</w:t>
            </w:r>
          </w:p>
          <w:p w14:paraId="300B44FC" w14:textId="77777777" w:rsidR="00A756A8" w:rsidRDefault="00A756A8" w:rsidP="00914B17">
            <w:pPr>
              <w:ind w:left="142" w:right="164" w:firstLine="561"/>
              <w:jc w:val="both"/>
            </w:pPr>
            <w:r w:rsidRPr="00A756A8">
              <w:t>Lai lietotājiem būtu lielāka skaidrība par koda</w:t>
            </w:r>
            <w:r>
              <w:t xml:space="preserve"> 2244 “</w:t>
            </w:r>
            <w:r w:rsidRPr="00A756A8">
              <w:t>Nekustamā īpašuma uzturēšana</w:t>
            </w:r>
            <w:r>
              <w:t>”</w:t>
            </w:r>
            <w:r w:rsidRPr="00A756A8">
              <w:t xml:space="preserve"> pielietošan</w:t>
            </w:r>
            <w:r>
              <w:t>u, papildināts koda skaidrojums ar izdevumiem, ko tajā uzskaita.</w:t>
            </w:r>
          </w:p>
          <w:p w14:paraId="40511E98" w14:textId="285F4385" w:rsidR="00A756A8" w:rsidRDefault="00A756A8" w:rsidP="00914B17">
            <w:pPr>
              <w:ind w:left="142" w:right="164" w:firstLine="561"/>
              <w:jc w:val="both"/>
            </w:pPr>
            <w:r w:rsidRPr="00A756A8">
              <w:t>Sākotnēji  koda 2247</w:t>
            </w:r>
            <w:r>
              <w:t xml:space="preserve"> “</w:t>
            </w:r>
            <w:r w:rsidRPr="00A756A8">
              <w:t>Apdrošināšanas izdevumi</w:t>
            </w:r>
            <w:r>
              <w:t>”</w:t>
            </w:r>
            <w:r w:rsidRPr="00A756A8">
              <w:t xml:space="preserve"> mērķis bija sniegt informāciju par iestāžu materiālās uzturēšanas vajadzībām veikto apdrošināšanu (ēkas, transports, infrastruktūra). Laika gaitā apdrošināšanas izdevumus arvien vairāk attiecina uz konkrēto objektu uzturēšanas izd</w:t>
            </w:r>
            <w:r>
              <w:t>evumiem (2242 “</w:t>
            </w:r>
            <w:r w:rsidRPr="00A756A8">
              <w:t>Transportlīdzekļu uzturēšana un remonts</w:t>
            </w:r>
            <w:r>
              <w:t>”, 2244 “</w:t>
            </w:r>
            <w:r w:rsidRPr="00A756A8">
              <w:t>Nekustamā īpašuma uzturēšana</w:t>
            </w:r>
            <w:r>
              <w:t xml:space="preserve">”). Turpmāk </w:t>
            </w:r>
            <w:r w:rsidRPr="00A756A8">
              <w:t xml:space="preserve">uz </w:t>
            </w:r>
            <w:r>
              <w:t xml:space="preserve">kodu </w:t>
            </w:r>
            <w:r w:rsidRPr="00A756A8">
              <w:t xml:space="preserve">2247 attiecina tikai tādu apdrošināšanu, </w:t>
            </w:r>
            <w:r w:rsidR="002D427F">
              <w:t>kuru atbilstošo ekonomiskajai būtībai nevar attiecināt uz citiem kodiem</w:t>
            </w:r>
            <w:r w:rsidRPr="00A756A8">
              <w:t>.</w:t>
            </w:r>
          </w:p>
          <w:p w14:paraId="696F7A84" w14:textId="77777777" w:rsidR="00754F9E" w:rsidRDefault="00754F9E" w:rsidP="00914B17">
            <w:pPr>
              <w:ind w:left="142" w:right="164" w:firstLine="561"/>
              <w:jc w:val="both"/>
            </w:pPr>
            <w:r w:rsidRPr="00754F9E">
              <w:t>Attīstoties informācijas tehnoloģiju pakalpojumiem, tiek papildināts koda 2250</w:t>
            </w:r>
            <w:r>
              <w:t xml:space="preserve"> “</w:t>
            </w:r>
            <w:r w:rsidRPr="00754F9E">
              <w:t>Informācijas tehnoloģiju pakalpojumi</w:t>
            </w:r>
            <w:r>
              <w:t>”</w:t>
            </w:r>
            <w:r w:rsidRPr="00754F9E">
              <w:t xml:space="preserve"> skai</w:t>
            </w:r>
            <w:r>
              <w:t xml:space="preserve">drojums ar e-paraksta </w:t>
            </w:r>
            <w:r>
              <w:lastRenderedPageBreak/>
              <w:t>lietošanu un pievienoti kodi 2251 “</w:t>
            </w:r>
            <w:r w:rsidRPr="00754F9E">
              <w:t>Informācijas sistēmas uzturēšana</w:t>
            </w:r>
            <w:r>
              <w:t>”</w:t>
            </w:r>
            <w:r w:rsidRPr="00754F9E">
              <w:t xml:space="preserve"> </w:t>
            </w:r>
            <w:r>
              <w:t>un 2259 “</w:t>
            </w:r>
            <w:r w:rsidRPr="00754F9E">
              <w:t>Pārējie informācijas tehnoloģiju pakalpojumi</w:t>
            </w:r>
            <w:r>
              <w:t>”.</w:t>
            </w:r>
            <w:r w:rsidRPr="00754F9E">
              <w:t xml:space="preserve"> Kodā </w:t>
            </w:r>
            <w:r>
              <w:t xml:space="preserve">2250 </w:t>
            </w:r>
            <w:r w:rsidRPr="00754F9E">
              <w:t>uzskaita arī ekspertu konsultācijas par programmatūras izmantošanu un slēdzienus par datoru likvidāciju.</w:t>
            </w:r>
          </w:p>
          <w:p w14:paraId="7DED5A39" w14:textId="77777777" w:rsidR="00316B08" w:rsidRDefault="00316B08" w:rsidP="00914B17">
            <w:pPr>
              <w:ind w:left="141" w:right="163" w:firstLine="563"/>
              <w:jc w:val="both"/>
            </w:pPr>
            <w:r w:rsidRPr="00316B08">
              <w:t>Precizēts</w:t>
            </w:r>
            <w:r>
              <w:t xml:space="preserve"> koda 2260 “Īre un noma” skaidrojums, ievietota</w:t>
            </w:r>
            <w:r w:rsidRPr="00316B08">
              <w:t xml:space="preserve"> atsauce uz kodu 2250, kā arī, lai nerastos pārpratumi, norādīts, ko kodā 2260 neuzskaita</w:t>
            </w:r>
            <w:r>
              <w:t>.</w:t>
            </w:r>
          </w:p>
          <w:p w14:paraId="661D116E" w14:textId="77777777" w:rsidR="00316B08" w:rsidRDefault="00316B08" w:rsidP="00914B17">
            <w:pPr>
              <w:ind w:left="141" w:right="163" w:firstLine="563"/>
              <w:jc w:val="both"/>
            </w:pPr>
            <w:r w:rsidRPr="00316B08">
              <w:t xml:space="preserve">Precizēts </w:t>
            </w:r>
            <w:r>
              <w:t>koda 2269 “Pārējā noma” skaidrojums - papildināts</w:t>
            </w:r>
            <w:r w:rsidRPr="00316B08">
              <w:t xml:space="preserve"> kodu uzskaitījums</w:t>
            </w:r>
            <w:r>
              <w:t>.</w:t>
            </w:r>
          </w:p>
          <w:p w14:paraId="765D30FF" w14:textId="1FA75CCC" w:rsidR="00316B08" w:rsidRDefault="00316B08" w:rsidP="00914B17">
            <w:pPr>
              <w:ind w:left="141" w:right="163" w:firstLine="563"/>
              <w:jc w:val="both"/>
            </w:pPr>
            <w:r w:rsidRPr="00316B08">
              <w:t xml:space="preserve">Papildināts koda </w:t>
            </w:r>
            <w:r>
              <w:t>2272 “</w:t>
            </w:r>
            <w:r w:rsidRPr="00316B08">
              <w:t>Izdevumi par tiesvedības darbiem</w:t>
            </w:r>
            <w:r>
              <w:t>”</w:t>
            </w:r>
            <w:r w:rsidRPr="00316B08">
              <w:t xml:space="preserve"> skaidrojums, norādot, ka </w:t>
            </w:r>
            <w:r w:rsidR="00802186">
              <w:t xml:space="preserve"> tajā uzskaita drošības naudas atbilstoši Administratīvā procesa likuma 124.pantā noteiktajam (drošības nauda par kasācijas sūdzību, blakus sūdzību, lūgumu par pagaidu aizsardzību, pieteikumu par lietas jaunu izskatīšanu sakarā ar jaunatklātiem apstākļiem) un neuzskaita pēc tiesas nolēmumiem personām veiktās izmaksas un saistībā ar tiesvedību maksājamās valsts nodevas summas.</w:t>
            </w:r>
          </w:p>
          <w:p w14:paraId="729FB87A" w14:textId="12DF1515" w:rsidR="00781BD1" w:rsidRDefault="00781BD1" w:rsidP="00914B17">
            <w:pPr>
              <w:ind w:left="141" w:right="163" w:firstLine="563"/>
              <w:jc w:val="both"/>
            </w:pPr>
            <w:r w:rsidRPr="00316B08">
              <w:t>Precizēts</w:t>
            </w:r>
            <w:r>
              <w:t xml:space="preserve"> koda 2343 “Asins iegāde” skaidrojums</w:t>
            </w:r>
            <w:r w:rsidR="00775E74">
              <w:t>, norādot, ka šeit uzskaita arī izdevumus par asins un as</w:t>
            </w:r>
            <w:r w:rsidR="00775E74" w:rsidRPr="00E51BF4">
              <w:t>ins komponentu sagatavošanu</w:t>
            </w:r>
            <w:r>
              <w:t>.</w:t>
            </w:r>
          </w:p>
          <w:p w14:paraId="69986E68" w14:textId="429FF0AC" w:rsidR="004A32DB" w:rsidRDefault="00781BD1" w:rsidP="00914B17">
            <w:pPr>
              <w:ind w:left="142" w:right="164" w:firstLine="561"/>
              <w:jc w:val="both"/>
            </w:pPr>
            <w:r>
              <w:t>Precizēti kodu</w:t>
            </w:r>
            <w:r w:rsidR="004A32DB" w:rsidRPr="004A32DB">
              <w:t xml:space="preserve"> </w:t>
            </w:r>
            <w:r w:rsidR="004A32DB">
              <w:t>2360 “</w:t>
            </w:r>
            <w:r w:rsidR="004A32DB" w:rsidRPr="004A32DB">
              <w:t>Valsts un pašvaldību aprūpē un apgādē esošo personu uzturēšana</w:t>
            </w:r>
            <w:r w:rsidR="004A32DB">
              <w:t>”</w:t>
            </w:r>
            <w:r w:rsidR="004A32DB" w:rsidRPr="004A32DB">
              <w:t xml:space="preserve"> </w:t>
            </w:r>
            <w:r>
              <w:t>un 2369 “</w:t>
            </w:r>
            <w:r w:rsidRPr="00781BD1">
              <w:t xml:space="preserve">Pārējie valsts un pašvaldību aprūpē un apgādē esošo personu uzturēšanas izdevumi, kuri nav minēti citos koda 2360 apakškodos” </w:t>
            </w:r>
            <w:r>
              <w:t>nosaukumi, lai tie</w:t>
            </w:r>
            <w:r w:rsidR="004A32DB" w:rsidRPr="004A32DB">
              <w:t xml:space="preserve"> precīzāk atspoguļotu koda skaidrojumā uzskaitītās pozīcijas (piemēram, policijas darbinieki nav ne pašvaldības aprūpē, ne apgādē). Papildināts arī koda </w:t>
            </w:r>
            <w:r>
              <w:t xml:space="preserve">2360 </w:t>
            </w:r>
            <w:r w:rsidR="004A32DB" w:rsidRPr="004A32DB">
              <w:t>skaidrojums ar izdevumiem par mākslinieciskās pašdarbības kolektīvu audzēkņu ēdināšanu un tērpiem.</w:t>
            </w:r>
          </w:p>
          <w:p w14:paraId="37E5100D" w14:textId="77777777" w:rsidR="004A32DB" w:rsidRDefault="004A32DB" w:rsidP="00914B17">
            <w:pPr>
              <w:ind w:left="142" w:right="164" w:firstLine="561"/>
              <w:jc w:val="both"/>
            </w:pPr>
            <w:r w:rsidRPr="004A32DB">
              <w:t>Labākai koda</w:t>
            </w:r>
            <w:r>
              <w:t xml:space="preserve"> 2361 “Mīkstais inventārs”</w:t>
            </w:r>
            <w:r w:rsidRPr="004A32DB">
              <w:t xml:space="preserve"> izpratnei, ir papildināts tā skaidrojums, ka uz kodu attiecina arī mīksto inventāru mākslinieciskās pašdarbības kolektīviem</w:t>
            </w:r>
            <w:r>
              <w:t>.</w:t>
            </w:r>
          </w:p>
          <w:p w14:paraId="67CC3746" w14:textId="77777777" w:rsidR="004A32DB" w:rsidRDefault="004A32DB" w:rsidP="00914B17">
            <w:pPr>
              <w:ind w:left="142" w:right="164" w:firstLine="561"/>
              <w:jc w:val="both"/>
            </w:pPr>
            <w:r w:rsidRPr="004A32DB">
              <w:t>Precizēts un sastrukturēts koda</w:t>
            </w:r>
            <w:r>
              <w:t xml:space="preserve"> 2370 “</w:t>
            </w:r>
            <w:r w:rsidRPr="004A32DB">
              <w:t>Mācību līdzekļi un materiāli</w:t>
            </w:r>
            <w:r>
              <w:t>”</w:t>
            </w:r>
            <w:r w:rsidRPr="004A32DB">
              <w:t xml:space="preserve">  skaidrojums.</w:t>
            </w:r>
          </w:p>
          <w:p w14:paraId="3B790029" w14:textId="5EDBA888" w:rsidR="004A32DB" w:rsidRDefault="004A32DB" w:rsidP="00914B17">
            <w:pPr>
              <w:ind w:left="142" w:right="164" w:firstLine="561"/>
              <w:jc w:val="both"/>
            </w:pPr>
            <w:r w:rsidRPr="004A32DB">
              <w:t xml:space="preserve">Precizēts </w:t>
            </w:r>
            <w:r>
              <w:t>koda 2400 “</w:t>
            </w:r>
            <w:r w:rsidRPr="004A32DB">
              <w:t>Izdevumi periodikas iegādei</w:t>
            </w:r>
            <w:r>
              <w:t>”</w:t>
            </w:r>
            <w:r w:rsidRPr="004A32DB">
              <w:t xml:space="preserve"> nosaukums, lai liet</w:t>
            </w:r>
            <w:r>
              <w:t>otājiem būtu skaidrāks priekšsta</w:t>
            </w:r>
            <w:r w:rsidRPr="004A32DB">
              <w:t xml:space="preserve">ts, ka šajā kodā uzskaita periodiku tikai </w:t>
            </w:r>
            <w:r w:rsidR="002D427F">
              <w:t xml:space="preserve">normatīvajos aktos noteiktā kārtībā </w:t>
            </w:r>
            <w:r w:rsidRPr="004A32DB">
              <w:t>reģistrēto bibliotēku krājumiem.</w:t>
            </w:r>
          </w:p>
          <w:p w14:paraId="2BDD4C03" w14:textId="38B7790A" w:rsidR="00AD63FE" w:rsidRDefault="00AD63FE" w:rsidP="00914B17">
            <w:pPr>
              <w:ind w:left="142" w:right="164" w:firstLine="561"/>
              <w:jc w:val="both"/>
            </w:pPr>
            <w:r w:rsidRPr="001E10DE">
              <w:t xml:space="preserve">Papildināts koda </w:t>
            </w:r>
            <w:r w:rsidRPr="00FB4BB6">
              <w:t>4390</w:t>
            </w:r>
            <w:r w:rsidRPr="001E10DE">
              <w:t xml:space="preserve"> “Pārējie iepriekš neklasificētie procentu maksājumi” skaidrojums ar vārdiem “Pārējos iepriekš neklasificētos izdevumus no procentu maksājumiem, tai skaitā,”, jo pašreizējā redakcija sašaurina koda lietojumu, faktiski pasakot, ka var pielietot tikai grāmatvedības uzskaitē, vienlaikus šajā kodā valsts pamatbudžetā konstatēta budžeta izpilde 2019.gadā par procentu maksājumu, kurš nav klasificējams nevienā citā no procentu maksājumu kodiem.  Citi iepriekš neklasificētie izdevumi no procentu maksājumiem ir, piemēram, atliktais maksājums par ilgtermiņa ieguldījumu iegādi vai būvniecību.</w:t>
            </w:r>
          </w:p>
          <w:p w14:paraId="3888E74F" w14:textId="77777777" w:rsidR="004A32DB" w:rsidRDefault="004A32DB" w:rsidP="00914B17">
            <w:pPr>
              <w:ind w:left="141" w:right="163" w:firstLine="563"/>
              <w:jc w:val="both"/>
            </w:pPr>
            <w:r w:rsidRPr="004A32DB">
              <w:t xml:space="preserve">Svītrojot kodu 5170 </w:t>
            </w:r>
            <w:r>
              <w:t>“</w:t>
            </w:r>
            <w:r w:rsidRPr="004A32DB">
              <w:t>Kapitālsabiedrību iegādes rezultātā iegūtā nemateriālā vērtība</w:t>
            </w:r>
            <w:r>
              <w:t>”</w:t>
            </w:r>
            <w:r w:rsidRPr="004A32DB">
              <w:t xml:space="preserve"> un pievienojot to kodam 5130</w:t>
            </w:r>
            <w:r>
              <w:t xml:space="preserve"> “</w:t>
            </w:r>
            <w:r w:rsidRPr="004A32DB">
              <w:t>Pārējie nemateriālie ieguldījumi</w:t>
            </w:r>
            <w:r>
              <w:t>”</w:t>
            </w:r>
            <w:r w:rsidRPr="004A32DB">
              <w:t>, tiek precizēts koda 5130 skaidrojums</w:t>
            </w:r>
            <w:r>
              <w:t>.</w:t>
            </w:r>
          </w:p>
          <w:p w14:paraId="254E5218" w14:textId="77777777" w:rsidR="004A32DB" w:rsidRDefault="004A32DB" w:rsidP="00914B17">
            <w:pPr>
              <w:ind w:left="141" w:right="163" w:firstLine="563"/>
              <w:jc w:val="both"/>
            </w:pPr>
            <w:r w:rsidRPr="004A32DB">
              <w:t>Papildināts</w:t>
            </w:r>
            <w:r>
              <w:t xml:space="preserve"> koda 7350 “</w:t>
            </w:r>
            <w:r w:rsidRPr="004A32DB">
              <w:t xml:space="preserve">Valsts budžeta </w:t>
            </w:r>
            <w:proofErr w:type="spellStart"/>
            <w:r w:rsidRPr="004A32DB">
              <w:t>transferti</w:t>
            </w:r>
            <w:proofErr w:type="spellEnd"/>
            <w:r w:rsidRPr="004A32DB">
              <w:t xml:space="preserve"> valsts budžeta daļēji finansētām atvasinātām publiskām personām un budžeta nefinansētām iestādēm Eiropas Savienības politiku instrumentu un pārējās ārvalstu finanšu palīdzības līdzfinansētajiem projektiem (pasākumiem)</w:t>
            </w:r>
            <w:r>
              <w:t>”</w:t>
            </w:r>
            <w:r w:rsidRPr="004A32DB">
              <w:t xml:space="preserve"> nosaukums ar vārdiem "uzturēšanas izdevumu", lai nerastos redakcionāls pārpratums ar kodu 9590</w:t>
            </w:r>
            <w:r>
              <w:t xml:space="preserve"> “</w:t>
            </w:r>
            <w:r w:rsidRPr="004A32DB">
              <w:t xml:space="preserve">Valsts budžeta kapitālo izdevumu </w:t>
            </w:r>
            <w:proofErr w:type="spellStart"/>
            <w:r w:rsidRPr="004A32DB">
              <w:t>transferti</w:t>
            </w:r>
            <w:proofErr w:type="spellEnd"/>
            <w:r w:rsidRPr="004A32DB">
              <w:t xml:space="preserve"> valsts budžeta daļēji finansētām atvasinātām publiskām personām un budžeta nefinansētām </w:t>
            </w:r>
            <w:r w:rsidRPr="004A32DB">
              <w:lastRenderedPageBreak/>
              <w:t>iestādēm Eiropas Savienības politiku instrumentu un pārējās ārvalstu finanšu palīdzības līdzfinansētajiem projektiem (pasākumiem)”.</w:t>
            </w:r>
          </w:p>
          <w:p w14:paraId="5C901F8A" w14:textId="77777777" w:rsidR="004A32DB" w:rsidRDefault="004A32DB" w:rsidP="00914B17">
            <w:pPr>
              <w:ind w:left="141" w:right="163" w:firstLine="563"/>
              <w:jc w:val="both"/>
            </w:pPr>
            <w:r w:rsidRPr="004A32DB">
              <w:t>Tā kā kodam 7500</w:t>
            </w:r>
            <w:r>
              <w:t xml:space="preserve"> “</w:t>
            </w:r>
            <w:r w:rsidRPr="004A32DB">
              <w:t>Atmaksa valsts budžetā par veiktajiem izdevumiem</w:t>
            </w:r>
            <w:r>
              <w:t>”</w:t>
            </w:r>
            <w:r w:rsidRPr="004A32DB">
              <w:t xml:space="preserve"> ir palicis tikai viens </w:t>
            </w:r>
            <w:proofErr w:type="spellStart"/>
            <w:r w:rsidRPr="004A32DB">
              <w:t>apakškods</w:t>
            </w:r>
            <w:proofErr w:type="spellEnd"/>
            <w:r w:rsidRPr="004A32DB">
              <w:t xml:space="preserve"> 7510</w:t>
            </w:r>
            <w:r>
              <w:t xml:space="preserve"> “</w:t>
            </w:r>
            <w:r w:rsidRPr="004A32DB">
              <w:t>Atmaksa valsts pamatbudžetā par valsts budžeta iestādes veiktajiem izdevumiem Eiropas Savienības politiku instrumentu un pārējās ārvalstu finanšu palīdzības līdzfinansētajos projektos (pasākumos)</w:t>
            </w:r>
            <w:r>
              <w:t>”</w:t>
            </w:r>
            <w:r w:rsidR="00967331">
              <w:t>, tad kods 7510</w:t>
            </w:r>
            <w:r w:rsidRPr="004A32DB">
              <w:t xml:space="preserve"> tiek svītrots un pievienots kodam 7500</w:t>
            </w:r>
            <w:r w:rsidR="00967331">
              <w:t>. Kodam 7500 tiek pievienots arī skaidrojums.</w:t>
            </w:r>
          </w:p>
          <w:p w14:paraId="66EB852F" w14:textId="77777777" w:rsidR="00036916" w:rsidRDefault="00967331" w:rsidP="00914B17">
            <w:pPr>
              <w:ind w:left="140" w:right="161" w:firstLine="567"/>
              <w:jc w:val="both"/>
            </w:pPr>
            <w:r>
              <w:t>Kodam 8600 “</w:t>
            </w:r>
            <w:r w:rsidRPr="00967331">
              <w:t>Izdevumi debitoru parādu norakstīšanai un uzkrājumu veidošanai</w:t>
            </w:r>
            <w:r>
              <w:t xml:space="preserve">” tiek svītrots skaidrojums un izveidoti divi </w:t>
            </w:r>
            <w:proofErr w:type="spellStart"/>
            <w:r>
              <w:t>apakškodi</w:t>
            </w:r>
            <w:proofErr w:type="spellEnd"/>
            <w:r>
              <w:t xml:space="preserve">, </w:t>
            </w:r>
            <w:r w:rsidRPr="00967331">
              <w:t xml:space="preserve"> ar kuriem nodala izdevumus, kas attiecas uz bilances aktīviem vai uz bilances pasīviem.</w:t>
            </w:r>
          </w:p>
          <w:p w14:paraId="16243ED8" w14:textId="503ABF85" w:rsidR="00967331" w:rsidRPr="009C2B5B" w:rsidRDefault="00036916" w:rsidP="00914B17">
            <w:pPr>
              <w:ind w:left="141" w:right="163" w:firstLine="563"/>
              <w:jc w:val="both"/>
            </w:pPr>
            <w:r>
              <w:t>Vairākos koda skaidrojumos ir veikti nelieli redakcionāli precizējumi – 2246 “</w:t>
            </w:r>
            <w:r w:rsidRPr="00036916">
              <w:t>Autoceļu un ielu pārvaldīšana un uzturēšana</w:t>
            </w:r>
            <w:r>
              <w:t>”, 2300 “</w:t>
            </w:r>
            <w:r w:rsidRPr="00036916">
              <w:t>Krājumi, materiāli, energoresursi, preces, biroja preces un inventārs, kurus neuzskaita kodā 5000</w:t>
            </w:r>
            <w:r>
              <w:t xml:space="preserve">”, </w:t>
            </w:r>
            <w:r w:rsidR="0043494C">
              <w:t xml:space="preserve">2312 “Inventārs”, </w:t>
            </w:r>
            <w:r>
              <w:t>2500 “</w:t>
            </w:r>
            <w:r w:rsidRPr="00036916">
              <w:t>Budžeta iestāžu nodokļu, nodevu un sankciju maksājumi</w:t>
            </w:r>
            <w:r>
              <w:t>”, 5000 “</w:t>
            </w:r>
            <w:r w:rsidRPr="00036916">
              <w:t>Pamatkapitāla veidošana</w:t>
            </w:r>
            <w:r>
              <w:t>”, 5239 “</w:t>
            </w:r>
            <w:r w:rsidRPr="00036916">
              <w:t>Pārējie iepriekš neklasificētie pamatlīdzekļi</w:t>
            </w:r>
            <w:r w:rsidRPr="001E10DE">
              <w:t>”.</w:t>
            </w:r>
            <w:r w:rsidR="00AD63FE" w:rsidRPr="001E10DE">
              <w:t xml:space="preserve"> Kodam 5239 veikts redakcionāls precizējums arī nosaukumā.</w:t>
            </w:r>
          </w:p>
        </w:tc>
      </w:tr>
      <w:tr w:rsidR="00FC2DC8" w:rsidRPr="006A0BE1" w14:paraId="16243EDD" w14:textId="77777777" w:rsidTr="00AC2522">
        <w:trPr>
          <w:trHeight w:val="476"/>
        </w:trPr>
        <w:tc>
          <w:tcPr>
            <w:tcW w:w="309" w:type="dxa"/>
          </w:tcPr>
          <w:p w14:paraId="16243EDA" w14:textId="540924A3" w:rsidR="00DC689C" w:rsidRPr="006A0BE1" w:rsidRDefault="00C90FFC" w:rsidP="00914B17">
            <w:pPr>
              <w:pStyle w:val="naiskr"/>
              <w:spacing w:before="0" w:after="0"/>
            </w:pPr>
            <w:r w:rsidRPr="006A0BE1">
              <w:lastRenderedPageBreak/>
              <w:t>3</w:t>
            </w:r>
            <w:r w:rsidR="00DC689C" w:rsidRPr="006A0BE1">
              <w:t>.</w:t>
            </w:r>
          </w:p>
        </w:tc>
        <w:tc>
          <w:tcPr>
            <w:tcW w:w="1813" w:type="dxa"/>
          </w:tcPr>
          <w:p w14:paraId="16243EDB" w14:textId="4976FC26" w:rsidR="00DC689C" w:rsidRPr="006A0BE1" w:rsidRDefault="00DC689C" w:rsidP="00914B17">
            <w:pPr>
              <w:pStyle w:val="naiskr"/>
              <w:spacing w:before="0" w:after="0"/>
              <w:jc w:val="both"/>
            </w:pPr>
            <w:r w:rsidRPr="006A0BE1">
              <w:t>Projekta izstrādē iesaistītās institūcijas</w:t>
            </w:r>
            <w:r w:rsidR="00953F7C" w:rsidRPr="006A0BE1">
              <w:t xml:space="preserve"> un publiskas personas kapitālsabiedrības</w:t>
            </w:r>
          </w:p>
        </w:tc>
        <w:tc>
          <w:tcPr>
            <w:tcW w:w="7675" w:type="dxa"/>
          </w:tcPr>
          <w:p w14:paraId="16243EDC" w14:textId="3278E02C" w:rsidR="00DC689C" w:rsidRPr="006A0BE1" w:rsidRDefault="007640EE" w:rsidP="00914B17">
            <w:pPr>
              <w:pStyle w:val="naiskr"/>
              <w:spacing w:before="0" w:after="0"/>
              <w:ind w:left="142" w:right="81"/>
              <w:jc w:val="both"/>
            </w:pPr>
            <w:r w:rsidRPr="006A0BE1">
              <w:t>Nozaru m</w:t>
            </w:r>
            <w:r w:rsidR="00F1446B" w:rsidRPr="006A0BE1">
              <w:t>inistrijas</w:t>
            </w:r>
            <w:r w:rsidR="00AA44A4">
              <w:t xml:space="preserve">, </w:t>
            </w:r>
            <w:r w:rsidR="002D427F">
              <w:t>pašvaldības</w:t>
            </w:r>
            <w:r w:rsidRPr="006A0BE1">
              <w:t xml:space="preserve"> un</w:t>
            </w:r>
            <w:r w:rsidR="00FE7CC3" w:rsidRPr="006A0BE1">
              <w:t xml:space="preserve"> Valsts kase</w:t>
            </w:r>
            <w:r w:rsidR="00A96D7B" w:rsidRPr="006A0BE1">
              <w:t>.</w:t>
            </w:r>
            <w:r w:rsidR="00F1446B" w:rsidRPr="006A0BE1">
              <w:t xml:space="preserve"> </w:t>
            </w:r>
          </w:p>
        </w:tc>
      </w:tr>
      <w:tr w:rsidR="00FC2DC8" w:rsidRPr="006A0BE1" w14:paraId="16243EE1" w14:textId="77777777" w:rsidTr="00AC2522">
        <w:tc>
          <w:tcPr>
            <w:tcW w:w="309" w:type="dxa"/>
          </w:tcPr>
          <w:p w14:paraId="16243EDE" w14:textId="77777777" w:rsidR="00DC689C" w:rsidRPr="006A0BE1" w:rsidRDefault="00C90FFC" w:rsidP="00914B17">
            <w:pPr>
              <w:pStyle w:val="naiskr"/>
              <w:spacing w:before="0" w:after="0"/>
            </w:pPr>
            <w:r w:rsidRPr="006A0BE1">
              <w:t>4</w:t>
            </w:r>
            <w:r w:rsidR="00DC689C" w:rsidRPr="006A0BE1">
              <w:t>.</w:t>
            </w:r>
          </w:p>
        </w:tc>
        <w:tc>
          <w:tcPr>
            <w:tcW w:w="1813" w:type="dxa"/>
          </w:tcPr>
          <w:p w14:paraId="16243EDF" w14:textId="77777777" w:rsidR="00DC689C" w:rsidRPr="006A0BE1" w:rsidRDefault="00DC689C" w:rsidP="00914B17">
            <w:pPr>
              <w:pStyle w:val="naiskr"/>
              <w:spacing w:before="0" w:after="0"/>
            </w:pPr>
            <w:r w:rsidRPr="006A0BE1">
              <w:t>Cita informācija</w:t>
            </w:r>
          </w:p>
        </w:tc>
        <w:tc>
          <w:tcPr>
            <w:tcW w:w="7675" w:type="dxa"/>
          </w:tcPr>
          <w:p w14:paraId="16243EE0" w14:textId="19A2B0AF" w:rsidR="00DC689C" w:rsidRPr="006A0BE1" w:rsidRDefault="00F67A42" w:rsidP="00914B17">
            <w:pPr>
              <w:pStyle w:val="naiskr"/>
              <w:spacing w:before="0" w:after="0"/>
              <w:ind w:left="142" w:right="81"/>
              <w:jc w:val="both"/>
            </w:pPr>
            <w:r>
              <w:t>Lai sagatavotu noteikumu projektu, Finanšu ministrijas Budžeta po</w:t>
            </w:r>
            <w:r w:rsidR="00FE661D">
              <w:t xml:space="preserve">litikas attīstības departaments </w:t>
            </w:r>
            <w:r w:rsidR="00D66CB6">
              <w:t>2019</w:t>
            </w:r>
            <w:r w:rsidR="00340062">
              <w:t>.</w:t>
            </w:r>
            <w:r w:rsidR="00D66CB6">
              <w:t xml:space="preserve"> gada sākumā </w:t>
            </w:r>
            <w:r>
              <w:t>sagatavoja</w:t>
            </w:r>
            <w:r w:rsidR="00D66CB6">
              <w:t xml:space="preserve"> un izsūtīja anketu gan ministrijām, gan arī pašvaldībām, viedokļa noskaidrošanai un priekšlikumu izteikšanai. Aizpildītas anketas un komentārus atsūtīja visas ministrijas un 30 no 119 pašvaldībām. Tāpat tika sarīkota</w:t>
            </w:r>
            <w:r w:rsidR="0000795B">
              <w:t>s neoficiālas diskusijas</w:t>
            </w:r>
            <w:r w:rsidR="00D66CB6">
              <w:t xml:space="preserve">, kurās tika uzaicinātas piedalīties viedokli izteikušās iestādes, lai pārrunātu </w:t>
            </w:r>
            <w:r w:rsidR="0000795B">
              <w:t>iespējamos pilnveidojumus izdevumu klasifikācijā.</w:t>
            </w:r>
            <w:r w:rsidR="00186B20">
              <w:t xml:space="preserve"> </w:t>
            </w:r>
          </w:p>
        </w:tc>
      </w:tr>
    </w:tbl>
    <w:p w14:paraId="16243EE2" w14:textId="77777777" w:rsidR="008D3A5D" w:rsidRPr="0004570D" w:rsidRDefault="008D3A5D" w:rsidP="00914B17">
      <w:pPr>
        <w:pStyle w:val="naisf"/>
        <w:spacing w:before="0" w:after="0"/>
        <w:ind w:firstLine="0"/>
        <w:rPr>
          <w:sz w:val="20"/>
          <w:szCs w:val="20"/>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551"/>
        <w:gridCol w:w="6773"/>
      </w:tblGrid>
      <w:tr w:rsidR="00326D38" w:rsidRPr="006A0BE1" w14:paraId="35F5F0D5" w14:textId="77777777" w:rsidTr="007469B4">
        <w:trPr>
          <w:trHeight w:val="476"/>
        </w:trPr>
        <w:tc>
          <w:tcPr>
            <w:tcW w:w="9745" w:type="dxa"/>
            <w:gridSpan w:val="3"/>
          </w:tcPr>
          <w:p w14:paraId="2D97DC94" w14:textId="77777777" w:rsidR="00326D38" w:rsidRPr="006A0BE1" w:rsidRDefault="00326D38" w:rsidP="00914B17">
            <w:pPr>
              <w:pStyle w:val="naiskr"/>
              <w:spacing w:before="0" w:after="0"/>
              <w:ind w:left="142" w:right="81"/>
              <w:jc w:val="center"/>
            </w:pPr>
            <w:r w:rsidRPr="006A0BE1">
              <w:rPr>
                <w:rFonts w:eastAsia="Calibri"/>
                <w:b/>
                <w:bCs/>
                <w:lang w:eastAsia="en-US"/>
              </w:rPr>
              <w:t>II. Tiesību akta projekta ietekme uz sabiedrību, tautsaimniecības attīstību un administratīvo slogu</w:t>
            </w:r>
          </w:p>
        </w:tc>
      </w:tr>
      <w:tr w:rsidR="00326D38" w:rsidRPr="006A0BE1" w14:paraId="76C46C96" w14:textId="77777777" w:rsidTr="00914B17">
        <w:trPr>
          <w:trHeight w:val="476"/>
        </w:trPr>
        <w:tc>
          <w:tcPr>
            <w:tcW w:w="421" w:type="dxa"/>
          </w:tcPr>
          <w:p w14:paraId="3724F7C4" w14:textId="77777777" w:rsidR="00326D38" w:rsidRPr="006A0BE1" w:rsidRDefault="00326D38" w:rsidP="00914B17">
            <w:pPr>
              <w:pStyle w:val="naiskr"/>
              <w:spacing w:before="0" w:after="0"/>
            </w:pPr>
            <w:r w:rsidRPr="006A0BE1">
              <w:t xml:space="preserve"> 1.</w:t>
            </w:r>
          </w:p>
        </w:tc>
        <w:tc>
          <w:tcPr>
            <w:tcW w:w="2551" w:type="dxa"/>
          </w:tcPr>
          <w:p w14:paraId="2041F29F" w14:textId="77777777" w:rsidR="00326D38" w:rsidRPr="006A0BE1" w:rsidRDefault="00326D38" w:rsidP="00914B17">
            <w:pPr>
              <w:pStyle w:val="naiskr"/>
              <w:spacing w:before="0" w:after="0"/>
              <w:jc w:val="both"/>
            </w:pPr>
            <w:r w:rsidRPr="006A0BE1">
              <w:t xml:space="preserve"> Sabiedrības </w:t>
            </w:r>
            <w:proofErr w:type="spellStart"/>
            <w:r w:rsidRPr="006A0BE1">
              <w:t>mērķgrupas</w:t>
            </w:r>
            <w:proofErr w:type="spellEnd"/>
            <w:r w:rsidRPr="006A0BE1">
              <w:t>, kuras tiesiskais regulējums ietekmē vai varētu ietekmēt</w:t>
            </w:r>
          </w:p>
        </w:tc>
        <w:tc>
          <w:tcPr>
            <w:tcW w:w="6773" w:type="dxa"/>
          </w:tcPr>
          <w:p w14:paraId="1D057E21" w14:textId="7717C1BB" w:rsidR="00326D38" w:rsidRPr="006A0BE1" w:rsidRDefault="00AD61CC" w:rsidP="00914B17">
            <w:pPr>
              <w:pStyle w:val="naiskr"/>
              <w:spacing w:before="0" w:after="0"/>
              <w:ind w:left="142" w:right="81"/>
              <w:jc w:val="both"/>
            </w:pPr>
            <w:r w:rsidRPr="006A0BE1">
              <w:t>Valsts un pašvaldību budžeta iestāžu, no</w:t>
            </w:r>
            <w:r w:rsidR="00F8435F">
              <w:t xml:space="preserve"> valsts budžeta daļēji finansētu atvasinātu publisku personu un budžeta nefinansētu</w:t>
            </w:r>
            <w:r w:rsidRPr="006A0BE1">
              <w:t xml:space="preserve"> iestāžu </w:t>
            </w:r>
            <w:r w:rsidR="007640EE" w:rsidRPr="006A0BE1">
              <w:t>amatpersonas (</w:t>
            </w:r>
            <w:r w:rsidRPr="006A0BE1">
              <w:t>darbinieki</w:t>
            </w:r>
            <w:r w:rsidR="007640EE" w:rsidRPr="006A0BE1">
              <w:t>)</w:t>
            </w:r>
            <w:r w:rsidR="00FD1A41">
              <w:t>, kas darbā piemēro izdevumu ekonomisko klasifikāciju</w:t>
            </w:r>
            <w:r w:rsidRPr="006A0BE1">
              <w:t>.</w:t>
            </w:r>
          </w:p>
        </w:tc>
      </w:tr>
      <w:tr w:rsidR="00326D38" w:rsidRPr="006A0BE1" w14:paraId="134B120D" w14:textId="77777777" w:rsidTr="00914B17">
        <w:trPr>
          <w:trHeight w:val="476"/>
        </w:trPr>
        <w:tc>
          <w:tcPr>
            <w:tcW w:w="421" w:type="dxa"/>
          </w:tcPr>
          <w:p w14:paraId="6886A3F6" w14:textId="77777777" w:rsidR="00326D38" w:rsidRPr="006A0BE1" w:rsidRDefault="00326D38" w:rsidP="00914B17">
            <w:pPr>
              <w:pStyle w:val="naiskr"/>
              <w:spacing w:before="0" w:after="0"/>
            </w:pPr>
            <w:r w:rsidRPr="006A0BE1">
              <w:t xml:space="preserve"> 2.</w:t>
            </w:r>
          </w:p>
        </w:tc>
        <w:tc>
          <w:tcPr>
            <w:tcW w:w="2551" w:type="dxa"/>
          </w:tcPr>
          <w:p w14:paraId="104CFCBF" w14:textId="77777777" w:rsidR="00326D38" w:rsidRPr="006A0BE1" w:rsidRDefault="00326D38" w:rsidP="00914B17">
            <w:pPr>
              <w:pStyle w:val="naiskr"/>
              <w:spacing w:before="0" w:after="0"/>
              <w:jc w:val="both"/>
            </w:pPr>
            <w:r w:rsidRPr="006A0BE1">
              <w:t xml:space="preserve"> Tiesiskā regulējuma ietekme uz tautsaimniecību un administratīvo slogu</w:t>
            </w:r>
          </w:p>
        </w:tc>
        <w:tc>
          <w:tcPr>
            <w:tcW w:w="6773" w:type="dxa"/>
          </w:tcPr>
          <w:p w14:paraId="41FFF447" w14:textId="635828EC" w:rsidR="00E03A1D" w:rsidRPr="006A0BE1" w:rsidRDefault="00FD1A41" w:rsidP="00914B17">
            <w:pPr>
              <w:pStyle w:val="naiskr"/>
              <w:spacing w:before="0" w:after="0"/>
              <w:ind w:left="142" w:right="81"/>
              <w:jc w:val="both"/>
            </w:pPr>
            <w:r w:rsidRPr="00FF5E82">
              <w:rPr>
                <w:iCs/>
              </w:rPr>
              <w:t>Administratīvās izmaksas netiek palielinātas, administratīvās procedūras tiek nodrošinātas esošā finansējuma ietvaros.</w:t>
            </w:r>
            <w:r>
              <w:rPr>
                <w:iCs/>
              </w:rPr>
              <w:t xml:space="preserve"> </w:t>
            </w:r>
            <w:r w:rsidR="002C10E1">
              <w:rPr>
                <w:iCs/>
              </w:rPr>
              <w:t>Noteikumu projekts paredz precizēt klasifikāciju pozīcijas, tādējādi atvieglojot to piemērošanu lietotājiem.</w:t>
            </w:r>
          </w:p>
        </w:tc>
      </w:tr>
      <w:tr w:rsidR="00326D38" w:rsidRPr="006A0BE1" w14:paraId="11A2B372" w14:textId="77777777" w:rsidTr="00914B17">
        <w:trPr>
          <w:trHeight w:val="476"/>
        </w:trPr>
        <w:tc>
          <w:tcPr>
            <w:tcW w:w="421" w:type="dxa"/>
          </w:tcPr>
          <w:p w14:paraId="4200306C" w14:textId="77777777" w:rsidR="00326D38" w:rsidRPr="006A0BE1" w:rsidRDefault="00326D38" w:rsidP="00914B17">
            <w:pPr>
              <w:pStyle w:val="naiskr"/>
              <w:spacing w:before="0" w:after="0"/>
            </w:pPr>
            <w:r w:rsidRPr="006A0BE1">
              <w:t xml:space="preserve"> 3.</w:t>
            </w:r>
          </w:p>
        </w:tc>
        <w:tc>
          <w:tcPr>
            <w:tcW w:w="2551" w:type="dxa"/>
          </w:tcPr>
          <w:p w14:paraId="1C4E85D0" w14:textId="77777777" w:rsidR="00326D38" w:rsidRPr="006A0BE1" w:rsidRDefault="00326D38" w:rsidP="00914B17">
            <w:pPr>
              <w:pStyle w:val="naiskr"/>
              <w:spacing w:before="0" w:after="0"/>
              <w:jc w:val="both"/>
            </w:pPr>
            <w:r w:rsidRPr="006A0BE1">
              <w:t xml:space="preserve"> Administratīvo izmaksu monetārs novērtējums</w:t>
            </w:r>
          </w:p>
        </w:tc>
        <w:tc>
          <w:tcPr>
            <w:tcW w:w="6773" w:type="dxa"/>
          </w:tcPr>
          <w:p w14:paraId="6DC3F534" w14:textId="6C69A735" w:rsidR="00326D38" w:rsidRPr="00C51274" w:rsidRDefault="00FD1A41" w:rsidP="00914B17">
            <w:pPr>
              <w:pStyle w:val="naiskr"/>
              <w:spacing w:before="0" w:after="0"/>
              <w:ind w:left="142" w:right="81"/>
              <w:rPr>
                <w:strike/>
              </w:rPr>
            </w:pPr>
            <w:r w:rsidRPr="00FF5E82">
              <w:rPr>
                <w:iCs/>
              </w:rPr>
              <w:t>Projekts neradīs papildu administratīvo slogu.</w:t>
            </w:r>
          </w:p>
        </w:tc>
      </w:tr>
      <w:tr w:rsidR="00FD1A41" w:rsidRPr="006A0BE1" w14:paraId="528EB237" w14:textId="77777777" w:rsidTr="00914B17">
        <w:trPr>
          <w:trHeight w:val="476"/>
        </w:trPr>
        <w:tc>
          <w:tcPr>
            <w:tcW w:w="421" w:type="dxa"/>
          </w:tcPr>
          <w:p w14:paraId="1125ED0E" w14:textId="46987716" w:rsidR="00FD1A41" w:rsidRPr="006A0BE1" w:rsidRDefault="00FD1A41" w:rsidP="00914B17">
            <w:pPr>
              <w:pStyle w:val="naiskr"/>
              <w:spacing w:before="0" w:after="0"/>
            </w:pPr>
            <w:r w:rsidRPr="006A0BE1">
              <w:t>4.</w:t>
            </w:r>
            <w:r>
              <w:t xml:space="preserve"> </w:t>
            </w:r>
          </w:p>
        </w:tc>
        <w:tc>
          <w:tcPr>
            <w:tcW w:w="2551" w:type="dxa"/>
          </w:tcPr>
          <w:p w14:paraId="7703E350" w14:textId="7198B3C2" w:rsidR="00FD1A41" w:rsidRPr="006A0BE1" w:rsidRDefault="00FD1A41" w:rsidP="00914B17">
            <w:pPr>
              <w:pStyle w:val="naiskr"/>
              <w:spacing w:before="0" w:after="0"/>
              <w:jc w:val="both"/>
            </w:pPr>
            <w:r w:rsidRPr="00FF5E82">
              <w:rPr>
                <w:iCs/>
              </w:rPr>
              <w:t>Atbilstības izmaksu monetārs novērtējums</w:t>
            </w:r>
          </w:p>
        </w:tc>
        <w:tc>
          <w:tcPr>
            <w:tcW w:w="6773" w:type="dxa"/>
          </w:tcPr>
          <w:p w14:paraId="6B345ADD" w14:textId="27D2FAE6" w:rsidR="00FD1A41" w:rsidRPr="00FF5E82" w:rsidRDefault="00FD1A41" w:rsidP="00914B17">
            <w:pPr>
              <w:pStyle w:val="naiskr"/>
              <w:spacing w:before="0" w:after="0"/>
              <w:ind w:left="142" w:right="81"/>
              <w:rPr>
                <w:iCs/>
              </w:rPr>
            </w:pPr>
            <w:r w:rsidRPr="00FF5E82">
              <w:rPr>
                <w:iCs/>
              </w:rPr>
              <w:t>Projekts šo jomu neskar.</w:t>
            </w:r>
          </w:p>
        </w:tc>
      </w:tr>
      <w:tr w:rsidR="00326D38" w:rsidRPr="006A0BE1" w14:paraId="573E6E4C" w14:textId="77777777" w:rsidTr="00914B17">
        <w:tc>
          <w:tcPr>
            <w:tcW w:w="421" w:type="dxa"/>
          </w:tcPr>
          <w:p w14:paraId="29CAD117" w14:textId="5AD5AFED" w:rsidR="00326D38" w:rsidRPr="006A0BE1" w:rsidRDefault="00326D38" w:rsidP="00914B17">
            <w:pPr>
              <w:pStyle w:val="naiskr"/>
              <w:spacing w:before="0" w:after="0"/>
            </w:pPr>
            <w:r w:rsidRPr="006A0BE1">
              <w:t xml:space="preserve"> </w:t>
            </w:r>
            <w:r w:rsidR="00FD1A41">
              <w:t>5</w:t>
            </w:r>
            <w:r w:rsidRPr="006A0BE1">
              <w:t>.</w:t>
            </w:r>
          </w:p>
        </w:tc>
        <w:tc>
          <w:tcPr>
            <w:tcW w:w="2551" w:type="dxa"/>
          </w:tcPr>
          <w:p w14:paraId="64C42D6E" w14:textId="77777777" w:rsidR="00326D38" w:rsidRPr="006A0BE1" w:rsidRDefault="00326D38" w:rsidP="00914B17">
            <w:pPr>
              <w:pStyle w:val="naiskr"/>
              <w:spacing w:before="0" w:after="0"/>
              <w:jc w:val="both"/>
            </w:pPr>
            <w:r w:rsidRPr="006A0BE1">
              <w:t xml:space="preserve"> Cita informācija</w:t>
            </w:r>
          </w:p>
        </w:tc>
        <w:tc>
          <w:tcPr>
            <w:tcW w:w="6773" w:type="dxa"/>
          </w:tcPr>
          <w:p w14:paraId="550FB924" w14:textId="63090E97" w:rsidR="00326D38" w:rsidRPr="006A0BE1" w:rsidRDefault="00326D38" w:rsidP="00914B17">
            <w:pPr>
              <w:pStyle w:val="naiskr"/>
              <w:spacing w:before="0" w:after="0"/>
              <w:ind w:left="142" w:right="81"/>
            </w:pPr>
            <w:r w:rsidRPr="006A0BE1">
              <w:t>Nav</w:t>
            </w:r>
          </w:p>
        </w:tc>
      </w:tr>
    </w:tbl>
    <w:p w14:paraId="111A39BF" w14:textId="72BF071C" w:rsidR="00326D38" w:rsidRPr="0004570D" w:rsidRDefault="00326D38" w:rsidP="00914B17">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0E7020A" w14:textId="77777777" w:rsidTr="00263435">
        <w:trPr>
          <w:trHeight w:val="274"/>
        </w:trPr>
        <w:tc>
          <w:tcPr>
            <w:tcW w:w="9776" w:type="dxa"/>
          </w:tcPr>
          <w:p w14:paraId="686C618B" w14:textId="77777777" w:rsidR="00880E32" w:rsidRPr="006A0BE1" w:rsidRDefault="00880E32" w:rsidP="00914B17">
            <w:pPr>
              <w:ind w:left="142" w:right="81"/>
              <w:jc w:val="center"/>
              <w:rPr>
                <w:b/>
              </w:rPr>
            </w:pPr>
            <w:r w:rsidRPr="006A0BE1">
              <w:rPr>
                <w:b/>
              </w:rPr>
              <w:t>III. Tiesību akta projekta ietekme uz valsts budžetu un pašvaldību budžetiem</w:t>
            </w:r>
          </w:p>
        </w:tc>
      </w:tr>
      <w:tr w:rsidR="00880E32" w:rsidRPr="006A0BE1" w14:paraId="6F632644" w14:textId="77777777" w:rsidTr="00263435">
        <w:trPr>
          <w:trHeight w:val="274"/>
        </w:trPr>
        <w:tc>
          <w:tcPr>
            <w:tcW w:w="9776" w:type="dxa"/>
          </w:tcPr>
          <w:p w14:paraId="59460CBA" w14:textId="77777777" w:rsidR="00880E32" w:rsidRPr="006A0BE1" w:rsidRDefault="00880E32" w:rsidP="00914B17">
            <w:pPr>
              <w:ind w:left="142" w:right="81"/>
              <w:jc w:val="center"/>
            </w:pPr>
            <w:r w:rsidRPr="006A0BE1">
              <w:t>Projekts šo jomu neskar</w:t>
            </w:r>
          </w:p>
        </w:tc>
      </w:tr>
    </w:tbl>
    <w:p w14:paraId="49BFF1B8" w14:textId="58963060" w:rsidR="00880E32" w:rsidRDefault="00880E32" w:rsidP="00914B17">
      <w:pPr>
        <w:pStyle w:val="naisf"/>
        <w:spacing w:before="0" w:after="0"/>
        <w:ind w:firstLine="0"/>
        <w:rPr>
          <w:sz w:val="20"/>
          <w:szCs w:val="20"/>
        </w:rPr>
      </w:pPr>
    </w:p>
    <w:p w14:paraId="14CAC2BF" w14:textId="77777777" w:rsidR="0008180F" w:rsidRPr="0004570D" w:rsidRDefault="0008180F" w:rsidP="00914B17">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0B4A73" w:rsidRPr="006B10EC" w14:paraId="7E4B4018" w14:textId="77777777" w:rsidTr="006139D2">
        <w:trPr>
          <w:trHeight w:val="130"/>
        </w:trPr>
        <w:tc>
          <w:tcPr>
            <w:tcW w:w="9776" w:type="dxa"/>
          </w:tcPr>
          <w:p w14:paraId="24CA41CE" w14:textId="77777777" w:rsidR="000B4A73" w:rsidRPr="006B10EC" w:rsidRDefault="000B4A73" w:rsidP="00914B17">
            <w:pPr>
              <w:ind w:left="142" w:right="81"/>
              <w:jc w:val="center"/>
              <w:rPr>
                <w:b/>
                <w:bCs/>
              </w:rPr>
            </w:pPr>
            <w:r w:rsidRPr="006B10EC">
              <w:rPr>
                <w:b/>
                <w:bCs/>
              </w:rPr>
              <w:lastRenderedPageBreak/>
              <w:t>IV. Tiesību akta projekta ietekme uz spēkā esošo tiesību normu sistēmu</w:t>
            </w:r>
          </w:p>
        </w:tc>
      </w:tr>
      <w:tr w:rsidR="00FD1A41" w:rsidRPr="006B10EC" w14:paraId="7FFCFB5C" w14:textId="77777777" w:rsidTr="006139D2">
        <w:trPr>
          <w:trHeight w:val="130"/>
        </w:trPr>
        <w:tc>
          <w:tcPr>
            <w:tcW w:w="9776" w:type="dxa"/>
          </w:tcPr>
          <w:p w14:paraId="61E09690" w14:textId="5A8D1E4D" w:rsidR="00FD1A41" w:rsidRPr="006B10EC" w:rsidRDefault="00FD1A41" w:rsidP="00914B17">
            <w:pPr>
              <w:ind w:left="142" w:right="81"/>
              <w:jc w:val="center"/>
              <w:rPr>
                <w:b/>
                <w:bCs/>
              </w:rPr>
            </w:pPr>
            <w:r w:rsidRPr="00FF5E82">
              <w:rPr>
                <w:bCs/>
                <w:iCs/>
              </w:rPr>
              <w:t>Projekts šo jomu neskar.</w:t>
            </w:r>
          </w:p>
        </w:tc>
      </w:tr>
    </w:tbl>
    <w:p w14:paraId="0D5029A0" w14:textId="77777777" w:rsidR="00880E32" w:rsidRPr="0004570D" w:rsidRDefault="00880E32" w:rsidP="00914B17">
      <w:pPr>
        <w:pStyle w:val="naisf"/>
        <w:spacing w:before="0" w:after="0"/>
        <w:ind w:firstLine="0"/>
        <w:rPr>
          <w:sz w:val="20"/>
          <w:szCs w:val="20"/>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2A78C21" w14:textId="77777777" w:rsidTr="00263435">
        <w:trPr>
          <w:trHeight w:val="272"/>
        </w:trPr>
        <w:tc>
          <w:tcPr>
            <w:tcW w:w="9776" w:type="dxa"/>
          </w:tcPr>
          <w:p w14:paraId="5759949F" w14:textId="77777777" w:rsidR="00880E32" w:rsidRPr="006A0BE1" w:rsidRDefault="00880E32" w:rsidP="00914B17">
            <w:pPr>
              <w:ind w:left="142" w:right="81"/>
              <w:jc w:val="center"/>
              <w:rPr>
                <w:b/>
              </w:rPr>
            </w:pPr>
            <w:r w:rsidRPr="006A0BE1">
              <w:rPr>
                <w:b/>
                <w:bCs/>
              </w:rPr>
              <w:t>V. Tiesību akta projekta atbilstība Latvijas Republikas starptautiskajām saistībām</w:t>
            </w:r>
          </w:p>
        </w:tc>
      </w:tr>
      <w:tr w:rsidR="00880E32" w:rsidRPr="006A0BE1" w14:paraId="6B6FDE15" w14:textId="77777777" w:rsidTr="00263435">
        <w:trPr>
          <w:trHeight w:val="134"/>
        </w:trPr>
        <w:tc>
          <w:tcPr>
            <w:tcW w:w="9776" w:type="dxa"/>
          </w:tcPr>
          <w:p w14:paraId="10B784D7" w14:textId="77777777" w:rsidR="00880E32" w:rsidRPr="006A0BE1" w:rsidRDefault="00880E32" w:rsidP="00914B17">
            <w:pPr>
              <w:ind w:left="142" w:right="81"/>
              <w:jc w:val="center"/>
            </w:pPr>
            <w:r w:rsidRPr="006A0BE1">
              <w:t>Projekts šo jomu neskar</w:t>
            </w:r>
          </w:p>
        </w:tc>
      </w:tr>
    </w:tbl>
    <w:p w14:paraId="776BB97D" w14:textId="77777777" w:rsidR="00880E32" w:rsidRPr="0004570D" w:rsidRDefault="00880E32" w:rsidP="00914B17">
      <w:pPr>
        <w:pStyle w:val="naisf"/>
        <w:spacing w:before="0" w:after="0"/>
        <w:ind w:firstLine="0"/>
        <w:rPr>
          <w:sz w:val="20"/>
          <w:szCs w:val="20"/>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268"/>
        <w:gridCol w:w="7056"/>
      </w:tblGrid>
      <w:tr w:rsidR="00326D38" w:rsidRPr="006A0BE1" w14:paraId="6C4A97FB" w14:textId="77777777" w:rsidTr="007469B4">
        <w:trPr>
          <w:trHeight w:val="268"/>
        </w:trPr>
        <w:tc>
          <w:tcPr>
            <w:tcW w:w="9745" w:type="dxa"/>
            <w:gridSpan w:val="3"/>
          </w:tcPr>
          <w:p w14:paraId="36260996" w14:textId="77777777" w:rsidR="00326D38" w:rsidRPr="006A0BE1" w:rsidRDefault="00326D38" w:rsidP="00914B17">
            <w:pPr>
              <w:pStyle w:val="naiskr"/>
              <w:spacing w:before="0" w:after="0"/>
              <w:ind w:left="142" w:right="81"/>
              <w:jc w:val="center"/>
            </w:pPr>
            <w:r w:rsidRPr="006A0BE1">
              <w:rPr>
                <w:rFonts w:eastAsia="Calibri"/>
                <w:b/>
                <w:bCs/>
                <w:lang w:eastAsia="en-US"/>
              </w:rPr>
              <w:t>VI. Sabiedrības līdzdalība un komunikācijas aktivitātes</w:t>
            </w:r>
          </w:p>
        </w:tc>
      </w:tr>
      <w:tr w:rsidR="00326D38" w:rsidRPr="006A0BE1" w14:paraId="62BD8B73" w14:textId="77777777" w:rsidTr="00914B17">
        <w:trPr>
          <w:trHeight w:val="476"/>
        </w:trPr>
        <w:tc>
          <w:tcPr>
            <w:tcW w:w="421" w:type="dxa"/>
          </w:tcPr>
          <w:p w14:paraId="04B565E2" w14:textId="77777777" w:rsidR="00326D38" w:rsidRPr="006A0BE1" w:rsidRDefault="00326D38" w:rsidP="00914B17">
            <w:pPr>
              <w:pStyle w:val="naiskr"/>
              <w:spacing w:before="0" w:after="0"/>
            </w:pPr>
            <w:r w:rsidRPr="006A0BE1">
              <w:t>1.</w:t>
            </w:r>
          </w:p>
        </w:tc>
        <w:tc>
          <w:tcPr>
            <w:tcW w:w="2268" w:type="dxa"/>
          </w:tcPr>
          <w:p w14:paraId="3E123F95" w14:textId="77777777" w:rsidR="00326D38" w:rsidRPr="006A0BE1" w:rsidRDefault="00326D38" w:rsidP="00914B17">
            <w:pPr>
              <w:pStyle w:val="naiskr"/>
              <w:spacing w:before="0" w:after="0"/>
              <w:jc w:val="both"/>
            </w:pPr>
            <w:r w:rsidRPr="006A0BE1">
              <w:t>Plānotās sabiedrības līdzdalības un komunikācijas aktivitātes saistībā ar projektu</w:t>
            </w:r>
          </w:p>
        </w:tc>
        <w:tc>
          <w:tcPr>
            <w:tcW w:w="7056" w:type="dxa"/>
          </w:tcPr>
          <w:p w14:paraId="5D1DFE9C" w14:textId="086DD9A5" w:rsidR="00326D38" w:rsidRPr="006A0BE1" w:rsidRDefault="00FD1A41" w:rsidP="00914B17">
            <w:pPr>
              <w:pStyle w:val="naiskr"/>
              <w:spacing w:before="0" w:after="0"/>
              <w:ind w:left="142" w:right="81"/>
              <w:jc w:val="both"/>
            </w:pPr>
            <w:r>
              <w:t>Informācija</w:t>
            </w:r>
            <w:r w:rsidRPr="003C3839">
              <w:t xml:space="preserve"> </w:t>
            </w:r>
            <w:r w:rsidR="004362A4" w:rsidRPr="003C3839">
              <w:t>par noteikumu projekta izstrādi</w:t>
            </w:r>
            <w:r w:rsidR="004362A4">
              <w:t xml:space="preserve"> p</w:t>
            </w:r>
            <w:r w:rsidR="004362A4" w:rsidRPr="003C3839">
              <w:t xml:space="preserve">ublicēta Finanšu ministrijas </w:t>
            </w:r>
            <w:r w:rsidRPr="003C33C3">
              <w:t xml:space="preserve"> tīmekļa vietnē </w:t>
            </w:r>
            <w:hyperlink r:id="rId11" w:history="1">
              <w:r w:rsidRPr="003C33C3">
                <w:t>www.fm.gov.lv</w:t>
              </w:r>
            </w:hyperlink>
            <w:r w:rsidRPr="003C33C3">
              <w:t xml:space="preserve"> </w:t>
            </w:r>
            <w:r w:rsidRPr="0082318E">
              <w:t>sadaļā "Sabiedrības līdzdalība"</w:t>
            </w:r>
            <w:r>
              <w:t xml:space="preserve"> – “Tiesību aktu projekti” – “Valsts budžeta politika”</w:t>
            </w:r>
            <w:r w:rsidRPr="0082318E">
              <w:t>.</w:t>
            </w:r>
            <w:r w:rsidRPr="003C33C3">
              <w:t xml:space="preserve"> Līdz ar to sabiedrības pārstāvji varēja līdzdarboti</w:t>
            </w:r>
            <w:r w:rsidR="00EC2FE3">
              <w:t>es projekta izstrādē, rakstiski</w:t>
            </w:r>
            <w:r w:rsidRPr="003C33C3">
              <w:t xml:space="preserve"> sniedzot viedokļus par projektu. Tāpat sabiedrības pārstāvji varē</w:t>
            </w:r>
            <w:r w:rsidR="00775E74">
              <w:t>ja</w:t>
            </w:r>
            <w:r w:rsidRPr="003C33C3">
              <w:t xml:space="preserve"> sniegt viedokļus par projektu pēc tā izsludināšanas Valsts sekretāru sanāksmē.</w:t>
            </w:r>
          </w:p>
        </w:tc>
      </w:tr>
      <w:tr w:rsidR="00326D38" w:rsidRPr="006A0BE1" w14:paraId="5D59C285" w14:textId="77777777" w:rsidTr="00914B17">
        <w:trPr>
          <w:trHeight w:val="252"/>
        </w:trPr>
        <w:tc>
          <w:tcPr>
            <w:tcW w:w="421" w:type="dxa"/>
          </w:tcPr>
          <w:p w14:paraId="1C9BA062" w14:textId="77777777" w:rsidR="00326D38" w:rsidRPr="006A0BE1" w:rsidRDefault="00326D38" w:rsidP="00914B17">
            <w:pPr>
              <w:pStyle w:val="naiskr"/>
              <w:spacing w:before="0" w:after="0"/>
            </w:pPr>
            <w:r w:rsidRPr="006A0BE1">
              <w:t>2.</w:t>
            </w:r>
          </w:p>
        </w:tc>
        <w:tc>
          <w:tcPr>
            <w:tcW w:w="2268" w:type="dxa"/>
          </w:tcPr>
          <w:p w14:paraId="19648EC5" w14:textId="77777777" w:rsidR="00326D38" w:rsidRPr="006A0BE1" w:rsidRDefault="00326D38" w:rsidP="00914B17">
            <w:pPr>
              <w:pStyle w:val="naiskr"/>
              <w:spacing w:before="0" w:after="0"/>
              <w:jc w:val="both"/>
            </w:pPr>
            <w:r w:rsidRPr="006A0BE1">
              <w:t>Sabiedrības līdzdalība projekta izstrādē</w:t>
            </w:r>
          </w:p>
        </w:tc>
        <w:tc>
          <w:tcPr>
            <w:tcW w:w="7056" w:type="dxa"/>
          </w:tcPr>
          <w:p w14:paraId="41C5D3C3" w14:textId="075A4CAC" w:rsidR="00326D38" w:rsidRPr="006A0BE1" w:rsidRDefault="004362A4" w:rsidP="00914B17">
            <w:pPr>
              <w:pStyle w:val="naiskr"/>
              <w:spacing w:before="0" w:after="0"/>
              <w:ind w:left="142" w:right="81"/>
              <w:jc w:val="both"/>
            </w:pPr>
            <w:r w:rsidRPr="003C3839">
              <w:t>Uzziņa par noteikumu projekta izstrādi</w:t>
            </w:r>
            <w:r w:rsidR="00380EE5">
              <w:t xml:space="preserve"> 2019</w:t>
            </w:r>
            <w:r>
              <w:t>.gada</w:t>
            </w:r>
            <w:r w:rsidR="00380EE5">
              <w:t xml:space="preserve"> </w:t>
            </w:r>
            <w:r w:rsidR="00FD1A41">
              <w:t>15</w:t>
            </w:r>
            <w:r w:rsidR="00380EE5">
              <w:t>.jūlijā  p</w:t>
            </w:r>
            <w:r w:rsidR="00380EE5" w:rsidRPr="003C3839">
              <w:t>ublicēt</w:t>
            </w:r>
            <w:r w:rsidR="00380EE5">
              <w:t>a Finanšu ministrijas tīmekļ</w:t>
            </w:r>
            <w:r w:rsidR="00FD1A41">
              <w:t xml:space="preserve">a </w:t>
            </w:r>
            <w:r w:rsidR="00380EE5">
              <w:t>vietnē</w:t>
            </w:r>
            <w:r w:rsidR="00380EE5" w:rsidRPr="003C3839">
              <w:t xml:space="preserve"> </w:t>
            </w:r>
            <w:r w:rsidR="00FD1A41" w:rsidRPr="003C33C3">
              <w:t xml:space="preserve"> </w:t>
            </w:r>
            <w:r w:rsidR="00FD1A41" w:rsidRPr="00737805">
              <w:rPr>
                <w:rStyle w:val="Hyperlink"/>
              </w:rPr>
              <w:t>https://www.fm.gov.lv/lv/sabiedribas_lidzdaliba/tiesibu_aktu_projekti/valsts_budzeta_politika#project5</w:t>
            </w:r>
            <w:r w:rsidR="007D3209">
              <w:rPr>
                <w:rStyle w:val="Hyperlink"/>
              </w:rPr>
              <w:t>83</w:t>
            </w:r>
            <w:r w:rsidR="00FD1A41" w:rsidRPr="003C33C3">
              <w:rPr>
                <w:rFonts w:asciiTheme="minorHAnsi" w:eastAsiaTheme="minorHAnsi" w:hAnsiTheme="minorHAnsi" w:cstheme="minorBidi"/>
                <w:sz w:val="22"/>
                <w:szCs w:val="22"/>
                <w:lang w:eastAsia="en-US"/>
              </w:rPr>
              <w:t xml:space="preserve"> </w:t>
            </w:r>
            <w:r w:rsidR="00FD1A41" w:rsidRPr="00737805">
              <w:t>un Valsts Kancelejas tīmekļvietnē</w:t>
            </w:r>
            <w:r w:rsidR="00FD1A41" w:rsidRPr="00737805">
              <w:rPr>
                <w:rStyle w:val="Hyperlink"/>
                <w:color w:val="auto"/>
              </w:rPr>
              <w:t xml:space="preserve"> </w:t>
            </w:r>
            <w:hyperlink r:id="rId12" w:history="1">
              <w:r w:rsidR="00FD1A41" w:rsidRPr="0082318E">
                <w:rPr>
                  <w:rStyle w:val="Hyperlink"/>
                </w:rPr>
                <w:t>https://www.mk.gov.lv/content/ministru-kabineta-diskusiju-dokumenti</w:t>
              </w:r>
            </w:hyperlink>
            <w:r w:rsidR="00FD1A41" w:rsidRPr="0082318E">
              <w:rPr>
                <w:rStyle w:val="Hyperlink"/>
              </w:rPr>
              <w:t>.</w:t>
            </w:r>
            <w:r w:rsidR="00FD1A41">
              <w:t xml:space="preserve"> Viedokļus</w:t>
            </w:r>
            <w:r w:rsidR="00FD1A41" w:rsidRPr="00CA06C9">
              <w:t xml:space="preserve"> var</w:t>
            </w:r>
            <w:r w:rsidR="00FD1A41">
              <w:t xml:space="preserve">ēja </w:t>
            </w:r>
            <w:r w:rsidR="00FD1A41" w:rsidRPr="00CA06C9">
              <w:t>sniegt līdz 2019.</w:t>
            </w:r>
            <w:r w:rsidR="00FD1A41">
              <w:t> </w:t>
            </w:r>
            <w:r w:rsidR="00FD1A41" w:rsidRPr="00CA06C9">
              <w:t xml:space="preserve">gada </w:t>
            </w:r>
            <w:r w:rsidR="00FD1A41">
              <w:t>26</w:t>
            </w:r>
            <w:r w:rsidR="00FD1A41" w:rsidRPr="00CA06C9">
              <w:t>.</w:t>
            </w:r>
            <w:r w:rsidR="00FD1A41">
              <w:t> jūlijam</w:t>
            </w:r>
            <w:r w:rsidR="00FD1A41" w:rsidRPr="00CA06C9">
              <w:t>.</w:t>
            </w:r>
          </w:p>
        </w:tc>
      </w:tr>
      <w:tr w:rsidR="00326D38" w:rsidRPr="006A0BE1" w14:paraId="5B2D2D4B" w14:textId="77777777" w:rsidTr="00914B17">
        <w:trPr>
          <w:trHeight w:val="316"/>
        </w:trPr>
        <w:tc>
          <w:tcPr>
            <w:tcW w:w="421" w:type="dxa"/>
          </w:tcPr>
          <w:p w14:paraId="57884A9F" w14:textId="77777777" w:rsidR="00326D38" w:rsidRPr="006A0BE1" w:rsidRDefault="00326D38" w:rsidP="00914B17">
            <w:pPr>
              <w:pStyle w:val="naiskr"/>
              <w:spacing w:before="0" w:after="0"/>
            </w:pPr>
            <w:r w:rsidRPr="006A0BE1">
              <w:t>3.</w:t>
            </w:r>
          </w:p>
        </w:tc>
        <w:tc>
          <w:tcPr>
            <w:tcW w:w="2268" w:type="dxa"/>
          </w:tcPr>
          <w:p w14:paraId="22A39B97" w14:textId="77777777" w:rsidR="00326D38" w:rsidRPr="006A0BE1" w:rsidRDefault="00326D38" w:rsidP="00914B17">
            <w:pPr>
              <w:pStyle w:val="naiskr"/>
              <w:spacing w:before="0" w:after="0"/>
              <w:jc w:val="both"/>
            </w:pPr>
            <w:r w:rsidRPr="006A0BE1">
              <w:t>Sabiedrības līdzdalības rezultāti</w:t>
            </w:r>
          </w:p>
        </w:tc>
        <w:tc>
          <w:tcPr>
            <w:tcW w:w="7056" w:type="dxa"/>
          </w:tcPr>
          <w:p w14:paraId="7994C3EC" w14:textId="694276A5" w:rsidR="00326D38" w:rsidRPr="006A0BE1" w:rsidRDefault="00FD1A41" w:rsidP="00914B17">
            <w:pPr>
              <w:pStyle w:val="naiskr"/>
              <w:spacing w:before="0" w:after="0"/>
              <w:ind w:left="142" w:right="81"/>
              <w:jc w:val="both"/>
            </w:pPr>
            <w:r>
              <w:t>Sabiedrības pārstāvju iebildumi un priekšlikumi nav saņemti.</w:t>
            </w:r>
          </w:p>
        </w:tc>
      </w:tr>
      <w:tr w:rsidR="00326D38" w:rsidRPr="006A0BE1" w14:paraId="35BF9734" w14:textId="77777777" w:rsidTr="00914B17">
        <w:tc>
          <w:tcPr>
            <w:tcW w:w="421" w:type="dxa"/>
          </w:tcPr>
          <w:p w14:paraId="6F2F7A1F" w14:textId="77777777" w:rsidR="00326D38" w:rsidRPr="006A0BE1" w:rsidRDefault="00326D38" w:rsidP="00914B17">
            <w:pPr>
              <w:pStyle w:val="naiskr"/>
              <w:spacing w:before="0" w:after="0"/>
            </w:pPr>
            <w:r w:rsidRPr="006A0BE1">
              <w:t>4.</w:t>
            </w:r>
          </w:p>
        </w:tc>
        <w:tc>
          <w:tcPr>
            <w:tcW w:w="2268" w:type="dxa"/>
          </w:tcPr>
          <w:p w14:paraId="0B6CFC57" w14:textId="77777777" w:rsidR="00326D38" w:rsidRPr="006A0BE1" w:rsidRDefault="00326D38" w:rsidP="00914B17">
            <w:pPr>
              <w:pStyle w:val="naiskr"/>
              <w:spacing w:before="0" w:after="0"/>
              <w:jc w:val="both"/>
            </w:pPr>
            <w:r w:rsidRPr="006A0BE1">
              <w:t>Cita informācija</w:t>
            </w:r>
          </w:p>
        </w:tc>
        <w:tc>
          <w:tcPr>
            <w:tcW w:w="7056" w:type="dxa"/>
          </w:tcPr>
          <w:p w14:paraId="6F19397E" w14:textId="7474EC40" w:rsidR="00326D38" w:rsidRPr="006A0BE1" w:rsidRDefault="00FD1A41" w:rsidP="00914B17">
            <w:pPr>
              <w:pStyle w:val="naiskr"/>
              <w:spacing w:before="0" w:after="0"/>
              <w:ind w:left="142" w:right="81"/>
              <w:jc w:val="both"/>
            </w:pPr>
            <w:r w:rsidRPr="00FA5C8C">
              <w:rPr>
                <w:color w:val="000000" w:themeColor="text1"/>
              </w:rPr>
              <w:t>Sabiedrība pēc noteikumu pieņemšanas tiks informēta ar publikāciju oficiālajā izdevumā "Latvijas Vēstnesis" un normatīvo aktu datu bāzē www.likumi.lv.</w:t>
            </w:r>
          </w:p>
        </w:tc>
      </w:tr>
    </w:tbl>
    <w:p w14:paraId="4D17A693" w14:textId="77777777" w:rsidR="00326D38" w:rsidRPr="006A0BE1" w:rsidRDefault="00326D38" w:rsidP="00914B17">
      <w:pPr>
        <w:pStyle w:val="naisf"/>
        <w:spacing w:before="0" w:after="0"/>
        <w:ind w:firstLine="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977"/>
        <w:gridCol w:w="6379"/>
      </w:tblGrid>
      <w:tr w:rsidR="00326D38" w:rsidRPr="0035239E" w14:paraId="7E384D4F" w14:textId="77777777" w:rsidTr="0035239E">
        <w:tc>
          <w:tcPr>
            <w:tcW w:w="9782" w:type="dxa"/>
            <w:gridSpan w:val="3"/>
            <w:tcBorders>
              <w:top w:val="single" w:sz="4" w:space="0" w:color="auto"/>
            </w:tcBorders>
          </w:tcPr>
          <w:p w14:paraId="1F5E42E0" w14:textId="77777777" w:rsidR="00326D38" w:rsidRPr="0035239E" w:rsidRDefault="00326D38" w:rsidP="00914B17">
            <w:pPr>
              <w:pStyle w:val="naiskr"/>
              <w:spacing w:before="0" w:after="0"/>
              <w:ind w:left="142" w:right="79"/>
              <w:jc w:val="center"/>
              <w:rPr>
                <w:rFonts w:eastAsia="Calibri"/>
                <w:b/>
                <w:bCs/>
                <w:lang w:eastAsia="en-US"/>
              </w:rPr>
            </w:pPr>
            <w:r w:rsidRPr="0035239E">
              <w:rPr>
                <w:rFonts w:eastAsia="Calibri"/>
                <w:b/>
                <w:bCs/>
                <w:lang w:eastAsia="en-US"/>
              </w:rPr>
              <w:t>VII. Tiesību akta projekta izpildes nodrošināšana un tās ietekme uz institūcijām</w:t>
            </w:r>
          </w:p>
        </w:tc>
      </w:tr>
      <w:tr w:rsidR="00326D38" w:rsidRPr="006A0BE1" w14:paraId="73521CC7" w14:textId="77777777" w:rsidTr="0035239E">
        <w:trPr>
          <w:trHeight w:val="427"/>
        </w:trPr>
        <w:tc>
          <w:tcPr>
            <w:tcW w:w="426" w:type="dxa"/>
          </w:tcPr>
          <w:p w14:paraId="50FAC9E8" w14:textId="77777777" w:rsidR="00326D38" w:rsidRPr="0035239E" w:rsidRDefault="00326D38" w:rsidP="00914B17">
            <w:pPr>
              <w:pStyle w:val="naiskr"/>
              <w:spacing w:before="0" w:after="0"/>
            </w:pPr>
            <w:r w:rsidRPr="006A0BE1">
              <w:t>1.</w:t>
            </w:r>
          </w:p>
        </w:tc>
        <w:tc>
          <w:tcPr>
            <w:tcW w:w="2977" w:type="dxa"/>
          </w:tcPr>
          <w:p w14:paraId="4020AD03" w14:textId="77777777" w:rsidR="00326D38" w:rsidRPr="006A0BE1" w:rsidRDefault="00326D38" w:rsidP="00914B17">
            <w:pPr>
              <w:pStyle w:val="naiskr"/>
              <w:spacing w:before="0" w:after="0"/>
              <w:jc w:val="both"/>
            </w:pPr>
            <w:r w:rsidRPr="006A0BE1">
              <w:t xml:space="preserve">Projekta izpildē iesaistītās institūcijas </w:t>
            </w:r>
          </w:p>
        </w:tc>
        <w:tc>
          <w:tcPr>
            <w:tcW w:w="6379" w:type="dxa"/>
          </w:tcPr>
          <w:p w14:paraId="409A1CDD" w14:textId="77395FD0" w:rsidR="00326D38" w:rsidRPr="0035239E" w:rsidRDefault="00AD61CC" w:rsidP="00914B17">
            <w:pPr>
              <w:pStyle w:val="naiskr"/>
              <w:spacing w:before="0" w:after="0"/>
            </w:pPr>
            <w:r w:rsidRPr="006A0BE1">
              <w:t>Valsts un pašvaldību budžeta iestādes, no valsts budžeta daļēji finansētas atvasinātas publiskas personas un budžeta nefinansētas iestādes.</w:t>
            </w:r>
          </w:p>
        </w:tc>
      </w:tr>
      <w:tr w:rsidR="00326D38" w:rsidRPr="006A0BE1" w14:paraId="5D5A3AA9" w14:textId="77777777" w:rsidTr="0035239E">
        <w:trPr>
          <w:trHeight w:val="463"/>
        </w:trPr>
        <w:tc>
          <w:tcPr>
            <w:tcW w:w="426" w:type="dxa"/>
          </w:tcPr>
          <w:p w14:paraId="3026FDF9" w14:textId="77777777" w:rsidR="00326D38" w:rsidRPr="0035239E" w:rsidRDefault="00326D38" w:rsidP="00914B17">
            <w:pPr>
              <w:pStyle w:val="naiskr"/>
              <w:spacing w:before="0" w:after="0"/>
            </w:pPr>
            <w:r w:rsidRPr="006A0BE1">
              <w:t>2.</w:t>
            </w:r>
          </w:p>
        </w:tc>
        <w:tc>
          <w:tcPr>
            <w:tcW w:w="2977" w:type="dxa"/>
          </w:tcPr>
          <w:p w14:paraId="2C9E7E9A" w14:textId="77777777" w:rsidR="00DA1291" w:rsidRDefault="00DA1291" w:rsidP="00914B17">
            <w:pPr>
              <w:pStyle w:val="naiskr"/>
              <w:spacing w:before="0" w:after="0"/>
              <w:jc w:val="both"/>
            </w:pPr>
            <w:r>
              <w:t>Projekta izpildes ietekme uz pārvaldes funkcijām un institucionālo struktūru.</w:t>
            </w:r>
          </w:p>
          <w:p w14:paraId="62EA00B6" w14:textId="576BB2BC" w:rsidR="00326D38" w:rsidRPr="006A0BE1" w:rsidRDefault="00DA1291" w:rsidP="00914B17">
            <w:pPr>
              <w:pStyle w:val="naiskr"/>
              <w:spacing w:before="0" w:after="0"/>
              <w:jc w:val="both"/>
            </w:pPr>
            <w:r>
              <w:t>Jaunu institūciju izveide, esošo institūciju likvidācija vai reorganizācija, to ietekme uz institūcijas cilvēkresursiem</w:t>
            </w:r>
          </w:p>
        </w:tc>
        <w:tc>
          <w:tcPr>
            <w:tcW w:w="6379" w:type="dxa"/>
          </w:tcPr>
          <w:p w14:paraId="582B6518" w14:textId="2EDD222C" w:rsidR="00DA1291" w:rsidRPr="0035239E" w:rsidRDefault="00A902BF" w:rsidP="00914B17">
            <w:pPr>
              <w:pStyle w:val="naiskr"/>
              <w:spacing w:before="0" w:after="0"/>
              <w:jc w:val="both"/>
            </w:pPr>
            <w:r w:rsidRPr="0035239E">
              <w:t>Projekta izpilde</w:t>
            </w:r>
            <w:r w:rsidR="0035239E">
              <w:t xml:space="preserve"> neietekmēs pārvaldes funkcijas.</w:t>
            </w:r>
          </w:p>
          <w:p w14:paraId="37D804EB" w14:textId="77777777" w:rsidR="00A902BF" w:rsidRDefault="00A902BF" w:rsidP="00914B17">
            <w:pPr>
              <w:pStyle w:val="naiskr"/>
              <w:spacing w:before="0" w:after="0"/>
              <w:jc w:val="both"/>
            </w:pPr>
            <w:r>
              <w:t>Projekta izpildei nav nepieciešama jaunu institūciju izveide, esošo institūciju likvidācija vai reorganizācija.</w:t>
            </w:r>
          </w:p>
          <w:p w14:paraId="462A3C5B" w14:textId="0AE8B1D7" w:rsidR="00326D38" w:rsidRPr="0035239E" w:rsidRDefault="00DA1291" w:rsidP="00914B17">
            <w:pPr>
              <w:pStyle w:val="naiskr"/>
              <w:spacing w:before="0" w:after="0"/>
              <w:jc w:val="both"/>
            </w:pPr>
            <w:r w:rsidRPr="0035239E">
              <w:t xml:space="preserve">Projekts tiks realizēts esošo cilvēkresursu </w:t>
            </w:r>
            <w:r w:rsidR="00A902BF" w:rsidRPr="0035239E">
              <w:t xml:space="preserve">un finanšu līdzekļu </w:t>
            </w:r>
            <w:r w:rsidRPr="0035239E">
              <w:t>ietvaros.</w:t>
            </w:r>
          </w:p>
        </w:tc>
      </w:tr>
      <w:tr w:rsidR="00326D38" w:rsidRPr="006A0BE1" w14:paraId="45C27A78" w14:textId="77777777" w:rsidTr="0035239E">
        <w:trPr>
          <w:trHeight w:val="195"/>
        </w:trPr>
        <w:tc>
          <w:tcPr>
            <w:tcW w:w="426" w:type="dxa"/>
          </w:tcPr>
          <w:p w14:paraId="72F6695B" w14:textId="2DDDAEF7" w:rsidR="00326D38" w:rsidRPr="006A0BE1" w:rsidRDefault="00DA1291" w:rsidP="00914B17">
            <w:pPr>
              <w:pStyle w:val="naiskr"/>
              <w:spacing w:before="0" w:after="0"/>
            </w:pPr>
            <w:r>
              <w:t>3</w:t>
            </w:r>
            <w:r w:rsidR="00326D38" w:rsidRPr="006A0BE1">
              <w:t>.</w:t>
            </w:r>
          </w:p>
        </w:tc>
        <w:tc>
          <w:tcPr>
            <w:tcW w:w="2977" w:type="dxa"/>
          </w:tcPr>
          <w:p w14:paraId="7234CAE1" w14:textId="77777777" w:rsidR="00326D38" w:rsidRPr="006A0BE1" w:rsidRDefault="00326D38" w:rsidP="00914B17">
            <w:pPr>
              <w:pStyle w:val="naiskr"/>
              <w:spacing w:before="0" w:after="0"/>
            </w:pPr>
            <w:r w:rsidRPr="006A0BE1">
              <w:t>Cita informācija</w:t>
            </w:r>
          </w:p>
        </w:tc>
        <w:tc>
          <w:tcPr>
            <w:tcW w:w="6379" w:type="dxa"/>
          </w:tcPr>
          <w:p w14:paraId="6E581FA2" w14:textId="354E76D8" w:rsidR="00326D38" w:rsidRPr="006A0BE1" w:rsidRDefault="007640EE" w:rsidP="00914B17">
            <w:pPr>
              <w:pStyle w:val="naiskr"/>
              <w:spacing w:before="0" w:after="0"/>
            </w:pPr>
            <w:r w:rsidRPr="006A0BE1">
              <w:t>Nav</w:t>
            </w:r>
          </w:p>
        </w:tc>
      </w:tr>
    </w:tbl>
    <w:p w14:paraId="097C4169" w14:textId="61FCDC41" w:rsidR="0066671B" w:rsidRDefault="0066671B" w:rsidP="00914B17"/>
    <w:p w14:paraId="3C9A900A" w14:textId="285DBB5D" w:rsidR="00914B17" w:rsidRDefault="00914B17" w:rsidP="00914B17"/>
    <w:p w14:paraId="2EE9945C" w14:textId="77777777" w:rsidR="00914B17" w:rsidRPr="006A0BE1" w:rsidRDefault="00914B17" w:rsidP="00914B17"/>
    <w:p w14:paraId="16243EF9" w14:textId="5BD84FE1" w:rsidR="00B76099" w:rsidRPr="006A0BE1" w:rsidRDefault="00AE45A1" w:rsidP="00914B17">
      <w:r w:rsidRPr="006A0BE1">
        <w:t>Finanšu ministr</w:t>
      </w:r>
      <w:r w:rsidR="009910BA">
        <w:t>s</w:t>
      </w:r>
      <w:r w:rsidRPr="006A0BE1">
        <w:t xml:space="preserve"> </w:t>
      </w:r>
      <w:r w:rsidRPr="006A0BE1">
        <w:tab/>
        <w:t xml:space="preserve">  </w:t>
      </w:r>
      <w:r w:rsidRPr="006A0BE1">
        <w:tab/>
      </w:r>
      <w:r w:rsidRPr="006A0BE1">
        <w:tab/>
      </w:r>
      <w:r w:rsidRPr="006A0BE1">
        <w:tab/>
      </w:r>
      <w:r w:rsidRPr="006A0BE1">
        <w:tab/>
      </w:r>
      <w:r w:rsidRPr="006A0BE1">
        <w:tab/>
      </w:r>
      <w:r w:rsidRPr="006A0BE1">
        <w:tab/>
      </w:r>
      <w:proofErr w:type="spellStart"/>
      <w:r w:rsidR="009910BA">
        <w:t>J.Reirs</w:t>
      </w:r>
      <w:proofErr w:type="spellEnd"/>
    </w:p>
    <w:p w14:paraId="0B3BDAF2" w14:textId="77777777" w:rsidR="00FF1045" w:rsidRPr="006A0BE1" w:rsidRDefault="00FF1045" w:rsidP="00914B17">
      <w:pPr>
        <w:jc w:val="both"/>
      </w:pPr>
    </w:p>
    <w:p w14:paraId="24950760" w14:textId="79C63A0E" w:rsidR="0066671B" w:rsidRDefault="0066671B" w:rsidP="00914B17">
      <w:pPr>
        <w:jc w:val="both"/>
      </w:pPr>
    </w:p>
    <w:p w14:paraId="44AE133C" w14:textId="55B82A48" w:rsidR="00914B17" w:rsidRDefault="00914B17" w:rsidP="00914B17">
      <w:pPr>
        <w:jc w:val="both"/>
      </w:pPr>
    </w:p>
    <w:p w14:paraId="153AF6C8" w14:textId="3196B11F" w:rsidR="00914B17" w:rsidRDefault="00914B17" w:rsidP="00914B17">
      <w:pPr>
        <w:jc w:val="both"/>
      </w:pPr>
    </w:p>
    <w:p w14:paraId="2951A05D" w14:textId="1E53E5C2" w:rsidR="00914B17" w:rsidRDefault="00914B17" w:rsidP="00914B17">
      <w:pPr>
        <w:jc w:val="both"/>
      </w:pPr>
      <w:bookmarkStart w:id="0" w:name="_GoBack"/>
      <w:bookmarkEnd w:id="0"/>
    </w:p>
    <w:p w14:paraId="13A2148D" w14:textId="77777777" w:rsidR="00914B17" w:rsidRDefault="00914B17" w:rsidP="00914B17">
      <w:pPr>
        <w:jc w:val="both"/>
      </w:pPr>
    </w:p>
    <w:p w14:paraId="1E386E83" w14:textId="2577271A" w:rsidR="001B7415" w:rsidRPr="005C0414" w:rsidRDefault="00283E13" w:rsidP="00914B17">
      <w:pPr>
        <w:jc w:val="both"/>
        <w:rPr>
          <w:sz w:val="20"/>
          <w:szCs w:val="20"/>
        </w:rPr>
      </w:pPr>
      <w:r w:rsidRPr="005C0414">
        <w:rPr>
          <w:sz w:val="20"/>
          <w:szCs w:val="20"/>
        </w:rPr>
        <w:t>Liepiņa</w:t>
      </w:r>
      <w:r w:rsidR="00B21FBC" w:rsidRPr="005C0414">
        <w:rPr>
          <w:sz w:val="20"/>
          <w:szCs w:val="20"/>
        </w:rPr>
        <w:t xml:space="preserve"> 67095455</w:t>
      </w:r>
    </w:p>
    <w:p w14:paraId="65553B59" w14:textId="74640A97" w:rsidR="00B21FBC" w:rsidRPr="005C0414" w:rsidRDefault="00B21FBC" w:rsidP="00914B17">
      <w:pPr>
        <w:jc w:val="both"/>
        <w:rPr>
          <w:sz w:val="20"/>
          <w:szCs w:val="20"/>
        </w:rPr>
      </w:pPr>
      <w:r w:rsidRPr="005C0414">
        <w:rPr>
          <w:sz w:val="20"/>
          <w:szCs w:val="20"/>
        </w:rPr>
        <w:t>Inga.Liepina@fm.gov.lv</w:t>
      </w:r>
    </w:p>
    <w:sectPr w:rsidR="00B21FBC" w:rsidRPr="005C0414" w:rsidSect="000F5047">
      <w:headerReference w:type="even" r:id="rId13"/>
      <w:headerReference w:type="default" r:id="rId14"/>
      <w:footerReference w:type="default" r:id="rId15"/>
      <w:footerReference w:type="first" r:id="rId16"/>
      <w:pgSz w:w="11906" w:h="16838" w:code="9"/>
      <w:pgMar w:top="993" w:right="1134" w:bottom="1276"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15B7" w14:textId="77777777" w:rsidR="007469B4" w:rsidRDefault="007469B4" w:rsidP="00307F91">
      <w:r>
        <w:separator/>
      </w:r>
    </w:p>
  </w:endnote>
  <w:endnote w:type="continuationSeparator" w:id="0">
    <w:p w14:paraId="48DB3733" w14:textId="77777777" w:rsidR="007469B4" w:rsidRDefault="007469B4"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2FAC" w14:textId="77777777" w:rsidR="007469B4" w:rsidRDefault="007469B4" w:rsidP="002B57DA">
    <w:pPr>
      <w:pStyle w:val="Footer"/>
      <w:ind w:left="-284" w:right="-285"/>
      <w:jc w:val="both"/>
      <w:rPr>
        <w:sz w:val="18"/>
        <w:szCs w:val="18"/>
      </w:rPr>
    </w:pPr>
  </w:p>
  <w:p w14:paraId="368AA21A" w14:textId="77777777" w:rsidR="00641D7B" w:rsidRPr="00743B6F" w:rsidRDefault="00641D7B" w:rsidP="00641D7B">
    <w:pPr>
      <w:pStyle w:val="Footer"/>
      <w:ind w:left="-284" w:right="-285"/>
      <w:jc w:val="both"/>
      <w:rPr>
        <w:sz w:val="18"/>
        <w:szCs w:val="18"/>
      </w:rPr>
    </w:pPr>
    <w:r w:rsidRPr="00743B6F">
      <w:rPr>
        <w:sz w:val="18"/>
        <w:szCs w:val="18"/>
      </w:rPr>
      <w:t>FMAnot_</w:t>
    </w:r>
    <w:r>
      <w:rPr>
        <w:sz w:val="18"/>
        <w:szCs w:val="18"/>
      </w:rPr>
      <w:t>10092019_1031</w:t>
    </w:r>
  </w:p>
  <w:p w14:paraId="16243F09" w14:textId="77777777" w:rsidR="007469B4" w:rsidRPr="002B57DA" w:rsidRDefault="007469B4"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32DB5C72" w:rsidR="007469B4" w:rsidRPr="00743B6F" w:rsidRDefault="007469B4" w:rsidP="006A576C">
    <w:pPr>
      <w:pStyle w:val="Footer"/>
      <w:ind w:left="-284" w:right="-285"/>
      <w:jc w:val="both"/>
      <w:rPr>
        <w:sz w:val="18"/>
        <w:szCs w:val="18"/>
      </w:rPr>
    </w:pPr>
    <w:r w:rsidRPr="00743B6F">
      <w:rPr>
        <w:sz w:val="18"/>
        <w:szCs w:val="18"/>
      </w:rPr>
      <w:t>FMAnot_</w:t>
    </w:r>
    <w:r w:rsidR="00641D7B">
      <w:rPr>
        <w:sz w:val="18"/>
        <w:szCs w:val="18"/>
      </w:rPr>
      <w:t>1009</w:t>
    </w:r>
    <w:r w:rsidR="002A04C6">
      <w:rPr>
        <w:sz w:val="18"/>
        <w:szCs w:val="18"/>
      </w:rPr>
      <w:t>20</w:t>
    </w:r>
    <w:r w:rsidR="009910BA">
      <w:rPr>
        <w:sz w:val="18"/>
        <w:szCs w:val="18"/>
      </w:rPr>
      <w:t>19</w:t>
    </w:r>
    <w:r>
      <w:rPr>
        <w:sz w:val="18"/>
        <w:szCs w:val="18"/>
      </w:rPr>
      <w:t>_1031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50A8" w14:textId="77777777" w:rsidR="007469B4" w:rsidRDefault="007469B4" w:rsidP="00307F91">
      <w:r>
        <w:separator/>
      </w:r>
    </w:p>
  </w:footnote>
  <w:footnote w:type="continuationSeparator" w:id="0">
    <w:p w14:paraId="4BAE2F3F" w14:textId="77777777" w:rsidR="007469B4" w:rsidRDefault="007469B4"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7469B4" w:rsidRDefault="0074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0BA06685"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80F">
      <w:rPr>
        <w:rStyle w:val="PageNumber"/>
        <w:noProof/>
      </w:rPr>
      <w:t>8</w:t>
    </w:r>
    <w:r>
      <w:rPr>
        <w:rStyle w:val="PageNumber"/>
      </w:rPr>
      <w:fldChar w:fldCharType="end"/>
    </w:r>
  </w:p>
  <w:p w14:paraId="16243F06" w14:textId="77777777" w:rsidR="007469B4" w:rsidRPr="00C55423" w:rsidRDefault="0074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A00CC"/>
    <w:multiLevelType w:val="hybridMultilevel"/>
    <w:tmpl w:val="828CB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6"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D32BE3"/>
    <w:multiLevelType w:val="hybridMultilevel"/>
    <w:tmpl w:val="D28017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F993103"/>
    <w:multiLevelType w:val="hybridMultilevel"/>
    <w:tmpl w:val="C04A92BC"/>
    <w:lvl w:ilvl="0" w:tplc="901289AA">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6B2D62DA"/>
    <w:multiLevelType w:val="hybridMultilevel"/>
    <w:tmpl w:val="3C18BE88"/>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12" w15:restartNumberingAfterBreak="0">
    <w:nsid w:val="6D064F82"/>
    <w:multiLevelType w:val="hybridMultilevel"/>
    <w:tmpl w:val="D8887DE2"/>
    <w:lvl w:ilvl="0" w:tplc="04260001">
      <w:start w:val="1"/>
      <w:numFmt w:val="bullet"/>
      <w:lvlText w:val=""/>
      <w:lvlJc w:val="left"/>
      <w:pPr>
        <w:ind w:left="1424" w:hanging="360"/>
      </w:pPr>
      <w:rPr>
        <w:rFonts w:ascii="Symbol" w:hAnsi="Symbol" w:hint="default"/>
      </w:rPr>
    </w:lvl>
    <w:lvl w:ilvl="1" w:tplc="04260003" w:tentative="1">
      <w:start w:val="1"/>
      <w:numFmt w:val="bullet"/>
      <w:lvlText w:val="o"/>
      <w:lvlJc w:val="left"/>
      <w:pPr>
        <w:ind w:left="2144" w:hanging="360"/>
      </w:pPr>
      <w:rPr>
        <w:rFonts w:ascii="Courier New" w:hAnsi="Courier New" w:cs="Courier New" w:hint="default"/>
      </w:rPr>
    </w:lvl>
    <w:lvl w:ilvl="2" w:tplc="04260005" w:tentative="1">
      <w:start w:val="1"/>
      <w:numFmt w:val="bullet"/>
      <w:lvlText w:val=""/>
      <w:lvlJc w:val="left"/>
      <w:pPr>
        <w:ind w:left="2864" w:hanging="360"/>
      </w:pPr>
      <w:rPr>
        <w:rFonts w:ascii="Wingdings" w:hAnsi="Wingdings" w:hint="default"/>
      </w:rPr>
    </w:lvl>
    <w:lvl w:ilvl="3" w:tplc="04260001" w:tentative="1">
      <w:start w:val="1"/>
      <w:numFmt w:val="bullet"/>
      <w:lvlText w:val=""/>
      <w:lvlJc w:val="left"/>
      <w:pPr>
        <w:ind w:left="3584" w:hanging="360"/>
      </w:pPr>
      <w:rPr>
        <w:rFonts w:ascii="Symbol" w:hAnsi="Symbol" w:hint="default"/>
      </w:rPr>
    </w:lvl>
    <w:lvl w:ilvl="4" w:tplc="04260003" w:tentative="1">
      <w:start w:val="1"/>
      <w:numFmt w:val="bullet"/>
      <w:lvlText w:val="o"/>
      <w:lvlJc w:val="left"/>
      <w:pPr>
        <w:ind w:left="4304" w:hanging="360"/>
      </w:pPr>
      <w:rPr>
        <w:rFonts w:ascii="Courier New" w:hAnsi="Courier New" w:cs="Courier New" w:hint="default"/>
      </w:rPr>
    </w:lvl>
    <w:lvl w:ilvl="5" w:tplc="04260005" w:tentative="1">
      <w:start w:val="1"/>
      <w:numFmt w:val="bullet"/>
      <w:lvlText w:val=""/>
      <w:lvlJc w:val="left"/>
      <w:pPr>
        <w:ind w:left="5024" w:hanging="360"/>
      </w:pPr>
      <w:rPr>
        <w:rFonts w:ascii="Wingdings" w:hAnsi="Wingdings" w:hint="default"/>
      </w:rPr>
    </w:lvl>
    <w:lvl w:ilvl="6" w:tplc="04260001" w:tentative="1">
      <w:start w:val="1"/>
      <w:numFmt w:val="bullet"/>
      <w:lvlText w:val=""/>
      <w:lvlJc w:val="left"/>
      <w:pPr>
        <w:ind w:left="5744" w:hanging="360"/>
      </w:pPr>
      <w:rPr>
        <w:rFonts w:ascii="Symbol" w:hAnsi="Symbol" w:hint="default"/>
      </w:rPr>
    </w:lvl>
    <w:lvl w:ilvl="7" w:tplc="04260003" w:tentative="1">
      <w:start w:val="1"/>
      <w:numFmt w:val="bullet"/>
      <w:lvlText w:val="o"/>
      <w:lvlJc w:val="left"/>
      <w:pPr>
        <w:ind w:left="6464" w:hanging="360"/>
      </w:pPr>
      <w:rPr>
        <w:rFonts w:ascii="Courier New" w:hAnsi="Courier New" w:cs="Courier New" w:hint="default"/>
      </w:rPr>
    </w:lvl>
    <w:lvl w:ilvl="8" w:tplc="04260005" w:tentative="1">
      <w:start w:val="1"/>
      <w:numFmt w:val="bullet"/>
      <w:lvlText w:val=""/>
      <w:lvlJc w:val="left"/>
      <w:pPr>
        <w:ind w:left="7184" w:hanging="360"/>
      </w:pPr>
      <w:rPr>
        <w:rFonts w:ascii="Wingdings" w:hAnsi="Wingdings" w:hint="default"/>
      </w:rPr>
    </w:lvl>
  </w:abstractNum>
  <w:abstractNum w:abstractNumId="13" w15:restartNumberingAfterBreak="0">
    <w:nsid w:val="6F26493C"/>
    <w:multiLevelType w:val="hybridMultilevel"/>
    <w:tmpl w:val="42B47F7E"/>
    <w:lvl w:ilvl="0" w:tplc="8EC0DC9E">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4" w15:restartNumberingAfterBreak="0">
    <w:nsid w:val="6F794B65"/>
    <w:multiLevelType w:val="hybridMultilevel"/>
    <w:tmpl w:val="52506242"/>
    <w:lvl w:ilvl="0" w:tplc="EACE8BBC">
      <w:start w:val="1"/>
      <w:numFmt w:val="decimal"/>
      <w:lvlText w:val="%1."/>
      <w:lvlJc w:val="left"/>
      <w:pPr>
        <w:ind w:left="921"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730F5AA3"/>
    <w:multiLevelType w:val="hybridMultilevel"/>
    <w:tmpl w:val="E11A4B46"/>
    <w:lvl w:ilvl="0" w:tplc="BCF21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10"/>
  </w:num>
  <w:num w:numId="4">
    <w:abstractNumId w:val="1"/>
  </w:num>
  <w:num w:numId="5">
    <w:abstractNumId w:val="6"/>
  </w:num>
  <w:num w:numId="6">
    <w:abstractNumId w:val="16"/>
  </w:num>
  <w:num w:numId="7">
    <w:abstractNumId w:val="4"/>
  </w:num>
  <w:num w:numId="8">
    <w:abstractNumId w:val="7"/>
  </w:num>
  <w:num w:numId="9">
    <w:abstractNumId w:val="5"/>
  </w:num>
  <w:num w:numId="10">
    <w:abstractNumId w:val="14"/>
  </w:num>
  <w:num w:numId="11">
    <w:abstractNumId w:val="9"/>
  </w:num>
  <w:num w:numId="12">
    <w:abstractNumId w:val="15"/>
  </w:num>
  <w:num w:numId="13">
    <w:abstractNumId w:val="3"/>
  </w:num>
  <w:num w:numId="14">
    <w:abstractNumId w:val="12"/>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039"/>
    <w:rsid w:val="00006C5A"/>
    <w:rsid w:val="0000795B"/>
    <w:rsid w:val="00011FD8"/>
    <w:rsid w:val="00014B5E"/>
    <w:rsid w:val="00014ED3"/>
    <w:rsid w:val="00014F75"/>
    <w:rsid w:val="00017682"/>
    <w:rsid w:val="00017DE0"/>
    <w:rsid w:val="0002011B"/>
    <w:rsid w:val="00022E7D"/>
    <w:rsid w:val="0002455E"/>
    <w:rsid w:val="00025B58"/>
    <w:rsid w:val="00025D74"/>
    <w:rsid w:val="00030048"/>
    <w:rsid w:val="000325F2"/>
    <w:rsid w:val="000334A9"/>
    <w:rsid w:val="00036916"/>
    <w:rsid w:val="00037C6E"/>
    <w:rsid w:val="00041298"/>
    <w:rsid w:val="00041966"/>
    <w:rsid w:val="000451BB"/>
    <w:rsid w:val="000452BD"/>
    <w:rsid w:val="0004570D"/>
    <w:rsid w:val="00046858"/>
    <w:rsid w:val="000476EB"/>
    <w:rsid w:val="000507AB"/>
    <w:rsid w:val="000524FE"/>
    <w:rsid w:val="00055838"/>
    <w:rsid w:val="00064157"/>
    <w:rsid w:val="00064228"/>
    <w:rsid w:val="0006462B"/>
    <w:rsid w:val="00066834"/>
    <w:rsid w:val="00066C5D"/>
    <w:rsid w:val="00071337"/>
    <w:rsid w:val="00071612"/>
    <w:rsid w:val="000723F6"/>
    <w:rsid w:val="00072749"/>
    <w:rsid w:val="000764DE"/>
    <w:rsid w:val="00080619"/>
    <w:rsid w:val="00080BA6"/>
    <w:rsid w:val="0008180F"/>
    <w:rsid w:val="00082662"/>
    <w:rsid w:val="00087569"/>
    <w:rsid w:val="0008796A"/>
    <w:rsid w:val="00091108"/>
    <w:rsid w:val="00091C42"/>
    <w:rsid w:val="000941FF"/>
    <w:rsid w:val="000965A1"/>
    <w:rsid w:val="00096B13"/>
    <w:rsid w:val="00096D8C"/>
    <w:rsid w:val="000A2394"/>
    <w:rsid w:val="000A4B61"/>
    <w:rsid w:val="000A6768"/>
    <w:rsid w:val="000A686F"/>
    <w:rsid w:val="000A79C2"/>
    <w:rsid w:val="000B2E2F"/>
    <w:rsid w:val="000B4A73"/>
    <w:rsid w:val="000C0B20"/>
    <w:rsid w:val="000C4B6B"/>
    <w:rsid w:val="000C4C14"/>
    <w:rsid w:val="000C693F"/>
    <w:rsid w:val="000C7699"/>
    <w:rsid w:val="000D01B5"/>
    <w:rsid w:val="000D2A92"/>
    <w:rsid w:val="000D4091"/>
    <w:rsid w:val="000D6D4B"/>
    <w:rsid w:val="000D7353"/>
    <w:rsid w:val="000E196F"/>
    <w:rsid w:val="000E1C45"/>
    <w:rsid w:val="000E2559"/>
    <w:rsid w:val="000E3064"/>
    <w:rsid w:val="000E3269"/>
    <w:rsid w:val="000E3A9E"/>
    <w:rsid w:val="000E6AFC"/>
    <w:rsid w:val="000E7FCE"/>
    <w:rsid w:val="000F5047"/>
    <w:rsid w:val="000F7050"/>
    <w:rsid w:val="000F7E01"/>
    <w:rsid w:val="0010273F"/>
    <w:rsid w:val="00103296"/>
    <w:rsid w:val="0010377F"/>
    <w:rsid w:val="00104BDC"/>
    <w:rsid w:val="00105135"/>
    <w:rsid w:val="00111ADA"/>
    <w:rsid w:val="001159C4"/>
    <w:rsid w:val="001160EE"/>
    <w:rsid w:val="00120E17"/>
    <w:rsid w:val="00121773"/>
    <w:rsid w:val="00123439"/>
    <w:rsid w:val="001239AB"/>
    <w:rsid w:val="0013441F"/>
    <w:rsid w:val="001347A4"/>
    <w:rsid w:val="00135B4C"/>
    <w:rsid w:val="0013730E"/>
    <w:rsid w:val="00137E65"/>
    <w:rsid w:val="00150741"/>
    <w:rsid w:val="00150C41"/>
    <w:rsid w:val="00157161"/>
    <w:rsid w:val="00162A8A"/>
    <w:rsid w:val="001630FC"/>
    <w:rsid w:val="00163F27"/>
    <w:rsid w:val="00164F93"/>
    <w:rsid w:val="00172E0F"/>
    <w:rsid w:val="001808C9"/>
    <w:rsid w:val="00185CCD"/>
    <w:rsid w:val="00185D51"/>
    <w:rsid w:val="00186037"/>
    <w:rsid w:val="00186B20"/>
    <w:rsid w:val="00190CAA"/>
    <w:rsid w:val="001915EE"/>
    <w:rsid w:val="00192CE1"/>
    <w:rsid w:val="00192D9E"/>
    <w:rsid w:val="00193ACB"/>
    <w:rsid w:val="001943EE"/>
    <w:rsid w:val="00196E89"/>
    <w:rsid w:val="001A16C5"/>
    <w:rsid w:val="001A1BF2"/>
    <w:rsid w:val="001A2694"/>
    <w:rsid w:val="001A444A"/>
    <w:rsid w:val="001A65DD"/>
    <w:rsid w:val="001A757D"/>
    <w:rsid w:val="001B01A2"/>
    <w:rsid w:val="001B6443"/>
    <w:rsid w:val="001B7415"/>
    <w:rsid w:val="001B7DA5"/>
    <w:rsid w:val="001C07FB"/>
    <w:rsid w:val="001C1A9B"/>
    <w:rsid w:val="001C5CA4"/>
    <w:rsid w:val="001C620B"/>
    <w:rsid w:val="001D2EA0"/>
    <w:rsid w:val="001D3DE0"/>
    <w:rsid w:val="001D3EF2"/>
    <w:rsid w:val="001D47E1"/>
    <w:rsid w:val="001D5C54"/>
    <w:rsid w:val="001E10DE"/>
    <w:rsid w:val="001E3C64"/>
    <w:rsid w:val="001E4CD6"/>
    <w:rsid w:val="001E5481"/>
    <w:rsid w:val="001F0B08"/>
    <w:rsid w:val="001F1C3E"/>
    <w:rsid w:val="001F21C8"/>
    <w:rsid w:val="001F3005"/>
    <w:rsid w:val="001F3D07"/>
    <w:rsid w:val="001F3D26"/>
    <w:rsid w:val="001F59E1"/>
    <w:rsid w:val="001F6DAB"/>
    <w:rsid w:val="001F7A22"/>
    <w:rsid w:val="00200159"/>
    <w:rsid w:val="002004B3"/>
    <w:rsid w:val="00200B87"/>
    <w:rsid w:val="00201B14"/>
    <w:rsid w:val="0020359D"/>
    <w:rsid w:val="00206CAB"/>
    <w:rsid w:val="00207DE6"/>
    <w:rsid w:val="002122BD"/>
    <w:rsid w:val="00216E1C"/>
    <w:rsid w:val="00217E1C"/>
    <w:rsid w:val="00220E16"/>
    <w:rsid w:val="00222766"/>
    <w:rsid w:val="00230660"/>
    <w:rsid w:val="002307E8"/>
    <w:rsid w:val="00230B56"/>
    <w:rsid w:val="00231EBA"/>
    <w:rsid w:val="00231F03"/>
    <w:rsid w:val="00231F5B"/>
    <w:rsid w:val="0023237B"/>
    <w:rsid w:val="00232E0C"/>
    <w:rsid w:val="002345AA"/>
    <w:rsid w:val="002368A4"/>
    <w:rsid w:val="00236B30"/>
    <w:rsid w:val="002373BB"/>
    <w:rsid w:val="002379E0"/>
    <w:rsid w:val="002415EA"/>
    <w:rsid w:val="0024161C"/>
    <w:rsid w:val="00243F43"/>
    <w:rsid w:val="00244778"/>
    <w:rsid w:val="0024679E"/>
    <w:rsid w:val="0025068D"/>
    <w:rsid w:val="00263435"/>
    <w:rsid w:val="00264597"/>
    <w:rsid w:val="00264EE0"/>
    <w:rsid w:val="00265083"/>
    <w:rsid w:val="00267891"/>
    <w:rsid w:val="002727C6"/>
    <w:rsid w:val="00273984"/>
    <w:rsid w:val="00274800"/>
    <w:rsid w:val="00277325"/>
    <w:rsid w:val="00277976"/>
    <w:rsid w:val="00280295"/>
    <w:rsid w:val="0028177E"/>
    <w:rsid w:val="00282156"/>
    <w:rsid w:val="00282A27"/>
    <w:rsid w:val="00283934"/>
    <w:rsid w:val="00283D6B"/>
    <w:rsid w:val="00283E13"/>
    <w:rsid w:val="00284F9A"/>
    <w:rsid w:val="00285829"/>
    <w:rsid w:val="00286021"/>
    <w:rsid w:val="00286AE6"/>
    <w:rsid w:val="00286F46"/>
    <w:rsid w:val="00290491"/>
    <w:rsid w:val="00294300"/>
    <w:rsid w:val="0029621A"/>
    <w:rsid w:val="002A04C6"/>
    <w:rsid w:val="002A096A"/>
    <w:rsid w:val="002A102F"/>
    <w:rsid w:val="002A2938"/>
    <w:rsid w:val="002A3415"/>
    <w:rsid w:val="002A4D03"/>
    <w:rsid w:val="002A62D4"/>
    <w:rsid w:val="002A6395"/>
    <w:rsid w:val="002A6906"/>
    <w:rsid w:val="002B0518"/>
    <w:rsid w:val="002B54B3"/>
    <w:rsid w:val="002B57DA"/>
    <w:rsid w:val="002B5A94"/>
    <w:rsid w:val="002C0678"/>
    <w:rsid w:val="002C10E1"/>
    <w:rsid w:val="002C28A4"/>
    <w:rsid w:val="002C2EE0"/>
    <w:rsid w:val="002C7253"/>
    <w:rsid w:val="002D0058"/>
    <w:rsid w:val="002D351B"/>
    <w:rsid w:val="002D427F"/>
    <w:rsid w:val="002D5927"/>
    <w:rsid w:val="002D6166"/>
    <w:rsid w:val="002D7349"/>
    <w:rsid w:val="002E1D26"/>
    <w:rsid w:val="002E38E7"/>
    <w:rsid w:val="002E3C58"/>
    <w:rsid w:val="002E4E20"/>
    <w:rsid w:val="002F0D20"/>
    <w:rsid w:val="002F4DFE"/>
    <w:rsid w:val="002F55BB"/>
    <w:rsid w:val="002F7FB4"/>
    <w:rsid w:val="003027B0"/>
    <w:rsid w:val="003037EE"/>
    <w:rsid w:val="00303934"/>
    <w:rsid w:val="003066DB"/>
    <w:rsid w:val="003069C1"/>
    <w:rsid w:val="003073F0"/>
    <w:rsid w:val="00307F91"/>
    <w:rsid w:val="003126A7"/>
    <w:rsid w:val="0031321A"/>
    <w:rsid w:val="00316B08"/>
    <w:rsid w:val="00316C8E"/>
    <w:rsid w:val="00320C04"/>
    <w:rsid w:val="00321481"/>
    <w:rsid w:val="003237A9"/>
    <w:rsid w:val="003267DA"/>
    <w:rsid w:val="00326D38"/>
    <w:rsid w:val="003277AE"/>
    <w:rsid w:val="00331A0D"/>
    <w:rsid w:val="0033381D"/>
    <w:rsid w:val="00334E83"/>
    <w:rsid w:val="00337BC3"/>
    <w:rsid w:val="00340062"/>
    <w:rsid w:val="003402AC"/>
    <w:rsid w:val="003402E1"/>
    <w:rsid w:val="003419FB"/>
    <w:rsid w:val="003437DB"/>
    <w:rsid w:val="00344951"/>
    <w:rsid w:val="00346BE5"/>
    <w:rsid w:val="00347BC0"/>
    <w:rsid w:val="00350C27"/>
    <w:rsid w:val="00351BE9"/>
    <w:rsid w:val="0035239E"/>
    <w:rsid w:val="0036082D"/>
    <w:rsid w:val="003618BA"/>
    <w:rsid w:val="00363854"/>
    <w:rsid w:val="003678A3"/>
    <w:rsid w:val="00367C56"/>
    <w:rsid w:val="00380727"/>
    <w:rsid w:val="00380EE5"/>
    <w:rsid w:val="00385962"/>
    <w:rsid w:val="003869C5"/>
    <w:rsid w:val="00390B89"/>
    <w:rsid w:val="00392211"/>
    <w:rsid w:val="00393747"/>
    <w:rsid w:val="00396C4D"/>
    <w:rsid w:val="003A3C6D"/>
    <w:rsid w:val="003B19E6"/>
    <w:rsid w:val="003B21A6"/>
    <w:rsid w:val="003B24EF"/>
    <w:rsid w:val="003B5567"/>
    <w:rsid w:val="003B6D36"/>
    <w:rsid w:val="003B7B41"/>
    <w:rsid w:val="003B7FB3"/>
    <w:rsid w:val="003C44C3"/>
    <w:rsid w:val="003D0DD4"/>
    <w:rsid w:val="003D0DD6"/>
    <w:rsid w:val="003D3E4F"/>
    <w:rsid w:val="003D46EE"/>
    <w:rsid w:val="003D68C6"/>
    <w:rsid w:val="003E0413"/>
    <w:rsid w:val="003E2D94"/>
    <w:rsid w:val="003E3C18"/>
    <w:rsid w:val="003E47D8"/>
    <w:rsid w:val="003E47EC"/>
    <w:rsid w:val="003E6139"/>
    <w:rsid w:val="003E7D2C"/>
    <w:rsid w:val="003F4153"/>
    <w:rsid w:val="003F4BB1"/>
    <w:rsid w:val="003F6EE8"/>
    <w:rsid w:val="00400D3F"/>
    <w:rsid w:val="00402A3B"/>
    <w:rsid w:val="00403779"/>
    <w:rsid w:val="00403DC5"/>
    <w:rsid w:val="00403F55"/>
    <w:rsid w:val="00405F68"/>
    <w:rsid w:val="00406D34"/>
    <w:rsid w:val="004115C1"/>
    <w:rsid w:val="00413666"/>
    <w:rsid w:val="0041431A"/>
    <w:rsid w:val="00416D86"/>
    <w:rsid w:val="00423A8D"/>
    <w:rsid w:val="0042430C"/>
    <w:rsid w:val="00424983"/>
    <w:rsid w:val="00424BDE"/>
    <w:rsid w:val="0042621E"/>
    <w:rsid w:val="00431D10"/>
    <w:rsid w:val="004328C6"/>
    <w:rsid w:val="004329F3"/>
    <w:rsid w:val="0043494C"/>
    <w:rsid w:val="004362A4"/>
    <w:rsid w:val="004409F0"/>
    <w:rsid w:val="00440C2F"/>
    <w:rsid w:val="00443184"/>
    <w:rsid w:val="004441DC"/>
    <w:rsid w:val="00445225"/>
    <w:rsid w:val="00447275"/>
    <w:rsid w:val="00447D80"/>
    <w:rsid w:val="004511E2"/>
    <w:rsid w:val="00451ACF"/>
    <w:rsid w:val="00464FB5"/>
    <w:rsid w:val="00467908"/>
    <w:rsid w:val="00467B1E"/>
    <w:rsid w:val="00470D3F"/>
    <w:rsid w:val="00471BA0"/>
    <w:rsid w:val="00476ED8"/>
    <w:rsid w:val="0047772A"/>
    <w:rsid w:val="00482AE6"/>
    <w:rsid w:val="004843DB"/>
    <w:rsid w:val="00484ACF"/>
    <w:rsid w:val="0048762B"/>
    <w:rsid w:val="00490BA9"/>
    <w:rsid w:val="0049211F"/>
    <w:rsid w:val="00493365"/>
    <w:rsid w:val="004948DE"/>
    <w:rsid w:val="00495256"/>
    <w:rsid w:val="00496027"/>
    <w:rsid w:val="004964F3"/>
    <w:rsid w:val="00497891"/>
    <w:rsid w:val="004A1A15"/>
    <w:rsid w:val="004A32DB"/>
    <w:rsid w:val="004A6F46"/>
    <w:rsid w:val="004A769B"/>
    <w:rsid w:val="004B0A81"/>
    <w:rsid w:val="004B1A25"/>
    <w:rsid w:val="004B288D"/>
    <w:rsid w:val="004B2D25"/>
    <w:rsid w:val="004B46CC"/>
    <w:rsid w:val="004B6C78"/>
    <w:rsid w:val="004B6FE4"/>
    <w:rsid w:val="004B725D"/>
    <w:rsid w:val="004C0750"/>
    <w:rsid w:val="004C0B72"/>
    <w:rsid w:val="004C180B"/>
    <w:rsid w:val="004C1903"/>
    <w:rsid w:val="004D04BD"/>
    <w:rsid w:val="004D0B45"/>
    <w:rsid w:val="004D35B3"/>
    <w:rsid w:val="004D4536"/>
    <w:rsid w:val="004D7318"/>
    <w:rsid w:val="004E2F27"/>
    <w:rsid w:val="004E34B4"/>
    <w:rsid w:val="004E3EDB"/>
    <w:rsid w:val="004E476E"/>
    <w:rsid w:val="004E4BFF"/>
    <w:rsid w:val="004E4DF1"/>
    <w:rsid w:val="004E56D4"/>
    <w:rsid w:val="004E5F5B"/>
    <w:rsid w:val="004E66A0"/>
    <w:rsid w:val="004E6FE3"/>
    <w:rsid w:val="004F7008"/>
    <w:rsid w:val="00502A44"/>
    <w:rsid w:val="00503E32"/>
    <w:rsid w:val="00507A07"/>
    <w:rsid w:val="005111E1"/>
    <w:rsid w:val="00513146"/>
    <w:rsid w:val="0051560C"/>
    <w:rsid w:val="00515CEB"/>
    <w:rsid w:val="0052358E"/>
    <w:rsid w:val="005236C8"/>
    <w:rsid w:val="00523B56"/>
    <w:rsid w:val="00524EB2"/>
    <w:rsid w:val="005250D4"/>
    <w:rsid w:val="0052636A"/>
    <w:rsid w:val="00526B54"/>
    <w:rsid w:val="0053039F"/>
    <w:rsid w:val="00531471"/>
    <w:rsid w:val="00531E88"/>
    <w:rsid w:val="00532B5A"/>
    <w:rsid w:val="00532E20"/>
    <w:rsid w:val="005360C0"/>
    <w:rsid w:val="00542232"/>
    <w:rsid w:val="00544AB7"/>
    <w:rsid w:val="00545D4B"/>
    <w:rsid w:val="005553B8"/>
    <w:rsid w:val="00557597"/>
    <w:rsid w:val="00557833"/>
    <w:rsid w:val="00564419"/>
    <w:rsid w:val="00565197"/>
    <w:rsid w:val="0056708B"/>
    <w:rsid w:val="005672F5"/>
    <w:rsid w:val="00567701"/>
    <w:rsid w:val="00571380"/>
    <w:rsid w:val="00571937"/>
    <w:rsid w:val="00573CC0"/>
    <w:rsid w:val="005741F4"/>
    <w:rsid w:val="00574A93"/>
    <w:rsid w:val="0057700F"/>
    <w:rsid w:val="00577B1B"/>
    <w:rsid w:val="00577F45"/>
    <w:rsid w:val="0058482B"/>
    <w:rsid w:val="00584EEF"/>
    <w:rsid w:val="005911CB"/>
    <w:rsid w:val="00594B8D"/>
    <w:rsid w:val="005A20DE"/>
    <w:rsid w:val="005A4EDF"/>
    <w:rsid w:val="005A5CC0"/>
    <w:rsid w:val="005A5D8E"/>
    <w:rsid w:val="005A61B4"/>
    <w:rsid w:val="005C0414"/>
    <w:rsid w:val="005C2320"/>
    <w:rsid w:val="005C49DD"/>
    <w:rsid w:val="005C7CC6"/>
    <w:rsid w:val="005D17A7"/>
    <w:rsid w:val="005D4C9B"/>
    <w:rsid w:val="005D6FA3"/>
    <w:rsid w:val="005E10C1"/>
    <w:rsid w:val="005E4512"/>
    <w:rsid w:val="005E4CF6"/>
    <w:rsid w:val="005F2C6B"/>
    <w:rsid w:val="005F4937"/>
    <w:rsid w:val="005F5A14"/>
    <w:rsid w:val="00600AF4"/>
    <w:rsid w:val="00601125"/>
    <w:rsid w:val="00602026"/>
    <w:rsid w:val="00605224"/>
    <w:rsid w:val="00606CD2"/>
    <w:rsid w:val="00606DEA"/>
    <w:rsid w:val="006071D8"/>
    <w:rsid w:val="006071E6"/>
    <w:rsid w:val="006106AF"/>
    <w:rsid w:val="00611697"/>
    <w:rsid w:val="00611E12"/>
    <w:rsid w:val="00613346"/>
    <w:rsid w:val="00613CC0"/>
    <w:rsid w:val="0061761D"/>
    <w:rsid w:val="006243F4"/>
    <w:rsid w:val="0062692D"/>
    <w:rsid w:val="00627B54"/>
    <w:rsid w:val="00627E68"/>
    <w:rsid w:val="00631891"/>
    <w:rsid w:val="0063466F"/>
    <w:rsid w:val="0063500F"/>
    <w:rsid w:val="00641920"/>
    <w:rsid w:val="00641D7B"/>
    <w:rsid w:val="00642051"/>
    <w:rsid w:val="006426CF"/>
    <w:rsid w:val="00644DE4"/>
    <w:rsid w:val="006472FB"/>
    <w:rsid w:val="00653965"/>
    <w:rsid w:val="006543B2"/>
    <w:rsid w:val="006572D9"/>
    <w:rsid w:val="00662F5A"/>
    <w:rsid w:val="00665A6A"/>
    <w:rsid w:val="00665E37"/>
    <w:rsid w:val="0066671B"/>
    <w:rsid w:val="00666EDF"/>
    <w:rsid w:val="00667288"/>
    <w:rsid w:val="006727CA"/>
    <w:rsid w:val="00673660"/>
    <w:rsid w:val="00673B4B"/>
    <w:rsid w:val="00673CA0"/>
    <w:rsid w:val="006747EB"/>
    <w:rsid w:val="00675EA8"/>
    <w:rsid w:val="00677A52"/>
    <w:rsid w:val="00680B80"/>
    <w:rsid w:val="006928C8"/>
    <w:rsid w:val="00692F3D"/>
    <w:rsid w:val="006958B8"/>
    <w:rsid w:val="00695A5E"/>
    <w:rsid w:val="00695F24"/>
    <w:rsid w:val="006A0BE1"/>
    <w:rsid w:val="006A2537"/>
    <w:rsid w:val="006A38CB"/>
    <w:rsid w:val="006A5605"/>
    <w:rsid w:val="006A576C"/>
    <w:rsid w:val="006A6B10"/>
    <w:rsid w:val="006B038A"/>
    <w:rsid w:val="006B146B"/>
    <w:rsid w:val="006B2060"/>
    <w:rsid w:val="006B32A5"/>
    <w:rsid w:val="006B4FE0"/>
    <w:rsid w:val="006B53D5"/>
    <w:rsid w:val="006B6475"/>
    <w:rsid w:val="006B7D00"/>
    <w:rsid w:val="006D25A6"/>
    <w:rsid w:val="006D4139"/>
    <w:rsid w:val="006D63AB"/>
    <w:rsid w:val="006D73C8"/>
    <w:rsid w:val="006E0762"/>
    <w:rsid w:val="006E07D7"/>
    <w:rsid w:val="006E4D1C"/>
    <w:rsid w:val="006F7587"/>
    <w:rsid w:val="006F7EE0"/>
    <w:rsid w:val="00704534"/>
    <w:rsid w:val="00704C7E"/>
    <w:rsid w:val="00705520"/>
    <w:rsid w:val="00706E88"/>
    <w:rsid w:val="00707D6C"/>
    <w:rsid w:val="00713A6C"/>
    <w:rsid w:val="00716887"/>
    <w:rsid w:val="00716AFE"/>
    <w:rsid w:val="00724B86"/>
    <w:rsid w:val="007254E5"/>
    <w:rsid w:val="00726A39"/>
    <w:rsid w:val="00727F4A"/>
    <w:rsid w:val="00732C8F"/>
    <w:rsid w:val="00736292"/>
    <w:rsid w:val="0073699C"/>
    <w:rsid w:val="00736CCC"/>
    <w:rsid w:val="00737805"/>
    <w:rsid w:val="0073791D"/>
    <w:rsid w:val="00737B7A"/>
    <w:rsid w:val="0074037C"/>
    <w:rsid w:val="007406A5"/>
    <w:rsid w:val="007409D6"/>
    <w:rsid w:val="0074219B"/>
    <w:rsid w:val="00742337"/>
    <w:rsid w:val="007439A7"/>
    <w:rsid w:val="00743B6F"/>
    <w:rsid w:val="00744DB1"/>
    <w:rsid w:val="00745CB2"/>
    <w:rsid w:val="007469B4"/>
    <w:rsid w:val="007471F9"/>
    <w:rsid w:val="0075081F"/>
    <w:rsid w:val="00754F9E"/>
    <w:rsid w:val="007578EB"/>
    <w:rsid w:val="00762451"/>
    <w:rsid w:val="00763232"/>
    <w:rsid w:val="007640EE"/>
    <w:rsid w:val="007651B0"/>
    <w:rsid w:val="00766802"/>
    <w:rsid w:val="00767BC3"/>
    <w:rsid w:val="00773927"/>
    <w:rsid w:val="00775869"/>
    <w:rsid w:val="00775E74"/>
    <w:rsid w:val="00776728"/>
    <w:rsid w:val="00776B90"/>
    <w:rsid w:val="00777488"/>
    <w:rsid w:val="00781BD1"/>
    <w:rsid w:val="007820BC"/>
    <w:rsid w:val="00787390"/>
    <w:rsid w:val="00791AE3"/>
    <w:rsid w:val="0079227F"/>
    <w:rsid w:val="00792CA5"/>
    <w:rsid w:val="00797DF5"/>
    <w:rsid w:val="007A210D"/>
    <w:rsid w:val="007A2DA8"/>
    <w:rsid w:val="007A40DB"/>
    <w:rsid w:val="007A44C1"/>
    <w:rsid w:val="007A621C"/>
    <w:rsid w:val="007A6282"/>
    <w:rsid w:val="007B2C66"/>
    <w:rsid w:val="007B5227"/>
    <w:rsid w:val="007B52BC"/>
    <w:rsid w:val="007C0450"/>
    <w:rsid w:val="007C7854"/>
    <w:rsid w:val="007C7FE7"/>
    <w:rsid w:val="007D00F7"/>
    <w:rsid w:val="007D0D0D"/>
    <w:rsid w:val="007D1D90"/>
    <w:rsid w:val="007D304C"/>
    <w:rsid w:val="007D3209"/>
    <w:rsid w:val="007D4563"/>
    <w:rsid w:val="007E3CB9"/>
    <w:rsid w:val="007E4A0D"/>
    <w:rsid w:val="007F0AF9"/>
    <w:rsid w:val="007F0EC6"/>
    <w:rsid w:val="007F4009"/>
    <w:rsid w:val="007F48AC"/>
    <w:rsid w:val="00802186"/>
    <w:rsid w:val="00805831"/>
    <w:rsid w:val="008063BF"/>
    <w:rsid w:val="00811D8B"/>
    <w:rsid w:val="00811F4F"/>
    <w:rsid w:val="00813471"/>
    <w:rsid w:val="00817470"/>
    <w:rsid w:val="008200C5"/>
    <w:rsid w:val="0082098D"/>
    <w:rsid w:val="00821CFF"/>
    <w:rsid w:val="00825EE3"/>
    <w:rsid w:val="0082694B"/>
    <w:rsid w:val="008272A6"/>
    <w:rsid w:val="00835DC6"/>
    <w:rsid w:val="008363CD"/>
    <w:rsid w:val="00836C3D"/>
    <w:rsid w:val="00841793"/>
    <w:rsid w:val="00843D5C"/>
    <w:rsid w:val="008456A0"/>
    <w:rsid w:val="00850DCC"/>
    <w:rsid w:val="008532CC"/>
    <w:rsid w:val="008546C6"/>
    <w:rsid w:val="00856969"/>
    <w:rsid w:val="00862BC1"/>
    <w:rsid w:val="00866ED8"/>
    <w:rsid w:val="008670FF"/>
    <w:rsid w:val="0086710A"/>
    <w:rsid w:val="00870FC5"/>
    <w:rsid w:val="00872868"/>
    <w:rsid w:val="008734EF"/>
    <w:rsid w:val="00876055"/>
    <w:rsid w:val="00880E32"/>
    <w:rsid w:val="008901D6"/>
    <w:rsid w:val="008928FB"/>
    <w:rsid w:val="008941AA"/>
    <w:rsid w:val="008955D8"/>
    <w:rsid w:val="0089603D"/>
    <w:rsid w:val="008970DF"/>
    <w:rsid w:val="008A24ED"/>
    <w:rsid w:val="008A5231"/>
    <w:rsid w:val="008A6F7A"/>
    <w:rsid w:val="008B0E84"/>
    <w:rsid w:val="008C1958"/>
    <w:rsid w:val="008C1E67"/>
    <w:rsid w:val="008C3202"/>
    <w:rsid w:val="008C3B6B"/>
    <w:rsid w:val="008C46DF"/>
    <w:rsid w:val="008C5531"/>
    <w:rsid w:val="008C5700"/>
    <w:rsid w:val="008C6E3A"/>
    <w:rsid w:val="008D205C"/>
    <w:rsid w:val="008D229C"/>
    <w:rsid w:val="008D3058"/>
    <w:rsid w:val="008D3A5D"/>
    <w:rsid w:val="008D4493"/>
    <w:rsid w:val="008D46BA"/>
    <w:rsid w:val="008D4B2B"/>
    <w:rsid w:val="008D4C4F"/>
    <w:rsid w:val="008D76A8"/>
    <w:rsid w:val="008E2419"/>
    <w:rsid w:val="008E24B0"/>
    <w:rsid w:val="008E3F29"/>
    <w:rsid w:val="008E4D69"/>
    <w:rsid w:val="008E50E5"/>
    <w:rsid w:val="008E6309"/>
    <w:rsid w:val="008F23D4"/>
    <w:rsid w:val="008F26D3"/>
    <w:rsid w:val="008F742B"/>
    <w:rsid w:val="00905A0E"/>
    <w:rsid w:val="00907062"/>
    <w:rsid w:val="00910E1A"/>
    <w:rsid w:val="00913CA2"/>
    <w:rsid w:val="00914B17"/>
    <w:rsid w:val="00916A57"/>
    <w:rsid w:val="00916F99"/>
    <w:rsid w:val="00920131"/>
    <w:rsid w:val="00922CD6"/>
    <w:rsid w:val="009253FB"/>
    <w:rsid w:val="00926AD4"/>
    <w:rsid w:val="009316DE"/>
    <w:rsid w:val="00931FE0"/>
    <w:rsid w:val="0093277F"/>
    <w:rsid w:val="00933E9E"/>
    <w:rsid w:val="00934922"/>
    <w:rsid w:val="00934B56"/>
    <w:rsid w:val="00935628"/>
    <w:rsid w:val="00935A88"/>
    <w:rsid w:val="0094283B"/>
    <w:rsid w:val="00945CE2"/>
    <w:rsid w:val="009463A5"/>
    <w:rsid w:val="00946C15"/>
    <w:rsid w:val="00953F7C"/>
    <w:rsid w:val="009559A7"/>
    <w:rsid w:val="0095612F"/>
    <w:rsid w:val="00960169"/>
    <w:rsid w:val="0096272F"/>
    <w:rsid w:val="00962889"/>
    <w:rsid w:val="00967331"/>
    <w:rsid w:val="009704A4"/>
    <w:rsid w:val="00977CE2"/>
    <w:rsid w:val="0098003D"/>
    <w:rsid w:val="00985A78"/>
    <w:rsid w:val="009910BA"/>
    <w:rsid w:val="00991FA9"/>
    <w:rsid w:val="009951F7"/>
    <w:rsid w:val="009A7619"/>
    <w:rsid w:val="009B0F73"/>
    <w:rsid w:val="009B136F"/>
    <w:rsid w:val="009B3A31"/>
    <w:rsid w:val="009B3AB7"/>
    <w:rsid w:val="009B4034"/>
    <w:rsid w:val="009B75EA"/>
    <w:rsid w:val="009C1485"/>
    <w:rsid w:val="009C2B5B"/>
    <w:rsid w:val="009C72F9"/>
    <w:rsid w:val="009D1172"/>
    <w:rsid w:val="009D1535"/>
    <w:rsid w:val="009D2786"/>
    <w:rsid w:val="009D52A1"/>
    <w:rsid w:val="009D78CC"/>
    <w:rsid w:val="009E1B64"/>
    <w:rsid w:val="009E3A0C"/>
    <w:rsid w:val="009E3DAB"/>
    <w:rsid w:val="009E7C7D"/>
    <w:rsid w:val="00A11966"/>
    <w:rsid w:val="00A13136"/>
    <w:rsid w:val="00A14357"/>
    <w:rsid w:val="00A15392"/>
    <w:rsid w:val="00A17F43"/>
    <w:rsid w:val="00A240A4"/>
    <w:rsid w:val="00A26122"/>
    <w:rsid w:val="00A26C12"/>
    <w:rsid w:val="00A272C3"/>
    <w:rsid w:val="00A3584E"/>
    <w:rsid w:val="00A36014"/>
    <w:rsid w:val="00A37FA4"/>
    <w:rsid w:val="00A40966"/>
    <w:rsid w:val="00A4283B"/>
    <w:rsid w:val="00A43FE0"/>
    <w:rsid w:val="00A4406C"/>
    <w:rsid w:val="00A4711D"/>
    <w:rsid w:val="00A533B2"/>
    <w:rsid w:val="00A552E8"/>
    <w:rsid w:val="00A6515D"/>
    <w:rsid w:val="00A65694"/>
    <w:rsid w:val="00A701E7"/>
    <w:rsid w:val="00A7137A"/>
    <w:rsid w:val="00A743DC"/>
    <w:rsid w:val="00A75371"/>
    <w:rsid w:val="00A756A8"/>
    <w:rsid w:val="00A75B3A"/>
    <w:rsid w:val="00A75EA1"/>
    <w:rsid w:val="00A76F6E"/>
    <w:rsid w:val="00A81452"/>
    <w:rsid w:val="00A815A3"/>
    <w:rsid w:val="00A82B07"/>
    <w:rsid w:val="00A86A02"/>
    <w:rsid w:val="00A902BF"/>
    <w:rsid w:val="00A90399"/>
    <w:rsid w:val="00A90AF5"/>
    <w:rsid w:val="00A93D38"/>
    <w:rsid w:val="00A967F1"/>
    <w:rsid w:val="00A9688C"/>
    <w:rsid w:val="00A96897"/>
    <w:rsid w:val="00A96D7B"/>
    <w:rsid w:val="00A979BB"/>
    <w:rsid w:val="00AA1585"/>
    <w:rsid w:val="00AA1F45"/>
    <w:rsid w:val="00AA22E3"/>
    <w:rsid w:val="00AA44A4"/>
    <w:rsid w:val="00AA4FDA"/>
    <w:rsid w:val="00AB0814"/>
    <w:rsid w:val="00AB48C4"/>
    <w:rsid w:val="00AB6504"/>
    <w:rsid w:val="00AC06AF"/>
    <w:rsid w:val="00AC150D"/>
    <w:rsid w:val="00AC2522"/>
    <w:rsid w:val="00AC2C16"/>
    <w:rsid w:val="00AC455E"/>
    <w:rsid w:val="00AD0F38"/>
    <w:rsid w:val="00AD195C"/>
    <w:rsid w:val="00AD45C6"/>
    <w:rsid w:val="00AD494D"/>
    <w:rsid w:val="00AD5CF1"/>
    <w:rsid w:val="00AD61CC"/>
    <w:rsid w:val="00AD628C"/>
    <w:rsid w:val="00AD63FE"/>
    <w:rsid w:val="00AD72D3"/>
    <w:rsid w:val="00AD78FC"/>
    <w:rsid w:val="00AE1161"/>
    <w:rsid w:val="00AE3E7F"/>
    <w:rsid w:val="00AE45A1"/>
    <w:rsid w:val="00AF053C"/>
    <w:rsid w:val="00AF2697"/>
    <w:rsid w:val="00AF611C"/>
    <w:rsid w:val="00B0044C"/>
    <w:rsid w:val="00B01748"/>
    <w:rsid w:val="00B01F62"/>
    <w:rsid w:val="00B050FE"/>
    <w:rsid w:val="00B0719B"/>
    <w:rsid w:val="00B11354"/>
    <w:rsid w:val="00B1347C"/>
    <w:rsid w:val="00B17318"/>
    <w:rsid w:val="00B21B97"/>
    <w:rsid w:val="00B21FBC"/>
    <w:rsid w:val="00B235FE"/>
    <w:rsid w:val="00B2436F"/>
    <w:rsid w:val="00B24BB7"/>
    <w:rsid w:val="00B24BEF"/>
    <w:rsid w:val="00B250B2"/>
    <w:rsid w:val="00B26A62"/>
    <w:rsid w:val="00B26EC1"/>
    <w:rsid w:val="00B33114"/>
    <w:rsid w:val="00B34C12"/>
    <w:rsid w:val="00B42E52"/>
    <w:rsid w:val="00B42F7A"/>
    <w:rsid w:val="00B4406D"/>
    <w:rsid w:val="00B52BAE"/>
    <w:rsid w:val="00B549B9"/>
    <w:rsid w:val="00B54E47"/>
    <w:rsid w:val="00B55366"/>
    <w:rsid w:val="00B5571C"/>
    <w:rsid w:val="00B55733"/>
    <w:rsid w:val="00B60C0A"/>
    <w:rsid w:val="00B60D9E"/>
    <w:rsid w:val="00B6132A"/>
    <w:rsid w:val="00B61392"/>
    <w:rsid w:val="00B64966"/>
    <w:rsid w:val="00B66F9A"/>
    <w:rsid w:val="00B670AA"/>
    <w:rsid w:val="00B67513"/>
    <w:rsid w:val="00B72B81"/>
    <w:rsid w:val="00B7345D"/>
    <w:rsid w:val="00B73BDF"/>
    <w:rsid w:val="00B76099"/>
    <w:rsid w:val="00B86240"/>
    <w:rsid w:val="00B90E8B"/>
    <w:rsid w:val="00B9570B"/>
    <w:rsid w:val="00B963A3"/>
    <w:rsid w:val="00B96BA9"/>
    <w:rsid w:val="00BA0166"/>
    <w:rsid w:val="00BA141D"/>
    <w:rsid w:val="00BA1EC9"/>
    <w:rsid w:val="00BA5E64"/>
    <w:rsid w:val="00BA6491"/>
    <w:rsid w:val="00BA6A29"/>
    <w:rsid w:val="00BA7031"/>
    <w:rsid w:val="00BB1397"/>
    <w:rsid w:val="00BB2A60"/>
    <w:rsid w:val="00BB2D15"/>
    <w:rsid w:val="00BB5CE6"/>
    <w:rsid w:val="00BC1E32"/>
    <w:rsid w:val="00BC2CAD"/>
    <w:rsid w:val="00BD265A"/>
    <w:rsid w:val="00BD2E34"/>
    <w:rsid w:val="00BD2EB5"/>
    <w:rsid w:val="00BD43EC"/>
    <w:rsid w:val="00BD5FFA"/>
    <w:rsid w:val="00BD60E2"/>
    <w:rsid w:val="00BE423D"/>
    <w:rsid w:val="00BE5986"/>
    <w:rsid w:val="00BE731E"/>
    <w:rsid w:val="00BF5297"/>
    <w:rsid w:val="00C1051F"/>
    <w:rsid w:val="00C10A08"/>
    <w:rsid w:val="00C1652F"/>
    <w:rsid w:val="00C1694A"/>
    <w:rsid w:val="00C17967"/>
    <w:rsid w:val="00C20519"/>
    <w:rsid w:val="00C22703"/>
    <w:rsid w:val="00C27514"/>
    <w:rsid w:val="00C30446"/>
    <w:rsid w:val="00C3405F"/>
    <w:rsid w:val="00C35F8B"/>
    <w:rsid w:val="00C40317"/>
    <w:rsid w:val="00C40B21"/>
    <w:rsid w:val="00C419D8"/>
    <w:rsid w:val="00C4239E"/>
    <w:rsid w:val="00C45363"/>
    <w:rsid w:val="00C51274"/>
    <w:rsid w:val="00C5294E"/>
    <w:rsid w:val="00C55423"/>
    <w:rsid w:val="00C5568E"/>
    <w:rsid w:val="00C5659F"/>
    <w:rsid w:val="00C56978"/>
    <w:rsid w:val="00C73A3F"/>
    <w:rsid w:val="00C76226"/>
    <w:rsid w:val="00C77757"/>
    <w:rsid w:val="00C8038A"/>
    <w:rsid w:val="00C82052"/>
    <w:rsid w:val="00C83628"/>
    <w:rsid w:val="00C8493A"/>
    <w:rsid w:val="00C85189"/>
    <w:rsid w:val="00C87AF0"/>
    <w:rsid w:val="00C90FFC"/>
    <w:rsid w:val="00C958B5"/>
    <w:rsid w:val="00C96569"/>
    <w:rsid w:val="00C96C5E"/>
    <w:rsid w:val="00CA1205"/>
    <w:rsid w:val="00CA1ADB"/>
    <w:rsid w:val="00CA2026"/>
    <w:rsid w:val="00CA555A"/>
    <w:rsid w:val="00CA77B9"/>
    <w:rsid w:val="00CB5D0F"/>
    <w:rsid w:val="00CC0B44"/>
    <w:rsid w:val="00CC277D"/>
    <w:rsid w:val="00CC3697"/>
    <w:rsid w:val="00CC4BD6"/>
    <w:rsid w:val="00CC7833"/>
    <w:rsid w:val="00CD0532"/>
    <w:rsid w:val="00CD2997"/>
    <w:rsid w:val="00CD3FB8"/>
    <w:rsid w:val="00CD4493"/>
    <w:rsid w:val="00CD4F79"/>
    <w:rsid w:val="00CD558A"/>
    <w:rsid w:val="00CD5CA7"/>
    <w:rsid w:val="00CD69CE"/>
    <w:rsid w:val="00CE0148"/>
    <w:rsid w:val="00CE11CD"/>
    <w:rsid w:val="00CE212E"/>
    <w:rsid w:val="00CE231C"/>
    <w:rsid w:val="00CE63F8"/>
    <w:rsid w:val="00CE784F"/>
    <w:rsid w:val="00CF2501"/>
    <w:rsid w:val="00CF447C"/>
    <w:rsid w:val="00CF4480"/>
    <w:rsid w:val="00CF5666"/>
    <w:rsid w:val="00CF5907"/>
    <w:rsid w:val="00CF5C00"/>
    <w:rsid w:val="00CF76EC"/>
    <w:rsid w:val="00D00A19"/>
    <w:rsid w:val="00D01AC4"/>
    <w:rsid w:val="00D06852"/>
    <w:rsid w:val="00D14039"/>
    <w:rsid w:val="00D24BC5"/>
    <w:rsid w:val="00D34939"/>
    <w:rsid w:val="00D35540"/>
    <w:rsid w:val="00D357ED"/>
    <w:rsid w:val="00D409B4"/>
    <w:rsid w:val="00D44AC1"/>
    <w:rsid w:val="00D476DB"/>
    <w:rsid w:val="00D51AE7"/>
    <w:rsid w:val="00D51B9E"/>
    <w:rsid w:val="00D533F2"/>
    <w:rsid w:val="00D54638"/>
    <w:rsid w:val="00D572FC"/>
    <w:rsid w:val="00D5797C"/>
    <w:rsid w:val="00D57C53"/>
    <w:rsid w:val="00D61470"/>
    <w:rsid w:val="00D617AE"/>
    <w:rsid w:val="00D633B1"/>
    <w:rsid w:val="00D64AE5"/>
    <w:rsid w:val="00D656C5"/>
    <w:rsid w:val="00D65CEE"/>
    <w:rsid w:val="00D6698A"/>
    <w:rsid w:val="00D66CB6"/>
    <w:rsid w:val="00D67EFF"/>
    <w:rsid w:val="00D7058A"/>
    <w:rsid w:val="00D70F8D"/>
    <w:rsid w:val="00D7666C"/>
    <w:rsid w:val="00D84A1A"/>
    <w:rsid w:val="00D84E34"/>
    <w:rsid w:val="00D86709"/>
    <w:rsid w:val="00D8761C"/>
    <w:rsid w:val="00D9029F"/>
    <w:rsid w:val="00D960D8"/>
    <w:rsid w:val="00D964F5"/>
    <w:rsid w:val="00D97022"/>
    <w:rsid w:val="00DA013F"/>
    <w:rsid w:val="00DA1291"/>
    <w:rsid w:val="00DA3257"/>
    <w:rsid w:val="00DA7267"/>
    <w:rsid w:val="00DB01A1"/>
    <w:rsid w:val="00DB236C"/>
    <w:rsid w:val="00DB2E2C"/>
    <w:rsid w:val="00DB3623"/>
    <w:rsid w:val="00DB5100"/>
    <w:rsid w:val="00DC4E07"/>
    <w:rsid w:val="00DC689C"/>
    <w:rsid w:val="00DD141B"/>
    <w:rsid w:val="00DD21AD"/>
    <w:rsid w:val="00DD38DD"/>
    <w:rsid w:val="00DD3BF2"/>
    <w:rsid w:val="00DE3C37"/>
    <w:rsid w:val="00DE465C"/>
    <w:rsid w:val="00DE53B6"/>
    <w:rsid w:val="00DE551C"/>
    <w:rsid w:val="00DE61F3"/>
    <w:rsid w:val="00DE69D3"/>
    <w:rsid w:val="00DE69F5"/>
    <w:rsid w:val="00DE7621"/>
    <w:rsid w:val="00DF2792"/>
    <w:rsid w:val="00DF3BEB"/>
    <w:rsid w:val="00DF7D4A"/>
    <w:rsid w:val="00E0016E"/>
    <w:rsid w:val="00E0030A"/>
    <w:rsid w:val="00E01FB5"/>
    <w:rsid w:val="00E0232D"/>
    <w:rsid w:val="00E02963"/>
    <w:rsid w:val="00E03A1D"/>
    <w:rsid w:val="00E04E1E"/>
    <w:rsid w:val="00E056D9"/>
    <w:rsid w:val="00E07734"/>
    <w:rsid w:val="00E10441"/>
    <w:rsid w:val="00E14B55"/>
    <w:rsid w:val="00E20387"/>
    <w:rsid w:val="00E21FA7"/>
    <w:rsid w:val="00E226BA"/>
    <w:rsid w:val="00E231F4"/>
    <w:rsid w:val="00E232D1"/>
    <w:rsid w:val="00E270DB"/>
    <w:rsid w:val="00E271FB"/>
    <w:rsid w:val="00E27AFC"/>
    <w:rsid w:val="00E30991"/>
    <w:rsid w:val="00E33115"/>
    <w:rsid w:val="00E33BB8"/>
    <w:rsid w:val="00E33D0D"/>
    <w:rsid w:val="00E35FC2"/>
    <w:rsid w:val="00E3682D"/>
    <w:rsid w:val="00E37C2B"/>
    <w:rsid w:val="00E51617"/>
    <w:rsid w:val="00E53471"/>
    <w:rsid w:val="00E5614F"/>
    <w:rsid w:val="00E5741F"/>
    <w:rsid w:val="00E60C55"/>
    <w:rsid w:val="00E61E35"/>
    <w:rsid w:val="00E62425"/>
    <w:rsid w:val="00E649D6"/>
    <w:rsid w:val="00E64FAA"/>
    <w:rsid w:val="00E67F75"/>
    <w:rsid w:val="00E70200"/>
    <w:rsid w:val="00E73565"/>
    <w:rsid w:val="00E738EC"/>
    <w:rsid w:val="00E73A9E"/>
    <w:rsid w:val="00E752D9"/>
    <w:rsid w:val="00E7594C"/>
    <w:rsid w:val="00E761E0"/>
    <w:rsid w:val="00E7665F"/>
    <w:rsid w:val="00E76A2F"/>
    <w:rsid w:val="00E80E7A"/>
    <w:rsid w:val="00E81CC7"/>
    <w:rsid w:val="00E82692"/>
    <w:rsid w:val="00E86B75"/>
    <w:rsid w:val="00E87ADA"/>
    <w:rsid w:val="00E95CE5"/>
    <w:rsid w:val="00EA48CD"/>
    <w:rsid w:val="00EA5713"/>
    <w:rsid w:val="00EA6076"/>
    <w:rsid w:val="00EB021D"/>
    <w:rsid w:val="00EB3309"/>
    <w:rsid w:val="00EB3DEA"/>
    <w:rsid w:val="00EB5517"/>
    <w:rsid w:val="00EB7517"/>
    <w:rsid w:val="00EB7F67"/>
    <w:rsid w:val="00EC05D2"/>
    <w:rsid w:val="00EC0948"/>
    <w:rsid w:val="00EC2AD4"/>
    <w:rsid w:val="00EC2FE3"/>
    <w:rsid w:val="00EC4E7F"/>
    <w:rsid w:val="00EC6090"/>
    <w:rsid w:val="00EC7696"/>
    <w:rsid w:val="00ED0458"/>
    <w:rsid w:val="00ED398B"/>
    <w:rsid w:val="00ED5D2B"/>
    <w:rsid w:val="00ED6F54"/>
    <w:rsid w:val="00EE6BC2"/>
    <w:rsid w:val="00EF1953"/>
    <w:rsid w:val="00EF4E64"/>
    <w:rsid w:val="00EF6A1D"/>
    <w:rsid w:val="00F00404"/>
    <w:rsid w:val="00F05152"/>
    <w:rsid w:val="00F069F9"/>
    <w:rsid w:val="00F074ED"/>
    <w:rsid w:val="00F10165"/>
    <w:rsid w:val="00F111A7"/>
    <w:rsid w:val="00F137A6"/>
    <w:rsid w:val="00F1446B"/>
    <w:rsid w:val="00F14AF1"/>
    <w:rsid w:val="00F210C4"/>
    <w:rsid w:val="00F2526F"/>
    <w:rsid w:val="00F26C00"/>
    <w:rsid w:val="00F412DB"/>
    <w:rsid w:val="00F4272C"/>
    <w:rsid w:val="00F445A1"/>
    <w:rsid w:val="00F51403"/>
    <w:rsid w:val="00F56C41"/>
    <w:rsid w:val="00F61904"/>
    <w:rsid w:val="00F61B2B"/>
    <w:rsid w:val="00F61E95"/>
    <w:rsid w:val="00F624FD"/>
    <w:rsid w:val="00F64D7E"/>
    <w:rsid w:val="00F67A42"/>
    <w:rsid w:val="00F7094F"/>
    <w:rsid w:val="00F7558A"/>
    <w:rsid w:val="00F77BFC"/>
    <w:rsid w:val="00F80E69"/>
    <w:rsid w:val="00F81CBA"/>
    <w:rsid w:val="00F82D99"/>
    <w:rsid w:val="00F83183"/>
    <w:rsid w:val="00F8435F"/>
    <w:rsid w:val="00F8507C"/>
    <w:rsid w:val="00F85CA7"/>
    <w:rsid w:val="00F86B33"/>
    <w:rsid w:val="00F87C00"/>
    <w:rsid w:val="00F941A2"/>
    <w:rsid w:val="00F952AE"/>
    <w:rsid w:val="00F97AFF"/>
    <w:rsid w:val="00FA36CB"/>
    <w:rsid w:val="00FA49F2"/>
    <w:rsid w:val="00FB2F32"/>
    <w:rsid w:val="00FB41DC"/>
    <w:rsid w:val="00FB4BB6"/>
    <w:rsid w:val="00FB541E"/>
    <w:rsid w:val="00FB7C0B"/>
    <w:rsid w:val="00FC094A"/>
    <w:rsid w:val="00FC0B65"/>
    <w:rsid w:val="00FC2C34"/>
    <w:rsid w:val="00FC2DC8"/>
    <w:rsid w:val="00FC5894"/>
    <w:rsid w:val="00FC5DC7"/>
    <w:rsid w:val="00FC71E6"/>
    <w:rsid w:val="00FD0345"/>
    <w:rsid w:val="00FD180F"/>
    <w:rsid w:val="00FD1A41"/>
    <w:rsid w:val="00FE3EC5"/>
    <w:rsid w:val="00FE46F2"/>
    <w:rsid w:val="00FE4B33"/>
    <w:rsid w:val="00FE520F"/>
    <w:rsid w:val="00FE661D"/>
    <w:rsid w:val="00FE7CC3"/>
    <w:rsid w:val="00FF0BA3"/>
    <w:rsid w:val="00FF1045"/>
    <w:rsid w:val="00FF1902"/>
    <w:rsid w:val="00FF32DC"/>
    <w:rsid w:val="00FF6338"/>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unhideWhenUsed/>
    <w:rsid w:val="00A75B3A"/>
    <w:rPr>
      <w:sz w:val="20"/>
      <w:szCs w:val="20"/>
    </w:rPr>
  </w:style>
  <w:style w:type="character" w:customStyle="1" w:styleId="CommentTextChar">
    <w:name w:val="Comment Text Char"/>
    <w:basedOn w:val="DefaultParagraphFont"/>
    <w:link w:val="CommentText"/>
    <w:uiPriority w:val="99"/>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701"/>
    <w:rPr>
      <w:color w:val="0000FF" w:themeColor="hyperlink"/>
      <w:u w:val="single"/>
    </w:rPr>
  </w:style>
  <w:style w:type="character" w:styleId="FollowedHyperlink">
    <w:name w:val="FollowedHyperlink"/>
    <w:basedOn w:val="DefaultParagraphFont"/>
    <w:uiPriority w:val="99"/>
    <w:semiHidden/>
    <w:unhideWhenUsed/>
    <w:rsid w:val="004362A4"/>
    <w:rPr>
      <w:color w:val="800080" w:themeColor="followedHyperlink"/>
      <w:u w:val="single"/>
    </w:rPr>
  </w:style>
  <w:style w:type="table" w:styleId="TableGrid">
    <w:name w:val="Table Grid"/>
    <w:basedOn w:val="TableNormal"/>
    <w:uiPriority w:val="39"/>
    <w:rsid w:val="008E24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D73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color w:val="0563C1"/>
      <w:u w:val="single"/>
    </w:rPr>
  </w:style>
  <w:style w:type="paragraph" w:styleId="NormalWeb">
    <w:name w:val="Normal (Web)"/>
    <w:basedOn w:val="Normal"/>
    <w:uiPriority w:val="99"/>
    <w:semiHidden/>
    <w:unhideWhenUsed/>
    <w:rsid w:val="00045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357049468">
      <w:bodyDiv w:val="1"/>
      <w:marLeft w:val="0"/>
      <w:marRight w:val="0"/>
      <w:marTop w:val="0"/>
      <w:marBottom w:val="0"/>
      <w:divBdr>
        <w:top w:val="none" w:sz="0" w:space="0" w:color="auto"/>
        <w:left w:val="none" w:sz="0" w:space="0" w:color="auto"/>
        <w:bottom w:val="none" w:sz="0" w:space="0" w:color="auto"/>
        <w:right w:val="none" w:sz="0" w:space="0" w:color="auto"/>
      </w:divBdr>
    </w:div>
    <w:div w:id="394090342">
      <w:bodyDiv w:val="1"/>
      <w:marLeft w:val="0"/>
      <w:marRight w:val="0"/>
      <w:marTop w:val="0"/>
      <w:marBottom w:val="0"/>
      <w:divBdr>
        <w:top w:val="none" w:sz="0" w:space="0" w:color="auto"/>
        <w:left w:val="none" w:sz="0" w:space="0" w:color="auto"/>
        <w:bottom w:val="none" w:sz="0" w:space="0" w:color="auto"/>
        <w:right w:val="none" w:sz="0" w:space="0" w:color="auto"/>
      </w:divBdr>
    </w:div>
    <w:div w:id="421532741">
      <w:bodyDiv w:val="1"/>
      <w:marLeft w:val="0"/>
      <w:marRight w:val="0"/>
      <w:marTop w:val="0"/>
      <w:marBottom w:val="0"/>
      <w:divBdr>
        <w:top w:val="none" w:sz="0" w:space="0" w:color="auto"/>
        <w:left w:val="none" w:sz="0" w:space="0" w:color="auto"/>
        <w:bottom w:val="none" w:sz="0" w:space="0" w:color="auto"/>
        <w:right w:val="none" w:sz="0" w:space="0" w:color="auto"/>
      </w:divBdr>
    </w:div>
    <w:div w:id="473640300">
      <w:bodyDiv w:val="1"/>
      <w:marLeft w:val="0"/>
      <w:marRight w:val="0"/>
      <w:marTop w:val="0"/>
      <w:marBottom w:val="0"/>
      <w:divBdr>
        <w:top w:val="none" w:sz="0" w:space="0" w:color="auto"/>
        <w:left w:val="none" w:sz="0" w:space="0" w:color="auto"/>
        <w:bottom w:val="none" w:sz="0" w:space="0" w:color="auto"/>
        <w:right w:val="none" w:sz="0" w:space="0" w:color="auto"/>
      </w:divBdr>
    </w:div>
    <w:div w:id="593440492">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726031540">
      <w:bodyDiv w:val="1"/>
      <w:marLeft w:val="0"/>
      <w:marRight w:val="0"/>
      <w:marTop w:val="0"/>
      <w:marBottom w:val="0"/>
      <w:divBdr>
        <w:top w:val="none" w:sz="0" w:space="0" w:color="auto"/>
        <w:left w:val="none" w:sz="0" w:space="0" w:color="auto"/>
        <w:bottom w:val="none" w:sz="0" w:space="0" w:color="auto"/>
        <w:right w:val="none" w:sz="0" w:space="0" w:color="auto"/>
      </w:divBdr>
    </w:div>
    <w:div w:id="787429835">
      <w:bodyDiv w:val="1"/>
      <w:marLeft w:val="0"/>
      <w:marRight w:val="0"/>
      <w:marTop w:val="0"/>
      <w:marBottom w:val="0"/>
      <w:divBdr>
        <w:top w:val="none" w:sz="0" w:space="0" w:color="auto"/>
        <w:left w:val="none" w:sz="0" w:space="0" w:color="auto"/>
        <w:bottom w:val="none" w:sz="0" w:space="0" w:color="auto"/>
        <w:right w:val="none" w:sz="0" w:space="0" w:color="auto"/>
      </w:divBdr>
      <w:divsChild>
        <w:div w:id="1337683226">
          <w:marLeft w:val="0"/>
          <w:marRight w:val="0"/>
          <w:marTop w:val="0"/>
          <w:marBottom w:val="0"/>
          <w:divBdr>
            <w:top w:val="none" w:sz="0" w:space="0" w:color="auto"/>
            <w:left w:val="none" w:sz="0" w:space="0" w:color="auto"/>
            <w:bottom w:val="none" w:sz="0" w:space="0" w:color="auto"/>
            <w:right w:val="none" w:sz="0" w:space="0" w:color="auto"/>
          </w:divBdr>
          <w:divsChild>
            <w:div w:id="1648778415">
              <w:marLeft w:val="0"/>
              <w:marRight w:val="0"/>
              <w:marTop w:val="0"/>
              <w:marBottom w:val="0"/>
              <w:divBdr>
                <w:top w:val="none" w:sz="0" w:space="0" w:color="auto"/>
                <w:left w:val="none" w:sz="0" w:space="0" w:color="auto"/>
                <w:bottom w:val="none" w:sz="0" w:space="0" w:color="auto"/>
                <w:right w:val="none" w:sz="0" w:space="0" w:color="auto"/>
              </w:divBdr>
              <w:divsChild>
                <w:div w:id="1182545189">
                  <w:marLeft w:val="0"/>
                  <w:marRight w:val="0"/>
                  <w:marTop w:val="0"/>
                  <w:marBottom w:val="0"/>
                  <w:divBdr>
                    <w:top w:val="none" w:sz="0" w:space="0" w:color="auto"/>
                    <w:left w:val="none" w:sz="0" w:space="0" w:color="auto"/>
                    <w:bottom w:val="none" w:sz="0" w:space="0" w:color="auto"/>
                    <w:right w:val="none" w:sz="0" w:space="0" w:color="auto"/>
                  </w:divBdr>
                  <w:divsChild>
                    <w:div w:id="2076320692">
                      <w:marLeft w:val="0"/>
                      <w:marRight w:val="0"/>
                      <w:marTop w:val="0"/>
                      <w:marBottom w:val="0"/>
                      <w:divBdr>
                        <w:top w:val="none" w:sz="0" w:space="0" w:color="auto"/>
                        <w:left w:val="none" w:sz="0" w:space="0" w:color="auto"/>
                        <w:bottom w:val="none" w:sz="0" w:space="0" w:color="auto"/>
                        <w:right w:val="none" w:sz="0" w:space="0" w:color="auto"/>
                      </w:divBdr>
                      <w:divsChild>
                        <w:div w:id="141314388">
                          <w:marLeft w:val="0"/>
                          <w:marRight w:val="0"/>
                          <w:marTop w:val="0"/>
                          <w:marBottom w:val="0"/>
                          <w:divBdr>
                            <w:top w:val="none" w:sz="0" w:space="0" w:color="auto"/>
                            <w:left w:val="none" w:sz="0" w:space="0" w:color="auto"/>
                            <w:bottom w:val="none" w:sz="0" w:space="0" w:color="auto"/>
                            <w:right w:val="none" w:sz="0" w:space="0" w:color="auto"/>
                          </w:divBdr>
                          <w:divsChild>
                            <w:div w:id="211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5676">
      <w:bodyDiv w:val="1"/>
      <w:marLeft w:val="0"/>
      <w:marRight w:val="0"/>
      <w:marTop w:val="0"/>
      <w:marBottom w:val="0"/>
      <w:divBdr>
        <w:top w:val="none" w:sz="0" w:space="0" w:color="auto"/>
        <w:left w:val="none" w:sz="0" w:space="0" w:color="auto"/>
        <w:bottom w:val="none" w:sz="0" w:space="0" w:color="auto"/>
        <w:right w:val="none" w:sz="0" w:space="0" w:color="auto"/>
      </w:divBdr>
    </w:div>
    <w:div w:id="1065374686">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082995648">
      <w:bodyDiv w:val="1"/>
      <w:marLeft w:val="0"/>
      <w:marRight w:val="0"/>
      <w:marTop w:val="0"/>
      <w:marBottom w:val="0"/>
      <w:divBdr>
        <w:top w:val="none" w:sz="0" w:space="0" w:color="auto"/>
        <w:left w:val="none" w:sz="0" w:space="0" w:color="auto"/>
        <w:bottom w:val="none" w:sz="0" w:space="0" w:color="auto"/>
        <w:right w:val="none" w:sz="0" w:space="0" w:color="auto"/>
      </w:divBdr>
    </w:div>
    <w:div w:id="1108817820">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167088270">
      <w:bodyDiv w:val="1"/>
      <w:marLeft w:val="0"/>
      <w:marRight w:val="0"/>
      <w:marTop w:val="0"/>
      <w:marBottom w:val="0"/>
      <w:divBdr>
        <w:top w:val="none" w:sz="0" w:space="0" w:color="auto"/>
        <w:left w:val="none" w:sz="0" w:space="0" w:color="auto"/>
        <w:bottom w:val="none" w:sz="0" w:space="0" w:color="auto"/>
        <w:right w:val="none" w:sz="0" w:space="0" w:color="auto"/>
      </w:divBdr>
    </w:div>
    <w:div w:id="120948673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0127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91</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D8A896D3-F1C0-47DF-84FD-01D246966911}">
  <ds:schemaRef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purl.org/dc/elements/1.1/"/>
    <ds:schemaRef ds:uri="http://schemas.microsoft.com/office/2006/documentManagement/types"/>
    <ds:schemaRef ds:uri="2e5bb04e-596e-45bd-9003-43ca78b1ba16"/>
  </ds:schemaRefs>
</ds:datastoreItem>
</file>

<file path=customXml/itemProps3.xml><?xml version="1.0" encoding="utf-8"?>
<ds:datastoreItem xmlns:ds="http://schemas.openxmlformats.org/officeDocument/2006/customXml" ds:itemID="{6E1C95AF-6A3B-4F06-A2A5-828401BC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57CC8D-6214-4D42-B6DF-E38296E7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18210</Words>
  <Characters>10381</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Inga Liepiņa</dc:creator>
  <dc:description>67095455,
inga.liepina@fm.gov.lv</dc:description>
  <cp:lastModifiedBy>Inga Liepiņa</cp:lastModifiedBy>
  <cp:revision>11</cp:revision>
  <cp:lastPrinted>2018-09-14T07:29:00Z</cp:lastPrinted>
  <dcterms:created xsi:type="dcterms:W3CDTF">2019-09-04T08:24:00Z</dcterms:created>
  <dcterms:modified xsi:type="dcterms:W3CDTF">2019-09-12T09:07:00Z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